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6E009FCB" w:rsidR="00C86248" w:rsidRPr="00926083" w:rsidRDefault="00916E00" w:rsidP="00926083">
      <w:pPr>
        <w:pStyle w:val="Title"/>
      </w:pPr>
      <w:r w:rsidRPr="00916E00">
        <w:t>Code of Practice for the Safe Transport of Radioactive Material</w:t>
      </w:r>
    </w:p>
    <w:p w14:paraId="2B4FAC6A" w14:textId="5B89DE22" w:rsidR="00C05132" w:rsidRDefault="00916E00" w:rsidP="00926083">
      <w:pPr>
        <w:pStyle w:val="Subhead"/>
      </w:pPr>
      <w:r w:rsidRPr="00916E00">
        <w:t>ORS C6</w:t>
      </w:r>
    </w:p>
    <w:p w14:paraId="2A961E80" w14:textId="6C2540FF" w:rsidR="00531E12" w:rsidRDefault="00916E00" w:rsidP="00531E12">
      <w:pPr>
        <w:pStyle w:val="Year"/>
      </w:pPr>
      <w:r>
        <w:t>2024</w:t>
      </w:r>
    </w:p>
    <w:p w14:paraId="3778F82E" w14:textId="77777777" w:rsidR="00916E00" w:rsidRDefault="00916E00" w:rsidP="00916E00">
      <w:pPr>
        <w:spacing w:before="600"/>
        <w:rPr>
          <w:b/>
          <w:bCs/>
        </w:rPr>
      </w:pPr>
      <w:r>
        <w:rPr>
          <w:b/>
          <w:bCs/>
        </w:rPr>
        <w:t>FOR PUBLIC CONSULTATION</w:t>
      </w:r>
    </w:p>
    <w:p w14:paraId="4DA0B0E9" w14:textId="77777777" w:rsidR="00916E00" w:rsidRPr="00916E00" w:rsidRDefault="00916E00" w:rsidP="00916E00">
      <w:pPr>
        <w:pStyle w:val="Subhead"/>
      </w:pP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64595623" w:rsidR="00A80363" w:rsidRPr="00C05132" w:rsidRDefault="00A80363" w:rsidP="00A63DFF">
      <w:pPr>
        <w:pStyle w:val="Imprint"/>
        <w:spacing w:before="1200"/>
        <w:rPr>
          <w:rFonts w:cs="Segoe UI"/>
        </w:rPr>
      </w:pPr>
      <w:bookmarkStart w:id="1" w:name="_Hlk161124172"/>
      <w:r w:rsidRPr="00C05132">
        <w:rPr>
          <w:rFonts w:cs="Segoe UI"/>
        </w:rPr>
        <w:lastRenderedPageBreak/>
        <w:t xml:space="preserve">Citation: </w:t>
      </w:r>
      <w:r w:rsidR="00442C1C" w:rsidRPr="00C05132">
        <w:rPr>
          <w:rFonts w:cs="Segoe UI"/>
        </w:rPr>
        <w:t xml:space="preserve">Ministry of Health. </w:t>
      </w:r>
      <w:r w:rsidR="00916E00">
        <w:rPr>
          <w:rFonts w:cs="Segoe UI"/>
        </w:rPr>
        <w:t>20</w:t>
      </w:r>
      <w:r w:rsidR="00AB05D6">
        <w:rPr>
          <w:rFonts w:cs="Segoe UI"/>
        </w:rPr>
        <w:t>24</w:t>
      </w:r>
      <w:bookmarkStart w:id="2" w:name="_Hlk161137551"/>
      <w:r w:rsidR="00916E00">
        <w:rPr>
          <w:rFonts w:cs="Segoe UI"/>
        </w:rPr>
        <w:t xml:space="preserve">. </w:t>
      </w:r>
      <w:r w:rsidR="00916E00">
        <w:rPr>
          <w:rFonts w:cs="Segoe UI"/>
          <w:i/>
        </w:rPr>
        <w:t>Code of Practice for the Safe Transport of Radioactive Material: ORS C6:</w:t>
      </w:r>
      <w:bookmarkEnd w:id="2"/>
      <w:r w:rsidR="00916E00">
        <w:rPr>
          <w:rFonts w:cs="Segoe UI"/>
          <w:i/>
        </w:rPr>
        <w:t xml:space="preserve"> For public consultation</w:t>
      </w:r>
      <w:r w:rsidR="00916E00">
        <w:rPr>
          <w:rFonts w:cs="Segoe UI"/>
        </w:rPr>
        <w:t xml:space="preserve">. </w:t>
      </w:r>
      <w:bookmarkEnd w:id="1"/>
      <w:r w:rsidR="00442C1C" w:rsidRPr="00C05132">
        <w:rPr>
          <w:rFonts w:cs="Segoe UI"/>
        </w:rPr>
        <w:t>Wellington: Ministry of Health.</w:t>
      </w:r>
    </w:p>
    <w:p w14:paraId="7909192E" w14:textId="6DEA66CA" w:rsidR="00C86248" w:rsidRDefault="00C86248">
      <w:pPr>
        <w:pStyle w:val="Imprint"/>
      </w:pPr>
      <w:r>
        <w:t xml:space="preserve">Published in </w:t>
      </w:r>
      <w:r w:rsidR="00916E00">
        <w:t xml:space="preserve">March 2024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290DB47B" w:rsidR="00082CD6" w:rsidRPr="009C0F2D" w:rsidRDefault="00082CD6" w:rsidP="00082CD6">
      <w:pPr>
        <w:pStyle w:val="Imprint"/>
      </w:pPr>
      <w:r w:rsidRPr="009C0F2D">
        <w:t xml:space="preserve">HP </w:t>
      </w:r>
      <w:r w:rsidR="006A7A38">
        <w:t>9062</w:t>
      </w:r>
    </w:p>
    <w:p w14:paraId="48DBDA36" w14:textId="77777777" w:rsidR="00C86248" w:rsidRDefault="008C64C4" w:rsidP="00A63DFF">
      <w:r>
        <w:rPr>
          <w:noProof/>
          <w:lang w:eastAsia="en-NZ"/>
        </w:rPr>
        <w:drawing>
          <wp:inline distT="0" distB="0" distL="0" distR="0" wp14:anchorId="6EF4539D" wp14:editId="3EC8DFB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3" w:name="_Toc405792991"/>
      <w:bookmarkStart w:id="4" w:name="_Toc405793224"/>
      <w:r>
        <w:lastRenderedPageBreak/>
        <w:t>Contents</w:t>
      </w:r>
      <w:bookmarkEnd w:id="3"/>
      <w:bookmarkEnd w:id="4"/>
    </w:p>
    <w:p w14:paraId="1C325BF4" w14:textId="704F4FE6" w:rsidR="008165C0" w:rsidRDefault="008165C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61048808" w:history="1">
        <w:r w:rsidRPr="00AF2EAE">
          <w:rPr>
            <w:rStyle w:val="Hyperlink"/>
            <w:noProof/>
          </w:rPr>
          <w:t>This consultation</w:t>
        </w:r>
        <w:r>
          <w:rPr>
            <w:noProof/>
            <w:webHidden/>
          </w:rPr>
          <w:tab/>
        </w:r>
        <w:r>
          <w:rPr>
            <w:noProof/>
            <w:webHidden/>
          </w:rPr>
          <w:fldChar w:fldCharType="begin"/>
        </w:r>
        <w:r>
          <w:rPr>
            <w:noProof/>
            <w:webHidden/>
          </w:rPr>
          <w:instrText xml:space="preserve"> PAGEREF _Toc161048808 \h </w:instrText>
        </w:r>
        <w:r>
          <w:rPr>
            <w:noProof/>
            <w:webHidden/>
          </w:rPr>
        </w:r>
        <w:r>
          <w:rPr>
            <w:noProof/>
            <w:webHidden/>
          </w:rPr>
          <w:fldChar w:fldCharType="separate"/>
        </w:r>
        <w:r w:rsidR="00487085">
          <w:rPr>
            <w:noProof/>
            <w:webHidden/>
          </w:rPr>
          <w:t>iv</w:t>
        </w:r>
        <w:r>
          <w:rPr>
            <w:noProof/>
            <w:webHidden/>
          </w:rPr>
          <w:fldChar w:fldCharType="end"/>
        </w:r>
      </w:hyperlink>
    </w:p>
    <w:p w14:paraId="52FE69E5" w14:textId="58B71D0E" w:rsidR="008165C0" w:rsidRDefault="00000000">
      <w:pPr>
        <w:pStyle w:val="TOC2"/>
        <w:rPr>
          <w:rFonts w:asciiTheme="minorHAnsi" w:eastAsiaTheme="minorEastAsia" w:hAnsiTheme="minorHAnsi" w:cstheme="minorBidi"/>
          <w:noProof/>
          <w:szCs w:val="22"/>
          <w:lang w:eastAsia="en-NZ"/>
        </w:rPr>
      </w:pPr>
      <w:hyperlink w:anchor="_Toc161048809" w:history="1">
        <w:r w:rsidR="008165C0" w:rsidRPr="00AF2EAE">
          <w:rPr>
            <w:rStyle w:val="Hyperlink"/>
            <w:noProof/>
          </w:rPr>
          <w:t>Summary of the proposed principal amendments in the revised C6</w:t>
        </w:r>
        <w:r w:rsidR="008165C0">
          <w:rPr>
            <w:noProof/>
            <w:webHidden/>
          </w:rPr>
          <w:tab/>
        </w:r>
        <w:r w:rsidR="008165C0">
          <w:rPr>
            <w:noProof/>
            <w:webHidden/>
          </w:rPr>
          <w:fldChar w:fldCharType="begin"/>
        </w:r>
        <w:r w:rsidR="008165C0">
          <w:rPr>
            <w:noProof/>
            <w:webHidden/>
          </w:rPr>
          <w:instrText xml:space="preserve"> PAGEREF _Toc161048809 \h </w:instrText>
        </w:r>
        <w:r w:rsidR="008165C0">
          <w:rPr>
            <w:noProof/>
            <w:webHidden/>
          </w:rPr>
        </w:r>
        <w:r w:rsidR="008165C0">
          <w:rPr>
            <w:noProof/>
            <w:webHidden/>
          </w:rPr>
          <w:fldChar w:fldCharType="separate"/>
        </w:r>
        <w:r w:rsidR="00487085">
          <w:rPr>
            <w:noProof/>
            <w:webHidden/>
          </w:rPr>
          <w:t>v</w:t>
        </w:r>
        <w:r w:rsidR="008165C0">
          <w:rPr>
            <w:noProof/>
            <w:webHidden/>
          </w:rPr>
          <w:fldChar w:fldCharType="end"/>
        </w:r>
      </w:hyperlink>
    </w:p>
    <w:p w14:paraId="05315042" w14:textId="26B576DC" w:rsidR="008165C0" w:rsidRDefault="00000000">
      <w:pPr>
        <w:pStyle w:val="TOC2"/>
        <w:rPr>
          <w:rFonts w:asciiTheme="minorHAnsi" w:eastAsiaTheme="minorEastAsia" w:hAnsiTheme="minorHAnsi" w:cstheme="minorBidi"/>
          <w:noProof/>
          <w:szCs w:val="22"/>
          <w:lang w:eastAsia="en-NZ"/>
        </w:rPr>
      </w:pPr>
      <w:hyperlink w:anchor="_Toc161048810" w:history="1">
        <w:r w:rsidR="008165C0" w:rsidRPr="00AF2EAE">
          <w:rPr>
            <w:rStyle w:val="Hyperlink"/>
            <w:noProof/>
          </w:rPr>
          <w:t>How to provide feedback</w:t>
        </w:r>
        <w:r w:rsidR="008165C0">
          <w:rPr>
            <w:noProof/>
            <w:webHidden/>
          </w:rPr>
          <w:tab/>
        </w:r>
        <w:r w:rsidR="008165C0">
          <w:rPr>
            <w:noProof/>
            <w:webHidden/>
          </w:rPr>
          <w:fldChar w:fldCharType="begin"/>
        </w:r>
        <w:r w:rsidR="008165C0">
          <w:rPr>
            <w:noProof/>
            <w:webHidden/>
          </w:rPr>
          <w:instrText xml:space="preserve"> PAGEREF _Toc161048810 \h </w:instrText>
        </w:r>
        <w:r w:rsidR="008165C0">
          <w:rPr>
            <w:noProof/>
            <w:webHidden/>
          </w:rPr>
        </w:r>
        <w:r w:rsidR="008165C0">
          <w:rPr>
            <w:noProof/>
            <w:webHidden/>
          </w:rPr>
          <w:fldChar w:fldCharType="separate"/>
        </w:r>
        <w:r w:rsidR="00487085">
          <w:rPr>
            <w:noProof/>
            <w:webHidden/>
          </w:rPr>
          <w:t>ix</w:t>
        </w:r>
        <w:r w:rsidR="008165C0">
          <w:rPr>
            <w:noProof/>
            <w:webHidden/>
          </w:rPr>
          <w:fldChar w:fldCharType="end"/>
        </w:r>
      </w:hyperlink>
    </w:p>
    <w:p w14:paraId="4FE0B431" w14:textId="2D950736" w:rsidR="008165C0" w:rsidRDefault="00000000">
      <w:pPr>
        <w:pStyle w:val="TOC2"/>
        <w:rPr>
          <w:rFonts w:asciiTheme="minorHAnsi" w:eastAsiaTheme="minorEastAsia" w:hAnsiTheme="minorHAnsi" w:cstheme="minorBidi"/>
          <w:noProof/>
          <w:szCs w:val="22"/>
          <w:lang w:eastAsia="en-NZ"/>
        </w:rPr>
      </w:pPr>
      <w:hyperlink w:anchor="_Toc161048811" w:history="1">
        <w:r w:rsidR="008165C0" w:rsidRPr="00AF2EAE">
          <w:rPr>
            <w:rStyle w:val="Hyperlink"/>
            <w:noProof/>
          </w:rPr>
          <w:t>What happens after the consultation?</w:t>
        </w:r>
        <w:r w:rsidR="008165C0">
          <w:rPr>
            <w:noProof/>
            <w:webHidden/>
          </w:rPr>
          <w:tab/>
        </w:r>
        <w:r w:rsidR="008165C0">
          <w:rPr>
            <w:noProof/>
            <w:webHidden/>
          </w:rPr>
          <w:fldChar w:fldCharType="begin"/>
        </w:r>
        <w:r w:rsidR="008165C0">
          <w:rPr>
            <w:noProof/>
            <w:webHidden/>
          </w:rPr>
          <w:instrText xml:space="preserve"> PAGEREF _Toc161048811 \h </w:instrText>
        </w:r>
        <w:r w:rsidR="008165C0">
          <w:rPr>
            <w:noProof/>
            <w:webHidden/>
          </w:rPr>
        </w:r>
        <w:r w:rsidR="008165C0">
          <w:rPr>
            <w:noProof/>
            <w:webHidden/>
          </w:rPr>
          <w:fldChar w:fldCharType="separate"/>
        </w:r>
        <w:r w:rsidR="00487085">
          <w:rPr>
            <w:noProof/>
            <w:webHidden/>
          </w:rPr>
          <w:t>ix</w:t>
        </w:r>
        <w:r w:rsidR="008165C0">
          <w:rPr>
            <w:noProof/>
            <w:webHidden/>
          </w:rPr>
          <w:fldChar w:fldCharType="end"/>
        </w:r>
      </w:hyperlink>
    </w:p>
    <w:p w14:paraId="7A6D88D3" w14:textId="16EF8334" w:rsidR="008165C0" w:rsidRDefault="00000000">
      <w:pPr>
        <w:pStyle w:val="TOC1"/>
        <w:rPr>
          <w:rFonts w:asciiTheme="minorHAnsi" w:eastAsiaTheme="minorEastAsia" w:hAnsiTheme="minorHAnsi" w:cstheme="minorBidi"/>
          <w:noProof/>
          <w:sz w:val="22"/>
          <w:szCs w:val="22"/>
          <w:lang w:eastAsia="en-NZ"/>
        </w:rPr>
      </w:pPr>
      <w:hyperlink w:anchor="_Toc161048812" w:history="1">
        <w:r w:rsidR="008165C0" w:rsidRPr="00AF2EAE">
          <w:rPr>
            <w:rStyle w:val="Hyperlink"/>
            <w:noProof/>
          </w:rPr>
          <w:t>Introduction</w:t>
        </w:r>
        <w:r w:rsidR="008165C0">
          <w:rPr>
            <w:noProof/>
            <w:webHidden/>
          </w:rPr>
          <w:tab/>
        </w:r>
        <w:r w:rsidR="008165C0">
          <w:rPr>
            <w:noProof/>
            <w:webHidden/>
          </w:rPr>
          <w:fldChar w:fldCharType="begin"/>
        </w:r>
        <w:r w:rsidR="008165C0">
          <w:rPr>
            <w:noProof/>
            <w:webHidden/>
          </w:rPr>
          <w:instrText xml:space="preserve"> PAGEREF _Toc161048812 \h </w:instrText>
        </w:r>
        <w:r w:rsidR="008165C0">
          <w:rPr>
            <w:noProof/>
            <w:webHidden/>
          </w:rPr>
        </w:r>
        <w:r w:rsidR="008165C0">
          <w:rPr>
            <w:noProof/>
            <w:webHidden/>
          </w:rPr>
          <w:fldChar w:fldCharType="separate"/>
        </w:r>
        <w:r w:rsidR="00487085">
          <w:rPr>
            <w:noProof/>
            <w:webHidden/>
          </w:rPr>
          <w:t>1</w:t>
        </w:r>
        <w:r w:rsidR="008165C0">
          <w:rPr>
            <w:noProof/>
            <w:webHidden/>
          </w:rPr>
          <w:fldChar w:fldCharType="end"/>
        </w:r>
      </w:hyperlink>
    </w:p>
    <w:p w14:paraId="5726FC5D" w14:textId="11FF468D" w:rsidR="008165C0" w:rsidRDefault="00000000">
      <w:pPr>
        <w:pStyle w:val="TOC2"/>
        <w:rPr>
          <w:rFonts w:asciiTheme="minorHAnsi" w:eastAsiaTheme="minorEastAsia" w:hAnsiTheme="minorHAnsi" w:cstheme="minorBidi"/>
          <w:noProof/>
          <w:szCs w:val="22"/>
          <w:lang w:eastAsia="en-NZ"/>
        </w:rPr>
      </w:pPr>
      <w:hyperlink w:anchor="_Toc161048813" w:history="1">
        <w:r w:rsidR="008165C0" w:rsidRPr="00AF2EAE">
          <w:rPr>
            <w:rStyle w:val="Hyperlink"/>
            <w:noProof/>
          </w:rPr>
          <w:t>Purpose and commencement</w:t>
        </w:r>
        <w:r w:rsidR="008165C0">
          <w:rPr>
            <w:noProof/>
            <w:webHidden/>
          </w:rPr>
          <w:tab/>
        </w:r>
        <w:r w:rsidR="008165C0">
          <w:rPr>
            <w:noProof/>
            <w:webHidden/>
          </w:rPr>
          <w:fldChar w:fldCharType="begin"/>
        </w:r>
        <w:r w:rsidR="008165C0">
          <w:rPr>
            <w:noProof/>
            <w:webHidden/>
          </w:rPr>
          <w:instrText xml:space="preserve"> PAGEREF _Toc161048813 \h </w:instrText>
        </w:r>
        <w:r w:rsidR="008165C0">
          <w:rPr>
            <w:noProof/>
            <w:webHidden/>
          </w:rPr>
        </w:r>
        <w:r w:rsidR="008165C0">
          <w:rPr>
            <w:noProof/>
            <w:webHidden/>
          </w:rPr>
          <w:fldChar w:fldCharType="separate"/>
        </w:r>
        <w:r w:rsidR="00487085">
          <w:rPr>
            <w:noProof/>
            <w:webHidden/>
          </w:rPr>
          <w:t>1</w:t>
        </w:r>
        <w:r w:rsidR="008165C0">
          <w:rPr>
            <w:noProof/>
            <w:webHidden/>
          </w:rPr>
          <w:fldChar w:fldCharType="end"/>
        </w:r>
      </w:hyperlink>
    </w:p>
    <w:p w14:paraId="0DAC636A" w14:textId="5107FC0A" w:rsidR="008165C0" w:rsidRDefault="00000000">
      <w:pPr>
        <w:pStyle w:val="TOC2"/>
        <w:rPr>
          <w:rFonts w:asciiTheme="minorHAnsi" w:eastAsiaTheme="minorEastAsia" w:hAnsiTheme="minorHAnsi" w:cstheme="minorBidi"/>
          <w:noProof/>
          <w:szCs w:val="22"/>
          <w:lang w:eastAsia="en-NZ"/>
        </w:rPr>
      </w:pPr>
      <w:hyperlink w:anchor="_Toc161048814" w:history="1">
        <w:r w:rsidR="008165C0" w:rsidRPr="00AF2EAE">
          <w:rPr>
            <w:rStyle w:val="Hyperlink"/>
            <w:noProof/>
          </w:rPr>
          <w:t>Scope</w:t>
        </w:r>
        <w:r w:rsidR="008165C0">
          <w:rPr>
            <w:noProof/>
            <w:webHidden/>
          </w:rPr>
          <w:tab/>
        </w:r>
        <w:r w:rsidR="008165C0">
          <w:rPr>
            <w:noProof/>
            <w:webHidden/>
          </w:rPr>
          <w:fldChar w:fldCharType="begin"/>
        </w:r>
        <w:r w:rsidR="008165C0">
          <w:rPr>
            <w:noProof/>
            <w:webHidden/>
          </w:rPr>
          <w:instrText xml:space="preserve"> PAGEREF _Toc161048814 \h </w:instrText>
        </w:r>
        <w:r w:rsidR="008165C0">
          <w:rPr>
            <w:noProof/>
            <w:webHidden/>
          </w:rPr>
        </w:r>
        <w:r w:rsidR="008165C0">
          <w:rPr>
            <w:noProof/>
            <w:webHidden/>
          </w:rPr>
          <w:fldChar w:fldCharType="separate"/>
        </w:r>
        <w:r w:rsidR="00487085">
          <w:rPr>
            <w:noProof/>
            <w:webHidden/>
          </w:rPr>
          <w:t>1</w:t>
        </w:r>
        <w:r w:rsidR="008165C0">
          <w:rPr>
            <w:noProof/>
            <w:webHidden/>
          </w:rPr>
          <w:fldChar w:fldCharType="end"/>
        </w:r>
      </w:hyperlink>
    </w:p>
    <w:p w14:paraId="296E9501" w14:textId="1A015771" w:rsidR="008165C0" w:rsidRDefault="00000000">
      <w:pPr>
        <w:pStyle w:val="TOC1"/>
        <w:rPr>
          <w:rFonts w:asciiTheme="minorHAnsi" w:eastAsiaTheme="minorEastAsia" w:hAnsiTheme="minorHAnsi" w:cstheme="minorBidi"/>
          <w:noProof/>
          <w:sz w:val="22"/>
          <w:szCs w:val="22"/>
          <w:lang w:eastAsia="en-NZ"/>
        </w:rPr>
      </w:pPr>
      <w:hyperlink w:anchor="_Toc161048815" w:history="1">
        <w:r w:rsidR="008165C0" w:rsidRPr="00AF2EAE">
          <w:rPr>
            <w:rStyle w:val="Hyperlink"/>
            <w:noProof/>
          </w:rPr>
          <w:t>Roles and responsibilities</w:t>
        </w:r>
        <w:r w:rsidR="008165C0">
          <w:rPr>
            <w:noProof/>
            <w:webHidden/>
          </w:rPr>
          <w:tab/>
        </w:r>
        <w:r w:rsidR="008165C0">
          <w:rPr>
            <w:noProof/>
            <w:webHidden/>
          </w:rPr>
          <w:fldChar w:fldCharType="begin"/>
        </w:r>
        <w:r w:rsidR="008165C0">
          <w:rPr>
            <w:noProof/>
            <w:webHidden/>
          </w:rPr>
          <w:instrText xml:space="preserve"> PAGEREF _Toc161048815 \h </w:instrText>
        </w:r>
        <w:r w:rsidR="008165C0">
          <w:rPr>
            <w:noProof/>
            <w:webHidden/>
          </w:rPr>
        </w:r>
        <w:r w:rsidR="008165C0">
          <w:rPr>
            <w:noProof/>
            <w:webHidden/>
          </w:rPr>
          <w:fldChar w:fldCharType="separate"/>
        </w:r>
        <w:r w:rsidR="00487085">
          <w:rPr>
            <w:noProof/>
            <w:webHidden/>
          </w:rPr>
          <w:t>3</w:t>
        </w:r>
        <w:r w:rsidR="008165C0">
          <w:rPr>
            <w:noProof/>
            <w:webHidden/>
          </w:rPr>
          <w:fldChar w:fldCharType="end"/>
        </w:r>
      </w:hyperlink>
    </w:p>
    <w:p w14:paraId="12570362" w14:textId="2C6733A6" w:rsidR="008165C0" w:rsidRDefault="00000000">
      <w:pPr>
        <w:pStyle w:val="TOC1"/>
        <w:rPr>
          <w:rFonts w:asciiTheme="minorHAnsi" w:eastAsiaTheme="minorEastAsia" w:hAnsiTheme="minorHAnsi" w:cstheme="minorBidi"/>
          <w:noProof/>
          <w:sz w:val="22"/>
          <w:szCs w:val="22"/>
          <w:lang w:eastAsia="en-NZ"/>
        </w:rPr>
      </w:pPr>
      <w:hyperlink w:anchor="_Toc161048816" w:history="1">
        <w:r w:rsidR="008165C0" w:rsidRPr="00AF2EAE">
          <w:rPr>
            <w:rStyle w:val="Hyperlink"/>
            <w:noProof/>
          </w:rPr>
          <w:t>Interpretation</w:t>
        </w:r>
        <w:r w:rsidR="008165C0">
          <w:rPr>
            <w:noProof/>
            <w:webHidden/>
          </w:rPr>
          <w:tab/>
        </w:r>
        <w:r w:rsidR="008165C0">
          <w:rPr>
            <w:noProof/>
            <w:webHidden/>
          </w:rPr>
          <w:fldChar w:fldCharType="begin"/>
        </w:r>
        <w:r w:rsidR="008165C0">
          <w:rPr>
            <w:noProof/>
            <w:webHidden/>
          </w:rPr>
          <w:instrText xml:space="preserve"> PAGEREF _Toc161048816 \h </w:instrText>
        </w:r>
        <w:r w:rsidR="008165C0">
          <w:rPr>
            <w:noProof/>
            <w:webHidden/>
          </w:rPr>
        </w:r>
        <w:r w:rsidR="008165C0">
          <w:rPr>
            <w:noProof/>
            <w:webHidden/>
          </w:rPr>
          <w:fldChar w:fldCharType="separate"/>
        </w:r>
        <w:r w:rsidR="00487085">
          <w:rPr>
            <w:noProof/>
            <w:webHidden/>
          </w:rPr>
          <w:t>4</w:t>
        </w:r>
        <w:r w:rsidR="008165C0">
          <w:rPr>
            <w:noProof/>
            <w:webHidden/>
          </w:rPr>
          <w:fldChar w:fldCharType="end"/>
        </w:r>
      </w:hyperlink>
    </w:p>
    <w:p w14:paraId="2F298D09" w14:textId="27DDEA7C" w:rsidR="008165C0" w:rsidRDefault="00000000">
      <w:pPr>
        <w:pStyle w:val="TOC1"/>
        <w:rPr>
          <w:rFonts w:asciiTheme="minorHAnsi" w:eastAsiaTheme="minorEastAsia" w:hAnsiTheme="minorHAnsi" w:cstheme="minorBidi"/>
          <w:noProof/>
          <w:sz w:val="22"/>
          <w:szCs w:val="22"/>
          <w:lang w:eastAsia="en-NZ"/>
        </w:rPr>
      </w:pPr>
      <w:hyperlink w:anchor="_Toc161048817" w:history="1">
        <w:r w:rsidR="008165C0" w:rsidRPr="00AF2EAE">
          <w:rPr>
            <w:rStyle w:val="Hyperlink"/>
            <w:noProof/>
          </w:rPr>
          <w:t>Responsibilities</w:t>
        </w:r>
        <w:r w:rsidR="008165C0">
          <w:rPr>
            <w:noProof/>
            <w:webHidden/>
          </w:rPr>
          <w:tab/>
        </w:r>
        <w:r w:rsidR="008165C0">
          <w:rPr>
            <w:noProof/>
            <w:webHidden/>
          </w:rPr>
          <w:fldChar w:fldCharType="begin"/>
        </w:r>
        <w:r w:rsidR="008165C0">
          <w:rPr>
            <w:noProof/>
            <w:webHidden/>
          </w:rPr>
          <w:instrText xml:space="preserve"> PAGEREF _Toc161048817 \h </w:instrText>
        </w:r>
        <w:r w:rsidR="008165C0">
          <w:rPr>
            <w:noProof/>
            <w:webHidden/>
          </w:rPr>
        </w:r>
        <w:r w:rsidR="008165C0">
          <w:rPr>
            <w:noProof/>
            <w:webHidden/>
          </w:rPr>
          <w:fldChar w:fldCharType="separate"/>
        </w:r>
        <w:r w:rsidR="00487085">
          <w:rPr>
            <w:noProof/>
            <w:webHidden/>
          </w:rPr>
          <w:t>5</w:t>
        </w:r>
        <w:r w:rsidR="008165C0">
          <w:rPr>
            <w:noProof/>
            <w:webHidden/>
          </w:rPr>
          <w:fldChar w:fldCharType="end"/>
        </w:r>
      </w:hyperlink>
    </w:p>
    <w:p w14:paraId="68146237" w14:textId="541E3D7D" w:rsidR="008165C0" w:rsidRDefault="00000000">
      <w:pPr>
        <w:pStyle w:val="TOC2"/>
        <w:rPr>
          <w:rFonts w:asciiTheme="minorHAnsi" w:eastAsiaTheme="minorEastAsia" w:hAnsiTheme="minorHAnsi" w:cstheme="minorBidi"/>
          <w:noProof/>
          <w:szCs w:val="22"/>
          <w:lang w:eastAsia="en-NZ"/>
        </w:rPr>
      </w:pPr>
      <w:hyperlink w:anchor="_Toc161048818" w:history="1">
        <w:r w:rsidR="008165C0" w:rsidRPr="00AF2EAE">
          <w:rPr>
            <w:rStyle w:val="Hyperlink"/>
            <w:noProof/>
          </w:rPr>
          <w:t>Carrier</w:t>
        </w:r>
        <w:r w:rsidR="008165C0">
          <w:rPr>
            <w:noProof/>
            <w:webHidden/>
          </w:rPr>
          <w:tab/>
        </w:r>
        <w:r w:rsidR="008165C0">
          <w:rPr>
            <w:noProof/>
            <w:webHidden/>
          </w:rPr>
          <w:fldChar w:fldCharType="begin"/>
        </w:r>
        <w:r w:rsidR="008165C0">
          <w:rPr>
            <w:noProof/>
            <w:webHidden/>
          </w:rPr>
          <w:instrText xml:space="preserve"> PAGEREF _Toc161048818 \h </w:instrText>
        </w:r>
        <w:r w:rsidR="008165C0">
          <w:rPr>
            <w:noProof/>
            <w:webHidden/>
          </w:rPr>
        </w:r>
        <w:r w:rsidR="008165C0">
          <w:rPr>
            <w:noProof/>
            <w:webHidden/>
          </w:rPr>
          <w:fldChar w:fldCharType="separate"/>
        </w:r>
        <w:r w:rsidR="00487085">
          <w:rPr>
            <w:noProof/>
            <w:webHidden/>
          </w:rPr>
          <w:t>5</w:t>
        </w:r>
        <w:r w:rsidR="008165C0">
          <w:rPr>
            <w:noProof/>
            <w:webHidden/>
          </w:rPr>
          <w:fldChar w:fldCharType="end"/>
        </w:r>
      </w:hyperlink>
    </w:p>
    <w:p w14:paraId="7108D0E9" w14:textId="0740B141" w:rsidR="008165C0" w:rsidRDefault="00000000">
      <w:pPr>
        <w:pStyle w:val="TOC2"/>
        <w:rPr>
          <w:rFonts w:asciiTheme="minorHAnsi" w:eastAsiaTheme="minorEastAsia" w:hAnsiTheme="minorHAnsi" w:cstheme="minorBidi"/>
          <w:noProof/>
          <w:szCs w:val="22"/>
          <w:lang w:eastAsia="en-NZ"/>
        </w:rPr>
      </w:pPr>
      <w:hyperlink w:anchor="_Toc161048819" w:history="1">
        <w:r w:rsidR="008165C0" w:rsidRPr="00AF2EAE">
          <w:rPr>
            <w:rStyle w:val="Hyperlink"/>
            <w:noProof/>
          </w:rPr>
          <w:t>Consignee</w:t>
        </w:r>
        <w:r w:rsidR="008165C0">
          <w:rPr>
            <w:noProof/>
            <w:webHidden/>
          </w:rPr>
          <w:tab/>
        </w:r>
        <w:r w:rsidR="008165C0">
          <w:rPr>
            <w:noProof/>
            <w:webHidden/>
          </w:rPr>
          <w:fldChar w:fldCharType="begin"/>
        </w:r>
        <w:r w:rsidR="008165C0">
          <w:rPr>
            <w:noProof/>
            <w:webHidden/>
          </w:rPr>
          <w:instrText xml:space="preserve"> PAGEREF _Toc161048819 \h </w:instrText>
        </w:r>
        <w:r w:rsidR="008165C0">
          <w:rPr>
            <w:noProof/>
            <w:webHidden/>
          </w:rPr>
        </w:r>
        <w:r w:rsidR="008165C0">
          <w:rPr>
            <w:noProof/>
            <w:webHidden/>
          </w:rPr>
          <w:fldChar w:fldCharType="separate"/>
        </w:r>
        <w:r w:rsidR="00487085">
          <w:rPr>
            <w:noProof/>
            <w:webHidden/>
          </w:rPr>
          <w:t>5</w:t>
        </w:r>
        <w:r w:rsidR="008165C0">
          <w:rPr>
            <w:noProof/>
            <w:webHidden/>
          </w:rPr>
          <w:fldChar w:fldCharType="end"/>
        </w:r>
      </w:hyperlink>
    </w:p>
    <w:p w14:paraId="7A43814A" w14:textId="4A024F33" w:rsidR="008165C0" w:rsidRDefault="00000000">
      <w:pPr>
        <w:pStyle w:val="TOC2"/>
        <w:rPr>
          <w:rFonts w:asciiTheme="minorHAnsi" w:eastAsiaTheme="minorEastAsia" w:hAnsiTheme="minorHAnsi" w:cstheme="minorBidi"/>
          <w:noProof/>
          <w:szCs w:val="22"/>
          <w:lang w:eastAsia="en-NZ"/>
        </w:rPr>
      </w:pPr>
      <w:hyperlink w:anchor="_Toc161048820" w:history="1">
        <w:r w:rsidR="008165C0" w:rsidRPr="00AF2EAE">
          <w:rPr>
            <w:rStyle w:val="Hyperlink"/>
            <w:noProof/>
          </w:rPr>
          <w:t>Consignor</w:t>
        </w:r>
        <w:r w:rsidR="008165C0">
          <w:rPr>
            <w:noProof/>
            <w:webHidden/>
          </w:rPr>
          <w:tab/>
        </w:r>
        <w:r w:rsidR="008165C0">
          <w:rPr>
            <w:noProof/>
            <w:webHidden/>
          </w:rPr>
          <w:fldChar w:fldCharType="begin"/>
        </w:r>
        <w:r w:rsidR="008165C0">
          <w:rPr>
            <w:noProof/>
            <w:webHidden/>
          </w:rPr>
          <w:instrText xml:space="preserve"> PAGEREF _Toc161048820 \h </w:instrText>
        </w:r>
        <w:r w:rsidR="008165C0">
          <w:rPr>
            <w:noProof/>
            <w:webHidden/>
          </w:rPr>
        </w:r>
        <w:r w:rsidR="008165C0">
          <w:rPr>
            <w:noProof/>
            <w:webHidden/>
          </w:rPr>
          <w:fldChar w:fldCharType="separate"/>
        </w:r>
        <w:r w:rsidR="00487085">
          <w:rPr>
            <w:noProof/>
            <w:webHidden/>
          </w:rPr>
          <w:t>5</w:t>
        </w:r>
        <w:r w:rsidR="008165C0">
          <w:rPr>
            <w:noProof/>
            <w:webHidden/>
          </w:rPr>
          <w:fldChar w:fldCharType="end"/>
        </w:r>
      </w:hyperlink>
    </w:p>
    <w:p w14:paraId="0AC3DD76" w14:textId="3F0761F0" w:rsidR="008165C0" w:rsidRDefault="00000000">
      <w:pPr>
        <w:pStyle w:val="TOC1"/>
        <w:rPr>
          <w:rFonts w:asciiTheme="minorHAnsi" w:eastAsiaTheme="minorEastAsia" w:hAnsiTheme="minorHAnsi" w:cstheme="minorBidi"/>
          <w:noProof/>
          <w:sz w:val="22"/>
          <w:szCs w:val="22"/>
          <w:lang w:eastAsia="en-NZ"/>
        </w:rPr>
      </w:pPr>
      <w:hyperlink w:anchor="_Toc161048821" w:history="1">
        <w:r w:rsidR="008165C0" w:rsidRPr="00AF2EAE">
          <w:rPr>
            <w:rStyle w:val="Hyperlink"/>
            <w:noProof/>
          </w:rPr>
          <w:t>Submission form for revised C6 2024</w:t>
        </w:r>
        <w:r w:rsidR="008165C0">
          <w:rPr>
            <w:noProof/>
            <w:webHidden/>
          </w:rPr>
          <w:tab/>
        </w:r>
        <w:r w:rsidR="008165C0">
          <w:rPr>
            <w:noProof/>
            <w:webHidden/>
          </w:rPr>
          <w:fldChar w:fldCharType="begin"/>
        </w:r>
        <w:r w:rsidR="008165C0">
          <w:rPr>
            <w:noProof/>
            <w:webHidden/>
          </w:rPr>
          <w:instrText xml:space="preserve"> PAGEREF _Toc161048821 \h </w:instrText>
        </w:r>
        <w:r w:rsidR="008165C0">
          <w:rPr>
            <w:noProof/>
            <w:webHidden/>
          </w:rPr>
        </w:r>
        <w:r w:rsidR="008165C0">
          <w:rPr>
            <w:noProof/>
            <w:webHidden/>
          </w:rPr>
          <w:fldChar w:fldCharType="separate"/>
        </w:r>
        <w:r w:rsidR="00487085">
          <w:rPr>
            <w:noProof/>
            <w:webHidden/>
          </w:rPr>
          <w:t>6</w:t>
        </w:r>
        <w:r w:rsidR="008165C0">
          <w:rPr>
            <w:noProof/>
            <w:webHidden/>
          </w:rPr>
          <w:fldChar w:fldCharType="end"/>
        </w:r>
      </w:hyperlink>
    </w:p>
    <w:p w14:paraId="133A9219" w14:textId="1713A8CC" w:rsidR="00C86248" w:rsidRDefault="008165C0">
      <w:r>
        <w:rPr>
          <w:rFonts w:ascii="Segoe UI Semibold" w:hAnsi="Segoe UI Semibold"/>
          <w:b/>
          <w:sz w:val="24"/>
        </w:rPr>
        <w:fldChar w:fldCharType="end"/>
      </w:r>
    </w:p>
    <w:p w14:paraId="4A6797B1" w14:textId="68A13B96" w:rsidR="002B76A7" w:rsidRDefault="002B76A7" w:rsidP="003A5FEA"/>
    <w:p w14:paraId="03333094" w14:textId="77777777" w:rsidR="001D3E4E" w:rsidRDefault="001D3E4E" w:rsidP="003A5FEA">
      <w:pPr>
        <w:sectPr w:rsidR="001D3E4E"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3A53A6E5" w14:textId="77777777" w:rsidR="00916E00" w:rsidRDefault="00916E00" w:rsidP="00916E00">
      <w:pPr>
        <w:pStyle w:val="Heading1"/>
        <w:spacing w:before="0"/>
      </w:pPr>
      <w:bookmarkStart w:id="5" w:name="_bookmark4"/>
      <w:bookmarkStart w:id="6" w:name="_Toc144957752"/>
      <w:bookmarkStart w:id="7" w:name="_Toc161048808"/>
      <w:bookmarkEnd w:id="5"/>
      <w:r>
        <w:lastRenderedPageBreak/>
        <w:t>This consultation</w:t>
      </w:r>
      <w:bookmarkEnd w:id="6"/>
      <w:bookmarkEnd w:id="7"/>
      <w:r>
        <w:t xml:space="preserve"> </w:t>
      </w:r>
    </w:p>
    <w:p w14:paraId="3636756F" w14:textId="5CEB73C1" w:rsidR="00916E00" w:rsidRDefault="00916E00" w:rsidP="00916E00">
      <w:r>
        <w:t>This document sets out the revised Code of Practice for the Safe Transport of Radioactive Material</w:t>
      </w:r>
      <w:r w:rsidR="00AA3EEB">
        <w:t>:</w:t>
      </w:r>
      <w:r>
        <w:t xml:space="preserve"> </w:t>
      </w:r>
      <w:r w:rsidR="00AA3EEB">
        <w:t xml:space="preserve">ORS C6: </w:t>
      </w:r>
      <w:r>
        <w:t xml:space="preserve">(revised C6). </w:t>
      </w:r>
      <w:bookmarkStart w:id="8" w:name="_Hlk160458223"/>
      <w:r>
        <w:t xml:space="preserve">The Director for Radiation Safety (the Director) proposes to issue a further revised C6, with amendments and revocations, under </w:t>
      </w:r>
      <w:hyperlink r:id="rId21" w:history="1">
        <w:r>
          <w:rPr>
            <w:rStyle w:val="Hyperlink"/>
          </w:rPr>
          <w:t>section 86</w:t>
        </w:r>
      </w:hyperlink>
      <w:r>
        <w:rPr>
          <w:rStyle w:val="Hyperlink"/>
          <w:bCs/>
        </w:rPr>
        <w:t xml:space="preserve"> </w:t>
      </w:r>
      <w:r>
        <w:t xml:space="preserve">of the Radiation Safety Act 2016 (the Act). </w:t>
      </w:r>
      <w:hyperlink r:id="rId22" w:history="1">
        <w:r>
          <w:rPr>
            <w:rStyle w:val="Hyperlink"/>
          </w:rPr>
          <w:t>Section 8</w:t>
        </w:r>
        <w:r w:rsidR="009C0509">
          <w:rPr>
            <w:rStyle w:val="Hyperlink"/>
          </w:rPr>
          <w:t>9(1)</w:t>
        </w:r>
      </w:hyperlink>
      <w:r>
        <w:t xml:space="preserve"> of the Act allows the Director to amended or revoked a code of practice (code).</w:t>
      </w:r>
    </w:p>
    <w:bookmarkEnd w:id="8"/>
    <w:p w14:paraId="6243FFC9" w14:textId="77777777" w:rsidR="00916E00" w:rsidRDefault="00916E00" w:rsidP="00916E00"/>
    <w:p w14:paraId="65B8A167" w14:textId="77777777" w:rsidR="00916E00" w:rsidRDefault="00916E00" w:rsidP="00916E00">
      <w:r>
        <w:t xml:space="preserve">This revised C6 has been drafted after being reviewed under </w:t>
      </w:r>
      <w:hyperlink r:id="rId23" w:history="1">
        <w:r>
          <w:rPr>
            <w:rStyle w:val="Hyperlink"/>
          </w:rPr>
          <w:t>section 90(a)</w:t>
        </w:r>
      </w:hyperlink>
      <w:r>
        <w:t xml:space="preserve"> of the Act, which requires the Director to review a code of practice every five years. </w:t>
      </w:r>
    </w:p>
    <w:p w14:paraId="7714CF05" w14:textId="77777777" w:rsidR="00916E00" w:rsidRDefault="00916E00" w:rsidP="00916E00"/>
    <w:p w14:paraId="7456F484" w14:textId="5412D979" w:rsidR="00916E00" w:rsidRDefault="00916E00" w:rsidP="00916E00">
      <w:bookmarkStart w:id="9" w:name="_Hlk160518028"/>
      <w:r>
        <w:t xml:space="preserve">Section 89(2) of the Act requires the Director to consult with any person who the Director reasonably considers </w:t>
      </w:r>
      <w:r w:rsidR="009C0509">
        <w:t xml:space="preserve">is </w:t>
      </w:r>
      <w:r>
        <w:t>likely to be affected by a proposed amendment or revocation of a code. This consultation is under section 89(2) of the Act.</w:t>
      </w:r>
    </w:p>
    <w:bookmarkEnd w:id="9"/>
    <w:p w14:paraId="46EF55FA" w14:textId="77777777" w:rsidR="00916E00" w:rsidRDefault="00916E00" w:rsidP="00916E00"/>
    <w:p w14:paraId="66C2328E" w14:textId="65FCD866" w:rsidR="00916E00" w:rsidRDefault="00916E00" w:rsidP="00916E00">
      <w:bookmarkStart w:id="10" w:name="_Hlk160458470"/>
      <w:r>
        <w:t xml:space="preserve">A submission form is included at the end of this document to help with this consultation process. The form is also available </w:t>
      </w:r>
      <w:hyperlink r:id="rId24" w:history="1">
        <w:r>
          <w:rPr>
            <w:rStyle w:val="Hyperlink"/>
          </w:rPr>
          <w:t>online</w:t>
        </w:r>
      </w:hyperlink>
      <w:r>
        <w:t>. The form is intended as a guide only. You are welcome to submit any information that you consider to be relevant.</w:t>
      </w:r>
    </w:p>
    <w:bookmarkEnd w:id="10"/>
    <w:p w14:paraId="431A7084" w14:textId="77777777" w:rsidR="00916E00" w:rsidRPr="00916E00" w:rsidRDefault="00916E00" w:rsidP="00916E00">
      <w:pPr>
        <w:pStyle w:val="Heading3"/>
      </w:pPr>
      <w:r w:rsidRPr="00916E00">
        <w:t>Your views matter</w:t>
      </w:r>
    </w:p>
    <w:p w14:paraId="685B4640" w14:textId="247719F6" w:rsidR="00916E00" w:rsidRDefault="00916E00" w:rsidP="00916E00">
      <w:r>
        <w:t xml:space="preserve">The current </w:t>
      </w:r>
      <w:hyperlink r:id="rId25" w:history="1">
        <w:r>
          <w:rPr>
            <w:rStyle w:val="Hyperlink"/>
          </w:rPr>
          <w:t>Code of Practice for the Safe Transport of Radioactive Materia</w:t>
        </w:r>
        <w:r w:rsidR="00AA3EEB">
          <w:rPr>
            <w:rStyle w:val="Hyperlink"/>
          </w:rPr>
          <w:t xml:space="preserve">l: ORS C6 </w:t>
        </w:r>
      </w:hyperlink>
      <w:r>
        <w:t>(</w:t>
      </w:r>
      <w:r w:rsidR="009C0509">
        <w:t xml:space="preserve">current </w:t>
      </w:r>
      <w:r>
        <w:t xml:space="preserve">C6) came into force on 19 April 2019. </w:t>
      </w:r>
      <w:r w:rsidR="00E972FE">
        <w:t xml:space="preserve">Current </w:t>
      </w:r>
      <w:r>
        <w:t xml:space="preserve">C6 and any amendments made are </w:t>
      </w:r>
      <w:hyperlink r:id="rId26" w:anchor="DLM7298133" w:history="1">
        <w:r>
          <w:rPr>
            <w:rStyle w:val="Hyperlink"/>
          </w:rPr>
          <w:t>secondary legislation</w:t>
        </w:r>
      </w:hyperlink>
      <w:r>
        <w:t xml:space="preserve"> under </w:t>
      </w:r>
      <w:hyperlink r:id="rId27" w:history="1">
        <w:r>
          <w:rPr>
            <w:rStyle w:val="Hyperlink"/>
          </w:rPr>
          <w:t>sections 86(6)</w:t>
        </w:r>
      </w:hyperlink>
      <w:r>
        <w:t xml:space="preserve"> and </w:t>
      </w:r>
      <w:hyperlink r:id="rId28" w:history="1">
        <w:r>
          <w:rPr>
            <w:rStyle w:val="Hyperlink"/>
          </w:rPr>
          <w:t>89(4)</w:t>
        </w:r>
      </w:hyperlink>
      <w:r>
        <w:t xml:space="preserve"> of the Act.</w:t>
      </w:r>
    </w:p>
    <w:p w14:paraId="10A2FE56" w14:textId="77777777" w:rsidR="00916E00" w:rsidRDefault="00916E00" w:rsidP="00916E00"/>
    <w:p w14:paraId="5803F119" w14:textId="07D35C2E" w:rsidR="00916E00" w:rsidRDefault="00E972FE" w:rsidP="00916E00">
      <w:r>
        <w:t xml:space="preserve">Current </w:t>
      </w:r>
      <w:r w:rsidR="00916E00">
        <w:t>C6 applies to any person who ‘</w:t>
      </w:r>
      <w:r w:rsidR="00916E00">
        <w:rPr>
          <w:bCs/>
        </w:rPr>
        <w:t>deals with’</w:t>
      </w:r>
      <w:r w:rsidR="00916E00">
        <w:t xml:space="preserve"> a radiation source. The term ‘deal with’ is defined in </w:t>
      </w:r>
      <w:hyperlink r:id="rId29" w:history="1">
        <w:r w:rsidR="00916E00">
          <w:rPr>
            <w:rStyle w:val="Hyperlink"/>
          </w:rPr>
          <w:t>section 5</w:t>
        </w:r>
      </w:hyperlink>
      <w:r w:rsidR="00916E00">
        <w:rPr>
          <w:rStyle w:val="Hyperlink"/>
        </w:rPr>
        <w:t xml:space="preserve"> </w:t>
      </w:r>
      <w:r w:rsidR="00916E00">
        <w:t>of the Act as: ‘to manufacture, possess, control, manage, use, transport, store, export, import, sell, supply, or dispose of a radiation source; or to  carry out any other activity or practice involving the radiation source’</w:t>
      </w:r>
      <w:r w:rsidR="000E3669">
        <w:t>.</w:t>
      </w:r>
      <w:r w:rsidR="00916E00">
        <w:t xml:space="preserve"> </w:t>
      </w:r>
    </w:p>
    <w:p w14:paraId="2A452D57" w14:textId="77777777" w:rsidR="00916E00" w:rsidRDefault="00916E00" w:rsidP="00916E00"/>
    <w:p w14:paraId="3AE9339B" w14:textId="77777777" w:rsidR="00916E00" w:rsidRDefault="00916E00" w:rsidP="00916E00">
      <w:pPr>
        <w:rPr>
          <w:color w:val="000000" w:themeColor="text1"/>
        </w:rPr>
      </w:pPr>
      <w:r>
        <w:rPr>
          <w:color w:val="000000" w:themeColor="text1"/>
        </w:rPr>
        <w:t>Those affected by the revised C6 include all regulated parties and other people and organisations with a professional interest in the transport of radioactive material.</w:t>
      </w:r>
    </w:p>
    <w:p w14:paraId="1F6D8259" w14:textId="77777777" w:rsidR="00916E00" w:rsidRDefault="00916E00" w:rsidP="00916E00">
      <w:pPr>
        <w:rPr>
          <w:color w:val="000000" w:themeColor="text1"/>
        </w:rPr>
      </w:pPr>
    </w:p>
    <w:p w14:paraId="472E5D49" w14:textId="18ECF810" w:rsidR="00916E00" w:rsidRDefault="00916E00" w:rsidP="00916E00">
      <w:r>
        <w:rPr>
          <w:color w:val="000000"/>
          <w:lang w:eastAsia="en-NZ"/>
        </w:rPr>
        <w:t>The Ministry of Health – Manatū Hauora (the Ministry)</w:t>
      </w:r>
      <w:r>
        <w:t xml:space="preserve"> will review all feedback received as part of this consultation and use it to inform amendments and </w:t>
      </w:r>
      <w:bookmarkStart w:id="11" w:name="_Hlk160518393"/>
      <w:r>
        <w:t>revocations</w:t>
      </w:r>
      <w:bookmarkEnd w:id="11"/>
      <w:r>
        <w:t xml:space="preserve"> to the revised C6.</w:t>
      </w:r>
    </w:p>
    <w:p w14:paraId="55F53901" w14:textId="3B98C83C" w:rsidR="00916E00" w:rsidRDefault="00916E00" w:rsidP="00916E00"/>
    <w:p w14:paraId="5D4CF931" w14:textId="77777777" w:rsidR="00916E00" w:rsidRDefault="00916E00" w:rsidP="00916E00">
      <w:pPr>
        <w:sectPr w:rsidR="00916E00" w:rsidSect="002560CC">
          <w:footerReference w:type="even" r:id="rId30"/>
          <w:footerReference w:type="default" r:id="rId31"/>
          <w:pgSz w:w="11907" w:h="16840" w:code="9"/>
          <w:pgMar w:top="1418" w:right="1701" w:bottom="1134" w:left="1843" w:header="284" w:footer="425" w:gutter="284"/>
          <w:pgNumType w:fmt="lowerRoman"/>
          <w:cols w:space="720"/>
        </w:sectPr>
      </w:pPr>
    </w:p>
    <w:p w14:paraId="26213E1F" w14:textId="77777777" w:rsidR="00916E00" w:rsidRDefault="00916E00" w:rsidP="00916E00">
      <w:pPr>
        <w:pStyle w:val="Heading2"/>
        <w:pageBreakBefore/>
        <w:spacing w:before="0"/>
      </w:pPr>
      <w:bookmarkStart w:id="12" w:name="_Toc134269905"/>
      <w:bookmarkStart w:id="13" w:name="_Toc142646949"/>
      <w:bookmarkStart w:id="14" w:name="_Toc144957753"/>
      <w:bookmarkStart w:id="15" w:name="_Toc161048809"/>
      <w:r>
        <w:lastRenderedPageBreak/>
        <w:t xml:space="preserve">Summary of the proposed principal amendments in the </w:t>
      </w:r>
      <w:bookmarkEnd w:id="12"/>
      <w:bookmarkEnd w:id="13"/>
      <w:r>
        <w:t>revised C6</w:t>
      </w:r>
      <w:bookmarkEnd w:id="14"/>
      <w:bookmarkEnd w:id="15"/>
      <w:r>
        <w:t xml:space="preserve"> </w:t>
      </w:r>
    </w:p>
    <w:p w14:paraId="6458E64E" w14:textId="6B08E540" w:rsidR="00916E00" w:rsidRDefault="00916E00" w:rsidP="00916E00">
      <w:r>
        <w:t xml:space="preserve">The Director’s view is that the revised C6 </w:t>
      </w:r>
      <w:r w:rsidR="00E972FE">
        <w:t xml:space="preserve">is </w:t>
      </w:r>
      <w:r>
        <w:t>better align</w:t>
      </w:r>
      <w:r w:rsidR="00E972FE">
        <w:t xml:space="preserve">ed </w:t>
      </w:r>
      <w:r>
        <w:t xml:space="preserve">with the Act and the </w:t>
      </w:r>
      <w:hyperlink r:id="rId32" w:anchor="LMS260122" w:history="1">
        <w:r>
          <w:rPr>
            <w:rStyle w:val="Hyperlink"/>
          </w:rPr>
          <w:t>Legislation Act 2109</w:t>
        </w:r>
      </w:hyperlink>
      <w:r w:rsidR="002579DE">
        <w:rPr>
          <w:rStyle w:val="Hyperlink"/>
        </w:rPr>
        <w:t xml:space="preserve">. </w:t>
      </w:r>
      <w:r>
        <w:t>The proposed changes do not significantly change the technical requirements on regulated parties.</w:t>
      </w:r>
    </w:p>
    <w:p w14:paraId="41881D45" w14:textId="77777777" w:rsidR="00916E00" w:rsidRDefault="00916E00" w:rsidP="00916E00"/>
    <w:p w14:paraId="6F467CB6" w14:textId="7B99421E" w:rsidR="00916E00" w:rsidRDefault="00916E00" w:rsidP="00916E00">
      <w:r>
        <w:t>The revised C6 has deletions, new clauses, replaced terms, changes to interpretations and rewordings.</w:t>
      </w:r>
      <w:r>
        <w:rPr>
          <w:b/>
          <w:bCs/>
        </w:rPr>
        <w:t xml:space="preserve"> </w:t>
      </w:r>
      <w:r>
        <w:rPr>
          <w:b/>
          <w:bCs/>
        </w:rPr>
        <w:fldChar w:fldCharType="begin"/>
      </w:r>
      <w:r>
        <w:rPr>
          <w:b/>
          <w:bCs/>
        </w:rPr>
        <w:instrText xml:space="preserve"> REF _Ref144198409 \h  \* MERGEFORMAT </w:instrText>
      </w:r>
      <w:r>
        <w:rPr>
          <w:b/>
          <w:bCs/>
        </w:rPr>
      </w:r>
      <w:r>
        <w:rPr>
          <w:b/>
          <w:bCs/>
        </w:rPr>
        <w:fldChar w:fldCharType="separate"/>
      </w:r>
      <w:r w:rsidR="00487085" w:rsidRPr="00487085">
        <w:rPr>
          <w:b/>
          <w:bCs/>
        </w:rPr>
        <w:t xml:space="preserve">Table </w:t>
      </w:r>
      <w:r w:rsidR="00487085" w:rsidRPr="00487085">
        <w:rPr>
          <w:b/>
          <w:bCs/>
          <w:noProof/>
        </w:rPr>
        <w:t>1</w:t>
      </w:r>
      <w:r>
        <w:rPr>
          <w:b/>
          <w:bCs/>
        </w:rPr>
        <w:fldChar w:fldCharType="end"/>
      </w:r>
      <w:r>
        <w:t xml:space="preserve"> lists the principal proposed changes in the revised C6 and the main reasons for each change.</w:t>
      </w:r>
    </w:p>
    <w:p w14:paraId="7FDE2CFE" w14:textId="77777777" w:rsidR="00916E00" w:rsidRDefault="00916E00" w:rsidP="00916E00">
      <w:pPr>
        <w:sectPr w:rsidR="00916E00" w:rsidSect="002560CC">
          <w:pgSz w:w="11907" w:h="16840" w:code="9"/>
          <w:pgMar w:top="1418" w:right="1701" w:bottom="1134" w:left="1843" w:header="284" w:footer="425" w:gutter="284"/>
          <w:pgNumType w:fmt="lowerRoman"/>
          <w:cols w:space="720"/>
        </w:sectPr>
      </w:pPr>
    </w:p>
    <w:p w14:paraId="7E240594" w14:textId="75BD3987" w:rsidR="00916E00" w:rsidRDefault="00916E00" w:rsidP="00916E00">
      <w:pPr>
        <w:pStyle w:val="Table"/>
      </w:pPr>
      <w:bookmarkStart w:id="16" w:name="_Ref144198409"/>
      <w:r>
        <w:lastRenderedPageBreak/>
        <w:t xml:space="preserve">Table </w:t>
      </w:r>
      <w:r>
        <w:fldChar w:fldCharType="begin"/>
      </w:r>
      <w:r>
        <w:instrText>SEQ Table \* ARABIC</w:instrText>
      </w:r>
      <w:r>
        <w:fldChar w:fldCharType="separate"/>
      </w:r>
      <w:r w:rsidR="00487085">
        <w:rPr>
          <w:noProof/>
        </w:rPr>
        <w:t>1</w:t>
      </w:r>
      <w:r>
        <w:fldChar w:fldCharType="end"/>
      </w:r>
      <w:bookmarkEnd w:id="16"/>
      <w:r>
        <w:t>. Proposed amendments and revocations in the revised C6 and the main reasons for the changes</w:t>
      </w:r>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003"/>
        <w:gridCol w:w="3644"/>
        <w:gridCol w:w="2432"/>
      </w:tblGrid>
      <w:tr w:rsidR="00916E00" w14:paraId="7CBD979A" w14:textId="77777777" w:rsidTr="00916E00">
        <w:trPr>
          <w:tblHeader/>
        </w:trPr>
        <w:tc>
          <w:tcPr>
            <w:tcW w:w="1240" w:type="pct"/>
            <w:tcBorders>
              <w:top w:val="nil"/>
              <w:left w:val="nil"/>
              <w:bottom w:val="nil"/>
              <w:right w:val="nil"/>
            </w:tcBorders>
            <w:shd w:val="clear" w:color="auto" w:fill="D9D9D9" w:themeFill="background1" w:themeFillShade="D9"/>
            <w:hideMark/>
          </w:tcPr>
          <w:p w14:paraId="46F6EDA9" w14:textId="77777777" w:rsidR="00916E00" w:rsidRDefault="00916E00">
            <w:pPr>
              <w:pStyle w:val="TableText"/>
              <w:rPr>
                <w:b/>
                <w:bCs/>
              </w:rPr>
            </w:pPr>
            <w:r>
              <w:rPr>
                <w:b/>
                <w:bCs/>
              </w:rPr>
              <w:t>Section or clause</w:t>
            </w:r>
          </w:p>
        </w:tc>
        <w:tc>
          <w:tcPr>
            <w:tcW w:w="2255" w:type="pct"/>
            <w:tcBorders>
              <w:top w:val="nil"/>
              <w:left w:val="nil"/>
              <w:bottom w:val="nil"/>
              <w:right w:val="nil"/>
            </w:tcBorders>
            <w:shd w:val="clear" w:color="auto" w:fill="D9D9D9" w:themeFill="background1" w:themeFillShade="D9"/>
            <w:hideMark/>
          </w:tcPr>
          <w:p w14:paraId="0A083FA5" w14:textId="77777777" w:rsidR="00916E00" w:rsidRDefault="00916E00">
            <w:pPr>
              <w:pStyle w:val="TableText"/>
              <w:rPr>
                <w:b/>
                <w:bCs/>
              </w:rPr>
            </w:pPr>
            <w:r>
              <w:rPr>
                <w:b/>
                <w:bCs/>
              </w:rPr>
              <w:t>Principal amendments and deletions</w:t>
            </w:r>
          </w:p>
        </w:tc>
        <w:tc>
          <w:tcPr>
            <w:tcW w:w="1505" w:type="pct"/>
            <w:tcBorders>
              <w:top w:val="nil"/>
              <w:left w:val="nil"/>
              <w:bottom w:val="nil"/>
              <w:right w:val="nil"/>
            </w:tcBorders>
            <w:shd w:val="clear" w:color="auto" w:fill="D9D9D9" w:themeFill="background1" w:themeFillShade="D9"/>
            <w:hideMark/>
          </w:tcPr>
          <w:p w14:paraId="797E48D9" w14:textId="77777777" w:rsidR="00916E00" w:rsidRDefault="00916E00">
            <w:pPr>
              <w:pStyle w:val="TableText"/>
              <w:rPr>
                <w:b/>
                <w:bCs/>
              </w:rPr>
            </w:pPr>
            <w:r>
              <w:rPr>
                <w:b/>
                <w:bCs/>
              </w:rPr>
              <w:t>Main reasons</w:t>
            </w:r>
          </w:p>
        </w:tc>
      </w:tr>
      <w:tr w:rsidR="00916E00" w14:paraId="4F4F509B" w14:textId="77777777" w:rsidTr="00916E00">
        <w:tc>
          <w:tcPr>
            <w:tcW w:w="1240" w:type="pct"/>
            <w:vMerge w:val="restart"/>
            <w:tcBorders>
              <w:top w:val="nil"/>
              <w:left w:val="nil"/>
              <w:bottom w:val="single" w:sz="4" w:space="0" w:color="A6A6A6" w:themeColor="background1" w:themeShade="A6"/>
              <w:right w:val="nil"/>
            </w:tcBorders>
            <w:vAlign w:val="center"/>
            <w:hideMark/>
          </w:tcPr>
          <w:p w14:paraId="106DE902" w14:textId="77777777" w:rsidR="00916E00" w:rsidRDefault="00916E00">
            <w:pPr>
              <w:pStyle w:val="TableText"/>
              <w:rPr>
                <w:b/>
                <w:bCs/>
                <w:sz w:val="20"/>
              </w:rPr>
            </w:pPr>
            <w:r>
              <w:rPr>
                <w:b/>
                <w:bCs/>
                <w:sz w:val="20"/>
              </w:rPr>
              <w:t>Purpose and commencement</w:t>
            </w:r>
          </w:p>
        </w:tc>
        <w:tc>
          <w:tcPr>
            <w:tcW w:w="2255" w:type="pct"/>
            <w:tcBorders>
              <w:top w:val="nil"/>
              <w:left w:val="nil"/>
              <w:bottom w:val="single" w:sz="4" w:space="0" w:color="A6A6A6" w:themeColor="background1" w:themeShade="A6"/>
              <w:right w:val="nil"/>
            </w:tcBorders>
            <w:hideMark/>
          </w:tcPr>
          <w:p w14:paraId="6390A128" w14:textId="77777777" w:rsidR="00916E00" w:rsidRDefault="00916E00">
            <w:pPr>
              <w:pStyle w:val="TableText"/>
            </w:pPr>
            <w:r>
              <w:t xml:space="preserve">The phrase ‘technical requirements necessary for a person who deals with’ has replaced ‘the operational information necessary’. </w:t>
            </w:r>
          </w:p>
        </w:tc>
        <w:tc>
          <w:tcPr>
            <w:tcW w:w="1505" w:type="pct"/>
            <w:tcBorders>
              <w:top w:val="nil"/>
              <w:left w:val="nil"/>
              <w:bottom w:val="single" w:sz="4" w:space="0" w:color="A6A6A6" w:themeColor="background1" w:themeShade="A6"/>
              <w:right w:val="nil"/>
            </w:tcBorders>
            <w:hideMark/>
          </w:tcPr>
          <w:p w14:paraId="3E83548C" w14:textId="77777777" w:rsidR="00916E00" w:rsidRDefault="00916E00">
            <w:pPr>
              <w:pStyle w:val="TableText"/>
            </w:pPr>
            <w:r>
              <w:t>Improved alignment with the Act.</w:t>
            </w:r>
          </w:p>
        </w:tc>
      </w:tr>
      <w:tr w:rsidR="00916E00" w14:paraId="407A4CE6" w14:textId="77777777" w:rsidTr="00916E00">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30D42AAB" w14:textId="77777777" w:rsidR="00916E00" w:rsidRDefault="00916E00">
            <w:pPr>
              <w:rPr>
                <w:b/>
                <w:bCs/>
                <w:sz w:val="20"/>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5675AC39" w14:textId="77777777" w:rsidR="00916E00" w:rsidRDefault="00916E00">
            <w:pPr>
              <w:pStyle w:val="TableText"/>
            </w:pPr>
            <w:r>
              <w:t xml:space="preserve">Reference to ‘sections 9 to 12’ of the Act has replaced the reference to ‘section 12’. </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7B5CF932" w14:textId="77777777" w:rsidR="00916E00" w:rsidRDefault="00916E00">
            <w:pPr>
              <w:pStyle w:val="TableText"/>
            </w:pPr>
            <w:r>
              <w:t>Improved alignment with the Act.</w:t>
            </w:r>
          </w:p>
          <w:p w14:paraId="38D0E1FC" w14:textId="2EC71455" w:rsidR="00916E00" w:rsidRDefault="00916E00">
            <w:pPr>
              <w:pStyle w:val="TableText"/>
            </w:pPr>
            <w:r>
              <w:t>Sections 9 to 11 of the Act apply to a person who ‘deals with’ a radiation source. Transport is an aspect of ‘deal with’.</w:t>
            </w:r>
          </w:p>
        </w:tc>
      </w:tr>
      <w:tr w:rsidR="00916E00" w14:paraId="13654B80" w14:textId="77777777" w:rsidTr="00916E00">
        <w:tc>
          <w:tcPr>
            <w:tcW w:w="1240" w:type="pct"/>
            <w:tcBorders>
              <w:top w:val="single" w:sz="4" w:space="0" w:color="A6A6A6" w:themeColor="background1" w:themeShade="A6"/>
              <w:left w:val="nil"/>
              <w:bottom w:val="nil"/>
              <w:right w:val="nil"/>
            </w:tcBorders>
            <w:vAlign w:val="center"/>
          </w:tcPr>
          <w:p w14:paraId="2EE4F0EB" w14:textId="77777777" w:rsidR="00916E00" w:rsidRDefault="00916E00">
            <w:pPr>
              <w:pStyle w:val="TableText"/>
              <w:rPr>
                <w:b/>
                <w:bCs/>
                <w:sz w:val="20"/>
              </w:rPr>
            </w:pPr>
          </w:p>
        </w:tc>
        <w:tc>
          <w:tcPr>
            <w:tcW w:w="2255" w:type="pct"/>
            <w:tcBorders>
              <w:top w:val="single" w:sz="4" w:space="0" w:color="A6A6A6" w:themeColor="background1" w:themeShade="A6"/>
              <w:left w:val="nil"/>
              <w:bottom w:val="single" w:sz="4" w:space="0" w:color="A6A6A6" w:themeColor="background1" w:themeShade="A6"/>
              <w:right w:val="nil"/>
            </w:tcBorders>
          </w:tcPr>
          <w:p w14:paraId="1FFB274A" w14:textId="5DD9F358" w:rsidR="00916E00" w:rsidRDefault="00916E00">
            <w:pPr>
              <w:pStyle w:val="TableText"/>
            </w:pPr>
            <w:r>
              <w:t xml:space="preserve">Reference to road, rail, sea and air and to what activities or practices are included in </w:t>
            </w:r>
            <w:r w:rsidR="00AA3EEB">
              <w:t xml:space="preserve">current </w:t>
            </w:r>
            <w:r>
              <w:t>C6 have been deleted.</w:t>
            </w:r>
          </w:p>
          <w:p w14:paraId="011EF30A" w14:textId="77777777" w:rsidR="00916E00" w:rsidRDefault="00916E00">
            <w:pPr>
              <w:pStyle w:val="TableText"/>
            </w:pP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1B5E801B" w14:textId="2B5B2B0F" w:rsidR="00916E00" w:rsidRDefault="00916E00">
            <w:pPr>
              <w:pStyle w:val="TableText"/>
            </w:pPr>
            <w:r>
              <w:t>Unnecessary as the interpretation of ‘transport’ that has been added</w:t>
            </w:r>
            <w:r w:rsidR="00A33355">
              <w:t>.</w:t>
            </w:r>
            <w:r>
              <w:t xml:space="preserve"> </w:t>
            </w:r>
          </w:p>
        </w:tc>
      </w:tr>
      <w:tr w:rsidR="00916E00" w14:paraId="4BBCE47A" w14:textId="77777777" w:rsidTr="00916E00">
        <w:tc>
          <w:tcPr>
            <w:tcW w:w="1240" w:type="pct"/>
            <w:vMerge w:val="restart"/>
            <w:tcBorders>
              <w:top w:val="nil"/>
              <w:left w:val="nil"/>
              <w:bottom w:val="single" w:sz="4" w:space="0" w:color="A6A6A6" w:themeColor="background1" w:themeShade="A6"/>
              <w:right w:val="nil"/>
            </w:tcBorders>
            <w:vAlign w:val="center"/>
            <w:hideMark/>
          </w:tcPr>
          <w:p w14:paraId="300E3B9D" w14:textId="77777777" w:rsidR="00916E00" w:rsidRDefault="00916E00">
            <w:pPr>
              <w:pStyle w:val="TableText"/>
              <w:rPr>
                <w:b/>
                <w:bCs/>
                <w:sz w:val="20"/>
              </w:rPr>
            </w:pPr>
            <w:r>
              <w:rPr>
                <w:b/>
                <w:bCs/>
                <w:sz w:val="20"/>
              </w:rPr>
              <w:t>Scope</w:t>
            </w: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2D11CA85" w14:textId="77777777" w:rsidR="00916E00" w:rsidRDefault="00916E00">
            <w:pPr>
              <w:pStyle w:val="TableText"/>
            </w:pPr>
            <w:r>
              <w:t>A reference to the Act’s interpretation of ‘transport’ has been added.</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1E930F4C" w14:textId="77777777" w:rsidR="00916E00" w:rsidRDefault="00916E00">
            <w:pPr>
              <w:pStyle w:val="TableText"/>
            </w:pPr>
            <w:r>
              <w:t>Improved alignment with the Act.</w:t>
            </w:r>
          </w:p>
          <w:p w14:paraId="0ABE9092" w14:textId="77777777" w:rsidR="00916E00" w:rsidRDefault="00916E00">
            <w:pPr>
              <w:pStyle w:val="TableText"/>
            </w:pPr>
            <w:r>
              <w:t>Clearer statement of requirements.</w:t>
            </w:r>
          </w:p>
        </w:tc>
      </w:tr>
      <w:tr w:rsidR="00916E00" w14:paraId="22EB29A8" w14:textId="77777777" w:rsidTr="00916E00">
        <w:tc>
          <w:tcPr>
            <w:tcW w:w="0" w:type="auto"/>
            <w:vMerge/>
            <w:tcBorders>
              <w:top w:val="nil"/>
              <w:left w:val="nil"/>
              <w:bottom w:val="single" w:sz="4" w:space="0" w:color="A6A6A6" w:themeColor="background1" w:themeShade="A6"/>
              <w:right w:val="nil"/>
            </w:tcBorders>
            <w:vAlign w:val="center"/>
            <w:hideMark/>
          </w:tcPr>
          <w:p w14:paraId="2895FDB1" w14:textId="77777777" w:rsidR="00916E00" w:rsidRDefault="00916E00">
            <w:pPr>
              <w:rPr>
                <w:b/>
                <w:bCs/>
                <w:sz w:val="20"/>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1D323789" w14:textId="293F4D6E" w:rsidR="00916E00" w:rsidRDefault="002579DE">
            <w:pPr>
              <w:pStyle w:val="TableText"/>
            </w:pPr>
            <w:r>
              <w:t>R</w:t>
            </w:r>
            <w:r w:rsidR="00916E00">
              <w:t>eference</w:t>
            </w:r>
            <w:r>
              <w:t>s</w:t>
            </w:r>
            <w:r w:rsidR="00916E00">
              <w:t xml:space="preserve"> to ‘deal with’ including a </w:t>
            </w:r>
            <w:r w:rsidR="00B052C0">
              <w:t xml:space="preserve">carrier, consignee and </w:t>
            </w:r>
            <w:r w:rsidR="00916E00">
              <w:t>consignor</w:t>
            </w:r>
            <w:r w:rsidR="00B052C0">
              <w:t xml:space="preserve"> </w:t>
            </w:r>
            <w:r w:rsidR="00916E00">
              <w:t>ha</w:t>
            </w:r>
            <w:r>
              <w:t>ve</w:t>
            </w:r>
            <w:r w:rsidR="00916E00">
              <w:t xml:space="preserve"> been added.</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2A893A25" w14:textId="77777777" w:rsidR="00916E00" w:rsidRDefault="00916E00">
            <w:pPr>
              <w:pStyle w:val="TableText"/>
            </w:pPr>
            <w:r>
              <w:t>Improved alignment with the Act.</w:t>
            </w:r>
          </w:p>
          <w:p w14:paraId="6D8859D5" w14:textId="567EEAD0" w:rsidR="00916E00" w:rsidRDefault="00916E00">
            <w:pPr>
              <w:pStyle w:val="TableText"/>
            </w:pPr>
            <w:r>
              <w:t xml:space="preserve">Determined by the Director following </w:t>
            </w:r>
            <w:hyperlink r:id="rId33" w:history="1">
              <w:r>
                <w:rPr>
                  <w:rStyle w:val="Hyperlink"/>
                </w:rPr>
                <w:t>section 5</w:t>
              </w:r>
            </w:hyperlink>
            <w:r>
              <w:t xml:space="preserve"> of the Act. This section includes a</w:t>
            </w:r>
            <w:r w:rsidR="002579DE">
              <w:t>n</w:t>
            </w:r>
            <w:r>
              <w:t xml:space="preserve"> </w:t>
            </w:r>
            <w:r w:rsidR="002579DE">
              <w:t xml:space="preserve">interpretation </w:t>
            </w:r>
            <w:r>
              <w:t>of ‘deal with</w:t>
            </w:r>
            <w:r w:rsidR="002579DE">
              <w:t xml:space="preserve">’ that </w:t>
            </w:r>
            <w:r>
              <w:t>includ</w:t>
            </w:r>
            <w:r w:rsidR="002579DE">
              <w:t>es</w:t>
            </w:r>
            <w:r>
              <w:t xml:space="preserve"> ‘to carry out any other activity or practice involving the radiation source’.</w:t>
            </w:r>
          </w:p>
        </w:tc>
      </w:tr>
      <w:tr w:rsidR="00916E00" w14:paraId="2C471172" w14:textId="77777777" w:rsidTr="00916E00">
        <w:tc>
          <w:tcPr>
            <w:tcW w:w="0" w:type="auto"/>
            <w:vMerge/>
            <w:tcBorders>
              <w:top w:val="nil"/>
              <w:left w:val="nil"/>
              <w:bottom w:val="single" w:sz="4" w:space="0" w:color="A6A6A6" w:themeColor="background1" w:themeShade="A6"/>
              <w:right w:val="nil"/>
            </w:tcBorders>
            <w:vAlign w:val="center"/>
            <w:hideMark/>
          </w:tcPr>
          <w:p w14:paraId="32A9CD73" w14:textId="77777777" w:rsidR="00916E00" w:rsidRDefault="00916E00">
            <w:pPr>
              <w:rPr>
                <w:b/>
                <w:bCs/>
                <w:sz w:val="20"/>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373B9031" w14:textId="47ED1364" w:rsidR="00916E00" w:rsidRDefault="002579DE">
            <w:pPr>
              <w:pStyle w:val="TableText"/>
            </w:pPr>
            <w:r>
              <w:t>R</w:t>
            </w:r>
            <w:r w:rsidR="00916E00">
              <w:t>eference</w:t>
            </w:r>
            <w:r>
              <w:t>s</w:t>
            </w:r>
            <w:r w:rsidR="00916E00">
              <w:t xml:space="preserve"> to the incorporation of material by reference of applicable New Zealand requirements and the International Atomic Energy Agency (IAEA) transport </w:t>
            </w:r>
            <w:r w:rsidR="00354CEB">
              <w:t>regulations have</w:t>
            </w:r>
            <w:r w:rsidR="00916E00">
              <w:t xml:space="preserve"> been added.</w:t>
            </w:r>
          </w:p>
          <w:p w14:paraId="0317725C" w14:textId="77777777" w:rsidR="00916E00" w:rsidRDefault="00916E00">
            <w:pPr>
              <w:pStyle w:val="TableText"/>
            </w:pPr>
            <w:r>
              <w:t>These two terms are included in the list of interpretations.</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358ADCA2" w14:textId="155B687A" w:rsidR="00916E00" w:rsidRDefault="00916E00">
            <w:pPr>
              <w:pStyle w:val="TableText"/>
            </w:pPr>
            <w:r>
              <w:t xml:space="preserve">The </w:t>
            </w:r>
            <w:r w:rsidR="002579DE">
              <w:t xml:space="preserve">interpretation </w:t>
            </w:r>
            <w:r>
              <w:t xml:space="preserve">of ‘by reference’ is </w:t>
            </w:r>
            <w:r w:rsidR="002579DE">
              <w:t xml:space="preserve">given in </w:t>
            </w:r>
            <w:r>
              <w:t xml:space="preserve"> </w:t>
            </w:r>
            <w:hyperlink r:id="rId34" w:history="1">
              <w:r>
                <w:rPr>
                  <w:rStyle w:val="Hyperlink"/>
                </w:rPr>
                <w:t>section 64</w:t>
              </w:r>
            </w:hyperlink>
            <w:r>
              <w:t xml:space="preserve"> of the Legislation Act 2019. </w:t>
            </w:r>
          </w:p>
          <w:p w14:paraId="2B3F08F3" w14:textId="3BB76B6A" w:rsidR="00916E00" w:rsidRDefault="00916E00">
            <w:pPr>
              <w:pStyle w:val="TableText"/>
            </w:pPr>
            <w:r>
              <w:t xml:space="preserve">Refer to </w:t>
            </w:r>
            <w:r w:rsidR="00CA2B99" w:rsidRPr="00CA2B99">
              <w:rPr>
                <w:b/>
                <w:bCs/>
              </w:rPr>
              <w:t>n</w:t>
            </w:r>
            <w:r>
              <w:rPr>
                <w:b/>
                <w:bCs/>
              </w:rPr>
              <w:t>ote 1</w:t>
            </w:r>
            <w:r>
              <w:t>.</w:t>
            </w:r>
          </w:p>
        </w:tc>
      </w:tr>
      <w:tr w:rsidR="00916E00" w14:paraId="1443E5D5" w14:textId="77777777" w:rsidTr="00916E00">
        <w:tc>
          <w:tcPr>
            <w:tcW w:w="0" w:type="auto"/>
            <w:vMerge/>
            <w:tcBorders>
              <w:top w:val="nil"/>
              <w:left w:val="nil"/>
              <w:bottom w:val="single" w:sz="4" w:space="0" w:color="A6A6A6" w:themeColor="background1" w:themeShade="A6"/>
              <w:right w:val="nil"/>
            </w:tcBorders>
            <w:vAlign w:val="center"/>
            <w:hideMark/>
          </w:tcPr>
          <w:p w14:paraId="3D74FA9C" w14:textId="77777777" w:rsidR="00916E00" w:rsidRDefault="00916E00">
            <w:pPr>
              <w:rPr>
                <w:b/>
                <w:bCs/>
                <w:sz w:val="20"/>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4BBF155A" w14:textId="77777777" w:rsidR="00916E00" w:rsidRDefault="00916E00">
            <w:pPr>
              <w:pStyle w:val="TableText"/>
            </w:pPr>
            <w:r>
              <w:t>A paragraph has been added stating that the fundamental requirements listed in the Act apply to e</w:t>
            </w:r>
            <w:r>
              <w:rPr>
                <w:shd w:val="clear" w:color="auto" w:fill="FFFFFF"/>
              </w:rPr>
              <w:t>very person who deals with a radiation source</w:t>
            </w:r>
            <w:r>
              <w:t xml:space="preserve">. </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7CA2FFFF" w14:textId="0E8E0D4A" w:rsidR="00916E00" w:rsidRDefault="00916E00">
            <w:pPr>
              <w:pStyle w:val="TableText"/>
            </w:pPr>
            <w:r>
              <w:t>To avoid doubt.</w:t>
            </w:r>
          </w:p>
        </w:tc>
      </w:tr>
      <w:tr w:rsidR="00916E00" w14:paraId="6E91938A" w14:textId="77777777" w:rsidTr="00916E00">
        <w:tc>
          <w:tcPr>
            <w:tcW w:w="1240" w:type="pct"/>
            <w:tcBorders>
              <w:top w:val="single" w:sz="4" w:space="0" w:color="A6A6A6" w:themeColor="background1" w:themeShade="A6"/>
              <w:left w:val="nil"/>
              <w:bottom w:val="single" w:sz="4" w:space="0" w:color="A6A6A6" w:themeColor="background1" w:themeShade="A6"/>
              <w:right w:val="nil"/>
            </w:tcBorders>
            <w:vAlign w:val="center"/>
            <w:hideMark/>
          </w:tcPr>
          <w:p w14:paraId="0BD4CA2A" w14:textId="77777777" w:rsidR="00916E00" w:rsidRDefault="00916E00">
            <w:pPr>
              <w:pStyle w:val="TableText"/>
              <w:rPr>
                <w:rFonts w:cs="Segoe UI"/>
                <w:b/>
                <w:bCs/>
                <w:sz w:val="20"/>
              </w:rPr>
            </w:pPr>
            <w:r>
              <w:rPr>
                <w:rFonts w:cs="Segoe UI"/>
                <w:b/>
                <w:bCs/>
                <w:sz w:val="20"/>
              </w:rPr>
              <w:t>Contact</w:t>
            </w: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7D5C600E" w14:textId="77777777" w:rsidR="00916E00" w:rsidRDefault="00916E00">
            <w:pPr>
              <w:pStyle w:val="TableText"/>
            </w:pPr>
            <w:r>
              <w:t>This section has been deleted.</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5BDDFF22" w14:textId="77777777" w:rsidR="00916E00" w:rsidRDefault="00916E00">
            <w:pPr>
              <w:pStyle w:val="TableText"/>
            </w:pPr>
            <w:r>
              <w:t>This information is most reliably accessed through the Ministry’s website.</w:t>
            </w:r>
          </w:p>
        </w:tc>
      </w:tr>
      <w:tr w:rsidR="00916E00" w14:paraId="3D0350BC" w14:textId="77777777" w:rsidTr="00916E00">
        <w:tc>
          <w:tcPr>
            <w:tcW w:w="1240" w:type="pct"/>
            <w:vMerge w:val="restart"/>
            <w:tcBorders>
              <w:top w:val="single" w:sz="4" w:space="0" w:color="A6A6A6" w:themeColor="background1" w:themeShade="A6"/>
              <w:left w:val="nil"/>
              <w:bottom w:val="single" w:sz="4" w:space="0" w:color="A6A6A6" w:themeColor="background1" w:themeShade="A6"/>
              <w:right w:val="nil"/>
            </w:tcBorders>
            <w:vAlign w:val="center"/>
            <w:hideMark/>
          </w:tcPr>
          <w:p w14:paraId="61D60D51" w14:textId="77777777" w:rsidR="00916E00" w:rsidRDefault="00916E00">
            <w:pPr>
              <w:pStyle w:val="TableText"/>
              <w:rPr>
                <w:rFonts w:cs="Segoe UI"/>
                <w:b/>
                <w:bCs/>
                <w:sz w:val="20"/>
              </w:rPr>
            </w:pPr>
            <w:r>
              <w:rPr>
                <w:rFonts w:cs="Segoe UI"/>
                <w:b/>
                <w:bCs/>
                <w:sz w:val="20"/>
              </w:rPr>
              <w:lastRenderedPageBreak/>
              <w:t>Roles and responsibilities</w:t>
            </w: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6BC9C3C0" w14:textId="77777777" w:rsidR="00916E00" w:rsidRDefault="00916E00">
            <w:pPr>
              <w:pStyle w:val="TableText"/>
            </w:pPr>
            <w:r>
              <w:t>The phrase ‘roles and responsibilities’ has replaced ‘key roles’.</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36678919" w14:textId="77777777" w:rsidR="00916E00" w:rsidRDefault="00916E00">
            <w:pPr>
              <w:pStyle w:val="TableText"/>
            </w:pPr>
            <w:r>
              <w:t>Clearer statement of requirements.</w:t>
            </w:r>
          </w:p>
        </w:tc>
      </w:tr>
      <w:tr w:rsidR="00916E00" w14:paraId="0C6BD34D" w14:textId="77777777" w:rsidTr="00916E00">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433D0F2B" w14:textId="77777777" w:rsidR="00916E00" w:rsidRDefault="00916E00">
            <w:pPr>
              <w:rPr>
                <w:rFonts w:cs="Segoe UI"/>
                <w:b/>
                <w:bCs/>
                <w:sz w:val="20"/>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187BBA6B" w14:textId="77777777" w:rsidR="00916E00" w:rsidRDefault="00916E00">
            <w:pPr>
              <w:pStyle w:val="TableText"/>
            </w:pPr>
            <w:r>
              <w:t xml:space="preserve">References to ‘organisation’ or ‘government’ have been removed. </w:t>
            </w:r>
          </w:p>
          <w:p w14:paraId="5DAB4D85" w14:textId="52264BBB" w:rsidR="00916E00" w:rsidRDefault="00916E00">
            <w:pPr>
              <w:pStyle w:val="TableText"/>
            </w:pPr>
            <w:r>
              <w:t>The term ‘person’ has been added to the interpretation</w:t>
            </w:r>
            <w:r w:rsidR="002579DE">
              <w:t>.</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0FC9DF6E" w14:textId="77777777" w:rsidR="00916E00" w:rsidRDefault="00916E00">
            <w:pPr>
              <w:pStyle w:val="TableText"/>
            </w:pPr>
            <w:r>
              <w:t>Improved alignment with the Act.</w:t>
            </w:r>
          </w:p>
          <w:p w14:paraId="4E8D38F4" w14:textId="34216C73" w:rsidR="00916E00" w:rsidRDefault="00916E00">
            <w:pPr>
              <w:pStyle w:val="TableText"/>
            </w:pPr>
            <w:r>
              <w:t xml:space="preserve">The </w:t>
            </w:r>
            <w:r w:rsidR="005D3E70">
              <w:t xml:space="preserve">interpretation </w:t>
            </w:r>
            <w:r>
              <w:t xml:space="preserve">of ‘person’, is </w:t>
            </w:r>
            <w:r w:rsidR="005D3E70">
              <w:t xml:space="preserve">given in </w:t>
            </w:r>
            <w:hyperlink r:id="rId35" w:history="1">
              <w:r>
                <w:rPr>
                  <w:rStyle w:val="Hyperlink"/>
                </w:rPr>
                <w:t>section 13</w:t>
              </w:r>
            </w:hyperlink>
            <w:r>
              <w:t xml:space="preserve"> of the Legislation Act 2019.</w:t>
            </w:r>
          </w:p>
          <w:p w14:paraId="1ACED91C" w14:textId="77777777" w:rsidR="00916E00" w:rsidRDefault="00000000">
            <w:pPr>
              <w:pStyle w:val="TableText"/>
            </w:pPr>
            <w:hyperlink r:id="rId36" w:history="1">
              <w:r w:rsidR="00916E00">
                <w:rPr>
                  <w:rStyle w:val="Hyperlink"/>
                </w:rPr>
                <w:t>Section 6</w:t>
              </w:r>
            </w:hyperlink>
            <w:r w:rsidR="00916E00">
              <w:t xml:space="preserve"> of the Act binds the Crown.</w:t>
            </w:r>
          </w:p>
        </w:tc>
      </w:tr>
      <w:tr w:rsidR="00916E00" w14:paraId="0869A4E8" w14:textId="77777777" w:rsidTr="00916E00">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1F95F96E" w14:textId="77777777" w:rsidR="00916E00" w:rsidRDefault="00916E00">
            <w:pPr>
              <w:rPr>
                <w:rFonts w:cs="Segoe UI"/>
                <w:b/>
                <w:bCs/>
                <w:sz w:val="20"/>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578EBD3D" w14:textId="47F230CA" w:rsidR="00916E00" w:rsidRDefault="00916E00">
            <w:pPr>
              <w:pStyle w:val="TableText"/>
            </w:pPr>
            <w:r>
              <w:t xml:space="preserve">The Ministry is identified in the revised C6 to be the competent authority in relation to the IAEA transport regulations </w:t>
            </w:r>
            <w:r w:rsidR="00354CEB">
              <w:t>and</w:t>
            </w:r>
            <w:r>
              <w:t xml:space="preserve"> has replaced the Office of Radiation Safety (ORS).</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19FEA38E" w14:textId="77777777" w:rsidR="00916E00" w:rsidRDefault="00916E00">
            <w:pPr>
              <w:pStyle w:val="TableText"/>
            </w:pPr>
            <w:r>
              <w:t>Improved alignment with the Act.</w:t>
            </w:r>
          </w:p>
          <w:p w14:paraId="58D5429F" w14:textId="77777777" w:rsidR="00916E00" w:rsidRDefault="00916E00">
            <w:pPr>
              <w:pStyle w:val="TableText"/>
            </w:pPr>
            <w:r>
              <w:t>This recognises that the ORS is not a legally constituted authority in New Zealand and that the Ministry is the regulatory body.</w:t>
            </w:r>
          </w:p>
        </w:tc>
      </w:tr>
      <w:tr w:rsidR="00916E00" w14:paraId="42A6D024" w14:textId="77777777" w:rsidTr="00916E00">
        <w:tc>
          <w:tcPr>
            <w:tcW w:w="1240" w:type="pct"/>
            <w:vMerge w:val="restart"/>
            <w:tcBorders>
              <w:top w:val="single" w:sz="4" w:space="0" w:color="A6A6A6" w:themeColor="background1" w:themeShade="A6"/>
              <w:left w:val="nil"/>
              <w:bottom w:val="single" w:sz="4" w:space="0" w:color="A6A6A6" w:themeColor="background1" w:themeShade="A6"/>
              <w:right w:val="nil"/>
            </w:tcBorders>
            <w:vAlign w:val="center"/>
            <w:hideMark/>
          </w:tcPr>
          <w:p w14:paraId="57E81546" w14:textId="77777777" w:rsidR="00916E00" w:rsidRDefault="00916E00">
            <w:pPr>
              <w:pStyle w:val="TableText"/>
              <w:rPr>
                <w:b/>
                <w:bCs/>
              </w:rPr>
            </w:pPr>
            <w:r>
              <w:rPr>
                <w:b/>
                <w:bCs/>
              </w:rPr>
              <w:t>Interpretation</w:t>
            </w: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7D84F2B8" w14:textId="77777777" w:rsidR="00916E00" w:rsidRDefault="00916E00">
            <w:pPr>
              <w:pStyle w:val="TableText"/>
            </w:pPr>
            <w:r>
              <w:t>The term ‘consignment’ has been added.</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70608A4E" w14:textId="77777777" w:rsidR="00916E00" w:rsidRDefault="00916E00">
            <w:pPr>
              <w:pStyle w:val="TableText"/>
            </w:pPr>
            <w:r>
              <w:t>Clearer statement of requirements.</w:t>
            </w:r>
          </w:p>
        </w:tc>
      </w:tr>
      <w:tr w:rsidR="00916E00" w14:paraId="5EAD1BC1" w14:textId="77777777" w:rsidTr="00916E00">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148BCE05" w14:textId="77777777" w:rsidR="00916E00" w:rsidRDefault="00916E00">
            <w:pPr>
              <w:rPr>
                <w:b/>
                <w:bCs/>
                <w:sz w:val="18"/>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526B6098" w14:textId="77777777" w:rsidR="00916E00" w:rsidRDefault="00916E00">
            <w:pPr>
              <w:pStyle w:val="TableText"/>
            </w:pPr>
            <w:r>
              <w:t>The term ‘transport’ has been added.</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7C658BB2" w14:textId="77777777" w:rsidR="00916E00" w:rsidRDefault="00916E00">
            <w:pPr>
              <w:pStyle w:val="TableText"/>
            </w:pPr>
            <w:r>
              <w:t>Clearer statement of requirements.</w:t>
            </w:r>
          </w:p>
        </w:tc>
      </w:tr>
      <w:tr w:rsidR="00916E00" w14:paraId="420690AE" w14:textId="77777777" w:rsidTr="00916E00">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320EB120" w14:textId="77777777" w:rsidR="00916E00" w:rsidRDefault="00916E00">
            <w:pPr>
              <w:rPr>
                <w:b/>
                <w:bCs/>
                <w:sz w:val="18"/>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78ADF5AF" w14:textId="77777777" w:rsidR="00916E00" w:rsidRDefault="00916E00">
            <w:pPr>
              <w:pStyle w:val="TableText"/>
            </w:pPr>
            <w:r>
              <w:t>The terms ‘LSA-I material’, ‘SCO-I’, ‘SCO-III’ and ‘UN number’ have been deleted.</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44B72B57" w14:textId="77777777" w:rsidR="00916E00" w:rsidRDefault="00916E00">
            <w:pPr>
              <w:pStyle w:val="TableText"/>
            </w:pPr>
            <w:r>
              <w:t>The revised C6 does not use these terms.</w:t>
            </w:r>
          </w:p>
        </w:tc>
      </w:tr>
      <w:tr w:rsidR="00916E00" w14:paraId="1C9018C5" w14:textId="77777777" w:rsidTr="00916E00">
        <w:tc>
          <w:tcPr>
            <w:tcW w:w="1240" w:type="pct"/>
            <w:vMerge w:val="restart"/>
            <w:tcBorders>
              <w:top w:val="single" w:sz="4" w:space="0" w:color="A6A6A6" w:themeColor="background1" w:themeShade="A6"/>
              <w:left w:val="nil"/>
              <w:bottom w:val="single" w:sz="4" w:space="0" w:color="A6A6A6" w:themeColor="background1" w:themeShade="A6"/>
              <w:right w:val="nil"/>
            </w:tcBorders>
            <w:vAlign w:val="center"/>
            <w:hideMark/>
          </w:tcPr>
          <w:p w14:paraId="10E94884" w14:textId="77777777" w:rsidR="00916E00" w:rsidRDefault="00916E00">
            <w:pPr>
              <w:pStyle w:val="TableText"/>
              <w:rPr>
                <w:b/>
                <w:bCs/>
              </w:rPr>
            </w:pPr>
            <w:r>
              <w:rPr>
                <w:b/>
                <w:bCs/>
              </w:rPr>
              <w:t>Clauses 1, 2 and 3</w:t>
            </w: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608FB99B" w14:textId="77777777" w:rsidR="00916E00" w:rsidRDefault="00916E00">
            <w:pPr>
              <w:pStyle w:val="TableText"/>
            </w:pPr>
            <w:r>
              <w:t xml:space="preserve">The term ‘requirements’ has replaced the term ‘obligations’. </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04D05E5B" w14:textId="77777777" w:rsidR="00916E00" w:rsidRDefault="00916E00">
            <w:pPr>
              <w:pStyle w:val="TableText"/>
            </w:pPr>
            <w:r>
              <w:t>Improved alignment with the Act.</w:t>
            </w:r>
          </w:p>
          <w:p w14:paraId="48C083E1" w14:textId="77777777" w:rsidR="00916E00" w:rsidRDefault="00916E00">
            <w:pPr>
              <w:pStyle w:val="TableText"/>
            </w:pPr>
            <w:r>
              <w:t>Clearer statement of requirements.</w:t>
            </w:r>
          </w:p>
        </w:tc>
      </w:tr>
      <w:tr w:rsidR="00916E00" w14:paraId="17EF4800" w14:textId="77777777" w:rsidTr="00916E00">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5F1302B9" w14:textId="77777777" w:rsidR="00916E00" w:rsidRDefault="00916E00">
            <w:pPr>
              <w:rPr>
                <w:b/>
                <w:bCs/>
                <w:sz w:val="18"/>
              </w:rPr>
            </w:pP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775C6625" w14:textId="7DE4F838" w:rsidR="00916E00" w:rsidRDefault="00916E00">
            <w:pPr>
              <w:pStyle w:val="TableText"/>
            </w:pPr>
            <w:r>
              <w:t>References to paragraphs of the IAEA transport regulations have been deleted.</w:t>
            </w:r>
          </w:p>
          <w:p w14:paraId="2EC78BB5" w14:textId="77777777" w:rsidR="00916E00" w:rsidRDefault="00916E00">
            <w:pPr>
              <w:pStyle w:val="TableText"/>
            </w:pPr>
            <w:r>
              <w:t>A requirement to comply with applicable New Zealand requirements has been added.</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384778BE" w14:textId="77777777" w:rsidR="00916E00" w:rsidRDefault="00916E00">
            <w:pPr>
              <w:pStyle w:val="TableText"/>
            </w:pPr>
            <w:r>
              <w:t>Clearer statement of requirements.</w:t>
            </w:r>
          </w:p>
          <w:p w14:paraId="28EFF0A2" w14:textId="1D6732D3" w:rsidR="00916E00" w:rsidRDefault="00916E00">
            <w:pPr>
              <w:pStyle w:val="TableText"/>
            </w:pPr>
            <w:r>
              <w:t xml:space="preserve">Refer to </w:t>
            </w:r>
            <w:r w:rsidR="00CA2B99" w:rsidRPr="00CA2B99">
              <w:rPr>
                <w:b/>
                <w:bCs/>
              </w:rPr>
              <w:t>n</w:t>
            </w:r>
            <w:r>
              <w:rPr>
                <w:b/>
                <w:bCs/>
              </w:rPr>
              <w:t>ote 2</w:t>
            </w:r>
            <w:r>
              <w:t>.</w:t>
            </w:r>
          </w:p>
        </w:tc>
      </w:tr>
      <w:tr w:rsidR="00916E00" w14:paraId="40235F39" w14:textId="77777777" w:rsidTr="00916E00">
        <w:tc>
          <w:tcPr>
            <w:tcW w:w="1240" w:type="pct"/>
            <w:tcBorders>
              <w:top w:val="single" w:sz="4" w:space="0" w:color="A6A6A6" w:themeColor="background1" w:themeShade="A6"/>
              <w:left w:val="nil"/>
              <w:bottom w:val="single" w:sz="4" w:space="0" w:color="A6A6A6" w:themeColor="background1" w:themeShade="A6"/>
              <w:right w:val="nil"/>
            </w:tcBorders>
            <w:vAlign w:val="center"/>
            <w:hideMark/>
          </w:tcPr>
          <w:p w14:paraId="51A9F6F9" w14:textId="77777777" w:rsidR="00916E00" w:rsidRDefault="00916E00">
            <w:pPr>
              <w:pStyle w:val="TableText"/>
              <w:rPr>
                <w:b/>
                <w:bCs/>
              </w:rPr>
            </w:pPr>
            <w:r>
              <w:rPr>
                <w:b/>
                <w:bCs/>
              </w:rPr>
              <w:t>Clause 2</w:t>
            </w:r>
          </w:p>
        </w:tc>
        <w:tc>
          <w:tcPr>
            <w:tcW w:w="2255" w:type="pct"/>
            <w:tcBorders>
              <w:top w:val="single" w:sz="4" w:space="0" w:color="A6A6A6" w:themeColor="background1" w:themeShade="A6"/>
              <w:left w:val="nil"/>
              <w:bottom w:val="single" w:sz="4" w:space="0" w:color="A6A6A6" w:themeColor="background1" w:themeShade="A6"/>
              <w:right w:val="nil"/>
            </w:tcBorders>
            <w:hideMark/>
          </w:tcPr>
          <w:p w14:paraId="00749989" w14:textId="77777777" w:rsidR="00916E00" w:rsidRDefault="00916E00">
            <w:pPr>
              <w:pStyle w:val="TableText"/>
            </w:pPr>
            <w:r>
              <w:t xml:space="preserve">Clauses 2(b) to (c) have been deleted. </w:t>
            </w:r>
          </w:p>
        </w:tc>
        <w:tc>
          <w:tcPr>
            <w:tcW w:w="1505" w:type="pct"/>
            <w:tcBorders>
              <w:top w:val="single" w:sz="4" w:space="0" w:color="A6A6A6" w:themeColor="background1" w:themeShade="A6"/>
              <w:left w:val="nil"/>
              <w:bottom w:val="single" w:sz="4" w:space="0" w:color="A6A6A6" w:themeColor="background1" w:themeShade="A6"/>
              <w:right w:val="nil"/>
            </w:tcBorders>
            <w:hideMark/>
          </w:tcPr>
          <w:p w14:paraId="1432BF8A" w14:textId="77777777" w:rsidR="00916E00" w:rsidRDefault="00916E00">
            <w:pPr>
              <w:pStyle w:val="TableText"/>
            </w:pPr>
            <w:r>
              <w:t>Clearer statement of requirements.</w:t>
            </w:r>
          </w:p>
          <w:p w14:paraId="79EACF65" w14:textId="23C8FE55" w:rsidR="00916E00" w:rsidRDefault="00916E00">
            <w:pPr>
              <w:pStyle w:val="TableText"/>
            </w:pPr>
            <w:r>
              <w:t xml:space="preserve">Refer to </w:t>
            </w:r>
            <w:r w:rsidR="00CA2B99">
              <w:rPr>
                <w:b/>
                <w:bCs/>
              </w:rPr>
              <w:t>n</w:t>
            </w:r>
            <w:r>
              <w:rPr>
                <w:b/>
                <w:bCs/>
              </w:rPr>
              <w:t>ote 2</w:t>
            </w:r>
            <w:r>
              <w:t>.</w:t>
            </w:r>
          </w:p>
        </w:tc>
      </w:tr>
    </w:tbl>
    <w:p w14:paraId="2808E3CD" w14:textId="77777777" w:rsidR="00916E00" w:rsidRDefault="00916E00" w:rsidP="00916E00"/>
    <w:p w14:paraId="7817FDFF" w14:textId="77777777" w:rsidR="00916E00" w:rsidRDefault="00916E00" w:rsidP="00916E00">
      <w:pPr>
        <w:rPr>
          <w:b/>
          <w:bCs/>
        </w:rPr>
      </w:pPr>
      <w:r>
        <w:rPr>
          <w:b/>
          <w:bCs/>
        </w:rPr>
        <w:t>Note 1</w:t>
      </w:r>
    </w:p>
    <w:p w14:paraId="4B780743" w14:textId="5785AC7A" w:rsidR="00916E00" w:rsidRDefault="00916E00" w:rsidP="00916E00">
      <w:r>
        <w:t xml:space="preserve">The revised C6 is the only currently issued code of practice that incorporates material by reference. This is under </w:t>
      </w:r>
      <w:hyperlink r:id="rId37" w:history="1">
        <w:r>
          <w:rPr>
            <w:rStyle w:val="Hyperlink"/>
          </w:rPr>
          <w:t>section 64</w:t>
        </w:r>
      </w:hyperlink>
      <w:r>
        <w:t xml:space="preserve"> of the Legislation Act 2019. This is because transport involves the movement of radioactive material across national boundaries and the International Atomic Energy Agency’s (IAEA) transport regulations represent an international consensus on how such movement must be conducted.</w:t>
      </w:r>
    </w:p>
    <w:p w14:paraId="56BB7745" w14:textId="77777777" w:rsidR="00916E00" w:rsidRDefault="00916E00" w:rsidP="00916E00"/>
    <w:p w14:paraId="70DB7B6A" w14:textId="2C446C4A" w:rsidR="00916E00" w:rsidRDefault="00916E00" w:rsidP="00916E00">
      <w:r>
        <w:lastRenderedPageBreak/>
        <w:t>The revised C6 incorporates the IAEA transport regulations in full, except for where New Zealand specific requirements apply. For instance, for the display of warning notices under the Land Transport Rule: Dangerous Goods 2005, rule 45001/1.</w:t>
      </w:r>
    </w:p>
    <w:p w14:paraId="2F1A7A2F" w14:textId="77777777" w:rsidR="00916E00" w:rsidRDefault="00916E00" w:rsidP="00916E00">
      <w:pPr>
        <w:rPr>
          <w:b/>
          <w:bCs/>
        </w:rPr>
      </w:pPr>
    </w:p>
    <w:p w14:paraId="25CE2D79" w14:textId="77777777" w:rsidR="00916E00" w:rsidRDefault="00916E00" w:rsidP="00916E00">
      <w:r>
        <w:rPr>
          <w:b/>
          <w:bCs/>
        </w:rPr>
        <w:t>Note 2</w:t>
      </w:r>
    </w:p>
    <w:p w14:paraId="71B350F9" w14:textId="77777777" w:rsidR="00916E00" w:rsidRDefault="00916E00" w:rsidP="00916E00">
      <w:r>
        <w:t>References to paragraphs and the reproduction of requirements of material incorporated by reference have been deleted in the revised C6. This is to improve clarity. The Director intends to provide guidance on the Ministry’s website to support the correct application of these requirements.</w:t>
      </w:r>
    </w:p>
    <w:p w14:paraId="07364E61" w14:textId="77777777" w:rsidR="00916E00" w:rsidRDefault="00916E00" w:rsidP="00916E00"/>
    <w:p w14:paraId="4969A4B2" w14:textId="77777777" w:rsidR="00916E00" w:rsidRDefault="00916E00" w:rsidP="00916E00">
      <w:r>
        <w:t xml:space="preserve">Under </w:t>
      </w:r>
      <w:hyperlink r:id="rId38" w:history="1">
        <w:r>
          <w:rPr>
            <w:rStyle w:val="Hyperlink"/>
          </w:rPr>
          <w:t>section 66(2)(a)</w:t>
        </w:r>
      </w:hyperlink>
      <w:r>
        <w:t xml:space="preserve"> of the Legislation Act 2019, future amendments to documents incorporated by reference in the revised C6 will require the code to be re-issued. </w:t>
      </w:r>
    </w:p>
    <w:p w14:paraId="60833CD5" w14:textId="77777777" w:rsidR="00916E00" w:rsidRDefault="00916E00" w:rsidP="00916E00">
      <w:pPr>
        <w:sectPr w:rsidR="00916E00" w:rsidSect="002560CC">
          <w:pgSz w:w="11907" w:h="16840" w:code="9"/>
          <w:pgMar w:top="1418" w:right="1701" w:bottom="1134" w:left="1843" w:header="284" w:footer="425" w:gutter="284"/>
          <w:pgNumType w:fmt="lowerRoman"/>
          <w:cols w:space="720"/>
        </w:sectPr>
      </w:pPr>
    </w:p>
    <w:p w14:paraId="474E4C88" w14:textId="77777777" w:rsidR="00916E00" w:rsidRDefault="00916E00" w:rsidP="00916E00">
      <w:pPr>
        <w:pStyle w:val="Heading2"/>
        <w:pageBreakBefore/>
        <w:spacing w:before="0"/>
      </w:pPr>
      <w:bookmarkStart w:id="17" w:name="_Toc161048810"/>
      <w:r>
        <w:lastRenderedPageBreak/>
        <w:t>How to provide feedback</w:t>
      </w:r>
      <w:bookmarkEnd w:id="17"/>
    </w:p>
    <w:p w14:paraId="21DADCB8" w14:textId="66798F20" w:rsidR="00916E00" w:rsidRDefault="00916E00" w:rsidP="00916E00">
      <w:r>
        <w:t xml:space="preserve">All written submissions that fall within the scope of this consultation and are received before the closing date for the consultation will be considered. The closing date and time for submissions is </w:t>
      </w:r>
      <w:r w:rsidR="00BE31EB">
        <w:t>11</w:t>
      </w:r>
      <w:r w:rsidR="006D4843">
        <w:t>.</w:t>
      </w:r>
      <w:r w:rsidR="00067A70">
        <w:t>00</w:t>
      </w:r>
      <w:r>
        <w:t xml:space="preserve">pm on </w:t>
      </w:r>
      <w:r w:rsidR="00354CEB">
        <w:t xml:space="preserve">Wednesday 10 </w:t>
      </w:r>
      <w:r>
        <w:t xml:space="preserve">April 2024. </w:t>
      </w:r>
    </w:p>
    <w:p w14:paraId="6452341E" w14:textId="77777777" w:rsidR="00916E00" w:rsidRDefault="00916E00" w:rsidP="00916E00"/>
    <w:p w14:paraId="40A6425B" w14:textId="1221B711" w:rsidR="00916E00" w:rsidRDefault="00916E00" w:rsidP="00916E00">
      <w:r>
        <w:t xml:space="preserve">The preferred and most convenient method of providing submissions is by using the </w:t>
      </w:r>
      <w:hyperlink r:id="rId39" w:history="1">
        <w:r w:rsidR="00386AE8" w:rsidRPr="00386AE8">
          <w:rPr>
            <w:rStyle w:val="Hyperlink"/>
          </w:rPr>
          <w:t>Ministry’s online consultation tool, Citizen Space</w:t>
        </w:r>
        <w:r w:rsidRPr="00386AE8">
          <w:rPr>
            <w:rStyle w:val="Hyperlink"/>
          </w:rPr>
          <w:t>.</w:t>
        </w:r>
      </w:hyperlink>
    </w:p>
    <w:p w14:paraId="454C86A2" w14:textId="77777777" w:rsidR="00916E00" w:rsidRDefault="00916E00" w:rsidP="00916E00"/>
    <w:p w14:paraId="23D5CC12" w14:textId="77777777" w:rsidR="00916E00" w:rsidRDefault="00916E00" w:rsidP="00916E00">
      <w:r>
        <w:t>The Director can also receive submissions by email, to</w:t>
      </w:r>
    </w:p>
    <w:p w14:paraId="5C02927F" w14:textId="77777777" w:rsidR="00916E00" w:rsidRDefault="00000000" w:rsidP="00916E00">
      <w:hyperlink r:id="rId40" w:history="1">
        <w:r w:rsidR="00916E00">
          <w:rPr>
            <w:rStyle w:val="Hyperlink"/>
          </w:rPr>
          <w:t>ors.codes@health.govt.nz</w:t>
        </w:r>
      </w:hyperlink>
      <w:r w:rsidR="00916E00">
        <w:t xml:space="preserve"> </w:t>
      </w:r>
    </w:p>
    <w:p w14:paraId="69BB08AC" w14:textId="77777777" w:rsidR="00916E00" w:rsidRDefault="00916E00" w:rsidP="00916E00"/>
    <w:p w14:paraId="474895F6" w14:textId="77777777" w:rsidR="00916E00" w:rsidRDefault="00916E00" w:rsidP="00916E00">
      <w:r>
        <w:t>Alternatively, submissions can be mailed to:</w:t>
      </w:r>
    </w:p>
    <w:p w14:paraId="46ADD249" w14:textId="77777777" w:rsidR="00916E00" w:rsidRDefault="00916E00" w:rsidP="00916E00">
      <w:r>
        <w:t>Office of Radiation Safety C6</w:t>
      </w:r>
    </w:p>
    <w:p w14:paraId="15692525" w14:textId="77777777" w:rsidR="00916E00" w:rsidRDefault="00916E00" w:rsidP="00916E00">
      <w:r>
        <w:t>Ministry of Health</w:t>
      </w:r>
    </w:p>
    <w:p w14:paraId="7DC2C21F" w14:textId="77777777" w:rsidR="00916E00" w:rsidRDefault="00916E00" w:rsidP="00916E00">
      <w:r>
        <w:t>PO Box 5013</w:t>
      </w:r>
    </w:p>
    <w:p w14:paraId="339E1C9E" w14:textId="77777777" w:rsidR="00916E00" w:rsidRDefault="00916E00" w:rsidP="00916E00">
      <w:r>
        <w:t>Wellington 6140.</w:t>
      </w:r>
    </w:p>
    <w:p w14:paraId="53BCAEE4" w14:textId="77777777" w:rsidR="00916E00" w:rsidRDefault="00916E00" w:rsidP="00916E00">
      <w:pPr>
        <w:pStyle w:val="Heading2"/>
      </w:pPr>
      <w:bookmarkStart w:id="18" w:name="_Toc144957755"/>
      <w:bookmarkStart w:id="19" w:name="_Toc161048811"/>
      <w:r>
        <w:t>What happens after the consultation?</w:t>
      </w:r>
      <w:bookmarkEnd w:id="18"/>
      <w:bookmarkEnd w:id="19"/>
    </w:p>
    <w:p w14:paraId="088E4456" w14:textId="77777777" w:rsidR="00916E00" w:rsidRDefault="00916E00" w:rsidP="00916E00">
      <w:r>
        <w:t>The Ministry will analyse and respond to feedback. After analysing in-scope submissions, the Ministry will consider further drafting improvements of the revised C6.</w:t>
      </w:r>
    </w:p>
    <w:p w14:paraId="54E0531C" w14:textId="77777777" w:rsidR="00916E00" w:rsidRDefault="00916E00" w:rsidP="00916E00"/>
    <w:p w14:paraId="3CE13808" w14:textId="77777777" w:rsidR="00916E00" w:rsidRDefault="00916E00" w:rsidP="00916E00"/>
    <w:p w14:paraId="272F6319" w14:textId="77777777" w:rsidR="00916E00" w:rsidRPr="00916E00" w:rsidRDefault="00916E00" w:rsidP="00916E00">
      <w:pPr>
        <w:pStyle w:val="Heading3"/>
      </w:pPr>
      <w:r w:rsidRPr="00916E00">
        <w:t>Start of revised C6</w:t>
      </w:r>
    </w:p>
    <w:p w14:paraId="7D1BE583" w14:textId="77777777" w:rsidR="00916E00" w:rsidRDefault="00916E00" w:rsidP="00916E00">
      <w:pPr>
        <w:sectPr w:rsidR="00916E00" w:rsidSect="002560CC">
          <w:pgSz w:w="11907" w:h="16840" w:code="9"/>
          <w:pgMar w:top="1418" w:right="1701" w:bottom="1134" w:left="1843" w:header="284" w:footer="425" w:gutter="284"/>
          <w:pgNumType w:fmt="lowerRoman"/>
          <w:cols w:space="720"/>
        </w:sectPr>
      </w:pPr>
    </w:p>
    <w:p w14:paraId="7C3403DE" w14:textId="77777777" w:rsidR="00916E00" w:rsidRDefault="00916E00" w:rsidP="00916E00">
      <w:pPr>
        <w:sectPr w:rsidR="00916E00" w:rsidSect="00916E00">
          <w:footerReference w:type="even" r:id="rId41"/>
          <w:pgSz w:w="11907" w:h="16840" w:code="9"/>
          <w:pgMar w:top="1418" w:right="1701" w:bottom="1134" w:left="1843" w:header="284" w:footer="425" w:gutter="284"/>
          <w:cols w:space="720"/>
        </w:sectPr>
      </w:pPr>
    </w:p>
    <w:p w14:paraId="1FEA6446" w14:textId="77777777" w:rsidR="00916E00" w:rsidRDefault="00916E00" w:rsidP="00916E00">
      <w:pPr>
        <w:pStyle w:val="Heading1"/>
        <w:spacing w:before="0"/>
      </w:pPr>
      <w:bookmarkStart w:id="20" w:name="_Toc5697889"/>
      <w:bookmarkStart w:id="21" w:name="_Toc161048812"/>
      <w:r>
        <w:lastRenderedPageBreak/>
        <w:t>Introduction</w:t>
      </w:r>
      <w:bookmarkEnd w:id="20"/>
      <w:bookmarkEnd w:id="21"/>
    </w:p>
    <w:p w14:paraId="7E158547" w14:textId="77777777" w:rsidR="00916E00" w:rsidRDefault="00916E00" w:rsidP="00916E00">
      <w:pPr>
        <w:pStyle w:val="Heading2"/>
      </w:pPr>
      <w:bookmarkStart w:id="22" w:name="_Toc3279681"/>
      <w:bookmarkStart w:id="23" w:name="_Toc5697890"/>
      <w:bookmarkStart w:id="24" w:name="_Toc161048813"/>
      <w:r>
        <w:t>Purpose and commencement</w:t>
      </w:r>
      <w:bookmarkEnd w:id="22"/>
      <w:bookmarkEnd w:id="23"/>
      <w:bookmarkEnd w:id="24"/>
    </w:p>
    <w:p w14:paraId="1AA6E94F" w14:textId="612A0633" w:rsidR="00916E00" w:rsidRDefault="00916E00" w:rsidP="00916E00">
      <w:pPr>
        <w:rPr>
          <w:strike/>
        </w:rPr>
      </w:pPr>
      <w:r>
        <w:t xml:space="preserve">This </w:t>
      </w:r>
      <w:r w:rsidR="00092260">
        <w:t xml:space="preserve">ORS C6: </w:t>
      </w:r>
      <w:r>
        <w:t xml:space="preserve">Code of Practice for the Safe Transport of Radioactive Material (this code) is issued by the Director for Radiation Safety (the Director) under </w:t>
      </w:r>
      <w:hyperlink r:id="rId42" w:history="1">
        <w:r>
          <w:rPr>
            <w:rStyle w:val="Hyperlink"/>
          </w:rPr>
          <w:t>section 86</w:t>
        </w:r>
      </w:hyperlink>
      <w:r>
        <w:t xml:space="preserve"> of the Radiation Safety Act 2016 (the Act). This code provides technical requirements necessary for a person who deals with a radiation source to comply with the fundamental requirements in sections 9 to 12 of the Act. The requirements in this code do not limit the general nature of the fundamental requirements.</w:t>
      </w:r>
    </w:p>
    <w:p w14:paraId="10514090" w14:textId="77777777" w:rsidR="00916E00" w:rsidRDefault="00916E00" w:rsidP="00916E00"/>
    <w:p w14:paraId="18268505" w14:textId="6D85782A" w:rsidR="00916E00" w:rsidRDefault="00916E00" w:rsidP="00916E00">
      <w:pPr>
        <w:rPr>
          <w:color w:val="000000" w:themeColor="text1"/>
        </w:rPr>
      </w:pPr>
      <w:r>
        <w:rPr>
          <w:color w:val="000000" w:themeColor="text1"/>
        </w:rPr>
        <w:t xml:space="preserve">This code comes into force on &lt;date to </w:t>
      </w:r>
      <w:r w:rsidR="0097605B">
        <w:rPr>
          <w:color w:val="000000" w:themeColor="text1"/>
        </w:rPr>
        <w:t xml:space="preserve">be </w:t>
      </w:r>
      <w:r>
        <w:rPr>
          <w:color w:val="000000" w:themeColor="text1"/>
        </w:rPr>
        <w:t>added</w:t>
      </w:r>
      <w:r w:rsidR="00354CEB">
        <w:rPr>
          <w:color w:val="000000" w:themeColor="text1"/>
        </w:rPr>
        <w:t xml:space="preserve"> when code is issued</w:t>
      </w:r>
      <w:r>
        <w:rPr>
          <w:color w:val="000000" w:themeColor="text1"/>
        </w:rPr>
        <w:t>&gt;.</w:t>
      </w:r>
    </w:p>
    <w:p w14:paraId="18C9C6D8" w14:textId="77777777" w:rsidR="00916E00" w:rsidRDefault="00916E00" w:rsidP="00916E00">
      <w:pPr>
        <w:pStyle w:val="Heading2"/>
      </w:pPr>
      <w:bookmarkStart w:id="25" w:name="_Toc459381923"/>
      <w:bookmarkStart w:id="26" w:name="_Toc460302887"/>
      <w:bookmarkStart w:id="27" w:name="_Toc467054229"/>
      <w:bookmarkStart w:id="28" w:name="_Toc3279682"/>
      <w:bookmarkStart w:id="29" w:name="_Toc5697891"/>
      <w:bookmarkStart w:id="30" w:name="_Toc161048814"/>
      <w:r>
        <w:t>Scope</w:t>
      </w:r>
      <w:bookmarkEnd w:id="25"/>
      <w:bookmarkEnd w:id="26"/>
      <w:bookmarkEnd w:id="27"/>
      <w:bookmarkEnd w:id="28"/>
      <w:bookmarkEnd w:id="29"/>
      <w:bookmarkEnd w:id="30"/>
    </w:p>
    <w:p w14:paraId="0FDDFE86" w14:textId="77777777" w:rsidR="00916E00" w:rsidRDefault="00916E00" w:rsidP="00916E00">
      <w:r>
        <w:t xml:space="preserve">This code applies to all people who are dealing with a radioactive source for the purpose of transporting the radioactive source. The term ‘transport’ has the meaning given to it </w:t>
      </w:r>
      <w:hyperlink r:id="rId43" w:history="1">
        <w:r>
          <w:rPr>
            <w:rStyle w:val="Hyperlink"/>
          </w:rPr>
          <w:t>section 5</w:t>
        </w:r>
      </w:hyperlink>
      <w:r>
        <w:t xml:space="preserve"> of the Act. </w:t>
      </w:r>
    </w:p>
    <w:p w14:paraId="527A1B0B" w14:textId="77777777" w:rsidR="00916E00" w:rsidRDefault="00916E00" w:rsidP="00916E00"/>
    <w:p w14:paraId="316C4FF6" w14:textId="004848A7" w:rsidR="00916E00" w:rsidRDefault="00916E00" w:rsidP="00916E00">
      <w:r>
        <w:t xml:space="preserve">Under section 5 of the Act, the Director has determined that a </w:t>
      </w:r>
      <w:r w:rsidR="005D3E70">
        <w:t xml:space="preserve">carrier, consignee and </w:t>
      </w:r>
      <w:r>
        <w:t>consigner</w:t>
      </w:r>
      <w:r w:rsidR="00354CEB">
        <w:t xml:space="preserve"> </w:t>
      </w:r>
      <w:r>
        <w:t xml:space="preserve">of radioactive material are dealing with a radiation source. </w:t>
      </w:r>
    </w:p>
    <w:p w14:paraId="2344577A" w14:textId="77777777" w:rsidR="00916E00" w:rsidRDefault="00916E00" w:rsidP="00916E00"/>
    <w:p w14:paraId="0FDCA543" w14:textId="77777777" w:rsidR="00916E00" w:rsidRDefault="00916E00" w:rsidP="00916E00">
      <w:r>
        <w:t>The security of radioactive material is not part of this code.</w:t>
      </w:r>
    </w:p>
    <w:p w14:paraId="1EBCA8D3" w14:textId="77777777" w:rsidR="00916E00" w:rsidRDefault="00916E00" w:rsidP="00916E00"/>
    <w:p w14:paraId="46A563F2" w14:textId="4FCFAB48" w:rsidR="00916E00" w:rsidRDefault="00916E00" w:rsidP="00916E00">
      <w:r>
        <w:t xml:space="preserve">This code requires compliance with applicable New Zealand specific requirements and the International Atomic Energy Agency (IAEA) transport regulations. These have been incorporated by reference into this code under </w:t>
      </w:r>
      <w:hyperlink r:id="rId44" w:history="1">
        <w:r>
          <w:rPr>
            <w:rStyle w:val="Hyperlink"/>
          </w:rPr>
          <w:t>section 64</w:t>
        </w:r>
      </w:hyperlink>
      <w:r>
        <w:t xml:space="preserve"> of the Legislation Act 2019. Under the IAEA </w:t>
      </w:r>
      <w:r w:rsidR="00354CEB">
        <w:t>t</w:t>
      </w:r>
      <w:r>
        <w:t xml:space="preserve">ransport </w:t>
      </w:r>
      <w:r w:rsidR="00354CEB">
        <w:t>regulations,</w:t>
      </w:r>
      <w:r>
        <w:t xml:space="preserve"> the following are excluded from the scope of this code.</w:t>
      </w:r>
    </w:p>
    <w:p w14:paraId="51F804B8" w14:textId="77777777" w:rsidR="00916E00" w:rsidRDefault="00916E00" w:rsidP="00916E00">
      <w:pPr>
        <w:pStyle w:val="Bullet"/>
        <w:numPr>
          <w:ilvl w:val="0"/>
          <w:numId w:val="34"/>
        </w:numPr>
      </w:pPr>
      <w:r>
        <w:t>Radioactive material that is an integral part of the means of transport</w:t>
      </w:r>
    </w:p>
    <w:p w14:paraId="32D9DD76" w14:textId="77777777" w:rsidR="00916E00" w:rsidRDefault="00916E00" w:rsidP="00916E00">
      <w:pPr>
        <w:pStyle w:val="Bullet"/>
        <w:numPr>
          <w:ilvl w:val="0"/>
          <w:numId w:val="34"/>
        </w:numPr>
      </w:pPr>
      <w:bookmarkStart w:id="31" w:name="_Hlk157165705"/>
      <w:r>
        <w:t>Radioactive material implanted or incorporated into a person or live animal for diagnosis or treatment</w:t>
      </w:r>
    </w:p>
    <w:bookmarkEnd w:id="31"/>
    <w:p w14:paraId="6B11D0CE" w14:textId="77777777" w:rsidR="00916E00" w:rsidRDefault="00916E00" w:rsidP="00916E00">
      <w:pPr>
        <w:pStyle w:val="Bullet"/>
        <w:numPr>
          <w:ilvl w:val="0"/>
          <w:numId w:val="34"/>
        </w:numPr>
      </w:pPr>
      <w:r>
        <w:t>Transport for medical treatment of a person who has been subject to an intake of radioactive material or to contamination</w:t>
      </w:r>
    </w:p>
    <w:p w14:paraId="25845FFB" w14:textId="77777777" w:rsidR="00916E00" w:rsidRDefault="00916E00" w:rsidP="00916E00">
      <w:pPr>
        <w:pStyle w:val="Bullet"/>
        <w:numPr>
          <w:ilvl w:val="0"/>
          <w:numId w:val="34"/>
        </w:numPr>
      </w:pPr>
      <w:r>
        <w:t>Radioactive material in consumer products that have received regulatory approval following their sale to the end user</w:t>
      </w:r>
    </w:p>
    <w:p w14:paraId="6262DE72" w14:textId="6F5832B5" w:rsidR="00916E00" w:rsidRDefault="00916E00" w:rsidP="00916E00">
      <w:pPr>
        <w:pStyle w:val="Bullet"/>
        <w:numPr>
          <w:ilvl w:val="0"/>
          <w:numId w:val="34"/>
        </w:numPr>
      </w:pPr>
      <w:r>
        <w:t>Natural material and ores containing naturally occurring radionuclides, which may have been processed, provided the activity concentration of the material does not exceed values set out in the IAEA transport regulations</w:t>
      </w:r>
    </w:p>
    <w:p w14:paraId="05FCB973" w14:textId="28EA10CE" w:rsidR="00916E00" w:rsidRDefault="00916E00" w:rsidP="00916E00">
      <w:pPr>
        <w:pStyle w:val="Bullet"/>
        <w:numPr>
          <w:ilvl w:val="0"/>
          <w:numId w:val="34"/>
        </w:numPr>
      </w:pPr>
      <w:r>
        <w:t>Non-radioactive solid objects with radioactive substances present on any surface in quantities that do not exceed the levels defined in the IAEA transport regulations.</w:t>
      </w:r>
    </w:p>
    <w:p w14:paraId="4B6311D2" w14:textId="77777777" w:rsidR="00916E00" w:rsidRDefault="00916E00" w:rsidP="00916E00"/>
    <w:p w14:paraId="32AF831A" w14:textId="666D153F" w:rsidR="00916E00" w:rsidRDefault="00916E00" w:rsidP="00916E00">
      <w:r>
        <w:lastRenderedPageBreak/>
        <w:t xml:space="preserve">This code does not absolve the </w:t>
      </w:r>
      <w:r w:rsidR="00354CEB">
        <w:t xml:space="preserve">carrier, consignee and consigner </w:t>
      </w:r>
      <w:r>
        <w:t>from having to comply with the fundamental requirements in sections 9 to 12 of the Act, which apply to every person who deals with a radiation source.</w:t>
      </w:r>
    </w:p>
    <w:p w14:paraId="12453FCF" w14:textId="77777777" w:rsidR="00916E00" w:rsidRDefault="00916E00" w:rsidP="00916E00"/>
    <w:p w14:paraId="05ADA6FE" w14:textId="676F4F9B" w:rsidR="00916E00" w:rsidRDefault="00916E00" w:rsidP="00916E00">
      <w:r>
        <w:t xml:space="preserve">Compliance with the code does not imply compliance in related areas, such </w:t>
      </w:r>
      <w:r w:rsidR="009A4014">
        <w:t xml:space="preserve">as </w:t>
      </w:r>
      <w:r>
        <w:t>occupational safety, hazards in the workplace, resource management and transport of substances that are hazardous materials for reasons other than being radioactive.</w:t>
      </w:r>
    </w:p>
    <w:p w14:paraId="2C6774C8" w14:textId="77777777" w:rsidR="00916E00" w:rsidRDefault="00916E00" w:rsidP="00916E00">
      <w:pPr>
        <w:pStyle w:val="Heading1"/>
        <w:sectPr w:rsidR="00916E00" w:rsidSect="00916E00">
          <w:footerReference w:type="even" r:id="rId45"/>
          <w:footerReference w:type="default" r:id="rId46"/>
          <w:pgSz w:w="11907" w:h="16840" w:code="9"/>
          <w:pgMar w:top="1418" w:right="1701" w:bottom="1134" w:left="1843" w:header="284" w:footer="425" w:gutter="284"/>
          <w:pgNumType w:start="1"/>
          <w:cols w:space="720"/>
        </w:sectPr>
      </w:pPr>
      <w:bookmarkStart w:id="32" w:name="_Roles_and_responsibilities"/>
      <w:bookmarkStart w:id="33" w:name="_Toc5697893"/>
      <w:bookmarkStart w:id="34" w:name="_Toc3279684"/>
      <w:bookmarkStart w:id="35" w:name="_Toc467054233"/>
      <w:bookmarkStart w:id="36" w:name="_Toc460302891"/>
      <w:bookmarkStart w:id="37" w:name="_Toc459381927"/>
      <w:bookmarkEnd w:id="32"/>
    </w:p>
    <w:p w14:paraId="71EC19FD" w14:textId="3EF3DCB9" w:rsidR="00916E00" w:rsidRDefault="00916E00" w:rsidP="00916E00">
      <w:pPr>
        <w:pStyle w:val="Heading1"/>
        <w:spacing w:before="0"/>
      </w:pPr>
      <w:bookmarkStart w:id="38" w:name="_Toc161048815"/>
      <w:r>
        <w:lastRenderedPageBreak/>
        <w:t>Roles and responsibilities</w:t>
      </w:r>
      <w:bookmarkEnd w:id="33"/>
      <w:bookmarkEnd w:id="34"/>
      <w:bookmarkEnd w:id="35"/>
      <w:bookmarkEnd w:id="36"/>
      <w:bookmarkEnd w:id="37"/>
      <w:bookmarkEnd w:id="38"/>
    </w:p>
    <w:p w14:paraId="09ADF633" w14:textId="77777777" w:rsidR="00916E00" w:rsidRDefault="00916E00" w:rsidP="00916E00">
      <w:r>
        <w:t>The following individuals and bodies have roles and responsibilities in relation to this code.</w:t>
      </w:r>
    </w:p>
    <w:p w14:paraId="71CABC98" w14:textId="77777777" w:rsidR="00916E00" w:rsidRDefault="00916E00" w:rsidP="00916E00">
      <w:pPr>
        <w:spacing w:before="180"/>
      </w:pPr>
      <w:r>
        <w:rPr>
          <w:b/>
        </w:rPr>
        <w:t>Carrier</w:t>
      </w:r>
      <w:r>
        <w:t>:</w:t>
      </w:r>
      <w:r>
        <w:rPr>
          <w:b/>
          <w:bCs/>
        </w:rPr>
        <w:t xml:space="preserve"> </w:t>
      </w:r>
      <w:r>
        <w:t>any person dealing with radioactive material undertaking the carriage of radioactive material by any means of transport. The term includes both carriers for hire or reward and carriers on their own account.</w:t>
      </w:r>
    </w:p>
    <w:p w14:paraId="09B20AA8" w14:textId="77777777" w:rsidR="00916E00" w:rsidRDefault="00916E00" w:rsidP="00916E00">
      <w:pPr>
        <w:spacing w:before="180"/>
      </w:pPr>
      <w:r>
        <w:rPr>
          <w:b/>
        </w:rPr>
        <w:t>Consignee</w:t>
      </w:r>
      <w:r>
        <w:rPr>
          <w:bCs/>
        </w:rPr>
        <w:t>:</w:t>
      </w:r>
      <w:r>
        <w:t xml:space="preserve"> any person dealing with radioactive material as a consequence of being entitled to take delivery of a </w:t>
      </w:r>
      <w:r>
        <w:rPr>
          <w:b/>
          <w:bCs/>
        </w:rPr>
        <w:t>consignment.</w:t>
      </w:r>
    </w:p>
    <w:p w14:paraId="0E4F9731" w14:textId="77777777" w:rsidR="00916E00" w:rsidRDefault="00916E00" w:rsidP="00916E00">
      <w:pPr>
        <w:spacing w:before="180"/>
      </w:pPr>
      <w:r>
        <w:rPr>
          <w:b/>
        </w:rPr>
        <w:t>Consignor</w:t>
      </w:r>
      <w:r>
        <w:rPr>
          <w:bCs/>
        </w:rPr>
        <w:t>:</w:t>
      </w:r>
      <w:r>
        <w:t xml:space="preserve"> any person dealing with radioactive material to prepare a </w:t>
      </w:r>
      <w:r>
        <w:rPr>
          <w:b/>
          <w:bCs/>
        </w:rPr>
        <w:t>consignment</w:t>
      </w:r>
      <w:r>
        <w:t xml:space="preserve"> for transport.</w:t>
      </w:r>
    </w:p>
    <w:p w14:paraId="1E67E335" w14:textId="06D0E1E8" w:rsidR="00916E00" w:rsidRDefault="00916E00" w:rsidP="00916E00">
      <w:pPr>
        <w:spacing w:before="180"/>
      </w:pPr>
      <w:r>
        <w:rPr>
          <w:b/>
          <w:bCs/>
        </w:rPr>
        <w:t>Competent authority in connection with the</w:t>
      </w:r>
      <w:r>
        <w:t xml:space="preserve"> </w:t>
      </w:r>
      <w:r>
        <w:rPr>
          <w:b/>
          <w:bCs/>
        </w:rPr>
        <w:t>IAEA transport regulations</w:t>
      </w:r>
      <w:r>
        <w:t>:</w:t>
      </w:r>
      <w:r>
        <w:rPr>
          <w:b/>
          <w:bCs/>
        </w:rPr>
        <w:t xml:space="preserve"> </w:t>
      </w:r>
      <w:r>
        <w:t xml:space="preserve">the Ministry of Health – </w:t>
      </w:r>
      <w:r>
        <w:rPr>
          <w:color w:val="000000"/>
          <w:lang w:eastAsia="en-NZ"/>
        </w:rPr>
        <w:t>Manatū Hauora (the Ministry).</w:t>
      </w:r>
    </w:p>
    <w:p w14:paraId="128428C5" w14:textId="77777777" w:rsidR="00916E00" w:rsidRDefault="00916E00" w:rsidP="00916E00">
      <w:pPr>
        <w:spacing w:before="180"/>
      </w:pPr>
    </w:p>
    <w:p w14:paraId="731CD01A" w14:textId="77777777" w:rsidR="00916E00" w:rsidRDefault="00916E00" w:rsidP="00916E00"/>
    <w:p w14:paraId="1B7B4F21" w14:textId="77777777" w:rsidR="00916E00" w:rsidRDefault="00916E00" w:rsidP="00916E00">
      <w:pPr>
        <w:pStyle w:val="Heading1"/>
        <w:sectPr w:rsidR="00916E00" w:rsidSect="00916E00">
          <w:pgSz w:w="11907" w:h="16840" w:code="9"/>
          <w:pgMar w:top="1418" w:right="1701" w:bottom="1134" w:left="1843" w:header="284" w:footer="425" w:gutter="284"/>
          <w:cols w:space="720"/>
        </w:sectPr>
      </w:pPr>
      <w:bookmarkStart w:id="39" w:name="_Interpretation"/>
      <w:bookmarkEnd w:id="39"/>
    </w:p>
    <w:p w14:paraId="33685AAD" w14:textId="2239B902" w:rsidR="00916E00" w:rsidRDefault="00916E00" w:rsidP="00916E00">
      <w:pPr>
        <w:pStyle w:val="Heading1"/>
        <w:spacing w:before="0"/>
      </w:pPr>
      <w:bookmarkStart w:id="40" w:name="_Toc161048816"/>
      <w:r>
        <w:lastRenderedPageBreak/>
        <w:t>Interpretation</w:t>
      </w:r>
      <w:bookmarkEnd w:id="40"/>
    </w:p>
    <w:p w14:paraId="456B619C" w14:textId="649770D0" w:rsidR="00916E00" w:rsidRDefault="00916E00" w:rsidP="00916E00">
      <w:r>
        <w:t xml:space="preserve">Interpreted terms are identified in </w:t>
      </w:r>
      <w:r>
        <w:rPr>
          <w:b/>
        </w:rPr>
        <w:t>bold</w:t>
      </w:r>
      <w:r>
        <w:t>.</w:t>
      </w:r>
    </w:p>
    <w:p w14:paraId="20CFD4E0" w14:textId="60264BC5" w:rsidR="00916E00" w:rsidRDefault="00916E00" w:rsidP="00916E00"/>
    <w:p w14:paraId="438C7171" w14:textId="01A64E12" w:rsidR="00916E00" w:rsidRDefault="00916E00" w:rsidP="00916E00">
      <w:bookmarkStart w:id="41" w:name="_Hlk160526877"/>
      <w:r>
        <w:rPr>
          <w:b/>
        </w:rPr>
        <w:t>Applicable New Zealand requirements</w:t>
      </w:r>
      <w:r>
        <w:rPr>
          <w:bCs/>
        </w:rPr>
        <w:t>:</w:t>
      </w:r>
      <w:r>
        <w:rPr>
          <w:b/>
        </w:rPr>
        <w:t xml:space="preserve"> </w:t>
      </w:r>
      <w:r>
        <w:t xml:space="preserve">the </w:t>
      </w:r>
      <w:bookmarkStart w:id="42" w:name="_Hlk160521506"/>
      <w:r>
        <w:fldChar w:fldCharType="begin"/>
      </w:r>
      <w:r>
        <w:instrText xml:space="preserve"> HYPERLINK "https://www.nzta.govt.nz/resources/rules/dangerous-goods-2005/" </w:instrText>
      </w:r>
      <w:r>
        <w:fldChar w:fldCharType="separate"/>
      </w:r>
      <w:r>
        <w:rPr>
          <w:rStyle w:val="Hyperlink"/>
        </w:rPr>
        <w:t>Land Transport Rule: Dangerous Goods 2005: Rule 45001/1</w:t>
      </w:r>
      <w:r>
        <w:fldChar w:fldCharType="end"/>
      </w:r>
      <w:r>
        <w:t>, issued by Ministry of Transport – Te Manat</w:t>
      </w:r>
      <w:r>
        <w:rPr>
          <w:lang w:val="mi-NZ"/>
        </w:rPr>
        <w:t>ū</w:t>
      </w:r>
      <w:r>
        <w:t xml:space="preserve"> Waka; </w:t>
      </w:r>
      <w:hyperlink r:id="rId47" w:history="1">
        <w:r>
          <w:rPr>
            <w:rStyle w:val="Hyperlink"/>
          </w:rPr>
          <w:t>Maritime Rules Part 24A: Carriage of Cargoes – Dangerous Goods</w:t>
        </w:r>
      </w:hyperlink>
      <w:r>
        <w:t>, 2014, issued by Maritime New Zealand</w:t>
      </w:r>
      <w:r>
        <w:rPr>
          <w:color w:val="000000"/>
          <w:lang w:eastAsia="en-NZ"/>
        </w:rPr>
        <w:t xml:space="preserve"> – </w:t>
      </w:r>
      <w:r>
        <w:t xml:space="preserve"> </w:t>
      </w:r>
      <w:proofErr w:type="spellStart"/>
      <w:r>
        <w:t>Nō</w:t>
      </w:r>
      <w:proofErr w:type="spellEnd"/>
      <w:r>
        <w:t xml:space="preserve"> </w:t>
      </w:r>
      <w:proofErr w:type="spellStart"/>
      <w:r>
        <w:t>te</w:t>
      </w:r>
      <w:proofErr w:type="spellEnd"/>
      <w:r>
        <w:t xml:space="preserve"> </w:t>
      </w:r>
      <w:proofErr w:type="spellStart"/>
      <w:r>
        <w:t>rere</w:t>
      </w:r>
      <w:proofErr w:type="spellEnd"/>
      <w:r>
        <w:t xml:space="preserve"> moana Aotearoa; </w:t>
      </w:r>
      <w:hyperlink r:id="rId48" w:history="1">
        <w:r>
          <w:rPr>
            <w:rStyle w:val="Hyperlink"/>
          </w:rPr>
          <w:t>Civil Aviation Rules, Part 92, CAA Consolidation, Carriage of Dangerous Goods</w:t>
        </w:r>
      </w:hyperlink>
      <w:r>
        <w:t>,</w:t>
      </w:r>
      <w:bookmarkEnd w:id="42"/>
      <w:r>
        <w:t xml:space="preserve"> 2006. issued by the Civil Aviation Authority of New Zealand </w:t>
      </w:r>
      <w:r>
        <w:rPr>
          <w:color w:val="000000"/>
          <w:lang w:eastAsia="en-NZ"/>
        </w:rPr>
        <w:t>–</w:t>
      </w:r>
      <w:r>
        <w:t xml:space="preserve"> </w:t>
      </w:r>
      <w:proofErr w:type="spellStart"/>
      <w:r>
        <w:t>Te</w:t>
      </w:r>
      <w:proofErr w:type="spellEnd"/>
      <w:r>
        <w:t xml:space="preserve"> Mana </w:t>
      </w:r>
      <w:proofErr w:type="spellStart"/>
      <w:r>
        <w:t>Rererangi</w:t>
      </w:r>
      <w:proofErr w:type="spellEnd"/>
      <w:r>
        <w:t xml:space="preserve"> T</w:t>
      </w:r>
      <w:proofErr w:type="spellStart"/>
      <w:r>
        <w:rPr>
          <w:lang w:val="mi-NZ"/>
        </w:rPr>
        <w:t>ūmatanui</w:t>
      </w:r>
      <w:proofErr w:type="spellEnd"/>
      <w:r>
        <w:rPr>
          <w:lang w:val="mi-NZ"/>
        </w:rPr>
        <w:t xml:space="preserve"> o Aotearoa</w:t>
      </w:r>
      <w:r>
        <w:t>.</w:t>
      </w:r>
    </w:p>
    <w:p w14:paraId="640DBBA3" w14:textId="77777777" w:rsidR="00916E00" w:rsidRDefault="00916E00" w:rsidP="00916E00"/>
    <w:bookmarkEnd w:id="41"/>
    <w:p w14:paraId="7DE8D8BC" w14:textId="7FA45E42" w:rsidR="00916E00" w:rsidRDefault="00916E00" w:rsidP="00916E00">
      <w:r>
        <w:rPr>
          <w:b/>
          <w:bCs/>
        </w:rPr>
        <w:t>Consignment</w:t>
      </w:r>
      <w:r>
        <w:t xml:space="preserve">: any package or packages, or load of radioactive material, presented by a </w:t>
      </w:r>
      <w:r>
        <w:rPr>
          <w:b/>
          <w:bCs/>
        </w:rPr>
        <w:t>consignor</w:t>
      </w:r>
      <w:r>
        <w:t xml:space="preserve"> for transport.</w:t>
      </w:r>
    </w:p>
    <w:p w14:paraId="5FC0FF16" w14:textId="77777777" w:rsidR="00916E00" w:rsidRDefault="00916E00" w:rsidP="00916E00">
      <w:pPr>
        <w:rPr>
          <w:b/>
        </w:rPr>
      </w:pPr>
    </w:p>
    <w:p w14:paraId="68CF9895" w14:textId="020006A4" w:rsidR="00916E00" w:rsidRDefault="00916E00" w:rsidP="00916E00">
      <w:pPr>
        <w:rPr>
          <w:bCs/>
        </w:rPr>
      </w:pPr>
      <w:r>
        <w:rPr>
          <w:b/>
        </w:rPr>
        <w:t>IAEA</w:t>
      </w:r>
      <w:r>
        <w:rPr>
          <w:bCs/>
        </w:rPr>
        <w:t>:</w:t>
      </w:r>
      <w:r>
        <w:rPr>
          <w:b/>
        </w:rPr>
        <w:t xml:space="preserve"> </w:t>
      </w:r>
      <w:r>
        <w:rPr>
          <w:bCs/>
        </w:rPr>
        <w:t>International Atomic Energy Agency.</w:t>
      </w:r>
    </w:p>
    <w:p w14:paraId="560B73C7" w14:textId="77777777" w:rsidR="00441AC4" w:rsidRDefault="00441AC4" w:rsidP="00916E00">
      <w:pPr>
        <w:rPr>
          <w:b/>
        </w:rPr>
      </w:pPr>
    </w:p>
    <w:p w14:paraId="7F1D88BB" w14:textId="671E32C7" w:rsidR="00916E00" w:rsidRDefault="00916E00" w:rsidP="00916E00">
      <w:r>
        <w:rPr>
          <w:b/>
        </w:rPr>
        <w:t>IAEA transport regulations</w:t>
      </w:r>
      <w:r>
        <w:rPr>
          <w:bCs/>
        </w:rPr>
        <w:t>:</w:t>
      </w:r>
      <w:r>
        <w:t xml:space="preserve"> International Atomic Energy Agency, Regulations for the safe transport of radioactive material, IAEA Safety Standards Series No. SSR-6 (Rev.1), IAEA, Vienna 2018. </w:t>
      </w:r>
      <w:hyperlink r:id="rId49" w:history="1">
        <w:r>
          <w:rPr>
            <w:rStyle w:val="Hyperlink"/>
          </w:rPr>
          <w:t>Regulations for the Safe Transport of Radioactive Material | IAEA</w:t>
        </w:r>
      </w:hyperlink>
    </w:p>
    <w:p w14:paraId="4689290B" w14:textId="77777777" w:rsidR="00916E00" w:rsidRDefault="00916E00" w:rsidP="00916E00"/>
    <w:p w14:paraId="2B1370C3" w14:textId="16F86A62" w:rsidR="00916E00" w:rsidRDefault="00916E00" w:rsidP="00916E00">
      <w:r>
        <w:rPr>
          <w:b/>
          <w:bCs/>
        </w:rPr>
        <w:t>Person</w:t>
      </w:r>
      <w:r>
        <w:t xml:space="preserve">: includes a corporation sole, a body corporate and an unincorporated body (as defined in </w:t>
      </w:r>
      <w:hyperlink r:id="rId50" w:history="1">
        <w:r>
          <w:rPr>
            <w:rStyle w:val="Hyperlink"/>
          </w:rPr>
          <w:t>section 13</w:t>
        </w:r>
      </w:hyperlink>
      <w:r>
        <w:t xml:space="preserve"> of the Legislation Act 2019), unless the context otherwise requires.</w:t>
      </w:r>
    </w:p>
    <w:p w14:paraId="5315EDD8" w14:textId="77777777" w:rsidR="00916E00" w:rsidRDefault="00916E00" w:rsidP="00916E00"/>
    <w:p w14:paraId="23D9A203" w14:textId="77777777" w:rsidR="00916E00" w:rsidRDefault="00916E00" w:rsidP="00916E00">
      <w:r>
        <w:rPr>
          <w:b/>
          <w:bCs/>
        </w:rPr>
        <w:t>Transport</w:t>
      </w:r>
      <w:r>
        <w:t xml:space="preserve">: has the meaning given in </w:t>
      </w:r>
      <w:hyperlink r:id="rId51" w:history="1">
        <w:r>
          <w:rPr>
            <w:rStyle w:val="Hyperlink"/>
          </w:rPr>
          <w:t>section 5</w:t>
        </w:r>
      </w:hyperlink>
      <w:r>
        <w:t xml:space="preserve"> of the Act, that is:</w:t>
      </w:r>
    </w:p>
    <w:p w14:paraId="6F291744" w14:textId="073C05E1" w:rsidR="00916E00" w:rsidRDefault="00916E00" w:rsidP="00916E00">
      <w:pPr>
        <w:pStyle w:val="Letter"/>
        <w:ind w:left="426" w:hanging="426"/>
      </w:pPr>
      <w:r>
        <w:t>means the deliberate physical movement of a radiation source (other than that forming part of the means of propulsion) from one place to another; and</w:t>
      </w:r>
    </w:p>
    <w:p w14:paraId="166E852A" w14:textId="52FE0DA4" w:rsidR="00916E00" w:rsidRDefault="00916E00" w:rsidP="00916E00">
      <w:pPr>
        <w:pStyle w:val="Letter"/>
        <w:ind w:left="426" w:hanging="426"/>
      </w:pPr>
      <w:r>
        <w:t xml:space="preserve">includes the temporary storage of the radiation source in transit, as well as carriage; but </w:t>
      </w:r>
    </w:p>
    <w:p w14:paraId="28F760AB" w14:textId="70F52B94" w:rsidR="00916E00" w:rsidRDefault="00916E00" w:rsidP="00916E00">
      <w:pPr>
        <w:pStyle w:val="Letter"/>
        <w:ind w:left="426" w:hanging="426"/>
      </w:pPr>
      <w:r>
        <w:t>does not include the movement of the radiation source from one place to another within a specified site.</w:t>
      </w:r>
    </w:p>
    <w:p w14:paraId="354453BE" w14:textId="77777777" w:rsidR="00916E00" w:rsidRDefault="00916E00" w:rsidP="00916E00"/>
    <w:p w14:paraId="33E8FAA1" w14:textId="77777777" w:rsidR="00916E00" w:rsidRDefault="00916E00" w:rsidP="00916E00">
      <w:pPr>
        <w:pStyle w:val="Heading1"/>
        <w:spacing w:line="216" w:lineRule="auto"/>
        <w:sectPr w:rsidR="00916E00" w:rsidSect="00916E00">
          <w:pgSz w:w="11907" w:h="16840" w:code="9"/>
          <w:pgMar w:top="1418" w:right="1701" w:bottom="1134" w:left="1843" w:header="284" w:footer="425" w:gutter="284"/>
          <w:cols w:space="720"/>
        </w:sectPr>
      </w:pPr>
    </w:p>
    <w:p w14:paraId="194D6EC7" w14:textId="6BD3B58E" w:rsidR="00916E00" w:rsidRDefault="00916E00" w:rsidP="00916E00">
      <w:pPr>
        <w:pStyle w:val="Heading1"/>
        <w:spacing w:before="0" w:line="216" w:lineRule="auto"/>
        <w:rPr>
          <w:b w:val="0"/>
        </w:rPr>
      </w:pPr>
      <w:bookmarkStart w:id="43" w:name="_Toc161048817"/>
      <w:r>
        <w:lastRenderedPageBreak/>
        <w:t>Responsibilities</w:t>
      </w:r>
      <w:bookmarkEnd w:id="43"/>
    </w:p>
    <w:p w14:paraId="4A9F7819" w14:textId="77777777" w:rsidR="00916E00" w:rsidRDefault="00916E00" w:rsidP="00916E00">
      <w:pPr>
        <w:pStyle w:val="Heading2"/>
      </w:pPr>
      <w:bookmarkStart w:id="44" w:name="_Toc534884333"/>
      <w:bookmarkStart w:id="45" w:name="_Toc5698452"/>
      <w:bookmarkStart w:id="46" w:name="_Toc161048818"/>
      <w:r>
        <w:t>Carrier</w:t>
      </w:r>
      <w:bookmarkEnd w:id="44"/>
      <w:bookmarkEnd w:id="45"/>
      <w:bookmarkEnd w:id="46"/>
    </w:p>
    <w:p w14:paraId="62CF2C93" w14:textId="37DE1FB2" w:rsidR="00916E00" w:rsidRDefault="00916E00" w:rsidP="00916E00">
      <w:pPr>
        <w:pStyle w:val="Number"/>
        <w:numPr>
          <w:ilvl w:val="0"/>
          <w:numId w:val="0"/>
        </w:numPr>
      </w:pPr>
      <w:bookmarkStart w:id="47" w:name="_Hlk160525506"/>
      <w:r>
        <w:t xml:space="preserve">The carrier must comply with the requirements of </w:t>
      </w:r>
      <w:r>
        <w:rPr>
          <w:bCs/>
        </w:rPr>
        <w:t>applicable New Zealand requirements</w:t>
      </w:r>
      <w:r>
        <w:t xml:space="preserve"> and in all other respects the IAEA </w:t>
      </w:r>
      <w:r w:rsidR="00AA3EEB">
        <w:t>t</w:t>
      </w:r>
      <w:r>
        <w:t xml:space="preserve">ransport </w:t>
      </w:r>
      <w:r w:rsidR="00AA3EEB">
        <w:t>r</w:t>
      </w:r>
      <w:r>
        <w:t>egulations</w:t>
      </w:r>
      <w:r w:rsidR="00BE3813">
        <w:t xml:space="preserve"> </w:t>
      </w:r>
      <w:r>
        <w:t xml:space="preserve">that apply to the carrier. </w:t>
      </w:r>
    </w:p>
    <w:p w14:paraId="40EDE6E8" w14:textId="77777777" w:rsidR="00916E00" w:rsidRDefault="00916E00" w:rsidP="00916E00">
      <w:pPr>
        <w:pStyle w:val="Heading2"/>
      </w:pPr>
      <w:bookmarkStart w:id="48" w:name="_Toc534884334"/>
      <w:bookmarkStart w:id="49" w:name="_Toc5698453"/>
      <w:bookmarkStart w:id="50" w:name="_Toc161048819"/>
      <w:bookmarkEnd w:id="47"/>
      <w:r>
        <w:t>Consignee</w:t>
      </w:r>
      <w:bookmarkEnd w:id="48"/>
      <w:bookmarkEnd w:id="49"/>
      <w:bookmarkEnd w:id="50"/>
    </w:p>
    <w:p w14:paraId="01C03484" w14:textId="0C79ECBC" w:rsidR="00916E00" w:rsidRDefault="00916E00" w:rsidP="00916E00">
      <w:pPr>
        <w:pStyle w:val="Number"/>
        <w:numPr>
          <w:ilvl w:val="0"/>
          <w:numId w:val="0"/>
        </w:numPr>
      </w:pPr>
      <w:r>
        <w:t xml:space="preserve">The </w:t>
      </w:r>
      <w:r w:rsidR="00A33355">
        <w:t>consignee</w:t>
      </w:r>
      <w:r>
        <w:t xml:space="preserve"> must comply with the requirements of </w:t>
      </w:r>
      <w:r>
        <w:rPr>
          <w:bCs/>
        </w:rPr>
        <w:t>applicable New Zealand requirements</w:t>
      </w:r>
      <w:r>
        <w:t xml:space="preserve"> and in all other respects the IAEA </w:t>
      </w:r>
      <w:r w:rsidR="00AC25BE">
        <w:t>t</w:t>
      </w:r>
      <w:r>
        <w:t xml:space="preserve">ransport </w:t>
      </w:r>
      <w:r w:rsidR="00AC25BE">
        <w:t>r</w:t>
      </w:r>
      <w:r>
        <w:t>egulations</w:t>
      </w:r>
      <w:r w:rsidR="00BE3813">
        <w:t xml:space="preserve"> </w:t>
      </w:r>
      <w:r>
        <w:t xml:space="preserve">that apply to the </w:t>
      </w:r>
      <w:r w:rsidR="00A33355">
        <w:t>co</w:t>
      </w:r>
      <w:r w:rsidR="00A07100">
        <w:t>n</w:t>
      </w:r>
      <w:r w:rsidR="00A33355">
        <w:t>signee</w:t>
      </w:r>
      <w:r>
        <w:t xml:space="preserve">. </w:t>
      </w:r>
    </w:p>
    <w:p w14:paraId="45AB6473" w14:textId="77777777" w:rsidR="00916E00" w:rsidRDefault="00916E00" w:rsidP="00916E00">
      <w:pPr>
        <w:pStyle w:val="Heading2"/>
      </w:pPr>
      <w:bookmarkStart w:id="51" w:name="_Toc161048820"/>
      <w:r>
        <w:t>Consignor</w:t>
      </w:r>
      <w:bookmarkEnd w:id="51"/>
    </w:p>
    <w:p w14:paraId="5B3967F8" w14:textId="24CBCB21" w:rsidR="00916E00" w:rsidRDefault="00916E00" w:rsidP="00916E00">
      <w:pPr>
        <w:pStyle w:val="Number"/>
        <w:numPr>
          <w:ilvl w:val="0"/>
          <w:numId w:val="0"/>
        </w:numPr>
      </w:pPr>
      <w:r>
        <w:t xml:space="preserve">The consignor must comply with the requirements of </w:t>
      </w:r>
      <w:r>
        <w:rPr>
          <w:bCs/>
        </w:rPr>
        <w:t>applicable New Zealand requirements</w:t>
      </w:r>
      <w:r>
        <w:t xml:space="preserve"> and in all other respects the IAEA </w:t>
      </w:r>
      <w:r w:rsidR="00AC25BE">
        <w:t>t</w:t>
      </w:r>
      <w:r>
        <w:t xml:space="preserve">ransport </w:t>
      </w:r>
      <w:r w:rsidR="00AC25BE">
        <w:t>r</w:t>
      </w:r>
      <w:r>
        <w:t>egulations</w:t>
      </w:r>
      <w:r w:rsidR="00BE3813">
        <w:t xml:space="preserve"> </w:t>
      </w:r>
      <w:r>
        <w:t xml:space="preserve">that apply to the consignor. </w:t>
      </w:r>
    </w:p>
    <w:p w14:paraId="44567DEB" w14:textId="77777777" w:rsidR="00916E00" w:rsidRDefault="00916E00" w:rsidP="00916E00">
      <w:pPr>
        <w:pStyle w:val="Number"/>
        <w:numPr>
          <w:ilvl w:val="0"/>
          <w:numId w:val="0"/>
        </w:numPr>
        <w:ind w:left="567"/>
      </w:pPr>
    </w:p>
    <w:p w14:paraId="45297EA2" w14:textId="77777777" w:rsidR="00916E00" w:rsidRDefault="00916E00" w:rsidP="00916E00">
      <w:pPr>
        <w:pStyle w:val="Heading1-notnumbered"/>
      </w:pPr>
      <w:bookmarkStart w:id="52" w:name="_Toc87367930"/>
      <w:bookmarkStart w:id="53" w:name="_Toc144957782"/>
      <w:bookmarkStart w:id="54" w:name="_Toc161048821"/>
      <w:r>
        <w:lastRenderedPageBreak/>
        <w:t xml:space="preserve">Submission form </w:t>
      </w:r>
      <w:bookmarkEnd w:id="52"/>
      <w:r>
        <w:t>for revised C6 202</w:t>
      </w:r>
      <w:bookmarkEnd w:id="53"/>
      <w:r>
        <w:t>4</w:t>
      </w:r>
      <w:bookmarkEnd w:id="54"/>
    </w:p>
    <w:p w14:paraId="63EBD3A8" w14:textId="77777777" w:rsidR="00916E00" w:rsidRPr="00916E00" w:rsidRDefault="00916E00" w:rsidP="00916E00">
      <w:pPr>
        <w:pStyle w:val="Heading3"/>
      </w:pPr>
      <w:bookmarkStart w:id="55" w:name="We_want_your_input"/>
      <w:bookmarkEnd w:id="55"/>
      <w:r w:rsidRPr="00916E00">
        <w:t>Your details</w:t>
      </w:r>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021"/>
        <w:gridCol w:w="4109"/>
      </w:tblGrid>
      <w:tr w:rsidR="00916E00" w14:paraId="402E718E" w14:textId="77777777" w:rsidTr="00916E00">
        <w:trPr>
          <w:cantSplit/>
        </w:trPr>
        <w:tc>
          <w:tcPr>
            <w:tcW w:w="4023" w:type="dxa"/>
            <w:tcBorders>
              <w:top w:val="nil"/>
              <w:left w:val="nil"/>
              <w:bottom w:val="nil"/>
              <w:right w:val="nil"/>
            </w:tcBorders>
            <w:hideMark/>
          </w:tcPr>
          <w:p w14:paraId="6923C6D2" w14:textId="77777777" w:rsidR="00916E00" w:rsidRDefault="00916E00">
            <w:pPr>
              <w:tabs>
                <w:tab w:val="right" w:pos="3915"/>
              </w:tabs>
            </w:pPr>
            <w:r>
              <w:t>This submission was completed by:</w:t>
            </w:r>
            <w:r>
              <w:tab/>
            </w:r>
            <w:r>
              <w:rPr>
                <w:i/>
                <w:sz w:val="18"/>
              </w:rPr>
              <w:t>(name)</w:t>
            </w:r>
          </w:p>
        </w:tc>
        <w:tc>
          <w:tcPr>
            <w:tcW w:w="4111" w:type="dxa"/>
            <w:tcBorders>
              <w:top w:val="nil"/>
              <w:left w:val="nil"/>
              <w:bottom w:val="single" w:sz="4" w:space="0" w:color="auto"/>
              <w:right w:val="nil"/>
            </w:tcBorders>
            <w:vAlign w:val="bottom"/>
            <w:hideMark/>
          </w:tcPr>
          <w:p w14:paraId="1C8F4A9F" w14:textId="77777777" w:rsidR="00916E00" w:rsidRDefault="00916E00">
            <w:pPr>
              <w:pStyle w:val="TableText"/>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E00" w14:paraId="60AAB84C" w14:textId="77777777" w:rsidTr="00916E00">
        <w:trPr>
          <w:cantSplit/>
        </w:trPr>
        <w:tc>
          <w:tcPr>
            <w:tcW w:w="4023" w:type="dxa"/>
            <w:tcBorders>
              <w:top w:val="nil"/>
              <w:left w:val="nil"/>
              <w:bottom w:val="nil"/>
              <w:right w:val="nil"/>
            </w:tcBorders>
            <w:hideMark/>
          </w:tcPr>
          <w:p w14:paraId="50C72C7A" w14:textId="77777777" w:rsidR="00916E00" w:rsidRDefault="00916E00">
            <w:pPr>
              <w:tabs>
                <w:tab w:val="right" w:pos="3915"/>
              </w:tabs>
              <w:spacing w:before="120"/>
            </w:pPr>
            <w:r>
              <w:t>Address:</w:t>
            </w:r>
            <w:r>
              <w:tab/>
            </w:r>
            <w:r>
              <w:rPr>
                <w:i/>
                <w:sz w:val="18"/>
              </w:rPr>
              <w:t>(street/box number)</w:t>
            </w:r>
          </w:p>
        </w:tc>
        <w:tc>
          <w:tcPr>
            <w:tcW w:w="4111" w:type="dxa"/>
            <w:tcBorders>
              <w:top w:val="single" w:sz="4" w:space="0" w:color="auto"/>
              <w:left w:val="nil"/>
              <w:bottom w:val="single" w:sz="4" w:space="0" w:color="auto"/>
              <w:right w:val="nil"/>
            </w:tcBorders>
            <w:vAlign w:val="bottom"/>
            <w:hideMark/>
          </w:tcPr>
          <w:p w14:paraId="040220A3" w14:textId="77777777" w:rsidR="00916E00" w:rsidRDefault="00916E00">
            <w:pPr>
              <w:pStyle w:val="TableText"/>
              <w:spacing w:before="0" w:after="0"/>
            </w:pPr>
            <w:r>
              <w:fldChar w:fldCharType="begin">
                <w:ffData>
                  <w:name w:val="Text1"/>
                  <w:enabled/>
                  <w:calcOnExit w:val="0"/>
                  <w:textInput/>
                </w:ffData>
              </w:fldChar>
            </w:r>
            <w:bookmarkStart w:id="5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916E00" w14:paraId="4C8D3059" w14:textId="77777777" w:rsidTr="00916E00">
        <w:trPr>
          <w:cantSplit/>
        </w:trPr>
        <w:tc>
          <w:tcPr>
            <w:tcW w:w="4023" w:type="dxa"/>
            <w:tcBorders>
              <w:top w:val="nil"/>
              <w:left w:val="nil"/>
              <w:bottom w:val="nil"/>
              <w:right w:val="nil"/>
            </w:tcBorders>
            <w:hideMark/>
          </w:tcPr>
          <w:p w14:paraId="106D2676" w14:textId="77777777" w:rsidR="00916E00" w:rsidRDefault="00916E00">
            <w:pPr>
              <w:tabs>
                <w:tab w:val="right" w:pos="3915"/>
              </w:tabs>
              <w:spacing w:before="120"/>
              <w:rPr>
                <w:i/>
              </w:rPr>
            </w:pPr>
            <w:r>
              <w:tab/>
            </w:r>
            <w:r>
              <w:rPr>
                <w:i/>
                <w:sz w:val="18"/>
              </w:rPr>
              <w:t>(town/city and postcode)</w:t>
            </w:r>
          </w:p>
        </w:tc>
        <w:tc>
          <w:tcPr>
            <w:tcW w:w="4111" w:type="dxa"/>
            <w:tcBorders>
              <w:top w:val="single" w:sz="4" w:space="0" w:color="auto"/>
              <w:left w:val="nil"/>
              <w:bottom w:val="single" w:sz="4" w:space="0" w:color="auto"/>
              <w:right w:val="nil"/>
            </w:tcBorders>
            <w:vAlign w:val="bottom"/>
            <w:hideMark/>
          </w:tcPr>
          <w:p w14:paraId="46693118" w14:textId="77777777" w:rsidR="00916E00" w:rsidRDefault="00916E00">
            <w:pPr>
              <w:pStyle w:val="TableText"/>
              <w:spacing w:before="12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E00" w14:paraId="27F0983C" w14:textId="77777777" w:rsidTr="00916E00">
        <w:trPr>
          <w:cantSplit/>
        </w:trPr>
        <w:tc>
          <w:tcPr>
            <w:tcW w:w="4023" w:type="dxa"/>
            <w:tcBorders>
              <w:top w:val="nil"/>
              <w:left w:val="nil"/>
              <w:bottom w:val="nil"/>
              <w:right w:val="nil"/>
            </w:tcBorders>
            <w:hideMark/>
          </w:tcPr>
          <w:p w14:paraId="5F849CDF" w14:textId="77777777" w:rsidR="00916E00" w:rsidRDefault="00916E00">
            <w:pPr>
              <w:spacing w:before="120"/>
            </w:pPr>
            <w:r>
              <w:t>Email:</w:t>
            </w:r>
          </w:p>
        </w:tc>
        <w:tc>
          <w:tcPr>
            <w:tcW w:w="4111" w:type="dxa"/>
            <w:tcBorders>
              <w:top w:val="single" w:sz="4" w:space="0" w:color="auto"/>
              <w:left w:val="nil"/>
              <w:bottom w:val="single" w:sz="4" w:space="0" w:color="auto"/>
              <w:right w:val="nil"/>
            </w:tcBorders>
            <w:vAlign w:val="bottom"/>
            <w:hideMark/>
          </w:tcPr>
          <w:p w14:paraId="7D830F58" w14:textId="77777777" w:rsidR="00916E00" w:rsidRDefault="00916E00">
            <w:pPr>
              <w:pStyle w:val="TableText"/>
              <w:spacing w:before="12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E00" w14:paraId="375F77BF" w14:textId="77777777" w:rsidTr="00916E00">
        <w:trPr>
          <w:cantSplit/>
        </w:trPr>
        <w:tc>
          <w:tcPr>
            <w:tcW w:w="4023" w:type="dxa"/>
            <w:tcBorders>
              <w:top w:val="nil"/>
              <w:left w:val="nil"/>
              <w:bottom w:val="nil"/>
              <w:right w:val="nil"/>
            </w:tcBorders>
            <w:hideMark/>
          </w:tcPr>
          <w:p w14:paraId="540CF39D" w14:textId="77777777" w:rsidR="00916E00" w:rsidRDefault="00916E00">
            <w:pPr>
              <w:spacing w:before="120"/>
            </w:pPr>
            <w:r>
              <w:t>Organisation (if applicable):</w:t>
            </w:r>
          </w:p>
        </w:tc>
        <w:tc>
          <w:tcPr>
            <w:tcW w:w="4111" w:type="dxa"/>
            <w:tcBorders>
              <w:top w:val="single" w:sz="4" w:space="0" w:color="auto"/>
              <w:left w:val="nil"/>
              <w:bottom w:val="single" w:sz="4" w:space="0" w:color="auto"/>
              <w:right w:val="nil"/>
            </w:tcBorders>
            <w:vAlign w:val="bottom"/>
            <w:hideMark/>
          </w:tcPr>
          <w:p w14:paraId="0FEAA242" w14:textId="77777777" w:rsidR="00916E00" w:rsidRDefault="00916E00">
            <w:pPr>
              <w:pStyle w:val="TableText"/>
              <w:spacing w:before="12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E00" w14:paraId="035363E7" w14:textId="77777777" w:rsidTr="00916E00">
        <w:trPr>
          <w:cantSplit/>
        </w:trPr>
        <w:tc>
          <w:tcPr>
            <w:tcW w:w="4023" w:type="dxa"/>
            <w:tcBorders>
              <w:top w:val="nil"/>
              <w:left w:val="nil"/>
              <w:bottom w:val="nil"/>
              <w:right w:val="nil"/>
            </w:tcBorders>
            <w:hideMark/>
          </w:tcPr>
          <w:p w14:paraId="6481B5F2" w14:textId="77777777" w:rsidR="00916E00" w:rsidRDefault="00916E00">
            <w:pPr>
              <w:spacing w:before="120"/>
            </w:pPr>
            <w:r>
              <w:t>Position (if applicable):</w:t>
            </w:r>
          </w:p>
        </w:tc>
        <w:tc>
          <w:tcPr>
            <w:tcW w:w="4111" w:type="dxa"/>
            <w:tcBorders>
              <w:top w:val="single" w:sz="4" w:space="0" w:color="auto"/>
              <w:left w:val="nil"/>
              <w:bottom w:val="single" w:sz="4" w:space="0" w:color="auto"/>
              <w:right w:val="nil"/>
            </w:tcBorders>
            <w:vAlign w:val="bottom"/>
            <w:hideMark/>
          </w:tcPr>
          <w:p w14:paraId="5F2E03C4" w14:textId="77777777" w:rsidR="00916E00" w:rsidRDefault="00916E00">
            <w:pPr>
              <w:pStyle w:val="TableText"/>
              <w:spacing w:before="12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2C4566" w14:textId="77777777" w:rsidR="00916E00" w:rsidRDefault="00916E00" w:rsidP="00916E00">
      <w:pPr>
        <w:pStyle w:val="Heading3"/>
      </w:pPr>
      <w:r>
        <w:t xml:space="preserve">Additional information </w:t>
      </w:r>
    </w:p>
    <w:p w14:paraId="0A6F218B" w14:textId="77777777" w:rsidR="00916E00" w:rsidRDefault="00916E00" w:rsidP="00916E00">
      <w:pPr>
        <w:spacing w:after="120"/>
      </w:pPr>
      <w: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8"/>
        <w:gridCol w:w="2124"/>
        <w:gridCol w:w="5517"/>
      </w:tblGrid>
      <w:tr w:rsidR="00916E00" w14:paraId="030B61D5" w14:textId="77777777" w:rsidTr="00916E00">
        <w:sdt>
          <w:sdtPr>
            <w:rPr>
              <w:sz w:val="25"/>
              <w:szCs w:val="24"/>
            </w:rPr>
            <w:id w:val="-839697002"/>
            <w14:checkbox>
              <w14:checked w14:val="0"/>
              <w14:checkedState w14:val="2612" w14:font="MS Gothic"/>
              <w14:uncheckedState w14:val="2610" w14:font="MS Gothic"/>
            </w14:checkbox>
          </w:sdtPr>
          <w:sdtContent>
            <w:tc>
              <w:tcPr>
                <w:tcW w:w="428" w:type="dxa"/>
                <w:hideMark/>
              </w:tcPr>
              <w:p w14:paraId="6466808D" w14:textId="77777777" w:rsidR="00916E00" w:rsidRDefault="00916E00">
                <w:pPr>
                  <w:rPr>
                    <w:sz w:val="25"/>
                    <w:szCs w:val="24"/>
                  </w:rPr>
                </w:pPr>
                <w:r>
                  <w:rPr>
                    <w:rFonts w:eastAsia="MS Gothic" w:hint="eastAsia"/>
                    <w:sz w:val="25"/>
                    <w:szCs w:val="24"/>
                    <w:lang w:val="en-GB"/>
                  </w:rPr>
                  <w:t>☐</w:t>
                </w:r>
              </w:p>
            </w:tc>
          </w:sdtContent>
        </w:sdt>
        <w:tc>
          <w:tcPr>
            <w:tcW w:w="7641" w:type="dxa"/>
            <w:gridSpan w:val="2"/>
            <w:vAlign w:val="center"/>
            <w:hideMark/>
          </w:tcPr>
          <w:p w14:paraId="4B5E7DC2" w14:textId="77777777" w:rsidR="00916E00" w:rsidRDefault="00916E00">
            <w:pPr>
              <w:spacing w:line="240" w:lineRule="auto"/>
            </w:pPr>
            <w:r>
              <w:t>New Zealand</w:t>
            </w:r>
          </w:p>
        </w:tc>
      </w:tr>
      <w:tr w:rsidR="00916E00" w14:paraId="0498970D" w14:textId="77777777" w:rsidTr="00916E00">
        <w:sdt>
          <w:sdtPr>
            <w:rPr>
              <w:sz w:val="25"/>
              <w:szCs w:val="24"/>
            </w:rPr>
            <w:id w:val="-1287504237"/>
            <w14:checkbox>
              <w14:checked w14:val="0"/>
              <w14:checkedState w14:val="2612" w14:font="MS Gothic"/>
              <w14:uncheckedState w14:val="2610" w14:font="MS Gothic"/>
            </w14:checkbox>
          </w:sdtPr>
          <w:sdtContent>
            <w:tc>
              <w:tcPr>
                <w:tcW w:w="428" w:type="dxa"/>
                <w:vAlign w:val="center"/>
                <w:hideMark/>
              </w:tcPr>
              <w:p w14:paraId="66B4E080" w14:textId="77777777" w:rsidR="00916E00" w:rsidRDefault="00916E00">
                <w:pPr>
                  <w:rPr>
                    <w:sz w:val="25"/>
                    <w:szCs w:val="24"/>
                  </w:rPr>
                </w:pPr>
                <w:r>
                  <w:rPr>
                    <w:rFonts w:eastAsia="MS Gothic" w:hint="eastAsia"/>
                    <w:sz w:val="25"/>
                    <w:szCs w:val="24"/>
                    <w:lang w:val="en-GB"/>
                  </w:rPr>
                  <w:t>☐</w:t>
                </w:r>
              </w:p>
            </w:tc>
          </w:sdtContent>
        </w:sdt>
        <w:tc>
          <w:tcPr>
            <w:tcW w:w="7641" w:type="dxa"/>
            <w:gridSpan w:val="2"/>
            <w:vAlign w:val="center"/>
            <w:hideMark/>
          </w:tcPr>
          <w:p w14:paraId="44156A37" w14:textId="77777777" w:rsidR="00916E00" w:rsidRDefault="00916E00">
            <w:pPr>
              <w:spacing w:line="240" w:lineRule="auto"/>
            </w:pPr>
            <w:r>
              <w:t>Australia</w:t>
            </w:r>
          </w:p>
        </w:tc>
      </w:tr>
      <w:tr w:rsidR="00916E00" w14:paraId="24CE407E" w14:textId="77777777" w:rsidTr="00916E00">
        <w:sdt>
          <w:sdtPr>
            <w:rPr>
              <w:sz w:val="25"/>
              <w:szCs w:val="24"/>
            </w:rPr>
            <w:id w:val="-596944668"/>
            <w14:checkbox>
              <w14:checked w14:val="0"/>
              <w14:checkedState w14:val="2612" w14:font="MS Gothic"/>
              <w14:uncheckedState w14:val="2610" w14:font="MS Gothic"/>
            </w14:checkbox>
          </w:sdtPr>
          <w:sdtContent>
            <w:tc>
              <w:tcPr>
                <w:tcW w:w="428" w:type="dxa"/>
                <w:vAlign w:val="center"/>
                <w:hideMark/>
              </w:tcPr>
              <w:p w14:paraId="6CE783BE" w14:textId="77777777" w:rsidR="00916E00" w:rsidRDefault="00916E00">
                <w:pPr>
                  <w:rPr>
                    <w:sz w:val="25"/>
                    <w:szCs w:val="24"/>
                  </w:rPr>
                </w:pPr>
                <w:r>
                  <w:rPr>
                    <w:rFonts w:eastAsia="MS Gothic" w:hint="eastAsia"/>
                    <w:sz w:val="25"/>
                    <w:szCs w:val="24"/>
                    <w:lang w:val="en-GB"/>
                  </w:rPr>
                  <w:t>☐</w:t>
                </w:r>
              </w:p>
            </w:tc>
          </w:sdtContent>
        </w:sdt>
        <w:tc>
          <w:tcPr>
            <w:tcW w:w="2124" w:type="dxa"/>
            <w:vAlign w:val="center"/>
            <w:hideMark/>
          </w:tcPr>
          <w:p w14:paraId="08B60ECE" w14:textId="77777777" w:rsidR="00916E00" w:rsidRDefault="00916E00">
            <w:pPr>
              <w:spacing w:line="240" w:lineRule="auto"/>
            </w:pPr>
            <w:r>
              <w:t xml:space="preserve">Other (please specify): </w:t>
            </w:r>
          </w:p>
        </w:tc>
        <w:tc>
          <w:tcPr>
            <w:tcW w:w="5517" w:type="dxa"/>
            <w:tcBorders>
              <w:top w:val="nil"/>
              <w:left w:val="nil"/>
              <w:bottom w:val="single" w:sz="4" w:space="0" w:color="auto"/>
              <w:right w:val="nil"/>
            </w:tcBorders>
            <w:vAlign w:val="center"/>
          </w:tcPr>
          <w:p w14:paraId="4B62B533" w14:textId="77777777" w:rsidR="00916E00" w:rsidRDefault="00916E00"/>
        </w:tc>
      </w:tr>
    </w:tbl>
    <w:p w14:paraId="178CE8E2" w14:textId="77777777" w:rsidR="00916E00" w:rsidRDefault="00916E00" w:rsidP="00916E00"/>
    <w:p w14:paraId="13CEE80B" w14:textId="77777777" w:rsidR="00916E00" w:rsidRDefault="00916E00" w:rsidP="00916E00">
      <w:pPr>
        <w:spacing w:after="120"/>
      </w:pPr>
      <w:r>
        <w:t>I am or I represent: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8"/>
        <w:gridCol w:w="2124"/>
        <w:gridCol w:w="5517"/>
      </w:tblGrid>
      <w:tr w:rsidR="00916E00" w14:paraId="14B792A1" w14:textId="77777777" w:rsidTr="00916E00">
        <w:sdt>
          <w:sdtPr>
            <w:rPr>
              <w:sz w:val="25"/>
              <w:szCs w:val="24"/>
            </w:rPr>
            <w:id w:val="1080564449"/>
            <w14:checkbox>
              <w14:checked w14:val="0"/>
              <w14:checkedState w14:val="2612" w14:font="MS Gothic"/>
              <w14:uncheckedState w14:val="2610" w14:font="MS Gothic"/>
            </w14:checkbox>
          </w:sdtPr>
          <w:sdtContent>
            <w:tc>
              <w:tcPr>
                <w:tcW w:w="428" w:type="dxa"/>
                <w:hideMark/>
              </w:tcPr>
              <w:p w14:paraId="03A89B7B" w14:textId="77777777" w:rsidR="00916E00" w:rsidRDefault="00916E00">
                <w:pPr>
                  <w:rPr>
                    <w:sz w:val="25"/>
                    <w:szCs w:val="24"/>
                  </w:rPr>
                </w:pPr>
                <w:r>
                  <w:rPr>
                    <w:rFonts w:eastAsia="MS Gothic" w:hint="eastAsia"/>
                    <w:sz w:val="25"/>
                    <w:szCs w:val="24"/>
                    <w:lang w:val="en-GB"/>
                  </w:rPr>
                  <w:t>☐</w:t>
                </w:r>
              </w:p>
            </w:tc>
          </w:sdtContent>
        </w:sdt>
        <w:tc>
          <w:tcPr>
            <w:tcW w:w="7641" w:type="dxa"/>
            <w:gridSpan w:val="2"/>
            <w:hideMark/>
          </w:tcPr>
          <w:p w14:paraId="76617AF9" w14:textId="77777777" w:rsidR="00916E00" w:rsidRDefault="00916E00">
            <w:pPr>
              <w:spacing w:line="240" w:lineRule="auto"/>
            </w:pPr>
            <w:r>
              <w:t xml:space="preserve">A transport carrier </w:t>
            </w:r>
          </w:p>
        </w:tc>
      </w:tr>
      <w:tr w:rsidR="00916E00" w14:paraId="5E9DCF66" w14:textId="77777777" w:rsidTr="00916E00">
        <w:sdt>
          <w:sdtPr>
            <w:rPr>
              <w:sz w:val="25"/>
              <w:szCs w:val="24"/>
            </w:rPr>
            <w:id w:val="-494953795"/>
            <w14:checkbox>
              <w14:checked w14:val="0"/>
              <w14:checkedState w14:val="2612" w14:font="MS Gothic"/>
              <w14:uncheckedState w14:val="2610" w14:font="MS Gothic"/>
            </w14:checkbox>
          </w:sdtPr>
          <w:sdtContent>
            <w:tc>
              <w:tcPr>
                <w:tcW w:w="428" w:type="dxa"/>
                <w:hideMark/>
              </w:tcPr>
              <w:p w14:paraId="6180DAD1" w14:textId="77777777" w:rsidR="00916E00" w:rsidRDefault="00916E00">
                <w:pPr>
                  <w:rPr>
                    <w:sz w:val="25"/>
                    <w:szCs w:val="24"/>
                  </w:rPr>
                </w:pPr>
                <w:r>
                  <w:rPr>
                    <w:rFonts w:eastAsia="MS Gothic" w:hint="eastAsia"/>
                    <w:sz w:val="25"/>
                    <w:szCs w:val="24"/>
                    <w:lang w:val="en-GB"/>
                  </w:rPr>
                  <w:t>☐</w:t>
                </w:r>
              </w:p>
            </w:tc>
          </w:sdtContent>
        </w:sdt>
        <w:tc>
          <w:tcPr>
            <w:tcW w:w="7641" w:type="dxa"/>
            <w:gridSpan w:val="2"/>
            <w:hideMark/>
          </w:tcPr>
          <w:p w14:paraId="275763D6" w14:textId="77777777" w:rsidR="00916E00" w:rsidRDefault="00916E00">
            <w:pPr>
              <w:spacing w:line="240" w:lineRule="auto"/>
            </w:pPr>
            <w:r>
              <w:t>A dangerous goods advisor</w:t>
            </w:r>
          </w:p>
        </w:tc>
      </w:tr>
      <w:tr w:rsidR="00916E00" w14:paraId="78C5DC99" w14:textId="77777777" w:rsidTr="00916E00">
        <w:sdt>
          <w:sdtPr>
            <w:rPr>
              <w:sz w:val="25"/>
              <w:szCs w:val="24"/>
            </w:rPr>
            <w:id w:val="-1689670646"/>
            <w14:checkbox>
              <w14:checked w14:val="0"/>
              <w14:checkedState w14:val="2612" w14:font="MS Gothic"/>
              <w14:uncheckedState w14:val="2610" w14:font="MS Gothic"/>
            </w14:checkbox>
          </w:sdtPr>
          <w:sdtContent>
            <w:tc>
              <w:tcPr>
                <w:tcW w:w="428" w:type="dxa"/>
                <w:hideMark/>
              </w:tcPr>
              <w:p w14:paraId="672A60E8" w14:textId="77777777" w:rsidR="00916E00" w:rsidRDefault="00916E00">
                <w:pPr>
                  <w:rPr>
                    <w:sz w:val="25"/>
                    <w:szCs w:val="24"/>
                  </w:rPr>
                </w:pPr>
                <w:r>
                  <w:rPr>
                    <w:rFonts w:eastAsia="MS Gothic" w:hint="eastAsia"/>
                    <w:sz w:val="25"/>
                    <w:szCs w:val="24"/>
                    <w:lang w:val="en-GB"/>
                  </w:rPr>
                  <w:t>☐</w:t>
                </w:r>
              </w:p>
            </w:tc>
          </w:sdtContent>
        </w:sdt>
        <w:tc>
          <w:tcPr>
            <w:tcW w:w="7641" w:type="dxa"/>
            <w:gridSpan w:val="2"/>
            <w:hideMark/>
          </w:tcPr>
          <w:p w14:paraId="5FD490DA" w14:textId="77777777" w:rsidR="00916E00" w:rsidRDefault="00916E00">
            <w:pPr>
              <w:spacing w:line="240" w:lineRule="auto"/>
            </w:pPr>
            <w:r>
              <w:t>A qualified expert other than a dangerous goods advisor</w:t>
            </w:r>
          </w:p>
        </w:tc>
      </w:tr>
      <w:tr w:rsidR="00916E00" w14:paraId="1002F121" w14:textId="77777777" w:rsidTr="00916E00">
        <w:sdt>
          <w:sdtPr>
            <w:rPr>
              <w:sz w:val="25"/>
              <w:szCs w:val="24"/>
            </w:rPr>
            <w:id w:val="1568301313"/>
            <w14:checkbox>
              <w14:checked w14:val="0"/>
              <w14:checkedState w14:val="2612" w14:font="MS Gothic"/>
              <w14:uncheckedState w14:val="2610" w14:font="MS Gothic"/>
            </w14:checkbox>
          </w:sdtPr>
          <w:sdtContent>
            <w:tc>
              <w:tcPr>
                <w:tcW w:w="428" w:type="dxa"/>
                <w:hideMark/>
              </w:tcPr>
              <w:p w14:paraId="59ACDEE1" w14:textId="77777777" w:rsidR="00916E00" w:rsidRDefault="00916E00">
                <w:pPr>
                  <w:rPr>
                    <w:sz w:val="25"/>
                    <w:szCs w:val="24"/>
                  </w:rPr>
                </w:pPr>
                <w:r>
                  <w:rPr>
                    <w:rFonts w:eastAsia="MS Gothic" w:hint="eastAsia"/>
                    <w:sz w:val="25"/>
                    <w:szCs w:val="24"/>
                    <w:lang w:val="en-GB"/>
                  </w:rPr>
                  <w:t>☐</w:t>
                </w:r>
              </w:p>
            </w:tc>
          </w:sdtContent>
        </w:sdt>
        <w:tc>
          <w:tcPr>
            <w:tcW w:w="7641" w:type="dxa"/>
            <w:gridSpan w:val="2"/>
            <w:hideMark/>
          </w:tcPr>
          <w:p w14:paraId="57EF3CF9" w14:textId="77777777" w:rsidR="00916E00" w:rsidRDefault="00916E00">
            <w:pPr>
              <w:spacing w:line="240" w:lineRule="auto"/>
            </w:pPr>
            <w:r>
              <w:t>A supplier of radioactive material</w:t>
            </w:r>
          </w:p>
        </w:tc>
      </w:tr>
      <w:tr w:rsidR="00916E00" w14:paraId="23B9CD18" w14:textId="77777777" w:rsidTr="00916E00">
        <w:sdt>
          <w:sdtPr>
            <w:rPr>
              <w:sz w:val="25"/>
              <w:szCs w:val="24"/>
            </w:rPr>
            <w:id w:val="1985962653"/>
            <w14:checkbox>
              <w14:checked w14:val="0"/>
              <w14:checkedState w14:val="2612" w14:font="MS Gothic"/>
              <w14:uncheckedState w14:val="2610" w14:font="MS Gothic"/>
            </w14:checkbox>
          </w:sdtPr>
          <w:sdtContent>
            <w:tc>
              <w:tcPr>
                <w:tcW w:w="428" w:type="dxa"/>
                <w:hideMark/>
              </w:tcPr>
              <w:p w14:paraId="5BE93C34" w14:textId="77777777" w:rsidR="00916E00" w:rsidRDefault="00916E00">
                <w:pPr>
                  <w:rPr>
                    <w:sz w:val="25"/>
                    <w:szCs w:val="24"/>
                  </w:rPr>
                </w:pPr>
                <w:r>
                  <w:rPr>
                    <w:rFonts w:eastAsia="MS Gothic" w:hint="eastAsia"/>
                    <w:sz w:val="25"/>
                    <w:szCs w:val="24"/>
                    <w:lang w:val="en-GB"/>
                  </w:rPr>
                  <w:t>☐</w:t>
                </w:r>
              </w:p>
            </w:tc>
          </w:sdtContent>
        </w:sdt>
        <w:tc>
          <w:tcPr>
            <w:tcW w:w="7641" w:type="dxa"/>
            <w:gridSpan w:val="2"/>
            <w:hideMark/>
          </w:tcPr>
          <w:p w14:paraId="1DB78018" w14:textId="77777777" w:rsidR="00916E00" w:rsidRDefault="00916E00">
            <w:pPr>
              <w:spacing w:line="240" w:lineRule="auto"/>
            </w:pPr>
            <w:r>
              <w:t>An organisation involved with nuclear medicine</w:t>
            </w:r>
          </w:p>
        </w:tc>
      </w:tr>
      <w:tr w:rsidR="00916E00" w14:paraId="2AF639F3" w14:textId="77777777" w:rsidTr="00916E00">
        <w:sdt>
          <w:sdtPr>
            <w:rPr>
              <w:sz w:val="25"/>
              <w:szCs w:val="24"/>
            </w:rPr>
            <w:id w:val="1395778646"/>
            <w14:checkbox>
              <w14:checked w14:val="0"/>
              <w14:checkedState w14:val="2612" w14:font="MS Gothic"/>
              <w14:uncheckedState w14:val="2610" w14:font="MS Gothic"/>
            </w14:checkbox>
          </w:sdtPr>
          <w:sdtContent>
            <w:tc>
              <w:tcPr>
                <w:tcW w:w="428" w:type="dxa"/>
                <w:hideMark/>
              </w:tcPr>
              <w:p w14:paraId="29FDEA49" w14:textId="77777777" w:rsidR="00916E00" w:rsidRDefault="00916E00">
                <w:pPr>
                  <w:rPr>
                    <w:sz w:val="25"/>
                    <w:szCs w:val="24"/>
                  </w:rPr>
                </w:pPr>
                <w:r>
                  <w:rPr>
                    <w:rFonts w:eastAsia="MS Gothic" w:hint="eastAsia"/>
                    <w:sz w:val="25"/>
                    <w:szCs w:val="24"/>
                    <w:lang w:val="en-GB"/>
                  </w:rPr>
                  <w:t>☐</w:t>
                </w:r>
              </w:p>
            </w:tc>
          </w:sdtContent>
        </w:sdt>
        <w:tc>
          <w:tcPr>
            <w:tcW w:w="2124" w:type="dxa"/>
            <w:hideMark/>
          </w:tcPr>
          <w:p w14:paraId="0D11C0D3" w14:textId="77777777" w:rsidR="00916E00" w:rsidRDefault="00916E00">
            <w:pPr>
              <w:spacing w:line="240" w:lineRule="auto"/>
            </w:pPr>
            <w:r>
              <w:t>Other (please specify):</w:t>
            </w:r>
          </w:p>
        </w:tc>
        <w:tc>
          <w:tcPr>
            <w:tcW w:w="5517" w:type="dxa"/>
            <w:tcBorders>
              <w:top w:val="nil"/>
              <w:left w:val="nil"/>
              <w:bottom w:val="single" w:sz="4" w:space="0" w:color="auto"/>
              <w:right w:val="nil"/>
            </w:tcBorders>
          </w:tcPr>
          <w:p w14:paraId="7D1F0B02" w14:textId="77777777" w:rsidR="00916E00" w:rsidRDefault="00916E00"/>
        </w:tc>
      </w:tr>
    </w:tbl>
    <w:p w14:paraId="4319DA3F" w14:textId="77777777" w:rsidR="00916E00" w:rsidRDefault="00916E00" w:rsidP="00916E00">
      <w:pPr>
        <w:pStyle w:val="Heading3"/>
      </w:pPr>
      <w:r>
        <w:t>Privacy statement</w:t>
      </w:r>
    </w:p>
    <w:p w14:paraId="51D67ADA" w14:textId="77777777" w:rsidR="00916E00" w:rsidRDefault="00916E00" w:rsidP="00916E00">
      <w:r>
        <w:t xml:space="preserve">The </w:t>
      </w:r>
      <w:bookmarkStart w:id="57" w:name="_Hlk161136768"/>
      <w:r>
        <w:t xml:space="preserve">Ministry of Health – Manatū Hauora (the Ministry) </w:t>
      </w:r>
      <w:bookmarkEnd w:id="57"/>
      <w:r>
        <w:t>may publish submissions on the Ministry’s website. If you are submitting as an individual, the Ministry will remove your personal details and any identifiable information.</w:t>
      </w:r>
    </w:p>
    <w:p w14:paraId="2C33E07A" w14:textId="77777777" w:rsidR="00916E00" w:rsidRDefault="00916E00" w:rsidP="00916E00">
      <w:pPr>
        <w:keepNext/>
        <w:spacing w:after="120"/>
      </w:pPr>
      <w:r>
        <w:t>If you do not want your submission published on the Ministry’s website, please tick this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
        <w:gridCol w:w="7641"/>
      </w:tblGrid>
      <w:tr w:rsidR="00916E00" w14:paraId="7B29F052" w14:textId="77777777" w:rsidTr="00916E00">
        <w:sdt>
          <w:sdtPr>
            <w:rPr>
              <w:sz w:val="25"/>
              <w:szCs w:val="24"/>
            </w:rPr>
            <w:id w:val="-648901388"/>
            <w14:checkbox>
              <w14:checked w14:val="0"/>
              <w14:checkedState w14:val="2612" w14:font="MS Gothic"/>
              <w14:uncheckedState w14:val="2610" w14:font="MS Gothic"/>
            </w14:checkbox>
          </w:sdtPr>
          <w:sdtContent>
            <w:tc>
              <w:tcPr>
                <w:tcW w:w="428" w:type="dxa"/>
                <w:hideMark/>
              </w:tcPr>
              <w:p w14:paraId="5D3775A5" w14:textId="77777777" w:rsidR="00916E00" w:rsidRDefault="00916E00">
                <w:pPr>
                  <w:rPr>
                    <w:sz w:val="25"/>
                    <w:szCs w:val="24"/>
                  </w:rPr>
                </w:pPr>
                <w:r>
                  <w:rPr>
                    <w:rFonts w:ascii="MS Gothic" w:eastAsia="MS Gothic" w:hAnsi="MS Gothic" w:hint="eastAsia"/>
                    <w:sz w:val="25"/>
                    <w:szCs w:val="24"/>
                    <w:lang w:val="en-GB"/>
                  </w:rPr>
                  <w:t>☐</w:t>
                </w:r>
              </w:p>
            </w:tc>
          </w:sdtContent>
        </w:sdt>
        <w:tc>
          <w:tcPr>
            <w:tcW w:w="7641" w:type="dxa"/>
            <w:vAlign w:val="center"/>
            <w:hideMark/>
          </w:tcPr>
          <w:p w14:paraId="33A9262A" w14:textId="77777777" w:rsidR="00916E00" w:rsidRDefault="00916E00">
            <w:pPr>
              <w:spacing w:line="240" w:lineRule="auto"/>
            </w:pPr>
            <w:r>
              <w:t>Do not publish this submission.</w:t>
            </w:r>
          </w:p>
        </w:tc>
      </w:tr>
    </w:tbl>
    <w:p w14:paraId="12F57C8B" w14:textId="77777777" w:rsidR="00916E00" w:rsidRDefault="00916E00" w:rsidP="00916E00">
      <w:pPr>
        <w:keepNext/>
      </w:pPr>
    </w:p>
    <w:p w14:paraId="6EB7929F" w14:textId="77777777" w:rsidR="00916E00" w:rsidRDefault="00916E00" w:rsidP="00916E00">
      <w:pPr>
        <w:spacing w:after="120"/>
      </w:pPr>
      <w:r>
        <w:t xml:space="preserve">Your submission will be subject to requests made under the </w:t>
      </w:r>
      <w:hyperlink r:id="rId52" w:history="1">
        <w:r>
          <w:rPr>
            <w:rStyle w:val="Hyperlink"/>
          </w:rPr>
          <w:t>Official Information Act 1982</w:t>
        </w:r>
      </w:hyperlink>
      <w:r>
        <w:t xml:space="preserve">. If you want your personal details removed from your submission, please tick this box: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
        <w:gridCol w:w="7641"/>
      </w:tblGrid>
      <w:tr w:rsidR="00916E00" w14:paraId="523B03D0" w14:textId="77777777" w:rsidTr="00916E00">
        <w:sdt>
          <w:sdtPr>
            <w:rPr>
              <w:sz w:val="25"/>
              <w:szCs w:val="24"/>
            </w:rPr>
            <w:id w:val="1618639368"/>
            <w14:checkbox>
              <w14:checked w14:val="0"/>
              <w14:checkedState w14:val="2612" w14:font="MS Gothic"/>
              <w14:uncheckedState w14:val="2610" w14:font="MS Gothic"/>
            </w14:checkbox>
          </w:sdtPr>
          <w:sdtContent>
            <w:tc>
              <w:tcPr>
                <w:tcW w:w="428" w:type="dxa"/>
                <w:hideMark/>
              </w:tcPr>
              <w:p w14:paraId="1380CB76" w14:textId="77777777" w:rsidR="00916E00" w:rsidRDefault="00916E00">
                <w:pPr>
                  <w:rPr>
                    <w:sz w:val="25"/>
                    <w:szCs w:val="24"/>
                  </w:rPr>
                </w:pPr>
                <w:r>
                  <w:rPr>
                    <w:rFonts w:eastAsia="MS Gothic" w:hint="eastAsia"/>
                    <w:sz w:val="25"/>
                    <w:szCs w:val="24"/>
                    <w:lang w:val="en-GB"/>
                  </w:rPr>
                  <w:t>☐</w:t>
                </w:r>
              </w:p>
            </w:tc>
          </w:sdtContent>
        </w:sdt>
        <w:tc>
          <w:tcPr>
            <w:tcW w:w="7641" w:type="dxa"/>
            <w:vAlign w:val="center"/>
            <w:hideMark/>
          </w:tcPr>
          <w:p w14:paraId="4F0A1E58" w14:textId="77777777" w:rsidR="00916E00" w:rsidRDefault="00916E00">
            <w:pPr>
              <w:spacing w:line="240" w:lineRule="auto"/>
            </w:pPr>
            <w:r>
              <w:t>Remove my personal details from responses to Official Information Act 1982 requests.</w:t>
            </w:r>
          </w:p>
        </w:tc>
      </w:tr>
    </w:tbl>
    <w:p w14:paraId="3D0E2757" w14:textId="77777777" w:rsidR="00916E00" w:rsidRDefault="00916E00" w:rsidP="00916E00">
      <w:pPr>
        <w:spacing w:before="120"/>
      </w:pPr>
    </w:p>
    <w:p w14:paraId="63081A35" w14:textId="77777777" w:rsidR="00916E00" w:rsidRDefault="00916E00" w:rsidP="00916E00">
      <w:pPr>
        <w:spacing w:before="120"/>
        <w:rPr>
          <w:b/>
          <w:bCs/>
        </w:rPr>
      </w:pPr>
      <w:r>
        <w:rPr>
          <w:b/>
          <w:bCs/>
        </w:rPr>
        <w:t xml:space="preserve">Please return this form: </w:t>
      </w:r>
    </w:p>
    <w:p w14:paraId="48E248C8" w14:textId="77777777" w:rsidR="00916E00" w:rsidRDefault="00916E00" w:rsidP="00916E00">
      <w:r>
        <w:t xml:space="preserve">By email to: </w:t>
      </w:r>
      <w:hyperlink r:id="rId53" w:history="1">
        <w:r>
          <w:rPr>
            <w:rStyle w:val="Hyperlink"/>
          </w:rPr>
          <w:t>ors.codes@health.govt.nz</w:t>
        </w:r>
      </w:hyperlink>
      <w:r>
        <w:t xml:space="preserve"> </w:t>
      </w:r>
    </w:p>
    <w:p w14:paraId="2C0EFF38" w14:textId="77777777" w:rsidR="00916E00" w:rsidRDefault="00916E00" w:rsidP="00916E00">
      <w:pPr>
        <w:ind w:left="1134" w:hanging="1134"/>
      </w:pPr>
      <w:r>
        <w:t xml:space="preserve">By post to: </w:t>
      </w:r>
      <w:r>
        <w:tab/>
        <w:t>Office of Radiation Safety C6</w:t>
      </w:r>
      <w:r>
        <w:br/>
        <w:t>Ministry of Health</w:t>
      </w:r>
      <w:r>
        <w:br/>
        <w:t>PO Box 5013</w:t>
      </w:r>
      <w:r>
        <w:br/>
        <w:t>Wellington 6140</w:t>
      </w:r>
    </w:p>
    <w:p w14:paraId="5661C3A9" w14:textId="77777777" w:rsidR="00916E00" w:rsidRDefault="00916E00" w:rsidP="00916E00">
      <w:pPr>
        <w:pStyle w:val="Heading3"/>
      </w:pPr>
      <w:r>
        <w:t>Consultation questions</w:t>
      </w:r>
    </w:p>
    <w:p w14:paraId="7F9C0CB2" w14:textId="77777777" w:rsidR="00916E00" w:rsidRDefault="00916E00" w:rsidP="00916E00">
      <w:pPr>
        <w:rPr>
          <w:b/>
          <w:bCs/>
        </w:rPr>
      </w:pPr>
      <w:bookmarkStart w:id="58" w:name="_Toc449001267"/>
      <w:bookmarkStart w:id="59" w:name="_Toc450059027"/>
      <w:r>
        <w:rPr>
          <w:b/>
          <w:bCs/>
        </w:rPr>
        <w:t>The Director for Radiation Safety (the Director) is specifically seeking feedback and comments on the following questions.</w:t>
      </w:r>
    </w:p>
    <w:p w14:paraId="20A014DB" w14:textId="77777777" w:rsidR="00916E00" w:rsidRDefault="00916E00" w:rsidP="00916E00">
      <w:pPr>
        <w:pStyle w:val="Number"/>
        <w:numPr>
          <w:ilvl w:val="0"/>
          <w:numId w:val="0"/>
        </w:numPr>
        <w:ind w:left="567" w:hanging="567"/>
      </w:pPr>
      <w:r>
        <w:t>1.</w:t>
      </w:r>
      <w:r>
        <w:tab/>
        <w:t>Is there particular information that should be included in guidance issued by the Director for the revised C6?</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916E00" w14:paraId="352D6245" w14:textId="77777777" w:rsidTr="00916E00">
        <w:sdt>
          <w:sdtPr>
            <w:rPr>
              <w:sz w:val="25"/>
              <w:szCs w:val="24"/>
            </w:rPr>
            <w:id w:val="-1254275178"/>
            <w14:checkbox>
              <w14:checked w14:val="0"/>
              <w14:checkedState w14:val="2612" w14:font="MS Gothic"/>
              <w14:uncheckedState w14:val="2610" w14:font="MS Gothic"/>
            </w14:checkbox>
          </w:sdtPr>
          <w:sdtContent>
            <w:tc>
              <w:tcPr>
                <w:tcW w:w="428" w:type="dxa"/>
                <w:hideMark/>
              </w:tcPr>
              <w:p w14:paraId="384CE9B4" w14:textId="77777777" w:rsidR="00916E00" w:rsidRDefault="00916E00">
                <w:pPr>
                  <w:rPr>
                    <w:sz w:val="25"/>
                    <w:szCs w:val="24"/>
                  </w:rPr>
                </w:pPr>
                <w:r>
                  <w:rPr>
                    <w:rFonts w:ascii="MS Gothic" w:eastAsia="MS Gothic" w:hAnsi="MS Gothic" w:hint="eastAsia"/>
                    <w:sz w:val="25"/>
                    <w:szCs w:val="24"/>
                    <w:lang w:val="en-GB"/>
                  </w:rPr>
                  <w:t>☐</w:t>
                </w:r>
              </w:p>
            </w:tc>
          </w:sdtContent>
        </w:sdt>
        <w:tc>
          <w:tcPr>
            <w:tcW w:w="7641" w:type="dxa"/>
            <w:vAlign w:val="center"/>
            <w:hideMark/>
          </w:tcPr>
          <w:p w14:paraId="79AE778D" w14:textId="77777777" w:rsidR="00916E00" w:rsidRDefault="00916E00">
            <w:pPr>
              <w:spacing w:line="240" w:lineRule="auto"/>
            </w:pPr>
            <w:r>
              <w:t>Yes</w:t>
            </w:r>
          </w:p>
        </w:tc>
      </w:tr>
      <w:tr w:rsidR="00916E00" w14:paraId="09A30B70" w14:textId="77777777" w:rsidTr="00916E00">
        <w:sdt>
          <w:sdtPr>
            <w:rPr>
              <w:rFonts w:hint="eastAsia"/>
              <w:sz w:val="25"/>
              <w:szCs w:val="24"/>
            </w:rPr>
            <w:id w:val="-2018530039"/>
            <w14:checkbox>
              <w14:checked w14:val="0"/>
              <w14:checkedState w14:val="2612" w14:font="MS Gothic"/>
              <w14:uncheckedState w14:val="2610" w14:font="MS Gothic"/>
            </w14:checkbox>
          </w:sdtPr>
          <w:sdtContent>
            <w:tc>
              <w:tcPr>
                <w:tcW w:w="428" w:type="dxa"/>
                <w:hideMark/>
              </w:tcPr>
              <w:p w14:paraId="291FC942" w14:textId="77777777" w:rsidR="00916E00" w:rsidRDefault="00916E00">
                <w:pPr>
                  <w:rPr>
                    <w:sz w:val="25"/>
                    <w:szCs w:val="24"/>
                  </w:rPr>
                </w:pPr>
                <w:r>
                  <w:rPr>
                    <w:rFonts w:ascii="MS Gothic" w:eastAsia="MS Gothic" w:hAnsi="MS Gothic" w:hint="eastAsia"/>
                    <w:sz w:val="25"/>
                    <w:szCs w:val="24"/>
                    <w:lang w:val="en-GB"/>
                  </w:rPr>
                  <w:t>☐</w:t>
                </w:r>
              </w:p>
            </w:tc>
          </w:sdtContent>
        </w:sdt>
        <w:tc>
          <w:tcPr>
            <w:tcW w:w="7641" w:type="dxa"/>
            <w:vAlign w:val="center"/>
            <w:hideMark/>
          </w:tcPr>
          <w:p w14:paraId="4378BACC" w14:textId="77777777" w:rsidR="00916E00" w:rsidRDefault="00916E00">
            <w:r>
              <w:t>No</w:t>
            </w:r>
          </w:p>
        </w:tc>
      </w:tr>
    </w:tbl>
    <w:p w14:paraId="4EFA8DAC" w14:textId="77777777" w:rsidR="00916E00" w:rsidRDefault="00916E00" w:rsidP="00916E00">
      <w:pPr>
        <w:spacing w:before="120" w:after="120"/>
        <w:ind w:left="567"/>
      </w:pPr>
      <w:r>
        <w:t>Details of the particular information:</w:t>
      </w:r>
    </w:p>
    <w:tbl>
      <w:tblPr>
        <w:tblStyle w:val="TableGrid"/>
        <w:tblW w:w="7620" w:type="dxa"/>
        <w:tblInd w:w="562" w:type="dxa"/>
        <w:tblLayout w:type="fixed"/>
        <w:tblLook w:val="04A0" w:firstRow="1" w:lastRow="0" w:firstColumn="1" w:lastColumn="0" w:noHBand="0" w:noVBand="1"/>
      </w:tblPr>
      <w:tblGrid>
        <w:gridCol w:w="7620"/>
      </w:tblGrid>
      <w:tr w:rsidR="00916E00" w14:paraId="61B36DD8" w14:textId="77777777" w:rsidTr="00916E00">
        <w:trPr>
          <w:cantSplit/>
          <w:trHeight w:val="1701"/>
        </w:trPr>
        <w:tc>
          <w:tcPr>
            <w:tcW w:w="7626" w:type="dxa"/>
            <w:tcBorders>
              <w:top w:val="single" w:sz="4" w:space="0" w:color="auto"/>
              <w:left w:val="single" w:sz="4" w:space="0" w:color="auto"/>
              <w:bottom w:val="single" w:sz="4" w:space="0" w:color="auto"/>
              <w:right w:val="single" w:sz="4" w:space="0" w:color="auto"/>
            </w:tcBorders>
            <w:hideMark/>
          </w:tcPr>
          <w:p w14:paraId="7D19CBFC" w14:textId="77777777" w:rsidR="00916E00" w:rsidRDefault="00916E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89D581" w14:textId="77777777" w:rsidR="00916E00" w:rsidRDefault="00916E00" w:rsidP="00916E00">
      <w:pPr>
        <w:pStyle w:val="Number"/>
        <w:numPr>
          <w:ilvl w:val="0"/>
          <w:numId w:val="0"/>
        </w:numPr>
        <w:ind w:left="567" w:hanging="567"/>
      </w:pPr>
      <w:r>
        <w:t xml:space="preserve">2. </w:t>
      </w:r>
      <w:r>
        <w:tab/>
        <w:t>Are there any other changes you would like to suggest to the revised C6 or comments that you would like to make?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916E00" w14:paraId="1C329580" w14:textId="77777777" w:rsidTr="00916E00">
        <w:sdt>
          <w:sdtPr>
            <w:rPr>
              <w:sz w:val="25"/>
              <w:szCs w:val="24"/>
            </w:rPr>
            <w:id w:val="-2052831639"/>
            <w14:checkbox>
              <w14:checked w14:val="0"/>
              <w14:checkedState w14:val="2612" w14:font="MS Gothic"/>
              <w14:uncheckedState w14:val="2610" w14:font="MS Gothic"/>
            </w14:checkbox>
          </w:sdtPr>
          <w:sdtContent>
            <w:tc>
              <w:tcPr>
                <w:tcW w:w="428" w:type="dxa"/>
                <w:hideMark/>
              </w:tcPr>
              <w:p w14:paraId="31D08E21" w14:textId="77777777" w:rsidR="00916E00" w:rsidRDefault="00916E00">
                <w:pPr>
                  <w:rPr>
                    <w:sz w:val="25"/>
                    <w:szCs w:val="24"/>
                  </w:rPr>
                </w:pPr>
                <w:r>
                  <w:rPr>
                    <w:rFonts w:ascii="MS Gothic" w:eastAsia="MS Gothic" w:hAnsi="MS Gothic" w:hint="eastAsia"/>
                    <w:sz w:val="25"/>
                    <w:szCs w:val="24"/>
                    <w:lang w:val="en-GB"/>
                  </w:rPr>
                  <w:t>☐</w:t>
                </w:r>
              </w:p>
            </w:tc>
          </w:sdtContent>
        </w:sdt>
        <w:tc>
          <w:tcPr>
            <w:tcW w:w="7641" w:type="dxa"/>
            <w:vAlign w:val="center"/>
            <w:hideMark/>
          </w:tcPr>
          <w:p w14:paraId="28E960C8" w14:textId="77777777" w:rsidR="00916E00" w:rsidRDefault="00916E00">
            <w:pPr>
              <w:spacing w:line="240" w:lineRule="auto"/>
            </w:pPr>
            <w:r>
              <w:t>Yes</w:t>
            </w:r>
          </w:p>
        </w:tc>
      </w:tr>
      <w:tr w:rsidR="00916E00" w14:paraId="14EDB19D" w14:textId="77777777" w:rsidTr="00916E00">
        <w:sdt>
          <w:sdtPr>
            <w:rPr>
              <w:rFonts w:hint="eastAsia"/>
              <w:sz w:val="25"/>
              <w:szCs w:val="24"/>
            </w:rPr>
            <w:id w:val="1920362359"/>
            <w14:checkbox>
              <w14:checked w14:val="0"/>
              <w14:checkedState w14:val="2612" w14:font="MS Gothic"/>
              <w14:uncheckedState w14:val="2610" w14:font="MS Gothic"/>
            </w14:checkbox>
          </w:sdtPr>
          <w:sdtContent>
            <w:tc>
              <w:tcPr>
                <w:tcW w:w="428" w:type="dxa"/>
                <w:hideMark/>
              </w:tcPr>
              <w:p w14:paraId="5B9E15DB" w14:textId="77777777" w:rsidR="00916E00" w:rsidRDefault="00916E00">
                <w:pPr>
                  <w:rPr>
                    <w:sz w:val="25"/>
                    <w:szCs w:val="24"/>
                  </w:rPr>
                </w:pPr>
                <w:r>
                  <w:rPr>
                    <w:rFonts w:ascii="MS Gothic" w:eastAsia="MS Gothic" w:hAnsi="MS Gothic" w:hint="eastAsia"/>
                    <w:sz w:val="25"/>
                    <w:szCs w:val="24"/>
                    <w:lang w:val="en-GB"/>
                  </w:rPr>
                  <w:t>☐</w:t>
                </w:r>
              </w:p>
            </w:tc>
          </w:sdtContent>
        </w:sdt>
        <w:tc>
          <w:tcPr>
            <w:tcW w:w="7641" w:type="dxa"/>
            <w:vAlign w:val="center"/>
            <w:hideMark/>
          </w:tcPr>
          <w:p w14:paraId="5AB961E7" w14:textId="77777777" w:rsidR="00916E00" w:rsidRDefault="00916E00">
            <w:r>
              <w:t>No</w:t>
            </w:r>
          </w:p>
        </w:tc>
      </w:tr>
    </w:tbl>
    <w:p w14:paraId="7DC38D94" w14:textId="77777777" w:rsidR="00916E00" w:rsidRDefault="00916E00" w:rsidP="00916E00">
      <w:pPr>
        <w:spacing w:before="120" w:after="120"/>
        <w:ind w:left="567"/>
      </w:pPr>
      <w:r>
        <w:t>Comments:</w:t>
      </w:r>
    </w:p>
    <w:tbl>
      <w:tblPr>
        <w:tblStyle w:val="TableGrid"/>
        <w:tblW w:w="7620" w:type="dxa"/>
        <w:tblInd w:w="562" w:type="dxa"/>
        <w:tblLayout w:type="fixed"/>
        <w:tblLook w:val="04A0" w:firstRow="1" w:lastRow="0" w:firstColumn="1" w:lastColumn="0" w:noHBand="0" w:noVBand="1"/>
      </w:tblPr>
      <w:tblGrid>
        <w:gridCol w:w="7620"/>
      </w:tblGrid>
      <w:tr w:rsidR="00916E00" w14:paraId="7D6A2AF2" w14:textId="77777777" w:rsidTr="00916E00">
        <w:trPr>
          <w:cantSplit/>
          <w:trHeight w:val="1701"/>
        </w:trPr>
        <w:tc>
          <w:tcPr>
            <w:tcW w:w="7626" w:type="dxa"/>
            <w:tcBorders>
              <w:top w:val="single" w:sz="4" w:space="0" w:color="auto"/>
              <w:left w:val="single" w:sz="4" w:space="0" w:color="auto"/>
              <w:bottom w:val="single" w:sz="4" w:space="0" w:color="auto"/>
              <w:right w:val="single" w:sz="4" w:space="0" w:color="auto"/>
            </w:tcBorders>
            <w:hideMark/>
          </w:tcPr>
          <w:p w14:paraId="521B53C9" w14:textId="77777777" w:rsidR="00916E00" w:rsidRDefault="00916E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8"/>
      <w:bookmarkEnd w:id="59"/>
    </w:tbl>
    <w:p w14:paraId="6CFE7973" w14:textId="77777777" w:rsidR="00916E00" w:rsidRDefault="00916E00" w:rsidP="00916E00"/>
    <w:p w14:paraId="77A66221" w14:textId="3240D4E4" w:rsidR="00916E00" w:rsidRDefault="00916E00" w:rsidP="00916E00"/>
    <w:p w14:paraId="6889BC0F" w14:textId="77777777" w:rsidR="009A42D5" w:rsidRPr="0043478F" w:rsidRDefault="009A42D5" w:rsidP="0008437D">
      <w:pPr>
        <w:ind w:left="-2268" w:right="-1701"/>
      </w:pPr>
    </w:p>
    <w:sectPr w:rsidR="009A42D5" w:rsidRPr="0043478F" w:rsidSect="00916E00">
      <w:headerReference w:type="default" r:id="rId54"/>
      <w:footerReference w:type="even" r:id="rId55"/>
      <w:footerReference w:type="default" r:id="rId56"/>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54F4" w14:textId="77777777" w:rsidR="002A4E94" w:rsidRDefault="002A4E94">
      <w:r>
        <w:separator/>
      </w:r>
    </w:p>
    <w:p w14:paraId="38A2E9C3" w14:textId="77777777" w:rsidR="002A4E94" w:rsidRDefault="002A4E94"/>
  </w:endnote>
  <w:endnote w:type="continuationSeparator" w:id="0">
    <w:p w14:paraId="49438B56" w14:textId="77777777" w:rsidR="002A4E94" w:rsidRDefault="002A4E94">
      <w:r>
        <w:continuationSeparator/>
      </w:r>
    </w:p>
    <w:p w14:paraId="3F453F3B" w14:textId="77777777" w:rsidR="002A4E94" w:rsidRDefault="002A4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DBF1303"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w:t>
    </w:r>
    <w:r w:rsidR="00916E00">
      <w:rPr>
        <w:b/>
      </w:rPr>
      <w:t>4</w:t>
    </w:r>
    <w:r w:rsidRPr="00581136">
      <w:rPr>
        <w:b/>
      </w:rPr>
      <w:tab/>
      <w:t>health.govt.nz</w:t>
    </w:r>
  </w:p>
  <w:p w14:paraId="524869F6" w14:textId="77777777" w:rsidR="005A79E5" w:rsidRPr="005A79E5" w:rsidRDefault="005A79E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560CC" w14:paraId="47BEFB14" w14:textId="77777777" w:rsidTr="00D662F8">
      <w:trPr>
        <w:cantSplit/>
      </w:trPr>
      <w:tc>
        <w:tcPr>
          <w:tcW w:w="8080" w:type="dxa"/>
          <w:vAlign w:val="center"/>
        </w:tcPr>
        <w:p w14:paraId="5CADB475" w14:textId="62AAAB29" w:rsidR="002560CC" w:rsidRDefault="007B42CF" w:rsidP="00926083">
          <w:pPr>
            <w:pStyle w:val="RectoFooter"/>
          </w:pPr>
          <w:r w:rsidRPr="007B42CF">
            <w:t>Code of Practice for the Safe Transport of Radioactive Material: ORS C6: For public consultation</w:t>
          </w:r>
        </w:p>
      </w:tc>
      <w:tc>
        <w:tcPr>
          <w:tcW w:w="709" w:type="dxa"/>
          <w:vAlign w:val="center"/>
        </w:tcPr>
        <w:p w14:paraId="0EF0D243" w14:textId="77777777" w:rsidR="002560CC" w:rsidRPr="00931466" w:rsidRDefault="002560C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04B30496" w14:textId="77777777" w:rsidR="002560CC" w:rsidRPr="00581EB8" w:rsidRDefault="002560CC"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7E34FA6B" w14:textId="77777777" w:rsidTr="00D662F8">
      <w:trPr>
        <w:cantSplit/>
      </w:trPr>
      <w:tc>
        <w:tcPr>
          <w:tcW w:w="675" w:type="dxa"/>
          <w:vAlign w:val="center"/>
        </w:tcPr>
        <w:p w14:paraId="6281C31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2</w:t>
          </w:r>
          <w:r w:rsidRPr="00931466">
            <w:rPr>
              <w:rStyle w:val="PageNumber"/>
            </w:rPr>
            <w:fldChar w:fldCharType="end"/>
          </w:r>
        </w:p>
      </w:tc>
      <w:tc>
        <w:tcPr>
          <w:tcW w:w="9072" w:type="dxa"/>
          <w:vAlign w:val="center"/>
        </w:tcPr>
        <w:p w14:paraId="27262A64" w14:textId="4A56E032" w:rsidR="00D662F8" w:rsidRDefault="007B42CF" w:rsidP="000D58DD">
          <w:pPr>
            <w:pStyle w:val="RectoFooter"/>
            <w:jc w:val="left"/>
          </w:pPr>
          <w:r w:rsidRPr="007B42CF">
            <w:t>Code of Practice for the Safe Transport of Radioactive Material: ORS C6: For public consultation</w:t>
          </w:r>
        </w:p>
      </w:tc>
    </w:tr>
  </w:tbl>
  <w:p w14:paraId="5177CEA2" w14:textId="77777777" w:rsidR="00926083" w:rsidRPr="00571223" w:rsidRDefault="00926083"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35176CA1" w:rsidR="00D662F8" w:rsidRDefault="007B42CF" w:rsidP="00931466">
          <w:pPr>
            <w:pStyle w:val="RectoFooter"/>
          </w:pPr>
          <w:r w:rsidRPr="007B42CF">
            <w:t>Code of Practice for the Safe Transport of Radioactive Material: ORS C6: For public consultation</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1</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05BB5">
            <w:rPr>
              <w:rStyle w:val="PageNumber"/>
              <w:noProof/>
            </w:rPr>
            <w:t>vi</w:t>
          </w:r>
          <w:r w:rsidRPr="00931466">
            <w:rPr>
              <w:rStyle w:val="PageNumber"/>
            </w:rPr>
            <w:fldChar w:fldCharType="end"/>
          </w:r>
        </w:p>
      </w:tc>
      <w:tc>
        <w:tcPr>
          <w:tcW w:w="8080" w:type="dxa"/>
          <w:vAlign w:val="center"/>
        </w:tcPr>
        <w:p w14:paraId="6026D159" w14:textId="77777777" w:rsidR="00D662F8" w:rsidRDefault="00D662F8" w:rsidP="00926083">
          <w:pPr>
            <w:pStyle w:val="RectoFooter"/>
            <w:jc w:val="left"/>
          </w:pPr>
          <w:r>
            <w:t>[INSERT TITLE]</w:t>
          </w:r>
        </w:p>
      </w:tc>
    </w:tr>
  </w:tbl>
  <w:p w14:paraId="711B5D80"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D662F8">
      <w:trPr>
        <w:cantSplit/>
      </w:trPr>
      <w:tc>
        <w:tcPr>
          <w:tcW w:w="8080" w:type="dxa"/>
          <w:vAlign w:val="center"/>
        </w:tcPr>
        <w:p w14:paraId="20E2F0CC" w14:textId="4D34EE93" w:rsidR="00D662F8" w:rsidRDefault="007B42CF" w:rsidP="00926083">
          <w:pPr>
            <w:pStyle w:val="RectoFooter"/>
          </w:pPr>
          <w:r w:rsidRPr="007B42CF">
            <w:t>Code of Practice for the Safe Transport of Radioactive Material: ORS C6: For public consultation</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7DB74E0B" w14:textId="77777777" w:rsidTr="00D662F8">
      <w:trPr>
        <w:cantSplit/>
      </w:trPr>
      <w:tc>
        <w:tcPr>
          <w:tcW w:w="709" w:type="dxa"/>
          <w:vAlign w:val="center"/>
        </w:tcPr>
        <w:p w14:paraId="7FB9EB7B"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viii</w:t>
          </w:r>
          <w:r w:rsidRPr="00931466">
            <w:rPr>
              <w:rStyle w:val="PageNumber"/>
            </w:rPr>
            <w:fldChar w:fldCharType="end"/>
          </w:r>
        </w:p>
      </w:tc>
      <w:tc>
        <w:tcPr>
          <w:tcW w:w="8080" w:type="dxa"/>
          <w:vAlign w:val="center"/>
        </w:tcPr>
        <w:p w14:paraId="1A8BBBFB" w14:textId="6D813D3D" w:rsidR="00D662F8" w:rsidRDefault="007B42CF" w:rsidP="00926083">
          <w:pPr>
            <w:pStyle w:val="RectoFooter"/>
            <w:jc w:val="left"/>
          </w:pPr>
          <w:r w:rsidRPr="007B42CF">
            <w:t>Code of Practice for the Safe Transport of Radioactive Material: ORS C6: For public consultation</w:t>
          </w:r>
        </w:p>
      </w:tc>
    </w:tr>
  </w:tbl>
  <w:p w14:paraId="7C39EF3C"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23138CB" w14:textId="77777777" w:rsidTr="00D662F8">
      <w:trPr>
        <w:cantSplit/>
      </w:trPr>
      <w:tc>
        <w:tcPr>
          <w:tcW w:w="8080" w:type="dxa"/>
          <w:vAlign w:val="center"/>
        </w:tcPr>
        <w:p w14:paraId="520A68A6" w14:textId="6B6DBEF2" w:rsidR="00D662F8" w:rsidRDefault="007B42CF" w:rsidP="00926083">
          <w:pPr>
            <w:pStyle w:val="RectoFooter"/>
          </w:pPr>
          <w:r w:rsidRPr="007B42CF">
            <w:t>Code of Practice for the Safe Transport of Radioactive Material: ORS C6: For public consultation</w:t>
          </w:r>
        </w:p>
      </w:tc>
      <w:tc>
        <w:tcPr>
          <w:tcW w:w="709" w:type="dxa"/>
          <w:vAlign w:val="center"/>
        </w:tcPr>
        <w:p w14:paraId="745D812B"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w:t>
          </w:r>
          <w:r w:rsidRPr="00931466">
            <w:rPr>
              <w:rStyle w:val="PageNumber"/>
            </w:rPr>
            <w:fldChar w:fldCharType="end"/>
          </w:r>
        </w:p>
      </w:tc>
    </w:tr>
  </w:tbl>
  <w:p w14:paraId="755CAC6B" w14:textId="77777777" w:rsidR="00D05D74" w:rsidRPr="00581EB8" w:rsidRDefault="00D05D7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479C" w14:textId="77777777" w:rsidR="002560CC" w:rsidRPr="00571223" w:rsidRDefault="002560CC"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560CC" w14:paraId="0ECE74E9" w14:textId="77777777" w:rsidTr="00D662F8">
      <w:trPr>
        <w:cantSplit/>
      </w:trPr>
      <w:tc>
        <w:tcPr>
          <w:tcW w:w="709" w:type="dxa"/>
          <w:vAlign w:val="center"/>
        </w:tcPr>
        <w:p w14:paraId="391C7BA0" w14:textId="77777777" w:rsidR="002560CC" w:rsidRPr="00931466" w:rsidRDefault="002560C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4BF6D3D" w14:textId="78638940" w:rsidR="002560CC" w:rsidRDefault="007B42CF" w:rsidP="00926083">
          <w:pPr>
            <w:pStyle w:val="RectoFooter"/>
            <w:jc w:val="left"/>
          </w:pPr>
          <w:r w:rsidRPr="007B42CF">
            <w:t>Code of Practice for the Safe Transport of Radioactive Material: ORS C6: For public consultation</w:t>
          </w:r>
        </w:p>
      </w:tc>
    </w:tr>
  </w:tbl>
  <w:p w14:paraId="2167C784" w14:textId="77777777" w:rsidR="002560CC" w:rsidRPr="00571223" w:rsidRDefault="002560CC"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C399" w14:textId="77777777" w:rsidR="002A4E94" w:rsidRPr="00A26E6B" w:rsidRDefault="002A4E94" w:rsidP="00A26E6B"/>
  </w:footnote>
  <w:footnote w:type="continuationSeparator" w:id="0">
    <w:p w14:paraId="677F439D" w14:textId="77777777" w:rsidR="002A4E94" w:rsidRDefault="002A4E94">
      <w:r>
        <w:continuationSeparator/>
      </w:r>
    </w:p>
    <w:p w14:paraId="1851D7F2" w14:textId="77777777" w:rsidR="002A4E94" w:rsidRDefault="002A4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74391316">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rPr>
            <w:drawing>
              <wp:anchor distT="0" distB="0" distL="114300" distR="114300" simplePos="0" relativeHeight="251658240" behindDoc="0" locked="0" layoutInCell="1" allowOverlap="1" wp14:anchorId="1D75C094" wp14:editId="2890D545">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E42F5D" w:rsidRDefault="00E42F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660F74" w:rsidRDefault="00660F7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EDE4078E"/>
    <w:lvl w:ilvl="0">
      <w:start w:val="1"/>
      <w:numFmt w:val="lowerRoman"/>
      <w:lvlText w:val="%1."/>
      <w:lvlJc w:val="left"/>
      <w:pPr>
        <w:ind w:left="992" w:hanging="992"/>
      </w:pPr>
      <w:rPr>
        <w:rFonts w:ascii="Segoe UI" w:eastAsia="Times New Roman" w:hAnsi="Segoe UI" w:cs="Times New Roman" w:hint="default"/>
      </w:rPr>
    </w:lvl>
    <w:lvl w:ilvl="1">
      <w:start w:val="1"/>
      <w:numFmt w:val="lowerLetter"/>
      <w:lvlText w:val="%2."/>
      <w:lvlJc w:val="left"/>
      <w:pPr>
        <w:ind w:left="-285" w:hanging="992"/>
      </w:pPr>
    </w:lvl>
    <w:lvl w:ilvl="2">
      <w:start w:val="1"/>
      <w:numFmt w:val="none"/>
      <w:suff w:val="nothing"/>
      <w:lvlText w:val="%3"/>
      <w:lvlJc w:val="left"/>
      <w:pPr>
        <w:ind w:left="-1277" w:firstLine="0"/>
      </w:pPr>
    </w:lvl>
    <w:lvl w:ilvl="3">
      <w:start w:val="1"/>
      <w:numFmt w:val="decimal"/>
      <w:lvlText w:val="%4."/>
      <w:lvlJc w:val="left"/>
      <w:pPr>
        <w:ind w:left="2911" w:hanging="360"/>
      </w:pPr>
    </w:lvl>
    <w:lvl w:ilvl="4">
      <w:start w:val="1"/>
      <w:numFmt w:val="lowerLetter"/>
      <w:lvlText w:val="%5)"/>
      <w:lvlJc w:val="left"/>
      <w:pPr>
        <w:ind w:left="-350" w:hanging="360"/>
      </w:pPr>
    </w:lvl>
    <w:lvl w:ilvl="5">
      <w:start w:val="1"/>
      <w:numFmt w:val="lowerRoman"/>
      <w:lvlText w:val="%6."/>
      <w:lvlJc w:val="left"/>
      <w:pPr>
        <w:ind w:left="424" w:hanging="567"/>
      </w:pPr>
    </w:lvl>
    <w:lvl w:ilvl="6">
      <w:start w:val="1"/>
      <w:numFmt w:val="decimal"/>
      <w:lvlText w:val="%7."/>
      <w:lvlJc w:val="left"/>
      <w:pPr>
        <w:ind w:left="1243" w:hanging="360"/>
      </w:pPr>
    </w:lvl>
    <w:lvl w:ilvl="7">
      <w:start w:val="1"/>
      <w:numFmt w:val="lowerLetter"/>
      <w:lvlText w:val="%8."/>
      <w:lvlJc w:val="left"/>
      <w:pPr>
        <w:ind w:left="1603" w:hanging="360"/>
      </w:pPr>
    </w:lvl>
    <w:lvl w:ilvl="8">
      <w:start w:val="1"/>
      <w:numFmt w:val="lowerRoman"/>
      <w:lvlText w:val="%9."/>
      <w:lvlJc w:val="left"/>
      <w:pPr>
        <w:ind w:left="1963"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66435603">
    <w:abstractNumId w:val="30"/>
  </w:num>
  <w:num w:numId="2" w16cid:durableId="1039088198">
    <w:abstractNumId w:val="23"/>
  </w:num>
  <w:num w:numId="3" w16cid:durableId="609512418">
    <w:abstractNumId w:val="16"/>
  </w:num>
  <w:num w:numId="4" w16cid:durableId="1822188939">
    <w:abstractNumId w:val="17"/>
  </w:num>
  <w:num w:numId="5" w16cid:durableId="215431653">
    <w:abstractNumId w:val="1"/>
  </w:num>
  <w:num w:numId="6" w16cid:durableId="1425767024">
    <w:abstractNumId w:val="32"/>
  </w:num>
  <w:num w:numId="7" w16cid:durableId="1983146248">
    <w:abstractNumId w:val="13"/>
  </w:num>
  <w:num w:numId="8" w16cid:durableId="558322524">
    <w:abstractNumId w:val="3"/>
  </w:num>
  <w:num w:numId="9" w16cid:durableId="1685088102">
    <w:abstractNumId w:val="29"/>
  </w:num>
  <w:num w:numId="10" w16cid:durableId="90781049">
    <w:abstractNumId w:val="2"/>
  </w:num>
  <w:num w:numId="11" w16cid:durableId="295571042">
    <w:abstractNumId w:val="27"/>
  </w:num>
  <w:num w:numId="12" w16cid:durableId="628973132">
    <w:abstractNumId w:val="4"/>
  </w:num>
  <w:num w:numId="13" w16cid:durableId="398872419">
    <w:abstractNumId w:val="8"/>
  </w:num>
  <w:num w:numId="14" w16cid:durableId="2066367659">
    <w:abstractNumId w:val="6"/>
  </w:num>
  <w:num w:numId="15" w16cid:durableId="945577971">
    <w:abstractNumId w:val="9"/>
  </w:num>
  <w:num w:numId="16" w16cid:durableId="2017340483">
    <w:abstractNumId w:val="20"/>
  </w:num>
  <w:num w:numId="17" w16cid:durableId="1414475335">
    <w:abstractNumId w:val="11"/>
  </w:num>
  <w:num w:numId="18" w16cid:durableId="924916104">
    <w:abstractNumId w:val="25"/>
  </w:num>
  <w:num w:numId="19" w16cid:durableId="731079974">
    <w:abstractNumId w:val="12"/>
  </w:num>
  <w:num w:numId="20" w16cid:durableId="1780372435">
    <w:abstractNumId w:val="19"/>
  </w:num>
  <w:num w:numId="21" w16cid:durableId="457182425">
    <w:abstractNumId w:val="7"/>
  </w:num>
  <w:num w:numId="22" w16cid:durableId="1948851361">
    <w:abstractNumId w:val="5"/>
  </w:num>
  <w:num w:numId="23" w16cid:durableId="1845120460">
    <w:abstractNumId w:val="22"/>
  </w:num>
  <w:num w:numId="24" w16cid:durableId="1066032828">
    <w:abstractNumId w:val="21"/>
  </w:num>
  <w:num w:numId="25" w16cid:durableId="968435479">
    <w:abstractNumId w:val="31"/>
  </w:num>
  <w:num w:numId="26" w16cid:durableId="991718039">
    <w:abstractNumId w:val="14"/>
  </w:num>
  <w:num w:numId="27" w16cid:durableId="1956250193">
    <w:abstractNumId w:val="26"/>
  </w:num>
  <w:num w:numId="28" w16cid:durableId="910391579">
    <w:abstractNumId w:val="24"/>
  </w:num>
  <w:num w:numId="29" w16cid:durableId="1277370666">
    <w:abstractNumId w:val="18"/>
  </w:num>
  <w:num w:numId="30" w16cid:durableId="125464773">
    <w:abstractNumId w:val="10"/>
  </w:num>
  <w:num w:numId="31" w16cid:durableId="1387608635">
    <w:abstractNumId w:val="28"/>
  </w:num>
  <w:num w:numId="32" w16cid:durableId="1723869756">
    <w:abstractNumId w:val="15"/>
  </w:num>
  <w:num w:numId="33" w16cid:durableId="1186990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7502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7777"/>
    <w:rsid w:val="00054B44"/>
    <w:rsid w:val="0006228D"/>
    <w:rsid w:val="00063042"/>
    <w:rsid w:val="00067A70"/>
    <w:rsid w:val="00072BD6"/>
    <w:rsid w:val="00075B78"/>
    <w:rsid w:val="000763E9"/>
    <w:rsid w:val="00082CD6"/>
    <w:rsid w:val="0008437D"/>
    <w:rsid w:val="00085AFE"/>
    <w:rsid w:val="00092260"/>
    <w:rsid w:val="00094800"/>
    <w:rsid w:val="000A41ED"/>
    <w:rsid w:val="000B0730"/>
    <w:rsid w:val="000D19F4"/>
    <w:rsid w:val="000D58DD"/>
    <w:rsid w:val="000E3669"/>
    <w:rsid w:val="000F2AE2"/>
    <w:rsid w:val="000F2BFF"/>
    <w:rsid w:val="00102063"/>
    <w:rsid w:val="0010541C"/>
    <w:rsid w:val="00106F93"/>
    <w:rsid w:val="00111D50"/>
    <w:rsid w:val="00113B8E"/>
    <w:rsid w:val="0012053C"/>
    <w:rsid w:val="00121CE8"/>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5559"/>
    <w:rsid w:val="0021763B"/>
    <w:rsid w:val="00246DB1"/>
    <w:rsid w:val="002473C9"/>
    <w:rsid w:val="002476B5"/>
    <w:rsid w:val="002520CC"/>
    <w:rsid w:val="00253ECF"/>
    <w:rsid w:val="002546A1"/>
    <w:rsid w:val="002560CC"/>
    <w:rsid w:val="002579DE"/>
    <w:rsid w:val="002628F4"/>
    <w:rsid w:val="00263FEF"/>
    <w:rsid w:val="00275D08"/>
    <w:rsid w:val="00280DB2"/>
    <w:rsid w:val="00285606"/>
    <w:rsid w:val="002858E3"/>
    <w:rsid w:val="00286A2A"/>
    <w:rsid w:val="002916FF"/>
    <w:rsid w:val="0029190A"/>
    <w:rsid w:val="00292C5A"/>
    <w:rsid w:val="00295241"/>
    <w:rsid w:val="002A4DFC"/>
    <w:rsid w:val="002A4E94"/>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1ABA"/>
    <w:rsid w:val="00343365"/>
    <w:rsid w:val="003445F4"/>
    <w:rsid w:val="00353501"/>
    <w:rsid w:val="00353734"/>
    <w:rsid w:val="00354CEB"/>
    <w:rsid w:val="003606F8"/>
    <w:rsid w:val="003648EF"/>
    <w:rsid w:val="003673E6"/>
    <w:rsid w:val="00377264"/>
    <w:rsid w:val="003779D2"/>
    <w:rsid w:val="00385E38"/>
    <w:rsid w:val="00386AE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6AF8"/>
    <w:rsid w:val="003F7013"/>
    <w:rsid w:val="0040240C"/>
    <w:rsid w:val="00413021"/>
    <w:rsid w:val="004301C6"/>
    <w:rsid w:val="0043478F"/>
    <w:rsid w:val="0043602B"/>
    <w:rsid w:val="00440BE0"/>
    <w:rsid w:val="00441AC4"/>
    <w:rsid w:val="00442C1C"/>
    <w:rsid w:val="0044584B"/>
    <w:rsid w:val="00447CB7"/>
    <w:rsid w:val="00455CC9"/>
    <w:rsid w:val="00460826"/>
    <w:rsid w:val="00460EA7"/>
    <w:rsid w:val="0046195B"/>
    <w:rsid w:val="00462C54"/>
    <w:rsid w:val="0046362D"/>
    <w:rsid w:val="0046596D"/>
    <w:rsid w:val="00487085"/>
    <w:rsid w:val="00487C04"/>
    <w:rsid w:val="004907E1"/>
    <w:rsid w:val="00494AF0"/>
    <w:rsid w:val="004A035B"/>
    <w:rsid w:val="004A2108"/>
    <w:rsid w:val="004A38D7"/>
    <w:rsid w:val="004A778C"/>
    <w:rsid w:val="004B48C7"/>
    <w:rsid w:val="004C2E6A"/>
    <w:rsid w:val="004C64B8"/>
    <w:rsid w:val="004C7310"/>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208C"/>
    <w:rsid w:val="005763E0"/>
    <w:rsid w:val="00581136"/>
    <w:rsid w:val="00581EB8"/>
    <w:rsid w:val="005A27CA"/>
    <w:rsid w:val="005A43BD"/>
    <w:rsid w:val="005A79E5"/>
    <w:rsid w:val="005D034C"/>
    <w:rsid w:val="005D3E70"/>
    <w:rsid w:val="005E0252"/>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A7A38"/>
    <w:rsid w:val="006B0E73"/>
    <w:rsid w:val="006B1E3D"/>
    <w:rsid w:val="006B4A4D"/>
    <w:rsid w:val="006B5695"/>
    <w:rsid w:val="006B7B2E"/>
    <w:rsid w:val="006C78EB"/>
    <w:rsid w:val="006D1660"/>
    <w:rsid w:val="006D4843"/>
    <w:rsid w:val="006D63E5"/>
    <w:rsid w:val="006E1753"/>
    <w:rsid w:val="006E3911"/>
    <w:rsid w:val="006F1B67"/>
    <w:rsid w:val="006F4D9C"/>
    <w:rsid w:val="0070091D"/>
    <w:rsid w:val="00702854"/>
    <w:rsid w:val="0071741C"/>
    <w:rsid w:val="00742B90"/>
    <w:rsid w:val="00742F3A"/>
    <w:rsid w:val="0074434D"/>
    <w:rsid w:val="007570C4"/>
    <w:rsid w:val="007605B8"/>
    <w:rsid w:val="00771B1E"/>
    <w:rsid w:val="00773C95"/>
    <w:rsid w:val="00773EE7"/>
    <w:rsid w:val="0078171E"/>
    <w:rsid w:val="00784177"/>
    <w:rsid w:val="0078658E"/>
    <w:rsid w:val="007920E2"/>
    <w:rsid w:val="0079566E"/>
    <w:rsid w:val="00795B34"/>
    <w:rsid w:val="007A067F"/>
    <w:rsid w:val="007B1770"/>
    <w:rsid w:val="007B42CF"/>
    <w:rsid w:val="007B4D3E"/>
    <w:rsid w:val="007B7C70"/>
    <w:rsid w:val="007B7DEB"/>
    <w:rsid w:val="007C0449"/>
    <w:rsid w:val="007C4386"/>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3642"/>
    <w:rsid w:val="00803C1E"/>
    <w:rsid w:val="008052E1"/>
    <w:rsid w:val="008165C0"/>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417B"/>
    <w:rsid w:val="00916E00"/>
    <w:rsid w:val="0091756F"/>
    <w:rsid w:val="00920A27"/>
    <w:rsid w:val="00921216"/>
    <w:rsid w:val="009216CC"/>
    <w:rsid w:val="00926083"/>
    <w:rsid w:val="00930D08"/>
    <w:rsid w:val="00931466"/>
    <w:rsid w:val="00932D69"/>
    <w:rsid w:val="00935589"/>
    <w:rsid w:val="00944647"/>
    <w:rsid w:val="0095565C"/>
    <w:rsid w:val="00964AB6"/>
    <w:rsid w:val="00966F9A"/>
    <w:rsid w:val="0097605B"/>
    <w:rsid w:val="00977B8A"/>
    <w:rsid w:val="00982971"/>
    <w:rsid w:val="009845AD"/>
    <w:rsid w:val="00984835"/>
    <w:rsid w:val="0098639B"/>
    <w:rsid w:val="009933EF"/>
    <w:rsid w:val="00995BA0"/>
    <w:rsid w:val="009A4014"/>
    <w:rsid w:val="009A418B"/>
    <w:rsid w:val="009A426F"/>
    <w:rsid w:val="009A42D5"/>
    <w:rsid w:val="009A4473"/>
    <w:rsid w:val="009B05C9"/>
    <w:rsid w:val="009B286C"/>
    <w:rsid w:val="009C0509"/>
    <w:rsid w:val="009C151C"/>
    <w:rsid w:val="009C440A"/>
    <w:rsid w:val="009D5125"/>
    <w:rsid w:val="009D60B8"/>
    <w:rsid w:val="009D7D4B"/>
    <w:rsid w:val="009E36ED"/>
    <w:rsid w:val="009E3C8C"/>
    <w:rsid w:val="009E6B77"/>
    <w:rsid w:val="009F460A"/>
    <w:rsid w:val="00A043FB"/>
    <w:rsid w:val="00A06BE4"/>
    <w:rsid w:val="00A07100"/>
    <w:rsid w:val="00A0729C"/>
    <w:rsid w:val="00A07779"/>
    <w:rsid w:val="00A11115"/>
    <w:rsid w:val="00A1166A"/>
    <w:rsid w:val="00A20B2E"/>
    <w:rsid w:val="00A24F33"/>
    <w:rsid w:val="00A25069"/>
    <w:rsid w:val="00A26E6B"/>
    <w:rsid w:val="00A3068F"/>
    <w:rsid w:val="00A3145B"/>
    <w:rsid w:val="00A33355"/>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A3EEB"/>
    <w:rsid w:val="00AB05D6"/>
    <w:rsid w:val="00AC101C"/>
    <w:rsid w:val="00AC25BE"/>
    <w:rsid w:val="00AD4CF1"/>
    <w:rsid w:val="00AD5988"/>
    <w:rsid w:val="00AD6293"/>
    <w:rsid w:val="00AF1BA8"/>
    <w:rsid w:val="00AF7800"/>
    <w:rsid w:val="00B00CF5"/>
    <w:rsid w:val="00B052C0"/>
    <w:rsid w:val="00B072E0"/>
    <w:rsid w:val="00B1007E"/>
    <w:rsid w:val="00B253F6"/>
    <w:rsid w:val="00B26675"/>
    <w:rsid w:val="00B26F0F"/>
    <w:rsid w:val="00B305DB"/>
    <w:rsid w:val="00B332F8"/>
    <w:rsid w:val="00B3492B"/>
    <w:rsid w:val="00B44A5C"/>
    <w:rsid w:val="00B4646F"/>
    <w:rsid w:val="00B55C7D"/>
    <w:rsid w:val="00B63038"/>
    <w:rsid w:val="00B64BD8"/>
    <w:rsid w:val="00B701D1"/>
    <w:rsid w:val="00B73AF2"/>
    <w:rsid w:val="00B7551A"/>
    <w:rsid w:val="00B76BA7"/>
    <w:rsid w:val="00B773F1"/>
    <w:rsid w:val="00B86AB1"/>
    <w:rsid w:val="00B97F07"/>
    <w:rsid w:val="00BA7EBA"/>
    <w:rsid w:val="00BB2A06"/>
    <w:rsid w:val="00BB2CBB"/>
    <w:rsid w:val="00BB4198"/>
    <w:rsid w:val="00BC03EE"/>
    <w:rsid w:val="00BC59F1"/>
    <w:rsid w:val="00BE31EB"/>
    <w:rsid w:val="00BE3813"/>
    <w:rsid w:val="00BF3DE1"/>
    <w:rsid w:val="00BF4843"/>
    <w:rsid w:val="00BF5205"/>
    <w:rsid w:val="00C05132"/>
    <w:rsid w:val="00C065A2"/>
    <w:rsid w:val="00C12508"/>
    <w:rsid w:val="00C23728"/>
    <w:rsid w:val="00C3026C"/>
    <w:rsid w:val="00C313A9"/>
    <w:rsid w:val="00C35372"/>
    <w:rsid w:val="00C441CF"/>
    <w:rsid w:val="00C45AA2"/>
    <w:rsid w:val="00C4792C"/>
    <w:rsid w:val="00C55BEF"/>
    <w:rsid w:val="00C601AF"/>
    <w:rsid w:val="00C61A63"/>
    <w:rsid w:val="00C66296"/>
    <w:rsid w:val="00C7394D"/>
    <w:rsid w:val="00C77282"/>
    <w:rsid w:val="00C84DE5"/>
    <w:rsid w:val="00C86248"/>
    <w:rsid w:val="00C90B31"/>
    <w:rsid w:val="00CA0D6F"/>
    <w:rsid w:val="00CA2B99"/>
    <w:rsid w:val="00CA4C33"/>
    <w:rsid w:val="00CA6F4A"/>
    <w:rsid w:val="00CB6427"/>
    <w:rsid w:val="00CC0FBE"/>
    <w:rsid w:val="00CC1F92"/>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45A17"/>
    <w:rsid w:val="00D50573"/>
    <w:rsid w:val="00D528A1"/>
    <w:rsid w:val="00D54D50"/>
    <w:rsid w:val="00D560B4"/>
    <w:rsid w:val="00D662F8"/>
    <w:rsid w:val="00D66797"/>
    <w:rsid w:val="00D7074B"/>
    <w:rsid w:val="00D7087C"/>
    <w:rsid w:val="00D70C3C"/>
    <w:rsid w:val="00D71DF7"/>
    <w:rsid w:val="00D72BE5"/>
    <w:rsid w:val="00D76362"/>
    <w:rsid w:val="00D81462"/>
    <w:rsid w:val="00D82F26"/>
    <w:rsid w:val="00D863D0"/>
    <w:rsid w:val="00D86B00"/>
    <w:rsid w:val="00D86FB9"/>
    <w:rsid w:val="00D87C87"/>
    <w:rsid w:val="00D90BB4"/>
    <w:rsid w:val="00D90E07"/>
    <w:rsid w:val="00D932C2"/>
    <w:rsid w:val="00DA6887"/>
    <w:rsid w:val="00DB39CF"/>
    <w:rsid w:val="00DB7256"/>
    <w:rsid w:val="00DC0401"/>
    <w:rsid w:val="00DC20BD"/>
    <w:rsid w:val="00DD0BCD"/>
    <w:rsid w:val="00DD312B"/>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972FE"/>
    <w:rsid w:val="00EA65DF"/>
    <w:rsid w:val="00EA796A"/>
    <w:rsid w:val="00EB1856"/>
    <w:rsid w:val="00EC50CE"/>
    <w:rsid w:val="00EC5B34"/>
    <w:rsid w:val="00ED021E"/>
    <w:rsid w:val="00ED11F9"/>
    <w:rsid w:val="00ED323C"/>
    <w:rsid w:val="00EE2D5C"/>
    <w:rsid w:val="00EE4ADE"/>
    <w:rsid w:val="00EE4DE8"/>
    <w:rsid w:val="00EE5CB7"/>
    <w:rsid w:val="00F024FE"/>
    <w:rsid w:val="00F05AD4"/>
    <w:rsid w:val="00F10EB6"/>
    <w:rsid w:val="00F13F07"/>
    <w:rsid w:val="00F140B2"/>
    <w:rsid w:val="00F25970"/>
    <w:rsid w:val="00F311A9"/>
    <w:rsid w:val="00F5180D"/>
    <w:rsid w:val="00F6015C"/>
    <w:rsid w:val="00F63781"/>
    <w:rsid w:val="00F67496"/>
    <w:rsid w:val="00F801BA"/>
    <w:rsid w:val="00F809B7"/>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0"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customStyle="1" w:styleId="TableChar">
    <w:name w:val="Table Char"/>
    <w:link w:val="Table"/>
    <w:locked/>
    <w:rsid w:val="00916E00"/>
    <w:rPr>
      <w:rFonts w:ascii="Segoe UI" w:hAnsi="Segoe UI"/>
      <w:b/>
      <w:lang w:eastAsia="en-GB"/>
    </w:rPr>
  </w:style>
  <w:style w:type="character" w:customStyle="1" w:styleId="TableTextChar">
    <w:name w:val="TableText Char"/>
    <w:link w:val="TableText"/>
    <w:locked/>
    <w:rsid w:val="00916E00"/>
    <w:rPr>
      <w:rFonts w:ascii="Segoe UI" w:hAnsi="Segoe UI"/>
      <w:sz w:val="18"/>
      <w:lang w:eastAsia="en-GB"/>
    </w:rPr>
  </w:style>
  <w:style w:type="character" w:customStyle="1" w:styleId="BulletChar">
    <w:name w:val="Bullet Char"/>
    <w:link w:val="Bullet"/>
    <w:locked/>
    <w:rsid w:val="00916E00"/>
    <w:rPr>
      <w:rFonts w:ascii="Segoe UI" w:hAnsi="Segoe UI"/>
      <w:sz w:val="21"/>
      <w:lang w:eastAsia="en-GB"/>
    </w:rPr>
  </w:style>
  <w:style w:type="paragraph" w:customStyle="1" w:styleId="Heading1-notnumbered">
    <w:name w:val="Heading 1 - not numbered"/>
    <w:basedOn w:val="Heading1"/>
    <w:next w:val="Normal"/>
    <w:qFormat/>
    <w:rsid w:val="00916E00"/>
    <w:pPr>
      <w:keepNext w:val="0"/>
      <w:pageBreakBefore/>
      <w:spacing w:before="0"/>
    </w:pPr>
    <w:rPr>
      <w:sz w:val="64"/>
    </w:rPr>
  </w:style>
  <w:style w:type="character" w:styleId="FollowedHyperlink">
    <w:name w:val="FollowedHyperlink"/>
    <w:basedOn w:val="DefaultParagraphFont"/>
    <w:uiPriority w:val="99"/>
    <w:semiHidden/>
    <w:unhideWhenUsed/>
    <w:rsid w:val="00A33355"/>
    <w:rPr>
      <w:color w:val="800080" w:themeColor="followedHyperlink"/>
      <w:u w:val="single"/>
    </w:rPr>
  </w:style>
  <w:style w:type="character" w:styleId="UnresolvedMention">
    <w:name w:val="Unresolved Mention"/>
    <w:basedOn w:val="DefaultParagraphFont"/>
    <w:uiPriority w:val="99"/>
    <w:semiHidden/>
    <w:unhideWhenUsed/>
    <w:rsid w:val="0097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7316">
      <w:bodyDiv w:val="1"/>
      <w:marLeft w:val="0"/>
      <w:marRight w:val="0"/>
      <w:marTop w:val="0"/>
      <w:marBottom w:val="0"/>
      <w:divBdr>
        <w:top w:val="none" w:sz="0" w:space="0" w:color="auto"/>
        <w:left w:val="none" w:sz="0" w:space="0" w:color="auto"/>
        <w:bottom w:val="none" w:sz="0" w:space="0" w:color="auto"/>
        <w:right w:val="none" w:sz="0" w:space="0" w:color="auto"/>
      </w:divBdr>
    </w:div>
    <w:div w:id="891506402">
      <w:bodyDiv w:val="1"/>
      <w:marLeft w:val="0"/>
      <w:marRight w:val="0"/>
      <w:marTop w:val="0"/>
      <w:marBottom w:val="0"/>
      <w:divBdr>
        <w:top w:val="none" w:sz="0" w:space="0" w:color="auto"/>
        <w:left w:val="none" w:sz="0" w:space="0" w:color="auto"/>
        <w:bottom w:val="none" w:sz="0" w:space="0" w:color="auto"/>
        <w:right w:val="none" w:sz="0" w:space="0" w:color="auto"/>
      </w:divBdr>
    </w:div>
    <w:div w:id="1126703146">
      <w:bodyDiv w:val="1"/>
      <w:marLeft w:val="0"/>
      <w:marRight w:val="0"/>
      <w:marTop w:val="0"/>
      <w:marBottom w:val="0"/>
      <w:divBdr>
        <w:top w:val="none" w:sz="0" w:space="0" w:color="auto"/>
        <w:left w:val="none" w:sz="0" w:space="0" w:color="auto"/>
        <w:bottom w:val="none" w:sz="0" w:space="0" w:color="auto"/>
        <w:right w:val="none" w:sz="0" w:space="0" w:color="auto"/>
      </w:divBdr>
    </w:div>
    <w:div w:id="1217888193">
      <w:bodyDiv w:val="1"/>
      <w:marLeft w:val="0"/>
      <w:marRight w:val="0"/>
      <w:marTop w:val="0"/>
      <w:marBottom w:val="0"/>
      <w:divBdr>
        <w:top w:val="none" w:sz="0" w:space="0" w:color="auto"/>
        <w:left w:val="none" w:sz="0" w:space="0" w:color="auto"/>
        <w:bottom w:val="none" w:sz="0" w:space="0" w:color="auto"/>
        <w:right w:val="none" w:sz="0" w:space="0" w:color="auto"/>
      </w:divBdr>
    </w:div>
    <w:div w:id="1311859897">
      <w:bodyDiv w:val="1"/>
      <w:marLeft w:val="0"/>
      <w:marRight w:val="0"/>
      <w:marTop w:val="0"/>
      <w:marBottom w:val="0"/>
      <w:divBdr>
        <w:top w:val="none" w:sz="0" w:space="0" w:color="auto"/>
        <w:left w:val="none" w:sz="0" w:space="0" w:color="auto"/>
        <w:bottom w:val="none" w:sz="0" w:space="0" w:color="auto"/>
        <w:right w:val="none" w:sz="0" w:space="0" w:color="auto"/>
      </w:divBdr>
    </w:div>
    <w:div w:id="16396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yperlink" Target="https://www.legislation.govt.nz/act/public/2019/0058/latest/DLM7298133.html" TargetMode="External"/><Relationship Id="rId39" Type="http://schemas.openxmlformats.org/officeDocument/2006/relationships/hyperlink" Target="https://consult.health.govt.nz/radiation-safety/revised-code-of-practice-for-the-safe-transport-of" TargetMode="External"/><Relationship Id="rId21" Type="http://schemas.openxmlformats.org/officeDocument/2006/relationships/hyperlink" Target="https://www.legislation.govt.nz/act/public/2016/0006/latest/DLM6339744.html" TargetMode="External"/><Relationship Id="rId34" Type="http://schemas.openxmlformats.org/officeDocument/2006/relationships/hyperlink" Target="https://www.legislation.govt.nz/act/public/2019/0058/latest/DLM7298339.html" TargetMode="External"/><Relationship Id="rId42" Type="http://schemas.openxmlformats.org/officeDocument/2006/relationships/hyperlink" Target="https://www.legislation.govt.nz/act/public/2016/0006/latest/DLM6339744.html" TargetMode="External"/><Relationship Id="rId47" Type="http://schemas.openxmlformats.org/officeDocument/2006/relationships/hyperlink" Target="https://www.maritimenz.govt.nz/rules/all-rules/maritime-rules-part-24a/" TargetMode="External"/><Relationship Id="rId50" Type="http://schemas.openxmlformats.org/officeDocument/2006/relationships/hyperlink" Target="https://www.legislation.govt.nz/act/public/2019/0058/latest/DLM7298197.html" TargetMode="External"/><Relationship Id="rId55"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health.govt.nz/publication/code-practice-safe-transport-radioactive-material" TargetMode="External"/><Relationship Id="rId33" Type="http://schemas.openxmlformats.org/officeDocument/2006/relationships/hyperlink" Target="https://www.legislation.govt.nz/act/public/2016/0006/latest/DLM6339526.html" TargetMode="External"/><Relationship Id="rId38" Type="http://schemas.openxmlformats.org/officeDocument/2006/relationships/hyperlink" Target="https://www.legislation.govt.nz/act/public/2019/0058/latest/DLM7298341.html" TargetMode="Externa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legislation.govt.nz/act/public/2016/0006/latest/DLM6339526.html" TargetMode="External"/><Relationship Id="rId41" Type="http://schemas.openxmlformats.org/officeDocument/2006/relationships/footer" Target="footer8.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nsult.health.govt.nz/radiation-safety/revised-code-of-practice-for-the-safe-transport-of" TargetMode="External"/><Relationship Id="rId32" Type="http://schemas.openxmlformats.org/officeDocument/2006/relationships/hyperlink" Target="https://www.legislation.govt.nz/act/public/2019/0058/latest/DLM7298125.html" TargetMode="External"/><Relationship Id="rId37" Type="http://schemas.openxmlformats.org/officeDocument/2006/relationships/hyperlink" Target="https://www.legislation.govt.nz/act/public/2019/0058/latest/DLM7298339.html" TargetMode="External"/><Relationship Id="rId40" Type="http://schemas.openxmlformats.org/officeDocument/2006/relationships/hyperlink" Target="mailto:ors.codes@health.govt.nz" TargetMode="External"/><Relationship Id="rId45" Type="http://schemas.openxmlformats.org/officeDocument/2006/relationships/footer" Target="footer9.xml"/><Relationship Id="rId53" Type="http://schemas.openxmlformats.org/officeDocument/2006/relationships/hyperlink" Target="mailto:ors.codes@health.govt.nz"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govt.nz/act/public/2016/0006/latest/DLM6560514.html" TargetMode="External"/><Relationship Id="rId28" Type="http://schemas.openxmlformats.org/officeDocument/2006/relationships/hyperlink" Target="https://www.legislation.govt.nz/act/public/2016/0006/latest/DLM6339747.html" TargetMode="External"/><Relationship Id="rId36" Type="http://schemas.openxmlformats.org/officeDocument/2006/relationships/hyperlink" Target="https://www.legislation.govt.nz/act/public/2016/0006/latest/DLM6339617.html" TargetMode="External"/><Relationship Id="rId49" Type="http://schemas.openxmlformats.org/officeDocument/2006/relationships/hyperlink" Target="https://www.iaea.org/publications/12288/regulations-for-the-safe-transport-of-radioactive-materia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hyperlink" Target="https://www.legislation.govt.nz/act/public/2019/0058/latest/DLM7298339.html" TargetMode="External"/><Relationship Id="rId52" Type="http://schemas.openxmlformats.org/officeDocument/2006/relationships/hyperlink" Target="https://www.legislation.govt.nz/act/public/1982/0156/latest/DLM6478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egislation.govt.nz/act/public/2016/0006/latest/DLM6339747.html" TargetMode="External"/><Relationship Id="rId27" Type="http://schemas.openxmlformats.org/officeDocument/2006/relationships/hyperlink" Target="https://www.legislation.govt.nz/act/public/2016/0006/latest/DLM6339744.html" TargetMode="External"/><Relationship Id="rId30" Type="http://schemas.openxmlformats.org/officeDocument/2006/relationships/footer" Target="footer6.xml"/><Relationship Id="rId35" Type="http://schemas.openxmlformats.org/officeDocument/2006/relationships/hyperlink" Target="https://www.legislation.govt.nz/act/public/2019/0058/latest/DLM7298197.html" TargetMode="External"/><Relationship Id="rId43" Type="http://schemas.openxmlformats.org/officeDocument/2006/relationships/hyperlink" Target="https://www.legislation.govt.nz/act/public/2016/0006/latest/DLM6339526.html" TargetMode="External"/><Relationship Id="rId48" Type="http://schemas.openxmlformats.org/officeDocument/2006/relationships/hyperlink" Target="https://www.aviation.govt.nz/assets/rules/consolidations/Part_092_Consolidation.pdf" TargetMode="External"/><Relationship Id="rId56"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yperlink" Target="https://www.legislation.govt.nz/act/public/2016/0006/latest/DLM6339526.html"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17</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Code of Practice for the Safe Transport of Radioactive Material: ORS C6: For public consultation</vt:lpstr>
    </vt:vector>
  </TitlesOfParts>
  <Company>Microsoft</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Safe Transport of Radioactive Material: ORS C6: For public consultation</dc:title>
  <dc:creator>Ministry of Health</dc:creator>
  <cp:lastModifiedBy>Ministry of Health</cp:lastModifiedBy>
  <cp:revision>4</cp:revision>
  <cp:lastPrinted>2024-03-19T00:07:00Z</cp:lastPrinted>
  <dcterms:created xsi:type="dcterms:W3CDTF">2024-03-19T00:05:00Z</dcterms:created>
  <dcterms:modified xsi:type="dcterms:W3CDTF">2024-03-19T00:07:00Z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