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523F1" w:rsidRDefault="004B1349" w:rsidP="003523F1">
      <w:pPr>
        <w:ind w:left="-284" w:right="-284"/>
      </w:pPr>
      <w:r>
        <w:rPr>
          <w:noProof/>
          <w:lang w:eastAsia="en-NZ"/>
        </w:rPr>
        <mc:AlternateContent>
          <mc:Choice Requires="wps">
            <w:drawing>
              <wp:anchor distT="0" distB="0" distL="114300" distR="114300" simplePos="0" relativeHeight="251661312" behindDoc="0" locked="0" layoutInCell="1" allowOverlap="1" wp14:anchorId="38A9DE46" wp14:editId="67C0FEC4">
                <wp:simplePos x="0" y="0"/>
                <wp:positionH relativeFrom="column">
                  <wp:posOffset>4871085</wp:posOffset>
                </wp:positionH>
                <wp:positionV relativeFrom="paragraph">
                  <wp:posOffset>1388745</wp:posOffset>
                </wp:positionV>
                <wp:extent cx="1636395" cy="307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63639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349" w:rsidRPr="004B1349" w:rsidRDefault="004B1349" w:rsidP="00A605B3">
                            <w:pPr>
                              <w:ind w:left="142" w:right="153"/>
                              <w:rPr>
                                <w:color w:val="1F497D" w:themeColor="text2"/>
                                <w:szCs w:val="24"/>
                              </w:rPr>
                            </w:pPr>
                            <w:r>
                              <w:rPr>
                                <w:color w:val="1F497D" w:themeColor="text2"/>
                                <w:szCs w:val="24"/>
                              </w:rPr>
                              <w:t>ISSN</w:t>
                            </w:r>
                            <w:r w:rsidR="00A605B3">
                              <w:rPr>
                                <w:color w:val="1F497D" w:themeColor="text2"/>
                                <w:szCs w:val="24"/>
                              </w:rPr>
                              <w:t xml:space="preserve"> 2253-1386</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3.55pt;margin-top:109.35pt;width:128.85pt;height:2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" filled="f" stroked="f" strokeweight=".5pt">
                <v:textbox inset="0">
                  <w:txbxContent>
                    <w:p w:rsidR="004B1349" w:rsidRPr="004B1349" w:rsidRDefault="004B1349" w:rsidP="00A605B3">
                      <w:pPr>
                        <w:ind w:left="142" w:right="153"/>
                        <w:rPr>
                          <w:color w:val="1F497D" w:themeColor="text2"/>
                          <w:szCs w:val="24"/>
                        </w:rPr>
                      </w:pPr>
                      <w:r>
                        <w:rPr>
                          <w:color w:val="1F497D" w:themeColor="text2"/>
                          <w:szCs w:val="24"/>
                        </w:rPr>
                        <w:t>ISSN</w:t>
                      </w:r>
                      <w:r w:rsidR="00A605B3">
                        <w:rPr>
                          <w:color w:val="1F497D" w:themeColor="text2"/>
                          <w:szCs w:val="24"/>
                        </w:rPr>
                        <w:t xml:space="preserve"> 2253-1386</w:t>
                      </w:r>
                    </w:p>
                  </w:txbxContent>
                </v:textbox>
              </v:shape>
            </w:pict>
          </mc:Fallback>
        </mc:AlternateContent>
      </w:r>
      <w:r>
        <w:rPr>
          <w:noProof/>
          <w:lang w:eastAsia="en-NZ"/>
        </w:rPr>
        <mc:AlternateContent>
          <mc:Choice Requires="wps">
            <w:drawing>
              <wp:anchor distT="0" distB="0" distL="114300" distR="114300" simplePos="0" relativeHeight="251659264" behindDoc="0" locked="0" layoutInCell="1" allowOverlap="1" wp14:anchorId="71FA8F26" wp14:editId="34529EDD">
                <wp:simplePos x="0" y="0"/>
                <wp:positionH relativeFrom="column">
                  <wp:posOffset>309245</wp:posOffset>
                </wp:positionH>
                <wp:positionV relativeFrom="paragraph">
                  <wp:posOffset>1388745</wp:posOffset>
                </wp:positionV>
                <wp:extent cx="2997835" cy="3079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99783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1349" w:rsidRPr="004B1349" w:rsidRDefault="004B1349">
                            <w:pPr>
                              <w:rPr>
                                <w:color w:val="1F497D" w:themeColor="text2"/>
                                <w:szCs w:val="24"/>
                              </w:rPr>
                            </w:pPr>
                            <w:r w:rsidRPr="004B1349">
                              <w:rPr>
                                <w:color w:val="1F497D" w:themeColor="text2"/>
                                <w:szCs w:val="24"/>
                              </w:rPr>
                              <w:t>No. 58 August 2015</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left:0;text-align:left;margin-left:24.35pt;margin-top:109.35pt;width:236.05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" filled="f" stroked="f" strokeweight=".5pt">
                <v:textbox inset="0">
                  <w:txbxContent>
                    <w:p w:rsidR="004B1349" w:rsidRPr="004B1349" w:rsidRDefault="004B1349">
                      <w:pPr>
                        <w:rPr>
                          <w:color w:val="1F497D" w:themeColor="text2"/>
                          <w:szCs w:val="24"/>
                        </w:rPr>
                      </w:pPr>
                      <w:r w:rsidRPr="004B1349">
                        <w:rPr>
                          <w:color w:val="1F497D" w:themeColor="text2"/>
                          <w:szCs w:val="24"/>
                        </w:rPr>
                        <w:t>No. 58 August 2015</w:t>
                      </w:r>
                    </w:p>
                  </w:txbxContent>
                </v:textbox>
              </v:shape>
            </w:pict>
          </mc:Fallback>
        </mc:AlternateContent>
      </w:r>
      <w:r w:rsidR="003523F1">
        <w:rPr>
          <w:noProof/>
          <w:lang w:eastAsia="en-NZ"/>
        </w:rPr>
        <w:drawing>
          <wp:inline distT="0" distB="0" distL="0" distR="0" wp14:anchorId="60A55A14" wp14:editId="427D8A48">
            <wp:extent cx="7113182" cy="1769382"/>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3083" cy="1769357"/>
                    </a:xfrm>
                    <a:prstGeom prst="rect">
                      <a:avLst/>
                    </a:prstGeom>
                    <a:noFill/>
                  </pic:spPr>
                </pic:pic>
              </a:graphicData>
            </a:graphic>
          </wp:inline>
        </w:drawing>
      </w:r>
    </w:p>
    <w:p w:rsidR="003523F1" w:rsidRDefault="003523F1" w:rsidP="003523F1">
      <w:pPr>
        <w:ind w:left="-1134" w:right="-1134"/>
      </w:pPr>
    </w:p>
    <w:p w:rsidR="00200594" w:rsidRDefault="00200594"/>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3"/>
        <w:gridCol w:w="5295"/>
        <w:gridCol w:w="1763"/>
        <w:gridCol w:w="2977"/>
      </w:tblGrid>
      <w:tr w:rsidR="00AB0774" w:rsidTr="00200594">
        <w:trPr>
          <w:cantSplit/>
        </w:trPr>
        <w:tc>
          <w:tcPr>
            <w:tcW w:w="483" w:type="dxa"/>
            <w:vMerge w:val="restart"/>
          </w:tcPr>
          <w:p w:rsidR="00AB0774" w:rsidRDefault="00AB0774" w:rsidP="0078340E">
            <w:pPr>
              <w:ind w:left="0" w:right="0"/>
            </w:pPr>
            <w:r>
              <w:rPr>
                <w:rFonts w:ascii="Arial" w:hAnsi="Arial" w:cs="Arial"/>
                <w:noProof/>
                <w:color w:val="000000"/>
                <w:lang w:eastAsia="en-NZ"/>
              </w:rPr>
              <w:drawing>
                <wp:inline distT="0" distB="0" distL="0" distR="0" wp14:anchorId="652EBDE7" wp14:editId="4D382746">
                  <wp:extent cx="257211" cy="523948"/>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symbol.PNG"/>
                          <pic:cNvPicPr/>
                        </pic:nvPicPr>
                        <pic:blipFill>
                          <a:blip r:embed="rId10">
                            <a:extLst>
                              <a:ext uri="{28A0092B-C50C-407E-A947-70E740481C1C}">
                                <a14:useLocalDpi xmlns:a14="http://schemas.microsoft.com/office/drawing/2010/main" val="0"/>
                              </a:ext>
                            </a:extLst>
                          </a:blip>
                          <a:stretch>
                            <a:fillRect/>
                          </a:stretch>
                        </pic:blipFill>
                        <pic:spPr>
                          <a:xfrm>
                            <a:off x="0" y="0"/>
                            <a:ext cx="257211" cy="523948"/>
                          </a:xfrm>
                          <a:prstGeom prst="rect">
                            <a:avLst/>
                          </a:prstGeom>
                        </pic:spPr>
                      </pic:pic>
                    </a:graphicData>
                  </a:graphic>
                </wp:inline>
              </w:drawing>
            </w:r>
          </w:p>
        </w:tc>
        <w:tc>
          <w:tcPr>
            <w:tcW w:w="5295" w:type="dxa"/>
            <w:vMerge w:val="restart"/>
          </w:tcPr>
          <w:p w:rsidR="00AB0774" w:rsidRPr="00AB0774" w:rsidRDefault="00AB0774" w:rsidP="0078340E">
            <w:pPr>
              <w:ind w:left="0" w:right="0"/>
              <w:rPr>
                <w:rFonts w:ascii="Verdana" w:hAnsi="Verdana"/>
                <w:b/>
                <w:color w:val="70AC2E"/>
                <w:sz w:val="48"/>
                <w:szCs w:val="48"/>
              </w:rPr>
            </w:pPr>
            <w:r w:rsidRPr="00AB0774">
              <w:rPr>
                <w:b/>
                <w:color w:val="70AC2E"/>
                <w:sz w:val="48"/>
                <w:szCs w:val="48"/>
              </w:rPr>
              <w:t>From Toni Atkinson</w:t>
            </w:r>
          </w:p>
          <w:p w:rsidR="00AB0774" w:rsidRPr="00AB0774" w:rsidRDefault="00AB0774" w:rsidP="0078340E">
            <w:pPr>
              <w:ind w:left="0" w:right="0"/>
              <w:rPr>
                <w:b/>
                <w:sz w:val="36"/>
                <w:szCs w:val="36"/>
              </w:rPr>
            </w:pPr>
            <w:r w:rsidRPr="00AB0774">
              <w:rPr>
                <w:b/>
                <w:color w:val="70AC2E"/>
                <w:sz w:val="36"/>
                <w:szCs w:val="36"/>
              </w:rPr>
              <w:t>Group Manager</w:t>
            </w:r>
            <w:r w:rsidRPr="00AB0774">
              <w:rPr>
                <w:b/>
                <w:color w:val="70AC2E"/>
                <w:sz w:val="36"/>
                <w:szCs w:val="36"/>
              </w:rPr>
              <w:br/>
              <w:t>Disability Support Services</w:t>
            </w:r>
          </w:p>
        </w:tc>
        <w:tc>
          <w:tcPr>
            <w:tcW w:w="1763" w:type="dxa"/>
            <w:vMerge w:val="restart"/>
          </w:tcPr>
          <w:p w:rsidR="00AB0774" w:rsidRDefault="00AB0774" w:rsidP="0078340E">
            <w:pPr>
              <w:spacing w:after="360"/>
              <w:ind w:left="0" w:right="0"/>
            </w:pPr>
            <w:r>
              <w:rPr>
                <w:noProof/>
                <w:lang w:eastAsia="en-NZ"/>
              </w:rPr>
              <w:drawing>
                <wp:inline distT="0" distB="0" distL="0" distR="0" wp14:anchorId="7E4798E5" wp14:editId="1BC17BAF">
                  <wp:extent cx="1000265" cy="1019317"/>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i Atkinson.PNG"/>
                          <pic:cNvPicPr/>
                        </pic:nvPicPr>
                        <pic:blipFill>
                          <a:blip r:embed="rId11">
                            <a:extLst>
                              <a:ext uri="{28A0092B-C50C-407E-A947-70E740481C1C}">
                                <a14:useLocalDpi xmlns:a14="http://schemas.microsoft.com/office/drawing/2010/main" val="0"/>
                              </a:ext>
                            </a:extLst>
                          </a:blip>
                          <a:stretch>
                            <a:fillRect/>
                          </a:stretch>
                        </pic:blipFill>
                        <pic:spPr>
                          <a:xfrm>
                            <a:off x="0" y="0"/>
                            <a:ext cx="1000265" cy="1019317"/>
                          </a:xfrm>
                          <a:prstGeom prst="rect">
                            <a:avLst/>
                          </a:prstGeom>
                        </pic:spPr>
                      </pic:pic>
                    </a:graphicData>
                  </a:graphic>
                </wp:inline>
              </w:drawing>
            </w:r>
          </w:p>
        </w:tc>
        <w:tc>
          <w:tcPr>
            <w:tcW w:w="2977" w:type="dxa"/>
            <w:shd w:val="clear" w:color="auto" w:fill="92D050"/>
          </w:tcPr>
          <w:p w:rsidR="00AB0774" w:rsidRPr="00AB0774" w:rsidRDefault="00AB0774" w:rsidP="00200594">
            <w:pPr>
              <w:spacing w:before="120" w:after="120"/>
              <w:ind w:left="284" w:right="284"/>
              <w:rPr>
                <w:b/>
                <w:color w:val="1F497D" w:themeColor="text2"/>
                <w:sz w:val="36"/>
                <w:szCs w:val="36"/>
              </w:rPr>
            </w:pPr>
            <w:r w:rsidRPr="00AB0774">
              <w:rPr>
                <w:b/>
                <w:color w:val="1F497D" w:themeColor="text2"/>
                <w:sz w:val="36"/>
                <w:szCs w:val="36"/>
              </w:rPr>
              <w:t>Contents</w:t>
            </w:r>
          </w:p>
        </w:tc>
      </w:tr>
      <w:tr w:rsidR="00200594" w:rsidTr="00200594">
        <w:trPr>
          <w:cantSplit/>
          <w:trHeight w:val="317"/>
        </w:trPr>
        <w:tc>
          <w:tcPr>
            <w:tcW w:w="483" w:type="dxa"/>
            <w:vMerge/>
          </w:tcPr>
          <w:p w:rsidR="00200594" w:rsidRDefault="00200594" w:rsidP="0078340E">
            <w:pPr>
              <w:ind w:left="0" w:right="0"/>
              <w:rPr>
                <w:rFonts w:ascii="Arial" w:hAnsi="Arial" w:cs="Arial"/>
                <w:noProof/>
                <w:color w:val="000000"/>
                <w:lang w:eastAsia="en-NZ"/>
              </w:rPr>
            </w:pPr>
          </w:p>
        </w:tc>
        <w:tc>
          <w:tcPr>
            <w:tcW w:w="5295" w:type="dxa"/>
            <w:vMerge/>
          </w:tcPr>
          <w:p w:rsidR="00200594" w:rsidRPr="00AB0774" w:rsidRDefault="00200594" w:rsidP="00AB0774">
            <w:pPr>
              <w:rPr>
                <w:b/>
                <w:color w:val="70AC2E"/>
                <w:sz w:val="48"/>
                <w:szCs w:val="48"/>
              </w:rPr>
            </w:pPr>
          </w:p>
        </w:tc>
        <w:tc>
          <w:tcPr>
            <w:tcW w:w="1763" w:type="dxa"/>
            <w:vMerge/>
          </w:tcPr>
          <w:p w:rsidR="00200594" w:rsidRDefault="00200594" w:rsidP="00AB0774">
            <w:pPr>
              <w:rPr>
                <w:noProof/>
                <w:lang w:eastAsia="en-NZ"/>
              </w:rPr>
            </w:pPr>
          </w:p>
        </w:tc>
        <w:tc>
          <w:tcPr>
            <w:tcW w:w="2977" w:type="dxa"/>
            <w:vMerge w:val="restart"/>
            <w:shd w:val="clear" w:color="auto" w:fill="DAEAD6"/>
          </w:tcPr>
          <w:p w:rsidR="00200594" w:rsidRPr="00200594" w:rsidRDefault="00200594" w:rsidP="00200594">
            <w:pPr>
              <w:spacing w:before="360"/>
              <w:ind w:left="284" w:right="284"/>
              <w:rPr>
                <w:color w:val="70AC2E"/>
                <w:sz w:val="32"/>
                <w:szCs w:val="32"/>
              </w:rPr>
            </w:pPr>
            <w:r>
              <w:t>Page 2</w:t>
            </w:r>
            <w:r>
              <w:br/>
            </w:r>
            <w:r w:rsidRPr="00200594">
              <w:rPr>
                <w:color w:val="70AC2E"/>
                <w:sz w:val="32"/>
                <w:szCs w:val="32"/>
              </w:rPr>
              <w:t>Enabling Good Lives</w:t>
            </w:r>
          </w:p>
          <w:p w:rsidR="00200594" w:rsidRPr="00200594" w:rsidRDefault="00200594" w:rsidP="00200594">
            <w:pPr>
              <w:spacing w:before="360"/>
              <w:ind w:left="284" w:right="284"/>
              <w:rPr>
                <w:color w:val="70AC2E"/>
                <w:sz w:val="32"/>
                <w:szCs w:val="32"/>
              </w:rPr>
            </w:pPr>
            <w:r>
              <w:t xml:space="preserve">Page </w:t>
            </w:r>
            <w:r w:rsidR="001F6C9C">
              <w:t>4</w:t>
            </w:r>
            <w:r>
              <w:br/>
            </w:r>
            <w:r>
              <w:rPr>
                <w:color w:val="70AC2E"/>
                <w:sz w:val="32"/>
                <w:szCs w:val="32"/>
              </w:rPr>
              <w:t xml:space="preserve">DSS </w:t>
            </w:r>
            <w:r w:rsidR="00FC2969">
              <w:rPr>
                <w:color w:val="70AC2E"/>
                <w:sz w:val="32"/>
                <w:szCs w:val="32"/>
              </w:rPr>
              <w:t>N</w:t>
            </w:r>
            <w:r>
              <w:rPr>
                <w:color w:val="70AC2E"/>
                <w:sz w:val="32"/>
                <w:szCs w:val="32"/>
              </w:rPr>
              <w:t>ews</w:t>
            </w:r>
          </w:p>
          <w:p w:rsidR="00200594" w:rsidRPr="00200594" w:rsidRDefault="00200594" w:rsidP="00200594">
            <w:pPr>
              <w:spacing w:before="240"/>
              <w:ind w:left="284" w:right="284"/>
              <w:rPr>
                <w:color w:val="70AC2E"/>
                <w:sz w:val="32"/>
                <w:szCs w:val="32"/>
              </w:rPr>
            </w:pPr>
            <w:proofErr w:type="spellStart"/>
            <w:r>
              <w:rPr>
                <w:color w:val="70AC2E"/>
                <w:sz w:val="32"/>
                <w:szCs w:val="32"/>
              </w:rPr>
              <w:t>Te</w:t>
            </w:r>
            <w:proofErr w:type="spellEnd"/>
            <w:r>
              <w:rPr>
                <w:color w:val="70AC2E"/>
                <w:sz w:val="32"/>
                <w:szCs w:val="32"/>
              </w:rPr>
              <w:t xml:space="preserve"> </w:t>
            </w:r>
            <w:proofErr w:type="spellStart"/>
            <w:r>
              <w:rPr>
                <w:color w:val="70AC2E"/>
                <w:sz w:val="32"/>
                <w:szCs w:val="32"/>
              </w:rPr>
              <w:t>Ao</w:t>
            </w:r>
            <w:proofErr w:type="spellEnd"/>
            <w:r>
              <w:rPr>
                <w:color w:val="70AC2E"/>
                <w:sz w:val="32"/>
                <w:szCs w:val="32"/>
              </w:rPr>
              <w:t xml:space="preserve"> </w:t>
            </w:r>
            <w:proofErr w:type="spellStart"/>
            <w:r>
              <w:rPr>
                <w:color w:val="70AC2E"/>
                <w:sz w:val="32"/>
                <w:szCs w:val="32"/>
              </w:rPr>
              <w:t>Mārama</w:t>
            </w:r>
            <w:proofErr w:type="spellEnd"/>
            <w:r>
              <w:rPr>
                <w:color w:val="70AC2E"/>
                <w:sz w:val="32"/>
                <w:szCs w:val="32"/>
              </w:rPr>
              <w:t xml:space="preserve"> (the world of light)</w:t>
            </w:r>
          </w:p>
          <w:p w:rsidR="00200594" w:rsidRPr="00200594" w:rsidRDefault="00200594" w:rsidP="00200594">
            <w:pPr>
              <w:spacing w:before="360"/>
              <w:ind w:left="284" w:right="284"/>
              <w:rPr>
                <w:color w:val="70AC2E"/>
                <w:sz w:val="32"/>
                <w:szCs w:val="32"/>
              </w:rPr>
            </w:pPr>
            <w:r>
              <w:t xml:space="preserve">Page </w:t>
            </w:r>
            <w:r w:rsidR="001F6C9C">
              <w:t>6</w:t>
            </w:r>
            <w:r>
              <w:br/>
            </w:r>
            <w:r>
              <w:rPr>
                <w:color w:val="70AC2E"/>
                <w:sz w:val="32"/>
                <w:szCs w:val="32"/>
              </w:rPr>
              <w:t xml:space="preserve">Upcoming </w:t>
            </w:r>
            <w:r w:rsidR="00FC2969">
              <w:rPr>
                <w:color w:val="70AC2E"/>
                <w:sz w:val="32"/>
                <w:szCs w:val="32"/>
              </w:rPr>
              <w:t>E</w:t>
            </w:r>
            <w:r>
              <w:rPr>
                <w:color w:val="70AC2E"/>
                <w:sz w:val="32"/>
                <w:szCs w:val="32"/>
              </w:rPr>
              <w:t>vents</w:t>
            </w:r>
          </w:p>
          <w:p w:rsidR="00200594" w:rsidRPr="00AB0774" w:rsidRDefault="00200594" w:rsidP="00FC2969">
            <w:pPr>
              <w:spacing w:before="360" w:after="3480"/>
              <w:ind w:left="284" w:right="284"/>
            </w:pPr>
            <w:r>
              <w:t xml:space="preserve">Page </w:t>
            </w:r>
            <w:r w:rsidR="001F6C9C">
              <w:t>7</w:t>
            </w:r>
            <w:r>
              <w:br/>
            </w:r>
            <w:r>
              <w:rPr>
                <w:color w:val="70AC2E"/>
                <w:sz w:val="32"/>
                <w:szCs w:val="32"/>
              </w:rPr>
              <w:t xml:space="preserve">DSS </w:t>
            </w:r>
            <w:r w:rsidR="00FC2969">
              <w:rPr>
                <w:color w:val="70AC2E"/>
                <w:sz w:val="32"/>
                <w:szCs w:val="32"/>
              </w:rPr>
              <w:t>P</w:t>
            </w:r>
            <w:r>
              <w:rPr>
                <w:color w:val="70AC2E"/>
                <w:sz w:val="32"/>
                <w:szCs w:val="32"/>
              </w:rPr>
              <w:t xml:space="preserve">roject </w:t>
            </w:r>
            <w:r w:rsidR="00FC2969">
              <w:rPr>
                <w:color w:val="70AC2E"/>
                <w:sz w:val="32"/>
                <w:szCs w:val="32"/>
              </w:rPr>
              <w:t>U</w:t>
            </w:r>
            <w:r>
              <w:rPr>
                <w:color w:val="70AC2E"/>
                <w:sz w:val="32"/>
                <w:szCs w:val="32"/>
              </w:rPr>
              <w:t>pdates</w:t>
            </w:r>
          </w:p>
        </w:tc>
      </w:tr>
      <w:tr w:rsidR="00200594" w:rsidTr="00185DE5">
        <w:trPr>
          <w:cantSplit/>
        </w:trPr>
        <w:tc>
          <w:tcPr>
            <w:tcW w:w="7541" w:type="dxa"/>
            <w:gridSpan w:val="3"/>
          </w:tcPr>
          <w:p w:rsidR="00200594" w:rsidRPr="00200594" w:rsidRDefault="00200594" w:rsidP="0078340E">
            <w:pPr>
              <w:ind w:left="0" w:right="0"/>
              <w:rPr>
                <w:color w:val="1F497D" w:themeColor="text2"/>
                <w:sz w:val="26"/>
                <w:szCs w:val="26"/>
                <w:lang w:eastAsia="en-NZ"/>
              </w:rPr>
            </w:pPr>
            <w:r w:rsidRPr="00200594">
              <w:rPr>
                <w:color w:val="1F497D" w:themeColor="text2"/>
                <w:sz w:val="26"/>
                <w:szCs w:val="26"/>
                <w:lang w:eastAsia="en-NZ"/>
              </w:rPr>
              <w:t>Disability Support Services (DSS) are now well into the new financial year and we are busy planning our activity for the coming year with a work plan of 55 development activities. Examples of these include next steps for the New Model demonstration and developing the current year</w:t>
            </w:r>
            <w:r w:rsidR="00A605B3">
              <w:rPr>
                <w:color w:val="1F497D" w:themeColor="text2"/>
                <w:sz w:val="26"/>
                <w:szCs w:val="26"/>
                <w:lang w:eastAsia="en-NZ"/>
              </w:rPr>
              <w:t>’</w:t>
            </w:r>
            <w:r w:rsidRPr="00200594">
              <w:rPr>
                <w:color w:val="1F497D" w:themeColor="text2"/>
                <w:sz w:val="26"/>
                <w:szCs w:val="26"/>
                <w:lang w:eastAsia="en-NZ"/>
              </w:rPr>
              <w:t xml:space="preserve">s action plan for </w:t>
            </w:r>
            <w:proofErr w:type="spellStart"/>
            <w:r w:rsidRPr="00200594">
              <w:rPr>
                <w:color w:val="1F497D" w:themeColor="text2"/>
                <w:sz w:val="26"/>
                <w:szCs w:val="26"/>
                <w:lang w:eastAsia="en-NZ"/>
              </w:rPr>
              <w:t>Whāia</w:t>
            </w:r>
            <w:proofErr w:type="spellEnd"/>
            <w:r w:rsidRPr="00200594">
              <w:rPr>
                <w:color w:val="1F497D" w:themeColor="text2"/>
                <w:sz w:val="26"/>
                <w:szCs w:val="26"/>
                <w:lang w:eastAsia="en-NZ"/>
              </w:rPr>
              <w:t xml:space="preserve"> </w:t>
            </w:r>
            <w:proofErr w:type="spellStart"/>
            <w:r w:rsidRPr="00200594">
              <w:rPr>
                <w:color w:val="1F497D" w:themeColor="text2"/>
                <w:sz w:val="26"/>
                <w:szCs w:val="26"/>
                <w:lang w:eastAsia="en-NZ"/>
              </w:rPr>
              <w:t>te</w:t>
            </w:r>
            <w:proofErr w:type="spellEnd"/>
            <w:r w:rsidRPr="00200594">
              <w:rPr>
                <w:color w:val="1F497D" w:themeColor="text2"/>
                <w:sz w:val="26"/>
                <w:szCs w:val="26"/>
                <w:lang w:eastAsia="en-NZ"/>
              </w:rPr>
              <w:t xml:space="preserve"> </w:t>
            </w:r>
            <w:proofErr w:type="spellStart"/>
            <w:r w:rsidRPr="00200594">
              <w:rPr>
                <w:color w:val="1F497D" w:themeColor="text2"/>
                <w:sz w:val="26"/>
                <w:szCs w:val="26"/>
                <w:lang w:eastAsia="en-NZ"/>
              </w:rPr>
              <w:t>ao</w:t>
            </w:r>
            <w:proofErr w:type="spellEnd"/>
            <w:r w:rsidRPr="00200594">
              <w:rPr>
                <w:color w:val="1F497D" w:themeColor="text2"/>
                <w:sz w:val="26"/>
                <w:szCs w:val="26"/>
                <w:lang w:eastAsia="en-NZ"/>
              </w:rPr>
              <w:t xml:space="preserve"> </w:t>
            </w:r>
            <w:proofErr w:type="spellStart"/>
            <w:r w:rsidRPr="00200594">
              <w:rPr>
                <w:color w:val="1F497D" w:themeColor="text2"/>
                <w:sz w:val="26"/>
                <w:szCs w:val="26"/>
                <w:lang w:eastAsia="en-NZ"/>
              </w:rPr>
              <w:t>Mārama</w:t>
            </w:r>
            <w:proofErr w:type="spellEnd"/>
            <w:r w:rsidRPr="00200594">
              <w:rPr>
                <w:color w:val="1F497D" w:themeColor="text2"/>
                <w:sz w:val="26"/>
                <w:szCs w:val="26"/>
                <w:lang w:eastAsia="en-NZ"/>
              </w:rPr>
              <w:t>. The development activities range across all areas of our work, with a focus on ensuring the delivery of effective services to our clients.</w:t>
            </w:r>
          </w:p>
          <w:p w:rsidR="00200594" w:rsidRPr="00200594" w:rsidRDefault="00200594" w:rsidP="0078340E">
            <w:pPr>
              <w:ind w:left="0" w:right="0"/>
              <w:rPr>
                <w:noProof/>
                <w:sz w:val="26"/>
                <w:szCs w:val="26"/>
                <w:lang w:eastAsia="en-NZ"/>
              </w:rPr>
            </w:pPr>
          </w:p>
          <w:p w:rsidR="00200594" w:rsidRPr="00200594" w:rsidRDefault="00200594" w:rsidP="0078340E">
            <w:pPr>
              <w:ind w:left="0" w:right="0"/>
              <w:rPr>
                <w:sz w:val="26"/>
                <w:szCs w:val="26"/>
                <w:lang w:eastAsia="en-NZ"/>
              </w:rPr>
            </w:pPr>
            <w:r w:rsidRPr="00200594">
              <w:rPr>
                <w:sz w:val="26"/>
                <w:szCs w:val="26"/>
                <w:lang w:eastAsia="en-NZ"/>
              </w:rPr>
              <w:t>We expect the new streamlined contracts will give providers some flexibility in the way they deliver services, with their focus on outcomes for disabled people. The new contracts should also help the Ministry to better monitor and support the quality of service delivery by our providers.</w:t>
            </w:r>
          </w:p>
          <w:p w:rsidR="00200594" w:rsidRPr="00200594" w:rsidRDefault="00200594" w:rsidP="0078340E">
            <w:pPr>
              <w:ind w:left="0" w:right="0"/>
              <w:rPr>
                <w:sz w:val="26"/>
                <w:szCs w:val="26"/>
                <w:lang w:eastAsia="en-NZ"/>
              </w:rPr>
            </w:pPr>
          </w:p>
          <w:p w:rsidR="00200594" w:rsidRPr="00200594" w:rsidRDefault="00200594" w:rsidP="0078340E">
            <w:pPr>
              <w:ind w:left="0" w:right="0"/>
              <w:rPr>
                <w:sz w:val="26"/>
                <w:szCs w:val="26"/>
                <w:lang w:eastAsia="en-NZ"/>
              </w:rPr>
            </w:pPr>
            <w:r w:rsidRPr="00200594">
              <w:rPr>
                <w:sz w:val="26"/>
                <w:szCs w:val="26"/>
                <w:lang w:eastAsia="en-NZ"/>
              </w:rPr>
              <w:t xml:space="preserve">This continuing emphasis on quality will inform all of our work activities over the coming year, including </w:t>
            </w:r>
            <w:r w:rsidR="00A605B3">
              <w:rPr>
                <w:sz w:val="26"/>
                <w:szCs w:val="26"/>
                <w:lang w:eastAsia="en-NZ"/>
              </w:rPr>
              <w:t>developing</w:t>
            </w:r>
            <w:r w:rsidRPr="00200594">
              <w:rPr>
                <w:sz w:val="26"/>
                <w:szCs w:val="26"/>
                <w:lang w:eastAsia="en-NZ"/>
              </w:rPr>
              <w:t xml:space="preserve"> tools DSS can use to better manage its contracting functions. These tools will </w:t>
            </w:r>
            <w:r w:rsidR="00A605B3">
              <w:rPr>
                <w:sz w:val="26"/>
                <w:szCs w:val="26"/>
                <w:lang w:eastAsia="en-NZ"/>
              </w:rPr>
              <w:t>allow</w:t>
            </w:r>
            <w:r w:rsidRPr="00200594">
              <w:rPr>
                <w:sz w:val="26"/>
                <w:szCs w:val="26"/>
                <w:lang w:eastAsia="en-NZ"/>
              </w:rPr>
              <w:t xml:space="preserve"> the DSS team to spend more time on relationship-building with the sector as we continue to test new and better ways of supporting people with a disability.</w:t>
            </w:r>
          </w:p>
          <w:p w:rsidR="00200594" w:rsidRPr="00200594" w:rsidRDefault="00200594" w:rsidP="0078340E">
            <w:pPr>
              <w:ind w:left="0" w:right="0"/>
              <w:rPr>
                <w:sz w:val="26"/>
                <w:szCs w:val="26"/>
                <w:lang w:eastAsia="en-NZ"/>
              </w:rPr>
            </w:pPr>
          </w:p>
          <w:p w:rsidR="00200594" w:rsidRDefault="00200594" w:rsidP="0078340E">
            <w:pPr>
              <w:ind w:left="0" w:right="0"/>
              <w:rPr>
                <w:noProof/>
                <w:lang w:eastAsia="en-NZ"/>
              </w:rPr>
            </w:pPr>
            <w:r w:rsidRPr="00200594">
              <w:rPr>
                <w:sz w:val="26"/>
                <w:szCs w:val="26"/>
                <w:lang w:eastAsia="en-NZ"/>
              </w:rPr>
              <w:t>I look forward to the development activities over the coming year and your feedback on what is working well and how we can all do better.</w:t>
            </w:r>
          </w:p>
        </w:tc>
        <w:tc>
          <w:tcPr>
            <w:tcW w:w="2977" w:type="dxa"/>
            <w:vMerge/>
            <w:shd w:val="clear" w:color="auto" w:fill="DAEAD6"/>
          </w:tcPr>
          <w:p w:rsidR="00200594" w:rsidRDefault="00200594" w:rsidP="00200594">
            <w:pPr>
              <w:spacing w:before="360"/>
              <w:ind w:left="284" w:right="284"/>
            </w:pPr>
          </w:p>
        </w:tc>
      </w:tr>
    </w:tbl>
    <w:p w:rsidR="0082299C" w:rsidRPr="0078340E" w:rsidRDefault="0082299C" w:rsidP="0082299C">
      <w:pPr>
        <w:rPr>
          <w:sz w:val="2"/>
          <w:szCs w:val="2"/>
        </w:rPr>
      </w:pPr>
    </w:p>
    <w:tbl>
      <w:tblPr>
        <w:tblStyle w:val="TableGrid"/>
        <w:tblW w:w="11346" w:type="dxa"/>
        <w:tblInd w:w="-284"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shd w:val="clear" w:color="auto" w:fill="1F497D" w:themeFill="text2"/>
        <w:tblLayout w:type="fixed"/>
        <w:tblCellMar>
          <w:left w:w="0" w:type="dxa"/>
          <w:right w:w="0" w:type="dxa"/>
        </w:tblCellMar>
        <w:tblLook w:val="04A0" w:firstRow="1" w:lastRow="0" w:firstColumn="1" w:lastColumn="0" w:noHBand="0" w:noVBand="1"/>
      </w:tblPr>
      <w:tblGrid>
        <w:gridCol w:w="11346"/>
      </w:tblGrid>
      <w:tr w:rsidR="0078340E" w:rsidTr="0078340E">
        <w:trPr>
          <w:cantSplit/>
        </w:trPr>
        <w:tc>
          <w:tcPr>
            <w:tcW w:w="11346" w:type="dxa"/>
            <w:shd w:val="clear" w:color="auto" w:fill="1F497D" w:themeFill="text2"/>
            <w:vAlign w:val="center"/>
          </w:tcPr>
          <w:p w:rsidR="0078340E" w:rsidRDefault="0078340E" w:rsidP="0078340E">
            <w:pPr>
              <w:pStyle w:val="Heading1"/>
              <w:spacing w:before="120" w:after="120"/>
              <w:outlineLvl w:val="0"/>
            </w:pPr>
            <w:r>
              <w:lastRenderedPageBreak/>
              <w:t>Enabling Good Lives</w:t>
            </w:r>
          </w:p>
        </w:tc>
      </w:tr>
    </w:tbl>
    <w:p w:rsidR="0078340E" w:rsidRDefault="0078340E" w:rsidP="0078340E"/>
    <w:p w:rsidR="0082299C" w:rsidRDefault="0082299C" w:rsidP="0078340E">
      <w:pPr>
        <w:pStyle w:val="Heading2"/>
      </w:pPr>
      <w:r w:rsidRPr="0078340E">
        <w:t>Christchurch</w:t>
      </w:r>
    </w:p>
    <w:p w:rsidR="007D60B6" w:rsidRPr="00B23848" w:rsidRDefault="007D60B6" w:rsidP="0078340E">
      <w:pPr>
        <w:rPr>
          <w:color w:val="1F497D" w:themeColor="text2"/>
          <w:lang w:eastAsia="en-NZ"/>
        </w:rPr>
      </w:pPr>
      <w:r w:rsidRPr="00B23848">
        <w:rPr>
          <w:color w:val="1F497D" w:themeColor="text2"/>
          <w:lang w:eastAsia="en-NZ"/>
        </w:rPr>
        <w:t>The Ministry and the Enabling Good Lives (EGL) Christchurch team are currently preparing a procurement process for Flexible Disability Support.</w:t>
      </w:r>
    </w:p>
    <w:p w:rsidR="007D60B6" w:rsidRDefault="007D60B6" w:rsidP="0078340E">
      <w:pPr>
        <w:rPr>
          <w:lang w:eastAsia="en-NZ"/>
        </w:rPr>
      </w:pPr>
    </w:p>
    <w:p w:rsidR="007D60B6" w:rsidRPr="00AE4D30" w:rsidRDefault="007D60B6" w:rsidP="0078340E">
      <w:pPr>
        <w:rPr>
          <w:lang w:eastAsia="en-NZ"/>
        </w:rPr>
      </w:pPr>
      <w:r w:rsidRPr="00AE4D30">
        <w:rPr>
          <w:lang w:eastAsia="en-NZ"/>
        </w:rPr>
        <w:t xml:space="preserve">Flexible Disability Support contracts enable a disabled person to work with a provider who will provide flexible support that meets </w:t>
      </w:r>
      <w:r>
        <w:rPr>
          <w:lang w:eastAsia="en-NZ"/>
        </w:rPr>
        <w:t>their</w:t>
      </w:r>
      <w:r w:rsidRPr="00AE4D30">
        <w:rPr>
          <w:lang w:eastAsia="en-NZ"/>
        </w:rPr>
        <w:t xml:space="preserve"> disability related needs.</w:t>
      </w:r>
    </w:p>
    <w:p w:rsidR="007D60B6" w:rsidRDefault="007D60B6" w:rsidP="0078340E">
      <w:pPr>
        <w:rPr>
          <w:lang w:eastAsia="en-NZ"/>
        </w:rPr>
      </w:pPr>
    </w:p>
    <w:p w:rsidR="007D60B6" w:rsidRDefault="007D60B6" w:rsidP="0078340E">
      <w:pPr>
        <w:rPr>
          <w:lang w:eastAsia="en-NZ"/>
        </w:rPr>
      </w:pPr>
      <w:r w:rsidRPr="00AE4D30">
        <w:rPr>
          <w:lang w:eastAsia="en-NZ"/>
        </w:rPr>
        <w:t>A provider with a Flexible Disability Support contract can offer a combination of:</w:t>
      </w:r>
    </w:p>
    <w:p w:rsidR="007D60B6" w:rsidRPr="00AE4D30" w:rsidRDefault="0078340E" w:rsidP="0078340E">
      <w:pPr>
        <w:spacing w:before="120"/>
        <w:ind w:left="1134" w:hanging="567"/>
        <w:rPr>
          <w:lang w:eastAsia="en-NZ"/>
        </w:rPr>
      </w:pPr>
      <w:proofErr w:type="gramStart"/>
      <w:r>
        <w:rPr>
          <w:lang w:eastAsia="en-NZ"/>
        </w:rPr>
        <w:t>a</w:t>
      </w:r>
      <w:proofErr w:type="gramEnd"/>
      <w:r>
        <w:rPr>
          <w:lang w:eastAsia="en-NZ"/>
        </w:rPr>
        <w:t>.</w:t>
      </w:r>
      <w:r>
        <w:rPr>
          <w:lang w:eastAsia="en-NZ"/>
        </w:rPr>
        <w:tab/>
      </w:r>
      <w:r w:rsidR="007D60B6" w:rsidRPr="00AE4D30">
        <w:rPr>
          <w:lang w:eastAsia="en-NZ"/>
        </w:rPr>
        <w:t xml:space="preserve">administering direct fundholding (for some or all of the support that people buy directly) </w:t>
      </w:r>
      <w:r>
        <w:rPr>
          <w:lang w:eastAsia="en-NZ"/>
        </w:rPr>
        <w:t>–</w:t>
      </w:r>
      <w:r w:rsidR="007D60B6" w:rsidRPr="00AE4D30">
        <w:rPr>
          <w:lang w:eastAsia="en-NZ"/>
        </w:rPr>
        <w:t xml:space="preserve"> similar to Individualised Funding hosting services</w:t>
      </w:r>
    </w:p>
    <w:p w:rsidR="007D60B6" w:rsidRPr="00AE4D30" w:rsidRDefault="0078340E" w:rsidP="0078340E">
      <w:pPr>
        <w:spacing w:before="120"/>
        <w:ind w:left="1134" w:hanging="567"/>
        <w:rPr>
          <w:lang w:eastAsia="en-NZ"/>
        </w:rPr>
      </w:pPr>
      <w:proofErr w:type="gramStart"/>
      <w:r>
        <w:rPr>
          <w:lang w:eastAsia="en-NZ"/>
        </w:rPr>
        <w:t>b</w:t>
      </w:r>
      <w:proofErr w:type="gramEnd"/>
      <w:r>
        <w:rPr>
          <w:lang w:eastAsia="en-NZ"/>
        </w:rPr>
        <w:t>.</w:t>
      </w:r>
      <w:r>
        <w:rPr>
          <w:lang w:eastAsia="en-NZ"/>
        </w:rPr>
        <w:tab/>
      </w:r>
      <w:r w:rsidR="007D60B6" w:rsidRPr="00AE4D30">
        <w:rPr>
          <w:lang w:eastAsia="en-NZ"/>
        </w:rPr>
        <w:t xml:space="preserve">facilitated buying </w:t>
      </w:r>
      <w:r>
        <w:rPr>
          <w:lang w:eastAsia="en-NZ"/>
        </w:rPr>
        <w:t>–</w:t>
      </w:r>
      <w:r w:rsidR="007D60B6" w:rsidRPr="00AE4D30">
        <w:rPr>
          <w:lang w:eastAsia="en-NZ"/>
        </w:rPr>
        <w:t xml:space="preserve"> where a provider purchases support on behalf of the person</w:t>
      </w:r>
    </w:p>
    <w:p w:rsidR="007D60B6" w:rsidRPr="00AE4D30" w:rsidRDefault="0078340E" w:rsidP="0078340E">
      <w:pPr>
        <w:spacing w:before="120"/>
        <w:ind w:left="1134" w:hanging="567"/>
        <w:rPr>
          <w:lang w:eastAsia="en-NZ"/>
        </w:rPr>
      </w:pPr>
      <w:proofErr w:type="gramStart"/>
      <w:r>
        <w:rPr>
          <w:lang w:eastAsia="en-NZ"/>
        </w:rPr>
        <w:t>c</w:t>
      </w:r>
      <w:proofErr w:type="gramEnd"/>
      <w:r>
        <w:rPr>
          <w:lang w:eastAsia="en-NZ"/>
        </w:rPr>
        <w:t>.</w:t>
      </w:r>
      <w:r>
        <w:rPr>
          <w:lang w:eastAsia="en-NZ"/>
        </w:rPr>
        <w:tab/>
      </w:r>
      <w:r w:rsidR="007D60B6" w:rsidRPr="00AE4D30">
        <w:rPr>
          <w:lang w:eastAsia="en-NZ"/>
        </w:rPr>
        <w:t xml:space="preserve">delivering flexible support </w:t>
      </w:r>
      <w:r>
        <w:rPr>
          <w:lang w:eastAsia="en-NZ"/>
        </w:rPr>
        <w:t>–</w:t>
      </w:r>
      <w:r w:rsidR="007D60B6" w:rsidRPr="00AE4D30">
        <w:rPr>
          <w:lang w:eastAsia="en-NZ"/>
        </w:rPr>
        <w:t xml:space="preserve"> where the provider delivers support as directed by the person.</w:t>
      </w:r>
    </w:p>
    <w:p w:rsidR="007D60B6" w:rsidRDefault="007D60B6" w:rsidP="0078340E">
      <w:pPr>
        <w:rPr>
          <w:lang w:eastAsia="en-NZ"/>
        </w:rPr>
      </w:pPr>
    </w:p>
    <w:p w:rsidR="007D60B6" w:rsidRPr="00AE4D30" w:rsidRDefault="007D60B6" w:rsidP="0078340E">
      <w:pPr>
        <w:rPr>
          <w:lang w:eastAsia="en-NZ"/>
        </w:rPr>
      </w:pPr>
      <w:r w:rsidRPr="00AE4D30">
        <w:rPr>
          <w:lang w:eastAsia="en-NZ"/>
        </w:rPr>
        <w:t>Flexible Disability Supports will suit people who do not want to have all of the responsibility of standard hosted services (for example being an employer) but wish to be able to have the flexibility to work with the provider of their choice, and to be supported in the way they choose.</w:t>
      </w:r>
    </w:p>
    <w:p w:rsidR="007D60B6" w:rsidRDefault="007D60B6" w:rsidP="0078340E">
      <w:pPr>
        <w:rPr>
          <w:lang w:eastAsia="en-NZ"/>
        </w:rPr>
      </w:pPr>
    </w:p>
    <w:p w:rsidR="007D60B6" w:rsidRDefault="007D60B6" w:rsidP="0078340E">
      <w:pPr>
        <w:rPr>
          <w:lang w:eastAsia="en-NZ"/>
        </w:rPr>
      </w:pPr>
      <w:r w:rsidRPr="00AE4D30">
        <w:rPr>
          <w:lang w:eastAsia="en-NZ"/>
        </w:rPr>
        <w:t xml:space="preserve">The Ministry plans to purchase Flexible Disability Supports via a criteria-based contracting process in the Christchurch area. Christchurch disability support providers </w:t>
      </w:r>
      <w:r>
        <w:rPr>
          <w:lang w:eastAsia="en-NZ"/>
        </w:rPr>
        <w:t xml:space="preserve">are likely to </w:t>
      </w:r>
      <w:r w:rsidRPr="00AE4D30">
        <w:rPr>
          <w:lang w:eastAsia="en-NZ"/>
        </w:rPr>
        <w:t>be sent an application pack</w:t>
      </w:r>
      <w:r>
        <w:rPr>
          <w:lang w:eastAsia="en-NZ"/>
        </w:rPr>
        <w:t xml:space="preserve"> with more detailed information</w:t>
      </w:r>
      <w:r w:rsidRPr="00AE4D30">
        <w:rPr>
          <w:lang w:eastAsia="en-NZ"/>
        </w:rPr>
        <w:t xml:space="preserve"> </w:t>
      </w:r>
      <w:r w:rsidR="00A605B3">
        <w:rPr>
          <w:lang w:eastAsia="en-NZ"/>
        </w:rPr>
        <w:t>in the near future</w:t>
      </w:r>
      <w:r w:rsidR="0078340E">
        <w:rPr>
          <w:lang w:eastAsia="en-NZ"/>
        </w:rPr>
        <w:t>.</w:t>
      </w:r>
    </w:p>
    <w:p w:rsidR="0082299C" w:rsidRDefault="0082299C" w:rsidP="0078340E"/>
    <w:p w:rsidR="00B23848" w:rsidRDefault="00B23848" w:rsidP="00B23848">
      <w:r>
        <w:br w:type="page"/>
      </w:r>
    </w:p>
    <w:p w:rsidR="0082299C" w:rsidRDefault="0082299C" w:rsidP="0078340E">
      <w:pPr>
        <w:pStyle w:val="Heading2"/>
      </w:pPr>
      <w:r>
        <w:lastRenderedPageBreak/>
        <w:t>Waikato</w:t>
      </w:r>
    </w:p>
    <w:p w:rsidR="007D60B6" w:rsidRPr="00B23848" w:rsidRDefault="007D60B6" w:rsidP="00B23848">
      <w:pPr>
        <w:rPr>
          <w:color w:val="1F497D" w:themeColor="text2"/>
          <w:lang w:eastAsia="en-NZ"/>
        </w:rPr>
      </w:pPr>
      <w:r w:rsidRPr="00B23848">
        <w:rPr>
          <w:color w:val="1F497D" w:themeColor="text2"/>
          <w:lang w:eastAsia="en-NZ"/>
        </w:rPr>
        <w:t>The E</w:t>
      </w:r>
      <w:r w:rsidR="00A605B3">
        <w:rPr>
          <w:color w:val="1F497D" w:themeColor="text2"/>
          <w:lang w:eastAsia="en-NZ"/>
        </w:rPr>
        <w:t>nabling Good Lives</w:t>
      </w:r>
      <w:r w:rsidRPr="00B23848">
        <w:rPr>
          <w:color w:val="1F497D" w:themeColor="text2"/>
          <w:lang w:eastAsia="en-NZ"/>
        </w:rPr>
        <w:t xml:space="preserve"> Waikato demonstr</w:t>
      </w:r>
      <w:r w:rsidR="00B23848" w:rsidRPr="00B23848">
        <w:rPr>
          <w:color w:val="1F497D" w:themeColor="text2"/>
          <w:lang w:eastAsia="en-NZ"/>
        </w:rPr>
        <w:t>ation is into its second month.</w:t>
      </w:r>
    </w:p>
    <w:p w:rsidR="007D60B6" w:rsidRDefault="007D60B6" w:rsidP="00B23848">
      <w:pPr>
        <w:rPr>
          <w:lang w:eastAsia="en-NZ"/>
        </w:rPr>
      </w:pPr>
    </w:p>
    <w:p w:rsidR="007D60B6" w:rsidRDefault="00B23848" w:rsidP="00B23848">
      <w:pPr>
        <w:rPr>
          <w:lang w:eastAsia="en-NZ"/>
        </w:rPr>
      </w:pPr>
      <w:r>
        <w:rPr>
          <w:noProof/>
          <w:lang w:eastAsia="en-NZ"/>
        </w:rPr>
        <w:drawing>
          <wp:anchor distT="0" distB="0" distL="114300" distR="0" simplePos="0" relativeHeight="251663360" behindDoc="0" locked="0" layoutInCell="1" allowOverlap="1" wp14:anchorId="444778AD" wp14:editId="04ED5E8A">
            <wp:simplePos x="0" y="0"/>
            <wp:positionH relativeFrom="column">
              <wp:posOffset>2821940</wp:posOffset>
            </wp:positionH>
            <wp:positionV relativeFrom="paragraph">
              <wp:posOffset>17145</wp:posOffset>
            </wp:positionV>
            <wp:extent cx="3662680" cy="2435225"/>
            <wp:effectExtent l="0" t="0" r="0" b="3175"/>
            <wp:wrapSquare wrapText="lef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MP1.png"/>
                    <pic:cNvPicPr/>
                  </pic:nvPicPr>
                  <pic:blipFill rotWithShape="1">
                    <a:blip r:embed="rId12">
                      <a:extLst>
                        <a:ext uri="{28A0092B-C50C-407E-A947-70E740481C1C}">
                          <a14:useLocalDpi xmlns:a14="http://schemas.microsoft.com/office/drawing/2010/main" val="0"/>
                        </a:ext>
                      </a:extLst>
                    </a:blip>
                    <a:srcRect l="7967" r="7492"/>
                    <a:stretch/>
                  </pic:blipFill>
                  <pic:spPr bwMode="auto">
                    <a:xfrm>
                      <a:off x="0" y="0"/>
                      <a:ext cx="3662680" cy="2435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60B6" w:rsidRPr="009028BA">
        <w:rPr>
          <w:lang w:eastAsia="en-NZ"/>
        </w:rPr>
        <w:t xml:space="preserve">In early July we contacted disabled people, family and </w:t>
      </w:r>
      <w:proofErr w:type="spellStart"/>
      <w:r w:rsidR="007D60B6" w:rsidRPr="009028BA">
        <w:rPr>
          <w:lang w:eastAsia="en-NZ"/>
        </w:rPr>
        <w:t>wh</w:t>
      </w:r>
      <w:r>
        <w:rPr>
          <w:lang w:eastAsia="en-NZ"/>
        </w:rPr>
        <w:t>ā</w:t>
      </w:r>
      <w:r w:rsidR="007D60B6" w:rsidRPr="009028BA">
        <w:rPr>
          <w:lang w:eastAsia="en-NZ"/>
        </w:rPr>
        <w:t>nau</w:t>
      </w:r>
      <w:proofErr w:type="spellEnd"/>
      <w:r w:rsidR="007D60B6" w:rsidRPr="009028BA">
        <w:rPr>
          <w:lang w:eastAsia="en-NZ"/>
        </w:rPr>
        <w:t xml:space="preserve"> who expressed interest in E</w:t>
      </w:r>
      <w:r w:rsidR="00A605B3">
        <w:rPr>
          <w:lang w:eastAsia="en-NZ"/>
        </w:rPr>
        <w:t>nabling Good Lives</w:t>
      </w:r>
      <w:r w:rsidR="007D60B6" w:rsidRPr="009028BA">
        <w:rPr>
          <w:lang w:eastAsia="en-NZ"/>
        </w:rPr>
        <w:t xml:space="preserve"> Waikato. Our </w:t>
      </w:r>
      <w:proofErr w:type="spellStart"/>
      <w:r w:rsidR="007D60B6" w:rsidRPr="009028BA">
        <w:rPr>
          <w:lang w:eastAsia="en-NZ"/>
        </w:rPr>
        <w:t>T</w:t>
      </w:r>
      <w:r>
        <w:rPr>
          <w:lang w:eastAsia="en-NZ"/>
        </w:rPr>
        <w:t>ū</w:t>
      </w:r>
      <w:r w:rsidR="007D60B6" w:rsidRPr="009028BA">
        <w:rPr>
          <w:lang w:eastAsia="en-NZ"/>
        </w:rPr>
        <w:t>hono</w:t>
      </w:r>
      <w:proofErr w:type="spellEnd"/>
      <w:r w:rsidR="007D60B6" w:rsidRPr="009028BA">
        <w:rPr>
          <w:lang w:eastAsia="en-NZ"/>
        </w:rPr>
        <w:t xml:space="preserve">/Connectors have been busy meeting with participants to help them plan their good life. We are </w:t>
      </w:r>
      <w:r w:rsidR="007D60B6">
        <w:rPr>
          <w:lang w:eastAsia="en-NZ"/>
        </w:rPr>
        <w:t xml:space="preserve">already </w:t>
      </w:r>
      <w:r w:rsidR="007D60B6" w:rsidRPr="009028BA">
        <w:rPr>
          <w:lang w:eastAsia="en-NZ"/>
        </w:rPr>
        <w:t xml:space="preserve">able to see the positive impact that </w:t>
      </w:r>
      <w:r w:rsidR="00A605B3" w:rsidRPr="009028BA">
        <w:rPr>
          <w:lang w:eastAsia="en-NZ"/>
        </w:rPr>
        <w:t>E</w:t>
      </w:r>
      <w:r w:rsidR="00A605B3">
        <w:rPr>
          <w:lang w:eastAsia="en-NZ"/>
        </w:rPr>
        <w:t>nabling Good Lives</w:t>
      </w:r>
      <w:r w:rsidR="00A605B3" w:rsidRPr="009028BA">
        <w:rPr>
          <w:lang w:eastAsia="en-NZ"/>
        </w:rPr>
        <w:t xml:space="preserve"> </w:t>
      </w:r>
      <w:r w:rsidR="007D60B6">
        <w:rPr>
          <w:lang w:eastAsia="en-NZ"/>
        </w:rPr>
        <w:t>could have on an individual</w:t>
      </w:r>
      <w:r w:rsidR="00FC2969">
        <w:rPr>
          <w:lang w:eastAsia="en-NZ"/>
        </w:rPr>
        <w:t>’</w:t>
      </w:r>
      <w:r w:rsidR="007D60B6">
        <w:rPr>
          <w:lang w:eastAsia="en-NZ"/>
        </w:rPr>
        <w:t>s life</w:t>
      </w:r>
      <w:r w:rsidR="007D60B6" w:rsidRPr="009028BA">
        <w:rPr>
          <w:lang w:eastAsia="en-NZ"/>
        </w:rPr>
        <w:t>.</w:t>
      </w:r>
    </w:p>
    <w:p w:rsidR="007D60B6" w:rsidRDefault="007D60B6" w:rsidP="00B23848">
      <w:pPr>
        <w:rPr>
          <w:lang w:eastAsia="en-NZ"/>
        </w:rPr>
      </w:pPr>
    </w:p>
    <w:p w:rsidR="007D60B6" w:rsidRDefault="00A605B3" w:rsidP="00B23848">
      <w:pPr>
        <w:rPr>
          <w:color w:val="000000"/>
          <w:lang w:eastAsia="en-NZ"/>
        </w:rPr>
      </w:pPr>
      <w:r w:rsidRPr="009028BA">
        <w:rPr>
          <w:lang w:eastAsia="en-NZ"/>
        </w:rPr>
        <w:t>E</w:t>
      </w:r>
      <w:r>
        <w:rPr>
          <w:lang w:eastAsia="en-NZ"/>
        </w:rPr>
        <w:t>nabling Good Lives</w:t>
      </w:r>
      <w:r w:rsidRPr="009028BA">
        <w:rPr>
          <w:lang w:eastAsia="en-NZ"/>
        </w:rPr>
        <w:t xml:space="preserve"> </w:t>
      </w:r>
      <w:r w:rsidR="007D60B6" w:rsidRPr="009028BA">
        <w:rPr>
          <w:lang w:eastAsia="en-NZ"/>
        </w:rPr>
        <w:t>Waikato is working with people who live in the Waikato District Health Board area</w:t>
      </w:r>
      <w:r w:rsidR="007D60B6">
        <w:rPr>
          <w:lang w:eastAsia="en-NZ"/>
        </w:rPr>
        <w:t xml:space="preserve">, </w:t>
      </w:r>
      <w:r w:rsidR="007D60B6" w:rsidRPr="009028BA">
        <w:rPr>
          <w:lang w:eastAsia="en-NZ"/>
        </w:rPr>
        <w:t>from Northern Coromandel to close to Mt</w:t>
      </w:r>
      <w:r w:rsidR="007D60B6">
        <w:rPr>
          <w:color w:val="000000"/>
          <w:lang w:eastAsia="en-NZ"/>
        </w:rPr>
        <w:t xml:space="preserve"> </w:t>
      </w:r>
      <w:proofErr w:type="spellStart"/>
      <w:r w:rsidR="007D60B6">
        <w:rPr>
          <w:color w:val="000000"/>
          <w:lang w:eastAsia="en-NZ"/>
        </w:rPr>
        <w:t>Ruapehu</w:t>
      </w:r>
      <w:proofErr w:type="spellEnd"/>
      <w:r w:rsidR="007D60B6">
        <w:rPr>
          <w:color w:val="000000"/>
          <w:lang w:eastAsia="en-NZ"/>
        </w:rPr>
        <w:t xml:space="preserve"> in the south and from Raglan on the west coast to </w:t>
      </w:r>
      <w:proofErr w:type="spellStart"/>
      <w:r w:rsidR="007D60B6">
        <w:rPr>
          <w:color w:val="000000"/>
          <w:lang w:eastAsia="en-NZ"/>
        </w:rPr>
        <w:t>Waihi</w:t>
      </w:r>
      <w:proofErr w:type="spellEnd"/>
      <w:r w:rsidR="007D60B6">
        <w:rPr>
          <w:color w:val="000000"/>
          <w:lang w:eastAsia="en-NZ"/>
        </w:rPr>
        <w:t xml:space="preserve"> on the east.</w:t>
      </w:r>
    </w:p>
    <w:p w:rsidR="007D60B6" w:rsidRDefault="007D60B6" w:rsidP="00B23848">
      <w:pPr>
        <w:rPr>
          <w:lang w:eastAsia="en-NZ"/>
        </w:rPr>
      </w:pPr>
    </w:p>
    <w:p w:rsidR="007D60B6" w:rsidRDefault="007D60B6" w:rsidP="00B23848">
      <w:pPr>
        <w:rPr>
          <w:lang w:eastAsia="en-NZ"/>
        </w:rPr>
      </w:pPr>
      <w:r>
        <w:rPr>
          <w:lang w:eastAsia="en-NZ"/>
        </w:rPr>
        <w:t xml:space="preserve">The recent </w:t>
      </w:r>
      <w:r w:rsidR="00A605B3" w:rsidRPr="009028BA">
        <w:rPr>
          <w:lang w:eastAsia="en-NZ"/>
        </w:rPr>
        <w:t>E</w:t>
      </w:r>
      <w:r w:rsidR="00A605B3">
        <w:rPr>
          <w:lang w:eastAsia="en-NZ"/>
        </w:rPr>
        <w:t>nabling Good Lives</w:t>
      </w:r>
      <w:r w:rsidR="00A605B3" w:rsidRPr="009028BA">
        <w:rPr>
          <w:lang w:eastAsia="en-NZ"/>
        </w:rPr>
        <w:t xml:space="preserve"> </w:t>
      </w:r>
      <w:r>
        <w:rPr>
          <w:lang w:eastAsia="en-NZ"/>
        </w:rPr>
        <w:t>Waikato Disabled Person</w:t>
      </w:r>
      <w:r w:rsidR="00FC2969">
        <w:rPr>
          <w:lang w:eastAsia="en-NZ"/>
        </w:rPr>
        <w:t>’</w:t>
      </w:r>
      <w:r>
        <w:rPr>
          <w:lang w:eastAsia="en-NZ"/>
        </w:rPr>
        <w:t xml:space="preserve">s Forum included a presentation by student journalist Mike </w:t>
      </w:r>
      <w:proofErr w:type="spellStart"/>
      <w:r>
        <w:rPr>
          <w:lang w:eastAsia="en-NZ"/>
        </w:rPr>
        <w:t>Pulman</w:t>
      </w:r>
      <w:proofErr w:type="spellEnd"/>
      <w:r>
        <w:rPr>
          <w:lang w:eastAsia="en-NZ"/>
        </w:rPr>
        <w:t xml:space="preserve">. Mike is seen as a positive disabled leader within the community and actively promotes the principles of </w:t>
      </w:r>
      <w:r w:rsidR="00A605B3" w:rsidRPr="009028BA">
        <w:rPr>
          <w:lang w:eastAsia="en-NZ"/>
        </w:rPr>
        <w:t>E</w:t>
      </w:r>
      <w:r w:rsidR="00A605B3">
        <w:rPr>
          <w:lang w:eastAsia="en-NZ"/>
        </w:rPr>
        <w:t>nabling Good Lives</w:t>
      </w:r>
      <w:r>
        <w:rPr>
          <w:lang w:eastAsia="en-NZ"/>
        </w:rPr>
        <w:t xml:space="preserve">. Mike shared with </w:t>
      </w:r>
      <w:proofErr w:type="gramStart"/>
      <w:r>
        <w:rPr>
          <w:lang w:eastAsia="en-NZ"/>
        </w:rPr>
        <w:t>an 80</w:t>
      </w:r>
      <w:proofErr w:type="gramEnd"/>
      <w:r>
        <w:rPr>
          <w:lang w:eastAsia="en-NZ"/>
        </w:rPr>
        <w:t>-strong audience information about his life including his determination for independence, work experience in the Waikato sporting arena and the struggles he has faced.</w:t>
      </w:r>
    </w:p>
    <w:p w:rsidR="007D60B6" w:rsidRDefault="007D60B6" w:rsidP="00B23848">
      <w:pPr>
        <w:rPr>
          <w:lang w:eastAsia="en-NZ"/>
        </w:rPr>
      </w:pPr>
    </w:p>
    <w:p w:rsidR="007D60B6" w:rsidRDefault="007D60B6" w:rsidP="00B23848">
      <w:pPr>
        <w:rPr>
          <w:lang w:eastAsia="en-NZ"/>
        </w:rPr>
      </w:pPr>
      <w:r>
        <w:rPr>
          <w:lang w:eastAsia="en-NZ"/>
        </w:rPr>
        <w:t>For more information:</w:t>
      </w:r>
    </w:p>
    <w:p w:rsidR="007D60B6" w:rsidRPr="00B23848" w:rsidRDefault="0034477B" w:rsidP="00B23848">
      <w:pPr>
        <w:autoSpaceDE w:val="0"/>
        <w:autoSpaceDN w:val="0"/>
        <w:adjustRightInd w:val="0"/>
        <w:ind w:left="1134"/>
        <w:jc w:val="both"/>
        <w:rPr>
          <w:rStyle w:val="Hyperlink"/>
        </w:rPr>
      </w:pPr>
      <w:hyperlink r:id="rId13" w:history="1">
        <w:r w:rsidR="007D60B6" w:rsidRPr="00B23848">
          <w:rPr>
            <w:rStyle w:val="Hyperlink"/>
          </w:rPr>
          <w:t>www.enablinggoodlives.co.nz</w:t>
        </w:r>
      </w:hyperlink>
    </w:p>
    <w:p w:rsidR="00B23848" w:rsidRDefault="00B23848" w:rsidP="00B23848">
      <w:pPr>
        <w:rPr>
          <w:lang w:eastAsia="en-NZ"/>
        </w:rPr>
      </w:pPr>
    </w:p>
    <w:p w:rsidR="007D60B6" w:rsidRDefault="007D60B6" w:rsidP="00B23848">
      <w:pPr>
        <w:rPr>
          <w:lang w:eastAsia="en-NZ"/>
        </w:rPr>
      </w:pPr>
      <w:r>
        <w:rPr>
          <w:lang w:eastAsia="en-NZ"/>
        </w:rPr>
        <w:t>Contact Loren Corbett 029 2014780</w:t>
      </w:r>
    </w:p>
    <w:p w:rsidR="007D60B6" w:rsidRDefault="007D60B6" w:rsidP="00B23848">
      <w:pPr>
        <w:ind w:left="822"/>
        <w:rPr>
          <w:rFonts w:ascii="Arial Mäori" w:hAnsi="Arial Mäori" w:cs="Arial Mäori"/>
          <w:color w:val="000000"/>
          <w:sz w:val="22"/>
          <w:szCs w:val="22"/>
          <w:lang w:eastAsia="en-NZ"/>
        </w:rPr>
      </w:pPr>
      <w:proofErr w:type="gramStart"/>
      <w:r w:rsidRPr="00B23848">
        <w:t>or</w:t>
      </w:r>
      <w:proofErr w:type="gramEnd"/>
      <w:r w:rsidRPr="00B23848">
        <w:t xml:space="preserve"> email</w:t>
      </w:r>
      <w:r>
        <w:rPr>
          <w:rFonts w:ascii="Arial Mäori" w:hAnsi="Arial Mäori" w:cs="Arial Mäori"/>
          <w:color w:val="000000"/>
          <w:sz w:val="22"/>
          <w:szCs w:val="22"/>
          <w:lang w:eastAsia="en-NZ"/>
        </w:rPr>
        <w:t xml:space="preserve"> </w:t>
      </w:r>
      <w:hyperlink r:id="rId14" w:history="1">
        <w:r w:rsidRPr="00B23848">
          <w:rPr>
            <w:rStyle w:val="Hyperlink"/>
          </w:rPr>
          <w:t>enabling_good_lives_waikato@msd.govt.nz</w:t>
        </w:r>
      </w:hyperlink>
    </w:p>
    <w:p w:rsidR="007D60B6" w:rsidRDefault="007D60B6" w:rsidP="00B23848">
      <w:pPr>
        <w:rPr>
          <w:lang w:eastAsia="en-NZ"/>
        </w:rPr>
      </w:pPr>
    </w:p>
    <w:p w:rsidR="00B23848" w:rsidRDefault="00B23848">
      <w:pPr>
        <w:spacing w:line="240" w:lineRule="auto"/>
        <w:ind w:left="0" w:right="0"/>
        <w:rPr>
          <w:lang w:eastAsia="en-NZ"/>
        </w:rPr>
      </w:pPr>
      <w:r>
        <w:rPr>
          <w:lang w:eastAsia="en-NZ"/>
        </w:rPr>
        <w:br w:type="page"/>
      </w:r>
    </w:p>
    <w:p w:rsidR="00B23848" w:rsidRPr="00B23848" w:rsidRDefault="00B23848" w:rsidP="00B23848">
      <w:pPr>
        <w:rPr>
          <w:sz w:val="2"/>
          <w:szCs w:val="2"/>
          <w:lang w:eastAsia="en-NZ"/>
        </w:rPr>
      </w:pPr>
    </w:p>
    <w:tbl>
      <w:tblPr>
        <w:tblStyle w:val="TableGrid"/>
        <w:tblW w:w="11346" w:type="dxa"/>
        <w:tblInd w:w="-284"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shd w:val="clear" w:color="auto" w:fill="1F497D" w:themeFill="text2"/>
        <w:tblLayout w:type="fixed"/>
        <w:tblCellMar>
          <w:left w:w="0" w:type="dxa"/>
          <w:right w:w="0" w:type="dxa"/>
        </w:tblCellMar>
        <w:tblLook w:val="04A0" w:firstRow="1" w:lastRow="0" w:firstColumn="1" w:lastColumn="0" w:noHBand="0" w:noVBand="1"/>
      </w:tblPr>
      <w:tblGrid>
        <w:gridCol w:w="11346"/>
      </w:tblGrid>
      <w:tr w:rsidR="00B23848" w:rsidTr="002E02E3">
        <w:trPr>
          <w:cantSplit/>
        </w:trPr>
        <w:tc>
          <w:tcPr>
            <w:tcW w:w="11346" w:type="dxa"/>
            <w:shd w:val="clear" w:color="auto" w:fill="1F497D" w:themeFill="text2"/>
            <w:vAlign w:val="center"/>
          </w:tcPr>
          <w:p w:rsidR="00B23848" w:rsidRDefault="00B23848" w:rsidP="00B23848">
            <w:pPr>
              <w:pStyle w:val="Heading1"/>
              <w:spacing w:before="120" w:after="120"/>
              <w:outlineLvl w:val="0"/>
            </w:pPr>
            <w:r>
              <w:t>DSS News</w:t>
            </w:r>
          </w:p>
        </w:tc>
      </w:tr>
    </w:tbl>
    <w:p w:rsidR="00B23848" w:rsidRDefault="00B23848" w:rsidP="00B23848"/>
    <w:p w:rsidR="007D60B6" w:rsidRPr="00B23848" w:rsidRDefault="007D60B6" w:rsidP="00B23848">
      <w:pPr>
        <w:rPr>
          <w:color w:val="1F497D" w:themeColor="text2"/>
        </w:rPr>
      </w:pPr>
      <w:r w:rsidRPr="00B23848">
        <w:rPr>
          <w:color w:val="1F497D" w:themeColor="text2"/>
        </w:rPr>
        <w:t>We are pleased to welcome Amerika Wilson to DSS</w:t>
      </w:r>
      <w:r w:rsidR="00B23848" w:rsidRPr="00B23848">
        <w:rPr>
          <w:color w:val="1F497D" w:themeColor="text2"/>
        </w:rPr>
        <w:t xml:space="preserve">. </w:t>
      </w:r>
      <w:r w:rsidRPr="00B23848">
        <w:rPr>
          <w:color w:val="1F497D" w:themeColor="text2"/>
        </w:rPr>
        <w:t>Amerika will be working with us four days a week until November assisting on a project to work with and support disabled people and their families/</w:t>
      </w:r>
      <w:proofErr w:type="spellStart"/>
      <w:r w:rsidRPr="00B23848">
        <w:rPr>
          <w:color w:val="1F497D" w:themeColor="text2"/>
        </w:rPr>
        <w:t>whānau</w:t>
      </w:r>
      <w:proofErr w:type="spellEnd"/>
      <w:r w:rsidRPr="00B23848">
        <w:rPr>
          <w:color w:val="1F497D" w:themeColor="text2"/>
        </w:rPr>
        <w:t>/</w:t>
      </w:r>
      <w:proofErr w:type="spellStart"/>
      <w:r w:rsidRPr="00B23848">
        <w:rPr>
          <w:color w:val="1F497D" w:themeColor="text2"/>
        </w:rPr>
        <w:t>aiga</w:t>
      </w:r>
      <w:proofErr w:type="spellEnd"/>
      <w:r w:rsidRPr="00B23848">
        <w:rPr>
          <w:color w:val="1F497D" w:themeColor="text2"/>
        </w:rPr>
        <w:t xml:space="preserve"> in the Auckland region.</w:t>
      </w:r>
    </w:p>
    <w:p w:rsidR="007D60B6" w:rsidRDefault="007D60B6" w:rsidP="00B23848"/>
    <w:p w:rsidR="007D60B6" w:rsidRDefault="007D60B6" w:rsidP="00B23848">
      <w:r>
        <w:t>Amerika is cur</w:t>
      </w:r>
      <w:r w:rsidRPr="000873C5">
        <w:t>rently</w:t>
      </w:r>
      <w:r>
        <w:t xml:space="preserve"> employed as a</w:t>
      </w:r>
      <w:r w:rsidRPr="000873C5">
        <w:t xml:space="preserve"> </w:t>
      </w:r>
      <w:r>
        <w:t>Service Manager</w:t>
      </w:r>
      <w:r w:rsidRPr="000873C5">
        <w:t xml:space="preserve"> at Spectrum Care Trust </w:t>
      </w:r>
      <w:r>
        <w:t>B</w:t>
      </w:r>
      <w:r w:rsidRPr="000873C5">
        <w:t>oard</w:t>
      </w:r>
      <w:r>
        <w:t xml:space="preserve"> and has </w:t>
      </w:r>
      <w:r w:rsidRPr="000873C5">
        <w:t>more than 20 years</w:t>
      </w:r>
      <w:r w:rsidR="00FC2969">
        <w:t>’</w:t>
      </w:r>
      <w:r w:rsidRPr="000873C5">
        <w:t xml:space="preserve"> experience supporting people with disabilities</w:t>
      </w:r>
      <w:r>
        <w:t xml:space="preserve"> and helping them </w:t>
      </w:r>
      <w:r w:rsidRPr="000873C5">
        <w:t>achieve their goals – from living more independently and participating in their local communities</w:t>
      </w:r>
      <w:r>
        <w:t xml:space="preserve"> or </w:t>
      </w:r>
      <w:r w:rsidRPr="000873C5">
        <w:t>cultural groups to reconnecting with family and friends following deinstitutionalisation.</w:t>
      </w:r>
    </w:p>
    <w:p w:rsidR="00B23848" w:rsidRDefault="00B23848" w:rsidP="00B23848"/>
    <w:p w:rsidR="007D60B6" w:rsidRPr="000873C5" w:rsidRDefault="007D60B6" w:rsidP="00B23848">
      <w:r w:rsidRPr="000873C5">
        <w:t>Amerika is also on the Faiva Ora National Leadership Group</w:t>
      </w:r>
      <w:r>
        <w:t>, which enables</w:t>
      </w:r>
      <w:r w:rsidRPr="000873C5">
        <w:t xml:space="preserve"> Pacific people</w:t>
      </w:r>
      <w:r w:rsidR="00A605B3">
        <w:t>s</w:t>
      </w:r>
      <w:r w:rsidRPr="000873C5">
        <w:t xml:space="preserve"> with disabilities </w:t>
      </w:r>
      <w:r>
        <w:t xml:space="preserve">to </w:t>
      </w:r>
      <w:r w:rsidRPr="000873C5">
        <w:t xml:space="preserve">have a </w:t>
      </w:r>
      <w:r>
        <w:t>group representing their views at the highest levels in New Zealand.</w:t>
      </w:r>
    </w:p>
    <w:p w:rsidR="00B23848" w:rsidRDefault="00B23848" w:rsidP="00B23848"/>
    <w:p w:rsidR="007D60B6" w:rsidRDefault="007D60B6" w:rsidP="00B23848">
      <w:pPr>
        <w:rPr>
          <w:b/>
          <w:szCs w:val="22"/>
        </w:rPr>
      </w:pPr>
      <w:r w:rsidRPr="000873C5">
        <w:t>We would like to acknowledge the support from Spectrum Care Trust Board</w:t>
      </w:r>
      <w:r>
        <w:t xml:space="preserve"> as we take on this project.</w:t>
      </w:r>
    </w:p>
    <w:p w:rsidR="0082299C" w:rsidRDefault="0082299C" w:rsidP="00B23848">
      <w:pPr>
        <w:spacing w:after="600"/>
      </w:pPr>
    </w:p>
    <w:tbl>
      <w:tblPr>
        <w:tblStyle w:val="TableGrid"/>
        <w:tblW w:w="11346" w:type="dxa"/>
        <w:tblInd w:w="-284"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shd w:val="clear" w:color="auto" w:fill="1F497D" w:themeFill="text2"/>
        <w:tblLayout w:type="fixed"/>
        <w:tblCellMar>
          <w:left w:w="0" w:type="dxa"/>
          <w:right w:w="0" w:type="dxa"/>
        </w:tblCellMar>
        <w:tblLook w:val="04A0" w:firstRow="1" w:lastRow="0" w:firstColumn="1" w:lastColumn="0" w:noHBand="0" w:noVBand="1"/>
      </w:tblPr>
      <w:tblGrid>
        <w:gridCol w:w="11346"/>
      </w:tblGrid>
      <w:tr w:rsidR="00B23848" w:rsidTr="002E02E3">
        <w:trPr>
          <w:cantSplit/>
        </w:trPr>
        <w:tc>
          <w:tcPr>
            <w:tcW w:w="11346" w:type="dxa"/>
            <w:shd w:val="clear" w:color="auto" w:fill="1F497D" w:themeFill="text2"/>
            <w:vAlign w:val="center"/>
          </w:tcPr>
          <w:p w:rsidR="00B23848" w:rsidRDefault="00B23848" w:rsidP="00B23848">
            <w:pPr>
              <w:pStyle w:val="Heading1"/>
              <w:spacing w:before="120" w:after="120"/>
              <w:outlineLvl w:val="0"/>
            </w:pPr>
            <w:proofErr w:type="spellStart"/>
            <w:r>
              <w:t>Te</w:t>
            </w:r>
            <w:proofErr w:type="spellEnd"/>
            <w:r>
              <w:t xml:space="preserve"> </w:t>
            </w:r>
            <w:proofErr w:type="spellStart"/>
            <w:r>
              <w:t>Ao</w:t>
            </w:r>
            <w:proofErr w:type="spellEnd"/>
            <w:r>
              <w:t xml:space="preserve"> </w:t>
            </w:r>
            <w:proofErr w:type="spellStart"/>
            <w:proofErr w:type="gramStart"/>
            <w:r>
              <w:t>Mārama</w:t>
            </w:r>
            <w:proofErr w:type="spellEnd"/>
            <w:proofErr w:type="gramEnd"/>
            <w:r>
              <w:br/>
              <w:t>(the world of light)</w:t>
            </w:r>
          </w:p>
        </w:tc>
      </w:tr>
    </w:tbl>
    <w:p w:rsidR="00B23848" w:rsidRDefault="00B23848" w:rsidP="00FC5614"/>
    <w:p w:rsidR="007D60B6" w:rsidRPr="00FC5614" w:rsidRDefault="007D60B6" w:rsidP="00FC5614">
      <w:pPr>
        <w:rPr>
          <w:color w:val="1F497D" w:themeColor="text2"/>
        </w:rPr>
      </w:pPr>
      <w:proofErr w:type="gramStart"/>
      <w:r w:rsidRPr="00FC5614">
        <w:rPr>
          <w:color w:val="1F497D" w:themeColor="text2"/>
        </w:rPr>
        <w:t xml:space="preserve">Kia </w:t>
      </w:r>
      <w:proofErr w:type="spellStart"/>
      <w:r w:rsidRPr="00FC5614">
        <w:rPr>
          <w:color w:val="1F497D" w:themeColor="text2"/>
        </w:rPr>
        <w:t>ora</w:t>
      </w:r>
      <w:proofErr w:type="spellEnd"/>
      <w:r w:rsidRPr="00FC5614">
        <w:rPr>
          <w:color w:val="1F497D" w:themeColor="text2"/>
        </w:rPr>
        <w:t xml:space="preserve"> </w:t>
      </w:r>
      <w:proofErr w:type="spellStart"/>
      <w:r w:rsidRPr="00FC5614">
        <w:rPr>
          <w:color w:val="1F497D" w:themeColor="text2"/>
        </w:rPr>
        <w:t>koutou</w:t>
      </w:r>
      <w:proofErr w:type="spellEnd"/>
      <w:r w:rsidRPr="00FC5614">
        <w:rPr>
          <w:color w:val="1F497D" w:themeColor="text2"/>
        </w:rPr>
        <w:t>.</w:t>
      </w:r>
      <w:proofErr w:type="gramEnd"/>
      <w:r w:rsidRPr="00FC5614">
        <w:rPr>
          <w:color w:val="1F497D" w:themeColor="text2"/>
        </w:rPr>
        <w:t xml:space="preserve"> In this section we share stories of how our service providers are responding to the needs of Māori with disabilities and their </w:t>
      </w:r>
      <w:proofErr w:type="spellStart"/>
      <w:r w:rsidRPr="00FC5614">
        <w:rPr>
          <w:color w:val="1F497D" w:themeColor="text2"/>
        </w:rPr>
        <w:t>whānau</w:t>
      </w:r>
      <w:proofErr w:type="spellEnd"/>
      <w:r w:rsidRPr="00FC5614">
        <w:rPr>
          <w:color w:val="1F497D" w:themeColor="text2"/>
        </w:rPr>
        <w:t>. The aim is to promote and foster culturally integrated practice and culturally respons</w:t>
      </w:r>
      <w:r w:rsidR="00FC5614" w:rsidRPr="00FC5614">
        <w:rPr>
          <w:color w:val="1F497D" w:themeColor="text2"/>
        </w:rPr>
        <w:t>ive services within our sector.</w:t>
      </w:r>
    </w:p>
    <w:p w:rsidR="007D60B6" w:rsidRPr="001B2306" w:rsidRDefault="007D60B6" w:rsidP="00FC5614"/>
    <w:p w:rsidR="007D60B6" w:rsidRDefault="007D60B6" w:rsidP="00FC5614">
      <w:proofErr w:type="spellStart"/>
      <w:r>
        <w:t>Mauri</w:t>
      </w:r>
      <w:proofErr w:type="spellEnd"/>
      <w:r>
        <w:t xml:space="preserve"> </w:t>
      </w:r>
      <w:proofErr w:type="spellStart"/>
      <w:r>
        <w:t>ora</w:t>
      </w:r>
      <w:proofErr w:type="spellEnd"/>
      <w:r>
        <w:t xml:space="preserve"> (be well).</w:t>
      </w:r>
    </w:p>
    <w:p w:rsidR="007D60B6" w:rsidRDefault="007D60B6" w:rsidP="00FC5614"/>
    <w:p w:rsidR="007D60B6" w:rsidRPr="00FC5614" w:rsidRDefault="007D60B6" w:rsidP="00FC5614">
      <w:pPr>
        <w:rPr>
          <w:b/>
          <w:sz w:val="28"/>
        </w:rPr>
      </w:pPr>
      <w:r w:rsidRPr="00FC5614">
        <w:rPr>
          <w:b/>
        </w:rPr>
        <w:t>Contact:</w:t>
      </w:r>
      <w:r w:rsidR="00FC2969">
        <w:rPr>
          <w:b/>
        </w:rPr>
        <w:t xml:space="preserve"> </w:t>
      </w:r>
      <w:r w:rsidRPr="00FC5614">
        <w:rPr>
          <w:b/>
        </w:rPr>
        <w:t>Inia Eruera, Senior Advisor Māori, 04 816 3659</w:t>
      </w:r>
    </w:p>
    <w:p w:rsidR="007D60B6" w:rsidRDefault="007D60B6" w:rsidP="00FC5614"/>
    <w:p w:rsidR="007D60B6" w:rsidRPr="007F62C5" w:rsidRDefault="007D60B6" w:rsidP="00FC5614">
      <w:pPr>
        <w:pStyle w:val="Heading2"/>
      </w:pPr>
      <w:proofErr w:type="spellStart"/>
      <w:r w:rsidRPr="007F62C5">
        <w:t>NorthAble</w:t>
      </w:r>
      <w:proofErr w:type="spellEnd"/>
      <w:r w:rsidRPr="007F62C5">
        <w:t xml:space="preserve"> Disability Services</w:t>
      </w:r>
    </w:p>
    <w:p w:rsidR="007D60B6" w:rsidRPr="00FC5614" w:rsidRDefault="007D60B6" w:rsidP="00FC5614">
      <w:pPr>
        <w:keepNext/>
        <w:rPr>
          <w:color w:val="1F497D" w:themeColor="text2"/>
        </w:rPr>
      </w:pPr>
      <w:proofErr w:type="spellStart"/>
      <w:proofErr w:type="gramStart"/>
      <w:r w:rsidRPr="00FC5614">
        <w:rPr>
          <w:color w:val="1F497D" w:themeColor="text2"/>
        </w:rPr>
        <w:t>Tēnā</w:t>
      </w:r>
      <w:proofErr w:type="spellEnd"/>
      <w:r w:rsidRPr="00FC5614">
        <w:rPr>
          <w:color w:val="1F497D" w:themeColor="text2"/>
        </w:rPr>
        <w:t xml:space="preserve"> </w:t>
      </w:r>
      <w:proofErr w:type="spellStart"/>
      <w:r w:rsidRPr="00FC5614">
        <w:rPr>
          <w:color w:val="1F497D" w:themeColor="text2"/>
        </w:rPr>
        <w:t>koutou</w:t>
      </w:r>
      <w:proofErr w:type="spellEnd"/>
      <w:r w:rsidRPr="00FC5614">
        <w:rPr>
          <w:color w:val="1F497D" w:themeColor="text2"/>
        </w:rPr>
        <w:t xml:space="preserve"> </w:t>
      </w:r>
      <w:proofErr w:type="spellStart"/>
      <w:r w:rsidRPr="00FC5614">
        <w:rPr>
          <w:color w:val="1F497D" w:themeColor="text2"/>
        </w:rPr>
        <w:t>katoa</w:t>
      </w:r>
      <w:proofErr w:type="spellEnd"/>
      <w:r w:rsidRPr="00FC5614">
        <w:rPr>
          <w:color w:val="1F497D" w:themeColor="text2"/>
        </w:rPr>
        <w:t>.</w:t>
      </w:r>
      <w:proofErr w:type="gramEnd"/>
      <w:r w:rsidRPr="00FC5614">
        <w:rPr>
          <w:color w:val="1F497D" w:themeColor="text2"/>
        </w:rPr>
        <w:t xml:space="preserve"> I am proud to share with you some information about our service at </w:t>
      </w:r>
      <w:proofErr w:type="spellStart"/>
      <w:r w:rsidRPr="00FC5614">
        <w:rPr>
          <w:color w:val="1F497D" w:themeColor="text2"/>
        </w:rPr>
        <w:t>NorthAble</w:t>
      </w:r>
      <w:proofErr w:type="spellEnd"/>
      <w:r w:rsidRPr="00FC5614">
        <w:rPr>
          <w:color w:val="1F497D" w:themeColor="text2"/>
        </w:rPr>
        <w:t xml:space="preserve">, which is based in </w:t>
      </w:r>
      <w:proofErr w:type="spellStart"/>
      <w:r w:rsidRPr="00FC5614">
        <w:rPr>
          <w:color w:val="1F497D" w:themeColor="text2"/>
        </w:rPr>
        <w:t>Whangarei</w:t>
      </w:r>
      <w:proofErr w:type="spellEnd"/>
      <w:r w:rsidRPr="00FC5614">
        <w:rPr>
          <w:color w:val="1F497D" w:themeColor="text2"/>
        </w:rPr>
        <w:t xml:space="preserve">, Mid-Far North and </w:t>
      </w:r>
      <w:proofErr w:type="spellStart"/>
      <w:r w:rsidRPr="00FC5614">
        <w:rPr>
          <w:color w:val="1F497D" w:themeColor="text2"/>
        </w:rPr>
        <w:t>Kaipara</w:t>
      </w:r>
      <w:proofErr w:type="spellEnd"/>
      <w:r w:rsidRPr="00FC5614">
        <w:rPr>
          <w:color w:val="1F497D" w:themeColor="text2"/>
        </w:rPr>
        <w:t xml:space="preserve"> districts. Fifty-five percent of our clients identify themselves as Māori. Accordingly, Māori representation is reflected at the Board level and throughout the organisation.</w:t>
      </w:r>
    </w:p>
    <w:p w:rsidR="007D60B6" w:rsidRDefault="007D60B6" w:rsidP="00FC5614"/>
    <w:p w:rsidR="007D60B6" w:rsidRPr="00C32B41" w:rsidRDefault="007D60B6" w:rsidP="00FC5614">
      <w:proofErr w:type="spellStart"/>
      <w:r w:rsidRPr="00C32B41">
        <w:t>NorthAble</w:t>
      </w:r>
      <w:proofErr w:type="spellEnd"/>
      <w:r w:rsidRPr="00C32B41">
        <w:t xml:space="preserve"> is Northland</w:t>
      </w:r>
      <w:r w:rsidR="00FC2969">
        <w:t>’</w:t>
      </w:r>
      <w:r w:rsidRPr="00C32B41">
        <w:t>s primary Disability Resource Centre and has been serving local communities since June 1990.</w:t>
      </w:r>
    </w:p>
    <w:p w:rsidR="007D60B6" w:rsidRPr="00C32B41" w:rsidRDefault="007D60B6" w:rsidP="00FC5614"/>
    <w:p w:rsidR="007D60B6" w:rsidRPr="00007539" w:rsidRDefault="007D60B6" w:rsidP="00FC5614">
      <w:r w:rsidRPr="00007539">
        <w:t xml:space="preserve">The </w:t>
      </w:r>
      <w:proofErr w:type="spellStart"/>
      <w:r w:rsidRPr="00007539">
        <w:t>NorthAble</w:t>
      </w:r>
      <w:proofErr w:type="spellEnd"/>
      <w:r w:rsidRPr="00007539">
        <w:t xml:space="preserve"> Māori Cultural Advisor has been with the organisation for 11 years and inducts all new staff to familiarise them with local protocols, including basic </w:t>
      </w:r>
      <w:proofErr w:type="spellStart"/>
      <w:r w:rsidRPr="00007539">
        <w:t>marae</w:t>
      </w:r>
      <w:proofErr w:type="spellEnd"/>
      <w:r w:rsidRPr="00007539">
        <w:t xml:space="preserve"> etiquette. </w:t>
      </w:r>
      <w:proofErr w:type="spellStart"/>
      <w:r w:rsidRPr="00007539">
        <w:t>Waiata</w:t>
      </w:r>
      <w:proofErr w:type="spellEnd"/>
      <w:r w:rsidRPr="00007539">
        <w:t xml:space="preserve"> practice is held each week for an hour and this brings the organisation together to re-energise with </w:t>
      </w:r>
      <w:proofErr w:type="spellStart"/>
      <w:r w:rsidRPr="00007539">
        <w:t>waiata</w:t>
      </w:r>
      <w:proofErr w:type="spellEnd"/>
      <w:r w:rsidRPr="00007539">
        <w:t xml:space="preserve"> and </w:t>
      </w:r>
      <w:proofErr w:type="spellStart"/>
      <w:r w:rsidRPr="00007539">
        <w:t>karakia</w:t>
      </w:r>
      <w:proofErr w:type="spellEnd"/>
      <w:r w:rsidRPr="00007539">
        <w:t>.</w:t>
      </w:r>
    </w:p>
    <w:p w:rsidR="007D60B6" w:rsidRDefault="007D60B6" w:rsidP="00FC5614"/>
    <w:p w:rsidR="007D60B6" w:rsidRDefault="007D60B6" w:rsidP="00FC5614">
      <w:proofErr w:type="spellStart"/>
      <w:r w:rsidRPr="003D6B55">
        <w:t>NorthAble</w:t>
      </w:r>
      <w:proofErr w:type="spellEnd"/>
      <w:r w:rsidRPr="003D6B55">
        <w:t xml:space="preserve"> is able to refer clients to a Navigation Service</w:t>
      </w:r>
      <w:r>
        <w:t xml:space="preserve"> which is </w:t>
      </w:r>
      <w:r w:rsidRPr="003D6B55">
        <w:t xml:space="preserve">able to match an independent </w:t>
      </w:r>
      <w:r w:rsidR="00A605B3">
        <w:t>n</w:t>
      </w:r>
      <w:r w:rsidRPr="003D6B55">
        <w:t xml:space="preserve">avigator who could access supports across agencies to </w:t>
      </w:r>
      <w:r>
        <w:t xml:space="preserve">assist </w:t>
      </w:r>
      <w:r w:rsidRPr="003D6B55">
        <w:t>all families/</w:t>
      </w:r>
      <w:proofErr w:type="spellStart"/>
      <w:r w:rsidRPr="003D6B55">
        <w:t>whānau</w:t>
      </w:r>
      <w:proofErr w:type="spellEnd"/>
      <w:r w:rsidRPr="003D6B55">
        <w:t xml:space="preserve"> to regain their independence.</w:t>
      </w:r>
      <w:r>
        <w:t xml:space="preserve"> Here is a link: </w:t>
      </w:r>
      <w:r w:rsidRPr="00FC5614">
        <w:rPr>
          <w:rStyle w:val="Hyperlink"/>
        </w:rPr>
        <w:t>https://www.youtube.com/watch?v=nnNtVjFdC-s</w:t>
      </w:r>
    </w:p>
    <w:p w:rsidR="007D60B6" w:rsidRDefault="007D60B6" w:rsidP="00FC5614"/>
    <w:p w:rsidR="007D60B6" w:rsidRDefault="007D60B6" w:rsidP="00FC5614">
      <w:r>
        <w:t xml:space="preserve">We are </w:t>
      </w:r>
      <w:r w:rsidRPr="00007539">
        <w:t xml:space="preserve">supported by </w:t>
      </w:r>
      <w:proofErr w:type="spellStart"/>
      <w:r w:rsidRPr="00007539">
        <w:t>kaumātua</w:t>
      </w:r>
      <w:proofErr w:type="spellEnd"/>
      <w:r w:rsidRPr="00007539">
        <w:t xml:space="preserve"> and </w:t>
      </w:r>
      <w:proofErr w:type="spellStart"/>
      <w:r w:rsidRPr="00007539">
        <w:t>kuia</w:t>
      </w:r>
      <w:proofErr w:type="spellEnd"/>
      <w:r w:rsidRPr="00007539">
        <w:t xml:space="preserve"> who uphold </w:t>
      </w:r>
      <w:r w:rsidR="00FC2969">
        <w:t>‘</w:t>
      </w:r>
      <w:proofErr w:type="spellStart"/>
      <w:r w:rsidRPr="00007539">
        <w:t>te</w:t>
      </w:r>
      <w:proofErr w:type="spellEnd"/>
      <w:r w:rsidRPr="00007539">
        <w:t xml:space="preserve"> </w:t>
      </w:r>
      <w:proofErr w:type="spellStart"/>
      <w:r w:rsidRPr="00007539">
        <w:t>tikanga</w:t>
      </w:r>
      <w:proofErr w:type="spellEnd"/>
      <w:r w:rsidRPr="00007539">
        <w:t xml:space="preserve"> </w:t>
      </w:r>
      <w:r>
        <w:t>ō</w:t>
      </w:r>
      <w:r w:rsidRPr="00007539">
        <w:t xml:space="preserve"> </w:t>
      </w:r>
      <w:proofErr w:type="spellStart"/>
      <w:r w:rsidRPr="00007539">
        <w:t>Ngāpuhi</w:t>
      </w:r>
      <w:proofErr w:type="spellEnd"/>
      <w:r w:rsidR="00FC2969">
        <w:t>’</w:t>
      </w:r>
      <w:r w:rsidRPr="00007539">
        <w:t xml:space="preserve"> for our organisation. They are involved when welcoming new staff, and any </w:t>
      </w:r>
      <w:proofErr w:type="spellStart"/>
      <w:r w:rsidRPr="00007539">
        <w:t>manuhiri</w:t>
      </w:r>
      <w:proofErr w:type="spellEnd"/>
      <w:r w:rsidRPr="00007539">
        <w:t>/visitors</w:t>
      </w:r>
      <w:r>
        <w:t>,</w:t>
      </w:r>
      <w:r w:rsidRPr="00007539">
        <w:t xml:space="preserve"> by guiding us through </w:t>
      </w:r>
      <w:proofErr w:type="spellStart"/>
      <w:r w:rsidRPr="00007539">
        <w:t>pōwhiri</w:t>
      </w:r>
      <w:proofErr w:type="spellEnd"/>
      <w:r w:rsidRPr="00007539">
        <w:t xml:space="preserve">, </w:t>
      </w:r>
      <w:proofErr w:type="spellStart"/>
      <w:r w:rsidRPr="00007539">
        <w:t>mihi</w:t>
      </w:r>
      <w:proofErr w:type="spellEnd"/>
      <w:r w:rsidRPr="00007539">
        <w:t xml:space="preserve"> </w:t>
      </w:r>
      <w:proofErr w:type="spellStart"/>
      <w:r w:rsidRPr="00007539">
        <w:t>whakatau</w:t>
      </w:r>
      <w:proofErr w:type="spellEnd"/>
      <w:r w:rsidRPr="00007539">
        <w:t xml:space="preserve">, </w:t>
      </w:r>
      <w:proofErr w:type="spellStart"/>
      <w:r w:rsidRPr="00007539">
        <w:t>karakia</w:t>
      </w:r>
      <w:proofErr w:type="spellEnd"/>
      <w:r w:rsidRPr="00007539">
        <w:t xml:space="preserve"> and </w:t>
      </w:r>
      <w:proofErr w:type="spellStart"/>
      <w:r w:rsidRPr="00007539">
        <w:t>waiata</w:t>
      </w:r>
      <w:proofErr w:type="spellEnd"/>
      <w:r w:rsidRPr="00007539">
        <w:t>.</w:t>
      </w:r>
    </w:p>
    <w:p w:rsidR="007D60B6" w:rsidRDefault="007D60B6" w:rsidP="00FC5614"/>
    <w:p w:rsidR="007D60B6" w:rsidRPr="00E032CB" w:rsidRDefault="007D60B6" w:rsidP="00FC5614">
      <w:proofErr w:type="spellStart"/>
      <w:r w:rsidRPr="00007539">
        <w:t>NorthAble</w:t>
      </w:r>
      <w:proofErr w:type="spellEnd"/>
      <w:r w:rsidRPr="00007539">
        <w:t xml:space="preserve"> works with a number of Tai </w:t>
      </w:r>
      <w:proofErr w:type="spellStart"/>
      <w:r w:rsidRPr="00007539">
        <w:t>Tokerau</w:t>
      </w:r>
      <w:proofErr w:type="spellEnd"/>
      <w:r w:rsidRPr="00007539">
        <w:t xml:space="preserve"> iwi </w:t>
      </w:r>
      <w:r>
        <w:t xml:space="preserve">service </w:t>
      </w:r>
      <w:r w:rsidRPr="00007539">
        <w:t xml:space="preserve">providers in the provision of information and delivery of services for </w:t>
      </w:r>
      <w:proofErr w:type="spellStart"/>
      <w:r w:rsidRPr="00007539">
        <w:t>wh</w:t>
      </w:r>
      <w:r>
        <w:t>ā</w:t>
      </w:r>
      <w:r w:rsidRPr="00007539">
        <w:t>nau</w:t>
      </w:r>
      <w:proofErr w:type="spellEnd"/>
      <w:r w:rsidRPr="00007539">
        <w:t xml:space="preserve">. </w:t>
      </w:r>
      <w:r>
        <w:t>These relationships</w:t>
      </w:r>
      <w:r w:rsidRPr="00007539">
        <w:t xml:space="preserve"> </w:t>
      </w:r>
      <w:r>
        <w:t>have been built over 25</w:t>
      </w:r>
      <w:r w:rsidR="00FC5614">
        <w:t> </w:t>
      </w:r>
      <w:r>
        <w:t>years, based on trust and goodwill</w:t>
      </w:r>
      <w:r w:rsidRPr="00007539">
        <w:t xml:space="preserve"> </w:t>
      </w:r>
      <w:r>
        <w:t xml:space="preserve">and provider </w:t>
      </w:r>
      <w:r w:rsidRPr="00007539">
        <w:t xml:space="preserve">recognition of how </w:t>
      </w:r>
      <w:r>
        <w:t xml:space="preserve">accessible </w:t>
      </w:r>
      <w:proofErr w:type="spellStart"/>
      <w:r w:rsidRPr="00007539">
        <w:t>NorthAble</w:t>
      </w:r>
      <w:proofErr w:type="spellEnd"/>
      <w:r w:rsidRPr="00007539">
        <w:t xml:space="preserve"> and its staff are to Māori and other cultures.</w:t>
      </w:r>
      <w:r>
        <w:t xml:space="preserve"> </w:t>
      </w:r>
      <w:r w:rsidRPr="00E032CB">
        <w:t xml:space="preserve">We are happy to share information with any other providers interested in better responding to the needs of Māori with disabilities and their </w:t>
      </w:r>
      <w:proofErr w:type="spellStart"/>
      <w:r w:rsidRPr="00E032CB">
        <w:t>whānau</w:t>
      </w:r>
      <w:proofErr w:type="spellEnd"/>
      <w:r w:rsidRPr="00E032CB">
        <w:t xml:space="preserve">. Please contact us on </w:t>
      </w:r>
      <w:proofErr w:type="spellStart"/>
      <w:r w:rsidRPr="00E032CB">
        <w:t>ph</w:t>
      </w:r>
      <w:proofErr w:type="spellEnd"/>
      <w:r w:rsidRPr="00E032CB">
        <w:t xml:space="preserve">: 09 430 0988 or </w:t>
      </w:r>
      <w:r w:rsidRPr="003A3C31">
        <w:rPr>
          <w:rStyle w:val="Hyperlink"/>
        </w:rPr>
        <w:t>northable@northable.org.nz</w:t>
      </w:r>
    </w:p>
    <w:p w:rsidR="007D60B6" w:rsidRDefault="007D60B6" w:rsidP="00FC5614"/>
    <w:p w:rsidR="007D60B6" w:rsidRDefault="007D60B6" w:rsidP="00FC5614">
      <w:proofErr w:type="spellStart"/>
      <w:r>
        <w:t>Noho</w:t>
      </w:r>
      <w:proofErr w:type="spellEnd"/>
      <w:r>
        <w:t xml:space="preserve"> </w:t>
      </w:r>
      <w:proofErr w:type="spellStart"/>
      <w:r>
        <w:t>ora</w:t>
      </w:r>
      <w:proofErr w:type="spellEnd"/>
      <w:r>
        <w:t xml:space="preserve"> </w:t>
      </w:r>
      <w:proofErr w:type="spellStart"/>
      <w:r>
        <w:t>mai</w:t>
      </w:r>
      <w:proofErr w:type="spellEnd"/>
      <w:r>
        <w:t xml:space="preserve"> (Be well)</w:t>
      </w:r>
    </w:p>
    <w:p w:rsidR="007D60B6" w:rsidRPr="00FC5614" w:rsidRDefault="007D60B6" w:rsidP="00FC5614">
      <w:pPr>
        <w:rPr>
          <w:b/>
        </w:rPr>
      </w:pPr>
      <w:r w:rsidRPr="00FC5614">
        <w:rPr>
          <w:b/>
        </w:rPr>
        <w:t>Noel Matthews, CEO</w:t>
      </w:r>
    </w:p>
    <w:p w:rsidR="007D60B6" w:rsidRDefault="007D60B6" w:rsidP="00FC5614">
      <w:pPr>
        <w:rPr>
          <w:rFonts w:ascii="Arial" w:hAnsi="Arial" w:cs="Arial"/>
          <w:sz w:val="22"/>
        </w:rPr>
      </w:pPr>
      <w:r>
        <w:rPr>
          <w:noProof/>
          <w:lang w:eastAsia="en-NZ"/>
        </w:rPr>
        <w:drawing>
          <wp:inline distT="0" distB="0" distL="0" distR="0" wp14:anchorId="5E904AC4" wp14:editId="60912AED">
            <wp:extent cx="2727960"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7960" cy="746760"/>
                    </a:xfrm>
                    <a:prstGeom prst="rect">
                      <a:avLst/>
                    </a:prstGeom>
                    <a:noFill/>
                    <a:ln>
                      <a:noFill/>
                    </a:ln>
                  </pic:spPr>
                </pic:pic>
              </a:graphicData>
            </a:graphic>
          </wp:inline>
        </w:drawing>
      </w:r>
    </w:p>
    <w:p w:rsidR="0082299C" w:rsidRDefault="0082299C" w:rsidP="00FC5614"/>
    <w:p w:rsidR="00FC5614" w:rsidRDefault="00FC5614">
      <w:pPr>
        <w:spacing w:line="240" w:lineRule="auto"/>
        <w:ind w:left="0" w:right="0"/>
      </w:pPr>
      <w:r>
        <w:br w:type="page"/>
      </w:r>
    </w:p>
    <w:p w:rsidR="00FC5614" w:rsidRPr="00FC5614" w:rsidRDefault="00FC5614" w:rsidP="00FC5614">
      <w:pPr>
        <w:rPr>
          <w:sz w:val="2"/>
          <w:szCs w:val="2"/>
        </w:rPr>
      </w:pPr>
    </w:p>
    <w:tbl>
      <w:tblPr>
        <w:tblStyle w:val="TableGrid"/>
        <w:tblW w:w="11346" w:type="dxa"/>
        <w:tblInd w:w="-284"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shd w:val="clear" w:color="auto" w:fill="1F497D" w:themeFill="text2"/>
        <w:tblLayout w:type="fixed"/>
        <w:tblCellMar>
          <w:left w:w="0" w:type="dxa"/>
          <w:right w:w="0" w:type="dxa"/>
        </w:tblCellMar>
        <w:tblLook w:val="04A0" w:firstRow="1" w:lastRow="0" w:firstColumn="1" w:lastColumn="0" w:noHBand="0" w:noVBand="1"/>
      </w:tblPr>
      <w:tblGrid>
        <w:gridCol w:w="11346"/>
      </w:tblGrid>
      <w:tr w:rsidR="00FC5614" w:rsidTr="002E02E3">
        <w:trPr>
          <w:cantSplit/>
        </w:trPr>
        <w:tc>
          <w:tcPr>
            <w:tcW w:w="11346" w:type="dxa"/>
            <w:shd w:val="clear" w:color="auto" w:fill="1F497D" w:themeFill="text2"/>
            <w:vAlign w:val="center"/>
          </w:tcPr>
          <w:p w:rsidR="00FC5614" w:rsidRDefault="00FC5614" w:rsidP="00FC5614">
            <w:pPr>
              <w:pStyle w:val="Heading1"/>
              <w:spacing w:before="120" w:after="120"/>
              <w:outlineLvl w:val="0"/>
            </w:pPr>
            <w:r>
              <w:t>Upcoming Events</w:t>
            </w:r>
          </w:p>
        </w:tc>
      </w:tr>
    </w:tbl>
    <w:p w:rsidR="00FC5614" w:rsidRDefault="00FC5614" w:rsidP="00FC5614"/>
    <w:p w:rsidR="0082299C" w:rsidRDefault="007D60B6" w:rsidP="00FC5614">
      <w:pPr>
        <w:pStyle w:val="Heading2"/>
      </w:pPr>
      <w:proofErr w:type="spellStart"/>
      <w:r w:rsidRPr="003E5EB0">
        <w:t>ImagineBetter</w:t>
      </w:r>
      <w:proofErr w:type="spellEnd"/>
      <w:r w:rsidRPr="003E5EB0">
        <w:t xml:space="preserve"> Assemblies</w:t>
      </w:r>
    </w:p>
    <w:p w:rsidR="00FC5614" w:rsidRPr="00FC5614" w:rsidRDefault="00FC5614" w:rsidP="00FC5614">
      <w:r>
        <w:rPr>
          <w:noProof/>
          <w:lang w:eastAsia="en-NZ"/>
        </w:rPr>
        <w:drawing>
          <wp:inline distT="0" distB="0" distL="0" distR="0" wp14:anchorId="3C28AB40" wp14:editId="7F3E9854">
            <wp:extent cx="5442679" cy="2110282"/>
            <wp:effectExtent l="0" t="0" r="571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Better_Assemblies_Banner_A.png"/>
                    <pic:cNvPicPr/>
                  </pic:nvPicPr>
                  <pic:blipFill>
                    <a:blip r:embed="rId16">
                      <a:extLst>
                        <a:ext uri="{28A0092B-C50C-407E-A947-70E740481C1C}">
                          <a14:useLocalDpi xmlns:a14="http://schemas.microsoft.com/office/drawing/2010/main" val="0"/>
                        </a:ext>
                      </a:extLst>
                    </a:blip>
                    <a:stretch>
                      <a:fillRect/>
                    </a:stretch>
                  </pic:blipFill>
                  <pic:spPr>
                    <a:xfrm>
                      <a:off x="0" y="0"/>
                      <a:ext cx="5443982" cy="2110787"/>
                    </a:xfrm>
                    <a:prstGeom prst="rect">
                      <a:avLst/>
                    </a:prstGeom>
                  </pic:spPr>
                </pic:pic>
              </a:graphicData>
            </a:graphic>
          </wp:inline>
        </w:drawing>
      </w:r>
    </w:p>
    <w:p w:rsidR="007D60B6" w:rsidRPr="003E5EB0" w:rsidRDefault="007D60B6" w:rsidP="00FC5614"/>
    <w:p w:rsidR="007D60B6" w:rsidRPr="00FC2969" w:rsidRDefault="007D60B6" w:rsidP="00FC5614">
      <w:pPr>
        <w:rPr>
          <w:color w:val="1F497D" w:themeColor="text2"/>
        </w:rPr>
      </w:pPr>
      <w:proofErr w:type="spellStart"/>
      <w:r w:rsidRPr="00FC2969">
        <w:rPr>
          <w:color w:val="1F497D" w:themeColor="text2"/>
        </w:rPr>
        <w:t>ImagineBetter</w:t>
      </w:r>
      <w:proofErr w:type="spellEnd"/>
      <w:r w:rsidRPr="00FC2969">
        <w:rPr>
          <w:color w:val="1F497D" w:themeColor="text2"/>
        </w:rPr>
        <w:t xml:space="preserve"> is introducing a fresh approach to its annual conference this year.</w:t>
      </w:r>
      <w:r w:rsidR="003A3C31">
        <w:rPr>
          <w:color w:val="1F497D" w:themeColor="text2"/>
        </w:rPr>
        <w:br/>
      </w:r>
      <w:r w:rsidRPr="00FC2969">
        <w:rPr>
          <w:color w:val="1F497D" w:themeColor="text2"/>
        </w:rPr>
        <w:t>Two-day assemblies, with a new group-discussion f</w:t>
      </w:r>
      <w:r w:rsidR="00FC5614" w:rsidRPr="00FC2969">
        <w:rPr>
          <w:color w:val="1F497D" w:themeColor="text2"/>
        </w:rPr>
        <w:t xml:space="preserve">ormat, will be held in Auckland </w:t>
      </w:r>
      <w:r w:rsidRPr="00FC2969">
        <w:rPr>
          <w:color w:val="1F497D" w:themeColor="text2"/>
        </w:rPr>
        <w:t>on 9</w:t>
      </w:r>
      <w:r w:rsidR="003A3C31">
        <w:rPr>
          <w:color w:val="1F497D" w:themeColor="text2"/>
        </w:rPr>
        <w:t> </w:t>
      </w:r>
      <w:r w:rsidRPr="00FC2969">
        <w:rPr>
          <w:color w:val="1F497D" w:themeColor="text2"/>
        </w:rPr>
        <w:t>and 10 November; in Wellington</w:t>
      </w:r>
      <w:r w:rsidR="00FC5614" w:rsidRPr="00FC2969">
        <w:rPr>
          <w:color w:val="1F497D" w:themeColor="text2"/>
        </w:rPr>
        <w:t xml:space="preserve"> </w:t>
      </w:r>
      <w:r w:rsidRPr="00FC2969">
        <w:rPr>
          <w:color w:val="1F497D" w:themeColor="text2"/>
        </w:rPr>
        <w:t>on 12 and 13 November; and Christchurch</w:t>
      </w:r>
      <w:r w:rsidR="00FC5614" w:rsidRPr="00FC2969">
        <w:rPr>
          <w:color w:val="1F497D" w:themeColor="text2"/>
        </w:rPr>
        <w:t xml:space="preserve"> </w:t>
      </w:r>
      <w:r w:rsidRPr="00FC2969">
        <w:rPr>
          <w:color w:val="1F497D" w:themeColor="text2"/>
        </w:rPr>
        <w:t>on</w:t>
      </w:r>
      <w:r w:rsidR="003A3C31">
        <w:rPr>
          <w:color w:val="1F497D" w:themeColor="text2"/>
        </w:rPr>
        <w:br/>
      </w:r>
      <w:r w:rsidRPr="00FC2969">
        <w:rPr>
          <w:color w:val="1F497D" w:themeColor="text2"/>
        </w:rPr>
        <w:t>16 and 17 November.</w:t>
      </w:r>
    </w:p>
    <w:p w:rsidR="007D60B6" w:rsidRPr="00FC2969" w:rsidRDefault="007D60B6" w:rsidP="00FC5614"/>
    <w:p w:rsidR="007D60B6" w:rsidRPr="00FC2969" w:rsidRDefault="007D60B6" w:rsidP="00FC5614">
      <w:r w:rsidRPr="00FC2969">
        <w:t>Participants will explore</w:t>
      </w:r>
      <w:r w:rsidR="00FC5614" w:rsidRPr="00FC2969">
        <w:t xml:space="preserve"> </w:t>
      </w:r>
      <w:r w:rsidRPr="00FC2969">
        <w:t xml:space="preserve">the theme: </w:t>
      </w:r>
      <w:r w:rsidRPr="00FC2969">
        <w:rPr>
          <w:i/>
        </w:rPr>
        <w:t xml:space="preserve">Connections, Community, </w:t>
      </w:r>
      <w:proofErr w:type="gramStart"/>
      <w:r w:rsidRPr="00FC2969">
        <w:rPr>
          <w:i/>
        </w:rPr>
        <w:t>Citizenship</w:t>
      </w:r>
      <w:proofErr w:type="gramEnd"/>
      <w:r w:rsidRPr="00FC2969">
        <w:rPr>
          <w:i/>
        </w:rPr>
        <w:t>: How can we increase our community connections and gain the most value from them?</w:t>
      </w:r>
    </w:p>
    <w:p w:rsidR="007D60B6" w:rsidRDefault="007D60B6" w:rsidP="00FC5614"/>
    <w:p w:rsidR="007D60B6" w:rsidRPr="00FC2969" w:rsidRDefault="007D60B6" w:rsidP="00FC5614">
      <w:r w:rsidRPr="003E5EB0">
        <w:t>Presenting partners</w:t>
      </w:r>
      <w:r w:rsidR="00FC5614">
        <w:t xml:space="preserve"> </w:t>
      </w:r>
      <w:r w:rsidRPr="00EF1649">
        <w:rPr>
          <w:bCs/>
        </w:rPr>
        <w:t xml:space="preserve">Margaret Wheatley, </w:t>
      </w:r>
      <w:proofErr w:type="spellStart"/>
      <w:r w:rsidRPr="00EF1649">
        <w:rPr>
          <w:bCs/>
        </w:rPr>
        <w:t>Jeder</w:t>
      </w:r>
      <w:proofErr w:type="spellEnd"/>
      <w:r w:rsidRPr="00EF1649">
        <w:rPr>
          <w:bCs/>
        </w:rPr>
        <w:t xml:space="preserve"> Institute</w:t>
      </w:r>
      <w:r w:rsidR="00FC5614">
        <w:rPr>
          <w:bCs/>
        </w:rPr>
        <w:t xml:space="preserve"> </w:t>
      </w:r>
      <w:r w:rsidRPr="00863168">
        <w:t>and</w:t>
      </w:r>
      <w:r w:rsidR="00FC5614">
        <w:t xml:space="preserve"> </w:t>
      </w:r>
      <w:r w:rsidRPr="00EF1649">
        <w:rPr>
          <w:bCs/>
        </w:rPr>
        <w:t>Future by Design</w:t>
      </w:r>
      <w:r w:rsidR="00FC5614">
        <w:rPr>
          <w:bCs/>
        </w:rPr>
        <w:t xml:space="preserve"> </w:t>
      </w:r>
      <w:r w:rsidRPr="003E5EB0">
        <w:t xml:space="preserve">will introduce </w:t>
      </w:r>
      <w:r w:rsidRPr="00FC2969">
        <w:rPr>
          <w:color w:val="191C1F"/>
        </w:rPr>
        <w:t>group-discussion tools</w:t>
      </w:r>
      <w:r w:rsidRPr="003E5EB0">
        <w:t xml:space="preserve"> that will enable participants to find new ways to increase their networks and benefit from them.</w:t>
      </w:r>
    </w:p>
    <w:p w:rsidR="007D60B6" w:rsidRPr="00FC2969" w:rsidRDefault="007D60B6" w:rsidP="00FC5614"/>
    <w:p w:rsidR="007D60B6" w:rsidRPr="00FC2969" w:rsidRDefault="007D60B6" w:rsidP="00FC5614">
      <w:pPr>
        <w:rPr>
          <w:b/>
          <w:u w:val="single"/>
        </w:rPr>
      </w:pPr>
      <w:r w:rsidRPr="00FC2969">
        <w:t xml:space="preserve">Find out more and register at </w:t>
      </w:r>
      <w:hyperlink r:id="rId17" w:history="1">
        <w:r w:rsidRPr="00FC5614">
          <w:rPr>
            <w:rStyle w:val="Hyperlink"/>
            <w:rFonts w:eastAsiaTheme="majorEastAsia"/>
          </w:rPr>
          <w:t>www.imaginebetter.co.nz</w:t>
        </w:r>
      </w:hyperlink>
    </w:p>
    <w:p w:rsidR="002B12CB" w:rsidRDefault="002B12CB" w:rsidP="00FC5614"/>
    <w:p w:rsidR="00FC5614" w:rsidRDefault="00FC5614" w:rsidP="00FC5614">
      <w:pPr>
        <w:spacing w:line="240" w:lineRule="auto"/>
        <w:ind w:left="0" w:right="0"/>
      </w:pPr>
      <w:r>
        <w:br w:type="page"/>
      </w:r>
    </w:p>
    <w:p w:rsidR="00FC5614" w:rsidRPr="00FC5614" w:rsidRDefault="00FC5614" w:rsidP="00FC5614">
      <w:pPr>
        <w:rPr>
          <w:sz w:val="2"/>
          <w:szCs w:val="2"/>
        </w:rPr>
      </w:pPr>
    </w:p>
    <w:tbl>
      <w:tblPr>
        <w:tblStyle w:val="TableGrid"/>
        <w:tblW w:w="11346" w:type="dxa"/>
        <w:tblInd w:w="-284" w:type="dxa"/>
        <w:tblBorders>
          <w:top w:val="single" w:sz="4" w:space="0" w:color="1F497D" w:themeColor="text2"/>
          <w:left w:val="single" w:sz="4" w:space="0" w:color="1F497D" w:themeColor="text2"/>
          <w:bottom w:val="single" w:sz="4" w:space="0" w:color="1F497D" w:themeColor="text2"/>
          <w:right w:val="single" w:sz="4" w:space="0" w:color="1F497D" w:themeColor="text2"/>
          <w:insideH w:val="none" w:sz="0" w:space="0" w:color="auto"/>
          <w:insideV w:val="none" w:sz="0" w:space="0" w:color="auto"/>
        </w:tblBorders>
        <w:shd w:val="clear" w:color="auto" w:fill="1F497D" w:themeFill="text2"/>
        <w:tblLayout w:type="fixed"/>
        <w:tblCellMar>
          <w:left w:w="0" w:type="dxa"/>
          <w:right w:w="0" w:type="dxa"/>
        </w:tblCellMar>
        <w:tblLook w:val="04A0" w:firstRow="1" w:lastRow="0" w:firstColumn="1" w:lastColumn="0" w:noHBand="0" w:noVBand="1"/>
      </w:tblPr>
      <w:tblGrid>
        <w:gridCol w:w="11346"/>
      </w:tblGrid>
      <w:tr w:rsidR="00FC5614" w:rsidTr="002E02E3">
        <w:trPr>
          <w:cantSplit/>
        </w:trPr>
        <w:tc>
          <w:tcPr>
            <w:tcW w:w="11346" w:type="dxa"/>
            <w:shd w:val="clear" w:color="auto" w:fill="1F497D" w:themeFill="text2"/>
            <w:vAlign w:val="center"/>
          </w:tcPr>
          <w:p w:rsidR="00FC5614" w:rsidRDefault="00FC5614" w:rsidP="00FC5614">
            <w:pPr>
              <w:pStyle w:val="Heading1"/>
              <w:spacing w:before="120" w:after="120"/>
              <w:outlineLvl w:val="0"/>
            </w:pPr>
            <w:r>
              <w:t>DSS Project Updates</w:t>
            </w:r>
          </w:p>
        </w:tc>
      </w:tr>
    </w:tbl>
    <w:p w:rsidR="00FC5614" w:rsidRDefault="00FC5614" w:rsidP="00FC5614"/>
    <w:p w:rsidR="0082299C" w:rsidRDefault="00247D9B" w:rsidP="00FC5614">
      <w:pPr>
        <w:pStyle w:val="Heading2"/>
      </w:pPr>
      <w:r>
        <w:t>Quality R</w:t>
      </w:r>
      <w:r w:rsidR="0082299C">
        <w:t>eview – Putting People First</w:t>
      </w:r>
    </w:p>
    <w:p w:rsidR="007D60B6" w:rsidRPr="00FC5614" w:rsidRDefault="007D60B6" w:rsidP="00FC5614">
      <w:pPr>
        <w:rPr>
          <w:color w:val="1F497D" w:themeColor="text2"/>
        </w:rPr>
      </w:pPr>
      <w:r w:rsidRPr="00FC5614">
        <w:rPr>
          <w:color w:val="1F497D" w:themeColor="text2"/>
        </w:rPr>
        <w:t>The following progress has been made with implementation of Putting People First (PPF) recommendations during June and July.</w:t>
      </w:r>
    </w:p>
    <w:p w:rsidR="007D60B6" w:rsidRPr="003E5EB0" w:rsidRDefault="007D60B6" w:rsidP="00FC5614"/>
    <w:p w:rsidR="007D60B6" w:rsidRDefault="007D60B6" w:rsidP="00FC5614">
      <w:r w:rsidRPr="003E5EB0">
        <w:t xml:space="preserve">People who are non-verbal </w:t>
      </w:r>
      <w:r>
        <w:t>must be</w:t>
      </w:r>
      <w:r w:rsidRPr="003E5EB0">
        <w:t xml:space="preserve"> involved in decision</w:t>
      </w:r>
      <w:r>
        <w:t>-</w:t>
      </w:r>
      <w:r w:rsidRPr="003E5EB0">
        <w:t>making about their lives</w:t>
      </w:r>
      <w:r>
        <w:t>. T</w:t>
      </w:r>
      <w:r w:rsidRPr="003E5EB0">
        <w:t xml:space="preserve">he updated Service Specifications for Residential Service </w:t>
      </w:r>
      <w:r>
        <w:t>P</w:t>
      </w:r>
      <w:r w:rsidRPr="003E5EB0">
        <w:t>roviders</w:t>
      </w:r>
      <w:r>
        <w:t xml:space="preserve"> </w:t>
      </w:r>
      <w:r w:rsidRPr="003E5EB0">
        <w:t>now require providers to:</w:t>
      </w:r>
    </w:p>
    <w:p w:rsidR="007D60B6" w:rsidRPr="003E5EB0" w:rsidRDefault="007D60B6" w:rsidP="00FC5614">
      <w:pPr>
        <w:pStyle w:val="Bullet"/>
      </w:pPr>
      <w:r>
        <w:t>e</w:t>
      </w:r>
      <w:r w:rsidRPr="003E5EB0">
        <w:t xml:space="preserve">nsure that a personal plan is developed, where the process is led by the person </w:t>
      </w:r>
      <w:r>
        <w:t>(</w:t>
      </w:r>
      <w:r w:rsidRPr="003E5EB0">
        <w:t>or</w:t>
      </w:r>
      <w:r>
        <w:t>,</w:t>
      </w:r>
      <w:r w:rsidRPr="003E5EB0">
        <w:t xml:space="preserve"> where approved by the person, their family/</w:t>
      </w:r>
      <w:proofErr w:type="spellStart"/>
      <w:r w:rsidRPr="003E5EB0">
        <w:t>wh</w:t>
      </w:r>
      <w:r>
        <w:t>ā</w:t>
      </w:r>
      <w:r w:rsidRPr="003E5EB0">
        <w:t>nau</w:t>
      </w:r>
      <w:proofErr w:type="spellEnd"/>
      <w:r w:rsidRPr="003E5EB0">
        <w:t>/guardian/advocate</w:t>
      </w:r>
      <w:r>
        <w:t>)</w:t>
      </w:r>
      <w:r w:rsidRPr="003E5EB0">
        <w:t xml:space="preserve"> with support provided to ensure the person is listened to and the planning experience is positive and relevant</w:t>
      </w:r>
    </w:p>
    <w:p w:rsidR="007D60B6" w:rsidRPr="003E5EB0" w:rsidRDefault="007D60B6" w:rsidP="00FC5614">
      <w:pPr>
        <w:pStyle w:val="Bullet"/>
      </w:pPr>
      <w:proofErr w:type="gramStart"/>
      <w:r>
        <w:t>e</w:t>
      </w:r>
      <w:r w:rsidRPr="003E5EB0">
        <w:t>nsure</w:t>
      </w:r>
      <w:proofErr w:type="gramEnd"/>
      <w:r w:rsidRPr="003E5EB0">
        <w:t xml:space="preserve"> the Primary Support Worker communicates effectively with the person, using communication means known and understood by the person, and also supports the person to com</w:t>
      </w:r>
      <w:r w:rsidR="00FC5614">
        <w:t>municate with others as needed.</w:t>
      </w:r>
    </w:p>
    <w:p w:rsidR="007D60B6" w:rsidRDefault="007D60B6" w:rsidP="00FC5614"/>
    <w:p w:rsidR="007D60B6" w:rsidRDefault="007D60B6" w:rsidP="00FC5614">
      <w:r w:rsidRPr="003E5EB0">
        <w:t xml:space="preserve">In addition, providers </w:t>
      </w:r>
      <w:r>
        <w:t xml:space="preserve">must </w:t>
      </w:r>
      <w:r w:rsidRPr="003E5EB0">
        <w:t xml:space="preserve">ensure support is given to non-verbal people and their </w:t>
      </w:r>
      <w:proofErr w:type="spellStart"/>
      <w:r w:rsidRPr="003E5EB0">
        <w:t>wh</w:t>
      </w:r>
      <w:r>
        <w:t>ā</w:t>
      </w:r>
      <w:r w:rsidRPr="003E5EB0">
        <w:t>nau</w:t>
      </w:r>
      <w:proofErr w:type="spellEnd"/>
      <w:r w:rsidRPr="003E5EB0">
        <w:t xml:space="preserve"> to access support to have their voices heard and listened to. The updated </w:t>
      </w:r>
      <w:r>
        <w:t>s</w:t>
      </w:r>
      <w:r w:rsidRPr="003E5EB0">
        <w:t xml:space="preserve">ervice </w:t>
      </w:r>
      <w:r>
        <w:t>s</w:t>
      </w:r>
      <w:r w:rsidRPr="003E5EB0">
        <w:t xml:space="preserve">pecifications </w:t>
      </w:r>
      <w:r>
        <w:t xml:space="preserve">also </w:t>
      </w:r>
      <w:r w:rsidRPr="003E5EB0">
        <w:t>require providers to:</w:t>
      </w:r>
    </w:p>
    <w:p w:rsidR="007D60B6" w:rsidRPr="003E5EB0" w:rsidRDefault="007D60B6" w:rsidP="00FC5614">
      <w:pPr>
        <w:pStyle w:val="Bullet"/>
      </w:pPr>
      <w:r>
        <w:t>u</w:t>
      </w:r>
      <w:r w:rsidRPr="003E5EB0">
        <w:t>nderstand a person</w:t>
      </w:r>
      <w:r w:rsidR="00FC2969">
        <w:t>’</w:t>
      </w:r>
      <w:r w:rsidRPr="003E5EB0">
        <w:t xml:space="preserve">s means of communication to engage and effectively interact with each </w:t>
      </w:r>
      <w:r>
        <w:t>p</w:t>
      </w:r>
      <w:r w:rsidRPr="003E5EB0">
        <w:t xml:space="preserve">erson they support </w:t>
      </w:r>
      <w:r>
        <w:t>(t</w:t>
      </w:r>
      <w:r w:rsidRPr="003E5EB0">
        <w:t>his may include, where required, learning and using tools such as Makaton, sign language or use of technology</w:t>
      </w:r>
      <w:r>
        <w:t>)</w:t>
      </w:r>
    </w:p>
    <w:p w:rsidR="007D60B6" w:rsidRPr="003E5EB0" w:rsidRDefault="007D60B6" w:rsidP="00FC5614">
      <w:pPr>
        <w:pStyle w:val="Bullet"/>
      </w:pPr>
      <w:r>
        <w:t>s</w:t>
      </w:r>
      <w:r w:rsidRPr="003E5EB0">
        <w:t xml:space="preserve">upport the </w:t>
      </w:r>
      <w:r>
        <w:t>p</w:t>
      </w:r>
      <w:r w:rsidRPr="003E5EB0">
        <w:t>erson to make him/herself understood</w:t>
      </w:r>
      <w:r w:rsidR="00FC5614">
        <w:t xml:space="preserve"> –</w:t>
      </w:r>
      <w:r>
        <w:t xml:space="preserve"> c</w:t>
      </w:r>
      <w:r w:rsidRPr="003E5EB0">
        <w:t xml:space="preserve">reate an open environment where </w:t>
      </w:r>
      <w:r>
        <w:t>p</w:t>
      </w:r>
      <w:r w:rsidRPr="003E5EB0">
        <w:t xml:space="preserve">eople and their </w:t>
      </w:r>
      <w:proofErr w:type="spellStart"/>
      <w:r w:rsidRPr="003E5EB0">
        <w:t>wh</w:t>
      </w:r>
      <w:r>
        <w:t>ā</w:t>
      </w:r>
      <w:r w:rsidRPr="003E5EB0">
        <w:t>nau</w:t>
      </w:r>
      <w:proofErr w:type="spellEnd"/>
      <w:r w:rsidRPr="003E5EB0">
        <w:t xml:space="preserve">/guardian/advocate feel their feedback </w:t>
      </w:r>
      <w:r>
        <w:t>(</w:t>
      </w:r>
      <w:r w:rsidRPr="003E5EB0">
        <w:t>both positive and negative</w:t>
      </w:r>
      <w:r>
        <w:t>)</w:t>
      </w:r>
      <w:r w:rsidRPr="003E5EB0">
        <w:t xml:space="preserve"> about the service is welcomed by the provider and used to improve outcomes for the </w:t>
      </w:r>
      <w:r>
        <w:t>p</w:t>
      </w:r>
      <w:r w:rsidRPr="003E5EB0">
        <w:t>erson</w:t>
      </w:r>
    </w:p>
    <w:p w:rsidR="007D60B6" w:rsidRPr="003E5EB0" w:rsidRDefault="007D60B6" w:rsidP="00FC5614">
      <w:pPr>
        <w:pStyle w:val="Bullet"/>
      </w:pPr>
      <w:r>
        <w:t>e</w:t>
      </w:r>
      <w:r w:rsidRPr="003E5EB0">
        <w:t xml:space="preserve">nsure </w:t>
      </w:r>
      <w:r>
        <w:t>p</w:t>
      </w:r>
      <w:r w:rsidRPr="003E5EB0">
        <w:t xml:space="preserve">eople and their </w:t>
      </w:r>
      <w:proofErr w:type="spellStart"/>
      <w:r w:rsidRPr="003E5EB0">
        <w:t>wh</w:t>
      </w:r>
      <w:r>
        <w:t>ā</w:t>
      </w:r>
      <w:r w:rsidRPr="003E5EB0">
        <w:t>nau</w:t>
      </w:r>
      <w:proofErr w:type="spellEnd"/>
      <w:r w:rsidRPr="003E5EB0">
        <w:t xml:space="preserve"> are aware of and know how to access the provider</w:t>
      </w:r>
      <w:r w:rsidR="00FC2969">
        <w:t>’</w:t>
      </w:r>
      <w:r w:rsidRPr="003E5EB0">
        <w:t>s complaints process</w:t>
      </w:r>
    </w:p>
    <w:p w:rsidR="00FC5614" w:rsidRDefault="007D60B6" w:rsidP="00FC5614">
      <w:pPr>
        <w:pStyle w:val="Bullet"/>
      </w:pPr>
      <w:r>
        <w:t>e</w:t>
      </w:r>
      <w:r w:rsidRPr="003E5EB0">
        <w:t xml:space="preserve">nsure </w:t>
      </w:r>
      <w:r>
        <w:t>p</w:t>
      </w:r>
      <w:r w:rsidRPr="003E5EB0">
        <w:t>eople have access and support to independent advocacy services</w:t>
      </w:r>
      <w:r>
        <w:t xml:space="preserve"> </w:t>
      </w:r>
      <w:r w:rsidR="00FC5614">
        <w:t>–</w:t>
      </w:r>
      <w:r>
        <w:t xml:space="preserve"> p</w:t>
      </w:r>
      <w:r w:rsidRPr="003E5EB0">
        <w:t>eople are informed they have the right to an advocate or support person to help them express their wishes (especially those who are non-verbal), and</w:t>
      </w:r>
      <w:r>
        <w:t xml:space="preserve"> have the</w:t>
      </w:r>
      <w:r w:rsidRPr="003E5EB0">
        <w:t xml:space="preserve"> support of the provider to access support of their choice.</w:t>
      </w:r>
    </w:p>
    <w:p w:rsidR="007D60B6" w:rsidRDefault="007D60B6" w:rsidP="00FC5614"/>
    <w:p w:rsidR="007D60B6" w:rsidRPr="003E5EB0" w:rsidRDefault="007D60B6" w:rsidP="00FC5614">
      <w:pPr>
        <w:keepNext/>
      </w:pPr>
      <w:r w:rsidRPr="003E5EB0">
        <w:t>Other PPF highlights in June</w:t>
      </w:r>
      <w:r>
        <w:t xml:space="preserve"> and </w:t>
      </w:r>
      <w:r w:rsidRPr="003E5EB0">
        <w:t>July include:</w:t>
      </w:r>
    </w:p>
    <w:p w:rsidR="007D60B6" w:rsidRPr="003E5EB0" w:rsidRDefault="00FC5614" w:rsidP="003A3C31">
      <w:pPr>
        <w:pStyle w:val="Bullet"/>
        <w:keepNext/>
        <w:spacing w:before="120"/>
      </w:pPr>
      <w:proofErr w:type="gramStart"/>
      <w:r>
        <w:t>t</w:t>
      </w:r>
      <w:r w:rsidR="007D60B6" w:rsidRPr="003E5EB0">
        <w:t>he</w:t>
      </w:r>
      <w:proofErr w:type="gramEnd"/>
      <w:r w:rsidR="007D60B6" w:rsidRPr="003E5EB0">
        <w:t xml:space="preserve"> second of the</w:t>
      </w:r>
      <w:r w:rsidR="007D60B6">
        <w:t xml:space="preserve"> three</w:t>
      </w:r>
      <w:r w:rsidR="007D60B6" w:rsidRPr="003E5EB0">
        <w:t xml:space="preserve"> DSS interns</w:t>
      </w:r>
      <w:r w:rsidR="007D60B6">
        <w:t xml:space="preserve"> to date</w:t>
      </w:r>
      <w:r w:rsidR="007D60B6" w:rsidRPr="003E5EB0">
        <w:t xml:space="preserve"> ha</w:t>
      </w:r>
      <w:r w:rsidR="007D60B6">
        <w:t>s now gained employment</w:t>
      </w:r>
      <w:r w:rsidR="007D60B6" w:rsidRPr="003E5EB0">
        <w:t>. He credits his time in DSS as helping him to build up the confidence to apply for the job</w:t>
      </w:r>
    </w:p>
    <w:p w:rsidR="007D60B6" w:rsidRPr="00EB4094" w:rsidRDefault="007D60B6" w:rsidP="003A3C31">
      <w:pPr>
        <w:pStyle w:val="Bullet"/>
        <w:keepLines/>
        <w:spacing w:before="120"/>
      </w:pPr>
      <w:r w:rsidRPr="00EB4094">
        <w:t>DSS staff attended the launch of a DVD on people</w:t>
      </w:r>
      <w:r w:rsidR="00FC2969">
        <w:t>’</w:t>
      </w:r>
      <w:r w:rsidRPr="00EB4094">
        <w:t>s rights when using a health and disability service in New Zealand. The video was the result of a joint project between the Health and Disability Commissioner and People First</w:t>
      </w:r>
      <w:r>
        <w:t xml:space="preserve"> and</w:t>
      </w:r>
      <w:r w:rsidRPr="00EB4094">
        <w:t xml:space="preserve"> describes people</w:t>
      </w:r>
      <w:r w:rsidR="00FC2969">
        <w:t>’</w:t>
      </w:r>
      <w:r w:rsidRPr="00EB4094">
        <w:t>s rights in an easy to understand format.</w:t>
      </w:r>
      <w:r>
        <w:t xml:space="preserve"> </w:t>
      </w:r>
      <w:r w:rsidRPr="00EB4094">
        <w:t xml:space="preserve">The video is available to view here: </w:t>
      </w:r>
      <w:r w:rsidRPr="003A3C31">
        <w:rPr>
          <w:rStyle w:val="Hyperlink"/>
        </w:rPr>
        <w:t>http://www.peoplefirst.org.nz/people-first-members-steal-the-show-in-latest-hdc-film/</w:t>
      </w:r>
    </w:p>
    <w:p w:rsidR="007D60B6" w:rsidRPr="00C05E4E" w:rsidRDefault="007D60B6" w:rsidP="003A3C31">
      <w:pPr>
        <w:pStyle w:val="Bullet"/>
        <w:spacing w:before="120"/>
      </w:pPr>
      <w:r w:rsidRPr="003E5EB0">
        <w:t xml:space="preserve">Work is progressing on a guideline for </w:t>
      </w:r>
      <w:r>
        <w:t xml:space="preserve">the </w:t>
      </w:r>
      <w:r w:rsidRPr="003E5EB0">
        <w:t xml:space="preserve">prevention and management of abuse in DSS funded services. </w:t>
      </w:r>
      <w:r w:rsidRPr="00C05E4E">
        <w:rPr>
          <w:color w:val="000000"/>
          <w:lang w:eastAsia="en-NZ"/>
        </w:rPr>
        <w:t xml:space="preserve">Keeping Safe Feeling Safe and the Ministry are jointly hosting an interagency forum in August to discuss safeguarding for disabled people. Other participants at the forum will include the Human Rights Commission, </w:t>
      </w:r>
      <w:r>
        <w:rPr>
          <w:color w:val="000000"/>
          <w:lang w:eastAsia="en-NZ"/>
        </w:rPr>
        <w:t>O</w:t>
      </w:r>
      <w:r w:rsidRPr="00C05E4E">
        <w:rPr>
          <w:color w:val="000000"/>
          <w:lang w:eastAsia="en-NZ"/>
        </w:rPr>
        <w:t xml:space="preserve">ffice of the Health and Disability Commissioner, New Zealand Police, Ministry of Justice, Ministry of </w:t>
      </w:r>
      <w:r>
        <w:rPr>
          <w:color w:val="000000"/>
          <w:lang w:eastAsia="en-NZ"/>
        </w:rPr>
        <w:t>S</w:t>
      </w:r>
      <w:r w:rsidRPr="00C05E4E">
        <w:rPr>
          <w:color w:val="000000"/>
          <w:lang w:eastAsia="en-NZ"/>
        </w:rPr>
        <w:t>ocial Development and Disabled People</w:t>
      </w:r>
      <w:r w:rsidR="00FC2969">
        <w:rPr>
          <w:color w:val="000000"/>
          <w:lang w:eastAsia="en-NZ"/>
        </w:rPr>
        <w:t>’</w:t>
      </w:r>
      <w:r w:rsidRPr="00C05E4E">
        <w:rPr>
          <w:color w:val="000000"/>
          <w:lang w:eastAsia="en-NZ"/>
        </w:rPr>
        <w:t>s Organisations. The purpose of the forum is to commit to ongoing interagency collaboration in the safeguarding of disabled people.</w:t>
      </w:r>
    </w:p>
    <w:p w:rsidR="007D60B6" w:rsidRPr="00FC5614" w:rsidRDefault="007D60B6" w:rsidP="003A3C31">
      <w:pPr>
        <w:spacing w:before="200"/>
        <w:rPr>
          <w:b/>
        </w:rPr>
      </w:pPr>
      <w:r w:rsidRPr="00FC5614">
        <w:rPr>
          <w:b/>
        </w:rPr>
        <w:t>Contact: Pam MacNeill, Quality Improvement Lead, 04 816 2178</w:t>
      </w:r>
    </w:p>
    <w:p w:rsidR="002B12CB" w:rsidRDefault="002B12CB" w:rsidP="00FC5614"/>
    <w:p w:rsidR="0082299C" w:rsidRDefault="0082299C" w:rsidP="00FC5614">
      <w:pPr>
        <w:pStyle w:val="Heading2"/>
      </w:pPr>
      <w:r>
        <w:t>New Model – Enhanced Individualised Funding</w:t>
      </w:r>
    </w:p>
    <w:p w:rsidR="007D60B6" w:rsidRPr="00FC5614" w:rsidRDefault="007D60B6" w:rsidP="00FC5614">
      <w:pPr>
        <w:rPr>
          <w:rFonts w:eastAsia="Tiempos Headline Black"/>
          <w:color w:val="1F497D" w:themeColor="text2"/>
        </w:rPr>
      </w:pPr>
      <w:r w:rsidRPr="00FC5614">
        <w:rPr>
          <w:rFonts w:eastAsia="Tiempos Headline Black"/>
          <w:color w:val="1F497D" w:themeColor="text2"/>
        </w:rPr>
        <w:t>There are about 340 people using Enhanced Individualised Funding (EIF) in the Western and Eastern Bay of Plenty Region.</w:t>
      </w:r>
    </w:p>
    <w:p w:rsidR="007D60B6" w:rsidRDefault="007D60B6" w:rsidP="003A3C31">
      <w:pPr>
        <w:spacing w:before="200"/>
        <w:rPr>
          <w:rFonts w:eastAsia="Tiempos Headline Black"/>
        </w:rPr>
      </w:pPr>
      <w:r>
        <w:rPr>
          <w:rFonts w:eastAsia="Tiempos Headline Black"/>
        </w:rPr>
        <w:t xml:space="preserve">An evaluation report on EIF in the Bay of Plenty demonstration </w:t>
      </w:r>
      <w:r w:rsidR="00A605B3">
        <w:rPr>
          <w:rFonts w:eastAsia="Tiempos Headline Black"/>
        </w:rPr>
        <w:t>will be available</w:t>
      </w:r>
      <w:r>
        <w:rPr>
          <w:rFonts w:eastAsia="Tiempos Headline Black"/>
        </w:rPr>
        <w:t xml:space="preserve"> on the Ministry of Health website soon</w:t>
      </w:r>
      <w:r w:rsidR="00A605B3">
        <w:rPr>
          <w:rFonts w:eastAsia="Tiempos Headline Black"/>
        </w:rPr>
        <w:t xml:space="preserve"> (www.health.govt.nz)</w:t>
      </w:r>
      <w:r>
        <w:rPr>
          <w:rFonts w:eastAsia="Tiempos Headline Black"/>
        </w:rPr>
        <w:t>.</w:t>
      </w:r>
    </w:p>
    <w:p w:rsidR="007D60B6" w:rsidRDefault="007D60B6" w:rsidP="003A3C31">
      <w:pPr>
        <w:spacing w:before="200"/>
        <w:rPr>
          <w:rFonts w:eastAsia="Tiempos Headline Black"/>
        </w:rPr>
      </w:pPr>
      <w:r>
        <w:rPr>
          <w:rFonts w:eastAsia="Tiempos Headline Black"/>
        </w:rPr>
        <w:t xml:space="preserve">As a result of some of the findings so far, the Ministry is reviewing the application of the </w:t>
      </w:r>
      <w:r w:rsidRPr="00AE4D30">
        <w:rPr>
          <w:rFonts w:eastAsia="Tiempos Headline Black"/>
        </w:rPr>
        <w:t>Purchasing Guidelines for the New Model for Supporting Disabled People</w:t>
      </w:r>
      <w:r w:rsidR="00FC5614">
        <w:rPr>
          <w:rFonts w:eastAsia="Tiempos Headline Black"/>
        </w:rPr>
        <w:t xml:space="preserve"> (the Guidelines).</w:t>
      </w:r>
    </w:p>
    <w:p w:rsidR="007D60B6" w:rsidRDefault="007D60B6" w:rsidP="003A3C31">
      <w:pPr>
        <w:spacing w:before="200"/>
        <w:rPr>
          <w:rFonts w:eastAsia="Tiempos Headline Black"/>
        </w:rPr>
      </w:pPr>
      <w:r>
        <w:rPr>
          <w:rFonts w:eastAsia="Tiempos Headline Black"/>
        </w:rPr>
        <w:t xml:space="preserve">The Ministry is aware that there is a lack of clarity and consistency in the way the Guidelines are applied. This means it can be difficult for some people to determine what can be covered by Ministry funding. The review of the Guidelines will look at how </w:t>
      </w:r>
      <w:r w:rsidR="00FC5614">
        <w:rPr>
          <w:rFonts w:eastAsia="Tiempos Headline Black"/>
        </w:rPr>
        <w:t>to make the Guidelines clearer.</w:t>
      </w:r>
    </w:p>
    <w:p w:rsidR="007D60B6" w:rsidRDefault="007D60B6" w:rsidP="003A3C31">
      <w:pPr>
        <w:spacing w:before="200"/>
        <w:rPr>
          <w:rFonts w:eastAsia="Tiempos Headline Black"/>
        </w:rPr>
      </w:pPr>
      <w:r>
        <w:rPr>
          <w:rFonts w:eastAsia="Tiempos Headline Black"/>
        </w:rPr>
        <w:t>In mid-July 2015 the Ministry sent a letter to all people using EIF and Choice in Community Living (</w:t>
      </w:r>
      <w:proofErr w:type="spellStart"/>
      <w:r>
        <w:rPr>
          <w:rFonts w:eastAsia="Tiempos Headline Black"/>
        </w:rPr>
        <w:t>CiCL</w:t>
      </w:r>
      <w:proofErr w:type="spellEnd"/>
      <w:r>
        <w:rPr>
          <w:rFonts w:eastAsia="Tiempos Headline Black"/>
        </w:rPr>
        <w:t>) to advise them that the Ministry is reviewing the Guidelines. The Ministry will work with disabled people and their families over the next few months to refine and reshape the Guidelines.</w:t>
      </w:r>
    </w:p>
    <w:p w:rsidR="007D60B6" w:rsidRDefault="007D60B6" w:rsidP="003A3C31">
      <w:pPr>
        <w:spacing w:before="200"/>
        <w:rPr>
          <w:rFonts w:eastAsia="Tiempos Headline Black"/>
        </w:rPr>
      </w:pPr>
      <w:r>
        <w:rPr>
          <w:rFonts w:eastAsia="Tiempos Headline Black"/>
        </w:rPr>
        <w:t xml:space="preserve">This review of these </w:t>
      </w:r>
      <w:r w:rsidRPr="00AE4D30">
        <w:rPr>
          <w:rFonts w:eastAsia="Tiempos Headline Black"/>
        </w:rPr>
        <w:t xml:space="preserve">Guidelines </w:t>
      </w:r>
      <w:r>
        <w:rPr>
          <w:rFonts w:eastAsia="Tiempos Headline Black"/>
        </w:rPr>
        <w:t>does not affect the Guidelines that are used within the EGL Demonstrations in Christchurch and Waikato.</w:t>
      </w:r>
    </w:p>
    <w:p w:rsidR="0082299C" w:rsidRDefault="007D60B6" w:rsidP="003A3C31">
      <w:pPr>
        <w:spacing w:before="200"/>
        <w:rPr>
          <w:b/>
          <w:lang w:eastAsia="en-NZ"/>
        </w:rPr>
      </w:pPr>
      <w:r w:rsidRPr="00FC5614">
        <w:rPr>
          <w:b/>
          <w:lang w:eastAsia="en-NZ"/>
        </w:rPr>
        <w:t xml:space="preserve">Contact: Murray Penman, </w:t>
      </w:r>
      <w:r w:rsidRPr="00FC2969">
        <w:rPr>
          <w:b/>
        </w:rPr>
        <w:t>Development</w:t>
      </w:r>
      <w:r w:rsidRPr="00FC5614">
        <w:rPr>
          <w:b/>
          <w:lang w:eastAsia="en-NZ"/>
        </w:rPr>
        <w:t xml:space="preserve"> Manager, 09 580 9084</w:t>
      </w:r>
    </w:p>
    <w:p w:rsidR="00FC5614" w:rsidRPr="00FC5614" w:rsidRDefault="00FC5614" w:rsidP="00FC5614"/>
    <w:p w:rsidR="0082299C" w:rsidRDefault="0082299C" w:rsidP="00FC5614">
      <w:pPr>
        <w:pStyle w:val="Heading2"/>
      </w:pPr>
      <w:r>
        <w:t>New Model – Local Area Coordination</w:t>
      </w:r>
    </w:p>
    <w:p w:rsidR="007D60B6" w:rsidRPr="00FC5614" w:rsidRDefault="007D60B6" w:rsidP="00FC5614">
      <w:pPr>
        <w:rPr>
          <w:rFonts w:eastAsia="Tiempos Headline Black"/>
          <w:color w:val="1F497D" w:themeColor="text2"/>
        </w:rPr>
      </w:pPr>
      <w:r w:rsidRPr="00FC5614">
        <w:rPr>
          <w:rFonts w:eastAsia="Tiempos Headline Black"/>
          <w:color w:val="1F497D" w:themeColor="text2"/>
        </w:rPr>
        <w:t>The two Local Area Coordination (LAC) trials through Needs Assessment and Service Coordination Services (NASCs) in Hutt and Central Otago/Southland have now been under</w:t>
      </w:r>
      <w:r w:rsidR="00A605B3">
        <w:rPr>
          <w:rFonts w:eastAsia="Tiempos Headline Black"/>
          <w:color w:val="1F497D" w:themeColor="text2"/>
        </w:rPr>
        <w:t xml:space="preserve"> </w:t>
      </w:r>
      <w:r w:rsidRPr="00FC5614">
        <w:rPr>
          <w:rFonts w:eastAsia="Tiempos Headline Black"/>
          <w:color w:val="1F497D" w:themeColor="text2"/>
        </w:rPr>
        <w:t>way for a year. At the end of that year there were over 400 people working with a Coordinator in those two sites and through the ongoing LAC work in Bay of Plenty and the Lakes district. Thirty-three percent of these people are Māori and nearly 50</w:t>
      </w:r>
      <w:r w:rsidR="00FC5614">
        <w:rPr>
          <w:rFonts w:eastAsia="Tiempos Headline Black"/>
          <w:color w:val="1F497D" w:themeColor="text2"/>
        </w:rPr>
        <w:t> percent</w:t>
      </w:r>
      <w:r w:rsidRPr="00FC5614">
        <w:rPr>
          <w:rFonts w:eastAsia="Tiempos Headline Black"/>
          <w:color w:val="1F497D" w:themeColor="text2"/>
        </w:rPr>
        <w:t xml:space="preserve"> are people with a learning/intellectual impairment.</w:t>
      </w:r>
    </w:p>
    <w:p w:rsidR="003A3C31" w:rsidRDefault="003A3C31" w:rsidP="003A3C31">
      <w:pPr>
        <w:rPr>
          <w:rFonts w:eastAsia="Tiempos Headline Black"/>
        </w:rPr>
      </w:pPr>
    </w:p>
    <w:p w:rsidR="007D60B6" w:rsidRDefault="007D60B6" w:rsidP="003A3C31">
      <w:pPr>
        <w:rPr>
          <w:rFonts w:eastAsia="Tiempos Headline Black"/>
        </w:rPr>
      </w:pPr>
      <w:r>
        <w:rPr>
          <w:rFonts w:eastAsia="Tiempos Headline Black"/>
        </w:rPr>
        <w:t>For some, their contact with an LAC would be for information or initial assistance, for others they would have a longer working relationship where they are supported to think about their lives and plan for their future within their particular community. Each of the sites is also involved in community building in different ways with the aim of supporting those communities to include and value the contribution of disabled people in all aspects of community life.</w:t>
      </w:r>
    </w:p>
    <w:p w:rsidR="003A3C31" w:rsidRDefault="003A3C31" w:rsidP="003A3C31">
      <w:pPr>
        <w:rPr>
          <w:rFonts w:eastAsia="Tiempos Headline Black"/>
        </w:rPr>
      </w:pPr>
    </w:p>
    <w:p w:rsidR="007D60B6" w:rsidRDefault="007D60B6" w:rsidP="003A3C31">
      <w:pPr>
        <w:rPr>
          <w:rFonts w:eastAsia="Tiempos Headline Black"/>
        </w:rPr>
      </w:pPr>
      <w:r>
        <w:rPr>
          <w:rFonts w:eastAsia="Tiempos Headline Black"/>
        </w:rPr>
        <w:t>An evaluation report on LAC in the Bay of Plenty demonstration is due on the Ministry of Health website soon.</w:t>
      </w:r>
    </w:p>
    <w:p w:rsidR="003A3C31" w:rsidRPr="00204A0F" w:rsidRDefault="003A3C31" w:rsidP="003A3C31">
      <w:pPr>
        <w:rPr>
          <w:rFonts w:eastAsia="Tiempos Headline Black"/>
        </w:rPr>
      </w:pPr>
    </w:p>
    <w:p w:rsidR="007D60B6" w:rsidRPr="00FC5614" w:rsidRDefault="007D60B6" w:rsidP="003A3C31">
      <w:pPr>
        <w:rPr>
          <w:b/>
        </w:rPr>
      </w:pPr>
      <w:r w:rsidRPr="00FC5614">
        <w:rPr>
          <w:b/>
        </w:rPr>
        <w:t>Contact: Jenny Moor, Development Manager, 09 580 9070</w:t>
      </w:r>
    </w:p>
    <w:p w:rsidR="002B12CB" w:rsidRDefault="002B12CB" w:rsidP="00FC5614"/>
    <w:p w:rsidR="0082299C" w:rsidRDefault="0082299C" w:rsidP="00FC5614">
      <w:pPr>
        <w:pStyle w:val="Heading2"/>
      </w:pPr>
      <w:r>
        <w:t>Behaviour Support Services Improvement Project</w:t>
      </w:r>
    </w:p>
    <w:p w:rsidR="007D60B6" w:rsidRPr="00247D9B" w:rsidRDefault="007D60B6" w:rsidP="00FC5614">
      <w:pPr>
        <w:rPr>
          <w:color w:val="1F497D" w:themeColor="text2"/>
        </w:rPr>
      </w:pPr>
      <w:r w:rsidRPr="00247D9B">
        <w:rPr>
          <w:color w:val="1F497D" w:themeColor="text2"/>
        </w:rPr>
        <w:t>The Behaviour Support Service is now implemented through the country and feedback about the new service has been very positive. The referral rate to the service is high, so support service provider Explore is spending the next six months looking at referral rates and how best to configure their teams to respond. The quality measures that will be used for the service, and how it will be evaluated, are being refined over the next few months.</w:t>
      </w:r>
    </w:p>
    <w:p w:rsidR="003A3C31" w:rsidRDefault="003A3C31" w:rsidP="00FC5614"/>
    <w:p w:rsidR="007D60B6" w:rsidRPr="00FC5614" w:rsidRDefault="007D60B6" w:rsidP="003A3C31">
      <w:pPr>
        <w:rPr>
          <w:b/>
        </w:rPr>
      </w:pPr>
      <w:r w:rsidRPr="00FC5614">
        <w:rPr>
          <w:b/>
        </w:rPr>
        <w:t>Contact: Gordon Sinclair, Development Manager, 04 816 3696</w:t>
      </w:r>
    </w:p>
    <w:p w:rsidR="002B12CB" w:rsidRDefault="002B12CB" w:rsidP="00FC5614"/>
    <w:p w:rsidR="0082299C" w:rsidRDefault="0082299C" w:rsidP="00FC5614">
      <w:pPr>
        <w:pStyle w:val="Heading2"/>
      </w:pPr>
      <w:r>
        <w:t>Residential Pricing Model Implementation</w:t>
      </w:r>
    </w:p>
    <w:p w:rsidR="007D60B6" w:rsidRPr="00247D9B" w:rsidRDefault="007D60B6" w:rsidP="003A3C31">
      <w:pPr>
        <w:keepNext/>
        <w:rPr>
          <w:rFonts w:eastAsia="Tiempos Headline Black"/>
          <w:color w:val="1F497D" w:themeColor="text2"/>
        </w:rPr>
      </w:pPr>
      <w:r w:rsidRPr="00247D9B">
        <w:rPr>
          <w:rFonts w:eastAsia="Tiempos Headline Black"/>
          <w:color w:val="1F497D" w:themeColor="text2"/>
        </w:rPr>
        <w:t>DSS is finalising a nationally consistent pricing model for all DSS-funded residential services. The first step in implementation will be to move all residential funding packages to one of 30 new price points from 1 December 2015. Prior to the new residential outcome agreements beginning on that date, providers will be supplied with funding information on each of their clients. These agreements will incorporate the updated community residential service specifications and meet the new streamlined contract framework requirements.</w:t>
      </w:r>
    </w:p>
    <w:p w:rsidR="003A3C31" w:rsidRDefault="003A3C31" w:rsidP="003A3C31">
      <w:pPr>
        <w:keepNext/>
        <w:rPr>
          <w:rFonts w:eastAsia="Tiempos Headline Black"/>
        </w:rPr>
      </w:pPr>
    </w:p>
    <w:p w:rsidR="007D60B6" w:rsidRPr="003A3C31" w:rsidRDefault="007D60B6" w:rsidP="003A3C31">
      <w:pPr>
        <w:keepNext/>
        <w:rPr>
          <w:b/>
        </w:rPr>
      </w:pPr>
      <w:r w:rsidRPr="003A3C31">
        <w:rPr>
          <w:b/>
        </w:rPr>
        <w:t>Contact:</w:t>
      </w:r>
      <w:r w:rsidR="00FC5614" w:rsidRPr="003A3C31">
        <w:rPr>
          <w:b/>
        </w:rPr>
        <w:tab/>
      </w:r>
      <w:r w:rsidRPr="003A3C31">
        <w:rPr>
          <w:b/>
        </w:rPr>
        <w:t>Lee Henley, Manager, Community Living Team, 04 816 2119</w:t>
      </w:r>
    </w:p>
    <w:p w:rsidR="007D60B6" w:rsidRPr="003A3C31" w:rsidRDefault="007D60B6" w:rsidP="003A3C31">
      <w:pPr>
        <w:spacing w:before="60"/>
        <w:ind w:left="1701"/>
        <w:rPr>
          <w:b/>
        </w:rPr>
      </w:pPr>
      <w:r w:rsidRPr="003A3C31">
        <w:rPr>
          <w:b/>
        </w:rPr>
        <w:t>Viv Ruth, Contract Relationship Manager, Community Living Team, 03</w:t>
      </w:r>
      <w:r w:rsidR="00FC5614" w:rsidRPr="003A3C31">
        <w:rPr>
          <w:b/>
        </w:rPr>
        <w:t> </w:t>
      </w:r>
      <w:r w:rsidRPr="003A3C31">
        <w:rPr>
          <w:b/>
        </w:rPr>
        <w:t>9742304</w:t>
      </w:r>
    </w:p>
    <w:p w:rsidR="002B12CB" w:rsidRDefault="002B12CB" w:rsidP="00FC5614"/>
    <w:p w:rsidR="0082299C" w:rsidRDefault="0082299C" w:rsidP="00FC5614">
      <w:pPr>
        <w:pStyle w:val="Heading2"/>
      </w:pPr>
      <w:r>
        <w:t>Pacific Development</w:t>
      </w:r>
    </w:p>
    <w:p w:rsidR="0082299C" w:rsidRDefault="0082299C" w:rsidP="00FC5614">
      <w:pPr>
        <w:pStyle w:val="Heading3"/>
      </w:pPr>
      <w:r>
        <w:t xml:space="preserve">Implementation of Faiva </w:t>
      </w:r>
      <w:r w:rsidR="007D60B6">
        <w:t xml:space="preserve">Ora 2014–2016 – Le </w:t>
      </w:r>
      <w:proofErr w:type="spellStart"/>
      <w:r w:rsidR="007D60B6">
        <w:t>Va</w:t>
      </w:r>
      <w:proofErr w:type="spellEnd"/>
      <w:r w:rsidR="007D60B6">
        <w:t xml:space="preserve"> Work Plan</w:t>
      </w:r>
      <w:r w:rsidR="00FC5614">
        <w:br/>
      </w:r>
      <w:r w:rsidR="007D60B6">
        <w:t>2015–2016</w:t>
      </w:r>
    </w:p>
    <w:p w:rsidR="007D60B6" w:rsidRPr="00247D9B" w:rsidRDefault="007D60B6" w:rsidP="00FC5614">
      <w:pPr>
        <w:rPr>
          <w:rFonts w:eastAsia="Calibri"/>
          <w:color w:val="1F497D" w:themeColor="text2"/>
        </w:rPr>
      </w:pPr>
      <w:r w:rsidRPr="00247D9B">
        <w:rPr>
          <w:rFonts w:eastAsia="Calibri"/>
          <w:color w:val="1F497D" w:themeColor="text2"/>
        </w:rPr>
        <w:t xml:space="preserve">In July, the Ministry approved Le </w:t>
      </w:r>
      <w:proofErr w:type="spellStart"/>
      <w:proofErr w:type="gramStart"/>
      <w:r w:rsidRPr="00247D9B">
        <w:rPr>
          <w:rFonts w:eastAsia="Calibri"/>
          <w:color w:val="1F497D" w:themeColor="text2"/>
        </w:rPr>
        <w:t>Va</w:t>
      </w:r>
      <w:r w:rsidR="00FC2969" w:rsidRPr="00247D9B">
        <w:rPr>
          <w:rFonts w:eastAsia="Calibri"/>
          <w:color w:val="1F497D" w:themeColor="text2"/>
        </w:rPr>
        <w:t>’</w:t>
      </w:r>
      <w:r w:rsidRPr="00247D9B">
        <w:rPr>
          <w:rFonts w:eastAsia="Calibri"/>
          <w:color w:val="1F497D" w:themeColor="text2"/>
        </w:rPr>
        <w:t>s</w:t>
      </w:r>
      <w:proofErr w:type="spellEnd"/>
      <w:proofErr w:type="gramEnd"/>
      <w:r w:rsidRPr="00247D9B">
        <w:rPr>
          <w:rFonts w:eastAsia="Calibri"/>
          <w:color w:val="1F497D" w:themeColor="text2"/>
        </w:rPr>
        <w:t xml:space="preserve"> annual work plan 2015-2016 for implementation. This plan outlines key activities Le </w:t>
      </w:r>
      <w:proofErr w:type="spellStart"/>
      <w:proofErr w:type="gramStart"/>
      <w:r w:rsidRPr="00247D9B">
        <w:rPr>
          <w:rFonts w:eastAsia="Calibri"/>
          <w:color w:val="1F497D" w:themeColor="text2"/>
        </w:rPr>
        <w:t>Va</w:t>
      </w:r>
      <w:proofErr w:type="spellEnd"/>
      <w:proofErr w:type="gramEnd"/>
      <w:r w:rsidRPr="00247D9B">
        <w:rPr>
          <w:rFonts w:eastAsia="Calibri"/>
          <w:color w:val="1F497D" w:themeColor="text2"/>
        </w:rPr>
        <w:t xml:space="preserve"> will undertake to deliver on the </w:t>
      </w:r>
      <w:r w:rsidR="00FC5614" w:rsidRPr="00247D9B">
        <w:rPr>
          <w:rFonts w:eastAsia="Calibri"/>
          <w:color w:val="1F497D" w:themeColor="text2"/>
        </w:rPr>
        <w:t>outcomes of the Faiva Ora plan.</w:t>
      </w:r>
    </w:p>
    <w:p w:rsidR="007D60B6" w:rsidRDefault="007D60B6" w:rsidP="00FC5614">
      <w:pPr>
        <w:rPr>
          <w:rFonts w:eastAsia="Calibri"/>
        </w:rPr>
      </w:pPr>
    </w:p>
    <w:p w:rsidR="007D60B6" w:rsidRPr="00260DA0" w:rsidRDefault="007D60B6" w:rsidP="00FC5614">
      <w:pPr>
        <w:rPr>
          <w:rFonts w:eastAsia="Calibri"/>
        </w:rPr>
      </w:pPr>
      <w:r w:rsidRPr="00260DA0">
        <w:rPr>
          <w:rFonts w:eastAsia="Calibri"/>
        </w:rPr>
        <w:t xml:space="preserve">Working with disability stakeholders, Le </w:t>
      </w:r>
      <w:proofErr w:type="spellStart"/>
      <w:r w:rsidRPr="00260DA0">
        <w:rPr>
          <w:rFonts w:eastAsia="Calibri"/>
        </w:rPr>
        <w:t>Va</w:t>
      </w:r>
      <w:proofErr w:type="spellEnd"/>
      <w:r w:rsidRPr="00260DA0">
        <w:rPr>
          <w:rFonts w:eastAsia="Calibri"/>
        </w:rPr>
        <w:t xml:space="preserve"> will implement the Engaging </w:t>
      </w:r>
      <w:proofErr w:type="spellStart"/>
      <w:r w:rsidRPr="00260DA0">
        <w:rPr>
          <w:rFonts w:eastAsia="Calibri"/>
        </w:rPr>
        <w:t>Pasifika</w:t>
      </w:r>
      <w:proofErr w:type="spellEnd"/>
      <w:r w:rsidRPr="00260DA0">
        <w:rPr>
          <w:rFonts w:eastAsia="Calibri"/>
        </w:rPr>
        <w:t xml:space="preserve"> disability cultural workshops, profile the </w:t>
      </w:r>
      <w:proofErr w:type="spellStart"/>
      <w:r w:rsidRPr="00260DA0">
        <w:rPr>
          <w:rFonts w:eastAsia="Calibri"/>
        </w:rPr>
        <w:t>Pasifika</w:t>
      </w:r>
      <w:proofErr w:type="spellEnd"/>
      <w:r w:rsidRPr="00260DA0">
        <w:rPr>
          <w:rFonts w:eastAsia="Calibri"/>
        </w:rPr>
        <w:t xml:space="preserve"> disability church resources to </w:t>
      </w:r>
      <w:proofErr w:type="spellStart"/>
      <w:r w:rsidRPr="00260DA0">
        <w:rPr>
          <w:rFonts w:eastAsia="Calibri"/>
        </w:rPr>
        <w:t>Pasifika</w:t>
      </w:r>
      <w:proofErr w:type="spellEnd"/>
      <w:r w:rsidRPr="00260DA0">
        <w:rPr>
          <w:rFonts w:eastAsia="Calibri"/>
        </w:rPr>
        <w:t xml:space="preserve"> church communities and promote the use of the new organisational guidelines to </w:t>
      </w:r>
      <w:r>
        <w:rPr>
          <w:rFonts w:eastAsia="Calibri"/>
        </w:rPr>
        <w:t xml:space="preserve">disability support providers </w:t>
      </w:r>
      <w:r w:rsidRPr="00260DA0">
        <w:rPr>
          <w:rFonts w:eastAsia="Calibri"/>
        </w:rPr>
        <w:t xml:space="preserve">working with </w:t>
      </w:r>
      <w:proofErr w:type="spellStart"/>
      <w:r w:rsidRPr="00260DA0">
        <w:rPr>
          <w:rFonts w:eastAsia="Calibri"/>
        </w:rPr>
        <w:t>Pasifika</w:t>
      </w:r>
      <w:proofErr w:type="spellEnd"/>
      <w:r w:rsidRPr="00260DA0">
        <w:rPr>
          <w:rFonts w:eastAsia="Calibri"/>
        </w:rPr>
        <w:t xml:space="preserve"> disabled people and their fam</w:t>
      </w:r>
      <w:r w:rsidR="00FC5614">
        <w:rPr>
          <w:rFonts w:eastAsia="Calibri"/>
        </w:rPr>
        <w:t>ilies.</w:t>
      </w:r>
    </w:p>
    <w:p w:rsidR="007D60B6" w:rsidRPr="009028BA" w:rsidRDefault="007D60B6" w:rsidP="00FC5614">
      <w:pPr>
        <w:rPr>
          <w:rFonts w:eastAsia="Calibri"/>
        </w:rPr>
      </w:pPr>
    </w:p>
    <w:p w:rsidR="007D60B6" w:rsidRPr="00FC5614" w:rsidRDefault="007D60B6" w:rsidP="00FC5614">
      <w:pPr>
        <w:rPr>
          <w:b/>
        </w:rPr>
      </w:pPr>
      <w:r w:rsidRPr="00FC5614">
        <w:rPr>
          <w:b/>
        </w:rPr>
        <w:t xml:space="preserve">Contact: </w:t>
      </w:r>
      <w:proofErr w:type="spellStart"/>
      <w:r w:rsidRPr="00FC5614">
        <w:rPr>
          <w:b/>
        </w:rPr>
        <w:t>Feala</w:t>
      </w:r>
      <w:proofErr w:type="spellEnd"/>
      <w:r w:rsidRPr="00FC5614">
        <w:rPr>
          <w:b/>
        </w:rPr>
        <w:t xml:space="preserve"> </w:t>
      </w:r>
      <w:proofErr w:type="spellStart"/>
      <w:r w:rsidRPr="00FC5614">
        <w:rPr>
          <w:b/>
        </w:rPr>
        <w:t>Afoa</w:t>
      </w:r>
      <w:proofErr w:type="spellEnd"/>
      <w:r w:rsidRPr="00FC5614">
        <w:rPr>
          <w:b/>
        </w:rPr>
        <w:t>, Development Manager, 09 580 9053</w:t>
      </w:r>
    </w:p>
    <w:p w:rsidR="0060092A" w:rsidRDefault="0060092A" w:rsidP="00FC5614"/>
    <w:p w:rsidR="007D60B6" w:rsidRDefault="0082299C" w:rsidP="00FC5614">
      <w:pPr>
        <w:pStyle w:val="Heading2"/>
      </w:pPr>
      <w:r>
        <w:t>D</w:t>
      </w:r>
      <w:r w:rsidR="007D60B6">
        <w:t xml:space="preserve">isability </w:t>
      </w:r>
      <w:r w:rsidR="00247D9B">
        <w:t>W</w:t>
      </w:r>
      <w:r w:rsidR="007D60B6">
        <w:t xml:space="preserve">orkforce </w:t>
      </w:r>
      <w:r w:rsidR="00247D9B">
        <w:t>D</w:t>
      </w:r>
      <w:r w:rsidR="007D60B6">
        <w:t>evelopment</w:t>
      </w:r>
    </w:p>
    <w:p w:rsidR="0082299C" w:rsidRDefault="0082299C" w:rsidP="00FC5614">
      <w:pPr>
        <w:pStyle w:val="Heading3"/>
      </w:pPr>
      <w:proofErr w:type="spellStart"/>
      <w:r>
        <w:t>Kaiāwhina</w:t>
      </w:r>
      <w:proofErr w:type="spellEnd"/>
      <w:r>
        <w:t xml:space="preserve"> Workforce Action Plan</w:t>
      </w:r>
    </w:p>
    <w:p w:rsidR="007D60B6" w:rsidRPr="00247D9B" w:rsidRDefault="007D60B6" w:rsidP="00FC5614">
      <w:pPr>
        <w:rPr>
          <w:rFonts w:eastAsia="Calibri"/>
          <w:color w:val="1F497D" w:themeColor="text2"/>
        </w:rPr>
      </w:pPr>
      <w:r w:rsidRPr="00247D9B">
        <w:rPr>
          <w:rFonts w:eastAsia="Calibri"/>
          <w:color w:val="1F497D" w:themeColor="text2"/>
        </w:rPr>
        <w:t xml:space="preserve">During April and May 2015, </w:t>
      </w:r>
      <w:proofErr w:type="spellStart"/>
      <w:r w:rsidRPr="00247D9B">
        <w:rPr>
          <w:rFonts w:eastAsia="Calibri"/>
          <w:color w:val="1F497D" w:themeColor="text2"/>
        </w:rPr>
        <w:t>Careerforce</w:t>
      </w:r>
      <w:proofErr w:type="spellEnd"/>
      <w:r w:rsidRPr="00247D9B">
        <w:rPr>
          <w:rFonts w:eastAsia="Calibri"/>
          <w:color w:val="1F497D" w:themeColor="text2"/>
        </w:rPr>
        <w:t xml:space="preserve"> undertook a stakeholder engagement survey to obtain feedback on the draft five</w:t>
      </w:r>
      <w:r w:rsidR="00FC5614" w:rsidRPr="00247D9B">
        <w:rPr>
          <w:rFonts w:eastAsia="Calibri"/>
          <w:color w:val="1F497D" w:themeColor="text2"/>
        </w:rPr>
        <w:t>-</w:t>
      </w:r>
      <w:r w:rsidRPr="00247D9B">
        <w:rPr>
          <w:rFonts w:eastAsia="Calibri"/>
          <w:color w:val="1F497D" w:themeColor="text2"/>
        </w:rPr>
        <w:t xml:space="preserve">year </w:t>
      </w:r>
      <w:proofErr w:type="spellStart"/>
      <w:r w:rsidRPr="00247D9B">
        <w:rPr>
          <w:rFonts w:eastAsia="Calibri"/>
          <w:color w:val="1F497D" w:themeColor="text2"/>
        </w:rPr>
        <w:t>Kaiawhina</w:t>
      </w:r>
      <w:proofErr w:type="spellEnd"/>
      <w:r w:rsidRPr="00247D9B">
        <w:rPr>
          <w:rFonts w:eastAsia="Calibri"/>
          <w:color w:val="1F497D" w:themeColor="text2"/>
        </w:rPr>
        <w:t xml:space="preserve"> action plan from workers in the disability, aged care, mental health, public health and general health sectors, consumers and service providers.. Their feedback supported the direction and approach outlined in the action plan. Implementation of this plan is due to start by September 2015. The plan aims to address workforce development and long-term sustainability across seven domains: Access, Career Development, Workforce Recognition, Consumer Focus, Quality and Safety, Workforce I</w:t>
      </w:r>
      <w:r w:rsidR="00FC5614" w:rsidRPr="00247D9B">
        <w:rPr>
          <w:rFonts w:eastAsia="Calibri"/>
          <w:color w:val="1F497D" w:themeColor="text2"/>
        </w:rPr>
        <w:t>ntelligence and Sustainability.</w:t>
      </w:r>
    </w:p>
    <w:p w:rsidR="0060092A" w:rsidRDefault="0060092A" w:rsidP="00FC5614"/>
    <w:p w:rsidR="007D60B6" w:rsidRDefault="007D60B6" w:rsidP="00FC5614">
      <w:pPr>
        <w:pStyle w:val="Heading3"/>
      </w:pPr>
      <w:r>
        <w:t>ASD support workforce training needs and barriers</w:t>
      </w:r>
    </w:p>
    <w:p w:rsidR="007D60B6" w:rsidRPr="00247D9B" w:rsidRDefault="007D60B6" w:rsidP="00FC5614">
      <w:pPr>
        <w:rPr>
          <w:rFonts w:eastAsia="Calibri"/>
          <w:color w:val="1F497D" w:themeColor="text2"/>
        </w:rPr>
      </w:pPr>
      <w:r w:rsidRPr="00247D9B">
        <w:rPr>
          <w:rFonts w:eastAsia="Calibri"/>
          <w:color w:val="1F497D" w:themeColor="text2"/>
        </w:rPr>
        <w:t xml:space="preserve">Since April 2014, people with Autism Spectrum Disorder (ASD) have been eligible to have their disability support needs assessed through the Ministry-funded NASC organisations. This means disability workers need to be equipped with the necessary skills to provide quality supports that are responsive to the specific needs of people with ASD. To address this, the Ministry is working with </w:t>
      </w:r>
      <w:proofErr w:type="spellStart"/>
      <w:r w:rsidRPr="00247D9B">
        <w:rPr>
          <w:rFonts w:eastAsia="Calibri"/>
          <w:color w:val="1F497D" w:themeColor="text2"/>
        </w:rPr>
        <w:t>Te</w:t>
      </w:r>
      <w:proofErr w:type="spellEnd"/>
      <w:r w:rsidRPr="00247D9B">
        <w:rPr>
          <w:rFonts w:eastAsia="Calibri"/>
          <w:color w:val="1F497D" w:themeColor="text2"/>
        </w:rPr>
        <w:t xml:space="preserve"> </w:t>
      </w:r>
      <w:proofErr w:type="spellStart"/>
      <w:r w:rsidRPr="00247D9B">
        <w:rPr>
          <w:rFonts w:eastAsia="Calibri"/>
          <w:color w:val="1F497D" w:themeColor="text2"/>
        </w:rPr>
        <w:t>Pou</w:t>
      </w:r>
      <w:proofErr w:type="spellEnd"/>
      <w:r w:rsidRPr="00247D9B">
        <w:rPr>
          <w:rFonts w:eastAsia="Calibri"/>
          <w:color w:val="1F497D" w:themeColor="text2"/>
        </w:rPr>
        <w:t xml:space="preserve"> to collect information from workers and disability services to gain a better understanding of the training needs and barriers for those who support people with ASD. This work is due to start </w:t>
      </w:r>
      <w:r w:rsidR="00A605B3">
        <w:rPr>
          <w:rFonts w:eastAsia="Calibri"/>
          <w:color w:val="1F497D" w:themeColor="text2"/>
        </w:rPr>
        <w:t>this month</w:t>
      </w:r>
      <w:r w:rsidR="00FC5614" w:rsidRPr="00247D9B">
        <w:rPr>
          <w:rFonts w:eastAsia="Calibri"/>
          <w:color w:val="1F497D" w:themeColor="text2"/>
        </w:rPr>
        <w:t xml:space="preserve"> and conclude in December 2015.</w:t>
      </w:r>
    </w:p>
    <w:p w:rsidR="007D60B6" w:rsidRPr="009028BA" w:rsidRDefault="007D60B6" w:rsidP="00FC5614"/>
    <w:p w:rsidR="007D60B6" w:rsidRPr="00FC5614" w:rsidRDefault="007D60B6" w:rsidP="00FC5614">
      <w:pPr>
        <w:rPr>
          <w:b/>
        </w:rPr>
      </w:pPr>
      <w:r w:rsidRPr="00FC5614">
        <w:rPr>
          <w:b/>
        </w:rPr>
        <w:t xml:space="preserve">Contact: </w:t>
      </w:r>
      <w:proofErr w:type="spellStart"/>
      <w:r w:rsidRPr="00FC5614">
        <w:rPr>
          <w:b/>
        </w:rPr>
        <w:t>Feala</w:t>
      </w:r>
      <w:proofErr w:type="spellEnd"/>
      <w:r w:rsidRPr="00FC5614">
        <w:rPr>
          <w:b/>
        </w:rPr>
        <w:t xml:space="preserve"> </w:t>
      </w:r>
      <w:proofErr w:type="spellStart"/>
      <w:r w:rsidRPr="00FC5614">
        <w:rPr>
          <w:b/>
        </w:rPr>
        <w:t>Afoa</w:t>
      </w:r>
      <w:proofErr w:type="spellEnd"/>
      <w:r w:rsidRPr="00FC5614">
        <w:rPr>
          <w:b/>
        </w:rPr>
        <w:t>, Development Manager, 09 580 9053</w:t>
      </w:r>
    </w:p>
    <w:p w:rsidR="007D60B6" w:rsidRDefault="007D60B6" w:rsidP="00FC5614"/>
    <w:p w:rsidR="0082299C" w:rsidRDefault="0082299C" w:rsidP="00FC5614">
      <w:pPr>
        <w:pStyle w:val="Heading2"/>
      </w:pPr>
      <w:r>
        <w:t xml:space="preserve">New </w:t>
      </w:r>
      <w:r w:rsidR="00247D9B">
        <w:t>S</w:t>
      </w:r>
      <w:r>
        <w:t xml:space="preserve">treamlined </w:t>
      </w:r>
      <w:r w:rsidR="00247D9B">
        <w:t>C</w:t>
      </w:r>
      <w:r>
        <w:t xml:space="preserve">ontracting </w:t>
      </w:r>
      <w:r w:rsidR="00247D9B">
        <w:t>F</w:t>
      </w:r>
      <w:r>
        <w:t>ramework</w:t>
      </w:r>
      <w:r w:rsidR="007D60B6">
        <w:t xml:space="preserve"> and DSS </w:t>
      </w:r>
      <w:r w:rsidR="00247D9B">
        <w:t>S</w:t>
      </w:r>
      <w:r w:rsidR="007D60B6">
        <w:t xml:space="preserve">ervice </w:t>
      </w:r>
      <w:r w:rsidR="00247D9B">
        <w:t>S</w:t>
      </w:r>
      <w:r w:rsidR="007D60B6">
        <w:t xml:space="preserve">pecifications </w:t>
      </w:r>
      <w:r w:rsidR="00247D9B">
        <w:t>U</w:t>
      </w:r>
      <w:r w:rsidR="007D60B6">
        <w:t>pdate</w:t>
      </w:r>
    </w:p>
    <w:p w:rsidR="007D60B6" w:rsidRPr="00247D9B" w:rsidRDefault="007D60B6" w:rsidP="00FC5614">
      <w:pPr>
        <w:rPr>
          <w:color w:val="1F497D" w:themeColor="text2"/>
          <w:spacing w:val="-2"/>
          <w:lang w:eastAsia="en-NZ"/>
        </w:rPr>
      </w:pPr>
      <w:r w:rsidRPr="00247D9B">
        <w:rPr>
          <w:color w:val="1F497D" w:themeColor="text2"/>
          <w:spacing w:val="-2"/>
          <w:lang w:eastAsia="en-NZ"/>
        </w:rPr>
        <w:t>During April, workshops were held to provide advice on the final draft versions of the new Ministry of Health Outcome Agreement which will apply to all disability support services provided to disabled people in the future. The workshops also provided advice on the updated service specifications and performance measures relating to the following services: Community Residential; Children</w:t>
      </w:r>
      <w:r w:rsidR="00FC2969" w:rsidRPr="00247D9B">
        <w:rPr>
          <w:color w:val="1F497D" w:themeColor="text2"/>
          <w:spacing w:val="-2"/>
          <w:lang w:eastAsia="en-NZ"/>
        </w:rPr>
        <w:t>’</w:t>
      </w:r>
      <w:r w:rsidRPr="00247D9B">
        <w:rPr>
          <w:color w:val="1F497D" w:themeColor="text2"/>
          <w:spacing w:val="-2"/>
          <w:lang w:eastAsia="en-NZ"/>
        </w:rPr>
        <w:t>s Residential; Supported Living; Facility-Based Respite; Home and Community Support; Foster Care; Contract Board; Day Programmes; Younger Persons in Aged Care; Regional Intellectual Disability Supported Accommodation Services.</w:t>
      </w:r>
    </w:p>
    <w:p w:rsidR="00FC5614" w:rsidRDefault="00FC5614" w:rsidP="00FC5614">
      <w:pPr>
        <w:rPr>
          <w:lang w:eastAsia="en-NZ"/>
        </w:rPr>
      </w:pPr>
    </w:p>
    <w:p w:rsidR="007D60B6" w:rsidRDefault="007D60B6" w:rsidP="00FC5614">
      <w:pPr>
        <w:rPr>
          <w:lang w:eastAsia="en-NZ"/>
        </w:rPr>
      </w:pPr>
      <w:r>
        <w:rPr>
          <w:lang w:eastAsia="en-NZ"/>
        </w:rPr>
        <w:t>Workshop attendees represented service providers, people using disability support services, carers and family members.</w:t>
      </w:r>
    </w:p>
    <w:p w:rsidR="00FC5614" w:rsidRDefault="00FC5614" w:rsidP="00FC5614">
      <w:pPr>
        <w:rPr>
          <w:lang w:eastAsia="en-NZ"/>
        </w:rPr>
      </w:pPr>
    </w:p>
    <w:p w:rsidR="007D60B6" w:rsidRDefault="007D60B6" w:rsidP="00FC5614">
      <w:pPr>
        <w:rPr>
          <w:lang w:eastAsia="en-NZ"/>
        </w:rPr>
      </w:pPr>
      <w:r>
        <w:rPr>
          <w:lang w:eastAsia="en-NZ"/>
        </w:rPr>
        <w:t>The final draft documents were then made available on the Ministry</w:t>
      </w:r>
      <w:r w:rsidR="00FC2969">
        <w:rPr>
          <w:lang w:eastAsia="en-NZ"/>
        </w:rPr>
        <w:t>’</w:t>
      </w:r>
      <w:r>
        <w:rPr>
          <w:lang w:eastAsia="en-NZ"/>
        </w:rPr>
        <w:t>s website for consultation over a period of eight weeks. Consultation has now closed and 35 responses were received.</w:t>
      </w:r>
    </w:p>
    <w:p w:rsidR="00FC5614" w:rsidRDefault="00FC5614" w:rsidP="00FC5614">
      <w:pPr>
        <w:rPr>
          <w:lang w:eastAsia="en-NZ"/>
        </w:rPr>
      </w:pPr>
    </w:p>
    <w:p w:rsidR="007D60B6" w:rsidRDefault="007D60B6" w:rsidP="00FC5614">
      <w:pPr>
        <w:rPr>
          <w:lang w:eastAsia="en-NZ"/>
        </w:rPr>
      </w:pPr>
      <w:r>
        <w:rPr>
          <w:lang w:eastAsia="en-NZ"/>
        </w:rPr>
        <w:t>The documents will be finalised in August, for implementation from:</w:t>
      </w:r>
    </w:p>
    <w:p w:rsidR="007D60B6" w:rsidRDefault="007D60B6" w:rsidP="00FC5614">
      <w:pPr>
        <w:pStyle w:val="Bullet"/>
        <w:rPr>
          <w:lang w:eastAsia="en-NZ"/>
        </w:rPr>
      </w:pPr>
      <w:r>
        <w:rPr>
          <w:lang w:eastAsia="en-NZ"/>
        </w:rPr>
        <w:t>1 October 2015 for Day Programmes</w:t>
      </w:r>
    </w:p>
    <w:p w:rsidR="007D60B6" w:rsidRDefault="007D60B6" w:rsidP="00FC5614">
      <w:pPr>
        <w:pStyle w:val="Bullet"/>
        <w:rPr>
          <w:lang w:eastAsia="en-NZ"/>
        </w:rPr>
      </w:pPr>
      <w:r>
        <w:rPr>
          <w:lang w:eastAsia="en-NZ"/>
        </w:rPr>
        <w:t>1 November 2015 for Home and Community Support Services, and</w:t>
      </w:r>
    </w:p>
    <w:p w:rsidR="007D60B6" w:rsidRDefault="007D60B6" w:rsidP="00FC5614">
      <w:pPr>
        <w:pStyle w:val="Bullet"/>
        <w:rPr>
          <w:lang w:eastAsia="en-NZ"/>
        </w:rPr>
      </w:pPr>
      <w:r>
        <w:rPr>
          <w:lang w:eastAsia="en-NZ"/>
        </w:rPr>
        <w:t>1 December 2015 for the remaining services listed above.</w:t>
      </w:r>
    </w:p>
    <w:p w:rsidR="00FC5614" w:rsidRDefault="00FC5614" w:rsidP="00FC5614">
      <w:pPr>
        <w:rPr>
          <w:lang w:eastAsia="en-NZ"/>
        </w:rPr>
      </w:pPr>
    </w:p>
    <w:p w:rsidR="007D60B6" w:rsidRDefault="007D60B6" w:rsidP="00FC5614">
      <w:pPr>
        <w:rPr>
          <w:lang w:eastAsia="en-NZ"/>
        </w:rPr>
      </w:pPr>
      <w:r>
        <w:rPr>
          <w:lang w:eastAsia="en-NZ"/>
        </w:rPr>
        <w:t>The Ministry thanks all of the disabled people, Disabled People</w:t>
      </w:r>
      <w:r w:rsidR="00FC2969">
        <w:rPr>
          <w:lang w:eastAsia="en-NZ"/>
        </w:rPr>
        <w:t>’</w:t>
      </w:r>
      <w:r>
        <w:rPr>
          <w:lang w:eastAsia="en-NZ"/>
        </w:rPr>
        <w:t>s Organisations, service providers, carers and family members who took the time to attend workshops and provide feedback to inform its work. This input will help ensure the Outcome Agreements and service specifications are fit for purpose and that services are centred on disabled people, and supporting them to live a good life.</w:t>
      </w:r>
    </w:p>
    <w:p w:rsidR="00FC5614" w:rsidRDefault="00FC5614" w:rsidP="00FC5614">
      <w:pPr>
        <w:rPr>
          <w:lang w:eastAsia="en-NZ"/>
        </w:rPr>
      </w:pPr>
    </w:p>
    <w:p w:rsidR="007D60B6" w:rsidRPr="00FC5614" w:rsidRDefault="007D60B6" w:rsidP="00FC5614">
      <w:pPr>
        <w:rPr>
          <w:b/>
        </w:rPr>
      </w:pPr>
      <w:r w:rsidRPr="00FC5614">
        <w:rPr>
          <w:b/>
        </w:rPr>
        <w:t>Contact:</w:t>
      </w:r>
      <w:r w:rsidRPr="00FC5614">
        <w:rPr>
          <w:b/>
        </w:rPr>
        <w:tab/>
        <w:t>Barbara Crawford, Manager Strategy and Contracting, 04 816 4384</w:t>
      </w:r>
    </w:p>
    <w:p w:rsidR="00D36ECD" w:rsidRDefault="00D36ECD" w:rsidP="00FC5614"/>
    <w:p w:rsidR="0049738F" w:rsidRDefault="0049738F" w:rsidP="0060092A">
      <w:pPr>
        <w:pStyle w:val="Heading2"/>
      </w:pPr>
      <w:r>
        <w:t>Contact Disability Support Services</w:t>
      </w:r>
    </w:p>
    <w:p w:rsidR="0049738F" w:rsidRDefault="0049738F" w:rsidP="00E0758E">
      <w:pPr>
        <w:pStyle w:val="Box"/>
        <w:keepNext/>
        <w:tabs>
          <w:tab w:val="right" w:pos="9923"/>
        </w:tabs>
      </w:pPr>
      <w:r w:rsidRPr="006A02AE">
        <w:t xml:space="preserve">Email: </w:t>
      </w:r>
      <w:hyperlink r:id="rId18" w:history="1">
        <w:r w:rsidR="00D36ECD" w:rsidRPr="00E0758E">
          <w:rPr>
            <w:rStyle w:val="Hyperlink"/>
            <w:color w:val="1F497D" w:themeColor="text2"/>
          </w:rPr>
          <w:t>disability@moh.govt.nz</w:t>
        </w:r>
      </w:hyperlink>
      <w:r w:rsidR="00E0758E">
        <w:rPr>
          <w:rStyle w:val="Hyperlink"/>
          <w:color w:val="1F497D" w:themeColor="text2"/>
        </w:rPr>
        <w:tab/>
      </w:r>
      <w:r w:rsidRPr="00D36ECD">
        <w:t xml:space="preserve">Phone: </w:t>
      </w:r>
      <w:r w:rsidRPr="00E0758E">
        <w:rPr>
          <w:rStyle w:val="Hyperlink"/>
        </w:rPr>
        <w:t>0800 DSD MOH (0800 373 664)</w:t>
      </w:r>
    </w:p>
    <w:p w:rsidR="0049738F" w:rsidRDefault="0049738F" w:rsidP="00E0758E">
      <w:pPr>
        <w:pStyle w:val="Box"/>
        <w:rPr>
          <w:b/>
        </w:rPr>
      </w:pPr>
      <w:r w:rsidRPr="00D36ECD">
        <w:t>Web:</w:t>
      </w:r>
      <w:r>
        <w:rPr>
          <w:rFonts w:ascii="Verdana" w:hAnsi="Verdana"/>
          <w:sz w:val="20"/>
        </w:rPr>
        <w:t xml:space="preserve"> </w:t>
      </w:r>
      <w:r w:rsidR="00400B9B" w:rsidRPr="00962E19">
        <w:rPr>
          <w:rStyle w:val="Hyperlink"/>
        </w:rPr>
        <w:t>www.health.govt.nz/</w:t>
      </w:r>
      <w:r w:rsidR="007D60B6" w:rsidRPr="00962E19">
        <w:rPr>
          <w:rStyle w:val="Hyperlink"/>
        </w:rPr>
        <w:t>d</w:t>
      </w:r>
      <w:r w:rsidR="00400B9B" w:rsidRPr="00962E19">
        <w:rPr>
          <w:rStyle w:val="Hyperlink"/>
        </w:rPr>
        <w:t>isability</w:t>
      </w:r>
    </w:p>
    <w:p w:rsidR="0049738F" w:rsidRDefault="0049738F" w:rsidP="00E0758E">
      <w:pPr>
        <w:pStyle w:val="Box"/>
      </w:pPr>
      <w:r>
        <w:t>To be added</w:t>
      </w:r>
      <w:r w:rsidR="000A710A">
        <w:t xml:space="preserve"> to the email list f</w:t>
      </w:r>
      <w:r w:rsidR="007D60B6">
        <w:t>or</w:t>
      </w:r>
      <w:r w:rsidR="000A710A">
        <w:t xml:space="preserve"> this news</w:t>
      </w:r>
      <w:r>
        <w:t xml:space="preserve">letter, send an email to: </w:t>
      </w:r>
      <w:hyperlink r:id="rId19" w:history="1">
        <w:r w:rsidR="00A779AB" w:rsidRPr="00247D9B">
          <w:rPr>
            <w:rStyle w:val="Hyperlink"/>
            <w:color w:val="1F497D" w:themeColor="text2"/>
          </w:rPr>
          <w:t>disability@moh.govt.nz</w:t>
        </w:r>
      </w:hyperlink>
    </w:p>
    <w:p w:rsidR="00E0758E" w:rsidRDefault="0049738F" w:rsidP="00E0758E">
      <w:pPr>
        <w:pStyle w:val="Box"/>
      </w:pPr>
      <w:r>
        <w:t>If you do not wish to receive these newsletters, please email</w:t>
      </w:r>
      <w:r w:rsidR="00962E19">
        <w:t>:</w:t>
      </w:r>
      <w:r>
        <w:t xml:space="preserve"> </w:t>
      </w:r>
      <w:hyperlink r:id="rId20" w:history="1">
        <w:r w:rsidR="00A779AB" w:rsidRPr="00247D9B">
          <w:rPr>
            <w:rStyle w:val="Hyperlink"/>
            <w:color w:val="1F497D" w:themeColor="text2"/>
          </w:rPr>
          <w:t>disability@moh.govt.nz</w:t>
        </w:r>
      </w:hyperlink>
      <w:r w:rsidR="00E0758E">
        <w:t xml:space="preserve"> with </w:t>
      </w:r>
      <w:r w:rsidR="00FC2969">
        <w:t>‘</w:t>
      </w:r>
      <w:r w:rsidR="00E0758E">
        <w:t>unsubscribe to newsletter</w:t>
      </w:r>
      <w:r w:rsidR="00FC2969">
        <w:t>’</w:t>
      </w:r>
      <w:r w:rsidR="00E0758E">
        <w:t xml:space="preserve"> in the subject line.</w:t>
      </w:r>
    </w:p>
    <w:p w:rsidR="00D86BCA" w:rsidRDefault="00D86BCA" w:rsidP="00D86BCA"/>
    <w:sectPr w:rsidR="00D86BCA" w:rsidSect="00200594">
      <w:footerReference w:type="even" r:id="rId21"/>
      <w:footerReference w:type="default" r:id="rId22"/>
      <w:type w:val="continuous"/>
      <w:pgSz w:w="11907" w:h="16834" w:code="9"/>
      <w:pgMar w:top="567" w:right="567" w:bottom="567" w:left="567" w:header="142" w:footer="14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408" w:rsidRDefault="00EB5408">
      <w:pPr>
        <w:spacing w:line="240" w:lineRule="auto"/>
      </w:pPr>
      <w:r>
        <w:separator/>
      </w:r>
    </w:p>
  </w:endnote>
  <w:endnote w:type="continuationSeparator" w:id="0">
    <w:p w:rsidR="00EB5408" w:rsidRDefault="00EB5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empos Headline Black">
    <w:altName w:val="Times New Roman"/>
    <w:charset w:val="00"/>
    <w:family w:val="auto"/>
    <w:pitch w:val="variable"/>
    <w:sig w:usb0="00000003"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Default="002416FD">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Pr="00200594" w:rsidRDefault="006419B8" w:rsidP="0078340E">
    <w:pPr>
      <w:pStyle w:val="Footer"/>
      <w:pBdr>
        <w:bottom w:val="none" w:sz="0" w:space="0" w:color="auto"/>
      </w:pBdr>
      <w:ind w:left="-284" w:right="-284"/>
      <w:jc w:val="center"/>
    </w:pPr>
    <w:r>
      <w:rPr>
        <w:noProof/>
        <w:lang w:eastAsia="en-NZ"/>
      </w:rPr>
      <mc:AlternateContent>
        <mc:Choice Requires="wps">
          <w:drawing>
            <wp:anchor distT="0" distB="0" distL="114300" distR="114300" simplePos="0" relativeHeight="251663360" behindDoc="0" locked="0" layoutInCell="1" allowOverlap="1" wp14:anchorId="3444CD3A" wp14:editId="4E81FA3E">
              <wp:simplePos x="0" y="0"/>
              <wp:positionH relativeFrom="column">
                <wp:posOffset>3131185</wp:posOffset>
              </wp:positionH>
              <wp:positionV relativeFrom="paragraph">
                <wp:posOffset>80587</wp:posOffset>
              </wp:positionV>
              <wp:extent cx="640080" cy="482139"/>
              <wp:effectExtent l="0" t="0" r="7620" b="0"/>
              <wp:wrapNone/>
              <wp:docPr id="17" name="Text Box 17"/>
              <wp:cNvGraphicFramePr/>
              <a:graphic xmlns:a="http://schemas.openxmlformats.org/drawingml/2006/main">
                <a:graphicData uri="http://schemas.microsoft.com/office/word/2010/wordprocessingShape">
                  <wps:wsp>
                    <wps:cNvSpPr txBox="1"/>
                    <wps:spPr>
                      <a:xfrm>
                        <a:off x="0" y="0"/>
                        <a:ext cx="640080" cy="482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19B8" w:rsidRPr="006419B8" w:rsidRDefault="006419B8" w:rsidP="006419B8">
                          <w:pPr>
                            <w:ind w:left="0" w:right="0"/>
                            <w:jc w:val="center"/>
                            <w:rPr>
                              <w:rStyle w:val="PageNumber"/>
                            </w:rPr>
                          </w:pPr>
                          <w:r w:rsidRPr="006419B8">
                            <w:rPr>
                              <w:rStyle w:val="PageNumber"/>
                            </w:rPr>
                            <w:fldChar w:fldCharType="begin"/>
                          </w:r>
                          <w:r w:rsidRPr="006419B8">
                            <w:rPr>
                              <w:rStyle w:val="PageNumber"/>
                            </w:rPr>
                            <w:instrText xml:space="preserve"> PAGE   \* MERGEFORMAT </w:instrText>
                          </w:r>
                          <w:r w:rsidRPr="006419B8">
                            <w:rPr>
                              <w:rStyle w:val="PageNumber"/>
                            </w:rPr>
                            <w:fldChar w:fldCharType="separate"/>
                          </w:r>
                          <w:r w:rsidR="0034477B">
                            <w:rPr>
                              <w:rStyle w:val="PageNumber"/>
                              <w:noProof/>
                            </w:rPr>
                            <w:t>1</w:t>
                          </w:r>
                          <w:r w:rsidRPr="006419B8">
                            <w:rPr>
                              <w:rStyle w:val="PageNumber"/>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246.55pt;margin-top:6.35pt;width:50.4pt;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" filled="f" stroked="f" strokeweight=".5pt">
              <v:textbox inset="0,,0">
                <w:txbxContent>
                  <w:p w:rsidR="006419B8" w:rsidRPr="006419B8" w:rsidRDefault="006419B8" w:rsidP="006419B8">
                    <w:pPr>
                      <w:ind w:left="0" w:right="0"/>
                      <w:jc w:val="center"/>
                      <w:rPr>
                        <w:rStyle w:val="PageNumber"/>
                      </w:rPr>
                    </w:pPr>
                    <w:r w:rsidRPr="006419B8">
                      <w:rPr>
                        <w:rStyle w:val="PageNumber"/>
                      </w:rPr>
                      <w:fldChar w:fldCharType="begin"/>
                    </w:r>
                    <w:r w:rsidRPr="006419B8">
                      <w:rPr>
                        <w:rStyle w:val="PageNumber"/>
                      </w:rPr>
                      <w:instrText xml:space="preserve"> PAGE   \* MERGEFORMAT </w:instrText>
                    </w:r>
                    <w:r w:rsidRPr="006419B8">
                      <w:rPr>
                        <w:rStyle w:val="PageNumber"/>
                      </w:rPr>
                      <w:fldChar w:fldCharType="separate"/>
                    </w:r>
                    <w:r w:rsidR="0034477B">
                      <w:rPr>
                        <w:rStyle w:val="PageNumber"/>
                        <w:noProof/>
                      </w:rPr>
                      <w:t>1</w:t>
                    </w:r>
                    <w:r w:rsidRPr="006419B8">
                      <w:rPr>
                        <w:rStyle w:val="PageNumber"/>
                      </w:rPr>
                      <w:fldChar w:fldCharType="end"/>
                    </w:r>
                  </w:p>
                </w:txbxContent>
              </v:textbox>
            </v:shape>
          </w:pict>
        </mc:Fallback>
      </mc:AlternateContent>
    </w:r>
    <w:r w:rsidR="0078340E">
      <w:rPr>
        <w:noProof/>
        <w:lang w:eastAsia="en-NZ"/>
      </w:rPr>
      <mc:AlternateContent>
        <mc:Choice Requires="wps">
          <w:drawing>
            <wp:anchor distT="0" distB="0" distL="114300" distR="114300" simplePos="0" relativeHeight="251661312" behindDoc="0" locked="0" layoutInCell="1" allowOverlap="1" wp14:anchorId="6B6A03FF" wp14:editId="5D2847EB">
              <wp:simplePos x="0" y="0"/>
              <wp:positionH relativeFrom="column">
                <wp:posOffset>5159375</wp:posOffset>
              </wp:positionH>
              <wp:positionV relativeFrom="paragraph">
                <wp:posOffset>200025</wp:posOffset>
              </wp:positionV>
              <wp:extent cx="1329055" cy="299085"/>
              <wp:effectExtent l="0" t="0" r="4445" b="5715"/>
              <wp:wrapNone/>
              <wp:docPr id="16" name="Text Box 16"/>
              <wp:cNvGraphicFramePr/>
              <a:graphic xmlns:a="http://schemas.openxmlformats.org/drawingml/2006/main">
                <a:graphicData uri="http://schemas.microsoft.com/office/word/2010/wordprocessingShape">
                  <wps:wsp>
                    <wps:cNvSpPr txBox="1"/>
                    <wps:spPr>
                      <a:xfrm>
                        <a:off x="0" y="0"/>
                        <a:ext cx="132905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0E" w:rsidRPr="0078340E" w:rsidRDefault="0078340E" w:rsidP="0078340E">
                          <w:pPr>
                            <w:ind w:left="0" w:right="0"/>
                            <w:jc w:val="right"/>
                            <w:rPr>
                              <w:color w:val="1F497D" w:themeColor="text2"/>
                            </w:rPr>
                          </w:pPr>
                          <w:r>
                            <w:rPr>
                              <w:color w:val="1F497D" w:themeColor="text2"/>
                            </w:rPr>
                            <w:t>August 2015</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9" type="#_x0000_t202" style="position:absolute;left:0;text-align:left;margin-left:406.25pt;margin-top:15.75pt;width:104.65pt;height:23.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" filled="f" stroked="f" strokeweight=".5pt">
              <v:textbox inset="0,,0">
                <w:txbxContent>
                  <w:p w:rsidR="0078340E" w:rsidRPr="0078340E" w:rsidRDefault="0078340E" w:rsidP="0078340E">
                    <w:pPr>
                      <w:ind w:left="0" w:right="0"/>
                      <w:jc w:val="right"/>
                      <w:rPr>
                        <w:color w:val="1F497D" w:themeColor="text2"/>
                      </w:rPr>
                    </w:pPr>
                    <w:r>
                      <w:rPr>
                        <w:color w:val="1F497D" w:themeColor="text2"/>
                      </w:rPr>
                      <w:t>August 2015</w:t>
                    </w:r>
                  </w:p>
                </w:txbxContent>
              </v:textbox>
            </v:shape>
          </w:pict>
        </mc:Fallback>
      </mc:AlternateContent>
    </w:r>
    <w:r w:rsidR="0078340E">
      <w:rPr>
        <w:noProof/>
        <w:lang w:eastAsia="en-NZ"/>
      </w:rPr>
      <mc:AlternateContent>
        <mc:Choice Requires="wps">
          <w:drawing>
            <wp:anchor distT="0" distB="0" distL="114300" distR="114300" simplePos="0" relativeHeight="251659264" behindDoc="0" locked="0" layoutInCell="1" allowOverlap="1" wp14:anchorId="6D5BECFE" wp14:editId="7A9FB851">
              <wp:simplePos x="0" y="0"/>
              <wp:positionH relativeFrom="column">
                <wp:posOffset>337820</wp:posOffset>
              </wp:positionH>
              <wp:positionV relativeFrom="paragraph">
                <wp:posOffset>200025</wp:posOffset>
              </wp:positionV>
              <wp:extent cx="1703705" cy="299085"/>
              <wp:effectExtent l="0" t="0" r="10795" b="5715"/>
              <wp:wrapNone/>
              <wp:docPr id="15" name="Text Box 15"/>
              <wp:cNvGraphicFramePr/>
              <a:graphic xmlns:a="http://schemas.openxmlformats.org/drawingml/2006/main">
                <a:graphicData uri="http://schemas.microsoft.com/office/word/2010/wordprocessingShape">
                  <wps:wsp>
                    <wps:cNvSpPr txBox="1"/>
                    <wps:spPr>
                      <a:xfrm>
                        <a:off x="0" y="0"/>
                        <a:ext cx="1703705" cy="299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340E" w:rsidRPr="0078340E" w:rsidRDefault="0078340E" w:rsidP="006419B8">
                          <w:pPr>
                            <w:ind w:left="0" w:right="0"/>
                            <w:rPr>
                              <w:color w:val="1F497D" w:themeColor="text2"/>
                            </w:rPr>
                          </w:pPr>
                          <w:r w:rsidRPr="0078340E">
                            <w:rPr>
                              <w:color w:val="1F497D" w:themeColor="text2"/>
                            </w:rPr>
                            <w:t>DSS e-newsletter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0" type="#_x0000_t202" style="position:absolute;left:0;text-align:left;margin-left:26.6pt;margin-top:15.75pt;width:134.15pt;height:23.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" filled="f" stroked="f" strokeweight=".5pt">
              <v:textbox inset="0,,0">
                <w:txbxContent>
                  <w:p w:rsidR="0078340E" w:rsidRPr="0078340E" w:rsidRDefault="0078340E" w:rsidP="006419B8">
                    <w:pPr>
                      <w:ind w:left="0" w:right="0"/>
                      <w:rPr>
                        <w:color w:val="1F497D" w:themeColor="text2"/>
                      </w:rPr>
                    </w:pPr>
                    <w:r w:rsidRPr="0078340E">
                      <w:rPr>
                        <w:color w:val="1F497D" w:themeColor="text2"/>
                      </w:rPr>
                      <w:t>DSS e-newsletter</w:t>
                    </w:r>
                  </w:p>
                </w:txbxContent>
              </v:textbox>
            </v:shape>
          </w:pict>
        </mc:Fallback>
      </mc:AlternateContent>
    </w:r>
    <w:r w:rsidR="00200594">
      <w:rPr>
        <w:noProof/>
        <w:lang w:eastAsia="en-NZ"/>
      </w:rPr>
      <w:drawing>
        <wp:inline distT="0" distB="0" distL="0" distR="0" wp14:anchorId="5C6EF8EE" wp14:editId="2850A5E4">
          <wp:extent cx="7113182" cy="73272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120980" cy="7335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408" w:rsidRPr="00E460B6" w:rsidRDefault="00EB5408" w:rsidP="007B4D3E"/>
  </w:footnote>
  <w:footnote w:type="continuationSeparator" w:id="0">
    <w:p w:rsidR="00EB5408" w:rsidRDefault="00EB54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6">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8">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9"/>
  </w:num>
  <w:num w:numId="2">
    <w:abstractNumId w:val="35"/>
  </w:num>
  <w:num w:numId="3">
    <w:abstractNumId w:val="18"/>
  </w:num>
  <w:num w:numId="4">
    <w:abstractNumId w:val="19"/>
  </w:num>
  <w:num w:numId="5">
    <w:abstractNumId w:val="4"/>
  </w:num>
  <w:num w:numId="6">
    <w:abstractNumId w:val="29"/>
  </w:num>
  <w:num w:numId="7">
    <w:abstractNumId w:val="12"/>
  </w:num>
  <w:num w:numId="8">
    <w:abstractNumId w:val="37"/>
  </w:num>
  <w:num w:numId="9">
    <w:abstractNumId w:val="10"/>
  </w:num>
  <w:num w:numId="10">
    <w:abstractNumId w:val="13"/>
  </w:num>
  <w:num w:numId="11">
    <w:abstractNumId w:val="20"/>
  </w:num>
  <w:num w:numId="12">
    <w:abstractNumId w:val="0"/>
  </w:num>
  <w:num w:numId="13">
    <w:abstractNumId w:val="17"/>
  </w:num>
  <w:num w:numId="14">
    <w:abstractNumId w:val="25"/>
  </w:num>
  <w:num w:numId="15">
    <w:abstractNumId w:val="34"/>
  </w:num>
  <w:num w:numId="16">
    <w:abstractNumId w:val="23"/>
  </w:num>
  <w:num w:numId="17">
    <w:abstractNumId w:val="1"/>
  </w:num>
  <w:num w:numId="18">
    <w:abstractNumId w:val="15"/>
  </w:num>
  <w:num w:numId="19">
    <w:abstractNumId w:val="5"/>
  </w:num>
  <w:num w:numId="20">
    <w:abstractNumId w:val="26"/>
  </w:num>
  <w:num w:numId="21">
    <w:abstractNumId w:val="31"/>
  </w:num>
  <w:num w:numId="22">
    <w:abstractNumId w:val="24"/>
  </w:num>
  <w:num w:numId="23">
    <w:abstractNumId w:val="16"/>
  </w:num>
  <w:num w:numId="24">
    <w:abstractNumId w:val="33"/>
  </w:num>
  <w:num w:numId="25">
    <w:abstractNumId w:val="11"/>
  </w:num>
  <w:num w:numId="26">
    <w:abstractNumId w:val="32"/>
  </w:num>
  <w:num w:numId="27">
    <w:abstractNumId w:val="30"/>
  </w:num>
  <w:num w:numId="28">
    <w:abstractNumId w:val="36"/>
  </w:num>
  <w:num w:numId="29">
    <w:abstractNumId w:val="27"/>
  </w:num>
  <w:num w:numId="30">
    <w:abstractNumId w:val="14"/>
  </w:num>
  <w:num w:numId="31">
    <w:abstractNumId w:val="3"/>
  </w:num>
  <w:num w:numId="32">
    <w:abstractNumId w:val="21"/>
  </w:num>
  <w:num w:numId="33">
    <w:abstractNumId w:val="8"/>
  </w:num>
  <w:num w:numId="34">
    <w:abstractNumId w:val="22"/>
  </w:num>
  <w:num w:numId="35">
    <w:abstractNumId w:val="2"/>
  </w:num>
  <w:num w:numId="36">
    <w:abstractNumId w:val="9"/>
  </w:num>
  <w:num w:numId="37">
    <w:abstractNumId w:val="6"/>
  </w:num>
  <w:num w:numId="38">
    <w:abstractNumId w:val="28"/>
  </w:num>
  <w:num w:numId="39">
    <w:abstractNumId w:val="38"/>
  </w:num>
  <w:num w:numId="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34DEF"/>
    <w:rsid w:val="00044FBD"/>
    <w:rsid w:val="000601A8"/>
    <w:rsid w:val="0006228D"/>
    <w:rsid w:val="000632D6"/>
    <w:rsid w:val="00072BD6"/>
    <w:rsid w:val="00075B78"/>
    <w:rsid w:val="00082CD6"/>
    <w:rsid w:val="00085AFE"/>
    <w:rsid w:val="000A710A"/>
    <w:rsid w:val="000B0730"/>
    <w:rsid w:val="000B19DC"/>
    <w:rsid w:val="000B3DB9"/>
    <w:rsid w:val="000D7F38"/>
    <w:rsid w:val="000F2AE2"/>
    <w:rsid w:val="000F2D1A"/>
    <w:rsid w:val="00102063"/>
    <w:rsid w:val="0010541C"/>
    <w:rsid w:val="00106F93"/>
    <w:rsid w:val="00111D50"/>
    <w:rsid w:val="00112AE3"/>
    <w:rsid w:val="00113B8E"/>
    <w:rsid w:val="001253F1"/>
    <w:rsid w:val="001342C7"/>
    <w:rsid w:val="0013585C"/>
    <w:rsid w:val="00142954"/>
    <w:rsid w:val="001460E0"/>
    <w:rsid w:val="00147F71"/>
    <w:rsid w:val="00150A6E"/>
    <w:rsid w:val="00152822"/>
    <w:rsid w:val="0016468A"/>
    <w:rsid w:val="00170697"/>
    <w:rsid w:val="00171988"/>
    <w:rsid w:val="00171EFC"/>
    <w:rsid w:val="001956C6"/>
    <w:rsid w:val="001956CB"/>
    <w:rsid w:val="0019691B"/>
    <w:rsid w:val="001A4C4B"/>
    <w:rsid w:val="001A5CF5"/>
    <w:rsid w:val="001B39D2"/>
    <w:rsid w:val="001B3CB0"/>
    <w:rsid w:val="001C4326"/>
    <w:rsid w:val="001C72B7"/>
    <w:rsid w:val="001D0F9C"/>
    <w:rsid w:val="001D3541"/>
    <w:rsid w:val="001F325E"/>
    <w:rsid w:val="001F6C9C"/>
    <w:rsid w:val="001F79F0"/>
    <w:rsid w:val="00200594"/>
    <w:rsid w:val="00201A01"/>
    <w:rsid w:val="002104D3"/>
    <w:rsid w:val="00213A33"/>
    <w:rsid w:val="0021763B"/>
    <w:rsid w:val="002416FD"/>
    <w:rsid w:val="0024208E"/>
    <w:rsid w:val="00246DB1"/>
    <w:rsid w:val="002476B5"/>
    <w:rsid w:val="00247D9B"/>
    <w:rsid w:val="0025271A"/>
    <w:rsid w:val="00253ECF"/>
    <w:rsid w:val="002546A1"/>
    <w:rsid w:val="00254793"/>
    <w:rsid w:val="00265A8E"/>
    <w:rsid w:val="00270B07"/>
    <w:rsid w:val="00275D08"/>
    <w:rsid w:val="00280B7E"/>
    <w:rsid w:val="002858E3"/>
    <w:rsid w:val="00287C18"/>
    <w:rsid w:val="0029190A"/>
    <w:rsid w:val="00292C5A"/>
    <w:rsid w:val="00295241"/>
    <w:rsid w:val="002B03D1"/>
    <w:rsid w:val="002B03D4"/>
    <w:rsid w:val="002B047D"/>
    <w:rsid w:val="002B12CB"/>
    <w:rsid w:val="002B3311"/>
    <w:rsid w:val="002B4BA3"/>
    <w:rsid w:val="002B732B"/>
    <w:rsid w:val="002C2219"/>
    <w:rsid w:val="002D0CDB"/>
    <w:rsid w:val="002D0DF2"/>
    <w:rsid w:val="002D23BD"/>
    <w:rsid w:val="002E0B47"/>
    <w:rsid w:val="002F7213"/>
    <w:rsid w:val="0030122F"/>
    <w:rsid w:val="0030382F"/>
    <w:rsid w:val="003060E4"/>
    <w:rsid w:val="003160E7"/>
    <w:rsid w:val="0031739E"/>
    <w:rsid w:val="00323278"/>
    <w:rsid w:val="003325AB"/>
    <w:rsid w:val="0033412B"/>
    <w:rsid w:val="00343365"/>
    <w:rsid w:val="0034477B"/>
    <w:rsid w:val="00346AB5"/>
    <w:rsid w:val="003523F1"/>
    <w:rsid w:val="00353501"/>
    <w:rsid w:val="00356801"/>
    <w:rsid w:val="0035693F"/>
    <w:rsid w:val="003606F8"/>
    <w:rsid w:val="00363200"/>
    <w:rsid w:val="003648EF"/>
    <w:rsid w:val="003673E6"/>
    <w:rsid w:val="00375651"/>
    <w:rsid w:val="00377264"/>
    <w:rsid w:val="00392E15"/>
    <w:rsid w:val="00397703"/>
    <w:rsid w:val="003A26A5"/>
    <w:rsid w:val="003A3761"/>
    <w:rsid w:val="003A3C31"/>
    <w:rsid w:val="003A5FEA"/>
    <w:rsid w:val="003B1D10"/>
    <w:rsid w:val="003C76D4"/>
    <w:rsid w:val="003C7FA4"/>
    <w:rsid w:val="003D09A0"/>
    <w:rsid w:val="003D3FC8"/>
    <w:rsid w:val="003E7634"/>
    <w:rsid w:val="003E7C46"/>
    <w:rsid w:val="003F52A7"/>
    <w:rsid w:val="00400B9B"/>
    <w:rsid w:val="0040240C"/>
    <w:rsid w:val="00413021"/>
    <w:rsid w:val="004317DB"/>
    <w:rsid w:val="00431CB8"/>
    <w:rsid w:val="00440BE0"/>
    <w:rsid w:val="0044584B"/>
    <w:rsid w:val="00447CB7"/>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38D7"/>
    <w:rsid w:val="004A7174"/>
    <w:rsid w:val="004A738F"/>
    <w:rsid w:val="004A778C"/>
    <w:rsid w:val="004B1349"/>
    <w:rsid w:val="004C2E6A"/>
    <w:rsid w:val="004D0276"/>
    <w:rsid w:val="004D2A2D"/>
    <w:rsid w:val="004D444E"/>
    <w:rsid w:val="004D6689"/>
    <w:rsid w:val="004E1D1D"/>
    <w:rsid w:val="004E7AC8"/>
    <w:rsid w:val="004F0C94"/>
    <w:rsid w:val="005019AE"/>
    <w:rsid w:val="00503749"/>
    <w:rsid w:val="00504CF4"/>
    <w:rsid w:val="0050569B"/>
    <w:rsid w:val="0050635B"/>
    <w:rsid w:val="00515243"/>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06B7"/>
    <w:rsid w:val="005A27CA"/>
    <w:rsid w:val="005A2D49"/>
    <w:rsid w:val="005A43BD"/>
    <w:rsid w:val="005C5073"/>
    <w:rsid w:val="005C6AF1"/>
    <w:rsid w:val="005E226E"/>
    <w:rsid w:val="005F330B"/>
    <w:rsid w:val="0060092A"/>
    <w:rsid w:val="006015D7"/>
    <w:rsid w:val="00601B21"/>
    <w:rsid w:val="0061161E"/>
    <w:rsid w:val="00626CF8"/>
    <w:rsid w:val="00634E3B"/>
    <w:rsid w:val="00636284"/>
    <w:rsid w:val="00636D7D"/>
    <w:rsid w:val="006419B8"/>
    <w:rsid w:val="00641DCF"/>
    <w:rsid w:val="00642868"/>
    <w:rsid w:val="006512BC"/>
    <w:rsid w:val="0065399D"/>
    <w:rsid w:val="00653A5A"/>
    <w:rsid w:val="00655602"/>
    <w:rsid w:val="006575F4"/>
    <w:rsid w:val="006579E6"/>
    <w:rsid w:val="00661035"/>
    <w:rsid w:val="00663EDC"/>
    <w:rsid w:val="00680A04"/>
    <w:rsid w:val="00686D80"/>
    <w:rsid w:val="00686F78"/>
    <w:rsid w:val="00692973"/>
    <w:rsid w:val="00694895"/>
    <w:rsid w:val="00697E2E"/>
    <w:rsid w:val="006A02AE"/>
    <w:rsid w:val="006A1533"/>
    <w:rsid w:val="006A25A2"/>
    <w:rsid w:val="006B0222"/>
    <w:rsid w:val="006B0E73"/>
    <w:rsid w:val="006B4A4D"/>
    <w:rsid w:val="006B5695"/>
    <w:rsid w:val="006C1159"/>
    <w:rsid w:val="006C31FE"/>
    <w:rsid w:val="006C78EB"/>
    <w:rsid w:val="006D0A2E"/>
    <w:rsid w:val="006D1660"/>
    <w:rsid w:val="006F1B67"/>
    <w:rsid w:val="0070091D"/>
    <w:rsid w:val="00702854"/>
    <w:rsid w:val="00715E9B"/>
    <w:rsid w:val="00716B8A"/>
    <w:rsid w:val="0071741C"/>
    <w:rsid w:val="007377F0"/>
    <w:rsid w:val="00742B90"/>
    <w:rsid w:val="0074434D"/>
    <w:rsid w:val="00745828"/>
    <w:rsid w:val="0075371C"/>
    <w:rsid w:val="00754CFF"/>
    <w:rsid w:val="00755DE1"/>
    <w:rsid w:val="00763510"/>
    <w:rsid w:val="00771B1E"/>
    <w:rsid w:val="007729AF"/>
    <w:rsid w:val="00773A66"/>
    <w:rsid w:val="00773C95"/>
    <w:rsid w:val="0078171E"/>
    <w:rsid w:val="0078340E"/>
    <w:rsid w:val="007909DF"/>
    <w:rsid w:val="00794A5B"/>
    <w:rsid w:val="00795757"/>
    <w:rsid w:val="00795B34"/>
    <w:rsid w:val="007B1770"/>
    <w:rsid w:val="007B4324"/>
    <w:rsid w:val="007B4D3E"/>
    <w:rsid w:val="007B5B5C"/>
    <w:rsid w:val="007B7C70"/>
    <w:rsid w:val="007C62F4"/>
    <w:rsid w:val="007D2151"/>
    <w:rsid w:val="007D3B08"/>
    <w:rsid w:val="007D42CC"/>
    <w:rsid w:val="007D43BD"/>
    <w:rsid w:val="007D5DE4"/>
    <w:rsid w:val="007D60B6"/>
    <w:rsid w:val="007E1341"/>
    <w:rsid w:val="007E1B41"/>
    <w:rsid w:val="007E30B9"/>
    <w:rsid w:val="007F0F0C"/>
    <w:rsid w:val="007F1288"/>
    <w:rsid w:val="00800A8A"/>
    <w:rsid w:val="0080155C"/>
    <w:rsid w:val="00802F6C"/>
    <w:rsid w:val="008052E1"/>
    <w:rsid w:val="0082299C"/>
    <w:rsid w:val="00822F2C"/>
    <w:rsid w:val="008305E8"/>
    <w:rsid w:val="0084715D"/>
    <w:rsid w:val="00860826"/>
    <w:rsid w:val="00860E21"/>
    <w:rsid w:val="0086388B"/>
    <w:rsid w:val="008642E5"/>
    <w:rsid w:val="008726F7"/>
    <w:rsid w:val="00872D93"/>
    <w:rsid w:val="00880470"/>
    <w:rsid w:val="00880D94"/>
    <w:rsid w:val="00881254"/>
    <w:rsid w:val="00890002"/>
    <w:rsid w:val="00890210"/>
    <w:rsid w:val="008A3755"/>
    <w:rsid w:val="008B0432"/>
    <w:rsid w:val="008B25F1"/>
    <w:rsid w:val="008B264F"/>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31EFE"/>
    <w:rsid w:val="00932D69"/>
    <w:rsid w:val="00934229"/>
    <w:rsid w:val="00936888"/>
    <w:rsid w:val="00944647"/>
    <w:rsid w:val="009467C5"/>
    <w:rsid w:val="00951FBF"/>
    <w:rsid w:val="009628E0"/>
    <w:rsid w:val="00962E19"/>
    <w:rsid w:val="00964B56"/>
    <w:rsid w:val="00972746"/>
    <w:rsid w:val="00977B8A"/>
    <w:rsid w:val="00982971"/>
    <w:rsid w:val="009845AD"/>
    <w:rsid w:val="00990067"/>
    <w:rsid w:val="00995BA0"/>
    <w:rsid w:val="009A418B"/>
    <w:rsid w:val="009A4473"/>
    <w:rsid w:val="009C151C"/>
    <w:rsid w:val="009C5611"/>
    <w:rsid w:val="009D5125"/>
    <w:rsid w:val="009D60B8"/>
    <w:rsid w:val="009D7D4B"/>
    <w:rsid w:val="009E36ED"/>
    <w:rsid w:val="009F460A"/>
    <w:rsid w:val="009F4779"/>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05DC"/>
    <w:rsid w:val="00A553CE"/>
    <w:rsid w:val="00A5677A"/>
    <w:rsid w:val="00A605B3"/>
    <w:rsid w:val="00A6490D"/>
    <w:rsid w:val="00A653FD"/>
    <w:rsid w:val="00A656D4"/>
    <w:rsid w:val="00A779AB"/>
    <w:rsid w:val="00A80363"/>
    <w:rsid w:val="00A9169D"/>
    <w:rsid w:val="00AA265C"/>
    <w:rsid w:val="00AA30EF"/>
    <w:rsid w:val="00AB0774"/>
    <w:rsid w:val="00AB54FD"/>
    <w:rsid w:val="00AD4CF1"/>
    <w:rsid w:val="00AD5988"/>
    <w:rsid w:val="00AF7800"/>
    <w:rsid w:val="00B055D9"/>
    <w:rsid w:val="00B072E0"/>
    <w:rsid w:val="00B07712"/>
    <w:rsid w:val="00B12250"/>
    <w:rsid w:val="00B23848"/>
    <w:rsid w:val="00B253F6"/>
    <w:rsid w:val="00B332F8"/>
    <w:rsid w:val="00B33E04"/>
    <w:rsid w:val="00B3492B"/>
    <w:rsid w:val="00B4277D"/>
    <w:rsid w:val="00B4646F"/>
    <w:rsid w:val="00B55C7D"/>
    <w:rsid w:val="00B63038"/>
    <w:rsid w:val="00B64BD8"/>
    <w:rsid w:val="00B701D1"/>
    <w:rsid w:val="00B73AF2"/>
    <w:rsid w:val="00B74721"/>
    <w:rsid w:val="00B7551A"/>
    <w:rsid w:val="00B86D3D"/>
    <w:rsid w:val="00B95CB1"/>
    <w:rsid w:val="00B960BE"/>
    <w:rsid w:val="00BA4AD2"/>
    <w:rsid w:val="00BB3ADA"/>
    <w:rsid w:val="00BC59F1"/>
    <w:rsid w:val="00BC7DA8"/>
    <w:rsid w:val="00BF3DE1"/>
    <w:rsid w:val="00BF4843"/>
    <w:rsid w:val="00BF5205"/>
    <w:rsid w:val="00C0450F"/>
    <w:rsid w:val="00C07BA3"/>
    <w:rsid w:val="00C12508"/>
    <w:rsid w:val="00C15C1D"/>
    <w:rsid w:val="00C31F51"/>
    <w:rsid w:val="00C45AA2"/>
    <w:rsid w:val="00C7462F"/>
    <w:rsid w:val="00C77282"/>
    <w:rsid w:val="00C84DE5"/>
    <w:rsid w:val="00C86248"/>
    <w:rsid w:val="00CA0E53"/>
    <w:rsid w:val="00CA3ED5"/>
    <w:rsid w:val="00CA4C33"/>
    <w:rsid w:val="00CA6F4A"/>
    <w:rsid w:val="00CB1CAF"/>
    <w:rsid w:val="00CC22B3"/>
    <w:rsid w:val="00CC55CA"/>
    <w:rsid w:val="00CD1283"/>
    <w:rsid w:val="00CD2119"/>
    <w:rsid w:val="00CD36AC"/>
    <w:rsid w:val="00CD4282"/>
    <w:rsid w:val="00CF1747"/>
    <w:rsid w:val="00CF69B4"/>
    <w:rsid w:val="00D11E40"/>
    <w:rsid w:val="00D160A8"/>
    <w:rsid w:val="00D232EF"/>
    <w:rsid w:val="00D2392A"/>
    <w:rsid w:val="00D25FFE"/>
    <w:rsid w:val="00D36ECD"/>
    <w:rsid w:val="00D4476F"/>
    <w:rsid w:val="00D4514B"/>
    <w:rsid w:val="00D51C46"/>
    <w:rsid w:val="00D54D50"/>
    <w:rsid w:val="00D66797"/>
    <w:rsid w:val="00D7087C"/>
    <w:rsid w:val="00D70C3C"/>
    <w:rsid w:val="00D72760"/>
    <w:rsid w:val="00D72BE5"/>
    <w:rsid w:val="00D82F26"/>
    <w:rsid w:val="00D863D0"/>
    <w:rsid w:val="00D86BCA"/>
    <w:rsid w:val="00D87C87"/>
    <w:rsid w:val="00DA451E"/>
    <w:rsid w:val="00DB1FF5"/>
    <w:rsid w:val="00DB39CF"/>
    <w:rsid w:val="00DC100F"/>
    <w:rsid w:val="00DD447A"/>
    <w:rsid w:val="00DD5536"/>
    <w:rsid w:val="00DD5775"/>
    <w:rsid w:val="00DD7EBE"/>
    <w:rsid w:val="00DE2A20"/>
    <w:rsid w:val="00DE3055"/>
    <w:rsid w:val="00DE6C94"/>
    <w:rsid w:val="00DE6FD7"/>
    <w:rsid w:val="00DF10AD"/>
    <w:rsid w:val="00DF71B6"/>
    <w:rsid w:val="00E01966"/>
    <w:rsid w:val="00E051D9"/>
    <w:rsid w:val="00E0758E"/>
    <w:rsid w:val="00E23271"/>
    <w:rsid w:val="00E24F80"/>
    <w:rsid w:val="00E4486C"/>
    <w:rsid w:val="00E460B6"/>
    <w:rsid w:val="00E511D5"/>
    <w:rsid w:val="00E617B9"/>
    <w:rsid w:val="00E65269"/>
    <w:rsid w:val="00E65EB4"/>
    <w:rsid w:val="00E73997"/>
    <w:rsid w:val="00EA6424"/>
    <w:rsid w:val="00EA796A"/>
    <w:rsid w:val="00EB1856"/>
    <w:rsid w:val="00EB5408"/>
    <w:rsid w:val="00EB554F"/>
    <w:rsid w:val="00EC2302"/>
    <w:rsid w:val="00EC50CE"/>
    <w:rsid w:val="00EC5B34"/>
    <w:rsid w:val="00EE4ADE"/>
    <w:rsid w:val="00EE5CB7"/>
    <w:rsid w:val="00EF1DC3"/>
    <w:rsid w:val="00EF488B"/>
    <w:rsid w:val="00F024FE"/>
    <w:rsid w:val="00F05AD4"/>
    <w:rsid w:val="00F2294A"/>
    <w:rsid w:val="00F24C09"/>
    <w:rsid w:val="00F30010"/>
    <w:rsid w:val="00F3534C"/>
    <w:rsid w:val="00F360CE"/>
    <w:rsid w:val="00F4711F"/>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6E13"/>
    <w:rsid w:val="00FF10B7"/>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340E"/>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9"/>
    <w:qFormat/>
    <w:rsid w:val="00B23848"/>
    <w:pPr>
      <w:spacing w:before="240" w:after="240"/>
      <w:ind w:left="822"/>
      <w:outlineLvl w:val="0"/>
    </w:pPr>
    <w:rPr>
      <w:b/>
      <w:color w:val="FFFFFF" w:themeColor="background1"/>
      <w:sz w:val="60"/>
    </w:rPr>
  </w:style>
  <w:style w:type="paragraph" w:styleId="Heading2">
    <w:name w:val="heading 2"/>
    <w:basedOn w:val="Normal"/>
    <w:next w:val="Normal"/>
    <w:link w:val="Heading2Char"/>
    <w:uiPriority w:val="9"/>
    <w:qFormat/>
    <w:rsid w:val="0078340E"/>
    <w:pPr>
      <w:keepNext/>
      <w:pBdr>
        <w:top w:val="single" w:sz="24" w:space="12" w:color="70AC2E"/>
      </w:pBdr>
      <w:spacing w:before="360" w:after="120"/>
      <w:outlineLvl w:val="1"/>
    </w:pPr>
    <w:rPr>
      <w:b/>
      <w:color w:val="70AC2E"/>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3848"/>
    <w:rPr>
      <w:rFonts w:ascii="Georgia" w:hAnsi="Georgia"/>
      <w:b/>
      <w:color w:val="FFFFFF" w:themeColor="background1"/>
      <w:sz w:val="60"/>
      <w:lang w:eastAsia="en-GB"/>
    </w:rPr>
  </w:style>
  <w:style w:type="character" w:customStyle="1" w:styleId="Heading2Char">
    <w:name w:val="Heading 2 Char"/>
    <w:basedOn w:val="DefaultParagraphFont"/>
    <w:link w:val="Heading2"/>
    <w:uiPriority w:val="9"/>
    <w:locked/>
    <w:rsid w:val="0078340E"/>
    <w:rPr>
      <w:rFonts w:ascii="Georgia" w:hAnsi="Georgia"/>
      <w:b/>
      <w:color w:val="70AC2E"/>
      <w:sz w:val="40"/>
      <w:lang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FC5614"/>
    <w:pPr>
      <w:numPr>
        <w:numId w:val="1"/>
      </w:numPr>
      <w:tabs>
        <w:tab w:val="clear" w:pos="284"/>
      </w:tabs>
      <w:spacing w:before="90"/>
      <w:ind w:left="851"/>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6419B8"/>
    <w:rPr>
      <w:rFonts w:ascii="Georgia" w:hAnsi="Georgia" w:cs="Times New Roman"/>
      <w:b/>
      <w:color w:val="1F497D" w:themeColor="text2"/>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B23848"/>
    <w:rPr>
      <w:rFonts w:cs="Times New Roman"/>
      <w:color w:val="70AC2E"/>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BalloonText">
    <w:name w:val="Balloon Text"/>
    <w:basedOn w:val="Normal"/>
    <w:link w:val="BalloonTextChar"/>
    <w:uiPriority w:val="99"/>
    <w:semiHidden/>
    <w:unhideWhenUsed/>
    <w:rsid w:val="00FC29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96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340E"/>
    <w:pPr>
      <w:spacing w:line="276" w:lineRule="auto"/>
      <w:ind w:left="567" w:right="567"/>
    </w:pPr>
    <w:rPr>
      <w:rFonts w:ascii="Georgia" w:hAnsi="Georgia"/>
      <w:sz w:val="24"/>
      <w:lang w:eastAsia="en-GB"/>
    </w:rPr>
  </w:style>
  <w:style w:type="paragraph" w:styleId="Heading1">
    <w:name w:val="heading 1"/>
    <w:basedOn w:val="Normal"/>
    <w:next w:val="Normal"/>
    <w:link w:val="Heading1Char"/>
    <w:uiPriority w:val="9"/>
    <w:qFormat/>
    <w:rsid w:val="00B23848"/>
    <w:pPr>
      <w:spacing w:before="240" w:after="240"/>
      <w:ind w:left="822"/>
      <w:outlineLvl w:val="0"/>
    </w:pPr>
    <w:rPr>
      <w:b/>
      <w:color w:val="FFFFFF" w:themeColor="background1"/>
      <w:sz w:val="60"/>
    </w:rPr>
  </w:style>
  <w:style w:type="paragraph" w:styleId="Heading2">
    <w:name w:val="heading 2"/>
    <w:basedOn w:val="Normal"/>
    <w:next w:val="Normal"/>
    <w:link w:val="Heading2Char"/>
    <w:uiPriority w:val="9"/>
    <w:qFormat/>
    <w:rsid w:val="0078340E"/>
    <w:pPr>
      <w:keepNext/>
      <w:pBdr>
        <w:top w:val="single" w:sz="24" w:space="12" w:color="70AC2E"/>
      </w:pBdr>
      <w:spacing w:before="360" w:after="120"/>
      <w:outlineLvl w:val="1"/>
    </w:pPr>
    <w:rPr>
      <w:b/>
      <w:color w:val="70AC2E"/>
      <w:sz w:val="40"/>
    </w:rPr>
  </w:style>
  <w:style w:type="paragraph" w:styleId="Heading3">
    <w:name w:val="heading 3"/>
    <w:basedOn w:val="Normal"/>
    <w:next w:val="Normal"/>
    <w:link w:val="Heading3Char"/>
    <w:uiPriority w:val="9"/>
    <w:qFormat/>
    <w:rsid w:val="0033412B"/>
    <w:pPr>
      <w:keepNext/>
      <w:spacing w:before="120" w:after="12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3848"/>
    <w:rPr>
      <w:rFonts w:ascii="Georgia" w:hAnsi="Georgia"/>
      <w:b/>
      <w:color w:val="FFFFFF" w:themeColor="background1"/>
      <w:sz w:val="60"/>
      <w:lang w:eastAsia="en-GB"/>
    </w:rPr>
  </w:style>
  <w:style w:type="character" w:customStyle="1" w:styleId="Heading2Char">
    <w:name w:val="Heading 2 Char"/>
    <w:basedOn w:val="DefaultParagraphFont"/>
    <w:link w:val="Heading2"/>
    <w:uiPriority w:val="9"/>
    <w:locked/>
    <w:rsid w:val="0078340E"/>
    <w:rPr>
      <w:rFonts w:ascii="Georgia" w:hAnsi="Georgia"/>
      <w:b/>
      <w:color w:val="70AC2E"/>
      <w:sz w:val="40"/>
      <w:lang w:eastAsia="en-GB"/>
    </w:rPr>
  </w:style>
  <w:style w:type="character" w:customStyle="1" w:styleId="Heading3Char">
    <w:name w:val="Heading 3 Char"/>
    <w:basedOn w:val="DefaultParagraphFont"/>
    <w:link w:val="Heading3"/>
    <w:uiPriority w:val="9"/>
    <w:locked/>
    <w:rsid w:val="0086388B"/>
    <w:rPr>
      <w:rFonts w:ascii="Georgia" w:hAnsi="Georgia" w:cs="Times New Roman"/>
      <w:b/>
      <w:sz w:val="28"/>
      <w:lang w:val="x-none"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FC5614"/>
    <w:pPr>
      <w:numPr>
        <w:numId w:val="1"/>
      </w:numPr>
      <w:tabs>
        <w:tab w:val="clear" w:pos="284"/>
      </w:tabs>
      <w:spacing w:before="90"/>
      <w:ind w:left="851"/>
    </w:p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6419B8"/>
    <w:rPr>
      <w:rFonts w:ascii="Georgia" w:hAnsi="Georgia" w:cs="Times New Roman"/>
      <w:b/>
      <w:color w:val="1F497D" w:themeColor="text2"/>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B23848"/>
    <w:rPr>
      <w:rFonts w:cs="Times New Roman"/>
      <w:color w:val="70AC2E"/>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BalloonText">
    <w:name w:val="Balloon Text"/>
    <w:basedOn w:val="Normal"/>
    <w:link w:val="BalloonTextChar"/>
    <w:uiPriority w:val="99"/>
    <w:semiHidden/>
    <w:unhideWhenUsed/>
    <w:rsid w:val="00FC29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96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blinggoodlives.co.nz/" TargetMode="External"/><Relationship Id="rId18" Type="http://schemas.openxmlformats.org/officeDocument/2006/relationships/hyperlink" Target="mailto:disability@moh.govt.n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maginebetter.co.nz"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20disability@moh.govt.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20disability@moh.govt.n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nabling_good_lives_waikato@msd.govt.nz"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0749B-0E3F-4EED-83E7-054A7199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12</Pages>
  <Words>2885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Support Services e-newsletter no. 58, August 2015</dc:title>
  <dc:creator>Ministry of Health</dc:creator>
  <cp:lastModifiedBy>Ministry of Health</cp:lastModifiedBy>
  <cp:revision>3</cp:revision>
  <cp:lastPrinted>2015-05-22T02:27:00Z</cp:lastPrinted>
  <dcterms:created xsi:type="dcterms:W3CDTF">2015-08-21T03:27:00Z</dcterms:created>
  <dcterms:modified xsi:type="dcterms:W3CDTF">2015-08-28T02:53:00Z</dcterms:modified>
</cp:coreProperties>
</file>