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55161" w14:textId="0BCA8F9F" w:rsidR="00C86248" w:rsidRPr="00926083" w:rsidRDefault="00AB0559" w:rsidP="00926083">
      <w:pPr>
        <w:pStyle w:val="Title"/>
      </w:pPr>
      <w:r>
        <w:t xml:space="preserve">Guidelines for </w:t>
      </w:r>
      <w:r w:rsidR="00E37218" w:rsidRPr="00E37218">
        <w:t>Issuing Permissions for the Use of Vertebrate Toxic Agents</w:t>
      </w:r>
    </w:p>
    <w:p w14:paraId="2B4FAC6A" w14:textId="44DD7C2F" w:rsidR="00C05132" w:rsidRDefault="00E37218" w:rsidP="00926083">
      <w:pPr>
        <w:pStyle w:val="Subhead"/>
      </w:pPr>
      <w:r>
        <w:t>Revised 202</w:t>
      </w:r>
      <w:r w:rsidR="00027E4A">
        <w:t>2</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05E6D021"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E37218" w:rsidRPr="00E37218">
        <w:rPr>
          <w:rFonts w:cs="Segoe UI"/>
        </w:rPr>
        <w:t>202</w:t>
      </w:r>
      <w:r w:rsidR="00027E4A">
        <w:rPr>
          <w:rFonts w:cs="Segoe UI"/>
        </w:rPr>
        <w:t>2</w:t>
      </w:r>
      <w:r w:rsidR="00E37218" w:rsidRPr="00E37218">
        <w:rPr>
          <w:rFonts w:cs="Segoe UI"/>
        </w:rPr>
        <w:t xml:space="preserve">. </w:t>
      </w:r>
      <w:r w:rsidR="00E37218" w:rsidRPr="00F46EBD">
        <w:rPr>
          <w:rFonts w:cs="Segoe UI"/>
          <w:i/>
          <w:iCs/>
        </w:rPr>
        <w:t>Guidelines for Issuing Permissions for the Use of Vertebrate Toxic Agents: Revised 202</w:t>
      </w:r>
      <w:r w:rsidR="00027E4A">
        <w:rPr>
          <w:rFonts w:cs="Segoe UI"/>
          <w:i/>
          <w:iCs/>
        </w:rPr>
        <w:t>2</w:t>
      </w:r>
      <w:r w:rsidR="00442C1C" w:rsidRPr="00C05132">
        <w:rPr>
          <w:rFonts w:cs="Segoe UI"/>
        </w:rPr>
        <w:t>. Wellington: Ministry of Health.</w:t>
      </w:r>
    </w:p>
    <w:p w14:paraId="7909192E" w14:textId="2BE08190" w:rsidR="00C86248" w:rsidRDefault="00C86248">
      <w:pPr>
        <w:pStyle w:val="Imprint"/>
      </w:pPr>
      <w:r>
        <w:t xml:space="preserve">Published in </w:t>
      </w:r>
      <w:r w:rsidR="00801D2C">
        <w:t>July</w:t>
      </w:r>
      <w:r w:rsidR="00E50D7A">
        <w:t xml:space="preserve"> 2022</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4BD83F2D" w14:textId="17AC7E45" w:rsidR="00E37218" w:rsidRPr="00E50D7A" w:rsidRDefault="00E37218" w:rsidP="00E37218">
      <w:pPr>
        <w:pStyle w:val="Imprint"/>
        <w:spacing w:after="0"/>
      </w:pPr>
      <w:r w:rsidRPr="00E50D7A">
        <w:t xml:space="preserve">ISBN </w:t>
      </w:r>
      <w:r w:rsidR="00085D56" w:rsidRPr="00085D56">
        <w:t>978-1-99-110069-6</w:t>
      </w:r>
      <w:r w:rsidR="00E50D7A" w:rsidRPr="00E50D7A">
        <w:t xml:space="preserve"> </w:t>
      </w:r>
      <w:r w:rsidRPr="00E50D7A">
        <w:t>(online)</w:t>
      </w:r>
    </w:p>
    <w:p w14:paraId="48DBDA36" w14:textId="1EBEB7B9" w:rsidR="00C86248" w:rsidRDefault="00E37218" w:rsidP="00E37218">
      <w:pPr>
        <w:pStyle w:val="Imprint"/>
      </w:pPr>
      <w:r w:rsidRPr="00E50D7A">
        <w:t xml:space="preserve">HP </w:t>
      </w:r>
      <w:r w:rsidR="004E4C64">
        <w:t>8539</w:t>
      </w:r>
      <w:r w:rsidR="006933FF">
        <w:br/>
      </w:r>
      <w:r w:rsidR="00082CD6">
        <w:br/>
      </w:r>
      <w:r w:rsidR="00F4433C">
        <w:rPr>
          <w:noProof/>
        </w:rPr>
        <w:drawing>
          <wp:inline distT="0" distB="0" distL="0" distR="0" wp14:anchorId="3B90FCA5" wp14:editId="76442FDE">
            <wp:extent cx="1270660" cy="536500"/>
            <wp:effectExtent l="0" t="0" r="5715" b="0"/>
            <wp:docPr id="8" name="Picture 8"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inistry of Health logo"/>
                    <pic:cNvPicPr>
                      <a:picLocks noChangeAspect="1" noChangeArrowheads="1"/>
                    </pic:cNvPicPr>
                  </pic:nvPicPr>
                  <pic:blipFill rotWithShape="1">
                    <a:blip r:embed="rId13">
                      <a:extLst>
                        <a:ext uri="{28A0092B-C50C-407E-A947-70E740481C1C}">
                          <a14:useLocalDpi xmlns:a14="http://schemas.microsoft.com/office/drawing/2010/main" val="0"/>
                        </a:ext>
                      </a:extLst>
                    </a:blip>
                    <a:srcRect l="4459" t="9394" r="4337" b="9479"/>
                    <a:stretch/>
                  </pic:blipFill>
                  <pic:spPr bwMode="auto">
                    <a:xfrm>
                      <a:off x="0" y="0"/>
                      <a:ext cx="1274318" cy="538045"/>
                    </a:xfrm>
                    <a:prstGeom prst="rect">
                      <a:avLst/>
                    </a:prstGeom>
                    <a:noFill/>
                    <a:ln>
                      <a:noFill/>
                    </a:ln>
                    <a:extLst>
                      <a:ext uri="{53640926-AAD7-44D8-BBD7-CCE9431645EC}">
                        <a14:shadowObscured xmlns:a14="http://schemas.microsoft.com/office/drawing/2010/main"/>
                      </a:ext>
                    </a:extLst>
                  </pic:spPr>
                </pic:pic>
              </a:graphicData>
            </a:graphic>
          </wp:inline>
        </w:drawing>
      </w:r>
    </w:p>
    <w:p w14:paraId="354F16DF" w14:textId="0F8AB754"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63276F9"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382DB592"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34225BB6" w14:textId="77777777" w:rsidR="004E06D0" w:rsidRPr="004E06D0" w:rsidRDefault="004E06D0" w:rsidP="00E37218">
      <w:pPr>
        <w:pStyle w:val="Heading1"/>
        <w:spacing w:before="0"/>
      </w:pPr>
      <w:bookmarkStart w:id="0" w:name="_Toc109793281"/>
      <w:bookmarkStart w:id="1" w:name="_Toc405792991"/>
      <w:bookmarkStart w:id="2" w:name="_Toc405793224"/>
      <w:r w:rsidRPr="004E06D0">
        <w:lastRenderedPageBreak/>
        <w:t>Preface</w:t>
      </w:r>
      <w:bookmarkEnd w:id="0"/>
    </w:p>
    <w:p w14:paraId="25252F42" w14:textId="1BE978A7" w:rsidR="004E06D0" w:rsidRPr="004E06D0" w:rsidRDefault="004E06D0" w:rsidP="004E06D0">
      <w:pPr>
        <w:rPr>
          <w:spacing w:val="-5"/>
        </w:rPr>
      </w:pPr>
      <w:r w:rsidRPr="004E06D0">
        <w:rPr>
          <w:spacing w:val="-5"/>
        </w:rPr>
        <w:t>Vertebrate pest control is an important part of efforts to protect New Zealand’s native flora and fauna, to prevent the spread of diseases and to reduce the impact of pest damage to crops and pasture. Compared with other countries, New Zealand uses large amounts of vertebrate toxic agents (VTAs), in particular, sodium fluoroacetate (1080)</w:t>
      </w:r>
      <w:r w:rsidR="009802C3">
        <w:rPr>
          <w:spacing w:val="-5"/>
        </w:rPr>
        <w:t>,</w:t>
      </w:r>
      <w:r w:rsidR="009802C3" w:rsidRPr="004E06D0">
        <w:rPr>
          <w:spacing w:val="-5"/>
        </w:rPr>
        <w:t xml:space="preserve"> to control animal pests</w:t>
      </w:r>
      <w:r w:rsidRPr="004E06D0">
        <w:rPr>
          <w:spacing w:val="-5"/>
        </w:rPr>
        <w:t>. The magnitude of the animal pest problem in New Zealand, and the nature and size of the terrain involved, mean that targeted pest management such as hunting or non</w:t>
      </w:r>
      <w:r w:rsidR="00A012F6">
        <w:rPr>
          <w:spacing w:val="-5"/>
        </w:rPr>
        <w:t>-</w:t>
      </w:r>
      <w:r w:rsidRPr="004E06D0">
        <w:rPr>
          <w:spacing w:val="-5"/>
        </w:rPr>
        <w:t>toxic trapping methods cannot adequately control pest numbers in defined areas nor prevent the spread of those pests. In the absence of other suitable control methods, VTAs are the first line of management of pest populations.</w:t>
      </w:r>
    </w:p>
    <w:p w14:paraId="1E92BE29" w14:textId="77777777" w:rsidR="004E06D0" w:rsidRPr="004E06D0" w:rsidRDefault="004E06D0" w:rsidP="004E06D0">
      <w:pPr>
        <w:rPr>
          <w:spacing w:val="-5"/>
        </w:rPr>
      </w:pPr>
    </w:p>
    <w:p w14:paraId="55379531" w14:textId="628C18A1" w:rsidR="004E06D0" w:rsidRPr="004E06D0" w:rsidRDefault="004E06D0" w:rsidP="004E06D0">
      <w:pPr>
        <w:rPr>
          <w:spacing w:val="-5"/>
        </w:rPr>
      </w:pPr>
      <w:r w:rsidRPr="004E06D0">
        <w:rPr>
          <w:spacing w:val="-5"/>
        </w:rPr>
        <w:t>Methods for VTA use have improved over the last few decades</w:t>
      </w:r>
      <w:r w:rsidR="00A012F6">
        <w:rPr>
          <w:spacing w:val="-5"/>
        </w:rPr>
        <w:t>.</w:t>
      </w:r>
      <w:r w:rsidRPr="004E06D0">
        <w:rPr>
          <w:spacing w:val="-5"/>
        </w:rPr>
        <w:t xml:space="preserve"> </w:t>
      </w:r>
      <w:r w:rsidR="00A012F6">
        <w:rPr>
          <w:spacing w:val="-5"/>
        </w:rPr>
        <w:t>F</w:t>
      </w:r>
      <w:r w:rsidRPr="004E06D0">
        <w:rPr>
          <w:spacing w:val="-5"/>
        </w:rPr>
        <w:t xml:space="preserve">or example, global positioning systems (GPS) are now used to enable more targeted aerial applications, and the types and application of bait have improved. </w:t>
      </w:r>
    </w:p>
    <w:p w14:paraId="50636572" w14:textId="77777777" w:rsidR="004E06D0" w:rsidRPr="004E06D0" w:rsidRDefault="004E06D0" w:rsidP="004E06D0">
      <w:pPr>
        <w:rPr>
          <w:spacing w:val="-5"/>
        </w:rPr>
      </w:pPr>
    </w:p>
    <w:p w14:paraId="49B00EBD" w14:textId="2A1BD509" w:rsidR="000D1636" w:rsidRDefault="004E06D0" w:rsidP="004E06D0">
      <w:pPr>
        <w:rPr>
          <w:spacing w:val="-5"/>
        </w:rPr>
      </w:pPr>
      <w:r w:rsidRPr="004E06D0">
        <w:rPr>
          <w:spacing w:val="-5"/>
        </w:rPr>
        <w:t xml:space="preserve">The specific characteristics and risk profile of each VTA or other hazardous substance operation are different, depending on </w:t>
      </w:r>
      <w:r w:rsidR="00A012F6">
        <w:rPr>
          <w:spacing w:val="-5"/>
        </w:rPr>
        <w:t>which</w:t>
      </w:r>
      <w:r w:rsidR="00A012F6" w:rsidRPr="004E06D0">
        <w:rPr>
          <w:spacing w:val="-5"/>
        </w:rPr>
        <w:t xml:space="preserve"> </w:t>
      </w:r>
      <w:r w:rsidRPr="004E06D0">
        <w:rPr>
          <w:spacing w:val="-5"/>
        </w:rPr>
        <w:t xml:space="preserve">VTA </w:t>
      </w:r>
      <w:r w:rsidR="000D1636">
        <w:rPr>
          <w:spacing w:val="-5"/>
        </w:rPr>
        <w:t>or</w:t>
      </w:r>
      <w:r w:rsidRPr="004E06D0">
        <w:rPr>
          <w:spacing w:val="-5"/>
        </w:rPr>
        <w:t xml:space="preserve"> other hazardous substance </w:t>
      </w:r>
      <w:r w:rsidR="00A012F6">
        <w:rPr>
          <w:spacing w:val="-5"/>
        </w:rPr>
        <w:t>is</w:t>
      </w:r>
      <w:r w:rsidR="00A012F6" w:rsidRPr="004E06D0">
        <w:rPr>
          <w:spacing w:val="-5"/>
        </w:rPr>
        <w:t xml:space="preserve"> </w:t>
      </w:r>
      <w:r w:rsidRPr="004E06D0">
        <w:rPr>
          <w:spacing w:val="-5"/>
        </w:rPr>
        <w:t xml:space="preserve">used. </w:t>
      </w:r>
      <w:r w:rsidR="000D1636">
        <w:rPr>
          <w:spacing w:val="-5"/>
        </w:rPr>
        <w:t xml:space="preserve">The Environmental Protection Authority undertakes a risk assessment of all hazardous substances, and sets controls to manage risks, including public health risks. </w:t>
      </w:r>
    </w:p>
    <w:p w14:paraId="5B3410EF" w14:textId="77777777" w:rsidR="000D1636" w:rsidRDefault="000D1636" w:rsidP="004E06D0">
      <w:pPr>
        <w:rPr>
          <w:spacing w:val="-5"/>
        </w:rPr>
      </w:pPr>
    </w:p>
    <w:p w14:paraId="29F4806D" w14:textId="60E70120" w:rsidR="000D1636" w:rsidRPr="004E06D0" w:rsidRDefault="000D1636" w:rsidP="000D1636">
      <w:pPr>
        <w:rPr>
          <w:spacing w:val="-5"/>
        </w:rPr>
      </w:pPr>
      <w:r w:rsidRPr="004E06D0">
        <w:rPr>
          <w:spacing w:val="-5"/>
        </w:rPr>
        <w:t xml:space="preserve">In order to use certain VTAs and other hazardous substances, operators must apply for permission, and they have a legal obligation to comply with any conditions in the permission. These guidelines provide practical advice </w:t>
      </w:r>
      <w:r>
        <w:rPr>
          <w:spacing w:val="-5"/>
        </w:rPr>
        <w:t xml:space="preserve">on </w:t>
      </w:r>
      <w:r w:rsidRPr="004E06D0">
        <w:rPr>
          <w:spacing w:val="-5"/>
        </w:rPr>
        <w:t xml:space="preserve">setting conditions </w:t>
      </w:r>
      <w:r>
        <w:rPr>
          <w:spacing w:val="-5"/>
        </w:rPr>
        <w:t>i</w:t>
      </w:r>
      <w:r w:rsidRPr="004E06D0">
        <w:rPr>
          <w:spacing w:val="-5"/>
        </w:rPr>
        <w:t xml:space="preserve">n permissions to use VTAs and other hazardous substances, using </w:t>
      </w:r>
      <w:r>
        <w:rPr>
          <w:spacing w:val="-5"/>
        </w:rPr>
        <w:t>a public health risk assessment framework</w:t>
      </w:r>
      <w:r w:rsidRPr="004E06D0">
        <w:rPr>
          <w:spacing w:val="-5"/>
        </w:rPr>
        <w:t>.</w:t>
      </w:r>
      <w:r w:rsidR="0087371F" w:rsidRPr="0087371F">
        <w:t xml:space="preserve"> </w:t>
      </w:r>
      <w:r w:rsidR="0087371F">
        <w:t>These guidelines are only relevant to permissions issued where there is a public health risk, and do not apply to permissions that are issued by the Department of Conservation.</w:t>
      </w:r>
    </w:p>
    <w:p w14:paraId="23EF8FF8" w14:textId="77777777" w:rsidR="000D1636" w:rsidRPr="004E06D0" w:rsidRDefault="000D1636" w:rsidP="000D1636">
      <w:pPr>
        <w:rPr>
          <w:spacing w:val="-5"/>
        </w:rPr>
      </w:pPr>
    </w:p>
    <w:p w14:paraId="05BB805A" w14:textId="148ADDFC" w:rsidR="004E06D0" w:rsidRPr="003A39BC" w:rsidRDefault="004E06D0" w:rsidP="004E06D0">
      <w:pPr>
        <w:rPr>
          <w:spacing w:val="-5"/>
        </w:rPr>
      </w:pPr>
      <w:r w:rsidRPr="003A39BC">
        <w:rPr>
          <w:spacing w:val="-5"/>
        </w:rPr>
        <w:t>This 202</w:t>
      </w:r>
      <w:r w:rsidR="008F0198" w:rsidRPr="003A39BC">
        <w:rPr>
          <w:spacing w:val="-5"/>
        </w:rPr>
        <w:t>2</w:t>
      </w:r>
      <w:r w:rsidRPr="003A39BC">
        <w:rPr>
          <w:spacing w:val="-5"/>
        </w:rPr>
        <w:t xml:space="preserve"> revised edition includes the following </w:t>
      </w:r>
      <w:r w:rsidR="00EB7763" w:rsidRPr="003A39BC">
        <w:rPr>
          <w:spacing w:val="-5"/>
        </w:rPr>
        <w:t>c</w:t>
      </w:r>
      <w:r w:rsidRPr="003A39BC">
        <w:rPr>
          <w:spacing w:val="-5"/>
        </w:rPr>
        <w:t>hanges:</w:t>
      </w:r>
    </w:p>
    <w:p w14:paraId="0537C109" w14:textId="08C87B3C" w:rsidR="004E06D0" w:rsidRPr="003A39BC" w:rsidRDefault="004E06D0" w:rsidP="004E06D0">
      <w:pPr>
        <w:pStyle w:val="Bullet"/>
      </w:pPr>
      <w:r w:rsidRPr="003A39BC">
        <w:t>general</w:t>
      </w:r>
      <w:r w:rsidR="005E25A9">
        <w:t>ly</w:t>
      </w:r>
      <w:r w:rsidRPr="003A39BC">
        <w:t xml:space="preserve"> updating and simplif</w:t>
      </w:r>
      <w:r w:rsidR="005E25A9">
        <w:t>ying</w:t>
      </w:r>
      <w:r w:rsidRPr="003A39BC">
        <w:t xml:space="preserve"> text, including removing duplication</w:t>
      </w:r>
      <w:r w:rsidR="006D52F4" w:rsidRPr="003A39BC">
        <w:t xml:space="preserve"> and re-ordering content to give a more logical flow of information</w:t>
      </w:r>
    </w:p>
    <w:p w14:paraId="46F51C8F" w14:textId="0E2C72C9" w:rsidR="004E06D0" w:rsidRPr="003A39BC" w:rsidRDefault="009B3A37" w:rsidP="004E06D0">
      <w:pPr>
        <w:pStyle w:val="Bullet"/>
      </w:pPr>
      <w:r w:rsidRPr="003A39BC">
        <w:t xml:space="preserve">refocusing the guidelines on managing public health risks </w:t>
      </w:r>
      <w:r w:rsidR="00486C49" w:rsidRPr="003A39BC">
        <w:t xml:space="preserve">by preventing unnecessary </w:t>
      </w:r>
      <w:r w:rsidR="0049562A" w:rsidRPr="003A39BC">
        <w:t xml:space="preserve">public </w:t>
      </w:r>
      <w:r w:rsidR="00486C49" w:rsidRPr="003A39BC">
        <w:t xml:space="preserve">exposures </w:t>
      </w:r>
      <w:r w:rsidRPr="003A39BC">
        <w:t>to VTAs and other hazardous substances</w:t>
      </w:r>
    </w:p>
    <w:p w14:paraId="1134F945" w14:textId="51E9FCD4" w:rsidR="00571223" w:rsidRPr="003A39BC" w:rsidRDefault="0049562A" w:rsidP="00AD76EB">
      <w:pPr>
        <w:pStyle w:val="Bullet"/>
      </w:pPr>
      <w:r w:rsidRPr="003A39BC">
        <w:t>updating</w:t>
      </w:r>
      <w:r w:rsidR="004E06D0" w:rsidRPr="003A39BC">
        <w:t xml:space="preserve"> the Model Permit Conditions</w:t>
      </w:r>
      <w:r w:rsidR="009B3A37" w:rsidRPr="003A39BC">
        <w:t xml:space="preserve"> to reflect th</w:t>
      </w:r>
      <w:r w:rsidRPr="003A39BC">
        <w:t>is</w:t>
      </w:r>
      <w:r w:rsidR="009B3A37" w:rsidRPr="003A39BC">
        <w:t xml:space="preserve"> </w:t>
      </w:r>
      <w:r w:rsidR="00925E13" w:rsidRPr="003A39BC">
        <w:t xml:space="preserve">public </w:t>
      </w:r>
      <w:r w:rsidRPr="003A39BC">
        <w:t>health risk management approach</w:t>
      </w:r>
      <w:r w:rsidR="009B3A37" w:rsidRPr="003A39BC">
        <w:t>.</w:t>
      </w:r>
    </w:p>
    <w:p w14:paraId="4282D384" w14:textId="77777777" w:rsidR="009B3A37" w:rsidRDefault="009B3A37" w:rsidP="009B3A37">
      <w:pPr>
        <w:pStyle w:val="Bullet"/>
        <w:numPr>
          <w:ilvl w:val="0"/>
          <w:numId w:val="0"/>
        </w:numPr>
      </w:pPr>
    </w:p>
    <w:p w14:paraId="5558ECEF" w14:textId="29147764" w:rsidR="009B3A37" w:rsidRDefault="009B3A37" w:rsidP="0046362D">
      <w:pPr>
        <w:pStyle w:val="Bullet"/>
        <w:sectPr w:rsidR="009B3A37"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648D4F84" w14:textId="77777777" w:rsidR="00C86248" w:rsidRDefault="00C86248" w:rsidP="00025A6F">
      <w:pPr>
        <w:pStyle w:val="IntroHead"/>
      </w:pPr>
      <w:r>
        <w:lastRenderedPageBreak/>
        <w:t>Contents</w:t>
      </w:r>
      <w:bookmarkEnd w:id="1"/>
      <w:bookmarkEnd w:id="2"/>
    </w:p>
    <w:p w14:paraId="17A0C677" w14:textId="04503DCD" w:rsidR="00153568" w:rsidRDefault="009A48B0">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09793281" w:history="1">
        <w:r w:rsidR="00153568" w:rsidRPr="006760B8">
          <w:rPr>
            <w:rStyle w:val="Hyperlink"/>
            <w:noProof/>
          </w:rPr>
          <w:t>Preface</w:t>
        </w:r>
        <w:r w:rsidR="00153568">
          <w:rPr>
            <w:noProof/>
            <w:webHidden/>
          </w:rPr>
          <w:tab/>
        </w:r>
        <w:r w:rsidR="00153568">
          <w:rPr>
            <w:noProof/>
            <w:webHidden/>
          </w:rPr>
          <w:fldChar w:fldCharType="begin"/>
        </w:r>
        <w:r w:rsidR="00153568">
          <w:rPr>
            <w:noProof/>
            <w:webHidden/>
          </w:rPr>
          <w:instrText xml:space="preserve"> PAGEREF _Toc109793281 \h </w:instrText>
        </w:r>
        <w:r w:rsidR="00153568">
          <w:rPr>
            <w:noProof/>
            <w:webHidden/>
          </w:rPr>
        </w:r>
        <w:r w:rsidR="00153568">
          <w:rPr>
            <w:noProof/>
            <w:webHidden/>
          </w:rPr>
          <w:fldChar w:fldCharType="separate"/>
        </w:r>
        <w:r w:rsidR="00153568">
          <w:rPr>
            <w:noProof/>
            <w:webHidden/>
          </w:rPr>
          <w:t>iii</w:t>
        </w:r>
        <w:r w:rsidR="00153568">
          <w:rPr>
            <w:noProof/>
            <w:webHidden/>
          </w:rPr>
          <w:fldChar w:fldCharType="end"/>
        </w:r>
      </w:hyperlink>
    </w:p>
    <w:p w14:paraId="0DEA88FE" w14:textId="2ABFEE29" w:rsidR="00153568" w:rsidRDefault="00CB212C">
      <w:pPr>
        <w:pStyle w:val="TOC1"/>
        <w:rPr>
          <w:rFonts w:asciiTheme="minorHAnsi" w:eastAsiaTheme="minorEastAsia" w:hAnsiTheme="minorHAnsi" w:cstheme="minorBidi"/>
          <w:noProof/>
          <w:sz w:val="22"/>
          <w:szCs w:val="22"/>
          <w:lang w:val="en-AU" w:eastAsia="en-AU"/>
        </w:rPr>
      </w:pPr>
      <w:hyperlink w:anchor="_Toc109793282" w:history="1">
        <w:r w:rsidR="00153568" w:rsidRPr="006760B8">
          <w:rPr>
            <w:rStyle w:val="Hyperlink"/>
            <w:noProof/>
          </w:rPr>
          <w:t>Introduction</w:t>
        </w:r>
        <w:r w:rsidR="00153568">
          <w:rPr>
            <w:noProof/>
            <w:webHidden/>
          </w:rPr>
          <w:tab/>
        </w:r>
        <w:r w:rsidR="00153568">
          <w:rPr>
            <w:noProof/>
            <w:webHidden/>
          </w:rPr>
          <w:fldChar w:fldCharType="begin"/>
        </w:r>
        <w:r w:rsidR="00153568">
          <w:rPr>
            <w:noProof/>
            <w:webHidden/>
          </w:rPr>
          <w:instrText xml:space="preserve"> PAGEREF _Toc109793282 \h </w:instrText>
        </w:r>
        <w:r w:rsidR="00153568">
          <w:rPr>
            <w:noProof/>
            <w:webHidden/>
          </w:rPr>
        </w:r>
        <w:r w:rsidR="00153568">
          <w:rPr>
            <w:noProof/>
            <w:webHidden/>
          </w:rPr>
          <w:fldChar w:fldCharType="separate"/>
        </w:r>
        <w:r w:rsidR="00153568">
          <w:rPr>
            <w:noProof/>
            <w:webHidden/>
          </w:rPr>
          <w:t>1</w:t>
        </w:r>
        <w:r w:rsidR="00153568">
          <w:rPr>
            <w:noProof/>
            <w:webHidden/>
          </w:rPr>
          <w:fldChar w:fldCharType="end"/>
        </w:r>
      </w:hyperlink>
    </w:p>
    <w:p w14:paraId="79962FDE" w14:textId="6141877E" w:rsidR="00153568" w:rsidRDefault="00CB212C">
      <w:pPr>
        <w:pStyle w:val="TOC2"/>
        <w:rPr>
          <w:rFonts w:asciiTheme="minorHAnsi" w:eastAsiaTheme="minorEastAsia" w:hAnsiTheme="minorHAnsi" w:cstheme="minorBidi"/>
          <w:noProof/>
          <w:szCs w:val="22"/>
          <w:lang w:val="en-AU" w:eastAsia="en-AU"/>
        </w:rPr>
      </w:pPr>
      <w:hyperlink w:anchor="_Toc109793283" w:history="1">
        <w:r w:rsidR="00153568" w:rsidRPr="006760B8">
          <w:rPr>
            <w:rStyle w:val="Hyperlink"/>
            <w:noProof/>
          </w:rPr>
          <w:t>Out of scope</w:t>
        </w:r>
        <w:r w:rsidR="00153568">
          <w:rPr>
            <w:noProof/>
            <w:webHidden/>
          </w:rPr>
          <w:tab/>
        </w:r>
        <w:r w:rsidR="00153568">
          <w:rPr>
            <w:noProof/>
            <w:webHidden/>
          </w:rPr>
          <w:fldChar w:fldCharType="begin"/>
        </w:r>
        <w:r w:rsidR="00153568">
          <w:rPr>
            <w:noProof/>
            <w:webHidden/>
          </w:rPr>
          <w:instrText xml:space="preserve"> PAGEREF _Toc109793283 \h </w:instrText>
        </w:r>
        <w:r w:rsidR="00153568">
          <w:rPr>
            <w:noProof/>
            <w:webHidden/>
          </w:rPr>
        </w:r>
        <w:r w:rsidR="00153568">
          <w:rPr>
            <w:noProof/>
            <w:webHidden/>
          </w:rPr>
          <w:fldChar w:fldCharType="separate"/>
        </w:r>
        <w:r w:rsidR="00153568">
          <w:rPr>
            <w:noProof/>
            <w:webHidden/>
          </w:rPr>
          <w:t>1</w:t>
        </w:r>
        <w:r w:rsidR="00153568">
          <w:rPr>
            <w:noProof/>
            <w:webHidden/>
          </w:rPr>
          <w:fldChar w:fldCharType="end"/>
        </w:r>
      </w:hyperlink>
    </w:p>
    <w:p w14:paraId="11B74F50" w14:textId="028925FC" w:rsidR="00153568" w:rsidRDefault="00CB212C">
      <w:pPr>
        <w:pStyle w:val="TOC1"/>
        <w:rPr>
          <w:rFonts w:asciiTheme="minorHAnsi" w:eastAsiaTheme="minorEastAsia" w:hAnsiTheme="minorHAnsi" w:cstheme="minorBidi"/>
          <w:noProof/>
          <w:sz w:val="22"/>
          <w:szCs w:val="22"/>
          <w:lang w:val="en-AU" w:eastAsia="en-AU"/>
        </w:rPr>
      </w:pPr>
      <w:hyperlink w:anchor="_Toc109793284" w:history="1">
        <w:r w:rsidR="00153568" w:rsidRPr="006760B8">
          <w:rPr>
            <w:rStyle w:val="Hyperlink"/>
            <w:noProof/>
          </w:rPr>
          <w:t>Chapter 1: Public health risk assessment</w:t>
        </w:r>
        <w:r w:rsidR="00153568">
          <w:rPr>
            <w:noProof/>
            <w:webHidden/>
          </w:rPr>
          <w:tab/>
        </w:r>
        <w:r w:rsidR="00153568">
          <w:rPr>
            <w:noProof/>
            <w:webHidden/>
          </w:rPr>
          <w:fldChar w:fldCharType="begin"/>
        </w:r>
        <w:r w:rsidR="00153568">
          <w:rPr>
            <w:noProof/>
            <w:webHidden/>
          </w:rPr>
          <w:instrText xml:space="preserve"> PAGEREF _Toc109793284 \h </w:instrText>
        </w:r>
        <w:r w:rsidR="00153568">
          <w:rPr>
            <w:noProof/>
            <w:webHidden/>
          </w:rPr>
        </w:r>
        <w:r w:rsidR="00153568">
          <w:rPr>
            <w:noProof/>
            <w:webHidden/>
          </w:rPr>
          <w:fldChar w:fldCharType="separate"/>
        </w:r>
        <w:r w:rsidR="00153568">
          <w:rPr>
            <w:noProof/>
            <w:webHidden/>
          </w:rPr>
          <w:t>3</w:t>
        </w:r>
        <w:r w:rsidR="00153568">
          <w:rPr>
            <w:noProof/>
            <w:webHidden/>
          </w:rPr>
          <w:fldChar w:fldCharType="end"/>
        </w:r>
      </w:hyperlink>
    </w:p>
    <w:p w14:paraId="406A66AF" w14:textId="678AE932" w:rsidR="00153568" w:rsidRDefault="00CB212C">
      <w:pPr>
        <w:pStyle w:val="TOC2"/>
        <w:rPr>
          <w:rFonts w:asciiTheme="minorHAnsi" w:eastAsiaTheme="minorEastAsia" w:hAnsiTheme="minorHAnsi" w:cstheme="minorBidi"/>
          <w:noProof/>
          <w:szCs w:val="22"/>
          <w:lang w:val="en-AU" w:eastAsia="en-AU"/>
        </w:rPr>
      </w:pPr>
      <w:hyperlink w:anchor="_Toc109793285" w:history="1">
        <w:r w:rsidR="00153568" w:rsidRPr="006760B8">
          <w:rPr>
            <w:rStyle w:val="Hyperlink"/>
            <w:noProof/>
          </w:rPr>
          <w:t>Main points</w:t>
        </w:r>
        <w:r w:rsidR="00153568">
          <w:rPr>
            <w:noProof/>
            <w:webHidden/>
          </w:rPr>
          <w:tab/>
        </w:r>
        <w:r w:rsidR="00153568">
          <w:rPr>
            <w:noProof/>
            <w:webHidden/>
          </w:rPr>
          <w:fldChar w:fldCharType="begin"/>
        </w:r>
        <w:r w:rsidR="00153568">
          <w:rPr>
            <w:noProof/>
            <w:webHidden/>
          </w:rPr>
          <w:instrText xml:space="preserve"> PAGEREF _Toc109793285 \h </w:instrText>
        </w:r>
        <w:r w:rsidR="00153568">
          <w:rPr>
            <w:noProof/>
            <w:webHidden/>
          </w:rPr>
        </w:r>
        <w:r w:rsidR="00153568">
          <w:rPr>
            <w:noProof/>
            <w:webHidden/>
          </w:rPr>
          <w:fldChar w:fldCharType="separate"/>
        </w:r>
        <w:r w:rsidR="00153568">
          <w:rPr>
            <w:noProof/>
            <w:webHidden/>
          </w:rPr>
          <w:t>3</w:t>
        </w:r>
        <w:r w:rsidR="00153568">
          <w:rPr>
            <w:noProof/>
            <w:webHidden/>
          </w:rPr>
          <w:fldChar w:fldCharType="end"/>
        </w:r>
      </w:hyperlink>
    </w:p>
    <w:p w14:paraId="4CF2315F" w14:textId="4E60BDA7" w:rsidR="00153568" w:rsidRDefault="00CB212C">
      <w:pPr>
        <w:pStyle w:val="TOC2"/>
        <w:rPr>
          <w:rFonts w:asciiTheme="minorHAnsi" w:eastAsiaTheme="minorEastAsia" w:hAnsiTheme="minorHAnsi" w:cstheme="minorBidi"/>
          <w:noProof/>
          <w:szCs w:val="22"/>
          <w:lang w:val="en-AU" w:eastAsia="en-AU"/>
        </w:rPr>
      </w:pPr>
      <w:hyperlink w:anchor="_Toc109793286" w:history="1">
        <w:r w:rsidR="00153568" w:rsidRPr="006760B8">
          <w:rPr>
            <w:rStyle w:val="Hyperlink"/>
            <w:noProof/>
            <w:lang w:eastAsia="en-NZ"/>
          </w:rPr>
          <w:t>Risk assessment</w:t>
        </w:r>
        <w:r w:rsidR="00153568">
          <w:rPr>
            <w:noProof/>
            <w:webHidden/>
          </w:rPr>
          <w:tab/>
        </w:r>
        <w:r w:rsidR="00153568">
          <w:rPr>
            <w:noProof/>
            <w:webHidden/>
          </w:rPr>
          <w:fldChar w:fldCharType="begin"/>
        </w:r>
        <w:r w:rsidR="00153568">
          <w:rPr>
            <w:noProof/>
            <w:webHidden/>
          </w:rPr>
          <w:instrText xml:space="preserve"> PAGEREF _Toc109793286 \h </w:instrText>
        </w:r>
        <w:r w:rsidR="00153568">
          <w:rPr>
            <w:noProof/>
            <w:webHidden/>
          </w:rPr>
        </w:r>
        <w:r w:rsidR="00153568">
          <w:rPr>
            <w:noProof/>
            <w:webHidden/>
          </w:rPr>
          <w:fldChar w:fldCharType="separate"/>
        </w:r>
        <w:r w:rsidR="00153568">
          <w:rPr>
            <w:noProof/>
            <w:webHidden/>
          </w:rPr>
          <w:t>3</w:t>
        </w:r>
        <w:r w:rsidR="00153568">
          <w:rPr>
            <w:noProof/>
            <w:webHidden/>
          </w:rPr>
          <w:fldChar w:fldCharType="end"/>
        </w:r>
      </w:hyperlink>
    </w:p>
    <w:p w14:paraId="025CF5A3" w14:textId="7E07CC93" w:rsidR="00153568" w:rsidRDefault="00CB212C">
      <w:pPr>
        <w:pStyle w:val="TOC1"/>
        <w:rPr>
          <w:rFonts w:asciiTheme="minorHAnsi" w:eastAsiaTheme="minorEastAsia" w:hAnsiTheme="minorHAnsi" w:cstheme="minorBidi"/>
          <w:noProof/>
          <w:sz w:val="22"/>
          <w:szCs w:val="22"/>
          <w:lang w:val="en-AU" w:eastAsia="en-AU"/>
        </w:rPr>
      </w:pPr>
      <w:hyperlink w:anchor="_Toc109793287" w:history="1">
        <w:r w:rsidR="00153568" w:rsidRPr="006760B8">
          <w:rPr>
            <w:rStyle w:val="Hyperlink"/>
            <w:noProof/>
          </w:rPr>
          <w:t>Chapter 2: Roles and responsibilities</w:t>
        </w:r>
        <w:r w:rsidR="00153568">
          <w:rPr>
            <w:noProof/>
            <w:webHidden/>
          </w:rPr>
          <w:tab/>
        </w:r>
        <w:r w:rsidR="00153568">
          <w:rPr>
            <w:noProof/>
            <w:webHidden/>
          </w:rPr>
          <w:fldChar w:fldCharType="begin"/>
        </w:r>
        <w:r w:rsidR="00153568">
          <w:rPr>
            <w:noProof/>
            <w:webHidden/>
          </w:rPr>
          <w:instrText xml:space="preserve"> PAGEREF _Toc109793287 \h </w:instrText>
        </w:r>
        <w:r w:rsidR="00153568">
          <w:rPr>
            <w:noProof/>
            <w:webHidden/>
          </w:rPr>
        </w:r>
        <w:r w:rsidR="00153568">
          <w:rPr>
            <w:noProof/>
            <w:webHidden/>
          </w:rPr>
          <w:fldChar w:fldCharType="separate"/>
        </w:r>
        <w:r w:rsidR="00153568">
          <w:rPr>
            <w:noProof/>
            <w:webHidden/>
          </w:rPr>
          <w:t>7</w:t>
        </w:r>
        <w:r w:rsidR="00153568">
          <w:rPr>
            <w:noProof/>
            <w:webHidden/>
          </w:rPr>
          <w:fldChar w:fldCharType="end"/>
        </w:r>
      </w:hyperlink>
    </w:p>
    <w:p w14:paraId="434825D0" w14:textId="76E67ECA" w:rsidR="00153568" w:rsidRDefault="00CB212C">
      <w:pPr>
        <w:pStyle w:val="TOC2"/>
        <w:rPr>
          <w:rFonts w:asciiTheme="minorHAnsi" w:eastAsiaTheme="minorEastAsia" w:hAnsiTheme="minorHAnsi" w:cstheme="minorBidi"/>
          <w:noProof/>
          <w:szCs w:val="22"/>
          <w:lang w:val="en-AU" w:eastAsia="en-AU"/>
        </w:rPr>
      </w:pPr>
      <w:hyperlink w:anchor="_Toc109793288" w:history="1">
        <w:r w:rsidR="00153568" w:rsidRPr="006760B8">
          <w:rPr>
            <w:rStyle w:val="Hyperlink"/>
            <w:noProof/>
          </w:rPr>
          <w:t>Roles of agencies under the Hazardous Substances and New Organisms Act 1996</w:t>
        </w:r>
        <w:r w:rsidR="00153568">
          <w:rPr>
            <w:noProof/>
            <w:webHidden/>
          </w:rPr>
          <w:tab/>
        </w:r>
        <w:r w:rsidR="00153568">
          <w:rPr>
            <w:noProof/>
            <w:webHidden/>
          </w:rPr>
          <w:fldChar w:fldCharType="begin"/>
        </w:r>
        <w:r w:rsidR="00153568">
          <w:rPr>
            <w:noProof/>
            <w:webHidden/>
          </w:rPr>
          <w:instrText xml:space="preserve"> PAGEREF _Toc109793288 \h </w:instrText>
        </w:r>
        <w:r w:rsidR="00153568">
          <w:rPr>
            <w:noProof/>
            <w:webHidden/>
          </w:rPr>
        </w:r>
        <w:r w:rsidR="00153568">
          <w:rPr>
            <w:noProof/>
            <w:webHidden/>
          </w:rPr>
          <w:fldChar w:fldCharType="separate"/>
        </w:r>
        <w:r w:rsidR="00153568">
          <w:rPr>
            <w:noProof/>
            <w:webHidden/>
          </w:rPr>
          <w:t>7</w:t>
        </w:r>
        <w:r w:rsidR="00153568">
          <w:rPr>
            <w:noProof/>
            <w:webHidden/>
          </w:rPr>
          <w:fldChar w:fldCharType="end"/>
        </w:r>
      </w:hyperlink>
    </w:p>
    <w:p w14:paraId="41DF6DDD" w14:textId="067BCC65" w:rsidR="00153568" w:rsidRDefault="00CB212C">
      <w:pPr>
        <w:pStyle w:val="TOC2"/>
        <w:rPr>
          <w:rFonts w:asciiTheme="minorHAnsi" w:eastAsiaTheme="minorEastAsia" w:hAnsiTheme="minorHAnsi" w:cstheme="minorBidi"/>
          <w:noProof/>
          <w:szCs w:val="22"/>
          <w:lang w:val="en-AU" w:eastAsia="en-AU"/>
        </w:rPr>
      </w:pPr>
      <w:hyperlink w:anchor="_Toc109793289" w:history="1">
        <w:r w:rsidR="00153568" w:rsidRPr="006760B8">
          <w:rPr>
            <w:rStyle w:val="Hyperlink"/>
            <w:noProof/>
          </w:rPr>
          <w:t>Roles of other parties</w:t>
        </w:r>
        <w:r w:rsidR="00153568">
          <w:rPr>
            <w:noProof/>
            <w:webHidden/>
          </w:rPr>
          <w:tab/>
        </w:r>
        <w:r w:rsidR="00153568">
          <w:rPr>
            <w:noProof/>
            <w:webHidden/>
          </w:rPr>
          <w:fldChar w:fldCharType="begin"/>
        </w:r>
        <w:r w:rsidR="00153568">
          <w:rPr>
            <w:noProof/>
            <w:webHidden/>
          </w:rPr>
          <w:instrText xml:space="preserve"> PAGEREF _Toc109793289 \h </w:instrText>
        </w:r>
        <w:r w:rsidR="00153568">
          <w:rPr>
            <w:noProof/>
            <w:webHidden/>
          </w:rPr>
        </w:r>
        <w:r w:rsidR="00153568">
          <w:rPr>
            <w:noProof/>
            <w:webHidden/>
          </w:rPr>
          <w:fldChar w:fldCharType="separate"/>
        </w:r>
        <w:r w:rsidR="00153568">
          <w:rPr>
            <w:noProof/>
            <w:webHidden/>
          </w:rPr>
          <w:t>8</w:t>
        </w:r>
        <w:r w:rsidR="00153568">
          <w:rPr>
            <w:noProof/>
            <w:webHidden/>
          </w:rPr>
          <w:fldChar w:fldCharType="end"/>
        </w:r>
      </w:hyperlink>
    </w:p>
    <w:p w14:paraId="338684D6" w14:textId="7837CAF1" w:rsidR="00153568" w:rsidRDefault="00CB212C">
      <w:pPr>
        <w:pStyle w:val="TOC2"/>
        <w:rPr>
          <w:rFonts w:asciiTheme="minorHAnsi" w:eastAsiaTheme="minorEastAsia" w:hAnsiTheme="minorHAnsi" w:cstheme="minorBidi"/>
          <w:noProof/>
          <w:szCs w:val="22"/>
          <w:lang w:val="en-AU" w:eastAsia="en-AU"/>
        </w:rPr>
      </w:pPr>
      <w:hyperlink w:anchor="_Toc109793290" w:history="1">
        <w:r w:rsidR="00153568" w:rsidRPr="006760B8">
          <w:rPr>
            <w:rStyle w:val="Hyperlink"/>
            <w:noProof/>
          </w:rPr>
          <w:t>Role of operators</w:t>
        </w:r>
        <w:r w:rsidR="00153568">
          <w:rPr>
            <w:noProof/>
            <w:webHidden/>
          </w:rPr>
          <w:tab/>
        </w:r>
        <w:r w:rsidR="00153568">
          <w:rPr>
            <w:noProof/>
            <w:webHidden/>
          </w:rPr>
          <w:fldChar w:fldCharType="begin"/>
        </w:r>
        <w:r w:rsidR="00153568">
          <w:rPr>
            <w:noProof/>
            <w:webHidden/>
          </w:rPr>
          <w:instrText xml:space="preserve"> PAGEREF _Toc109793290 \h </w:instrText>
        </w:r>
        <w:r w:rsidR="00153568">
          <w:rPr>
            <w:noProof/>
            <w:webHidden/>
          </w:rPr>
        </w:r>
        <w:r w:rsidR="00153568">
          <w:rPr>
            <w:noProof/>
            <w:webHidden/>
          </w:rPr>
          <w:fldChar w:fldCharType="separate"/>
        </w:r>
        <w:r w:rsidR="00153568">
          <w:rPr>
            <w:noProof/>
            <w:webHidden/>
          </w:rPr>
          <w:t>8</w:t>
        </w:r>
        <w:r w:rsidR="00153568">
          <w:rPr>
            <w:noProof/>
            <w:webHidden/>
          </w:rPr>
          <w:fldChar w:fldCharType="end"/>
        </w:r>
      </w:hyperlink>
    </w:p>
    <w:p w14:paraId="4AA2DF82" w14:textId="127FA89B" w:rsidR="00153568" w:rsidRDefault="00CB212C">
      <w:pPr>
        <w:pStyle w:val="TOC1"/>
        <w:rPr>
          <w:rFonts w:asciiTheme="minorHAnsi" w:eastAsiaTheme="minorEastAsia" w:hAnsiTheme="minorHAnsi" w:cstheme="minorBidi"/>
          <w:noProof/>
          <w:sz w:val="22"/>
          <w:szCs w:val="22"/>
          <w:lang w:val="en-AU" w:eastAsia="en-AU"/>
        </w:rPr>
      </w:pPr>
      <w:hyperlink w:anchor="_Toc109793291" w:history="1">
        <w:r w:rsidR="00153568" w:rsidRPr="006760B8">
          <w:rPr>
            <w:rStyle w:val="Hyperlink"/>
            <w:noProof/>
          </w:rPr>
          <w:t>Chapter 3: Permissions</w:t>
        </w:r>
        <w:r w:rsidR="00153568">
          <w:rPr>
            <w:noProof/>
            <w:webHidden/>
          </w:rPr>
          <w:tab/>
        </w:r>
        <w:r w:rsidR="00153568">
          <w:rPr>
            <w:noProof/>
            <w:webHidden/>
          </w:rPr>
          <w:fldChar w:fldCharType="begin"/>
        </w:r>
        <w:r w:rsidR="00153568">
          <w:rPr>
            <w:noProof/>
            <w:webHidden/>
          </w:rPr>
          <w:instrText xml:space="preserve"> PAGEREF _Toc109793291 \h </w:instrText>
        </w:r>
        <w:r w:rsidR="00153568">
          <w:rPr>
            <w:noProof/>
            <w:webHidden/>
          </w:rPr>
        </w:r>
        <w:r w:rsidR="00153568">
          <w:rPr>
            <w:noProof/>
            <w:webHidden/>
          </w:rPr>
          <w:fldChar w:fldCharType="separate"/>
        </w:r>
        <w:r w:rsidR="00153568">
          <w:rPr>
            <w:noProof/>
            <w:webHidden/>
          </w:rPr>
          <w:t>9</w:t>
        </w:r>
        <w:r w:rsidR="00153568">
          <w:rPr>
            <w:noProof/>
            <w:webHidden/>
          </w:rPr>
          <w:fldChar w:fldCharType="end"/>
        </w:r>
      </w:hyperlink>
    </w:p>
    <w:p w14:paraId="656548EE" w14:textId="6AB9AE69" w:rsidR="00153568" w:rsidRDefault="00CB212C">
      <w:pPr>
        <w:pStyle w:val="TOC2"/>
        <w:rPr>
          <w:rFonts w:asciiTheme="minorHAnsi" w:eastAsiaTheme="minorEastAsia" w:hAnsiTheme="minorHAnsi" w:cstheme="minorBidi"/>
          <w:noProof/>
          <w:szCs w:val="22"/>
          <w:lang w:val="en-AU" w:eastAsia="en-AU"/>
        </w:rPr>
      </w:pPr>
      <w:hyperlink w:anchor="_Toc109793292" w:history="1">
        <w:r w:rsidR="00153568" w:rsidRPr="006760B8">
          <w:rPr>
            <w:rStyle w:val="Hyperlink"/>
            <w:noProof/>
          </w:rPr>
          <w:t>Main points</w:t>
        </w:r>
        <w:r w:rsidR="00153568">
          <w:rPr>
            <w:noProof/>
            <w:webHidden/>
          </w:rPr>
          <w:tab/>
        </w:r>
        <w:r w:rsidR="00153568">
          <w:rPr>
            <w:noProof/>
            <w:webHidden/>
          </w:rPr>
          <w:fldChar w:fldCharType="begin"/>
        </w:r>
        <w:r w:rsidR="00153568">
          <w:rPr>
            <w:noProof/>
            <w:webHidden/>
          </w:rPr>
          <w:instrText xml:space="preserve"> PAGEREF _Toc109793292 \h </w:instrText>
        </w:r>
        <w:r w:rsidR="00153568">
          <w:rPr>
            <w:noProof/>
            <w:webHidden/>
          </w:rPr>
        </w:r>
        <w:r w:rsidR="00153568">
          <w:rPr>
            <w:noProof/>
            <w:webHidden/>
          </w:rPr>
          <w:fldChar w:fldCharType="separate"/>
        </w:r>
        <w:r w:rsidR="00153568">
          <w:rPr>
            <w:noProof/>
            <w:webHidden/>
          </w:rPr>
          <w:t>9</w:t>
        </w:r>
        <w:r w:rsidR="00153568">
          <w:rPr>
            <w:noProof/>
            <w:webHidden/>
          </w:rPr>
          <w:fldChar w:fldCharType="end"/>
        </w:r>
      </w:hyperlink>
    </w:p>
    <w:p w14:paraId="79ABAFF8" w14:textId="7B493822" w:rsidR="00153568" w:rsidRDefault="00CB212C">
      <w:pPr>
        <w:pStyle w:val="TOC2"/>
        <w:rPr>
          <w:rFonts w:asciiTheme="minorHAnsi" w:eastAsiaTheme="minorEastAsia" w:hAnsiTheme="minorHAnsi" w:cstheme="minorBidi"/>
          <w:noProof/>
          <w:szCs w:val="22"/>
          <w:lang w:val="en-AU" w:eastAsia="en-AU"/>
        </w:rPr>
      </w:pPr>
      <w:hyperlink w:anchor="_Toc109793293" w:history="1">
        <w:r w:rsidR="00153568" w:rsidRPr="006760B8">
          <w:rPr>
            <w:rStyle w:val="Hyperlink"/>
            <w:noProof/>
          </w:rPr>
          <w:t>Requirement for permissions</w:t>
        </w:r>
        <w:r w:rsidR="00153568">
          <w:rPr>
            <w:noProof/>
            <w:webHidden/>
          </w:rPr>
          <w:tab/>
        </w:r>
        <w:r w:rsidR="00153568">
          <w:rPr>
            <w:noProof/>
            <w:webHidden/>
          </w:rPr>
          <w:fldChar w:fldCharType="begin"/>
        </w:r>
        <w:r w:rsidR="00153568">
          <w:rPr>
            <w:noProof/>
            <w:webHidden/>
          </w:rPr>
          <w:instrText xml:space="preserve"> PAGEREF _Toc109793293 \h </w:instrText>
        </w:r>
        <w:r w:rsidR="00153568">
          <w:rPr>
            <w:noProof/>
            <w:webHidden/>
          </w:rPr>
        </w:r>
        <w:r w:rsidR="00153568">
          <w:rPr>
            <w:noProof/>
            <w:webHidden/>
          </w:rPr>
          <w:fldChar w:fldCharType="separate"/>
        </w:r>
        <w:r w:rsidR="00153568">
          <w:rPr>
            <w:noProof/>
            <w:webHidden/>
          </w:rPr>
          <w:t>9</w:t>
        </w:r>
        <w:r w:rsidR="00153568">
          <w:rPr>
            <w:noProof/>
            <w:webHidden/>
          </w:rPr>
          <w:fldChar w:fldCharType="end"/>
        </w:r>
      </w:hyperlink>
    </w:p>
    <w:p w14:paraId="4A8AB14F" w14:textId="032D3767" w:rsidR="00153568" w:rsidRDefault="00CB212C">
      <w:pPr>
        <w:pStyle w:val="TOC2"/>
        <w:rPr>
          <w:rFonts w:asciiTheme="minorHAnsi" w:eastAsiaTheme="minorEastAsia" w:hAnsiTheme="minorHAnsi" w:cstheme="minorBidi"/>
          <w:noProof/>
          <w:szCs w:val="22"/>
          <w:lang w:val="en-AU" w:eastAsia="en-AU"/>
        </w:rPr>
      </w:pPr>
      <w:hyperlink w:anchor="_Toc109793294" w:history="1">
        <w:r w:rsidR="00153568" w:rsidRPr="006760B8">
          <w:rPr>
            <w:rStyle w:val="Hyperlink"/>
            <w:noProof/>
          </w:rPr>
          <w:t>Issuing permissions</w:t>
        </w:r>
        <w:r w:rsidR="00153568">
          <w:rPr>
            <w:noProof/>
            <w:webHidden/>
          </w:rPr>
          <w:tab/>
        </w:r>
        <w:r w:rsidR="00153568">
          <w:rPr>
            <w:noProof/>
            <w:webHidden/>
          </w:rPr>
          <w:fldChar w:fldCharType="begin"/>
        </w:r>
        <w:r w:rsidR="00153568">
          <w:rPr>
            <w:noProof/>
            <w:webHidden/>
          </w:rPr>
          <w:instrText xml:space="preserve"> PAGEREF _Toc109793294 \h </w:instrText>
        </w:r>
        <w:r w:rsidR="00153568">
          <w:rPr>
            <w:noProof/>
            <w:webHidden/>
          </w:rPr>
        </w:r>
        <w:r w:rsidR="00153568">
          <w:rPr>
            <w:noProof/>
            <w:webHidden/>
          </w:rPr>
          <w:fldChar w:fldCharType="separate"/>
        </w:r>
        <w:r w:rsidR="00153568">
          <w:rPr>
            <w:noProof/>
            <w:webHidden/>
          </w:rPr>
          <w:t>10</w:t>
        </w:r>
        <w:r w:rsidR="00153568">
          <w:rPr>
            <w:noProof/>
            <w:webHidden/>
          </w:rPr>
          <w:fldChar w:fldCharType="end"/>
        </w:r>
      </w:hyperlink>
    </w:p>
    <w:p w14:paraId="45C0F30C" w14:textId="6738685C" w:rsidR="00153568" w:rsidRDefault="00CB212C">
      <w:pPr>
        <w:pStyle w:val="TOC2"/>
        <w:rPr>
          <w:rFonts w:asciiTheme="minorHAnsi" w:eastAsiaTheme="minorEastAsia" w:hAnsiTheme="minorHAnsi" w:cstheme="minorBidi"/>
          <w:noProof/>
          <w:szCs w:val="22"/>
          <w:lang w:val="en-AU" w:eastAsia="en-AU"/>
        </w:rPr>
      </w:pPr>
      <w:hyperlink w:anchor="_Toc109793295" w:history="1">
        <w:r w:rsidR="00153568" w:rsidRPr="006760B8">
          <w:rPr>
            <w:rStyle w:val="Hyperlink"/>
            <w:noProof/>
          </w:rPr>
          <w:t>Managing enquiries and complaints</w:t>
        </w:r>
        <w:r w:rsidR="00153568">
          <w:rPr>
            <w:noProof/>
            <w:webHidden/>
          </w:rPr>
          <w:tab/>
        </w:r>
        <w:r w:rsidR="00153568">
          <w:rPr>
            <w:noProof/>
            <w:webHidden/>
          </w:rPr>
          <w:fldChar w:fldCharType="begin"/>
        </w:r>
        <w:r w:rsidR="00153568">
          <w:rPr>
            <w:noProof/>
            <w:webHidden/>
          </w:rPr>
          <w:instrText xml:space="preserve"> PAGEREF _Toc109793295 \h </w:instrText>
        </w:r>
        <w:r w:rsidR="00153568">
          <w:rPr>
            <w:noProof/>
            <w:webHidden/>
          </w:rPr>
        </w:r>
        <w:r w:rsidR="00153568">
          <w:rPr>
            <w:noProof/>
            <w:webHidden/>
          </w:rPr>
          <w:fldChar w:fldCharType="separate"/>
        </w:r>
        <w:r w:rsidR="00153568">
          <w:rPr>
            <w:noProof/>
            <w:webHidden/>
          </w:rPr>
          <w:t>14</w:t>
        </w:r>
        <w:r w:rsidR="00153568">
          <w:rPr>
            <w:noProof/>
            <w:webHidden/>
          </w:rPr>
          <w:fldChar w:fldCharType="end"/>
        </w:r>
      </w:hyperlink>
    </w:p>
    <w:p w14:paraId="1638FAEA" w14:textId="6F1A3D45" w:rsidR="00153568" w:rsidRDefault="00CB212C">
      <w:pPr>
        <w:pStyle w:val="TOC2"/>
        <w:rPr>
          <w:rFonts w:asciiTheme="minorHAnsi" w:eastAsiaTheme="minorEastAsia" w:hAnsiTheme="minorHAnsi" w:cstheme="minorBidi"/>
          <w:noProof/>
          <w:szCs w:val="22"/>
          <w:lang w:val="en-AU" w:eastAsia="en-AU"/>
        </w:rPr>
      </w:pPr>
      <w:hyperlink w:anchor="_Toc109793296" w:history="1">
        <w:r w:rsidR="00153568" w:rsidRPr="006760B8">
          <w:rPr>
            <w:rStyle w:val="Hyperlink"/>
            <w:noProof/>
          </w:rPr>
          <w:t>Model Permit Conditions</w:t>
        </w:r>
        <w:r w:rsidR="00153568">
          <w:rPr>
            <w:noProof/>
            <w:webHidden/>
          </w:rPr>
          <w:tab/>
        </w:r>
        <w:r w:rsidR="00153568">
          <w:rPr>
            <w:noProof/>
            <w:webHidden/>
          </w:rPr>
          <w:fldChar w:fldCharType="begin"/>
        </w:r>
        <w:r w:rsidR="00153568">
          <w:rPr>
            <w:noProof/>
            <w:webHidden/>
          </w:rPr>
          <w:instrText xml:space="preserve"> PAGEREF _Toc109793296 \h </w:instrText>
        </w:r>
        <w:r w:rsidR="00153568">
          <w:rPr>
            <w:noProof/>
            <w:webHidden/>
          </w:rPr>
        </w:r>
        <w:r w:rsidR="00153568">
          <w:rPr>
            <w:noProof/>
            <w:webHidden/>
          </w:rPr>
          <w:fldChar w:fldCharType="separate"/>
        </w:r>
        <w:r w:rsidR="00153568">
          <w:rPr>
            <w:noProof/>
            <w:webHidden/>
          </w:rPr>
          <w:t>16</w:t>
        </w:r>
        <w:r w:rsidR="00153568">
          <w:rPr>
            <w:noProof/>
            <w:webHidden/>
          </w:rPr>
          <w:fldChar w:fldCharType="end"/>
        </w:r>
      </w:hyperlink>
    </w:p>
    <w:p w14:paraId="22FE9789" w14:textId="50BE866F" w:rsidR="00153568" w:rsidRDefault="00CB212C">
      <w:pPr>
        <w:pStyle w:val="TOC2"/>
        <w:rPr>
          <w:rFonts w:asciiTheme="minorHAnsi" w:eastAsiaTheme="minorEastAsia" w:hAnsiTheme="minorHAnsi" w:cstheme="minorBidi"/>
          <w:noProof/>
          <w:szCs w:val="22"/>
          <w:lang w:val="en-AU" w:eastAsia="en-AU"/>
        </w:rPr>
      </w:pPr>
      <w:hyperlink w:anchor="_Toc109793297" w:history="1">
        <w:r w:rsidR="00153568" w:rsidRPr="006760B8">
          <w:rPr>
            <w:rStyle w:val="Hyperlink"/>
            <w:noProof/>
          </w:rPr>
          <w:t>Case study 1: Managing risk around roads and vehicle tracks</w:t>
        </w:r>
        <w:r w:rsidR="00153568">
          <w:rPr>
            <w:noProof/>
            <w:webHidden/>
          </w:rPr>
          <w:tab/>
        </w:r>
        <w:r w:rsidR="00153568">
          <w:rPr>
            <w:noProof/>
            <w:webHidden/>
          </w:rPr>
          <w:fldChar w:fldCharType="begin"/>
        </w:r>
        <w:r w:rsidR="00153568">
          <w:rPr>
            <w:noProof/>
            <w:webHidden/>
          </w:rPr>
          <w:instrText xml:space="preserve"> PAGEREF _Toc109793297 \h </w:instrText>
        </w:r>
        <w:r w:rsidR="00153568">
          <w:rPr>
            <w:noProof/>
            <w:webHidden/>
          </w:rPr>
        </w:r>
        <w:r w:rsidR="00153568">
          <w:rPr>
            <w:noProof/>
            <w:webHidden/>
          </w:rPr>
          <w:fldChar w:fldCharType="separate"/>
        </w:r>
        <w:r w:rsidR="00153568">
          <w:rPr>
            <w:noProof/>
            <w:webHidden/>
          </w:rPr>
          <w:t>25</w:t>
        </w:r>
        <w:r w:rsidR="00153568">
          <w:rPr>
            <w:noProof/>
            <w:webHidden/>
          </w:rPr>
          <w:fldChar w:fldCharType="end"/>
        </w:r>
      </w:hyperlink>
    </w:p>
    <w:p w14:paraId="1C0822E9" w14:textId="5EA4C1A3" w:rsidR="00153568" w:rsidRDefault="00CB212C">
      <w:pPr>
        <w:pStyle w:val="TOC2"/>
        <w:rPr>
          <w:rFonts w:asciiTheme="minorHAnsi" w:eastAsiaTheme="minorEastAsia" w:hAnsiTheme="minorHAnsi" w:cstheme="minorBidi"/>
          <w:noProof/>
          <w:szCs w:val="22"/>
          <w:lang w:val="en-AU" w:eastAsia="en-AU"/>
        </w:rPr>
      </w:pPr>
      <w:hyperlink w:anchor="_Toc109793298" w:history="1">
        <w:r w:rsidR="00153568" w:rsidRPr="006760B8">
          <w:rPr>
            <w:rStyle w:val="Hyperlink"/>
            <w:noProof/>
          </w:rPr>
          <w:t>Case study 2: Managing high-risk exclusions</w:t>
        </w:r>
        <w:r w:rsidR="00153568">
          <w:rPr>
            <w:noProof/>
            <w:webHidden/>
          </w:rPr>
          <w:tab/>
        </w:r>
        <w:r w:rsidR="00153568">
          <w:rPr>
            <w:noProof/>
            <w:webHidden/>
          </w:rPr>
          <w:fldChar w:fldCharType="begin"/>
        </w:r>
        <w:r w:rsidR="00153568">
          <w:rPr>
            <w:noProof/>
            <w:webHidden/>
          </w:rPr>
          <w:instrText xml:space="preserve"> PAGEREF _Toc109793298 \h </w:instrText>
        </w:r>
        <w:r w:rsidR="00153568">
          <w:rPr>
            <w:noProof/>
            <w:webHidden/>
          </w:rPr>
        </w:r>
        <w:r w:rsidR="00153568">
          <w:rPr>
            <w:noProof/>
            <w:webHidden/>
          </w:rPr>
          <w:fldChar w:fldCharType="separate"/>
        </w:r>
        <w:r w:rsidR="00153568">
          <w:rPr>
            <w:noProof/>
            <w:webHidden/>
          </w:rPr>
          <w:t>27</w:t>
        </w:r>
        <w:r w:rsidR="00153568">
          <w:rPr>
            <w:noProof/>
            <w:webHidden/>
          </w:rPr>
          <w:fldChar w:fldCharType="end"/>
        </w:r>
      </w:hyperlink>
    </w:p>
    <w:p w14:paraId="7F300AB3" w14:textId="5573E0DC" w:rsidR="00153568" w:rsidRDefault="00CB212C">
      <w:pPr>
        <w:pStyle w:val="TOC1"/>
        <w:rPr>
          <w:rFonts w:asciiTheme="minorHAnsi" w:eastAsiaTheme="minorEastAsia" w:hAnsiTheme="minorHAnsi" w:cstheme="minorBidi"/>
          <w:noProof/>
          <w:sz w:val="22"/>
          <w:szCs w:val="22"/>
          <w:lang w:val="en-AU" w:eastAsia="en-AU"/>
        </w:rPr>
      </w:pPr>
      <w:hyperlink w:anchor="_Toc109793299" w:history="1">
        <w:r w:rsidR="00153568" w:rsidRPr="006760B8">
          <w:rPr>
            <w:rStyle w:val="Hyperlink"/>
            <w:noProof/>
          </w:rPr>
          <w:t>Bibliography and references</w:t>
        </w:r>
        <w:r w:rsidR="00153568">
          <w:rPr>
            <w:noProof/>
            <w:webHidden/>
          </w:rPr>
          <w:tab/>
        </w:r>
        <w:r w:rsidR="00153568">
          <w:rPr>
            <w:noProof/>
            <w:webHidden/>
          </w:rPr>
          <w:fldChar w:fldCharType="begin"/>
        </w:r>
        <w:r w:rsidR="00153568">
          <w:rPr>
            <w:noProof/>
            <w:webHidden/>
          </w:rPr>
          <w:instrText xml:space="preserve"> PAGEREF _Toc109793299 \h </w:instrText>
        </w:r>
        <w:r w:rsidR="00153568">
          <w:rPr>
            <w:noProof/>
            <w:webHidden/>
          </w:rPr>
        </w:r>
        <w:r w:rsidR="00153568">
          <w:rPr>
            <w:noProof/>
            <w:webHidden/>
          </w:rPr>
          <w:fldChar w:fldCharType="separate"/>
        </w:r>
        <w:r w:rsidR="00153568">
          <w:rPr>
            <w:noProof/>
            <w:webHidden/>
          </w:rPr>
          <w:t>29</w:t>
        </w:r>
        <w:r w:rsidR="00153568">
          <w:rPr>
            <w:noProof/>
            <w:webHidden/>
          </w:rPr>
          <w:fldChar w:fldCharType="end"/>
        </w:r>
      </w:hyperlink>
    </w:p>
    <w:p w14:paraId="71176EDC" w14:textId="02E5DDCB" w:rsidR="00153568" w:rsidRDefault="00CB212C">
      <w:pPr>
        <w:pStyle w:val="TOC1"/>
        <w:rPr>
          <w:rFonts w:asciiTheme="minorHAnsi" w:eastAsiaTheme="minorEastAsia" w:hAnsiTheme="minorHAnsi" w:cstheme="minorBidi"/>
          <w:noProof/>
          <w:sz w:val="22"/>
          <w:szCs w:val="22"/>
          <w:lang w:val="en-AU" w:eastAsia="en-AU"/>
        </w:rPr>
      </w:pPr>
      <w:hyperlink w:anchor="_Toc109793300" w:history="1">
        <w:r w:rsidR="00153568" w:rsidRPr="006760B8">
          <w:rPr>
            <w:rStyle w:val="Hyperlink"/>
            <w:noProof/>
          </w:rPr>
          <w:t>Appendix 1: EPA approval codes for VTAs and other hazardous substances requiring health permissions</w:t>
        </w:r>
        <w:r w:rsidR="00153568">
          <w:rPr>
            <w:noProof/>
            <w:webHidden/>
          </w:rPr>
          <w:tab/>
        </w:r>
        <w:r w:rsidR="00153568">
          <w:rPr>
            <w:noProof/>
            <w:webHidden/>
          </w:rPr>
          <w:fldChar w:fldCharType="begin"/>
        </w:r>
        <w:r w:rsidR="00153568">
          <w:rPr>
            <w:noProof/>
            <w:webHidden/>
          </w:rPr>
          <w:instrText xml:space="preserve"> PAGEREF _Toc109793300 \h </w:instrText>
        </w:r>
        <w:r w:rsidR="00153568">
          <w:rPr>
            <w:noProof/>
            <w:webHidden/>
          </w:rPr>
        </w:r>
        <w:r w:rsidR="00153568">
          <w:rPr>
            <w:noProof/>
            <w:webHidden/>
          </w:rPr>
          <w:fldChar w:fldCharType="separate"/>
        </w:r>
        <w:r w:rsidR="00153568">
          <w:rPr>
            <w:noProof/>
            <w:webHidden/>
          </w:rPr>
          <w:t>32</w:t>
        </w:r>
        <w:r w:rsidR="00153568">
          <w:rPr>
            <w:noProof/>
            <w:webHidden/>
          </w:rPr>
          <w:fldChar w:fldCharType="end"/>
        </w:r>
      </w:hyperlink>
    </w:p>
    <w:p w14:paraId="2B04D540" w14:textId="45AEFFE6" w:rsidR="00153568" w:rsidRDefault="00CB212C">
      <w:pPr>
        <w:pStyle w:val="TOC1"/>
        <w:rPr>
          <w:rFonts w:asciiTheme="minorHAnsi" w:eastAsiaTheme="minorEastAsia" w:hAnsiTheme="minorHAnsi" w:cstheme="minorBidi"/>
          <w:noProof/>
          <w:sz w:val="22"/>
          <w:szCs w:val="22"/>
          <w:lang w:val="en-AU" w:eastAsia="en-AU"/>
        </w:rPr>
      </w:pPr>
      <w:hyperlink w:anchor="_Toc109793301" w:history="1">
        <w:r w:rsidR="00153568" w:rsidRPr="006760B8">
          <w:rPr>
            <w:rStyle w:val="Hyperlink"/>
            <w:noProof/>
          </w:rPr>
          <w:t>Appendix 2: Notes to assist in the risk assessment</w:t>
        </w:r>
        <w:r w:rsidR="00153568">
          <w:rPr>
            <w:noProof/>
            <w:webHidden/>
          </w:rPr>
          <w:tab/>
        </w:r>
        <w:r w:rsidR="00153568">
          <w:rPr>
            <w:noProof/>
            <w:webHidden/>
          </w:rPr>
          <w:fldChar w:fldCharType="begin"/>
        </w:r>
        <w:r w:rsidR="00153568">
          <w:rPr>
            <w:noProof/>
            <w:webHidden/>
          </w:rPr>
          <w:instrText xml:space="preserve"> PAGEREF _Toc109793301 \h </w:instrText>
        </w:r>
        <w:r w:rsidR="00153568">
          <w:rPr>
            <w:noProof/>
            <w:webHidden/>
          </w:rPr>
        </w:r>
        <w:r w:rsidR="00153568">
          <w:rPr>
            <w:noProof/>
            <w:webHidden/>
          </w:rPr>
          <w:fldChar w:fldCharType="separate"/>
        </w:r>
        <w:r w:rsidR="00153568">
          <w:rPr>
            <w:noProof/>
            <w:webHidden/>
          </w:rPr>
          <w:t>34</w:t>
        </w:r>
        <w:r w:rsidR="00153568">
          <w:rPr>
            <w:noProof/>
            <w:webHidden/>
          </w:rPr>
          <w:fldChar w:fldCharType="end"/>
        </w:r>
      </w:hyperlink>
    </w:p>
    <w:p w14:paraId="7375BE4E" w14:textId="0AAAACC2" w:rsidR="00153568" w:rsidRDefault="00CB212C">
      <w:pPr>
        <w:pStyle w:val="TOC2"/>
        <w:rPr>
          <w:rFonts w:asciiTheme="minorHAnsi" w:eastAsiaTheme="minorEastAsia" w:hAnsiTheme="minorHAnsi" w:cstheme="minorBidi"/>
          <w:noProof/>
          <w:szCs w:val="22"/>
          <w:lang w:val="en-AU" w:eastAsia="en-AU"/>
        </w:rPr>
      </w:pPr>
      <w:hyperlink w:anchor="_Toc109793302" w:history="1">
        <w:r w:rsidR="00153568" w:rsidRPr="006760B8">
          <w:rPr>
            <w:rStyle w:val="Hyperlink"/>
            <w:noProof/>
          </w:rPr>
          <w:t>Methods of application</w:t>
        </w:r>
        <w:r w:rsidR="00153568">
          <w:rPr>
            <w:noProof/>
            <w:webHidden/>
          </w:rPr>
          <w:tab/>
        </w:r>
        <w:r w:rsidR="00153568">
          <w:rPr>
            <w:noProof/>
            <w:webHidden/>
          </w:rPr>
          <w:fldChar w:fldCharType="begin"/>
        </w:r>
        <w:r w:rsidR="00153568">
          <w:rPr>
            <w:noProof/>
            <w:webHidden/>
          </w:rPr>
          <w:instrText xml:space="preserve"> PAGEREF _Toc109793302 \h </w:instrText>
        </w:r>
        <w:r w:rsidR="00153568">
          <w:rPr>
            <w:noProof/>
            <w:webHidden/>
          </w:rPr>
        </w:r>
        <w:r w:rsidR="00153568">
          <w:rPr>
            <w:noProof/>
            <w:webHidden/>
          </w:rPr>
          <w:fldChar w:fldCharType="separate"/>
        </w:r>
        <w:r w:rsidR="00153568">
          <w:rPr>
            <w:noProof/>
            <w:webHidden/>
          </w:rPr>
          <w:t>34</w:t>
        </w:r>
        <w:r w:rsidR="00153568">
          <w:rPr>
            <w:noProof/>
            <w:webHidden/>
          </w:rPr>
          <w:fldChar w:fldCharType="end"/>
        </w:r>
      </w:hyperlink>
    </w:p>
    <w:p w14:paraId="0712B02C" w14:textId="0DAB4E6C" w:rsidR="00153568" w:rsidRDefault="00CB212C">
      <w:pPr>
        <w:pStyle w:val="TOC2"/>
        <w:rPr>
          <w:rFonts w:asciiTheme="minorHAnsi" w:eastAsiaTheme="minorEastAsia" w:hAnsiTheme="minorHAnsi" w:cstheme="minorBidi"/>
          <w:noProof/>
          <w:szCs w:val="22"/>
          <w:lang w:val="en-AU" w:eastAsia="en-AU"/>
        </w:rPr>
      </w:pPr>
      <w:hyperlink w:anchor="_Toc109793303" w:history="1">
        <w:r w:rsidR="00153568" w:rsidRPr="006760B8">
          <w:rPr>
            <w:rStyle w:val="Hyperlink"/>
            <w:noProof/>
          </w:rPr>
          <w:t>Aerial application</w:t>
        </w:r>
        <w:r w:rsidR="00153568">
          <w:rPr>
            <w:noProof/>
            <w:webHidden/>
          </w:rPr>
          <w:tab/>
        </w:r>
        <w:r w:rsidR="00153568">
          <w:rPr>
            <w:noProof/>
            <w:webHidden/>
          </w:rPr>
          <w:fldChar w:fldCharType="begin"/>
        </w:r>
        <w:r w:rsidR="00153568">
          <w:rPr>
            <w:noProof/>
            <w:webHidden/>
          </w:rPr>
          <w:instrText xml:space="preserve"> PAGEREF _Toc109793303 \h </w:instrText>
        </w:r>
        <w:r w:rsidR="00153568">
          <w:rPr>
            <w:noProof/>
            <w:webHidden/>
          </w:rPr>
        </w:r>
        <w:r w:rsidR="00153568">
          <w:rPr>
            <w:noProof/>
            <w:webHidden/>
          </w:rPr>
          <w:fldChar w:fldCharType="separate"/>
        </w:r>
        <w:r w:rsidR="00153568">
          <w:rPr>
            <w:noProof/>
            <w:webHidden/>
          </w:rPr>
          <w:t>35</w:t>
        </w:r>
        <w:r w:rsidR="00153568">
          <w:rPr>
            <w:noProof/>
            <w:webHidden/>
          </w:rPr>
          <w:fldChar w:fldCharType="end"/>
        </w:r>
      </w:hyperlink>
    </w:p>
    <w:p w14:paraId="72FD48F2" w14:textId="6C7BC5BA" w:rsidR="00153568" w:rsidRDefault="00CB212C">
      <w:pPr>
        <w:pStyle w:val="TOC2"/>
        <w:rPr>
          <w:rFonts w:asciiTheme="minorHAnsi" w:eastAsiaTheme="minorEastAsia" w:hAnsiTheme="minorHAnsi" w:cstheme="minorBidi"/>
          <w:noProof/>
          <w:szCs w:val="22"/>
          <w:lang w:val="en-AU" w:eastAsia="en-AU"/>
        </w:rPr>
      </w:pPr>
      <w:hyperlink w:anchor="_Toc109793304" w:history="1">
        <w:r w:rsidR="00153568" w:rsidRPr="006760B8">
          <w:rPr>
            <w:rStyle w:val="Hyperlink"/>
            <w:noProof/>
          </w:rPr>
          <w:t>Ground-based application</w:t>
        </w:r>
        <w:r w:rsidR="00153568">
          <w:rPr>
            <w:noProof/>
            <w:webHidden/>
          </w:rPr>
          <w:tab/>
        </w:r>
        <w:r w:rsidR="00153568">
          <w:rPr>
            <w:noProof/>
            <w:webHidden/>
          </w:rPr>
          <w:fldChar w:fldCharType="begin"/>
        </w:r>
        <w:r w:rsidR="00153568">
          <w:rPr>
            <w:noProof/>
            <w:webHidden/>
          </w:rPr>
          <w:instrText xml:space="preserve"> PAGEREF _Toc109793304 \h </w:instrText>
        </w:r>
        <w:r w:rsidR="00153568">
          <w:rPr>
            <w:noProof/>
            <w:webHidden/>
          </w:rPr>
        </w:r>
        <w:r w:rsidR="00153568">
          <w:rPr>
            <w:noProof/>
            <w:webHidden/>
          </w:rPr>
          <w:fldChar w:fldCharType="separate"/>
        </w:r>
        <w:r w:rsidR="00153568">
          <w:rPr>
            <w:noProof/>
            <w:webHidden/>
          </w:rPr>
          <w:t>36</w:t>
        </w:r>
        <w:r w:rsidR="00153568">
          <w:rPr>
            <w:noProof/>
            <w:webHidden/>
          </w:rPr>
          <w:fldChar w:fldCharType="end"/>
        </w:r>
      </w:hyperlink>
    </w:p>
    <w:p w14:paraId="79E45842" w14:textId="52A82A03" w:rsidR="00153568" w:rsidRDefault="00CB212C">
      <w:pPr>
        <w:pStyle w:val="TOC2"/>
        <w:rPr>
          <w:rFonts w:asciiTheme="minorHAnsi" w:eastAsiaTheme="minorEastAsia" w:hAnsiTheme="minorHAnsi" w:cstheme="minorBidi"/>
          <w:noProof/>
          <w:szCs w:val="22"/>
          <w:lang w:val="en-AU" w:eastAsia="en-AU"/>
        </w:rPr>
      </w:pPr>
      <w:hyperlink w:anchor="_Toc109793305" w:history="1">
        <w:r w:rsidR="00153568" w:rsidRPr="006760B8">
          <w:rPr>
            <w:rStyle w:val="Hyperlink"/>
            <w:noProof/>
          </w:rPr>
          <w:t>Bait presentation</w:t>
        </w:r>
        <w:r w:rsidR="00153568">
          <w:rPr>
            <w:noProof/>
            <w:webHidden/>
          </w:rPr>
          <w:tab/>
        </w:r>
        <w:r w:rsidR="00153568">
          <w:rPr>
            <w:noProof/>
            <w:webHidden/>
          </w:rPr>
          <w:fldChar w:fldCharType="begin"/>
        </w:r>
        <w:r w:rsidR="00153568">
          <w:rPr>
            <w:noProof/>
            <w:webHidden/>
          </w:rPr>
          <w:instrText xml:space="preserve"> PAGEREF _Toc109793305 \h </w:instrText>
        </w:r>
        <w:r w:rsidR="00153568">
          <w:rPr>
            <w:noProof/>
            <w:webHidden/>
          </w:rPr>
        </w:r>
        <w:r w:rsidR="00153568">
          <w:rPr>
            <w:noProof/>
            <w:webHidden/>
          </w:rPr>
          <w:fldChar w:fldCharType="separate"/>
        </w:r>
        <w:r w:rsidR="00153568">
          <w:rPr>
            <w:noProof/>
            <w:webHidden/>
          </w:rPr>
          <w:t>36</w:t>
        </w:r>
        <w:r w:rsidR="00153568">
          <w:rPr>
            <w:noProof/>
            <w:webHidden/>
          </w:rPr>
          <w:fldChar w:fldCharType="end"/>
        </w:r>
      </w:hyperlink>
    </w:p>
    <w:p w14:paraId="481ACEFE" w14:textId="131D3B25" w:rsidR="00153568" w:rsidRDefault="00CB212C">
      <w:pPr>
        <w:pStyle w:val="TOC2"/>
        <w:rPr>
          <w:rFonts w:asciiTheme="minorHAnsi" w:eastAsiaTheme="minorEastAsia" w:hAnsiTheme="minorHAnsi" w:cstheme="minorBidi"/>
          <w:noProof/>
          <w:szCs w:val="22"/>
          <w:lang w:val="en-AU" w:eastAsia="en-AU"/>
        </w:rPr>
      </w:pPr>
      <w:hyperlink w:anchor="_Toc109793306" w:history="1">
        <w:r w:rsidR="00153568" w:rsidRPr="006760B8">
          <w:rPr>
            <w:rStyle w:val="Hyperlink"/>
            <w:noProof/>
          </w:rPr>
          <w:t>Terrain and vegetation variables</w:t>
        </w:r>
        <w:r w:rsidR="00153568">
          <w:rPr>
            <w:noProof/>
            <w:webHidden/>
          </w:rPr>
          <w:tab/>
        </w:r>
        <w:r w:rsidR="00153568">
          <w:rPr>
            <w:noProof/>
            <w:webHidden/>
          </w:rPr>
          <w:fldChar w:fldCharType="begin"/>
        </w:r>
        <w:r w:rsidR="00153568">
          <w:rPr>
            <w:noProof/>
            <w:webHidden/>
          </w:rPr>
          <w:instrText xml:space="preserve"> PAGEREF _Toc109793306 \h </w:instrText>
        </w:r>
        <w:r w:rsidR="00153568">
          <w:rPr>
            <w:noProof/>
            <w:webHidden/>
          </w:rPr>
        </w:r>
        <w:r w:rsidR="00153568">
          <w:rPr>
            <w:noProof/>
            <w:webHidden/>
          </w:rPr>
          <w:fldChar w:fldCharType="separate"/>
        </w:r>
        <w:r w:rsidR="00153568">
          <w:rPr>
            <w:noProof/>
            <w:webHidden/>
          </w:rPr>
          <w:t>37</w:t>
        </w:r>
        <w:r w:rsidR="00153568">
          <w:rPr>
            <w:noProof/>
            <w:webHidden/>
          </w:rPr>
          <w:fldChar w:fldCharType="end"/>
        </w:r>
      </w:hyperlink>
    </w:p>
    <w:p w14:paraId="4783B938" w14:textId="2D0032C8" w:rsidR="00153568" w:rsidRDefault="00CB212C">
      <w:pPr>
        <w:pStyle w:val="TOC2"/>
        <w:rPr>
          <w:rFonts w:asciiTheme="minorHAnsi" w:eastAsiaTheme="minorEastAsia" w:hAnsiTheme="minorHAnsi" w:cstheme="minorBidi"/>
          <w:noProof/>
          <w:szCs w:val="22"/>
          <w:lang w:val="en-AU" w:eastAsia="en-AU"/>
        </w:rPr>
      </w:pPr>
      <w:hyperlink w:anchor="_Toc109793307" w:history="1">
        <w:r w:rsidR="00153568" w:rsidRPr="006760B8">
          <w:rPr>
            <w:rStyle w:val="Hyperlink"/>
            <w:noProof/>
          </w:rPr>
          <w:t>Potentially exposed population</w:t>
        </w:r>
        <w:r w:rsidR="00153568">
          <w:rPr>
            <w:noProof/>
            <w:webHidden/>
          </w:rPr>
          <w:tab/>
        </w:r>
        <w:r w:rsidR="00153568">
          <w:rPr>
            <w:noProof/>
            <w:webHidden/>
          </w:rPr>
          <w:fldChar w:fldCharType="begin"/>
        </w:r>
        <w:r w:rsidR="00153568">
          <w:rPr>
            <w:noProof/>
            <w:webHidden/>
          </w:rPr>
          <w:instrText xml:space="preserve"> PAGEREF _Toc109793307 \h </w:instrText>
        </w:r>
        <w:r w:rsidR="00153568">
          <w:rPr>
            <w:noProof/>
            <w:webHidden/>
          </w:rPr>
        </w:r>
        <w:r w:rsidR="00153568">
          <w:rPr>
            <w:noProof/>
            <w:webHidden/>
          </w:rPr>
          <w:fldChar w:fldCharType="separate"/>
        </w:r>
        <w:r w:rsidR="00153568">
          <w:rPr>
            <w:noProof/>
            <w:webHidden/>
          </w:rPr>
          <w:t>38</w:t>
        </w:r>
        <w:r w:rsidR="00153568">
          <w:rPr>
            <w:noProof/>
            <w:webHidden/>
          </w:rPr>
          <w:fldChar w:fldCharType="end"/>
        </w:r>
      </w:hyperlink>
    </w:p>
    <w:p w14:paraId="2365761B" w14:textId="25ECC85C" w:rsidR="00153568" w:rsidRDefault="00CB212C">
      <w:pPr>
        <w:pStyle w:val="TOC1"/>
        <w:rPr>
          <w:rFonts w:asciiTheme="minorHAnsi" w:eastAsiaTheme="minorEastAsia" w:hAnsiTheme="minorHAnsi" w:cstheme="minorBidi"/>
          <w:noProof/>
          <w:sz w:val="22"/>
          <w:szCs w:val="22"/>
          <w:lang w:val="en-AU" w:eastAsia="en-AU"/>
        </w:rPr>
      </w:pPr>
      <w:hyperlink w:anchor="_Toc109793308" w:history="1">
        <w:r w:rsidR="00153568" w:rsidRPr="006760B8">
          <w:rPr>
            <w:rStyle w:val="Hyperlink"/>
            <w:noProof/>
          </w:rPr>
          <w:t>Appendix 3: Example checklist for assessing applications</w:t>
        </w:r>
        <w:r w:rsidR="00153568">
          <w:rPr>
            <w:noProof/>
            <w:webHidden/>
          </w:rPr>
          <w:tab/>
        </w:r>
        <w:r w:rsidR="00153568">
          <w:rPr>
            <w:noProof/>
            <w:webHidden/>
          </w:rPr>
          <w:fldChar w:fldCharType="begin"/>
        </w:r>
        <w:r w:rsidR="00153568">
          <w:rPr>
            <w:noProof/>
            <w:webHidden/>
          </w:rPr>
          <w:instrText xml:space="preserve"> PAGEREF _Toc109793308 \h </w:instrText>
        </w:r>
        <w:r w:rsidR="00153568">
          <w:rPr>
            <w:noProof/>
            <w:webHidden/>
          </w:rPr>
        </w:r>
        <w:r w:rsidR="00153568">
          <w:rPr>
            <w:noProof/>
            <w:webHidden/>
          </w:rPr>
          <w:fldChar w:fldCharType="separate"/>
        </w:r>
        <w:r w:rsidR="00153568">
          <w:rPr>
            <w:noProof/>
            <w:webHidden/>
          </w:rPr>
          <w:t>39</w:t>
        </w:r>
        <w:r w:rsidR="00153568">
          <w:rPr>
            <w:noProof/>
            <w:webHidden/>
          </w:rPr>
          <w:fldChar w:fldCharType="end"/>
        </w:r>
      </w:hyperlink>
    </w:p>
    <w:p w14:paraId="0670BEB5" w14:textId="3BC8B963" w:rsidR="00153568" w:rsidRDefault="00CB212C">
      <w:pPr>
        <w:pStyle w:val="TOC1"/>
        <w:rPr>
          <w:rFonts w:asciiTheme="minorHAnsi" w:eastAsiaTheme="minorEastAsia" w:hAnsiTheme="minorHAnsi" w:cstheme="minorBidi"/>
          <w:noProof/>
          <w:sz w:val="22"/>
          <w:szCs w:val="22"/>
          <w:lang w:val="en-AU" w:eastAsia="en-AU"/>
        </w:rPr>
      </w:pPr>
      <w:hyperlink w:anchor="_Toc109793309" w:history="1">
        <w:r w:rsidR="00153568" w:rsidRPr="006760B8">
          <w:rPr>
            <w:rStyle w:val="Hyperlink"/>
            <w:noProof/>
          </w:rPr>
          <w:t>Appendix 4: Example of an appropriate operational map</w:t>
        </w:r>
        <w:r w:rsidR="00153568">
          <w:rPr>
            <w:noProof/>
            <w:webHidden/>
          </w:rPr>
          <w:tab/>
        </w:r>
        <w:r w:rsidR="00153568">
          <w:rPr>
            <w:noProof/>
            <w:webHidden/>
          </w:rPr>
          <w:fldChar w:fldCharType="begin"/>
        </w:r>
        <w:r w:rsidR="00153568">
          <w:rPr>
            <w:noProof/>
            <w:webHidden/>
          </w:rPr>
          <w:instrText xml:space="preserve"> PAGEREF _Toc109793309 \h </w:instrText>
        </w:r>
        <w:r w:rsidR="00153568">
          <w:rPr>
            <w:noProof/>
            <w:webHidden/>
          </w:rPr>
        </w:r>
        <w:r w:rsidR="00153568">
          <w:rPr>
            <w:noProof/>
            <w:webHidden/>
          </w:rPr>
          <w:fldChar w:fldCharType="separate"/>
        </w:r>
        <w:r w:rsidR="00153568">
          <w:rPr>
            <w:noProof/>
            <w:webHidden/>
          </w:rPr>
          <w:t>40</w:t>
        </w:r>
        <w:r w:rsidR="00153568">
          <w:rPr>
            <w:noProof/>
            <w:webHidden/>
          </w:rPr>
          <w:fldChar w:fldCharType="end"/>
        </w:r>
      </w:hyperlink>
    </w:p>
    <w:p w14:paraId="2E50D183" w14:textId="02D6AF5D" w:rsidR="00153568" w:rsidRDefault="00CB212C">
      <w:pPr>
        <w:pStyle w:val="TOC1"/>
        <w:rPr>
          <w:rFonts w:asciiTheme="minorHAnsi" w:eastAsiaTheme="minorEastAsia" w:hAnsiTheme="minorHAnsi" w:cstheme="minorBidi"/>
          <w:noProof/>
          <w:sz w:val="22"/>
          <w:szCs w:val="22"/>
          <w:lang w:val="en-AU" w:eastAsia="en-AU"/>
        </w:rPr>
      </w:pPr>
      <w:hyperlink w:anchor="_Toc109793310" w:history="1">
        <w:r w:rsidR="00153568" w:rsidRPr="006760B8">
          <w:rPr>
            <w:rStyle w:val="Hyperlink"/>
            <w:noProof/>
          </w:rPr>
          <w:t>Appendix 5: Protection of drinking water – guidance</w:t>
        </w:r>
        <w:r w:rsidR="00153568">
          <w:rPr>
            <w:noProof/>
            <w:webHidden/>
          </w:rPr>
          <w:tab/>
        </w:r>
        <w:r w:rsidR="00153568">
          <w:rPr>
            <w:noProof/>
            <w:webHidden/>
          </w:rPr>
          <w:fldChar w:fldCharType="begin"/>
        </w:r>
        <w:r w:rsidR="00153568">
          <w:rPr>
            <w:noProof/>
            <w:webHidden/>
          </w:rPr>
          <w:instrText xml:space="preserve"> PAGEREF _Toc109793310 \h </w:instrText>
        </w:r>
        <w:r w:rsidR="00153568">
          <w:rPr>
            <w:noProof/>
            <w:webHidden/>
          </w:rPr>
        </w:r>
        <w:r w:rsidR="00153568">
          <w:rPr>
            <w:noProof/>
            <w:webHidden/>
          </w:rPr>
          <w:fldChar w:fldCharType="separate"/>
        </w:r>
        <w:r w:rsidR="00153568">
          <w:rPr>
            <w:noProof/>
            <w:webHidden/>
          </w:rPr>
          <w:t>41</w:t>
        </w:r>
        <w:r w:rsidR="00153568">
          <w:rPr>
            <w:noProof/>
            <w:webHidden/>
          </w:rPr>
          <w:fldChar w:fldCharType="end"/>
        </w:r>
      </w:hyperlink>
    </w:p>
    <w:p w14:paraId="6D826B6C" w14:textId="077146F6" w:rsidR="00153568" w:rsidRDefault="00CB212C">
      <w:pPr>
        <w:pStyle w:val="TOC2"/>
        <w:rPr>
          <w:rFonts w:asciiTheme="minorHAnsi" w:eastAsiaTheme="minorEastAsia" w:hAnsiTheme="minorHAnsi" w:cstheme="minorBidi"/>
          <w:noProof/>
          <w:szCs w:val="22"/>
          <w:lang w:val="en-AU" w:eastAsia="en-AU"/>
        </w:rPr>
      </w:pPr>
      <w:hyperlink w:anchor="_Toc109793311" w:history="1">
        <w:r w:rsidR="00153568" w:rsidRPr="006760B8">
          <w:rPr>
            <w:rStyle w:val="Hyperlink"/>
            <w:noProof/>
          </w:rPr>
          <w:t>Definitions</w:t>
        </w:r>
        <w:r w:rsidR="00153568">
          <w:rPr>
            <w:noProof/>
            <w:webHidden/>
          </w:rPr>
          <w:tab/>
        </w:r>
        <w:r w:rsidR="00153568">
          <w:rPr>
            <w:noProof/>
            <w:webHidden/>
          </w:rPr>
          <w:fldChar w:fldCharType="begin"/>
        </w:r>
        <w:r w:rsidR="00153568">
          <w:rPr>
            <w:noProof/>
            <w:webHidden/>
          </w:rPr>
          <w:instrText xml:space="preserve"> PAGEREF _Toc109793311 \h </w:instrText>
        </w:r>
        <w:r w:rsidR="00153568">
          <w:rPr>
            <w:noProof/>
            <w:webHidden/>
          </w:rPr>
        </w:r>
        <w:r w:rsidR="00153568">
          <w:rPr>
            <w:noProof/>
            <w:webHidden/>
          </w:rPr>
          <w:fldChar w:fldCharType="separate"/>
        </w:r>
        <w:r w:rsidR="00153568">
          <w:rPr>
            <w:noProof/>
            <w:webHidden/>
          </w:rPr>
          <w:t>41</w:t>
        </w:r>
        <w:r w:rsidR="00153568">
          <w:rPr>
            <w:noProof/>
            <w:webHidden/>
          </w:rPr>
          <w:fldChar w:fldCharType="end"/>
        </w:r>
      </w:hyperlink>
    </w:p>
    <w:p w14:paraId="3F601076" w14:textId="76117A21" w:rsidR="00153568" w:rsidRDefault="00CB212C">
      <w:pPr>
        <w:pStyle w:val="TOC2"/>
        <w:rPr>
          <w:rFonts w:asciiTheme="minorHAnsi" w:eastAsiaTheme="minorEastAsia" w:hAnsiTheme="minorHAnsi" w:cstheme="minorBidi"/>
          <w:noProof/>
          <w:szCs w:val="22"/>
          <w:lang w:val="en-AU" w:eastAsia="en-AU"/>
        </w:rPr>
      </w:pPr>
      <w:hyperlink w:anchor="_Toc109793312" w:history="1">
        <w:r w:rsidR="00153568" w:rsidRPr="006760B8">
          <w:rPr>
            <w:rStyle w:val="Hyperlink"/>
            <w:noProof/>
          </w:rPr>
          <w:t>Notification</w:t>
        </w:r>
        <w:r w:rsidR="00153568">
          <w:rPr>
            <w:noProof/>
            <w:webHidden/>
          </w:rPr>
          <w:tab/>
        </w:r>
        <w:r w:rsidR="00153568">
          <w:rPr>
            <w:noProof/>
            <w:webHidden/>
          </w:rPr>
          <w:fldChar w:fldCharType="begin"/>
        </w:r>
        <w:r w:rsidR="00153568">
          <w:rPr>
            <w:noProof/>
            <w:webHidden/>
          </w:rPr>
          <w:instrText xml:space="preserve"> PAGEREF _Toc109793312 \h </w:instrText>
        </w:r>
        <w:r w:rsidR="00153568">
          <w:rPr>
            <w:noProof/>
            <w:webHidden/>
          </w:rPr>
        </w:r>
        <w:r w:rsidR="00153568">
          <w:rPr>
            <w:noProof/>
            <w:webHidden/>
          </w:rPr>
          <w:fldChar w:fldCharType="separate"/>
        </w:r>
        <w:r w:rsidR="00153568">
          <w:rPr>
            <w:noProof/>
            <w:webHidden/>
          </w:rPr>
          <w:t>41</w:t>
        </w:r>
        <w:r w:rsidR="00153568">
          <w:rPr>
            <w:noProof/>
            <w:webHidden/>
          </w:rPr>
          <w:fldChar w:fldCharType="end"/>
        </w:r>
      </w:hyperlink>
    </w:p>
    <w:p w14:paraId="63644D04" w14:textId="067CF4F5" w:rsidR="00153568" w:rsidRDefault="00CB212C">
      <w:pPr>
        <w:pStyle w:val="TOC2"/>
        <w:rPr>
          <w:rFonts w:asciiTheme="minorHAnsi" w:eastAsiaTheme="minorEastAsia" w:hAnsiTheme="minorHAnsi" w:cstheme="minorBidi"/>
          <w:noProof/>
          <w:szCs w:val="22"/>
          <w:lang w:val="en-AU" w:eastAsia="en-AU"/>
        </w:rPr>
      </w:pPr>
      <w:hyperlink w:anchor="_Toc109793313" w:history="1">
        <w:r w:rsidR="00153568" w:rsidRPr="006760B8">
          <w:rPr>
            <w:rStyle w:val="Hyperlink"/>
            <w:noProof/>
          </w:rPr>
          <w:t>Location</w:t>
        </w:r>
        <w:r w:rsidR="00153568">
          <w:rPr>
            <w:noProof/>
            <w:webHidden/>
          </w:rPr>
          <w:tab/>
        </w:r>
        <w:r w:rsidR="00153568">
          <w:rPr>
            <w:noProof/>
            <w:webHidden/>
          </w:rPr>
          <w:fldChar w:fldCharType="begin"/>
        </w:r>
        <w:r w:rsidR="00153568">
          <w:rPr>
            <w:noProof/>
            <w:webHidden/>
          </w:rPr>
          <w:instrText xml:space="preserve"> PAGEREF _Toc109793313 \h </w:instrText>
        </w:r>
        <w:r w:rsidR="00153568">
          <w:rPr>
            <w:noProof/>
            <w:webHidden/>
          </w:rPr>
        </w:r>
        <w:r w:rsidR="00153568">
          <w:rPr>
            <w:noProof/>
            <w:webHidden/>
          </w:rPr>
          <w:fldChar w:fldCharType="separate"/>
        </w:r>
        <w:r w:rsidR="00153568">
          <w:rPr>
            <w:noProof/>
            <w:webHidden/>
          </w:rPr>
          <w:t>42</w:t>
        </w:r>
        <w:r w:rsidR="00153568">
          <w:rPr>
            <w:noProof/>
            <w:webHidden/>
          </w:rPr>
          <w:fldChar w:fldCharType="end"/>
        </w:r>
      </w:hyperlink>
    </w:p>
    <w:p w14:paraId="19EB7D9A" w14:textId="37BD5F73" w:rsidR="00153568" w:rsidRDefault="00CB212C">
      <w:pPr>
        <w:pStyle w:val="TOC2"/>
        <w:rPr>
          <w:rFonts w:asciiTheme="minorHAnsi" w:eastAsiaTheme="minorEastAsia" w:hAnsiTheme="minorHAnsi" w:cstheme="minorBidi"/>
          <w:noProof/>
          <w:szCs w:val="22"/>
          <w:lang w:val="en-AU" w:eastAsia="en-AU"/>
        </w:rPr>
      </w:pPr>
      <w:hyperlink w:anchor="_Toc109793314" w:history="1">
        <w:r w:rsidR="00153568" w:rsidRPr="006760B8">
          <w:rPr>
            <w:rStyle w:val="Hyperlink"/>
            <w:noProof/>
          </w:rPr>
          <w:t>Exclusions</w:t>
        </w:r>
        <w:r w:rsidR="00153568">
          <w:rPr>
            <w:noProof/>
            <w:webHidden/>
          </w:rPr>
          <w:tab/>
        </w:r>
        <w:r w:rsidR="00153568">
          <w:rPr>
            <w:noProof/>
            <w:webHidden/>
          </w:rPr>
          <w:fldChar w:fldCharType="begin"/>
        </w:r>
        <w:r w:rsidR="00153568">
          <w:rPr>
            <w:noProof/>
            <w:webHidden/>
          </w:rPr>
          <w:instrText xml:space="preserve"> PAGEREF _Toc109793314 \h </w:instrText>
        </w:r>
        <w:r w:rsidR="00153568">
          <w:rPr>
            <w:noProof/>
            <w:webHidden/>
          </w:rPr>
        </w:r>
        <w:r w:rsidR="00153568">
          <w:rPr>
            <w:noProof/>
            <w:webHidden/>
          </w:rPr>
          <w:fldChar w:fldCharType="separate"/>
        </w:r>
        <w:r w:rsidR="00153568">
          <w:rPr>
            <w:noProof/>
            <w:webHidden/>
          </w:rPr>
          <w:t>42</w:t>
        </w:r>
        <w:r w:rsidR="00153568">
          <w:rPr>
            <w:noProof/>
            <w:webHidden/>
          </w:rPr>
          <w:fldChar w:fldCharType="end"/>
        </w:r>
      </w:hyperlink>
    </w:p>
    <w:p w14:paraId="7A3E4D0A" w14:textId="03D7B736" w:rsidR="00153568" w:rsidRDefault="00CB212C">
      <w:pPr>
        <w:pStyle w:val="TOC2"/>
        <w:rPr>
          <w:rFonts w:asciiTheme="minorHAnsi" w:eastAsiaTheme="minorEastAsia" w:hAnsiTheme="minorHAnsi" w:cstheme="minorBidi"/>
          <w:noProof/>
          <w:szCs w:val="22"/>
          <w:lang w:val="en-AU" w:eastAsia="en-AU"/>
        </w:rPr>
      </w:pPr>
      <w:hyperlink w:anchor="_Toc109793315" w:history="1">
        <w:r w:rsidR="00153568" w:rsidRPr="006760B8">
          <w:rPr>
            <w:rStyle w:val="Hyperlink"/>
            <w:noProof/>
          </w:rPr>
          <w:t>Additional measures for aerial 1080 applications</w:t>
        </w:r>
        <w:r w:rsidR="00153568">
          <w:rPr>
            <w:noProof/>
            <w:webHidden/>
          </w:rPr>
          <w:tab/>
        </w:r>
        <w:r w:rsidR="00153568">
          <w:rPr>
            <w:noProof/>
            <w:webHidden/>
          </w:rPr>
          <w:fldChar w:fldCharType="begin"/>
        </w:r>
        <w:r w:rsidR="00153568">
          <w:rPr>
            <w:noProof/>
            <w:webHidden/>
          </w:rPr>
          <w:instrText xml:space="preserve"> PAGEREF _Toc109793315 \h </w:instrText>
        </w:r>
        <w:r w:rsidR="00153568">
          <w:rPr>
            <w:noProof/>
            <w:webHidden/>
          </w:rPr>
        </w:r>
        <w:r w:rsidR="00153568">
          <w:rPr>
            <w:noProof/>
            <w:webHidden/>
          </w:rPr>
          <w:fldChar w:fldCharType="separate"/>
        </w:r>
        <w:r w:rsidR="00153568">
          <w:rPr>
            <w:noProof/>
            <w:webHidden/>
          </w:rPr>
          <w:t>43</w:t>
        </w:r>
        <w:r w:rsidR="00153568">
          <w:rPr>
            <w:noProof/>
            <w:webHidden/>
          </w:rPr>
          <w:fldChar w:fldCharType="end"/>
        </w:r>
      </w:hyperlink>
    </w:p>
    <w:p w14:paraId="133A9219" w14:textId="431E7F81" w:rsidR="00C86248" w:rsidRDefault="009A48B0">
      <w:r>
        <w:rPr>
          <w:rFonts w:ascii="Segoe UI Semibold" w:hAnsi="Segoe UI Semibold"/>
          <w:b/>
          <w:sz w:val="24"/>
        </w:rPr>
        <w:fldChar w:fldCharType="end"/>
      </w:r>
    </w:p>
    <w:p w14:paraId="4A6797B1" w14:textId="5272B0FD" w:rsidR="002B76A7" w:rsidRDefault="002B76A7" w:rsidP="003A5FEA"/>
    <w:p w14:paraId="32FAA24B" w14:textId="77777777" w:rsidR="001D3E4E" w:rsidRDefault="001D3E4E" w:rsidP="003A5FEA"/>
    <w:p w14:paraId="58223FD3" w14:textId="77777777" w:rsidR="00153568" w:rsidRDefault="00153568" w:rsidP="00001CDC">
      <w:pPr>
        <w:pStyle w:val="Heading1"/>
        <w:spacing w:before="0"/>
        <w:sectPr w:rsidR="00153568" w:rsidSect="008A5039">
          <w:headerReference w:type="default" r:id="rId21"/>
          <w:footerReference w:type="even" r:id="rId22"/>
          <w:footerReference w:type="default" r:id="rId23"/>
          <w:type w:val="continuous"/>
          <w:pgSz w:w="11907" w:h="16834" w:code="9"/>
          <w:pgMar w:top="1418" w:right="1701" w:bottom="1134" w:left="1843" w:header="284" w:footer="425" w:gutter="284"/>
          <w:pgNumType w:start="1"/>
          <w:cols w:space="720"/>
        </w:sectPr>
      </w:pPr>
      <w:bookmarkStart w:id="3" w:name="_bookmark70"/>
      <w:bookmarkStart w:id="4" w:name="_Toc405792993"/>
      <w:bookmarkStart w:id="5" w:name="_Toc405793226"/>
      <w:bookmarkStart w:id="6" w:name="_Toc90633191"/>
      <w:bookmarkEnd w:id="3"/>
    </w:p>
    <w:p w14:paraId="34E13F76" w14:textId="7D0C338A" w:rsidR="004E06D0" w:rsidRPr="00944647" w:rsidRDefault="004E06D0" w:rsidP="00001CDC">
      <w:pPr>
        <w:pStyle w:val="Heading1"/>
        <w:spacing w:before="0"/>
      </w:pPr>
      <w:bookmarkStart w:id="7" w:name="_Toc109793282"/>
      <w:r>
        <w:lastRenderedPageBreak/>
        <w:t>Introduction</w:t>
      </w:r>
      <w:bookmarkEnd w:id="4"/>
      <w:bookmarkEnd w:id="5"/>
      <w:bookmarkEnd w:id="6"/>
      <w:bookmarkEnd w:id="7"/>
    </w:p>
    <w:p w14:paraId="404C53BB" w14:textId="77777777" w:rsidR="004E06D0" w:rsidRPr="006B4169" w:rsidRDefault="004E06D0" w:rsidP="004E06D0">
      <w:r w:rsidRPr="006B4169">
        <w:t xml:space="preserve">Permissions are required for the use of </w:t>
      </w:r>
      <w:r>
        <w:t xml:space="preserve">certain </w:t>
      </w:r>
      <w:r w:rsidRPr="007C6A7F">
        <w:t>vertebrate toxic agents (</w:t>
      </w:r>
      <w:r w:rsidRPr="006B4169">
        <w:t>VTAs</w:t>
      </w:r>
      <w:r>
        <w:t>)</w:t>
      </w:r>
      <w:r w:rsidRPr="006B4169">
        <w:t xml:space="preserve"> and other hazardous substances when they are:</w:t>
      </w:r>
    </w:p>
    <w:p w14:paraId="4B34F9CF" w14:textId="77777777" w:rsidR="004E06D0" w:rsidRPr="006B4169" w:rsidRDefault="004E06D0" w:rsidP="004E06D0">
      <w:pPr>
        <w:pStyle w:val="Bullet"/>
      </w:pPr>
      <w:r w:rsidRPr="006B4169">
        <w:t>intended to be applied or used in a catchment area from which water is drawn for human consumption, or</w:t>
      </w:r>
    </w:p>
    <w:p w14:paraId="4A6061F9" w14:textId="77777777" w:rsidR="004E06D0" w:rsidRPr="006B4169" w:rsidRDefault="004E06D0" w:rsidP="004E06D0">
      <w:pPr>
        <w:pStyle w:val="Bullet"/>
      </w:pPr>
      <w:r w:rsidRPr="006B4169">
        <w:t>applied in any other area where a risk to public health may be created.</w:t>
      </w:r>
    </w:p>
    <w:p w14:paraId="6E9B7D3F" w14:textId="77777777" w:rsidR="004E06D0" w:rsidRDefault="004E06D0" w:rsidP="004E06D0">
      <w:pPr>
        <w:pStyle w:val="NoSpacing"/>
        <w:jc w:val="both"/>
        <w:rPr>
          <w:rFonts w:cs="Arial"/>
        </w:rPr>
      </w:pPr>
    </w:p>
    <w:p w14:paraId="61E84B5D" w14:textId="24B9F3DC" w:rsidR="004E06D0" w:rsidRPr="004A51EE" w:rsidRDefault="004E06D0" w:rsidP="004E06D0">
      <w:r w:rsidRPr="004A51EE">
        <w:t>These guidelines aim to help manage the risk to public health resulting from the use of VTAs and other hazardous substances in pest control operations.</w:t>
      </w:r>
      <w:r w:rsidR="000D1636">
        <w:t xml:space="preserve"> </w:t>
      </w:r>
      <w:r w:rsidRPr="004A51EE">
        <w:t>Properly applied, these guidelines will assist in:</w:t>
      </w:r>
    </w:p>
    <w:p w14:paraId="45154A27" w14:textId="77777777" w:rsidR="004E06D0" w:rsidRPr="004A51EE" w:rsidRDefault="004E06D0" w:rsidP="004E06D0">
      <w:pPr>
        <w:pStyle w:val="Bullet"/>
      </w:pPr>
      <w:r w:rsidRPr="004A51EE">
        <w:t>applying the appropriate conditions</w:t>
      </w:r>
    </w:p>
    <w:p w14:paraId="5CCAA34A" w14:textId="0ABDFFE9" w:rsidR="004E06D0" w:rsidRPr="004A51EE" w:rsidRDefault="004E06D0" w:rsidP="004E06D0">
      <w:pPr>
        <w:pStyle w:val="Bullet"/>
      </w:pPr>
      <w:r w:rsidRPr="004A51EE">
        <w:t>modifying the conditions</w:t>
      </w:r>
      <w:r w:rsidR="000D1636">
        <w:t>, if required,</w:t>
      </w:r>
      <w:r w:rsidRPr="004A51EE">
        <w:t xml:space="preserve"> in response to the specific risk of </w:t>
      </w:r>
      <w:r w:rsidR="000D1636">
        <w:t>an</w:t>
      </w:r>
      <w:r w:rsidRPr="004A51EE">
        <w:t xml:space="preserve"> operation.</w:t>
      </w:r>
    </w:p>
    <w:p w14:paraId="17C29E24" w14:textId="7DB1436B" w:rsidR="004E06D0" w:rsidRPr="007C6A7F" w:rsidRDefault="004E06D0" w:rsidP="000E039F">
      <w:pPr>
        <w:spacing w:before="240"/>
      </w:pPr>
      <w:r w:rsidRPr="007C6A7F">
        <w:t>Not all VTAs and other hazardous substances require a permission. These guidelines apply only to VTAs and other hazardous substances that are listed in Schedule 1 of the Environmental Protection Authority’s (EPA’s) Instrument of Delegation</w:t>
      </w:r>
      <w:r w:rsidR="00D42C0D">
        <w:t>.</w:t>
      </w:r>
      <w:r w:rsidRPr="007C6A7F">
        <w:t xml:space="preserve"> (Appendix </w:t>
      </w:r>
      <w:r w:rsidR="004B314D">
        <w:t>1</w:t>
      </w:r>
      <w:r w:rsidRPr="007C6A7F">
        <w:t xml:space="preserve"> lists the VTAs and other hazardous substances that require a permission</w:t>
      </w:r>
      <w:r w:rsidR="00D42C0D">
        <w:t>.</w:t>
      </w:r>
      <w:r w:rsidR="00E9723C">
        <w:t>)</w:t>
      </w:r>
    </w:p>
    <w:p w14:paraId="20399901" w14:textId="77777777" w:rsidR="004E06D0" w:rsidRPr="00F16CAD" w:rsidRDefault="004E06D0" w:rsidP="004E06D0"/>
    <w:p w14:paraId="5CAF919B" w14:textId="14744867" w:rsidR="004E06D0" w:rsidRPr="00F16CAD" w:rsidRDefault="004E06D0" w:rsidP="004E06D0">
      <w:r>
        <w:t>P</w:t>
      </w:r>
      <w:r w:rsidRPr="004A51EE">
        <w:t>ermissions are only required where a risk to public health may be created</w:t>
      </w:r>
      <w:r w:rsidR="002961FE">
        <w:t xml:space="preserve"> or </w:t>
      </w:r>
      <w:r w:rsidR="002961FE" w:rsidRPr="007C6A7F">
        <w:t xml:space="preserve">VTAs and other hazardous substances </w:t>
      </w:r>
      <w:r w:rsidR="002961FE">
        <w:t>are being applied in a drinking water catchment</w:t>
      </w:r>
      <w:r w:rsidRPr="004A51EE">
        <w:t xml:space="preserve">. </w:t>
      </w:r>
      <w:r w:rsidRPr="00F16CAD">
        <w:t xml:space="preserve">If the </w:t>
      </w:r>
      <w:r w:rsidR="000D1636">
        <w:t xml:space="preserve">public health risk </w:t>
      </w:r>
      <w:r w:rsidRPr="00F16CAD">
        <w:t xml:space="preserve">assessment suggests that the likelihood of </w:t>
      </w:r>
      <w:r w:rsidR="00A73E51">
        <w:t xml:space="preserve">a </w:t>
      </w:r>
      <w:r>
        <w:t>public health</w:t>
      </w:r>
      <w:r w:rsidRPr="00F16CAD">
        <w:t xml:space="preserve"> risk</w:t>
      </w:r>
      <w:r w:rsidR="00A73E51">
        <w:t xml:space="preserve"> is low</w:t>
      </w:r>
      <w:r w:rsidRPr="00F16CAD">
        <w:t xml:space="preserve"> or </w:t>
      </w:r>
      <w:r>
        <w:t xml:space="preserve">that </w:t>
      </w:r>
      <w:r w:rsidR="000D1636">
        <w:t xml:space="preserve">the existing </w:t>
      </w:r>
      <w:r w:rsidRPr="00F16CAD">
        <w:t>control</w:t>
      </w:r>
      <w:r w:rsidR="000D1636">
        <w:t>s are</w:t>
      </w:r>
      <w:r w:rsidRPr="00F16CAD">
        <w:t xml:space="preserve"> </w:t>
      </w:r>
      <w:r w:rsidR="000D1636">
        <w:t>appropriate to manage any public health risk</w:t>
      </w:r>
      <w:r w:rsidRPr="00F16CAD">
        <w:t xml:space="preserve">, it </w:t>
      </w:r>
      <w:r w:rsidR="000D1636">
        <w:t>is</w:t>
      </w:r>
      <w:r w:rsidRPr="00F16CAD">
        <w:t xml:space="preserve"> not necessary to </w:t>
      </w:r>
      <w:r>
        <w:t>issue a permission</w:t>
      </w:r>
      <w:r w:rsidRPr="00F16CAD">
        <w:t>.</w:t>
      </w:r>
    </w:p>
    <w:p w14:paraId="65703BF3" w14:textId="77777777" w:rsidR="004E06D0" w:rsidRPr="00F16CAD" w:rsidRDefault="004E06D0" w:rsidP="004E06D0">
      <w:pPr>
        <w:pStyle w:val="Heading2"/>
      </w:pPr>
      <w:bookmarkStart w:id="8" w:name="_Toc90633192"/>
      <w:bookmarkStart w:id="9" w:name="_Toc109793283"/>
      <w:r>
        <w:t>Out of scope</w:t>
      </w:r>
      <w:bookmarkEnd w:id="8"/>
      <w:bookmarkEnd w:id="9"/>
    </w:p>
    <w:p w14:paraId="1DB8BBE3" w14:textId="43681A47" w:rsidR="004E06D0" w:rsidRPr="00CA6B4A" w:rsidRDefault="004E06D0" w:rsidP="004E06D0">
      <w:r w:rsidRPr="00834524">
        <w:rPr>
          <w:b/>
          <w:bCs/>
        </w:rPr>
        <w:t>Non-target species:</w:t>
      </w:r>
      <w:r w:rsidRPr="00834524">
        <w:t xml:space="preserve"> </w:t>
      </w:r>
      <w:r w:rsidR="000D1636">
        <w:t>P</w:t>
      </w:r>
      <w:r w:rsidRPr="00834524">
        <w:t>ublic concerns about impacts on non-target species</w:t>
      </w:r>
      <w:r w:rsidR="000D1636">
        <w:t xml:space="preserve"> </w:t>
      </w:r>
      <w:r w:rsidRPr="00834524">
        <w:t>should be referred to the Department of Conservation (native species) or the Ministry for Primary Industries (domestic</w:t>
      </w:r>
      <w:r>
        <w:t xml:space="preserve"> and </w:t>
      </w:r>
      <w:r w:rsidRPr="00834524">
        <w:t>agricultural animals)</w:t>
      </w:r>
      <w:r>
        <w:t>,</w:t>
      </w:r>
      <w:r w:rsidRPr="00834524">
        <w:t xml:space="preserve"> as applicable.</w:t>
      </w:r>
    </w:p>
    <w:p w14:paraId="530CA870" w14:textId="77777777" w:rsidR="004E06D0" w:rsidRPr="00CA6B4A" w:rsidRDefault="004E06D0" w:rsidP="004E06D0"/>
    <w:p w14:paraId="6067C17D" w14:textId="77777777" w:rsidR="003064F5" w:rsidRDefault="003064F5" w:rsidP="003064F5">
      <w:r w:rsidRPr="000D5B42">
        <w:rPr>
          <w:b/>
          <w:bCs/>
        </w:rPr>
        <w:t xml:space="preserve">Occupational </w:t>
      </w:r>
      <w:r>
        <w:rPr>
          <w:b/>
          <w:bCs/>
        </w:rPr>
        <w:t xml:space="preserve">risks: </w:t>
      </w:r>
      <w:r w:rsidRPr="000D5B42">
        <w:t xml:space="preserve">Occupational </w:t>
      </w:r>
      <w:r>
        <w:t>exposures and other occupational risks</w:t>
      </w:r>
      <w:r w:rsidRPr="000D5B42">
        <w:t xml:space="preserve"> are covered under the H</w:t>
      </w:r>
      <w:r>
        <w:t xml:space="preserve">ealth and Safety at Work </w:t>
      </w:r>
      <w:r w:rsidRPr="000D5B42">
        <w:t>Act</w:t>
      </w:r>
      <w:r>
        <w:t xml:space="preserve"> 2015</w:t>
      </w:r>
      <w:r w:rsidRPr="000D5B42">
        <w:t xml:space="preserve">. </w:t>
      </w:r>
    </w:p>
    <w:p w14:paraId="0776BDCB" w14:textId="77777777" w:rsidR="003064F5" w:rsidRDefault="003064F5" w:rsidP="003064F5"/>
    <w:p w14:paraId="27A6BAA3" w14:textId="41D6C5A4" w:rsidR="004E06D0" w:rsidRDefault="004E06D0" w:rsidP="004E06D0">
      <w:r w:rsidRPr="000D5B42">
        <w:rPr>
          <w:b/>
          <w:bCs/>
        </w:rPr>
        <w:t xml:space="preserve">Other </w:t>
      </w:r>
      <w:r>
        <w:rPr>
          <w:b/>
          <w:bCs/>
        </w:rPr>
        <w:t>l</w:t>
      </w:r>
      <w:r w:rsidRPr="000D5B42">
        <w:rPr>
          <w:b/>
          <w:bCs/>
        </w:rPr>
        <w:t xml:space="preserve">egal </w:t>
      </w:r>
      <w:r>
        <w:rPr>
          <w:b/>
          <w:bCs/>
        </w:rPr>
        <w:t>r</w:t>
      </w:r>
      <w:r w:rsidRPr="000D5B42">
        <w:rPr>
          <w:b/>
          <w:bCs/>
        </w:rPr>
        <w:t>equirements</w:t>
      </w:r>
      <w:r w:rsidR="006F12D2">
        <w:rPr>
          <w:b/>
          <w:bCs/>
        </w:rPr>
        <w:t xml:space="preserve"> (including statutory controls)</w:t>
      </w:r>
      <w:r w:rsidRPr="000D5B42">
        <w:rPr>
          <w:b/>
          <w:bCs/>
        </w:rPr>
        <w:t xml:space="preserve">: </w:t>
      </w:r>
      <w:r w:rsidR="000D1636">
        <w:t>O</w:t>
      </w:r>
      <w:r w:rsidRPr="000D5B42">
        <w:t>perators must be aware of and comply with all relevant legal obligations. The conditions of a permission are legally binding</w:t>
      </w:r>
      <w:r>
        <w:t>;</w:t>
      </w:r>
      <w:r w:rsidRPr="000D5B42">
        <w:t xml:space="preserve"> however, compliance with conditions does not necessarily mean that operators have met all legal requirements for the use of VTAs and other hazardous substances. It is the responsibility of operators to comply with all legal requirements, including but not limited to</w:t>
      </w:r>
      <w:r w:rsidR="005E0936">
        <w:t>,</w:t>
      </w:r>
      <w:r w:rsidRPr="000D5B42">
        <w:t xml:space="preserve"> the </w:t>
      </w:r>
      <w:r w:rsidR="005E0936" w:rsidRPr="000D5B42">
        <w:t>Agricultur</w:t>
      </w:r>
      <w:r w:rsidR="009A680F">
        <w:t>al Compounds</w:t>
      </w:r>
      <w:r w:rsidR="005E0936" w:rsidRPr="000D5B42">
        <w:t xml:space="preserve"> and Veterinary Medicines Act 1997, Animal Products Act 1999, Biosecurity Act 1993, </w:t>
      </w:r>
      <w:r w:rsidR="005E0936" w:rsidRPr="005C3940">
        <w:t>Civil Aviation Act 1990</w:t>
      </w:r>
      <w:r w:rsidR="005E0936">
        <w:t xml:space="preserve">, </w:t>
      </w:r>
      <w:r w:rsidR="005E0936" w:rsidRPr="000D5B42">
        <w:t>Conservation Act 1987</w:t>
      </w:r>
      <w:r w:rsidR="005E0936">
        <w:t>,</w:t>
      </w:r>
      <w:r w:rsidR="005E0936" w:rsidRPr="000D5B42">
        <w:t xml:space="preserve"> </w:t>
      </w:r>
      <w:r w:rsidR="005E0936" w:rsidRPr="005C3940">
        <w:t>Crimes Act 1961</w:t>
      </w:r>
      <w:r w:rsidR="005E0936">
        <w:t>,</w:t>
      </w:r>
      <w:r w:rsidR="005E0936" w:rsidRPr="005C3940">
        <w:t xml:space="preserve"> </w:t>
      </w:r>
      <w:r w:rsidR="005E0936" w:rsidRPr="000D5B42">
        <w:t xml:space="preserve">Food Act 2014, </w:t>
      </w:r>
      <w:r>
        <w:t>Hazardous Substances and New Organisms Act 1996 (</w:t>
      </w:r>
      <w:r w:rsidRPr="000D5B42">
        <w:t>HSNO Act</w:t>
      </w:r>
      <w:r>
        <w:t>)</w:t>
      </w:r>
      <w:r w:rsidRPr="000D5B42">
        <w:t xml:space="preserve">, Health and Safety at Work Act 2015, </w:t>
      </w:r>
      <w:bookmarkStart w:id="10" w:name="_Hlk93499090"/>
      <w:r w:rsidR="0049562A">
        <w:t xml:space="preserve">Health and </w:t>
      </w:r>
      <w:r w:rsidR="0049562A">
        <w:lastRenderedPageBreak/>
        <w:t xml:space="preserve">Safety at Work (Hazardous Substances) Regulations 2017, </w:t>
      </w:r>
      <w:bookmarkEnd w:id="10"/>
      <w:r w:rsidR="005E0936" w:rsidRPr="000D5B42">
        <w:t xml:space="preserve">Land Transport Act 1998, </w:t>
      </w:r>
      <w:r w:rsidRPr="000D5B42">
        <w:t>Resource Management Act 1991</w:t>
      </w:r>
      <w:r w:rsidR="00CC3034">
        <w:t xml:space="preserve"> </w:t>
      </w:r>
      <w:r w:rsidR="005E0936">
        <w:t xml:space="preserve">and </w:t>
      </w:r>
      <w:r w:rsidRPr="000D5B42">
        <w:t>Water Services Act 2021</w:t>
      </w:r>
      <w:r w:rsidRPr="005C3940">
        <w:t>.</w:t>
      </w:r>
    </w:p>
    <w:p w14:paraId="4252D2E9" w14:textId="77777777" w:rsidR="004E06D0" w:rsidRPr="000D5B42" w:rsidRDefault="004E06D0" w:rsidP="004E06D0"/>
    <w:p w14:paraId="5B76B852" w14:textId="2224B3CF" w:rsidR="004E06D0" w:rsidRDefault="004E06D0" w:rsidP="004E06D0">
      <w:bookmarkStart w:id="11" w:name="_Toc252830372"/>
      <w:bookmarkStart w:id="12" w:name="_Toc254615752"/>
      <w:bookmarkStart w:id="13" w:name="_Toc254616190"/>
      <w:bookmarkStart w:id="14" w:name="_Toc255820777"/>
      <w:bookmarkStart w:id="15" w:name="_Toc255820868"/>
      <w:bookmarkStart w:id="16" w:name="_Toc255821119"/>
      <w:bookmarkStart w:id="17" w:name="_Toc258328438"/>
      <w:r w:rsidRPr="000D5B42">
        <w:rPr>
          <w:b/>
          <w:bCs/>
        </w:rPr>
        <w:t>Physical hazard: flying bait</w:t>
      </w:r>
      <w:bookmarkEnd w:id="11"/>
      <w:bookmarkEnd w:id="12"/>
      <w:bookmarkEnd w:id="13"/>
      <w:bookmarkEnd w:id="14"/>
      <w:bookmarkEnd w:id="15"/>
      <w:bookmarkEnd w:id="16"/>
      <w:bookmarkEnd w:id="17"/>
      <w:r w:rsidRPr="000D5B42">
        <w:rPr>
          <w:b/>
          <w:bCs/>
        </w:rPr>
        <w:t>:</w:t>
      </w:r>
      <w:r>
        <w:t xml:space="preserve"> </w:t>
      </w:r>
      <w:r w:rsidRPr="000D5B42">
        <w:t xml:space="preserve">These guidelines do not cover the physical hazards </w:t>
      </w:r>
      <w:r w:rsidR="005C75F6">
        <w:t>of</w:t>
      </w:r>
      <w:r w:rsidRPr="000D5B42">
        <w:t xml:space="preserve"> flying bait because the warning sign</w:t>
      </w:r>
      <w:r>
        <w:t>s</w:t>
      </w:r>
      <w:r w:rsidRPr="000D5B42">
        <w:t xml:space="preserve"> placed around an area to be baited should inform people that an aerial operation will be occurring in the immediate area. Any reports of people being struck by bait should be referred to the </w:t>
      </w:r>
      <w:r w:rsidRPr="005C3940">
        <w:t>operator.</w:t>
      </w:r>
    </w:p>
    <w:p w14:paraId="748A08D0" w14:textId="77777777" w:rsidR="004E06D0" w:rsidRDefault="004E06D0" w:rsidP="004E06D0">
      <w:pPr>
        <w:rPr>
          <w:b/>
        </w:rPr>
      </w:pPr>
    </w:p>
    <w:p w14:paraId="6E810A65" w14:textId="268D1371" w:rsidR="004E06D0" w:rsidRDefault="004E06D0" w:rsidP="004E06D0">
      <w:r w:rsidRPr="000D5B42">
        <w:rPr>
          <w:b/>
        </w:rPr>
        <w:t>Pre-feeding</w:t>
      </w:r>
      <w:r>
        <w:rPr>
          <w:b/>
        </w:rPr>
        <w:t xml:space="preserve">: </w:t>
      </w:r>
      <w:r w:rsidRPr="000D5B42">
        <w:t xml:space="preserve">Pre-feeding with non-toxic baits before the aerial sowing of 1080 baits is often used to prime target species and to </w:t>
      </w:r>
      <w:r w:rsidRPr="002F45C8">
        <w:t xml:space="preserve">reduce bait shyness. Pre-feeding baits are considered to be </w:t>
      </w:r>
      <w:r w:rsidR="009F63C0" w:rsidRPr="002F45C8">
        <w:t>no</w:t>
      </w:r>
      <w:r w:rsidR="009F63C0">
        <w:t>n</w:t>
      </w:r>
      <w:r w:rsidR="009F63C0" w:rsidRPr="002F45C8">
        <w:t>-toxic,</w:t>
      </w:r>
      <w:r w:rsidRPr="002F45C8">
        <w:t xml:space="preserve"> and no permission is required. </w:t>
      </w:r>
    </w:p>
    <w:p w14:paraId="6778C830" w14:textId="77777777" w:rsidR="004E06D0" w:rsidRDefault="004E06D0" w:rsidP="004E06D0"/>
    <w:p w14:paraId="1FA4D140" w14:textId="6E441F81" w:rsidR="004E06D0" w:rsidRDefault="004E06D0" w:rsidP="004E06D0">
      <w:bookmarkStart w:id="18" w:name="_Toc252830374"/>
      <w:bookmarkStart w:id="19" w:name="_Toc254615754"/>
      <w:bookmarkStart w:id="20" w:name="_Toc254616192"/>
      <w:bookmarkStart w:id="21" w:name="_Toc255820779"/>
      <w:bookmarkStart w:id="22" w:name="_Toc255820870"/>
      <w:bookmarkStart w:id="23" w:name="_Toc255821121"/>
      <w:bookmarkStart w:id="24" w:name="_Toc258328440"/>
      <w:r w:rsidRPr="00501E3D">
        <w:rPr>
          <w:b/>
          <w:bCs/>
        </w:rPr>
        <w:t>VTAs and other hazardous substances in drinking</w:t>
      </w:r>
      <w:r>
        <w:rPr>
          <w:b/>
          <w:bCs/>
        </w:rPr>
        <w:t xml:space="preserve"> </w:t>
      </w:r>
      <w:r w:rsidRPr="00501E3D">
        <w:rPr>
          <w:b/>
          <w:bCs/>
        </w:rPr>
        <w:t>water:</w:t>
      </w:r>
      <w:r w:rsidRPr="00501E3D">
        <w:t xml:space="preserve"> Taumata Arowai </w:t>
      </w:r>
      <w:r w:rsidRPr="00FA405C">
        <w:t>is the water services regulator and implements the Water Services Act 2021. If a drinking water source</w:t>
      </w:r>
      <w:r w:rsidR="009370A9">
        <w:t xml:space="preserve"> becomes contaminated</w:t>
      </w:r>
      <w:r>
        <w:t>,</w:t>
      </w:r>
      <w:r w:rsidRPr="00FA405C">
        <w:t xml:space="preserve"> the drinking water supplier and Taumata Arowai should be notified. To notify Taumata Arowai</w:t>
      </w:r>
      <w:r>
        <w:t>,</w:t>
      </w:r>
      <w:r w:rsidRPr="00FA405C">
        <w:t xml:space="preserve"> email </w:t>
      </w:r>
      <w:hyperlink r:id="rId24" w:history="1">
        <w:r w:rsidRPr="00FA405C">
          <w:t>notifications@taumataarowai.govt.nz</w:t>
        </w:r>
      </w:hyperlink>
      <w:r w:rsidRPr="00FA405C">
        <w:t>. If there is an immediate risk to public health from drinking water</w:t>
      </w:r>
      <w:r>
        <w:t>,</w:t>
      </w:r>
      <w:r w:rsidRPr="00FA405C">
        <w:t xml:space="preserve"> call 04 889 8350.</w:t>
      </w:r>
    </w:p>
    <w:p w14:paraId="10FC48BD" w14:textId="77777777" w:rsidR="004E06D0" w:rsidRPr="002F45C8" w:rsidRDefault="004E06D0" w:rsidP="004E06D0"/>
    <w:p w14:paraId="397F2EE3" w14:textId="746C94CA" w:rsidR="004E06D0" w:rsidRPr="000D5B42" w:rsidRDefault="004E06D0" w:rsidP="004E06D0">
      <w:r w:rsidRPr="000D5B42">
        <w:rPr>
          <w:b/>
          <w:bCs/>
        </w:rPr>
        <w:t>VTAs and other hazardous substances in food</w:t>
      </w:r>
      <w:bookmarkEnd w:id="18"/>
      <w:bookmarkEnd w:id="19"/>
      <w:bookmarkEnd w:id="20"/>
      <w:bookmarkEnd w:id="21"/>
      <w:bookmarkEnd w:id="22"/>
      <w:bookmarkEnd w:id="23"/>
      <w:bookmarkEnd w:id="24"/>
      <w:r>
        <w:rPr>
          <w:b/>
          <w:bCs/>
        </w:rPr>
        <w:t xml:space="preserve">: </w:t>
      </w:r>
      <w:r w:rsidRPr="000D5B42">
        <w:t xml:space="preserve">The Ministry for Primary Industries is </w:t>
      </w:r>
      <w:r w:rsidR="009370A9">
        <w:t xml:space="preserve">the </w:t>
      </w:r>
      <w:r w:rsidR="00240FF3">
        <w:t>food safety regulator</w:t>
      </w:r>
      <w:r w:rsidRPr="000D5B42">
        <w:t xml:space="preserve">. </w:t>
      </w:r>
      <w:r w:rsidR="00240FF3">
        <w:t xml:space="preserve">If the food supply </w:t>
      </w:r>
      <w:r w:rsidR="009370A9">
        <w:t xml:space="preserve">becomes contaminated </w:t>
      </w:r>
      <w:r w:rsidRPr="000D5B42">
        <w:t xml:space="preserve">(eg, </w:t>
      </w:r>
      <w:r w:rsidR="00DF2E49">
        <w:t>with</w:t>
      </w:r>
      <w:r w:rsidRPr="000D5B42">
        <w:t xml:space="preserve"> feral animals that have consumed 1080)</w:t>
      </w:r>
      <w:r w:rsidR="009370A9">
        <w:t>, notify</w:t>
      </w:r>
      <w:r w:rsidRPr="000D5B42">
        <w:t xml:space="preserve"> </w:t>
      </w:r>
      <w:r>
        <w:t>the Ministry for Primary Industries</w:t>
      </w:r>
      <w:r w:rsidR="00DF2E49">
        <w:t xml:space="preserve"> by</w:t>
      </w:r>
      <w:r>
        <w:t xml:space="preserve"> </w:t>
      </w:r>
      <w:r w:rsidRPr="000D5B42">
        <w:t xml:space="preserve">email </w:t>
      </w:r>
      <w:hyperlink r:id="rId25" w:history="1">
        <w:r w:rsidR="00240FF3" w:rsidRPr="00240FF3">
          <w:rPr>
            <w:rStyle w:val="Hyperlink"/>
            <w:b w:val="0"/>
            <w:bCs/>
          </w:rPr>
          <w:t>info@mpi.govt.nz</w:t>
        </w:r>
      </w:hyperlink>
      <w:r w:rsidR="00240FF3" w:rsidRPr="00240FF3">
        <w:rPr>
          <w:b/>
          <w:bCs/>
        </w:rPr>
        <w:t xml:space="preserve"> </w:t>
      </w:r>
      <w:r w:rsidR="00240FF3">
        <w:t xml:space="preserve">or phone </w:t>
      </w:r>
      <w:r w:rsidR="00240FF3" w:rsidRPr="000D5B42">
        <w:t>0800 00 83 33</w:t>
      </w:r>
      <w:r w:rsidR="00240FF3">
        <w:t>.</w:t>
      </w:r>
    </w:p>
    <w:p w14:paraId="19A32D4F" w14:textId="77777777" w:rsidR="00001CDC" w:rsidRDefault="00001CDC" w:rsidP="008A5039">
      <w:pPr>
        <w:pStyle w:val="Heading1"/>
        <w:rPr>
          <w:rFonts w:ascii="Arial" w:eastAsia="Calibri" w:hAnsi="Arial" w:cs="Arial"/>
          <w:b w:val="0"/>
          <w:color w:val="auto"/>
          <w:spacing w:val="0"/>
          <w:sz w:val="22"/>
          <w:szCs w:val="22"/>
          <w:lang w:eastAsia="en-US"/>
        </w:rPr>
      </w:pPr>
      <w:bookmarkStart w:id="25" w:name="_Toc258328444"/>
      <w:bookmarkStart w:id="26" w:name="_Toc265219399"/>
      <w:bookmarkStart w:id="27" w:name="_Toc336505239"/>
      <w:bookmarkStart w:id="28" w:name="_Toc90633193"/>
      <w:r>
        <w:rPr>
          <w:rFonts w:ascii="Arial" w:eastAsia="Calibri" w:hAnsi="Arial" w:cs="Arial"/>
          <w:b w:val="0"/>
          <w:color w:val="auto"/>
          <w:spacing w:val="0"/>
          <w:sz w:val="22"/>
          <w:szCs w:val="22"/>
          <w:lang w:eastAsia="en-US"/>
        </w:rPr>
        <w:br w:type="page"/>
      </w:r>
    </w:p>
    <w:p w14:paraId="499CC043" w14:textId="72ED6E08" w:rsidR="004E06D0" w:rsidRPr="00003A4A" w:rsidRDefault="004E06D0" w:rsidP="008A5039">
      <w:pPr>
        <w:pStyle w:val="Heading1"/>
      </w:pPr>
      <w:bookmarkStart w:id="29" w:name="_Toc109793284"/>
      <w:r w:rsidRPr="00003A4A">
        <w:t xml:space="preserve">Chapter 1: </w:t>
      </w:r>
      <w:bookmarkEnd w:id="25"/>
      <w:bookmarkEnd w:id="26"/>
      <w:bookmarkEnd w:id="27"/>
      <w:r>
        <w:t>Public health risk assessment</w:t>
      </w:r>
      <w:bookmarkEnd w:id="28"/>
      <w:bookmarkEnd w:id="29"/>
    </w:p>
    <w:p w14:paraId="1D889C50" w14:textId="77777777" w:rsidR="004E06D0" w:rsidRPr="00003A4A" w:rsidRDefault="004E06D0" w:rsidP="004E06D0">
      <w:pPr>
        <w:pStyle w:val="Heading2"/>
      </w:pPr>
      <w:bookmarkStart w:id="30" w:name="_Toc246225343"/>
      <w:bookmarkStart w:id="31" w:name="_Toc265219400"/>
      <w:bookmarkStart w:id="32" w:name="_Toc336505240"/>
      <w:bookmarkStart w:id="33" w:name="_Toc90633194"/>
      <w:bookmarkStart w:id="34" w:name="_Toc109793285"/>
      <w:r w:rsidRPr="00003A4A">
        <w:t>Main points</w:t>
      </w:r>
      <w:bookmarkEnd w:id="30"/>
      <w:bookmarkEnd w:id="31"/>
      <w:bookmarkEnd w:id="32"/>
      <w:bookmarkEnd w:id="33"/>
      <w:bookmarkEnd w:id="34"/>
    </w:p>
    <w:p w14:paraId="1CE177F7" w14:textId="049510DB" w:rsidR="004E06D0" w:rsidRPr="00F97CA3" w:rsidRDefault="00F97CA3" w:rsidP="004E06D0">
      <w:pPr>
        <w:pStyle w:val="Bullet"/>
      </w:pPr>
      <w:bookmarkStart w:id="35" w:name="_Toc252830362"/>
      <w:r w:rsidRPr="00F97CA3">
        <w:t>Risk assessment includes hazard identification, dose-response assessment, exposure assessment and risk characterisation.</w:t>
      </w:r>
    </w:p>
    <w:p w14:paraId="7EDD9586" w14:textId="6EB08C6C" w:rsidR="00F97CA3" w:rsidRPr="00F97CA3" w:rsidRDefault="00F97CA3" w:rsidP="004E06D0">
      <w:pPr>
        <w:pStyle w:val="Bullet"/>
      </w:pPr>
      <w:r w:rsidRPr="00F97CA3">
        <w:t xml:space="preserve">The </w:t>
      </w:r>
      <w:r w:rsidR="00486C49">
        <w:t>EPA</w:t>
      </w:r>
      <w:r w:rsidRPr="00F97CA3">
        <w:t xml:space="preserve"> provides authoritative advice on the hazard identification and dose-response assessment for VTAs and other hazardous substances.</w:t>
      </w:r>
    </w:p>
    <w:p w14:paraId="6BB88481" w14:textId="1E4B5408" w:rsidR="004E06D0" w:rsidRPr="00F97CA3" w:rsidRDefault="00F97CA3" w:rsidP="004E06D0">
      <w:pPr>
        <w:pStyle w:val="Bullet"/>
      </w:pPr>
      <w:r w:rsidRPr="00F97CA3">
        <w:t>Public health r</w:t>
      </w:r>
      <w:r w:rsidR="004E06D0" w:rsidRPr="00F97CA3">
        <w:t xml:space="preserve">isks can be </w:t>
      </w:r>
      <w:r w:rsidRPr="00F97CA3">
        <w:t>managed by preventing public exposures to VTAs and other hazardous substances</w:t>
      </w:r>
      <w:r w:rsidR="004E06D0" w:rsidRPr="00F97CA3">
        <w:t>.</w:t>
      </w:r>
    </w:p>
    <w:p w14:paraId="7171199C" w14:textId="77777777" w:rsidR="00841CC7" w:rsidRPr="00841CC7" w:rsidRDefault="00841CC7" w:rsidP="00841CC7">
      <w:pPr>
        <w:pStyle w:val="Heading2"/>
        <w:rPr>
          <w:lang w:eastAsia="en-NZ"/>
        </w:rPr>
      </w:pPr>
      <w:bookmarkStart w:id="36" w:name="_Toc109793286"/>
      <w:r w:rsidRPr="00841CC7">
        <w:rPr>
          <w:lang w:eastAsia="en-NZ"/>
        </w:rPr>
        <w:t>Risk assessment</w:t>
      </w:r>
      <w:bookmarkEnd w:id="36"/>
    </w:p>
    <w:p w14:paraId="446AF25E" w14:textId="5484F10A" w:rsidR="005A68CC" w:rsidRDefault="00841CC7" w:rsidP="00AB0559">
      <w:pPr>
        <w:rPr>
          <w:lang w:eastAsia="en-NZ"/>
        </w:rPr>
      </w:pPr>
      <w:r w:rsidRPr="00841CC7">
        <w:rPr>
          <w:lang w:eastAsia="en-NZ"/>
        </w:rPr>
        <w:t xml:space="preserve">Risk is the probability </w:t>
      </w:r>
      <w:r w:rsidR="005A68CC">
        <w:rPr>
          <w:lang w:eastAsia="en-NZ"/>
        </w:rPr>
        <w:t>that</w:t>
      </w:r>
      <w:r w:rsidRPr="00841CC7">
        <w:rPr>
          <w:lang w:eastAsia="en-NZ"/>
        </w:rPr>
        <w:t xml:space="preserve"> specified adverse effects</w:t>
      </w:r>
      <w:r w:rsidR="005A68CC">
        <w:rPr>
          <w:lang w:eastAsia="en-NZ"/>
        </w:rPr>
        <w:t xml:space="preserve"> will occur</w:t>
      </w:r>
      <w:r w:rsidRPr="00841CC7">
        <w:rPr>
          <w:lang w:eastAsia="en-NZ"/>
        </w:rPr>
        <w:t>. The United States Environmental Protection Agency (USEPA) define</w:t>
      </w:r>
      <w:r w:rsidR="005A68CC">
        <w:rPr>
          <w:lang w:eastAsia="en-NZ"/>
        </w:rPr>
        <w:t>s</w:t>
      </w:r>
      <w:r w:rsidRPr="00841CC7">
        <w:rPr>
          <w:lang w:eastAsia="en-NZ"/>
        </w:rPr>
        <w:t xml:space="preserve"> human</w:t>
      </w:r>
      <w:r>
        <w:rPr>
          <w:lang w:eastAsia="en-NZ"/>
        </w:rPr>
        <w:t xml:space="preserve"> </w:t>
      </w:r>
      <w:r w:rsidRPr="00841CC7">
        <w:rPr>
          <w:lang w:eastAsia="en-NZ"/>
        </w:rPr>
        <w:t>health risk assessment as</w:t>
      </w:r>
      <w:r w:rsidR="005A68CC">
        <w:rPr>
          <w:lang w:eastAsia="en-NZ"/>
        </w:rPr>
        <w:t>:</w:t>
      </w:r>
    </w:p>
    <w:p w14:paraId="0EEC6FF4" w14:textId="77777777" w:rsidR="00240A92" w:rsidRDefault="00240A92">
      <w:pPr>
        <w:pStyle w:val="NormalIndent"/>
        <w:rPr>
          <w:lang w:eastAsia="en-NZ"/>
        </w:rPr>
      </w:pPr>
    </w:p>
    <w:p w14:paraId="3AD6E8AF" w14:textId="171356CD" w:rsidR="005F1FCC" w:rsidRPr="00841CC7" w:rsidRDefault="00841CC7" w:rsidP="00AB0559">
      <w:pPr>
        <w:pStyle w:val="NormalIndent"/>
      </w:pPr>
      <w:r w:rsidRPr="00841CC7">
        <w:rPr>
          <w:lang w:eastAsia="en-NZ"/>
        </w:rPr>
        <w:t>evaluating the toxic properties of a chemical and the conditions of human exposure to it in order both to ascertain the likelihood that exposed humans will be adversely affected, and to characterise the nature of the effects they may experience (USEPA 1993).</w:t>
      </w:r>
    </w:p>
    <w:p w14:paraId="13BEFCF5" w14:textId="77777777" w:rsidR="00841CC7" w:rsidRPr="00841CC7" w:rsidRDefault="00841CC7" w:rsidP="00841CC7">
      <w:pPr>
        <w:autoSpaceDE w:val="0"/>
        <w:autoSpaceDN w:val="0"/>
        <w:adjustRightInd w:val="0"/>
        <w:rPr>
          <w:rFonts w:cs="Segoe UI"/>
          <w:szCs w:val="21"/>
          <w:lang w:eastAsia="en-NZ"/>
        </w:rPr>
      </w:pPr>
    </w:p>
    <w:p w14:paraId="0C9F4E51" w14:textId="7A0FC640" w:rsidR="00841CC7" w:rsidRPr="00841CC7" w:rsidRDefault="00841CC7" w:rsidP="00841CC7">
      <w:pPr>
        <w:autoSpaceDE w:val="0"/>
        <w:autoSpaceDN w:val="0"/>
        <w:adjustRightInd w:val="0"/>
        <w:rPr>
          <w:rFonts w:cs="Segoe UI"/>
          <w:szCs w:val="21"/>
          <w:lang w:eastAsia="en-NZ"/>
        </w:rPr>
      </w:pPr>
      <w:r w:rsidRPr="00841CC7">
        <w:rPr>
          <w:rFonts w:cs="Segoe UI"/>
          <w:szCs w:val="21"/>
          <w:lang w:eastAsia="en-NZ"/>
        </w:rPr>
        <w:t xml:space="preserve">A widely used </w:t>
      </w:r>
      <w:r w:rsidR="00F97CA3">
        <w:rPr>
          <w:rFonts w:cs="Segoe UI"/>
          <w:szCs w:val="21"/>
          <w:lang w:eastAsia="en-NZ"/>
        </w:rPr>
        <w:t xml:space="preserve">risk assessment </w:t>
      </w:r>
      <w:r w:rsidRPr="00841CC7">
        <w:rPr>
          <w:rFonts w:cs="Segoe UI"/>
          <w:szCs w:val="21"/>
          <w:lang w:eastAsia="en-NZ"/>
        </w:rPr>
        <w:t>model comprises four interrelated phases (USEPA 1993)</w:t>
      </w:r>
      <w:r w:rsidR="005A68CC">
        <w:rPr>
          <w:rFonts w:cs="Segoe UI"/>
          <w:szCs w:val="21"/>
          <w:lang w:eastAsia="en-NZ"/>
        </w:rPr>
        <w:t>.</w:t>
      </w:r>
    </w:p>
    <w:p w14:paraId="53A7935A" w14:textId="4A356E26" w:rsidR="00841CC7" w:rsidRPr="00841CC7" w:rsidRDefault="00841CC7" w:rsidP="00F4433C">
      <w:pPr>
        <w:pStyle w:val="Bullet"/>
        <w:rPr>
          <w:lang w:eastAsia="en-NZ"/>
        </w:rPr>
      </w:pPr>
      <w:r w:rsidRPr="00841CC7">
        <w:rPr>
          <w:b/>
          <w:bCs/>
          <w:lang w:eastAsia="en-NZ"/>
        </w:rPr>
        <w:t xml:space="preserve">Hazard identification: </w:t>
      </w:r>
      <w:r w:rsidR="00501832">
        <w:rPr>
          <w:lang w:eastAsia="en-NZ"/>
        </w:rPr>
        <w:t>A</w:t>
      </w:r>
      <w:r w:rsidRPr="00841CC7">
        <w:rPr>
          <w:lang w:eastAsia="en-NZ"/>
        </w:rPr>
        <w:t xml:space="preserve">ssess available evidence on the presence and hazards of </w:t>
      </w:r>
      <w:r w:rsidR="00A66566">
        <w:rPr>
          <w:lang w:eastAsia="en-NZ"/>
        </w:rPr>
        <w:t>substances</w:t>
      </w:r>
      <w:r w:rsidRPr="00841CC7">
        <w:rPr>
          <w:lang w:eastAsia="en-NZ"/>
        </w:rPr>
        <w:t xml:space="preserve"> likely to cause adverse effects</w:t>
      </w:r>
      <w:r w:rsidR="005A68CC">
        <w:rPr>
          <w:lang w:eastAsia="en-NZ"/>
        </w:rPr>
        <w:t>.</w:t>
      </w:r>
    </w:p>
    <w:p w14:paraId="6DFAB4AD" w14:textId="7ECF8D08" w:rsidR="00841CC7" w:rsidRPr="00841CC7" w:rsidRDefault="00841CC7" w:rsidP="00F4433C">
      <w:pPr>
        <w:pStyle w:val="Bullet"/>
        <w:rPr>
          <w:lang w:eastAsia="en-NZ"/>
        </w:rPr>
      </w:pPr>
      <w:r w:rsidRPr="00841CC7">
        <w:rPr>
          <w:b/>
          <w:bCs/>
          <w:lang w:eastAsia="en-NZ"/>
        </w:rPr>
        <w:t>Dose-response assessment</w:t>
      </w:r>
      <w:r w:rsidR="005A68CC">
        <w:rPr>
          <w:b/>
          <w:bCs/>
          <w:lang w:eastAsia="en-NZ"/>
        </w:rPr>
        <w:t>:</w:t>
      </w:r>
      <w:r w:rsidRPr="00841CC7">
        <w:rPr>
          <w:b/>
          <w:bCs/>
          <w:lang w:eastAsia="en-NZ"/>
        </w:rPr>
        <w:t xml:space="preserve"> </w:t>
      </w:r>
      <w:r w:rsidR="00501832">
        <w:rPr>
          <w:lang w:eastAsia="en-NZ"/>
        </w:rPr>
        <w:t>D</w:t>
      </w:r>
      <w:r w:rsidRPr="00841CC7">
        <w:rPr>
          <w:lang w:eastAsia="en-NZ"/>
        </w:rPr>
        <w:t>etermine the degree of the effects at different doses</w:t>
      </w:r>
      <w:r w:rsidR="005A68CC">
        <w:rPr>
          <w:lang w:eastAsia="en-NZ"/>
        </w:rPr>
        <w:t>.</w:t>
      </w:r>
    </w:p>
    <w:p w14:paraId="7C9069DD" w14:textId="7B6254F4" w:rsidR="00841CC7" w:rsidRPr="00841CC7" w:rsidRDefault="00841CC7" w:rsidP="00F4433C">
      <w:pPr>
        <w:pStyle w:val="Bullet"/>
        <w:rPr>
          <w:lang w:eastAsia="en-NZ"/>
        </w:rPr>
      </w:pPr>
      <w:r w:rsidRPr="00841CC7">
        <w:rPr>
          <w:b/>
          <w:bCs/>
          <w:lang w:eastAsia="en-NZ"/>
        </w:rPr>
        <w:t xml:space="preserve">Exposure assessment: </w:t>
      </w:r>
      <w:r w:rsidR="00501832">
        <w:rPr>
          <w:lang w:eastAsia="en-NZ"/>
        </w:rPr>
        <w:t>E</w:t>
      </w:r>
      <w:r w:rsidRPr="00841CC7">
        <w:rPr>
          <w:lang w:eastAsia="en-NZ"/>
        </w:rPr>
        <w:t xml:space="preserve">stimate the magnitude, duration and frequency of human exposure to </w:t>
      </w:r>
      <w:r w:rsidR="00A66566">
        <w:rPr>
          <w:lang w:eastAsia="en-NZ"/>
        </w:rPr>
        <w:t>substances</w:t>
      </w:r>
      <w:r w:rsidRPr="00841CC7">
        <w:rPr>
          <w:lang w:eastAsia="en-NZ"/>
        </w:rPr>
        <w:t xml:space="preserve"> of concern and the number of people exposed via different pathways</w:t>
      </w:r>
      <w:r w:rsidR="005A68CC">
        <w:rPr>
          <w:lang w:eastAsia="en-NZ"/>
        </w:rPr>
        <w:t>.</w:t>
      </w:r>
    </w:p>
    <w:p w14:paraId="6C503B13" w14:textId="230B9798" w:rsidR="00841CC7" w:rsidRPr="00841CC7" w:rsidRDefault="00841CC7" w:rsidP="00F4433C">
      <w:pPr>
        <w:pStyle w:val="Bullet"/>
        <w:rPr>
          <w:lang w:eastAsia="en-NZ"/>
        </w:rPr>
      </w:pPr>
      <w:r w:rsidRPr="00841CC7">
        <w:rPr>
          <w:b/>
          <w:bCs/>
          <w:lang w:eastAsia="en-NZ"/>
        </w:rPr>
        <w:t xml:space="preserve">Risk characterisation: </w:t>
      </w:r>
      <w:r w:rsidR="00501832">
        <w:rPr>
          <w:lang w:eastAsia="en-NZ"/>
        </w:rPr>
        <w:t>C</w:t>
      </w:r>
      <w:r w:rsidRPr="00841CC7">
        <w:rPr>
          <w:lang w:eastAsia="en-NZ"/>
        </w:rPr>
        <w:t xml:space="preserve">ombine the information </w:t>
      </w:r>
      <w:r w:rsidR="00501832">
        <w:rPr>
          <w:lang w:eastAsia="en-NZ"/>
        </w:rPr>
        <w:t>g</w:t>
      </w:r>
      <w:r w:rsidRPr="00841CC7">
        <w:rPr>
          <w:lang w:eastAsia="en-NZ"/>
        </w:rPr>
        <w:t>ained from the hazard identification, dose</w:t>
      </w:r>
      <w:r w:rsidR="00F97CA3">
        <w:rPr>
          <w:lang w:eastAsia="en-NZ"/>
        </w:rPr>
        <w:t>-</w:t>
      </w:r>
      <w:r w:rsidRPr="00841CC7">
        <w:rPr>
          <w:lang w:eastAsia="en-NZ"/>
        </w:rPr>
        <w:t>response assessment and exposure assessment</w:t>
      </w:r>
      <w:r w:rsidR="00501832">
        <w:rPr>
          <w:lang w:eastAsia="en-NZ"/>
        </w:rPr>
        <w:t xml:space="preserve"> phases</w:t>
      </w:r>
      <w:r w:rsidRPr="00841CC7">
        <w:rPr>
          <w:lang w:eastAsia="en-NZ"/>
        </w:rPr>
        <w:t xml:space="preserve"> to estimate the risk associated with each exposure scenario.</w:t>
      </w:r>
    </w:p>
    <w:p w14:paraId="3B0A8D53" w14:textId="1E7AC526" w:rsidR="005F1FCC" w:rsidRDefault="00841CC7" w:rsidP="00F97CA3">
      <w:pPr>
        <w:pStyle w:val="Heading3"/>
      </w:pPr>
      <w:r>
        <w:t xml:space="preserve">Hazard </w:t>
      </w:r>
      <w:r w:rsidR="005A68CC">
        <w:t>i</w:t>
      </w:r>
      <w:r>
        <w:t>dentification</w:t>
      </w:r>
      <w:r w:rsidR="00AB2E98">
        <w:t xml:space="preserve"> and </w:t>
      </w:r>
      <w:r w:rsidR="005A68CC">
        <w:t>d</w:t>
      </w:r>
      <w:r w:rsidR="00AB2E98">
        <w:t>ose-</w:t>
      </w:r>
      <w:r w:rsidR="005A68CC">
        <w:t>r</w:t>
      </w:r>
      <w:r w:rsidR="00AB2E98">
        <w:t xml:space="preserve">esponse </w:t>
      </w:r>
      <w:r w:rsidR="005A68CC">
        <w:t>a</w:t>
      </w:r>
      <w:r w:rsidR="00AB2E98">
        <w:t>ssessment</w:t>
      </w:r>
    </w:p>
    <w:p w14:paraId="21ED7FAF" w14:textId="687ED771" w:rsidR="00E13AF9" w:rsidRDefault="00501832" w:rsidP="000E4334">
      <w:pPr>
        <w:pStyle w:val="CommentText"/>
        <w:rPr>
          <w:rFonts w:ascii="Segoe UI" w:hAnsi="Segoe UI" w:cs="Segoe UI"/>
          <w:sz w:val="21"/>
          <w:szCs w:val="21"/>
        </w:rPr>
      </w:pPr>
      <w:r>
        <w:rPr>
          <w:rFonts w:ascii="Segoe UI" w:hAnsi="Segoe UI" w:cs="Segoe UI"/>
          <w:sz w:val="21"/>
          <w:szCs w:val="21"/>
        </w:rPr>
        <w:t>In New Zealand, t</w:t>
      </w:r>
      <w:r w:rsidR="004E06D0" w:rsidRPr="00BB0E4F">
        <w:rPr>
          <w:rFonts w:ascii="Segoe UI" w:hAnsi="Segoe UI" w:cs="Segoe UI"/>
          <w:sz w:val="21"/>
          <w:szCs w:val="21"/>
        </w:rPr>
        <w:t>he</w:t>
      </w:r>
      <w:r w:rsidR="00E13AF9" w:rsidRPr="00E13AF9">
        <w:rPr>
          <w:rFonts w:ascii="Segoe UI" w:hAnsi="Segoe UI" w:cs="Segoe UI"/>
          <w:sz w:val="21"/>
          <w:szCs w:val="21"/>
        </w:rPr>
        <w:t xml:space="preserve"> </w:t>
      </w:r>
      <w:r w:rsidR="00E13AF9" w:rsidRPr="00BB0E4F">
        <w:rPr>
          <w:rFonts w:ascii="Segoe UI" w:hAnsi="Segoe UI" w:cs="Segoe UI"/>
          <w:sz w:val="21"/>
          <w:szCs w:val="21"/>
        </w:rPr>
        <w:t>Environmental Protection Authority (EPA)</w:t>
      </w:r>
      <w:r w:rsidR="00E13AF9">
        <w:rPr>
          <w:rFonts w:ascii="Segoe UI" w:hAnsi="Segoe UI" w:cs="Segoe UI"/>
          <w:sz w:val="21"/>
          <w:szCs w:val="21"/>
        </w:rPr>
        <w:t xml:space="preserve"> has assessed the</w:t>
      </w:r>
      <w:r w:rsidR="004E06D0" w:rsidRPr="00BB0E4F">
        <w:rPr>
          <w:rFonts w:ascii="Segoe UI" w:hAnsi="Segoe UI" w:cs="Segoe UI"/>
          <w:sz w:val="21"/>
          <w:szCs w:val="21"/>
        </w:rPr>
        <w:t xml:space="preserve"> hazardous properties </w:t>
      </w:r>
      <w:r w:rsidR="00F97CA3" w:rsidRPr="00BB0E4F">
        <w:rPr>
          <w:rFonts w:ascii="Segoe UI" w:hAnsi="Segoe UI" w:cs="Segoe UI"/>
          <w:sz w:val="21"/>
          <w:szCs w:val="21"/>
        </w:rPr>
        <w:t>of</w:t>
      </w:r>
      <w:r w:rsidR="004E06D0" w:rsidRPr="00BB0E4F">
        <w:rPr>
          <w:rFonts w:ascii="Segoe UI" w:hAnsi="Segoe UI" w:cs="Segoe UI"/>
          <w:sz w:val="21"/>
          <w:szCs w:val="21"/>
        </w:rPr>
        <w:t xml:space="preserve"> VTA</w:t>
      </w:r>
      <w:r w:rsidR="00F97CA3" w:rsidRPr="00BB0E4F">
        <w:rPr>
          <w:rFonts w:ascii="Segoe UI" w:hAnsi="Segoe UI" w:cs="Segoe UI"/>
          <w:sz w:val="21"/>
          <w:szCs w:val="21"/>
        </w:rPr>
        <w:t>s and other hazardous substances</w:t>
      </w:r>
      <w:r w:rsidR="00AB2E98" w:rsidRPr="00BB0E4F">
        <w:rPr>
          <w:rFonts w:ascii="Segoe UI" w:hAnsi="Segoe UI" w:cs="Segoe UI"/>
          <w:sz w:val="21"/>
          <w:szCs w:val="21"/>
        </w:rPr>
        <w:t>, including dose-response</w:t>
      </w:r>
      <w:r w:rsidR="00E13AF9">
        <w:rPr>
          <w:rFonts w:ascii="Segoe UI" w:hAnsi="Segoe UI" w:cs="Segoe UI"/>
          <w:sz w:val="21"/>
          <w:szCs w:val="21"/>
        </w:rPr>
        <w:t>. It</w:t>
      </w:r>
      <w:r w:rsidR="00997653" w:rsidRPr="00BB0E4F">
        <w:rPr>
          <w:rFonts w:ascii="Segoe UI" w:hAnsi="Segoe UI" w:cs="Segoe UI"/>
          <w:sz w:val="21"/>
          <w:szCs w:val="21"/>
        </w:rPr>
        <w:t xml:space="preserve"> has </w:t>
      </w:r>
      <w:r w:rsidR="00E13AF9">
        <w:rPr>
          <w:rFonts w:ascii="Segoe UI" w:hAnsi="Segoe UI" w:cs="Segoe UI"/>
          <w:sz w:val="21"/>
          <w:szCs w:val="21"/>
        </w:rPr>
        <w:t xml:space="preserve">also </w:t>
      </w:r>
      <w:r w:rsidR="00997653" w:rsidRPr="00BB0E4F">
        <w:rPr>
          <w:rFonts w:ascii="Segoe UI" w:hAnsi="Segoe UI" w:cs="Segoe UI"/>
          <w:sz w:val="21"/>
          <w:szCs w:val="21"/>
        </w:rPr>
        <w:t xml:space="preserve">set appropriate controls to manage the risks from these substances, including public health risks. </w:t>
      </w:r>
      <w:r w:rsidR="00E13AF9">
        <w:rPr>
          <w:rFonts w:ascii="Segoe UI" w:hAnsi="Segoe UI" w:cs="Segoe UI"/>
          <w:sz w:val="21"/>
          <w:szCs w:val="21"/>
        </w:rPr>
        <w:t>For i</w:t>
      </w:r>
      <w:r w:rsidR="00F97CA3" w:rsidRPr="00BB0E4F">
        <w:rPr>
          <w:rFonts w:ascii="Segoe UI" w:hAnsi="Segoe UI" w:cs="Segoe UI"/>
          <w:sz w:val="21"/>
          <w:szCs w:val="21"/>
        </w:rPr>
        <w:t>nformation on the EPA’s assessments</w:t>
      </w:r>
      <w:r w:rsidR="00E13AF9">
        <w:rPr>
          <w:rFonts w:ascii="Segoe UI" w:hAnsi="Segoe UI" w:cs="Segoe UI"/>
          <w:sz w:val="21"/>
          <w:szCs w:val="21"/>
        </w:rPr>
        <w:t>, see</w:t>
      </w:r>
      <w:r w:rsidR="00F97CA3" w:rsidRPr="00BB0E4F">
        <w:rPr>
          <w:rFonts w:ascii="Segoe UI" w:hAnsi="Segoe UI" w:cs="Segoe UI"/>
          <w:sz w:val="21"/>
          <w:szCs w:val="21"/>
        </w:rPr>
        <w:t xml:space="preserve"> </w:t>
      </w:r>
      <w:r w:rsidR="00E13AF9">
        <w:rPr>
          <w:rFonts w:ascii="Segoe UI" w:hAnsi="Segoe UI" w:cs="Segoe UI"/>
          <w:sz w:val="21"/>
          <w:szCs w:val="21"/>
        </w:rPr>
        <w:t xml:space="preserve">the </w:t>
      </w:r>
      <w:r w:rsidR="00F97CA3" w:rsidRPr="00BB0E4F">
        <w:rPr>
          <w:rFonts w:ascii="Segoe UI" w:hAnsi="Segoe UI" w:cs="Segoe UI"/>
          <w:sz w:val="21"/>
          <w:szCs w:val="21"/>
        </w:rPr>
        <w:t>EPA website</w:t>
      </w:r>
      <w:r w:rsidR="00B5054A">
        <w:rPr>
          <w:rFonts w:ascii="Segoe UI" w:hAnsi="Segoe UI" w:cs="Segoe UI"/>
          <w:sz w:val="21"/>
          <w:szCs w:val="21"/>
        </w:rPr>
        <w:t>, including</w:t>
      </w:r>
      <w:r w:rsidR="00E13AF9">
        <w:rPr>
          <w:rFonts w:ascii="Segoe UI" w:hAnsi="Segoe UI" w:cs="Segoe UI"/>
          <w:sz w:val="21"/>
          <w:szCs w:val="21"/>
        </w:rPr>
        <w:t>:</w:t>
      </w:r>
    </w:p>
    <w:p w14:paraId="78F7E714" w14:textId="3B431CD8" w:rsidR="00E13AF9" w:rsidRDefault="00E13AF9" w:rsidP="00E13AF9">
      <w:pPr>
        <w:pStyle w:val="Bullet"/>
      </w:pPr>
      <w:r>
        <w:t>t</w:t>
      </w:r>
      <w:r w:rsidR="004637D7" w:rsidRPr="00BB0E4F">
        <w:t xml:space="preserve">he Chemical Classification and Information Database (CCID) </w:t>
      </w:r>
      <w:r>
        <w:t xml:space="preserve">for </w:t>
      </w:r>
      <w:r w:rsidR="004637D7" w:rsidRPr="00BB0E4F">
        <w:t>information on the hazards of VTA active</w:t>
      </w:r>
      <w:r w:rsidR="00B862E1" w:rsidRPr="00BB0E4F">
        <w:t xml:space="preserve"> ingredients</w:t>
      </w:r>
      <w:r>
        <w:t>:</w:t>
      </w:r>
      <w:r w:rsidR="004637D7" w:rsidRPr="00BB0E4F">
        <w:t xml:space="preserve"> </w:t>
      </w:r>
      <w:hyperlink r:id="rId26" w:history="1">
        <w:r w:rsidR="00B862E1" w:rsidRPr="00BB0E4F">
          <w:rPr>
            <w:rStyle w:val="Hyperlink"/>
            <w:rFonts w:cs="Segoe UI"/>
            <w:szCs w:val="21"/>
          </w:rPr>
          <w:t>https://www.epa.govt.nz/database-search/chemical-classification-and-information-database-ccid/</w:t>
        </w:r>
      </w:hyperlink>
      <w:r w:rsidR="00BB0E4F" w:rsidRPr="00BB0E4F">
        <w:t xml:space="preserve">  </w:t>
      </w:r>
    </w:p>
    <w:p w14:paraId="0BF3A099" w14:textId="1D12E801" w:rsidR="004E06D0" w:rsidRDefault="00E13AF9" w:rsidP="0093352E">
      <w:pPr>
        <w:pStyle w:val="Bullet"/>
      </w:pPr>
      <w:r>
        <w:t>t</w:t>
      </w:r>
      <w:r w:rsidR="00BB0E4F" w:rsidRPr="00BB0E4F">
        <w:t>he Approval Index</w:t>
      </w:r>
      <w:r>
        <w:t>:</w:t>
      </w:r>
      <w:r w:rsidR="00BB0E4F" w:rsidRPr="00BB0E4F">
        <w:t xml:space="preserve"> </w:t>
      </w:r>
      <w:hyperlink r:id="rId27" w:history="1">
        <w:r w:rsidR="000E4334" w:rsidRPr="00B83DAF">
          <w:rPr>
            <w:rStyle w:val="Hyperlink"/>
            <w:rFonts w:cs="Segoe UI"/>
            <w:szCs w:val="21"/>
          </w:rPr>
          <w:t>https://www.epa.govt.nz/assets/Uploads/Documents/Hazardous-Substances/GHS2/Individual-Hazardous-Substance-Approvals.pdf</w:t>
        </w:r>
      </w:hyperlink>
      <w:r w:rsidR="00B5054A">
        <w:t xml:space="preserve"> (pdf, 6.2MB).</w:t>
      </w:r>
    </w:p>
    <w:p w14:paraId="3F15BE37" w14:textId="720D64A9" w:rsidR="00240FF3" w:rsidRDefault="00240FF3" w:rsidP="004E06D0"/>
    <w:p w14:paraId="06DB8A61" w14:textId="61FDE692" w:rsidR="00E13AF9" w:rsidRDefault="0060623B" w:rsidP="004E06D0">
      <w:r>
        <w:t xml:space="preserve">For information on specific assessments, see the documents below. Note </w:t>
      </w:r>
      <w:r w:rsidR="00E13AF9" w:rsidRPr="00BB0E4F">
        <w:t xml:space="preserve">the controls section in </w:t>
      </w:r>
      <w:r w:rsidR="006F6699">
        <w:t>the decision</w:t>
      </w:r>
      <w:r>
        <w:t xml:space="preserve"> </w:t>
      </w:r>
      <w:r w:rsidR="00E13AF9" w:rsidRPr="00BB0E4F">
        <w:t>document</w:t>
      </w:r>
      <w:r w:rsidR="006F6699">
        <w:t>s</w:t>
      </w:r>
      <w:r>
        <w:t xml:space="preserve"> is</w:t>
      </w:r>
      <w:r w:rsidR="00E13AF9" w:rsidRPr="00BB0E4F">
        <w:t xml:space="preserve"> no longer relevant</w:t>
      </w:r>
      <w:r>
        <w:t>.</w:t>
      </w:r>
      <w:r w:rsidR="00E13AF9" w:rsidRPr="00BB0E4F">
        <w:t xml:space="preserve"> </w:t>
      </w:r>
      <w:r w:rsidR="00CB659E">
        <w:t>R</w:t>
      </w:r>
      <w:r w:rsidR="00E13AF9" w:rsidRPr="00BB0E4F">
        <w:t>efer to the reissued approvals for the current controls.</w:t>
      </w:r>
    </w:p>
    <w:bookmarkEnd w:id="35"/>
    <w:p w14:paraId="11FEBC37" w14:textId="7E80C790" w:rsidR="004E06D0" w:rsidRPr="00125532" w:rsidRDefault="004E06D0" w:rsidP="00AB0559">
      <w:pPr>
        <w:pStyle w:val="Heading4"/>
      </w:pPr>
      <w:r w:rsidRPr="00125532">
        <w:t xml:space="preserve">Sodium fluoroacetate (1080) </w:t>
      </w:r>
    </w:p>
    <w:p w14:paraId="0DC140CE" w14:textId="2E940762" w:rsidR="004E06D0" w:rsidRPr="004A51EE" w:rsidRDefault="004E06D0" w:rsidP="004E06D0">
      <w:pPr>
        <w:pStyle w:val="Bullet"/>
      </w:pPr>
      <w:r w:rsidRPr="004A51EE">
        <w:t>EPA</w:t>
      </w:r>
      <w:r>
        <w:t>. 2007b.</w:t>
      </w:r>
      <w:r w:rsidRPr="004A51EE">
        <w:t xml:space="preserve"> </w:t>
      </w:r>
      <w:r w:rsidRPr="002465B6">
        <w:rPr>
          <w:i/>
        </w:rPr>
        <w:t>1080 Reassessment Decision</w:t>
      </w:r>
      <w:r>
        <w:t xml:space="preserve">. </w:t>
      </w:r>
      <w:hyperlink r:id="rId28" w:history="1">
        <w:r>
          <w:rPr>
            <w:rStyle w:val="Hyperlink"/>
            <w:rFonts w:eastAsia="MS Gothic" w:cs="Arial"/>
            <w:lang w:val="en-AU"/>
          </w:rPr>
          <w:t>http://www.epa.govt.nz/assets/FileAPI/hsno-ar/HRE05002/HRE05002-065.doc</w:t>
        </w:r>
      </w:hyperlink>
      <w:r w:rsidR="00B5054A">
        <w:rPr>
          <w:rFonts w:eastAsia="MS Gothic"/>
        </w:rPr>
        <w:t xml:space="preserve"> (Word doc, 2.1 MB)</w:t>
      </w:r>
      <w:r w:rsidR="0042659F">
        <w:rPr>
          <w:rFonts w:eastAsia="MS Gothic"/>
        </w:rPr>
        <w:t>.</w:t>
      </w:r>
    </w:p>
    <w:p w14:paraId="49DFCBCB" w14:textId="1045414B" w:rsidR="004E06D0" w:rsidRPr="002465B6" w:rsidRDefault="004E06D0" w:rsidP="004E06D0">
      <w:pPr>
        <w:pStyle w:val="Bullet"/>
      </w:pPr>
      <w:r w:rsidRPr="004A51EE">
        <w:t>EPA</w:t>
      </w:r>
      <w:r>
        <w:t xml:space="preserve">. 2007a. </w:t>
      </w:r>
      <w:r w:rsidRPr="00122E79">
        <w:rPr>
          <w:i/>
          <w:iCs/>
        </w:rPr>
        <w:t>Evaluation and Review Report: Reassessment of 1080 (HRE05002)</w:t>
      </w:r>
      <w:r w:rsidRPr="00122E79">
        <w:t>, Appendix M</w:t>
      </w:r>
      <w:r w:rsidR="0042659F">
        <w:t>:</w:t>
      </w:r>
      <w:r w:rsidRPr="00122E79">
        <w:t xml:space="preserve"> Exposure and risk assessment</w:t>
      </w:r>
      <w:r w:rsidR="00512297">
        <w:t xml:space="preserve"> (1080 and cyanide)</w:t>
      </w:r>
      <w:r w:rsidRPr="00122E79">
        <w:t>: human health</w:t>
      </w:r>
      <w:r>
        <w:t>.</w:t>
      </w:r>
      <w:r w:rsidRPr="00122E79">
        <w:t xml:space="preserve"> </w:t>
      </w:r>
      <w:hyperlink r:id="rId29" w:history="1">
        <w:r w:rsidRPr="00122E79">
          <w:rPr>
            <w:rStyle w:val="Hyperlink"/>
            <w:rFonts w:eastAsia="MS Gothic" w:cs="Arial"/>
          </w:rPr>
          <w:t>http://www.epa.govt.nz/assets/FileAPI/hsno-ar/HRE05002/HRE05002-044.pdf</w:t>
        </w:r>
      </w:hyperlink>
      <w:r w:rsidR="0042659F">
        <w:rPr>
          <w:rFonts w:eastAsia="MS Gothic"/>
        </w:rPr>
        <w:t xml:space="preserve"> (pdf, 0.4 MB).</w:t>
      </w:r>
    </w:p>
    <w:p w14:paraId="6D12449E" w14:textId="77BFADD5" w:rsidR="004E06D0" w:rsidRPr="00125532" w:rsidRDefault="004E06D0" w:rsidP="00AB0559">
      <w:pPr>
        <w:pStyle w:val="Heading4"/>
        <w:rPr>
          <w:rFonts w:cs="Arial"/>
        </w:rPr>
      </w:pPr>
      <w:r w:rsidRPr="00125532">
        <w:t xml:space="preserve">Cyanide </w:t>
      </w:r>
    </w:p>
    <w:p w14:paraId="437F7067" w14:textId="688F9017" w:rsidR="004E06D0" w:rsidRPr="005641BB" w:rsidRDefault="004E06D0" w:rsidP="004E06D0">
      <w:pPr>
        <w:pStyle w:val="Bullet"/>
      </w:pPr>
      <w:r w:rsidRPr="004A51EE">
        <w:t>EPA</w:t>
      </w:r>
      <w:r>
        <w:t xml:space="preserve">. 2007a. </w:t>
      </w:r>
      <w:r w:rsidRPr="005641BB">
        <w:rPr>
          <w:i/>
          <w:iCs/>
        </w:rPr>
        <w:t>Evaluation and Review Report: Reassessment of 1080 (HRE05002)</w:t>
      </w:r>
      <w:r w:rsidRPr="005641BB">
        <w:t>, Appendix M</w:t>
      </w:r>
      <w:r w:rsidR="00512297">
        <w:t>:</w:t>
      </w:r>
      <w:r w:rsidRPr="005641BB">
        <w:t xml:space="preserve"> Exposure and risk assessment</w:t>
      </w:r>
      <w:r w:rsidR="00512297">
        <w:t xml:space="preserve"> (1080 and cyanide)</w:t>
      </w:r>
      <w:r w:rsidRPr="005641BB">
        <w:t>: human health</w:t>
      </w:r>
      <w:r>
        <w:t>.</w:t>
      </w:r>
      <w:r w:rsidRPr="005641BB">
        <w:t xml:space="preserve"> </w:t>
      </w:r>
      <w:hyperlink r:id="rId30" w:history="1">
        <w:r w:rsidRPr="004D2C87">
          <w:rPr>
            <w:rStyle w:val="Hyperlink"/>
            <w:rFonts w:eastAsia="MS Gothic" w:cs="Arial"/>
          </w:rPr>
          <w:t>https://www.epa.govt.nz/assets/FileAPI/hsno-ar/HRE05002/475377593c/HRE05002-044.pdf</w:t>
        </w:r>
      </w:hyperlink>
      <w:r w:rsidR="00512297">
        <w:rPr>
          <w:rFonts w:eastAsia="MS Gothic"/>
        </w:rPr>
        <w:t xml:space="preserve"> (pdf, 0.4 MB).</w:t>
      </w:r>
    </w:p>
    <w:p w14:paraId="496887E0" w14:textId="52C0B66B" w:rsidR="004E06D0" w:rsidRPr="005641BB" w:rsidRDefault="004E06D0" w:rsidP="004E06D0">
      <w:pPr>
        <w:pStyle w:val="Bullet"/>
      </w:pPr>
      <w:r w:rsidRPr="005641BB">
        <w:t>HSNO Chemical Classification Information Database: Sodium cyanide</w:t>
      </w:r>
      <w:r>
        <w:t>.</w:t>
      </w:r>
      <w:r w:rsidRPr="005641BB">
        <w:t xml:space="preserve"> </w:t>
      </w:r>
      <w:hyperlink r:id="rId31" w:history="1">
        <w:r w:rsidRPr="004D2C87">
          <w:rPr>
            <w:rStyle w:val="Hyperlink"/>
            <w:rFonts w:eastAsia="MS Gothic" w:cs="Arial"/>
          </w:rPr>
          <w:t>https://www.epa.govt.nz/database-search/chemical-classification-and-information-database-ccid/view/B594DD80-95F9-462B-86FA-B5E010A949B6</w:t>
        </w:r>
      </w:hyperlink>
      <w:r w:rsidR="00076A9F">
        <w:rPr>
          <w:rFonts w:eastAsia="MS Gothic"/>
        </w:rPr>
        <w:t>.</w:t>
      </w:r>
      <w:r>
        <w:t xml:space="preserve"> </w:t>
      </w:r>
    </w:p>
    <w:p w14:paraId="76623A2F" w14:textId="6697B166" w:rsidR="004E06D0" w:rsidRPr="00003A4A" w:rsidRDefault="004E06D0" w:rsidP="0093352E">
      <w:pPr>
        <w:pStyle w:val="Heading4"/>
      </w:pPr>
      <w:bookmarkStart w:id="37" w:name="_Toc252830367"/>
      <w:bookmarkStart w:id="38" w:name="_Toc254615764"/>
      <w:bookmarkStart w:id="39" w:name="_Toc254616202"/>
      <w:bookmarkStart w:id="40" w:name="_Toc255820789"/>
      <w:bookmarkStart w:id="41" w:name="_Toc255821130"/>
      <w:bookmarkStart w:id="42" w:name="_Toc258328449"/>
      <w:bookmarkStart w:id="43" w:name="_Toc265219405"/>
      <w:bookmarkStart w:id="44" w:name="_Toc336505245"/>
      <w:bookmarkStart w:id="45" w:name="_Toc90633197"/>
      <w:bookmarkStart w:id="46" w:name="_Hlk98752248"/>
      <w:r w:rsidRPr="00003A4A">
        <w:t>Yellow phosphorus</w:t>
      </w:r>
      <w:bookmarkEnd w:id="37"/>
      <w:bookmarkEnd w:id="38"/>
      <w:bookmarkEnd w:id="39"/>
      <w:bookmarkEnd w:id="40"/>
      <w:bookmarkEnd w:id="41"/>
      <w:bookmarkEnd w:id="42"/>
      <w:bookmarkEnd w:id="43"/>
      <w:bookmarkEnd w:id="44"/>
      <w:bookmarkEnd w:id="45"/>
    </w:p>
    <w:bookmarkEnd w:id="46"/>
    <w:p w14:paraId="4FD75643" w14:textId="0ADB65BC" w:rsidR="004E06D0" w:rsidRPr="006A1609" w:rsidRDefault="004E06D0" w:rsidP="004E06D0">
      <w:pPr>
        <w:pStyle w:val="Bullet"/>
      </w:pPr>
      <w:r>
        <w:rPr>
          <w:iCs/>
        </w:rPr>
        <w:t xml:space="preserve">Eason CT, Wickstrom M. 2001. </w:t>
      </w:r>
      <w:r w:rsidRPr="006A1609">
        <w:rPr>
          <w:i/>
          <w:iCs/>
        </w:rPr>
        <w:t>Vertebrate Pesticide Toxicology Manual</w:t>
      </w:r>
      <w:r>
        <w:t>.</w:t>
      </w:r>
      <w:r w:rsidRPr="006A1609">
        <w:t xml:space="preserve"> </w:t>
      </w:r>
      <w:hyperlink r:id="rId32" w:history="1">
        <w:r w:rsidRPr="00CF027D">
          <w:rPr>
            <w:rStyle w:val="Hyperlink"/>
            <w:rFonts w:eastAsia="MS Gothic" w:cs="Arial"/>
          </w:rPr>
          <w:t>http://www.doc.govt.nz/documents/science-and-technical/docts23.pdf</w:t>
        </w:r>
      </w:hyperlink>
      <w:r w:rsidR="00076A9F">
        <w:rPr>
          <w:rFonts w:eastAsia="MS Gothic"/>
        </w:rPr>
        <w:t xml:space="preserve"> (pdf, 0.4 MB).</w:t>
      </w:r>
    </w:p>
    <w:p w14:paraId="1438EB22" w14:textId="77777777" w:rsidR="00125532" w:rsidRPr="00003A4A" w:rsidRDefault="004E06D0" w:rsidP="0093352E">
      <w:pPr>
        <w:pStyle w:val="Heading4"/>
      </w:pPr>
      <w:bookmarkStart w:id="47" w:name="_Toc252830368"/>
      <w:bookmarkStart w:id="48" w:name="_Toc254615765"/>
      <w:bookmarkStart w:id="49" w:name="_Toc254616203"/>
      <w:bookmarkStart w:id="50" w:name="_Toc255820790"/>
      <w:bookmarkStart w:id="51" w:name="_Toc255821131"/>
      <w:bookmarkStart w:id="52" w:name="_Toc258328450"/>
      <w:bookmarkStart w:id="53" w:name="_Toc265219406"/>
      <w:bookmarkStart w:id="54" w:name="_Toc336505246"/>
      <w:bookmarkStart w:id="55" w:name="_Toc90633198"/>
      <w:bookmarkStart w:id="56" w:name="_Hlk98752255"/>
      <w:r w:rsidRPr="00003A4A">
        <w:t>DRC 1339</w:t>
      </w:r>
      <w:bookmarkEnd w:id="47"/>
      <w:r w:rsidRPr="00003A4A">
        <w:t xml:space="preserve"> (3-chloro-p-toluidine hydrochloride)</w:t>
      </w:r>
      <w:bookmarkEnd w:id="48"/>
      <w:bookmarkEnd w:id="49"/>
      <w:bookmarkEnd w:id="50"/>
      <w:bookmarkEnd w:id="51"/>
      <w:bookmarkEnd w:id="52"/>
      <w:bookmarkEnd w:id="53"/>
      <w:bookmarkEnd w:id="54"/>
      <w:bookmarkEnd w:id="55"/>
    </w:p>
    <w:bookmarkEnd w:id="56"/>
    <w:p w14:paraId="5EB804C3" w14:textId="66031EA1" w:rsidR="004E06D0" w:rsidRPr="006B7407" w:rsidRDefault="004E06D0" w:rsidP="004E06D0">
      <w:pPr>
        <w:pStyle w:val="Bullet"/>
      </w:pPr>
      <w:r w:rsidRPr="006B7407">
        <w:t xml:space="preserve">Animal Control Products Ltd. 2006. </w:t>
      </w:r>
      <w:r w:rsidRPr="006B7407">
        <w:rPr>
          <w:i/>
          <w:iCs/>
        </w:rPr>
        <w:t>Safety Data Sheet: DRC 1339</w:t>
      </w:r>
      <w:r>
        <w:t>.</w:t>
      </w:r>
      <w:r w:rsidRPr="006B7407">
        <w:t xml:space="preserve"> </w:t>
      </w:r>
      <w:hyperlink r:id="rId33" w:history="1">
        <w:r w:rsidRPr="006B7407">
          <w:rPr>
            <w:rStyle w:val="Hyperlink"/>
            <w:rFonts w:eastAsia="MS Gothic" w:cs="Arial"/>
          </w:rPr>
          <w:t>https://pestoff.co.nz/wp-content/uploads/2021/03/DRC1339.pdf</w:t>
        </w:r>
      </w:hyperlink>
      <w:r w:rsidR="00076A9F">
        <w:rPr>
          <w:rFonts w:eastAsia="MS Gothic"/>
        </w:rPr>
        <w:t xml:space="preserve"> (pdf, 0.2 MB).</w:t>
      </w:r>
    </w:p>
    <w:p w14:paraId="549B852E" w14:textId="77777777" w:rsidR="004E06D0" w:rsidRPr="006B7407" w:rsidRDefault="004E06D0" w:rsidP="004E06D0">
      <w:pPr>
        <w:pStyle w:val="Bullet"/>
      </w:pPr>
      <w:r w:rsidRPr="006B7407">
        <w:rPr>
          <w:iCs/>
        </w:rPr>
        <w:t xml:space="preserve">New Zealand Food Safety Authority. 2002. </w:t>
      </w:r>
      <w:r w:rsidRPr="006B7407">
        <w:rPr>
          <w:i/>
          <w:iCs/>
        </w:rPr>
        <w:t>Controlled Pesticides: DRC 1339 for bird control.</w:t>
      </w:r>
      <w:r w:rsidRPr="006B7407">
        <w:rPr>
          <w:iCs/>
        </w:rPr>
        <w:t xml:space="preserve"> </w:t>
      </w:r>
      <w:r w:rsidRPr="006B7407">
        <w:t>Wellington</w:t>
      </w:r>
      <w:r>
        <w:t>:</w:t>
      </w:r>
      <w:r w:rsidRPr="006B7407">
        <w:t xml:space="preserve"> </w:t>
      </w:r>
      <w:r w:rsidRPr="006B7407">
        <w:rPr>
          <w:iCs/>
        </w:rPr>
        <w:t>New Zealand Food Safety Authority.</w:t>
      </w:r>
    </w:p>
    <w:p w14:paraId="6D511578" w14:textId="77777777" w:rsidR="004E06D0" w:rsidRPr="006B7407" w:rsidRDefault="004E06D0" w:rsidP="004E06D0">
      <w:pPr>
        <w:pStyle w:val="Bullet"/>
      </w:pPr>
      <w:r w:rsidRPr="006B7407">
        <w:t xml:space="preserve">United States Environmental Protection Agency, National Service Center for Environmental Publications </w:t>
      </w:r>
      <w:r>
        <w:t>webs</w:t>
      </w:r>
      <w:r w:rsidRPr="006B7407">
        <w:t>ite</w:t>
      </w:r>
      <w:r>
        <w:t>.</w:t>
      </w:r>
      <w:r w:rsidRPr="006B7407">
        <w:t xml:space="preserve"> </w:t>
      </w:r>
      <w:hyperlink r:id="rId34" w:history="1">
        <w:r w:rsidRPr="007F5E71">
          <w:rPr>
            <w:rStyle w:val="Hyperlink"/>
            <w:rFonts w:eastAsia="MS Gothic" w:cs="Arial"/>
          </w:rPr>
          <w:t>http://www.epa.gov/nscep/</w:t>
        </w:r>
      </w:hyperlink>
    </w:p>
    <w:p w14:paraId="65E28904" w14:textId="77777777" w:rsidR="004E06D0" w:rsidRPr="00003A4A" w:rsidRDefault="004E06D0" w:rsidP="0093352E">
      <w:pPr>
        <w:pStyle w:val="Heading4"/>
      </w:pPr>
      <w:bookmarkStart w:id="57" w:name="_Toc336505247"/>
      <w:bookmarkStart w:id="58" w:name="_Toc90633199"/>
      <w:r>
        <w:t>Microencapsulated zinc phosphide (MZP)</w:t>
      </w:r>
      <w:bookmarkEnd w:id="57"/>
      <w:bookmarkEnd w:id="58"/>
    </w:p>
    <w:p w14:paraId="4E7B539C" w14:textId="35D1F5ED" w:rsidR="004E06D0" w:rsidRPr="005641BB" w:rsidRDefault="004E06D0" w:rsidP="004E06D0">
      <w:pPr>
        <w:pStyle w:val="Bullet"/>
        <w:rPr>
          <w:rFonts w:cs="Arial"/>
        </w:rPr>
      </w:pPr>
      <w:r w:rsidRPr="005641BB">
        <w:rPr>
          <w:rFonts w:cs="Arial"/>
        </w:rPr>
        <w:t>EPA</w:t>
      </w:r>
      <w:r>
        <w:rPr>
          <w:rFonts w:cs="Arial"/>
        </w:rPr>
        <w:t>. 2009b.</w:t>
      </w:r>
      <w:r w:rsidRPr="005641BB">
        <w:rPr>
          <w:rFonts w:cs="Arial"/>
        </w:rPr>
        <w:t xml:space="preserve"> </w:t>
      </w:r>
      <w:r w:rsidRPr="0093352E">
        <w:rPr>
          <w:rFonts w:cs="Arial"/>
          <w:i/>
          <w:iCs/>
        </w:rPr>
        <w:t xml:space="preserve">Evaluation and Review Report: </w:t>
      </w:r>
      <w:r w:rsidRPr="0093352E">
        <w:rPr>
          <w:i/>
          <w:iCs/>
        </w:rPr>
        <w:t>Application for approval to import or manufacture microencapsulated zinc phosphide (MZP) and MZP paste for release</w:t>
      </w:r>
      <w:r>
        <w:t xml:space="preserve">. Application </w:t>
      </w:r>
      <w:r w:rsidR="00AE5640">
        <w:t>n</w:t>
      </w:r>
      <w:r>
        <w:t xml:space="preserve">umber: </w:t>
      </w:r>
      <w:r w:rsidRPr="00004143">
        <w:t>HSR09013</w:t>
      </w:r>
      <w:r>
        <w:t>.</w:t>
      </w:r>
      <w:r>
        <w:rPr>
          <w:rFonts w:cs="Arial"/>
        </w:rPr>
        <w:t xml:space="preserve"> </w:t>
      </w:r>
      <w:hyperlink r:id="rId35" w:history="1">
        <w:r w:rsidRPr="00FA0B2F">
          <w:rPr>
            <w:rStyle w:val="Hyperlink"/>
            <w:rFonts w:eastAsia="MS Gothic" w:cs="Arial"/>
          </w:rPr>
          <w:t>https://www.epa.govt.nz/assets/FileAPI/hsno-ar/HSR09013/bbd9a1178d/HSR09013-HSR09013-Evaluation-and-Review-Report.pdf</w:t>
        </w:r>
      </w:hyperlink>
      <w:r w:rsidR="00EC5889">
        <w:rPr>
          <w:rFonts w:eastAsia="MS Gothic"/>
        </w:rPr>
        <w:t xml:space="preserve"> (pdf, 1.7 MB).</w:t>
      </w:r>
    </w:p>
    <w:p w14:paraId="6C4359A4" w14:textId="72FC206A" w:rsidR="004E06D0" w:rsidRPr="005641BB" w:rsidRDefault="004E06D0" w:rsidP="004E06D0">
      <w:pPr>
        <w:pStyle w:val="Bullet"/>
        <w:rPr>
          <w:rFonts w:cs="Arial"/>
        </w:rPr>
      </w:pPr>
      <w:r w:rsidRPr="005641BB">
        <w:rPr>
          <w:rFonts w:cs="Arial"/>
        </w:rPr>
        <w:t>EPA</w:t>
      </w:r>
      <w:r>
        <w:rPr>
          <w:rFonts w:cs="Arial"/>
        </w:rPr>
        <w:t xml:space="preserve">. 2011. </w:t>
      </w:r>
      <w:r w:rsidRPr="0093352E">
        <w:rPr>
          <w:rFonts w:cs="Arial"/>
          <w:i/>
          <w:iCs/>
        </w:rPr>
        <w:t>MZP and MZP Paste Decision</w:t>
      </w:r>
      <w:r>
        <w:rPr>
          <w:rFonts w:cs="Arial"/>
        </w:rPr>
        <w:t>.</w:t>
      </w:r>
      <w:r w:rsidRPr="005641BB">
        <w:rPr>
          <w:rFonts w:cs="Arial"/>
        </w:rPr>
        <w:t xml:space="preserve"> </w:t>
      </w:r>
      <w:hyperlink r:id="rId36" w:history="1">
        <w:r w:rsidRPr="005C5B9E">
          <w:rPr>
            <w:rStyle w:val="Hyperlink"/>
            <w:rFonts w:eastAsia="MS Gothic" w:cs="Arial"/>
          </w:rPr>
          <w:t>https://www.epa.govt.nz/assets/FileAPI/hsno-ar/HSR09013/7f691f0fd6/HSR09013-HSR09013-Decision-amended.pdf</w:t>
        </w:r>
      </w:hyperlink>
      <w:r w:rsidR="00EC5889">
        <w:rPr>
          <w:rFonts w:eastAsia="MS Gothic"/>
        </w:rPr>
        <w:t xml:space="preserve"> (pdf, 0.4 MB).</w:t>
      </w:r>
    </w:p>
    <w:p w14:paraId="24BDE6BF" w14:textId="134B349F" w:rsidR="00125532" w:rsidRDefault="00240A92" w:rsidP="0093352E">
      <w:pPr>
        <w:pStyle w:val="Heading4"/>
      </w:pPr>
      <w:r>
        <w:t>Other hazardous substances – ant baits</w:t>
      </w:r>
    </w:p>
    <w:p w14:paraId="2A956549" w14:textId="6CCD8171" w:rsidR="004E06D0" w:rsidRPr="005641BB" w:rsidRDefault="00125532" w:rsidP="004E06D0">
      <w:r>
        <w:t xml:space="preserve">Advion, </w:t>
      </w:r>
      <w:r w:rsidR="004E06D0" w:rsidRPr="005641BB">
        <w:t xml:space="preserve">Campaign and Amdro </w:t>
      </w:r>
      <w:r>
        <w:t>(</w:t>
      </w:r>
      <w:r w:rsidR="004E06D0" w:rsidRPr="005641BB">
        <w:t>ant baits</w:t>
      </w:r>
      <w:r>
        <w:t>)</w:t>
      </w:r>
      <w:r w:rsidR="004E06D0" w:rsidRPr="005641BB">
        <w:t xml:space="preserve"> </w:t>
      </w:r>
      <w:r>
        <w:t>are not</w:t>
      </w:r>
      <w:r w:rsidR="004E06D0" w:rsidRPr="005641BB">
        <w:t xml:space="preserve"> VTA</w:t>
      </w:r>
      <w:r>
        <w:t>s</w:t>
      </w:r>
      <w:r w:rsidR="004E06D0">
        <w:t>;</w:t>
      </w:r>
      <w:r w:rsidR="004E06D0" w:rsidRPr="005641BB">
        <w:t xml:space="preserve"> however</w:t>
      </w:r>
      <w:r w:rsidR="004E06D0">
        <w:t>,</w:t>
      </w:r>
      <w:r w:rsidR="004E06D0" w:rsidRPr="005641BB">
        <w:t xml:space="preserve"> aerial application</w:t>
      </w:r>
      <w:r>
        <w:t>s</w:t>
      </w:r>
      <w:r w:rsidR="004E06D0" w:rsidRPr="005641BB">
        <w:t xml:space="preserve"> require a permission under s</w:t>
      </w:r>
      <w:r w:rsidR="004E06D0">
        <w:t xml:space="preserve">ection </w:t>
      </w:r>
      <w:r w:rsidR="004E06D0" w:rsidRPr="005641BB">
        <w:t>95A of the HSNO Act.</w:t>
      </w:r>
    </w:p>
    <w:p w14:paraId="76D6DB4E" w14:textId="377ED80B" w:rsidR="00125532" w:rsidRPr="005641BB" w:rsidRDefault="00125532" w:rsidP="00125532">
      <w:pPr>
        <w:pStyle w:val="Bullet"/>
        <w:rPr>
          <w:lang w:val="en-GB"/>
        </w:rPr>
      </w:pPr>
      <w:bookmarkStart w:id="59" w:name="_Hlk101851239"/>
      <w:r w:rsidRPr="005641BB">
        <w:t>EPA</w:t>
      </w:r>
      <w:r>
        <w:t>. 20</w:t>
      </w:r>
      <w:r w:rsidR="00B720F1">
        <w:t>08</w:t>
      </w:r>
      <w:r>
        <w:t>.</w:t>
      </w:r>
      <w:r w:rsidRPr="005641BB">
        <w:t xml:space="preserve"> </w:t>
      </w:r>
      <w:r w:rsidRPr="001E36C0">
        <w:rPr>
          <w:i/>
        </w:rPr>
        <w:t xml:space="preserve">Evaluation and Review Report: </w:t>
      </w:r>
      <w:r w:rsidRPr="001E36C0">
        <w:rPr>
          <w:bCs/>
          <w:i/>
          <w:lang w:val="en-GB"/>
        </w:rPr>
        <w:t xml:space="preserve">Application for </w:t>
      </w:r>
      <w:r>
        <w:rPr>
          <w:bCs/>
          <w:i/>
          <w:lang w:val="en-GB"/>
        </w:rPr>
        <w:t>a</w:t>
      </w:r>
      <w:r w:rsidRPr="001E36C0">
        <w:rPr>
          <w:bCs/>
          <w:i/>
          <w:lang w:val="en-GB"/>
        </w:rPr>
        <w:t xml:space="preserve">pproval to </w:t>
      </w:r>
      <w:r>
        <w:rPr>
          <w:bCs/>
          <w:i/>
          <w:lang w:val="en-GB"/>
        </w:rPr>
        <w:t>i</w:t>
      </w:r>
      <w:r w:rsidRPr="001E36C0">
        <w:rPr>
          <w:bCs/>
          <w:i/>
          <w:lang w:val="en-GB"/>
        </w:rPr>
        <w:t xml:space="preserve">mport or </w:t>
      </w:r>
      <w:r>
        <w:rPr>
          <w:bCs/>
          <w:i/>
          <w:lang w:val="en-GB"/>
        </w:rPr>
        <w:t>m</w:t>
      </w:r>
      <w:r w:rsidRPr="001E36C0">
        <w:rPr>
          <w:bCs/>
          <w:i/>
          <w:lang w:val="en-GB"/>
        </w:rPr>
        <w:t xml:space="preserve">anufacture Advion Fire </w:t>
      </w:r>
      <w:r>
        <w:rPr>
          <w:bCs/>
          <w:i/>
          <w:lang w:val="en-GB"/>
        </w:rPr>
        <w:t>a</w:t>
      </w:r>
      <w:r w:rsidRPr="001E36C0">
        <w:rPr>
          <w:bCs/>
          <w:i/>
          <w:lang w:val="en-GB"/>
        </w:rPr>
        <w:t xml:space="preserve">nt </w:t>
      </w:r>
      <w:r>
        <w:rPr>
          <w:bCs/>
          <w:i/>
          <w:lang w:val="en-GB"/>
        </w:rPr>
        <w:t>b</w:t>
      </w:r>
      <w:r w:rsidRPr="001E36C0">
        <w:rPr>
          <w:bCs/>
          <w:i/>
          <w:lang w:val="en-GB"/>
        </w:rPr>
        <w:t xml:space="preserve">ait for </w:t>
      </w:r>
      <w:r>
        <w:rPr>
          <w:bCs/>
          <w:i/>
          <w:lang w:val="en-GB"/>
        </w:rPr>
        <w:t>r</w:t>
      </w:r>
      <w:r w:rsidRPr="001E36C0">
        <w:rPr>
          <w:bCs/>
          <w:i/>
          <w:lang w:val="en-GB"/>
        </w:rPr>
        <w:t>elease</w:t>
      </w:r>
      <w:r w:rsidRPr="005641BB">
        <w:rPr>
          <w:bCs/>
          <w:lang w:val="en-GB"/>
        </w:rPr>
        <w:t xml:space="preserve">. </w:t>
      </w:r>
      <w:r w:rsidRPr="005641BB">
        <w:rPr>
          <w:lang w:val="en-GB"/>
        </w:rPr>
        <w:t xml:space="preserve">Application </w:t>
      </w:r>
      <w:r w:rsidR="00AE5640">
        <w:rPr>
          <w:lang w:val="en-GB"/>
        </w:rPr>
        <w:t>n</w:t>
      </w:r>
      <w:r w:rsidRPr="005641BB">
        <w:rPr>
          <w:lang w:val="en-GB"/>
        </w:rPr>
        <w:t>umber: HSR06132</w:t>
      </w:r>
      <w:r w:rsidR="00B35E8E">
        <w:rPr>
          <w:lang w:val="en-GB"/>
        </w:rPr>
        <w:t>.</w:t>
      </w:r>
      <w:r w:rsidRPr="001E36C0">
        <w:t xml:space="preserve"> </w:t>
      </w:r>
      <w:hyperlink r:id="rId37" w:history="1">
        <w:r w:rsidR="00FF1F99" w:rsidRPr="00A858DF">
          <w:rPr>
            <w:rStyle w:val="Hyperlink"/>
            <w:lang w:val="en-GB"/>
          </w:rPr>
          <w:t>https://www.epa.govt.nz/database-search/hsno-application-register/view/HSR06132</w:t>
        </w:r>
      </w:hyperlink>
      <w:r w:rsidR="00AE5640">
        <w:t>.</w:t>
      </w:r>
      <w:r w:rsidR="00FF1F99">
        <w:rPr>
          <w:lang w:val="en-GB"/>
        </w:rPr>
        <w:t xml:space="preserve"> </w:t>
      </w:r>
    </w:p>
    <w:p w14:paraId="2BA82B02" w14:textId="64738AD5" w:rsidR="00125532" w:rsidRPr="005641BB" w:rsidRDefault="00125532" w:rsidP="00125532">
      <w:pPr>
        <w:pStyle w:val="Bullet"/>
      </w:pPr>
      <w:r w:rsidRPr="005641BB">
        <w:t>EPA</w:t>
      </w:r>
      <w:r>
        <w:t>.</w:t>
      </w:r>
      <w:r w:rsidRPr="005641BB">
        <w:t xml:space="preserve"> </w:t>
      </w:r>
      <w:r>
        <w:t>20</w:t>
      </w:r>
      <w:r w:rsidR="00B720F1">
        <w:t>21c</w:t>
      </w:r>
      <w:r>
        <w:t xml:space="preserve">. </w:t>
      </w:r>
      <w:r w:rsidRPr="0093352E">
        <w:rPr>
          <w:i/>
          <w:iCs/>
        </w:rPr>
        <w:t xml:space="preserve">HSNO Controls for Advion </w:t>
      </w:r>
      <w:r w:rsidR="005E7348">
        <w:rPr>
          <w:i/>
          <w:iCs/>
        </w:rPr>
        <w:t>F</w:t>
      </w:r>
      <w:r w:rsidRPr="0093352E">
        <w:rPr>
          <w:i/>
          <w:iCs/>
        </w:rPr>
        <w:t xml:space="preserve">ire </w:t>
      </w:r>
      <w:r w:rsidR="003D0468">
        <w:rPr>
          <w:i/>
          <w:iCs/>
        </w:rPr>
        <w:t>A</w:t>
      </w:r>
      <w:r w:rsidRPr="0093352E">
        <w:rPr>
          <w:i/>
          <w:iCs/>
        </w:rPr>
        <w:t xml:space="preserve">nt </w:t>
      </w:r>
      <w:r w:rsidR="003D0468">
        <w:rPr>
          <w:i/>
          <w:iCs/>
        </w:rPr>
        <w:t>B</w:t>
      </w:r>
      <w:r w:rsidRPr="0093352E">
        <w:rPr>
          <w:i/>
          <w:iCs/>
        </w:rPr>
        <w:t>ait</w:t>
      </w:r>
      <w:r>
        <w:t>.</w:t>
      </w:r>
      <w:r w:rsidRPr="005641BB">
        <w:t xml:space="preserve"> </w:t>
      </w:r>
      <w:hyperlink r:id="rId38" w:history="1">
        <w:r w:rsidRPr="0011035E">
          <w:rPr>
            <w:rStyle w:val="Hyperlink"/>
            <w:rFonts w:eastAsia="MS Gothic" w:cs="Arial"/>
          </w:rPr>
          <w:t>https://www.epa.govt.nz/assets/RecordsAPI/Advion_fire_ant_bait_HSR007905.pdf</w:t>
        </w:r>
      </w:hyperlink>
      <w:r w:rsidR="00B35E8E">
        <w:rPr>
          <w:rFonts w:eastAsia="MS Gothic"/>
        </w:rPr>
        <w:t xml:space="preserve"> (pdf, 0.2 MB).</w:t>
      </w:r>
    </w:p>
    <w:bookmarkEnd w:id="59"/>
    <w:p w14:paraId="679D6219" w14:textId="63D3D4E5" w:rsidR="004E06D0" w:rsidRPr="005641BB" w:rsidRDefault="004E06D0" w:rsidP="004E06D0">
      <w:pPr>
        <w:pStyle w:val="Bullet"/>
      </w:pPr>
      <w:r w:rsidRPr="005641BB">
        <w:t>EPA</w:t>
      </w:r>
      <w:r>
        <w:t>. 2007c.</w:t>
      </w:r>
      <w:r w:rsidRPr="005641BB">
        <w:t xml:space="preserve"> </w:t>
      </w:r>
      <w:r w:rsidRPr="001E36C0">
        <w:rPr>
          <w:i/>
        </w:rPr>
        <w:t xml:space="preserve">Notification of Decision </w:t>
      </w:r>
      <w:r w:rsidRPr="001E36C0">
        <w:rPr>
          <w:bCs/>
          <w:i/>
          <w:color w:val="000000"/>
          <w:lang w:val="en-GB"/>
        </w:rPr>
        <w:t>to Import or Manufacture Campaign Ant Bait and Amdro Fire Ant Bait for Release</w:t>
      </w:r>
      <w:r>
        <w:rPr>
          <w:bCs/>
          <w:color w:val="000000"/>
          <w:lang w:val="en-GB"/>
        </w:rPr>
        <w:t>.</w:t>
      </w:r>
      <w:r w:rsidRPr="005641BB">
        <w:rPr>
          <w:color w:val="000000"/>
          <w:lang w:val="en-GB"/>
        </w:rPr>
        <w:t xml:space="preserve"> </w:t>
      </w:r>
      <w:hyperlink r:id="rId39" w:history="1">
        <w:r w:rsidRPr="00010AC2">
          <w:rPr>
            <w:rStyle w:val="Hyperlink"/>
            <w:rFonts w:eastAsia="MS Gothic" w:cs="Arial"/>
          </w:rPr>
          <w:t>https://www.epa.govt.nz/assets/FileAPI/hsno-ar/HSR06133/fa0cfb3282/HSR06133.doc</w:t>
        </w:r>
      </w:hyperlink>
      <w:r w:rsidR="0083122A">
        <w:rPr>
          <w:rFonts w:eastAsia="MS Gothic"/>
        </w:rPr>
        <w:t xml:space="preserve"> (Word doc, 0.2 MB).</w:t>
      </w:r>
    </w:p>
    <w:p w14:paraId="1BC948CD" w14:textId="215D5538" w:rsidR="004E06D0" w:rsidRPr="005E7348" w:rsidRDefault="004E06D0" w:rsidP="004E06D0">
      <w:pPr>
        <w:pStyle w:val="Bullet"/>
        <w:rPr>
          <w:spacing w:val="-3"/>
        </w:rPr>
      </w:pPr>
      <w:r w:rsidRPr="005E7348">
        <w:rPr>
          <w:spacing w:val="-3"/>
        </w:rPr>
        <w:t xml:space="preserve">EPA. 2021a. </w:t>
      </w:r>
      <w:r w:rsidRPr="005E7348">
        <w:rPr>
          <w:i/>
          <w:spacing w:val="-3"/>
        </w:rPr>
        <w:t xml:space="preserve">Approval for Campaign </w:t>
      </w:r>
      <w:r w:rsidR="003D0468" w:rsidRPr="005E7348">
        <w:rPr>
          <w:i/>
          <w:spacing w:val="-3"/>
        </w:rPr>
        <w:t>A</w:t>
      </w:r>
      <w:r w:rsidRPr="005E7348">
        <w:rPr>
          <w:i/>
          <w:spacing w:val="-3"/>
        </w:rPr>
        <w:t xml:space="preserve">nt </w:t>
      </w:r>
      <w:r w:rsidR="003D0468" w:rsidRPr="005E7348">
        <w:rPr>
          <w:i/>
          <w:spacing w:val="-3"/>
        </w:rPr>
        <w:t>B</w:t>
      </w:r>
      <w:r w:rsidRPr="005E7348">
        <w:rPr>
          <w:i/>
          <w:spacing w:val="-3"/>
        </w:rPr>
        <w:t xml:space="preserve">ait. </w:t>
      </w:r>
      <w:r w:rsidRPr="005E7348">
        <w:rPr>
          <w:spacing w:val="-3"/>
        </w:rPr>
        <w:t xml:space="preserve">Includes HSNO controls. </w:t>
      </w:r>
      <w:hyperlink r:id="rId40" w:history="1">
        <w:r w:rsidRPr="005E7348">
          <w:rPr>
            <w:rStyle w:val="Hyperlink"/>
            <w:rFonts w:eastAsia="MS Gothic" w:cs="Arial"/>
            <w:spacing w:val="-3"/>
          </w:rPr>
          <w:t>https://www.epa.govt.nz/assets/RecordsAPI/Campaign_ant_bait_HSR007881.pdf</w:t>
        </w:r>
      </w:hyperlink>
      <w:r w:rsidR="0083122A" w:rsidRPr="005E7348">
        <w:rPr>
          <w:rFonts w:eastAsia="MS Gothic"/>
          <w:spacing w:val="-3"/>
        </w:rPr>
        <w:t xml:space="preserve"> (pdf, 0.2 MB).</w:t>
      </w:r>
    </w:p>
    <w:p w14:paraId="13FAB3A5" w14:textId="1A78E8BF" w:rsidR="004E06D0" w:rsidRPr="005641BB" w:rsidRDefault="004E06D0" w:rsidP="004E06D0">
      <w:pPr>
        <w:pStyle w:val="Bullet"/>
      </w:pPr>
      <w:r w:rsidRPr="005641BB">
        <w:t>EPA</w:t>
      </w:r>
      <w:r>
        <w:t xml:space="preserve">. 2021b. </w:t>
      </w:r>
      <w:r>
        <w:rPr>
          <w:i/>
        </w:rPr>
        <w:t xml:space="preserve">Approval for Amdro Fire </w:t>
      </w:r>
      <w:r w:rsidR="003D0468">
        <w:rPr>
          <w:i/>
        </w:rPr>
        <w:t>A</w:t>
      </w:r>
      <w:r>
        <w:rPr>
          <w:i/>
        </w:rPr>
        <w:t xml:space="preserve">nt </w:t>
      </w:r>
      <w:r w:rsidR="003D0468">
        <w:rPr>
          <w:i/>
        </w:rPr>
        <w:t>B</w:t>
      </w:r>
      <w:r>
        <w:rPr>
          <w:i/>
        </w:rPr>
        <w:t>ait.</w:t>
      </w:r>
      <w:r>
        <w:t xml:space="preserve"> Includes</w:t>
      </w:r>
      <w:r w:rsidRPr="005641BB">
        <w:t xml:space="preserve"> HSNO </w:t>
      </w:r>
      <w:r>
        <w:t>c</w:t>
      </w:r>
      <w:r w:rsidRPr="005641BB">
        <w:t>ontrols</w:t>
      </w:r>
      <w:r>
        <w:t>.</w:t>
      </w:r>
      <w:r w:rsidRPr="005641BB">
        <w:t xml:space="preserve"> </w:t>
      </w:r>
      <w:hyperlink r:id="rId41" w:history="1">
        <w:r w:rsidRPr="00010AC2">
          <w:rPr>
            <w:rStyle w:val="Hyperlink"/>
            <w:rFonts w:eastAsia="MS Gothic" w:cs="Arial"/>
          </w:rPr>
          <w:t>https://www.epa.govt.nz/assets/RecordsAPI/Amdro_Fire_Ant_Bait_HSR007882.pdf</w:t>
        </w:r>
      </w:hyperlink>
      <w:r w:rsidR="000614FD">
        <w:rPr>
          <w:rFonts w:eastAsia="MS Gothic"/>
        </w:rPr>
        <w:t xml:space="preserve"> (pdf, 0.2 MB).</w:t>
      </w:r>
    </w:p>
    <w:p w14:paraId="3DEB2E53" w14:textId="6D86C650" w:rsidR="004E06D0" w:rsidRPr="005641BB" w:rsidRDefault="004E06D0" w:rsidP="00486C49">
      <w:pPr>
        <w:pStyle w:val="Heading3"/>
      </w:pPr>
      <w:bookmarkStart w:id="60" w:name="_Toc258328451"/>
      <w:bookmarkStart w:id="61" w:name="_Toc265219407"/>
      <w:bookmarkStart w:id="62" w:name="_Toc336505248"/>
      <w:bookmarkStart w:id="63" w:name="_Toc90633202"/>
      <w:r w:rsidRPr="005641BB">
        <w:t xml:space="preserve">Exposure assessment </w:t>
      </w:r>
      <w:bookmarkEnd w:id="60"/>
      <w:bookmarkEnd w:id="61"/>
      <w:bookmarkEnd w:id="62"/>
      <w:bookmarkEnd w:id="63"/>
    </w:p>
    <w:p w14:paraId="5423D2B8" w14:textId="562F7E2C" w:rsidR="004E06D0" w:rsidRDefault="004E06D0" w:rsidP="004E06D0">
      <w:r w:rsidRPr="005641BB">
        <w:t xml:space="preserve">Exposure </w:t>
      </w:r>
      <w:r>
        <w:t xml:space="preserve">risk </w:t>
      </w:r>
      <w:r w:rsidRPr="005641BB">
        <w:t xml:space="preserve">varies </w:t>
      </w:r>
      <w:r>
        <w:t xml:space="preserve">according to the </w:t>
      </w:r>
      <w:r w:rsidR="00125532">
        <w:t>type</w:t>
      </w:r>
      <w:r>
        <w:t xml:space="preserve"> of </w:t>
      </w:r>
      <w:r w:rsidRPr="005641BB">
        <w:t xml:space="preserve">VTA </w:t>
      </w:r>
      <w:r>
        <w:t>or</w:t>
      </w:r>
      <w:r w:rsidRPr="005641BB">
        <w:t xml:space="preserve"> other hazardous substance and the method of appl</w:t>
      </w:r>
      <w:r w:rsidR="00A979A4">
        <w:t>ying</w:t>
      </w:r>
      <w:r w:rsidRPr="005641BB">
        <w:t xml:space="preserve"> baits. </w:t>
      </w:r>
      <w:r w:rsidR="00601964">
        <w:t>Other influences on</w:t>
      </w:r>
      <w:r>
        <w:t xml:space="preserve"> t</w:t>
      </w:r>
      <w:r w:rsidRPr="005641BB">
        <w:t xml:space="preserve">he risk of exposure </w:t>
      </w:r>
      <w:r w:rsidR="00601964">
        <w:t xml:space="preserve">are </w:t>
      </w:r>
      <w:r w:rsidRPr="005641BB">
        <w:t>the terrain in the operational area and its proximity to residential and/or recreational areas.</w:t>
      </w:r>
    </w:p>
    <w:p w14:paraId="36CED052" w14:textId="77777777" w:rsidR="000F2942" w:rsidRDefault="000F2942" w:rsidP="004E06D0"/>
    <w:p w14:paraId="68CA21F5" w14:textId="6A2FE879" w:rsidR="000F2942" w:rsidRDefault="000F2942" w:rsidP="004E06D0">
      <w:r>
        <w:t>P</w:t>
      </w:r>
      <w:r w:rsidRPr="005641BB">
        <w:t xml:space="preserve">otential exposure pathways can be assessed </w:t>
      </w:r>
      <w:r>
        <w:t>from</w:t>
      </w:r>
      <w:r w:rsidRPr="005641BB">
        <w:t xml:space="preserve"> applications to carry out operations</w:t>
      </w:r>
      <w:r>
        <w:t>. The exposure assessment is</w:t>
      </w:r>
      <w:r w:rsidRPr="005641BB">
        <w:t xml:space="preserve"> part of the process of identifying, applying and</w:t>
      </w:r>
      <w:r w:rsidR="00601964">
        <w:t>,</w:t>
      </w:r>
      <w:r w:rsidRPr="005641BB">
        <w:t xml:space="preserve"> where necessary</w:t>
      </w:r>
      <w:r w:rsidR="00601964">
        <w:t>,</w:t>
      </w:r>
      <w:r w:rsidRPr="005641BB">
        <w:t xml:space="preserve"> modifying </w:t>
      </w:r>
      <w:r w:rsidR="00213A5B">
        <w:t xml:space="preserve">the </w:t>
      </w:r>
      <w:r w:rsidRPr="005641BB">
        <w:t>Model Permit Conditions.</w:t>
      </w:r>
    </w:p>
    <w:p w14:paraId="445BB775" w14:textId="77777777" w:rsidR="00486C49" w:rsidRPr="005641BB" w:rsidRDefault="00486C49" w:rsidP="004E06D0"/>
    <w:p w14:paraId="0AEB0658" w14:textId="227C23CB" w:rsidR="00125532" w:rsidRDefault="004E06D0" w:rsidP="00486C49">
      <w:r w:rsidRPr="00486C49">
        <w:rPr>
          <w:b/>
          <w:bCs/>
        </w:rPr>
        <w:t>Oral exposure</w:t>
      </w:r>
      <w:r w:rsidR="00486C49" w:rsidRPr="00486C49">
        <w:rPr>
          <w:b/>
          <w:bCs/>
        </w:rPr>
        <w:t>:</w:t>
      </w:r>
      <w:r w:rsidR="00486C49">
        <w:t xml:space="preserve"> </w:t>
      </w:r>
      <w:r w:rsidR="00125532">
        <w:t>T</w:t>
      </w:r>
      <w:r w:rsidRPr="005641BB">
        <w:t xml:space="preserve">he most significant acute exposure </w:t>
      </w:r>
      <w:r w:rsidR="00686F45">
        <w:t>route</w:t>
      </w:r>
      <w:r w:rsidRPr="005641BB">
        <w:t xml:space="preserve"> to </w:t>
      </w:r>
      <w:r w:rsidRPr="006A1609">
        <w:t xml:space="preserve">the public is ingestion, for example, </w:t>
      </w:r>
      <w:r w:rsidR="00601964">
        <w:t xml:space="preserve">when </w:t>
      </w:r>
      <w:r w:rsidRPr="006A1609">
        <w:t>an unsupervised child pick</w:t>
      </w:r>
      <w:r w:rsidR="00601964">
        <w:t>s</w:t>
      </w:r>
      <w:r w:rsidRPr="006A1609">
        <w:t xml:space="preserve"> up and eat</w:t>
      </w:r>
      <w:r w:rsidR="00601964">
        <w:t>s</w:t>
      </w:r>
      <w:r w:rsidRPr="006A1609">
        <w:t xml:space="preserve"> bait. </w:t>
      </w:r>
      <w:r w:rsidR="00125532">
        <w:t>O</w:t>
      </w:r>
      <w:r w:rsidR="00125532" w:rsidRPr="006A1609">
        <w:t>perators must careful</w:t>
      </w:r>
      <w:r w:rsidR="00125532">
        <w:t>ly</w:t>
      </w:r>
      <w:r w:rsidR="00125532" w:rsidRPr="006A1609">
        <w:t xml:space="preserve"> consider bait accessibility and placement before any operation</w:t>
      </w:r>
      <w:r w:rsidR="00493F38">
        <w:t xml:space="preserve"> and </w:t>
      </w:r>
      <w:r w:rsidR="00601964">
        <w:t xml:space="preserve">carry out </w:t>
      </w:r>
      <w:r w:rsidR="00493F38">
        <w:t>track clearances thoroughly</w:t>
      </w:r>
      <w:r w:rsidR="00125532" w:rsidRPr="006A1609">
        <w:t>.</w:t>
      </w:r>
      <w:r w:rsidR="00493F38">
        <w:t xml:space="preserve"> A second track clearance may be appropriate</w:t>
      </w:r>
      <w:r w:rsidR="00AF5227">
        <w:t xml:space="preserve"> following aerial operations, </w:t>
      </w:r>
      <w:r w:rsidR="00445D9D">
        <w:t xml:space="preserve">for example on heavily used tracks and/or </w:t>
      </w:r>
      <w:r w:rsidR="00AF5227">
        <w:t xml:space="preserve">if baits may </w:t>
      </w:r>
      <w:r w:rsidR="00F64022">
        <w:t xml:space="preserve">have been caught in </w:t>
      </w:r>
      <w:r w:rsidR="00445D9D">
        <w:t>forest</w:t>
      </w:r>
      <w:r w:rsidR="00AF5227">
        <w:t xml:space="preserve"> canopies.</w:t>
      </w:r>
    </w:p>
    <w:p w14:paraId="425061EE" w14:textId="347EBAFB" w:rsidR="004E06D0" w:rsidRDefault="004E06D0" w:rsidP="00486C49">
      <w:r w:rsidRPr="00486C49">
        <w:rPr>
          <w:b/>
          <w:bCs/>
        </w:rPr>
        <w:t>Inhalation exposure</w:t>
      </w:r>
      <w:r w:rsidR="00486C49" w:rsidRPr="00486C49">
        <w:rPr>
          <w:b/>
          <w:bCs/>
        </w:rPr>
        <w:t>:</w:t>
      </w:r>
      <w:r w:rsidR="00486C49">
        <w:t xml:space="preserve"> </w:t>
      </w:r>
      <w:r w:rsidRPr="006A1609">
        <w:t>Non-occupational exposure to VTAs and other hazardous substances may occur through inhal</w:t>
      </w:r>
      <w:r w:rsidR="00A979A4">
        <w:t>ing</w:t>
      </w:r>
      <w:r w:rsidRPr="006A1609">
        <w:t xml:space="preserve"> fumes from bait, particularly cyanide.</w:t>
      </w:r>
      <w:r w:rsidR="000F2942">
        <w:t xml:space="preserve"> </w:t>
      </w:r>
      <w:r w:rsidRPr="006A1609">
        <w:t xml:space="preserve">Dust containing 1080 from laced bait may be present around loading sites; however, these sites are restricted and non-occupational inhalation exposure should not occur. A person (particularly a child) may pick up and sniff a poisoned bait; </w:t>
      </w:r>
      <w:r w:rsidR="00486C49" w:rsidRPr="006A1609">
        <w:t>however,</w:t>
      </w:r>
      <w:r w:rsidRPr="006A1609">
        <w:t xml:space="preserve"> the risk is limited compared </w:t>
      </w:r>
      <w:r>
        <w:t>with</w:t>
      </w:r>
      <w:r w:rsidRPr="006A1609">
        <w:t xml:space="preserve"> oral exposures.</w:t>
      </w:r>
    </w:p>
    <w:p w14:paraId="53A31B2F" w14:textId="77777777" w:rsidR="00486C49" w:rsidRDefault="00486C49" w:rsidP="00486C49"/>
    <w:p w14:paraId="1A77AF7E" w14:textId="240EF919" w:rsidR="004E06D0" w:rsidRDefault="004E06D0" w:rsidP="00486C49">
      <w:bookmarkStart w:id="64" w:name="_Toc246225346"/>
      <w:r w:rsidRPr="00486C49">
        <w:rPr>
          <w:b/>
          <w:bCs/>
        </w:rPr>
        <w:t>Dermal exposure</w:t>
      </w:r>
      <w:r w:rsidR="00486C49" w:rsidRPr="00486C49">
        <w:rPr>
          <w:b/>
          <w:bCs/>
        </w:rPr>
        <w:t>:</w:t>
      </w:r>
      <w:r w:rsidR="00486C49">
        <w:t xml:space="preserve"> </w:t>
      </w:r>
      <w:r w:rsidRPr="006A1609">
        <w:t>Absorption may be greater in the presence of dermatitis or another skin injury, particularly cuts or abrasions on exposed areas when handling the bait. Unsupervised children are most at risk from dermal exposure because they are more likely than adults to have cuts or abrasions, and are more likely to pick up and handle bait.</w:t>
      </w:r>
    </w:p>
    <w:p w14:paraId="56C5B18E" w14:textId="427FDB22" w:rsidR="00125532" w:rsidRDefault="00125532" w:rsidP="00125532">
      <w:pPr>
        <w:pStyle w:val="Heading3"/>
      </w:pPr>
      <w:r>
        <w:t>Risk characterisation</w:t>
      </w:r>
    </w:p>
    <w:p w14:paraId="306E64C6" w14:textId="04BFB54C" w:rsidR="00125532" w:rsidRDefault="00125532" w:rsidP="004E06D0">
      <w:pPr>
        <w:rPr>
          <w:rStyle w:val="Level2ParagraphsCharChar"/>
          <w:rFonts w:cs="Arial"/>
        </w:rPr>
      </w:pPr>
      <w:r w:rsidRPr="005641BB">
        <w:t xml:space="preserve">Risk characterisation necessarily includes assumptions and uncertainties that need to be identified and managed appropriately, using the available information, and the information on the planned operation </w:t>
      </w:r>
      <w:r w:rsidR="00601964">
        <w:t>that</w:t>
      </w:r>
      <w:r w:rsidRPr="005641BB">
        <w:t xml:space="preserve"> the applicant</w:t>
      </w:r>
      <w:r w:rsidR="00601964" w:rsidRPr="00601964">
        <w:t xml:space="preserve"> </w:t>
      </w:r>
      <w:r w:rsidR="00601964" w:rsidRPr="005641BB">
        <w:t>provide</w:t>
      </w:r>
      <w:r w:rsidR="00601964">
        <w:t>s</w:t>
      </w:r>
      <w:r w:rsidRPr="005641BB">
        <w:t xml:space="preserve">. </w:t>
      </w:r>
      <w:r w:rsidR="00145814">
        <w:t xml:space="preserve">Appendix 2 provides further </w:t>
      </w:r>
      <w:r w:rsidR="00DC466C">
        <w:t>notes to assist with a risk assessment</w:t>
      </w:r>
      <w:r w:rsidR="00145814">
        <w:t xml:space="preserve">. </w:t>
      </w:r>
      <w:r w:rsidR="000F2942">
        <w:rPr>
          <w:rStyle w:val="Level2ParagraphsCharChar"/>
          <w:rFonts w:cs="Arial"/>
        </w:rPr>
        <w:t>Generally, aerial operations may create greater risks of exposure to the public than ground-based operations</w:t>
      </w:r>
      <w:r w:rsidR="00CD6F7A">
        <w:rPr>
          <w:rStyle w:val="Level2ParagraphsCharChar"/>
          <w:rFonts w:cs="Arial"/>
        </w:rPr>
        <w:t>,</w:t>
      </w:r>
      <w:r w:rsidR="000F2942">
        <w:rPr>
          <w:rStyle w:val="Level2ParagraphsCharChar"/>
          <w:rFonts w:cs="Arial"/>
        </w:rPr>
        <w:t xml:space="preserve"> because baits can be laid on the ground with greater precision.</w:t>
      </w:r>
    </w:p>
    <w:p w14:paraId="19B0451D" w14:textId="1A582614" w:rsidR="00A5461D" w:rsidRDefault="00A5461D" w:rsidP="004E06D0">
      <w:pPr>
        <w:rPr>
          <w:rStyle w:val="Level2ParagraphsCharChar"/>
          <w:rFonts w:cs="Arial"/>
        </w:rPr>
      </w:pPr>
    </w:p>
    <w:p w14:paraId="42B99E1D" w14:textId="359C7FBF" w:rsidR="00A5461D" w:rsidRDefault="00CD6F7A" w:rsidP="004E06D0">
      <w:pPr>
        <w:rPr>
          <w:rStyle w:val="Level2ParagraphsCharChar"/>
          <w:rFonts w:cs="Arial"/>
        </w:rPr>
      </w:pPr>
      <w:r w:rsidRPr="006C27F8">
        <w:rPr>
          <w:rStyle w:val="Level2ParagraphsCharChar"/>
          <w:rFonts w:cs="Arial"/>
        </w:rPr>
        <w:t>P</w:t>
      </w:r>
      <w:r w:rsidR="00A5461D" w:rsidRPr="006C27F8">
        <w:rPr>
          <w:rStyle w:val="Level2ParagraphsCharChar"/>
          <w:rFonts w:cs="Arial"/>
        </w:rPr>
        <w:t xml:space="preserve">reventing public exposures will ensure the public health risk is managed. </w:t>
      </w:r>
      <w:r w:rsidR="007C6417" w:rsidRPr="006C27F8">
        <w:rPr>
          <w:rStyle w:val="Level2ParagraphsCharChar"/>
          <w:rFonts w:cs="Arial"/>
        </w:rPr>
        <w:t xml:space="preserve">In addition to </w:t>
      </w:r>
      <w:r w:rsidR="00AD76EB" w:rsidRPr="006C27F8">
        <w:rPr>
          <w:rStyle w:val="Level2ParagraphsCharChar"/>
          <w:rFonts w:cs="Arial"/>
        </w:rPr>
        <w:t xml:space="preserve">the </w:t>
      </w:r>
      <w:r w:rsidR="007C6417" w:rsidRPr="006C27F8">
        <w:rPr>
          <w:rStyle w:val="Level2ParagraphsCharChar"/>
          <w:rFonts w:cs="Arial"/>
        </w:rPr>
        <w:t xml:space="preserve">mandatory controls, </w:t>
      </w:r>
      <w:r w:rsidR="003B1380">
        <w:rPr>
          <w:rStyle w:val="Level2ParagraphsCharChar"/>
          <w:rFonts w:cs="Arial"/>
        </w:rPr>
        <w:t>specifying</w:t>
      </w:r>
      <w:r w:rsidR="003B1380" w:rsidRPr="006C27F8">
        <w:rPr>
          <w:rStyle w:val="Level2ParagraphsCharChar"/>
          <w:rFonts w:cs="Arial"/>
        </w:rPr>
        <w:t xml:space="preserve"> </w:t>
      </w:r>
      <w:r w:rsidR="002E0294" w:rsidRPr="006C27F8">
        <w:rPr>
          <w:rStyle w:val="Level2ParagraphsCharChar"/>
          <w:rFonts w:cs="Arial"/>
        </w:rPr>
        <w:t xml:space="preserve">distances </w:t>
      </w:r>
      <w:r w:rsidR="00601964">
        <w:rPr>
          <w:rStyle w:val="Level2ParagraphsCharChar"/>
          <w:rFonts w:cs="Arial"/>
        </w:rPr>
        <w:t>at which</w:t>
      </w:r>
      <w:r w:rsidR="00601964" w:rsidRPr="006C27F8">
        <w:rPr>
          <w:rStyle w:val="Level2ParagraphsCharChar"/>
          <w:rFonts w:cs="Arial"/>
        </w:rPr>
        <w:t xml:space="preserve"> </w:t>
      </w:r>
      <w:r w:rsidR="00123F3F" w:rsidRPr="006C27F8">
        <w:rPr>
          <w:rStyle w:val="Level2ParagraphsCharChar"/>
          <w:rFonts w:cs="Arial"/>
        </w:rPr>
        <w:t xml:space="preserve">baits may be applied </w:t>
      </w:r>
      <w:r w:rsidR="00FC1E90" w:rsidRPr="006C27F8">
        <w:rPr>
          <w:rStyle w:val="Level2ParagraphsCharChar"/>
          <w:rFonts w:cs="Arial"/>
        </w:rPr>
        <w:t xml:space="preserve">near </w:t>
      </w:r>
      <w:r w:rsidR="002E0294" w:rsidRPr="006C27F8">
        <w:rPr>
          <w:rStyle w:val="Level2ParagraphsCharChar"/>
          <w:rFonts w:cs="Arial"/>
        </w:rPr>
        <w:t>tracks and huts</w:t>
      </w:r>
      <w:r w:rsidR="00A5461D" w:rsidRPr="006C27F8">
        <w:rPr>
          <w:rStyle w:val="Level2ParagraphsCharChar"/>
          <w:rFonts w:cs="Arial"/>
        </w:rPr>
        <w:t xml:space="preserve"> </w:t>
      </w:r>
      <w:r w:rsidR="00F07D65">
        <w:rPr>
          <w:rStyle w:val="Level2ParagraphsCharChar"/>
          <w:rFonts w:cs="Arial"/>
        </w:rPr>
        <w:t xml:space="preserve">(exclusion zones) </w:t>
      </w:r>
      <w:r w:rsidR="007C6417" w:rsidRPr="006C27F8">
        <w:rPr>
          <w:rStyle w:val="Level2ParagraphsCharChar"/>
          <w:rFonts w:cs="Arial"/>
        </w:rPr>
        <w:t>reduces the risk that</w:t>
      </w:r>
      <w:r w:rsidR="00A5461D" w:rsidRPr="006C27F8">
        <w:rPr>
          <w:rStyle w:val="Level2ParagraphsCharChar"/>
          <w:rFonts w:cs="Arial"/>
        </w:rPr>
        <w:t xml:space="preserve"> the public </w:t>
      </w:r>
      <w:r w:rsidR="007C6417" w:rsidRPr="006C27F8">
        <w:rPr>
          <w:rStyle w:val="Level2ParagraphsCharChar"/>
          <w:rFonts w:cs="Arial"/>
        </w:rPr>
        <w:t xml:space="preserve">(particularly children) </w:t>
      </w:r>
      <w:r w:rsidR="00A5461D" w:rsidRPr="006C27F8">
        <w:rPr>
          <w:rStyle w:val="Level2ParagraphsCharChar"/>
          <w:rFonts w:cs="Arial"/>
        </w:rPr>
        <w:t>will be exposed to VTAs and other hazardous substances.</w:t>
      </w:r>
    </w:p>
    <w:p w14:paraId="5DA6A4F3" w14:textId="77777777" w:rsidR="00125532" w:rsidRDefault="00125532" w:rsidP="004E06D0">
      <w:pPr>
        <w:rPr>
          <w:rStyle w:val="Level2ParagraphsCharChar"/>
          <w:rFonts w:cs="Arial"/>
        </w:rPr>
      </w:pPr>
    </w:p>
    <w:p w14:paraId="2693D1C5" w14:textId="29C3F54F" w:rsidR="00125532" w:rsidRDefault="00125532" w:rsidP="004E06D0">
      <w:pPr>
        <w:rPr>
          <w:rStyle w:val="Level2ParagraphsCharChar"/>
          <w:rFonts w:cs="Arial"/>
        </w:rPr>
        <w:sectPr w:rsidR="00125532" w:rsidSect="00153568">
          <w:pgSz w:w="11907" w:h="16834" w:code="9"/>
          <w:pgMar w:top="1418" w:right="1701" w:bottom="1134" w:left="1843" w:header="284" w:footer="425" w:gutter="284"/>
          <w:pgNumType w:start="1"/>
          <w:cols w:space="720"/>
        </w:sectPr>
      </w:pPr>
    </w:p>
    <w:p w14:paraId="2EC56957" w14:textId="77777777" w:rsidR="008A5039" w:rsidRPr="00003A4A" w:rsidRDefault="008A5039" w:rsidP="00001CDC">
      <w:pPr>
        <w:pStyle w:val="Heading1"/>
        <w:spacing w:before="0"/>
      </w:pPr>
      <w:bookmarkStart w:id="65" w:name="_Toc246225375"/>
      <w:bookmarkStart w:id="66" w:name="_Toc258328460"/>
      <w:bookmarkStart w:id="67" w:name="_Toc265219412"/>
      <w:bookmarkStart w:id="68" w:name="_Toc336505253"/>
      <w:bookmarkStart w:id="69" w:name="_Toc90633203"/>
      <w:bookmarkStart w:id="70" w:name="_Toc109793287"/>
      <w:r w:rsidRPr="00003A4A">
        <w:t xml:space="preserve">Chapter </w:t>
      </w:r>
      <w:r>
        <w:t>2</w:t>
      </w:r>
      <w:r w:rsidRPr="00003A4A">
        <w:t xml:space="preserve">: Roles and </w:t>
      </w:r>
      <w:r>
        <w:t>r</w:t>
      </w:r>
      <w:r w:rsidRPr="00003A4A">
        <w:t>esponsibilities</w:t>
      </w:r>
      <w:bookmarkEnd w:id="65"/>
      <w:bookmarkEnd w:id="66"/>
      <w:bookmarkEnd w:id="67"/>
      <w:bookmarkEnd w:id="68"/>
      <w:bookmarkEnd w:id="69"/>
      <w:bookmarkEnd w:id="70"/>
    </w:p>
    <w:p w14:paraId="66670033" w14:textId="23805EF4" w:rsidR="008A5039" w:rsidRPr="00F16CAD" w:rsidRDefault="00897212" w:rsidP="008A5039">
      <w:pPr>
        <w:pStyle w:val="Heading2"/>
      </w:pPr>
      <w:bookmarkStart w:id="71" w:name="_Toc109793288"/>
      <w:bookmarkStart w:id="72" w:name="_Toc244941210"/>
      <w:bookmarkStart w:id="73" w:name="_Toc244941776"/>
      <w:bookmarkStart w:id="74" w:name="_Toc245103103"/>
      <w:bookmarkStart w:id="75" w:name="_Toc246225377"/>
      <w:r w:rsidRPr="0054101E">
        <w:t>R</w:t>
      </w:r>
      <w:r w:rsidRPr="00003A4A">
        <w:t>oles of agencies</w:t>
      </w:r>
      <w:r>
        <w:t xml:space="preserve"> under the Hazardous Substances and New Organisms Act 1996</w:t>
      </w:r>
      <w:bookmarkEnd w:id="71"/>
    </w:p>
    <w:p w14:paraId="187F9D51" w14:textId="77777777" w:rsidR="008A5039" w:rsidRPr="0072629C" w:rsidRDefault="008A5039" w:rsidP="00001CDC">
      <w:pPr>
        <w:rPr>
          <w:b/>
        </w:rPr>
      </w:pPr>
      <w:r w:rsidRPr="0072629C">
        <w:t>There are several enforcement agencies that may be involved in VTA and other hazardous substance operations. The roles and responsibilities are laid out in</w:t>
      </w:r>
      <w:r>
        <w:t xml:space="preserve"> the EPA’s guidance, </w:t>
      </w:r>
      <w:r w:rsidRPr="0072629C">
        <w:rPr>
          <w:i/>
          <w:iCs/>
        </w:rPr>
        <w:t>Roles and Responsibilities: Hazardous substance enforcement under the HSNO Act 1996</w:t>
      </w:r>
      <w:r w:rsidRPr="0072629C">
        <w:t xml:space="preserve"> (EPA 2020)</w:t>
      </w:r>
      <w:r>
        <w:t>.</w:t>
      </w:r>
    </w:p>
    <w:p w14:paraId="37F4FF86" w14:textId="0768F4C9" w:rsidR="008A5039" w:rsidRPr="00001CDC" w:rsidRDefault="008A5039" w:rsidP="00001CDC">
      <w:pPr>
        <w:pStyle w:val="Bullet"/>
      </w:pPr>
      <w:r w:rsidRPr="00001CDC">
        <w:t xml:space="preserve">The Civil Aviation Authority manages the risks associated with hazardous substances in the aviation industry by assessing reported incidents for levels of compliance. The Civil Aviation Authority is a designated agency under the Health and Safety at Work Act 2015, </w:t>
      </w:r>
      <w:r w:rsidR="003B1380">
        <w:t>which includes</w:t>
      </w:r>
      <w:r w:rsidR="003B1380" w:rsidRPr="00001CDC">
        <w:t xml:space="preserve"> </w:t>
      </w:r>
      <w:r w:rsidRPr="00001CDC">
        <w:t xml:space="preserve">a role </w:t>
      </w:r>
      <w:r w:rsidR="003B1380">
        <w:t xml:space="preserve">of </w:t>
      </w:r>
      <w:r w:rsidRPr="00001CDC">
        <w:t>enforcement related to aircraft as workplaces while</w:t>
      </w:r>
      <w:r w:rsidR="002A700E">
        <w:t xml:space="preserve"> they are</w:t>
      </w:r>
      <w:r w:rsidRPr="00001CDC">
        <w:t xml:space="preserve"> in operation.</w:t>
      </w:r>
      <w:r w:rsidR="00ED1727" w:rsidRPr="00ED1727">
        <w:t xml:space="preserve"> </w:t>
      </w:r>
      <w:r w:rsidR="003B1380">
        <w:t>Another</w:t>
      </w:r>
      <w:r w:rsidR="00ED1727">
        <w:t xml:space="preserve"> role </w:t>
      </w:r>
      <w:r w:rsidR="003B1380">
        <w:t xml:space="preserve">is to </w:t>
      </w:r>
      <w:r w:rsidR="00ED1727">
        <w:t>ensur</w:t>
      </w:r>
      <w:r w:rsidR="003B1380">
        <w:t>e</w:t>
      </w:r>
      <w:r w:rsidR="00ED1727">
        <w:t xml:space="preserve"> pilots involved in aerial operations of VTAs are appropriately trained to understand the risks of the VTAs.</w:t>
      </w:r>
    </w:p>
    <w:p w14:paraId="4CFB8754" w14:textId="77777777" w:rsidR="008A5039" w:rsidRPr="00001CDC" w:rsidRDefault="008A5039" w:rsidP="00001CDC">
      <w:pPr>
        <w:pStyle w:val="Bullet"/>
      </w:pPr>
      <w:r w:rsidRPr="00001CDC">
        <w:t>The Department of Conservation has responsibilities for issuing permissions relating to conservation land, and protecting native species (including undertaking investigations for native species management).</w:t>
      </w:r>
    </w:p>
    <w:p w14:paraId="68837E93" w14:textId="22791D0C" w:rsidR="008A5039" w:rsidRPr="00001CDC" w:rsidRDefault="008A5039" w:rsidP="00001CDC">
      <w:pPr>
        <w:pStyle w:val="Bullet"/>
      </w:pPr>
      <w:r w:rsidRPr="00001CDC">
        <w:t>The Ministry of Health is responsible for enforcing the HSNO Act where it is necessary to protect public health. If the incident is likely to affect public health, the Ministry of Health generally plays a supporting role</w:t>
      </w:r>
      <w:r w:rsidR="009A680F">
        <w:t xml:space="preserve"> to </w:t>
      </w:r>
      <w:r w:rsidR="009A680F" w:rsidRPr="00001CDC">
        <w:t>other agencies</w:t>
      </w:r>
      <w:r w:rsidRPr="00001CDC">
        <w:t xml:space="preserve"> (rather than leading enforcement). The definition of ‘public health’ requires a threshold to be reached before the Ministry will act. The Ministry decides whether the threshold for public health risk has been reached.</w:t>
      </w:r>
      <w:r w:rsidR="000D7464" w:rsidRPr="000D7464">
        <w:t xml:space="preserve"> </w:t>
      </w:r>
      <w:r w:rsidR="000D7464" w:rsidRPr="00834524">
        <w:t>The Ministry contracts the delivery of public health services</w:t>
      </w:r>
      <w:r w:rsidR="000D7464">
        <w:t xml:space="preserve"> from providers,</w:t>
      </w:r>
      <w:r w:rsidR="000D7464" w:rsidRPr="00834524">
        <w:t xml:space="preserve"> who </w:t>
      </w:r>
      <w:r w:rsidR="000D7464">
        <w:t xml:space="preserve">may </w:t>
      </w:r>
      <w:r w:rsidR="000D7464" w:rsidRPr="00834524">
        <w:t>employ staff appointed as public health HSNO enforcement officers by the Director-General of Health.</w:t>
      </w:r>
    </w:p>
    <w:p w14:paraId="4CDB5F9F" w14:textId="6083761E" w:rsidR="008A5039" w:rsidRPr="00001CDC" w:rsidRDefault="008A5039" w:rsidP="00001CDC">
      <w:pPr>
        <w:pStyle w:val="Bullet"/>
      </w:pPr>
      <w:r w:rsidRPr="00001CDC">
        <w:t>Territorial authorities are responsible for leading hazardous substance enforcement in their district for all incidents or non-compliances happening in any other place</w:t>
      </w:r>
      <w:r w:rsidR="00BF2392" w:rsidRPr="00BF2392">
        <w:t xml:space="preserve"> </w:t>
      </w:r>
      <w:r w:rsidR="00BF2392" w:rsidRPr="00001CDC">
        <w:t>that is not a workplace</w:t>
      </w:r>
      <w:r w:rsidRPr="00001CDC">
        <w:t>, such as a public place or a residential home.</w:t>
      </w:r>
    </w:p>
    <w:p w14:paraId="16F03519" w14:textId="0CCA33D8" w:rsidR="008A5039" w:rsidRPr="00001CDC" w:rsidRDefault="008A5039" w:rsidP="00001CDC">
      <w:pPr>
        <w:pStyle w:val="Bullet"/>
      </w:pPr>
      <w:r w:rsidRPr="00001CDC">
        <w:t xml:space="preserve">WorkSafe New Zealand </w:t>
      </w:r>
      <w:r w:rsidR="00897212" w:rsidRPr="00F16CAD">
        <w:rPr>
          <w:rFonts w:cs="Arial"/>
          <w:szCs w:val="22"/>
        </w:rPr>
        <w:t>enforc</w:t>
      </w:r>
      <w:r w:rsidR="00897212">
        <w:rPr>
          <w:rFonts w:cs="Arial"/>
          <w:szCs w:val="22"/>
        </w:rPr>
        <w:t>es</w:t>
      </w:r>
      <w:r w:rsidR="00897212" w:rsidRPr="00F16CAD">
        <w:rPr>
          <w:rFonts w:cs="Arial"/>
          <w:szCs w:val="22"/>
        </w:rPr>
        <w:t xml:space="preserve"> the Health </w:t>
      </w:r>
      <w:r w:rsidR="00897212">
        <w:rPr>
          <w:rFonts w:cs="Arial"/>
          <w:szCs w:val="22"/>
        </w:rPr>
        <w:t xml:space="preserve">and </w:t>
      </w:r>
      <w:r w:rsidR="00897212" w:rsidRPr="00F16CAD">
        <w:rPr>
          <w:rFonts w:cs="Arial"/>
          <w:szCs w:val="22"/>
        </w:rPr>
        <w:t xml:space="preserve">Safety </w:t>
      </w:r>
      <w:r w:rsidR="00897212">
        <w:rPr>
          <w:rFonts w:cs="Arial"/>
          <w:szCs w:val="22"/>
        </w:rPr>
        <w:t>at</w:t>
      </w:r>
      <w:r w:rsidR="00897212" w:rsidRPr="00F16CAD">
        <w:rPr>
          <w:rFonts w:cs="Arial"/>
          <w:szCs w:val="22"/>
        </w:rPr>
        <w:t xml:space="preserve"> Work Act 2015</w:t>
      </w:r>
      <w:r w:rsidR="00897212">
        <w:rPr>
          <w:rFonts w:cs="Arial"/>
          <w:szCs w:val="22"/>
        </w:rPr>
        <w:t xml:space="preserve"> and </w:t>
      </w:r>
      <w:r w:rsidRPr="00001CDC">
        <w:t>is responsible for places of work and occupational exposure to hazardous substances. WorkSafe New Zealand, or a designated agency, will be the lead agency for all incidents and non-compliances that happen in a workplace.</w:t>
      </w:r>
      <w:r w:rsidR="00897212" w:rsidRPr="00897212">
        <w:rPr>
          <w:rFonts w:cs="Arial"/>
          <w:szCs w:val="22"/>
        </w:rPr>
        <w:t xml:space="preserve"> </w:t>
      </w:r>
      <w:r w:rsidR="00DE6258">
        <w:rPr>
          <w:rFonts w:cs="Arial"/>
          <w:szCs w:val="22"/>
        </w:rPr>
        <w:t xml:space="preserve">WorkSafe New Zealand also enforces the </w:t>
      </w:r>
      <w:r w:rsidR="00DE6258">
        <w:t>Health and Safety at Work (Hazardous Substances) Regulations 2017, which set further controls and authorisation regimes, such as certified handler and controlled substance licence requirements on most of the VTAs used.</w:t>
      </w:r>
    </w:p>
    <w:p w14:paraId="72C916CD" w14:textId="67E94822" w:rsidR="00897212" w:rsidRPr="00003A4A" w:rsidRDefault="00897212" w:rsidP="00897212">
      <w:pPr>
        <w:pStyle w:val="Heading2"/>
      </w:pPr>
      <w:bookmarkStart w:id="76" w:name="_Toc244941213"/>
      <w:bookmarkStart w:id="77" w:name="_Toc244941779"/>
      <w:bookmarkStart w:id="78" w:name="_Toc245103105"/>
      <w:bookmarkStart w:id="79" w:name="_Toc246225379"/>
      <w:bookmarkStart w:id="80" w:name="_Toc254615780"/>
      <w:bookmarkStart w:id="81" w:name="_Toc254616218"/>
      <w:bookmarkStart w:id="82" w:name="_Toc258328464"/>
      <w:bookmarkStart w:id="83" w:name="_Toc265219416"/>
      <w:bookmarkStart w:id="84" w:name="_Toc336505257"/>
      <w:bookmarkStart w:id="85" w:name="_Toc90633208"/>
      <w:bookmarkStart w:id="86" w:name="_Toc109793289"/>
      <w:r w:rsidRPr="0054101E">
        <w:t>R</w:t>
      </w:r>
      <w:r w:rsidRPr="00003A4A">
        <w:t xml:space="preserve">oles of other </w:t>
      </w:r>
      <w:bookmarkEnd w:id="76"/>
      <w:bookmarkEnd w:id="77"/>
      <w:bookmarkEnd w:id="78"/>
      <w:bookmarkEnd w:id="79"/>
      <w:bookmarkEnd w:id="80"/>
      <w:bookmarkEnd w:id="81"/>
      <w:bookmarkEnd w:id="82"/>
      <w:bookmarkEnd w:id="83"/>
      <w:bookmarkEnd w:id="84"/>
      <w:bookmarkEnd w:id="85"/>
      <w:r w:rsidR="00BF2392">
        <w:t>parties</w:t>
      </w:r>
      <w:bookmarkEnd w:id="86"/>
      <w:r w:rsidR="00BF2392">
        <w:t xml:space="preserve"> </w:t>
      </w:r>
    </w:p>
    <w:p w14:paraId="277CA7EA" w14:textId="7B813310" w:rsidR="00897212" w:rsidRPr="000E039F" w:rsidRDefault="00897212" w:rsidP="00897212">
      <w:pPr>
        <w:rPr>
          <w:rFonts w:cs="Arial"/>
          <w:szCs w:val="21"/>
        </w:rPr>
      </w:pPr>
      <w:r w:rsidRPr="000E039F">
        <w:rPr>
          <w:rFonts w:cs="Arial"/>
          <w:szCs w:val="21"/>
        </w:rPr>
        <w:t xml:space="preserve">A range of other individuals, organisations and agencies may also carry responsibility for managing the risks associated with different aspects of VTA and other hazardous substance operations. </w:t>
      </w:r>
      <w:r w:rsidR="00BF2392">
        <w:rPr>
          <w:rFonts w:cs="Arial"/>
          <w:szCs w:val="21"/>
        </w:rPr>
        <w:t>These other parties</w:t>
      </w:r>
      <w:r w:rsidRPr="000E039F">
        <w:rPr>
          <w:rFonts w:cs="Arial"/>
          <w:szCs w:val="21"/>
        </w:rPr>
        <w:t xml:space="preserve"> include but are not necessarily limited to the following.</w:t>
      </w:r>
    </w:p>
    <w:p w14:paraId="13DFCB55" w14:textId="77777777" w:rsidR="00897212" w:rsidRPr="00001CDC" w:rsidRDefault="00897212" w:rsidP="00897212">
      <w:pPr>
        <w:pStyle w:val="Bullet"/>
      </w:pPr>
      <w:r w:rsidRPr="00001CDC">
        <w:t>Applicants have key roles in providing information to enable good risk assessment and the application of the right permit conditions, modified when necessary.</w:t>
      </w:r>
    </w:p>
    <w:p w14:paraId="0810BC31" w14:textId="77777777" w:rsidR="00897212" w:rsidRPr="00001CDC" w:rsidRDefault="00897212" w:rsidP="00897212">
      <w:pPr>
        <w:pStyle w:val="Bullet"/>
      </w:pPr>
      <w:r>
        <w:rPr>
          <w:rFonts w:cs="Arial"/>
          <w:szCs w:val="22"/>
        </w:rPr>
        <w:t xml:space="preserve">The Ministry for Primary Industries </w:t>
      </w:r>
      <w:r w:rsidRPr="00F16CAD">
        <w:rPr>
          <w:rFonts w:cs="Arial"/>
          <w:szCs w:val="22"/>
        </w:rPr>
        <w:t>enforc</w:t>
      </w:r>
      <w:r>
        <w:rPr>
          <w:rFonts w:cs="Arial"/>
          <w:szCs w:val="22"/>
        </w:rPr>
        <w:t>es</w:t>
      </w:r>
      <w:r w:rsidRPr="00F16CAD">
        <w:rPr>
          <w:rFonts w:cs="Arial"/>
          <w:szCs w:val="22"/>
        </w:rPr>
        <w:t xml:space="preserve"> the </w:t>
      </w:r>
      <w:r>
        <w:rPr>
          <w:rFonts w:cs="Arial"/>
          <w:szCs w:val="22"/>
        </w:rPr>
        <w:t xml:space="preserve">Food Act 2014 and the </w:t>
      </w:r>
      <w:r w:rsidRPr="00F16CAD">
        <w:rPr>
          <w:rFonts w:cs="Arial"/>
          <w:szCs w:val="22"/>
        </w:rPr>
        <w:t>Agricultural Compounds and Veterinary Medicines Act 1997</w:t>
      </w:r>
      <w:r>
        <w:rPr>
          <w:rFonts w:cs="Arial"/>
          <w:szCs w:val="22"/>
        </w:rPr>
        <w:t xml:space="preserve">. </w:t>
      </w:r>
      <w:r>
        <w:t>It</w:t>
      </w:r>
      <w:r w:rsidRPr="00001CDC">
        <w:t xml:space="preserve"> is responsible for food safety, including ‘wild foods’, and animal health and safety.</w:t>
      </w:r>
    </w:p>
    <w:p w14:paraId="3986F6FD" w14:textId="77777777" w:rsidR="00897212" w:rsidRDefault="00897212" w:rsidP="00897212">
      <w:pPr>
        <w:pStyle w:val="Bullet"/>
        <w:tabs>
          <w:tab w:val="num" w:pos="284"/>
        </w:tabs>
        <w:spacing w:before="120" w:line="264" w:lineRule="auto"/>
        <w:rPr>
          <w:rFonts w:cs="Arial"/>
          <w:szCs w:val="22"/>
        </w:rPr>
      </w:pPr>
      <w:r>
        <w:rPr>
          <w:rFonts w:cs="Arial"/>
          <w:szCs w:val="22"/>
        </w:rPr>
        <w:t xml:space="preserve">Ospri manages and implements </w:t>
      </w:r>
      <w:r w:rsidRPr="00F16CAD">
        <w:rPr>
          <w:rFonts w:cs="Arial"/>
          <w:szCs w:val="22"/>
        </w:rPr>
        <w:t xml:space="preserve">the National Pest Management Strategy for bovine tuberculosis in New Zealand </w:t>
      </w:r>
      <w:r>
        <w:rPr>
          <w:rFonts w:cs="Arial"/>
          <w:szCs w:val="22"/>
        </w:rPr>
        <w:t>under</w:t>
      </w:r>
      <w:r w:rsidRPr="00F16CAD">
        <w:rPr>
          <w:rFonts w:cs="Arial"/>
          <w:szCs w:val="22"/>
        </w:rPr>
        <w:t xml:space="preserve"> the Biosecurity Act 1993.</w:t>
      </w:r>
    </w:p>
    <w:p w14:paraId="09BE10F8" w14:textId="520889FD" w:rsidR="00897212" w:rsidRPr="00801514" w:rsidRDefault="00897212" w:rsidP="00897212">
      <w:pPr>
        <w:pStyle w:val="Bullet"/>
        <w:tabs>
          <w:tab w:val="num" w:pos="284"/>
        </w:tabs>
        <w:spacing w:before="120" w:line="264" w:lineRule="auto"/>
        <w:rPr>
          <w:rFonts w:cs="Arial"/>
          <w:color w:val="000000" w:themeColor="text1"/>
          <w:szCs w:val="22"/>
        </w:rPr>
      </w:pPr>
      <w:r w:rsidRPr="00801514">
        <w:rPr>
          <w:rFonts w:cs="Arial"/>
          <w:color w:val="000000" w:themeColor="text1"/>
        </w:rPr>
        <w:t xml:space="preserve">Taumata Arowai </w:t>
      </w:r>
      <w:r w:rsidRPr="00801514">
        <w:rPr>
          <w:rFonts w:cs="Arial"/>
          <w:color w:val="000000" w:themeColor="text1"/>
          <w:shd w:val="clear" w:color="auto" w:fill="FFFFFF"/>
        </w:rPr>
        <w:t xml:space="preserve">is the water services regulator and </w:t>
      </w:r>
      <w:r w:rsidRPr="00801514">
        <w:rPr>
          <w:rFonts w:cs="Arial"/>
          <w:color w:val="000000" w:themeColor="text1"/>
        </w:rPr>
        <w:t>implements the Water Services Act 2021</w:t>
      </w:r>
      <w:r w:rsidRPr="00801514">
        <w:rPr>
          <w:rFonts w:cs="Arial"/>
          <w:color w:val="000000" w:themeColor="text1"/>
          <w:shd w:val="clear" w:color="auto" w:fill="FFFFFF"/>
        </w:rPr>
        <w:t xml:space="preserve">. </w:t>
      </w:r>
      <w:r w:rsidRPr="00FA405C">
        <w:t xml:space="preserve">Where appropriate, Taumata Arowai will provide information on water supplies to </w:t>
      </w:r>
      <w:r w:rsidR="002E4A45">
        <w:t>help</w:t>
      </w:r>
      <w:r w:rsidR="002E4A45" w:rsidRPr="00FA405C">
        <w:t xml:space="preserve"> </w:t>
      </w:r>
      <w:r w:rsidRPr="00FA405C">
        <w:t xml:space="preserve">permit issuers </w:t>
      </w:r>
      <w:r w:rsidR="002E4A45">
        <w:t xml:space="preserve">apply </w:t>
      </w:r>
      <w:r w:rsidRPr="00FA405C">
        <w:t xml:space="preserve">appropriate conditions to protect source water. Taumata Arowai can be contacted </w:t>
      </w:r>
      <w:r>
        <w:t>by email at</w:t>
      </w:r>
      <w:r w:rsidRPr="00FA405C">
        <w:t xml:space="preserve"> </w:t>
      </w:r>
      <w:hyperlink r:id="rId42" w:history="1">
        <w:r w:rsidRPr="00FA405C">
          <w:t>info@taumataarowai.govt.nz</w:t>
        </w:r>
      </w:hyperlink>
    </w:p>
    <w:p w14:paraId="408443C4" w14:textId="77777777" w:rsidR="008A5039" w:rsidRPr="00F16CAD" w:rsidRDefault="008A5039" w:rsidP="008A5039">
      <w:pPr>
        <w:pStyle w:val="Heading2"/>
      </w:pPr>
      <w:bookmarkStart w:id="87" w:name="_Toc244941211"/>
      <w:bookmarkStart w:id="88" w:name="_Toc244941777"/>
      <w:bookmarkStart w:id="89" w:name="_Toc245103104"/>
      <w:bookmarkStart w:id="90" w:name="_Toc246225378"/>
      <w:bookmarkStart w:id="91" w:name="_Toc254615779"/>
      <w:bookmarkStart w:id="92" w:name="_Toc254616217"/>
      <w:bookmarkStart w:id="93" w:name="_Toc258328463"/>
      <w:bookmarkStart w:id="94" w:name="_Toc265219415"/>
      <w:bookmarkStart w:id="95" w:name="_Toc336505256"/>
      <w:bookmarkStart w:id="96" w:name="_Toc90633206"/>
      <w:bookmarkStart w:id="97" w:name="_Toc109793290"/>
      <w:bookmarkEnd w:id="72"/>
      <w:bookmarkEnd w:id="73"/>
      <w:bookmarkEnd w:id="74"/>
      <w:bookmarkEnd w:id="75"/>
      <w:r w:rsidRPr="00F16CAD">
        <w:t>Role of operators</w:t>
      </w:r>
      <w:bookmarkEnd w:id="87"/>
      <w:bookmarkEnd w:id="88"/>
      <w:bookmarkEnd w:id="89"/>
      <w:bookmarkEnd w:id="90"/>
      <w:bookmarkEnd w:id="91"/>
      <w:bookmarkEnd w:id="92"/>
      <w:bookmarkEnd w:id="93"/>
      <w:bookmarkEnd w:id="94"/>
      <w:bookmarkEnd w:id="95"/>
      <w:bookmarkEnd w:id="96"/>
      <w:bookmarkEnd w:id="97"/>
    </w:p>
    <w:p w14:paraId="2D288747" w14:textId="279E18EF" w:rsidR="008A5039" w:rsidRPr="00F16CAD" w:rsidRDefault="008A5039" w:rsidP="00001CDC">
      <w:bookmarkStart w:id="98" w:name="_Toc244941212"/>
      <w:bookmarkStart w:id="99" w:name="_Toc244941778"/>
      <w:r w:rsidRPr="00F16CAD">
        <w:t xml:space="preserve">Pest control operators who use VTAs and other hazardous substances </w:t>
      </w:r>
      <w:r w:rsidR="00897212">
        <w:t>have</w:t>
      </w:r>
      <w:r w:rsidRPr="00F16CAD">
        <w:t xml:space="preserve"> responsibility for managing the risks that may arise from their use. Their role includes:</w:t>
      </w:r>
    </w:p>
    <w:p w14:paraId="06DA76CE" w14:textId="1D84E657" w:rsidR="008A5039" w:rsidRPr="00001CDC" w:rsidRDefault="008A5039" w:rsidP="00001CDC">
      <w:pPr>
        <w:pStyle w:val="Bullet"/>
      </w:pPr>
      <w:r w:rsidRPr="00001CDC">
        <w:t>assessing risks, particularly any site-specific risks, through planning</w:t>
      </w:r>
      <w:r w:rsidR="000D7464">
        <w:t>, consultation</w:t>
      </w:r>
      <w:r w:rsidRPr="00001CDC">
        <w:t xml:space="preserve"> and applications processes</w:t>
      </w:r>
    </w:p>
    <w:p w14:paraId="060C5F4F" w14:textId="39B2AAEE" w:rsidR="008A5039" w:rsidRPr="00001CDC" w:rsidRDefault="008A5039" w:rsidP="00001CDC">
      <w:pPr>
        <w:pStyle w:val="Bullet"/>
      </w:pPr>
      <w:r w:rsidRPr="00001CDC">
        <w:t xml:space="preserve">designing and carrying out operations in accordance with </w:t>
      </w:r>
      <w:r w:rsidR="000D7464">
        <w:t xml:space="preserve">statutory controls, </w:t>
      </w:r>
      <w:r w:rsidRPr="00001CDC">
        <w:t>permit conditions and other legal requirements</w:t>
      </w:r>
    </w:p>
    <w:p w14:paraId="23B0FC18" w14:textId="77777777" w:rsidR="008A5039" w:rsidRPr="00001CDC" w:rsidRDefault="008A5039" w:rsidP="00001CDC">
      <w:pPr>
        <w:pStyle w:val="Bullet"/>
      </w:pPr>
      <w:r w:rsidRPr="00001CDC">
        <w:t>following industry best practice</w:t>
      </w:r>
    </w:p>
    <w:p w14:paraId="57C3E681" w14:textId="77777777" w:rsidR="008A5039" w:rsidRPr="00001CDC" w:rsidRDefault="008A5039" w:rsidP="00001CDC">
      <w:pPr>
        <w:pStyle w:val="Bullet"/>
      </w:pPr>
      <w:r w:rsidRPr="00001CDC">
        <w:t>reporting any incidents involving VTAs and other hazardous substances</w:t>
      </w:r>
    </w:p>
    <w:p w14:paraId="116ECF23" w14:textId="2D3D3AB6" w:rsidR="008A5039" w:rsidRPr="00001CDC" w:rsidRDefault="008A5039" w:rsidP="00001CDC">
      <w:pPr>
        <w:pStyle w:val="Bullet"/>
      </w:pPr>
      <w:r w:rsidRPr="00001CDC">
        <w:t>meeting all statutory requirements</w:t>
      </w:r>
      <w:r w:rsidR="00DE6258" w:rsidRPr="00DE6258">
        <w:t xml:space="preserve"> </w:t>
      </w:r>
      <w:r w:rsidR="00DE6258">
        <w:t xml:space="preserve">including </w:t>
      </w:r>
      <w:r w:rsidR="00C947CD">
        <w:t xml:space="preserve">some </w:t>
      </w:r>
      <w:r w:rsidR="00DE6258">
        <w:t>certification requirements (eg</w:t>
      </w:r>
      <w:r w:rsidR="00C947CD">
        <w:t>,</w:t>
      </w:r>
      <w:r w:rsidR="00DE6258">
        <w:t xml:space="preserve"> certified handler, controlled substance licence)</w:t>
      </w:r>
      <w:r w:rsidRPr="00001CDC">
        <w:t>.</w:t>
      </w:r>
    </w:p>
    <w:p w14:paraId="092BF36C" w14:textId="77777777" w:rsidR="00897212" w:rsidRDefault="00897212" w:rsidP="00001CDC"/>
    <w:p w14:paraId="54749CFF" w14:textId="22266B7E" w:rsidR="008A5039" w:rsidRDefault="008A5039" w:rsidP="00001CDC">
      <w:r w:rsidRPr="00F80AB5">
        <w:t>Operators need to follow the consultation process as prescribed in the EPA’s</w:t>
      </w:r>
      <w:r w:rsidR="00C947CD">
        <w:t xml:space="preserve"> (2009a)</w:t>
      </w:r>
      <w:r w:rsidRPr="00F80AB5">
        <w:t xml:space="preserve"> </w:t>
      </w:r>
      <w:r w:rsidRPr="002465B6">
        <w:rPr>
          <w:i/>
        </w:rPr>
        <w:t>Communications Guideline for Aerial 1080 Operations</w:t>
      </w:r>
      <w:r w:rsidRPr="00F80AB5">
        <w:t xml:space="preserve">. </w:t>
      </w:r>
      <w:r>
        <w:t>When applying for a permission, o</w:t>
      </w:r>
      <w:r w:rsidRPr="00F80AB5">
        <w:t>perators should outline the</w:t>
      </w:r>
      <w:r>
        <w:t>ir</w:t>
      </w:r>
      <w:r w:rsidRPr="00F80AB5">
        <w:t xml:space="preserve"> communications </w:t>
      </w:r>
      <w:r w:rsidR="000D7464">
        <w:rPr>
          <w:b/>
        </w:rPr>
        <w:t>for</w:t>
      </w:r>
      <w:r w:rsidRPr="00F80AB5">
        <w:rPr>
          <w:b/>
        </w:rPr>
        <w:t xml:space="preserve"> managing public health risk</w:t>
      </w:r>
      <w:r w:rsidR="000D7464">
        <w:rPr>
          <w:b/>
        </w:rPr>
        <w:t>s</w:t>
      </w:r>
      <w:r>
        <w:rPr>
          <w:b/>
        </w:rPr>
        <w:t xml:space="preserve"> only</w:t>
      </w:r>
      <w:r w:rsidRPr="00F80AB5">
        <w:t xml:space="preserve"> </w:t>
      </w:r>
      <w:r>
        <w:t>on the</w:t>
      </w:r>
      <w:r w:rsidRPr="00F80AB5">
        <w:t xml:space="preserve"> VTA and other hazardous substance application form.  </w:t>
      </w:r>
    </w:p>
    <w:p w14:paraId="18B7BE6D" w14:textId="77777777" w:rsidR="008A5039" w:rsidRPr="00F80AB5" w:rsidRDefault="008A5039" w:rsidP="00001CDC"/>
    <w:p w14:paraId="5C1122A1" w14:textId="0869995B" w:rsidR="008A5039" w:rsidRPr="00F80AB5" w:rsidRDefault="00C947CD" w:rsidP="00001CDC">
      <w:r>
        <w:t>For g</w:t>
      </w:r>
      <w:r w:rsidR="008A5039" w:rsidRPr="00F80AB5">
        <w:t>uidance for operators</w:t>
      </w:r>
      <w:r>
        <w:t>, refer to</w:t>
      </w:r>
      <w:r w:rsidR="008A5039" w:rsidRPr="00F80AB5">
        <w:t xml:space="preserve"> the following resources</w:t>
      </w:r>
      <w:r>
        <w:t>.</w:t>
      </w:r>
    </w:p>
    <w:p w14:paraId="186A5BD3" w14:textId="66D3E3A4" w:rsidR="008A5039" w:rsidRPr="00F80AB5" w:rsidRDefault="008A5039" w:rsidP="00001CDC">
      <w:pPr>
        <w:pStyle w:val="Bullet"/>
        <w:rPr>
          <w:rFonts w:cs="Arial"/>
        </w:rPr>
      </w:pPr>
      <w:r w:rsidRPr="00F80AB5">
        <w:rPr>
          <w:rFonts w:cs="Arial"/>
        </w:rPr>
        <w:t>EPA</w:t>
      </w:r>
      <w:r>
        <w:rPr>
          <w:rFonts w:cs="Arial"/>
        </w:rPr>
        <w:t>. 2009a.</w:t>
      </w:r>
      <w:r w:rsidRPr="00F80AB5">
        <w:rPr>
          <w:rFonts w:cs="Arial"/>
        </w:rPr>
        <w:t xml:space="preserve"> </w:t>
      </w:r>
      <w:r w:rsidRPr="002465B6">
        <w:rPr>
          <w:rFonts w:cs="Arial"/>
          <w:i/>
        </w:rPr>
        <w:t>Communications Guideline for Aerial 1080 Operations</w:t>
      </w:r>
      <w:r>
        <w:rPr>
          <w:rFonts w:cs="Arial"/>
        </w:rPr>
        <w:t>.</w:t>
      </w:r>
      <w:r w:rsidRPr="00F80AB5">
        <w:rPr>
          <w:rFonts w:cs="Arial"/>
        </w:rPr>
        <w:t xml:space="preserve"> </w:t>
      </w:r>
      <w:hyperlink r:id="rId43" w:history="1">
        <w:r w:rsidRPr="00BE120F">
          <w:rPr>
            <w:rStyle w:val="Hyperlink"/>
            <w:rFonts w:eastAsia="MS Gothic" w:cs="Arial"/>
          </w:rPr>
          <w:t>http://www.epa.govt.nz/assets/Uploads/Documents/Hazardous-Substances/Guidance/1080-Communications-Guidelines.pdf</w:t>
        </w:r>
      </w:hyperlink>
      <w:r w:rsidR="00C947CD">
        <w:rPr>
          <w:rFonts w:eastAsia="MS Gothic"/>
        </w:rPr>
        <w:t xml:space="preserve"> (pdf, 0.4 MB).</w:t>
      </w:r>
    </w:p>
    <w:p w14:paraId="74F8E269" w14:textId="61B1CB74" w:rsidR="00001CDC" w:rsidRPr="00486C49" w:rsidRDefault="008A5039" w:rsidP="00486C49">
      <w:pPr>
        <w:pStyle w:val="Bullet"/>
        <w:rPr>
          <w:rFonts w:cs="Arial"/>
        </w:rPr>
        <w:sectPr w:rsidR="00001CDC" w:rsidRPr="00486C49" w:rsidSect="00001CDC">
          <w:pgSz w:w="11907" w:h="16834" w:code="9"/>
          <w:pgMar w:top="1418" w:right="1701" w:bottom="1134" w:left="1843" w:header="284" w:footer="425" w:gutter="284"/>
          <w:cols w:space="720"/>
        </w:sectPr>
      </w:pPr>
      <w:r w:rsidRPr="00F80AB5">
        <w:rPr>
          <w:rFonts w:cs="Arial"/>
        </w:rPr>
        <w:t>EPA</w:t>
      </w:r>
      <w:r>
        <w:rPr>
          <w:rFonts w:cs="Arial"/>
        </w:rPr>
        <w:t>. 2007b.</w:t>
      </w:r>
      <w:r w:rsidRPr="00F80AB5">
        <w:rPr>
          <w:rFonts w:cs="Arial"/>
        </w:rPr>
        <w:t xml:space="preserve"> </w:t>
      </w:r>
      <w:r w:rsidRPr="002465B6">
        <w:rPr>
          <w:rFonts w:cs="Arial"/>
          <w:i/>
        </w:rPr>
        <w:t>1080 Reassessment Decision</w:t>
      </w:r>
      <w:r>
        <w:rPr>
          <w:rFonts w:cs="Arial"/>
        </w:rPr>
        <w:t>. Includes</w:t>
      </w:r>
      <w:r w:rsidRPr="0006617F">
        <w:rPr>
          <w:rFonts w:cs="Arial"/>
        </w:rPr>
        <w:t xml:space="preserve"> </w:t>
      </w:r>
      <w:r w:rsidRPr="00F80AB5">
        <w:rPr>
          <w:rFonts w:cs="Arial"/>
        </w:rPr>
        <w:t>recommendation</w:t>
      </w:r>
      <w:r w:rsidR="00AB0559">
        <w:rPr>
          <w:rFonts w:cs="Arial"/>
        </w:rPr>
        <w:t>s</w:t>
      </w:r>
      <w:r w:rsidRPr="00F80AB5">
        <w:rPr>
          <w:rFonts w:cs="Arial"/>
        </w:rPr>
        <w:t xml:space="preserve"> about public consultation</w:t>
      </w:r>
      <w:r>
        <w:rPr>
          <w:rFonts w:cs="Arial"/>
        </w:rPr>
        <w:t>.</w:t>
      </w:r>
      <w:r w:rsidRPr="00F80AB5">
        <w:rPr>
          <w:rFonts w:cs="Arial"/>
          <w:color w:val="004080"/>
          <w:lang w:eastAsia="en-NZ"/>
        </w:rPr>
        <w:t xml:space="preserve"> </w:t>
      </w:r>
      <w:hyperlink r:id="rId44" w:history="1">
        <w:r>
          <w:rPr>
            <w:rStyle w:val="Hyperlink"/>
            <w:rFonts w:eastAsia="MS Gothic" w:cs="Arial"/>
            <w:lang w:eastAsia="en-NZ"/>
          </w:rPr>
          <w:t>http://www.epa.govt.nz/database-search/hsno-application-register/view/HRE05002</w:t>
        </w:r>
      </w:hyperlink>
      <w:bookmarkEnd w:id="98"/>
      <w:bookmarkEnd w:id="99"/>
      <w:r w:rsidRPr="00834524">
        <w:t>.</w:t>
      </w:r>
    </w:p>
    <w:p w14:paraId="67F2ABAB" w14:textId="0670024E" w:rsidR="00001CDC" w:rsidRPr="00001CDC" w:rsidRDefault="00001CDC" w:rsidP="00001CDC">
      <w:pPr>
        <w:pStyle w:val="Heading1"/>
        <w:spacing w:before="0"/>
      </w:pPr>
      <w:bookmarkStart w:id="100" w:name="_Toc109793291"/>
      <w:r w:rsidRPr="00001CDC">
        <w:t xml:space="preserve">Chapter 3: </w:t>
      </w:r>
      <w:r w:rsidR="00486C49">
        <w:t>Permissions</w:t>
      </w:r>
      <w:bookmarkEnd w:id="100"/>
    </w:p>
    <w:p w14:paraId="63B0B222" w14:textId="77777777" w:rsidR="00001CDC" w:rsidRPr="00001CDC" w:rsidRDefault="00001CDC" w:rsidP="00001CDC">
      <w:pPr>
        <w:pStyle w:val="Heading2"/>
      </w:pPr>
      <w:bookmarkStart w:id="101" w:name="_Toc109793292"/>
      <w:r w:rsidRPr="00001CDC">
        <w:t>Main points</w:t>
      </w:r>
      <w:bookmarkEnd w:id="101"/>
    </w:p>
    <w:p w14:paraId="703F19B5" w14:textId="5C9FC8FB" w:rsidR="00A5461D" w:rsidRDefault="00A5461D" w:rsidP="00001CDC">
      <w:pPr>
        <w:pStyle w:val="Bullet"/>
      </w:pPr>
      <w:r w:rsidRPr="00F97CA3">
        <w:t xml:space="preserve">Public health risks </w:t>
      </w:r>
      <w:r>
        <w:t>are</w:t>
      </w:r>
      <w:r w:rsidRPr="00F97CA3">
        <w:t xml:space="preserve"> managed by </w:t>
      </w:r>
      <w:r w:rsidR="00D479B5">
        <w:t>minimising</w:t>
      </w:r>
      <w:r w:rsidR="0026003E" w:rsidRPr="0026003E">
        <w:t xml:space="preserve"> the public’s exposure to VTAs and other hazardous substances</w:t>
      </w:r>
      <w:r w:rsidRPr="00F97CA3">
        <w:t>.</w:t>
      </w:r>
    </w:p>
    <w:p w14:paraId="0CAEBB97" w14:textId="4DD5891A" w:rsidR="00001CDC" w:rsidRDefault="00A5461D" w:rsidP="00001CDC">
      <w:pPr>
        <w:pStyle w:val="Bullet"/>
      </w:pPr>
      <w:r w:rsidRPr="00F97CA3">
        <w:t>Public health risk</w:t>
      </w:r>
      <w:r w:rsidR="00001CDC" w:rsidRPr="00001CDC">
        <w:t xml:space="preserve"> management for VTAs and other hazardous substances centres on the appropriate and considered use of the Model Permit Conditions.</w:t>
      </w:r>
    </w:p>
    <w:p w14:paraId="265F3F49" w14:textId="7E53A74A" w:rsidR="00001CDC" w:rsidRDefault="005723D1" w:rsidP="00001CDC">
      <w:pPr>
        <w:pStyle w:val="Bullet"/>
      </w:pPr>
      <w:r>
        <w:t xml:space="preserve">For </w:t>
      </w:r>
      <w:r w:rsidRPr="00001CDC">
        <w:t>each Model Permit Condition</w:t>
      </w:r>
      <w:r>
        <w:t>,</w:t>
      </w:r>
      <w:r w:rsidRPr="00001CDC">
        <w:t xml:space="preserve"> </w:t>
      </w:r>
      <w:r>
        <w:t>t</w:t>
      </w:r>
      <w:r w:rsidR="00001CDC" w:rsidRPr="00001CDC">
        <w:t xml:space="preserve">hese guidelines provide a brief commentary and set out </w:t>
      </w:r>
      <w:r>
        <w:t>its</w:t>
      </w:r>
      <w:r w:rsidRPr="00001CDC">
        <w:t xml:space="preserve"> </w:t>
      </w:r>
      <w:r w:rsidR="00001CDC" w:rsidRPr="00001CDC">
        <w:t xml:space="preserve">scope, rationale, modification options and an example of </w:t>
      </w:r>
      <w:r>
        <w:t xml:space="preserve">a </w:t>
      </w:r>
      <w:r w:rsidR="00001CDC" w:rsidRPr="00001CDC">
        <w:t>modification.</w:t>
      </w:r>
    </w:p>
    <w:p w14:paraId="491DDB5D" w14:textId="77777777" w:rsidR="00F33B83" w:rsidRPr="00A5461D" w:rsidRDefault="00F33B83" w:rsidP="00F33B83"/>
    <w:p w14:paraId="1975522F" w14:textId="6A45B81E" w:rsidR="00F33B83" w:rsidRPr="00001CDC" w:rsidRDefault="00F33B83" w:rsidP="00F33B83">
      <w:pPr>
        <w:pStyle w:val="Box"/>
        <w:ind w:left="360"/>
      </w:pPr>
      <w:r w:rsidRPr="00001CDC">
        <w:t>Permit conditions are in addition to controls</w:t>
      </w:r>
      <w:r w:rsidRPr="00562BD3">
        <w:t xml:space="preserve"> </w:t>
      </w:r>
      <w:r>
        <w:t xml:space="preserve">under the </w:t>
      </w:r>
      <w:r w:rsidRPr="00001CDC">
        <w:t xml:space="preserve">HSNO Act and other </w:t>
      </w:r>
      <w:r>
        <w:t>statutory requirements</w:t>
      </w:r>
      <w:r w:rsidRPr="00001CDC">
        <w:t xml:space="preserve">. Operators must </w:t>
      </w:r>
      <w:r w:rsidR="005723D1">
        <w:t>be</w:t>
      </w:r>
      <w:r w:rsidRPr="00001CDC">
        <w:t xml:space="preserve"> aware of and make provision for compliance with </w:t>
      </w:r>
      <w:r>
        <w:t>all</w:t>
      </w:r>
      <w:r w:rsidRPr="00001CDC">
        <w:t xml:space="preserve"> requirements under all relevant legislation.</w:t>
      </w:r>
    </w:p>
    <w:p w14:paraId="6DE6D584" w14:textId="7E4C80BB" w:rsidR="00001CDC" w:rsidRDefault="00F33B83" w:rsidP="00001CDC">
      <w:pPr>
        <w:pStyle w:val="Heading2"/>
      </w:pPr>
      <w:bookmarkStart w:id="102" w:name="_Toc109793293"/>
      <w:r>
        <w:t>Requirement for p</w:t>
      </w:r>
      <w:r w:rsidR="00562BD3">
        <w:t>ermissions</w:t>
      </w:r>
      <w:bookmarkEnd w:id="102"/>
    </w:p>
    <w:p w14:paraId="539E9152" w14:textId="38BEEA6E" w:rsidR="00A5461D" w:rsidRPr="006B4169" w:rsidRDefault="00A5461D" w:rsidP="00A5461D">
      <w:r w:rsidRPr="006B4169">
        <w:t xml:space="preserve">Permissions are required for the use of </w:t>
      </w:r>
      <w:r>
        <w:t xml:space="preserve">certain </w:t>
      </w:r>
      <w:r w:rsidRPr="006B4169">
        <w:t>VTAs and other hazardous substances when they are:</w:t>
      </w:r>
    </w:p>
    <w:p w14:paraId="0539C9AA" w14:textId="77777777" w:rsidR="00A5461D" w:rsidRPr="006B4169" w:rsidRDefault="00A5461D" w:rsidP="00A5461D">
      <w:pPr>
        <w:pStyle w:val="Bullet"/>
      </w:pPr>
      <w:r w:rsidRPr="006B4169">
        <w:t>intended to be applied or used in a catchment area from which water is drawn for human consumption, or</w:t>
      </w:r>
    </w:p>
    <w:p w14:paraId="14FA2E31" w14:textId="77777777" w:rsidR="00A5461D" w:rsidRPr="006B4169" w:rsidRDefault="00A5461D" w:rsidP="00A5461D">
      <w:pPr>
        <w:pStyle w:val="Bullet"/>
      </w:pPr>
      <w:r w:rsidRPr="006B4169">
        <w:t>applied in any other area where a risk to public health may be created.</w:t>
      </w:r>
    </w:p>
    <w:p w14:paraId="70ECC3AB" w14:textId="77777777" w:rsidR="00A5461D" w:rsidRDefault="00A5461D" w:rsidP="00F33B83"/>
    <w:p w14:paraId="0A6007C3" w14:textId="672758FC" w:rsidR="00A5461D" w:rsidRPr="007C6A7F" w:rsidRDefault="00A5461D" w:rsidP="00F33B83">
      <w:r w:rsidRPr="007C6A7F">
        <w:t>Not all VTAs and other hazardous substances require a permission</w:t>
      </w:r>
      <w:r w:rsidR="00486C49">
        <w:t xml:space="preserve"> for use</w:t>
      </w:r>
      <w:r w:rsidRPr="007C6A7F">
        <w:t>. These guidelines apply only to VTAs and other hazardous substances that are listed in Schedule 1 of the EPA’s Instrument of Delegation (</w:t>
      </w:r>
      <w:r w:rsidR="00486C49">
        <w:t xml:space="preserve">see </w:t>
      </w:r>
      <w:r w:rsidRPr="007C6A7F">
        <w:t xml:space="preserve">Appendix </w:t>
      </w:r>
      <w:r w:rsidR="00AA1781">
        <w:t>1</w:t>
      </w:r>
      <w:r w:rsidRPr="007C6A7F">
        <w:t>)</w:t>
      </w:r>
      <w:r w:rsidR="00486C49">
        <w:t>.</w:t>
      </w:r>
    </w:p>
    <w:p w14:paraId="2116699B" w14:textId="77777777" w:rsidR="00A5461D" w:rsidRPr="00F16CAD" w:rsidRDefault="00A5461D" w:rsidP="00F33B83"/>
    <w:p w14:paraId="73DE27C3" w14:textId="36C78DAA" w:rsidR="00A5461D" w:rsidRPr="00F16CAD" w:rsidRDefault="00A5461D" w:rsidP="00F33B83">
      <w:r>
        <w:t>P</w:t>
      </w:r>
      <w:r w:rsidRPr="004A51EE">
        <w:t xml:space="preserve">ermissions are </w:t>
      </w:r>
      <w:r w:rsidR="00486C49">
        <w:t xml:space="preserve">also </w:t>
      </w:r>
      <w:r w:rsidRPr="004A51EE">
        <w:t xml:space="preserve">required </w:t>
      </w:r>
      <w:r w:rsidR="00005A48" w:rsidRPr="004A51EE">
        <w:t xml:space="preserve">only </w:t>
      </w:r>
      <w:r w:rsidRPr="004A51EE">
        <w:t xml:space="preserve">where </w:t>
      </w:r>
      <w:r w:rsidR="00E806C8" w:rsidRPr="007C6A7F">
        <w:t xml:space="preserve">VTAs and other hazardous substances </w:t>
      </w:r>
      <w:r w:rsidR="00E806C8">
        <w:t xml:space="preserve">are being applied in drinking water catchments </w:t>
      </w:r>
      <w:r w:rsidR="00853882">
        <w:t xml:space="preserve">or </w:t>
      </w:r>
      <w:r w:rsidRPr="004A51EE">
        <w:t xml:space="preserve">a risk to public health may be created. </w:t>
      </w:r>
      <w:r w:rsidRPr="00F16CAD">
        <w:t xml:space="preserve">If the </w:t>
      </w:r>
      <w:r>
        <w:t xml:space="preserve">public health risk </w:t>
      </w:r>
      <w:r w:rsidRPr="00F16CAD">
        <w:t xml:space="preserve">assessment suggests that the likelihood of </w:t>
      </w:r>
      <w:r>
        <w:t>public health</w:t>
      </w:r>
      <w:r w:rsidRPr="00F16CAD">
        <w:t xml:space="preserve"> risk</w:t>
      </w:r>
      <w:r w:rsidR="00B314EE">
        <w:t xml:space="preserve"> is low</w:t>
      </w:r>
      <w:r w:rsidRPr="00F16CAD">
        <w:t xml:space="preserve"> or </w:t>
      </w:r>
      <w:r>
        <w:t xml:space="preserve">that the existing </w:t>
      </w:r>
      <w:r w:rsidRPr="00F16CAD">
        <w:t>control</w:t>
      </w:r>
      <w:r>
        <w:t>s are</w:t>
      </w:r>
      <w:r w:rsidRPr="00F16CAD">
        <w:t xml:space="preserve"> </w:t>
      </w:r>
      <w:r>
        <w:t>appropriate to manage any public health risk</w:t>
      </w:r>
      <w:r w:rsidRPr="00F16CAD">
        <w:t xml:space="preserve">, it </w:t>
      </w:r>
      <w:r>
        <w:t>is</w:t>
      </w:r>
      <w:r w:rsidRPr="00F16CAD">
        <w:t xml:space="preserve"> not necessary to </w:t>
      </w:r>
      <w:r>
        <w:t>issue a permission</w:t>
      </w:r>
      <w:r w:rsidRPr="00F16CAD">
        <w:t>.</w:t>
      </w:r>
      <w:r w:rsidRPr="00A5461D">
        <w:t xml:space="preserve"> </w:t>
      </w:r>
    </w:p>
    <w:p w14:paraId="212EF522" w14:textId="77777777" w:rsidR="00562BD3" w:rsidRPr="00001CDC" w:rsidRDefault="00562BD3" w:rsidP="00562BD3">
      <w:pPr>
        <w:pStyle w:val="Heading3"/>
      </w:pPr>
      <w:r w:rsidRPr="00001CDC">
        <w:t>Definition of an area ‘where a risk to public health may be created’</w:t>
      </w:r>
    </w:p>
    <w:p w14:paraId="217EE003" w14:textId="77777777" w:rsidR="00562BD3" w:rsidRPr="00001CDC" w:rsidRDefault="00562BD3" w:rsidP="00562BD3">
      <w:r w:rsidRPr="00001CDC">
        <w:t xml:space="preserve">This area applies in general to places where the public has access (eg, parks) and to </w:t>
      </w:r>
      <w:r>
        <w:t xml:space="preserve">huts, </w:t>
      </w:r>
      <w:r w:rsidRPr="00001CDC">
        <w:t xml:space="preserve">roads, tracks and similar used by the public. </w:t>
      </w:r>
    </w:p>
    <w:p w14:paraId="796DFBB6" w14:textId="77777777" w:rsidR="00562BD3" w:rsidRPr="00001CDC" w:rsidRDefault="00562BD3" w:rsidP="00562BD3">
      <w:pPr>
        <w:pStyle w:val="Heading3"/>
      </w:pPr>
      <w:r w:rsidRPr="00001CDC">
        <w:t>VTA and other hazardous substance applications on private land</w:t>
      </w:r>
    </w:p>
    <w:p w14:paraId="20EE826D" w14:textId="31341ABD" w:rsidR="00F33B83" w:rsidRDefault="00562BD3" w:rsidP="00F33B83">
      <w:r w:rsidRPr="00001CDC">
        <w:t xml:space="preserve">Private land may be a place where risk to public health could be created, and permission is required, if, for instance, it includes an access route across private land that </w:t>
      </w:r>
      <w:r w:rsidR="004B186D" w:rsidRPr="00001CDC">
        <w:t xml:space="preserve">members of the public </w:t>
      </w:r>
      <w:r w:rsidRPr="00001CDC">
        <w:t>commonly use.</w:t>
      </w:r>
      <w:r w:rsidR="00F33B83" w:rsidRPr="00F33B83">
        <w:t xml:space="preserve"> </w:t>
      </w:r>
    </w:p>
    <w:p w14:paraId="359725E6" w14:textId="77777777" w:rsidR="00F33B83" w:rsidRDefault="00F33B83" w:rsidP="00F33B83"/>
    <w:p w14:paraId="43636CEC" w14:textId="36F28D91" w:rsidR="00F33B83" w:rsidRDefault="00F33B83" w:rsidP="00F33B83">
      <w:r w:rsidRPr="00001CDC">
        <w:t>The public health risk assessment determines whether a permission is needed</w:t>
      </w:r>
      <w:r w:rsidR="004B186D">
        <w:t>.</w:t>
      </w:r>
      <w:r w:rsidRPr="00001CDC">
        <w:t xml:space="preserve"> </w:t>
      </w:r>
      <w:r w:rsidR="004B186D">
        <w:t>I</w:t>
      </w:r>
      <w:r w:rsidRPr="00001CDC">
        <w:t>t is irrelevant whether the land is publicly or privately owned, although the nature of land ownership may affect whether the public have access.</w:t>
      </w:r>
      <w:r w:rsidRPr="00562BD3">
        <w:t xml:space="preserve"> </w:t>
      </w:r>
    </w:p>
    <w:p w14:paraId="1AC7F7B7" w14:textId="77777777" w:rsidR="00562BD3" w:rsidRPr="00001CDC" w:rsidRDefault="00562BD3" w:rsidP="00562BD3">
      <w:pPr>
        <w:pStyle w:val="Heading3"/>
      </w:pPr>
      <w:r w:rsidRPr="00001CDC">
        <w:t>Granting VTA permissions on Department of Conservation land</w:t>
      </w:r>
    </w:p>
    <w:p w14:paraId="0476DBB6" w14:textId="00AE0417" w:rsidR="00562BD3" w:rsidRPr="00001CDC" w:rsidRDefault="00562BD3" w:rsidP="00562BD3">
      <w:r w:rsidRPr="00001CDC">
        <w:t>VTA permissions are required for operations on land managed by the Department of Conservation to which the public are likely to have access. This include</w:t>
      </w:r>
      <w:r w:rsidR="004E4188">
        <w:t>s</w:t>
      </w:r>
      <w:r w:rsidRPr="00001CDC">
        <w:t xml:space="preserve"> conservation estate </w:t>
      </w:r>
      <w:r w:rsidR="004E4188">
        <w:t>that has</w:t>
      </w:r>
      <w:r w:rsidRPr="00001CDC">
        <w:t xml:space="preserve"> publicly accessible tracks and huts. Permissions are not required for areas where the public are not permitted (such as offshore islands with permit-only access or other areas with controlled access).</w:t>
      </w:r>
    </w:p>
    <w:p w14:paraId="5ED77962" w14:textId="77777777" w:rsidR="00562BD3" w:rsidRPr="00001CDC" w:rsidRDefault="00562BD3" w:rsidP="00562BD3"/>
    <w:p w14:paraId="0B587B26" w14:textId="77777777" w:rsidR="00562BD3" w:rsidRPr="00001CDC" w:rsidRDefault="00562BD3" w:rsidP="00562BD3">
      <w:r w:rsidRPr="00001CDC">
        <w:t xml:space="preserve">Department of Conservation officials also issue permissions for the use of VTA on lands the Department administers or manages, and may require applicants to supply their health permission as evidence that appropriate conditions are in place to protect public health when necessary. </w:t>
      </w:r>
    </w:p>
    <w:p w14:paraId="6A4D2AE6" w14:textId="788D6020" w:rsidR="00010E4A" w:rsidRPr="00F16CAD" w:rsidRDefault="00010E4A" w:rsidP="00010E4A">
      <w:pPr>
        <w:pStyle w:val="Heading2"/>
      </w:pPr>
      <w:bookmarkStart w:id="103" w:name="_Toc90633205"/>
      <w:bookmarkStart w:id="104" w:name="_Toc109793294"/>
      <w:bookmarkStart w:id="105" w:name="_Toc258328457"/>
      <w:bookmarkStart w:id="106" w:name="_Toc265219411"/>
      <w:bookmarkStart w:id="107" w:name="_Toc336505252"/>
      <w:bookmarkStart w:id="108" w:name="_Toc90633209"/>
      <w:r w:rsidRPr="00F16CAD">
        <w:t>Issuing permission</w:t>
      </w:r>
      <w:bookmarkEnd w:id="103"/>
      <w:r w:rsidR="00852FA7">
        <w:t>s</w:t>
      </w:r>
      <w:bookmarkEnd w:id="104"/>
    </w:p>
    <w:p w14:paraId="2D73B39D" w14:textId="77777777" w:rsidR="00010E4A" w:rsidRPr="00F16CAD" w:rsidRDefault="00010E4A" w:rsidP="00010E4A">
      <w:r w:rsidRPr="00F16CAD">
        <w:t>The role of the person issuing a permission includes:</w:t>
      </w:r>
    </w:p>
    <w:p w14:paraId="4ABE63C1" w14:textId="21E4A9FD" w:rsidR="00010E4A" w:rsidRPr="00001CDC" w:rsidRDefault="00010E4A" w:rsidP="00010E4A">
      <w:pPr>
        <w:pStyle w:val="Bullet"/>
      </w:pPr>
      <w:r w:rsidRPr="00001CDC">
        <w:t xml:space="preserve">assessing applications to apply VTAs and other hazardous substances, including </w:t>
      </w:r>
      <w:r w:rsidR="00852FA7">
        <w:t xml:space="preserve">undertaking </w:t>
      </w:r>
      <w:r w:rsidRPr="00001CDC">
        <w:t>risk assessments</w:t>
      </w:r>
    </w:p>
    <w:p w14:paraId="4A013F08" w14:textId="0A27DF7B" w:rsidR="00852FA7" w:rsidRDefault="00852FA7" w:rsidP="00010E4A">
      <w:pPr>
        <w:pStyle w:val="Bullet"/>
      </w:pPr>
      <w:r>
        <w:t>communicating with applicants</w:t>
      </w:r>
    </w:p>
    <w:p w14:paraId="0505B52A" w14:textId="187134BF" w:rsidR="00010E4A" w:rsidRPr="00001CDC" w:rsidRDefault="00010E4A" w:rsidP="00010E4A">
      <w:pPr>
        <w:pStyle w:val="Bullet"/>
      </w:pPr>
      <w:r w:rsidRPr="00001CDC">
        <w:t>deciding on and setting conditions</w:t>
      </w:r>
      <w:r>
        <w:t xml:space="preserve"> </w:t>
      </w:r>
      <w:r w:rsidR="00852FA7">
        <w:t xml:space="preserve">in permissions </w:t>
      </w:r>
      <w:r>
        <w:t xml:space="preserve">(including </w:t>
      </w:r>
      <w:r w:rsidRPr="00F16CAD">
        <w:t>add</w:t>
      </w:r>
      <w:r>
        <w:t>ing</w:t>
      </w:r>
      <w:r w:rsidRPr="00F16CAD">
        <w:t>, delet</w:t>
      </w:r>
      <w:r>
        <w:t>ing</w:t>
      </w:r>
      <w:r w:rsidRPr="00F16CAD">
        <w:t xml:space="preserve"> or otherwise vary</w:t>
      </w:r>
      <w:r>
        <w:t xml:space="preserve">ing </w:t>
      </w:r>
      <w:r w:rsidRPr="00F16CAD">
        <w:t>any condition</w:t>
      </w:r>
      <w:r>
        <w:t>)</w:t>
      </w:r>
      <w:r w:rsidR="00852FA7">
        <w:t xml:space="preserve"> to manage potential public health risks</w:t>
      </w:r>
    </w:p>
    <w:p w14:paraId="3EFE9D30" w14:textId="36B51C05" w:rsidR="00852FA7" w:rsidRDefault="00852FA7" w:rsidP="00010E4A">
      <w:pPr>
        <w:pStyle w:val="Bullet"/>
      </w:pPr>
      <w:r>
        <w:t xml:space="preserve">extending, renewing or </w:t>
      </w:r>
      <w:r w:rsidR="00010E4A" w:rsidRPr="00001CDC">
        <w:t>revoking permission</w:t>
      </w:r>
      <w:r>
        <w:t>s</w:t>
      </w:r>
    </w:p>
    <w:p w14:paraId="754707D2" w14:textId="5757055E" w:rsidR="00010E4A" w:rsidRPr="00F16CAD" w:rsidRDefault="00852FA7" w:rsidP="00010E4A">
      <w:pPr>
        <w:pStyle w:val="Bullet"/>
      </w:pPr>
      <w:r>
        <w:t>managing enquiries and complaints</w:t>
      </w:r>
      <w:r w:rsidR="00010E4A" w:rsidRPr="00001CDC">
        <w:t>.</w:t>
      </w:r>
    </w:p>
    <w:bookmarkEnd w:id="105"/>
    <w:bookmarkEnd w:id="106"/>
    <w:bookmarkEnd w:id="107"/>
    <w:bookmarkEnd w:id="108"/>
    <w:p w14:paraId="7504BAC1" w14:textId="72E30492" w:rsidR="006D52F4" w:rsidRPr="00001CDC" w:rsidRDefault="006D52F4" w:rsidP="006D52F4">
      <w:pPr>
        <w:pStyle w:val="Heading3"/>
      </w:pPr>
      <w:r w:rsidRPr="00001CDC">
        <w:t>Communicati</w:t>
      </w:r>
      <w:r w:rsidR="00E82333">
        <w:t>ng</w:t>
      </w:r>
      <w:r w:rsidRPr="00001CDC">
        <w:t xml:space="preserve"> with applicants </w:t>
      </w:r>
    </w:p>
    <w:p w14:paraId="517D7EFD" w14:textId="26F22F35" w:rsidR="006D52F4" w:rsidRPr="00001CDC" w:rsidRDefault="006D52F4" w:rsidP="006D52F4">
      <w:r w:rsidRPr="00001CDC">
        <w:t xml:space="preserve">Communication </w:t>
      </w:r>
      <w:r w:rsidR="004E031B">
        <w:t xml:space="preserve">with applicants </w:t>
      </w:r>
      <w:r w:rsidRPr="00001CDC">
        <w:t>should be open and ongoing. An application for permission to use a VTA or other hazardous substance may require discussion with the applicant in order to clarify aspects of the application and the conditions that may be imposed.</w:t>
      </w:r>
    </w:p>
    <w:p w14:paraId="567D99EF" w14:textId="77777777" w:rsidR="006D52F4" w:rsidRPr="00001CDC" w:rsidRDefault="006D52F4" w:rsidP="006D52F4"/>
    <w:p w14:paraId="2B87407D" w14:textId="78AD880F" w:rsidR="006D52F4" w:rsidRDefault="009A680F" w:rsidP="006D52F4">
      <w:r>
        <w:t>F</w:t>
      </w:r>
      <w:r w:rsidR="006D52F4" w:rsidRPr="00001CDC">
        <w:t>ull information about the risk assessment and operational processes is particularly important when Model Permit Conditions are modified to meet local conditions and/or vary from those used for previous operations in the same or similar areas.</w:t>
      </w:r>
    </w:p>
    <w:p w14:paraId="7EC1CD01" w14:textId="77777777" w:rsidR="006D52F4" w:rsidRDefault="006D52F4" w:rsidP="006D52F4"/>
    <w:p w14:paraId="6BE29825" w14:textId="77777777" w:rsidR="006D52F4" w:rsidRPr="00001CDC" w:rsidRDefault="006D52F4" w:rsidP="006D52F4">
      <w:r w:rsidRPr="00001CDC">
        <w:t>It is important to ensure that applicants understand why, and on what basis, particular conditions have been modified or imposed in particular ways. This should be communicated to the applicant in a transparent and appropriate manner.</w:t>
      </w:r>
    </w:p>
    <w:p w14:paraId="6EF3BC26" w14:textId="77777777" w:rsidR="006D52F4" w:rsidRPr="00001CDC" w:rsidRDefault="006D52F4" w:rsidP="006D52F4"/>
    <w:p w14:paraId="1785EFA0" w14:textId="5E624C0A" w:rsidR="006D52F4" w:rsidRPr="00001CDC" w:rsidRDefault="006D52F4" w:rsidP="006D52F4">
      <w:r w:rsidRPr="00001CDC">
        <w:t>If the applicant is not happy with a permit condition, they can:</w:t>
      </w:r>
    </w:p>
    <w:p w14:paraId="08467D4F" w14:textId="77777777" w:rsidR="006D52F4" w:rsidRPr="00001CDC" w:rsidRDefault="006D52F4" w:rsidP="006D52F4">
      <w:pPr>
        <w:pStyle w:val="Bullet"/>
      </w:pPr>
      <w:r w:rsidRPr="00001CDC">
        <w:t xml:space="preserve">request, in writing, the reasons why one or more conditions are imposed </w:t>
      </w:r>
    </w:p>
    <w:p w14:paraId="1341EB4F" w14:textId="2EDF8647" w:rsidR="006D52F4" w:rsidRPr="00001CDC" w:rsidRDefault="006D52F4" w:rsidP="006D52F4">
      <w:pPr>
        <w:pStyle w:val="Bullet"/>
      </w:pPr>
      <w:r w:rsidRPr="00001CDC">
        <w:t>request</w:t>
      </w:r>
      <w:r w:rsidR="001066D8">
        <w:t xml:space="preserve"> an independent review of</w:t>
      </w:r>
      <w:r w:rsidRPr="00001CDC">
        <w:t xml:space="preserve"> the permit condition(s) in question</w:t>
      </w:r>
    </w:p>
    <w:p w14:paraId="62ED0499" w14:textId="77777777" w:rsidR="006D52F4" w:rsidRPr="00001CDC" w:rsidRDefault="006D52F4" w:rsidP="006D52F4">
      <w:pPr>
        <w:pStyle w:val="Bullet"/>
      </w:pPr>
      <w:r w:rsidRPr="00001CDC">
        <w:t>request an appeal under the HSNO Act</w:t>
      </w:r>
      <w:r>
        <w:t xml:space="preserve">. </w:t>
      </w:r>
      <w:r w:rsidRPr="00001CDC">
        <w:t xml:space="preserve">Section 125(1A) </w:t>
      </w:r>
      <w:r>
        <w:t>allows an</w:t>
      </w:r>
      <w:r w:rsidRPr="00001CDC">
        <w:t xml:space="preserve"> applicant to appeal to the District Court</w:t>
      </w:r>
      <w:r>
        <w:t xml:space="preserve"> </w:t>
      </w:r>
      <w:r w:rsidRPr="00001CDC">
        <w:t>about the terms and conditions of a permission; or</w:t>
      </w:r>
      <w:r>
        <w:t xml:space="preserve"> if a permission has been declined or </w:t>
      </w:r>
      <w:r w:rsidRPr="00001CDC">
        <w:t>revok</w:t>
      </w:r>
      <w:r>
        <w:t>ed</w:t>
      </w:r>
    </w:p>
    <w:p w14:paraId="39D645B0" w14:textId="30A01783" w:rsidR="006D52F4" w:rsidRDefault="006D52F4" w:rsidP="006D52F4">
      <w:pPr>
        <w:pStyle w:val="Bullet"/>
      </w:pPr>
      <w:r w:rsidRPr="00001CDC">
        <w:t>seek a judicial review of the process by which one or more conditions were imposed</w:t>
      </w:r>
      <w:r w:rsidR="00AB0559">
        <w:t xml:space="preserve"> (see page 16 for further information)</w:t>
      </w:r>
      <w:r w:rsidRPr="00001CDC">
        <w:t>.</w:t>
      </w:r>
    </w:p>
    <w:p w14:paraId="6C3C3E30" w14:textId="77777777" w:rsidR="006D52F4" w:rsidRDefault="006D52F4" w:rsidP="00474BFD"/>
    <w:p w14:paraId="5E2A9BB1" w14:textId="502F13CE" w:rsidR="006D52F4" w:rsidRPr="00001CDC" w:rsidRDefault="006D52F4" w:rsidP="006D52F4">
      <w:r w:rsidRPr="00001CDC">
        <w:t xml:space="preserve">Open lines of communication also help to ensure that, </w:t>
      </w:r>
      <w:r w:rsidR="001066D8">
        <w:t xml:space="preserve">if </w:t>
      </w:r>
      <w:r w:rsidRPr="00001CDC">
        <w:t>a complaint</w:t>
      </w:r>
      <w:r w:rsidR="009A680F">
        <w:t xml:space="preserve"> or</w:t>
      </w:r>
      <w:r w:rsidRPr="00001CDC">
        <w:t xml:space="preserve"> incident</w:t>
      </w:r>
      <w:r w:rsidR="001066D8">
        <w:t xml:space="preserve"> occurs</w:t>
      </w:r>
      <w:r w:rsidRPr="00001CDC">
        <w:t>, all parties are informed rapidly and that the appropriate responses can be launched as soon as possible.</w:t>
      </w:r>
    </w:p>
    <w:p w14:paraId="7E5E92FB" w14:textId="1B535839" w:rsidR="006D52F4" w:rsidRDefault="00E82333" w:rsidP="006D52F4">
      <w:pPr>
        <w:pStyle w:val="Heading3"/>
      </w:pPr>
      <w:r>
        <w:t>Receiving a</w:t>
      </w:r>
      <w:r w:rsidR="006D52F4">
        <w:t>pplications</w:t>
      </w:r>
    </w:p>
    <w:p w14:paraId="0D39A331" w14:textId="5C341BF3" w:rsidR="006D52F4" w:rsidRPr="00001CDC" w:rsidRDefault="001066D8" w:rsidP="006D52F4">
      <w:r>
        <w:t>Applicants need to make a</w:t>
      </w:r>
      <w:r w:rsidR="006D52F4" w:rsidRPr="00001CDC">
        <w:t xml:space="preserve">pplications for </w:t>
      </w:r>
      <w:r w:rsidR="006D52F4">
        <w:t xml:space="preserve">the </w:t>
      </w:r>
      <w:r w:rsidR="006D52F4" w:rsidRPr="00001CDC">
        <w:t xml:space="preserve">use of VTAs and other hazardous substances on the current EPA-approved form available on the Ministry of Health’s website: </w:t>
      </w:r>
      <w:hyperlink r:id="rId45" w:history="1">
        <w:r w:rsidR="006D52F4" w:rsidRPr="003B0B82">
          <w:rPr>
            <w:rStyle w:val="Hyperlink"/>
          </w:rPr>
          <w:t>https://www.health.govt.nz/publication/issuing-permissions-vertebrate-toxic-agents-vtas-guidelines-public-health-units</w:t>
        </w:r>
      </w:hyperlink>
      <w:r w:rsidR="006D52F4">
        <w:t xml:space="preserve"> </w:t>
      </w:r>
      <w:r w:rsidR="006D52F4" w:rsidRPr="00001CDC">
        <w:t>under ‘Downloads’.</w:t>
      </w:r>
    </w:p>
    <w:p w14:paraId="773659F3" w14:textId="77777777" w:rsidR="006D52F4" w:rsidRPr="00001CDC" w:rsidRDefault="006D52F4" w:rsidP="006D52F4"/>
    <w:p w14:paraId="1D5D7339" w14:textId="5A947D14" w:rsidR="00852FA7" w:rsidRDefault="00E82333" w:rsidP="006D52F4">
      <w:r>
        <w:t xml:space="preserve">When an application is received, an acknowledgement </w:t>
      </w:r>
      <w:r w:rsidR="007F685F">
        <w:t>will</w:t>
      </w:r>
      <w:r>
        <w:t xml:space="preserve"> be sent to the applicant, and discussions about timeframes for proposed operations initiated to ensure the application can be prioritised and processed in a timely way.</w:t>
      </w:r>
      <w:r w:rsidR="00085ACA" w:rsidRPr="00085ACA">
        <w:t xml:space="preserve"> </w:t>
      </w:r>
      <w:r w:rsidR="00085ACA">
        <w:t>Appendix 3</w:t>
      </w:r>
      <w:r>
        <w:t xml:space="preserve"> </w:t>
      </w:r>
      <w:r w:rsidR="00085ACA">
        <w:t>gives an example of a</w:t>
      </w:r>
      <w:r w:rsidR="006D37CF">
        <w:t xml:space="preserve"> checklist </w:t>
      </w:r>
      <w:r w:rsidR="00085ACA">
        <w:t xml:space="preserve">that can be used </w:t>
      </w:r>
      <w:r w:rsidR="006D37CF">
        <w:t xml:space="preserve">to </w:t>
      </w:r>
      <w:r w:rsidR="00AA1781">
        <w:t>ensure</w:t>
      </w:r>
      <w:r w:rsidR="000B5BCE">
        <w:t xml:space="preserve"> the applicant has provided</w:t>
      </w:r>
      <w:r w:rsidR="00AA1781">
        <w:t xml:space="preserve"> all relevant information.</w:t>
      </w:r>
    </w:p>
    <w:p w14:paraId="751CED06" w14:textId="77777777" w:rsidR="00852FA7" w:rsidRDefault="00852FA7" w:rsidP="006D52F4"/>
    <w:p w14:paraId="14C1BEE1" w14:textId="0D8F452E" w:rsidR="006D52F4" w:rsidRPr="00001CDC" w:rsidRDefault="00852FA7" w:rsidP="006D52F4">
      <w:r>
        <w:rPr>
          <w:b/>
          <w:bCs/>
        </w:rPr>
        <w:t>Application i</w:t>
      </w:r>
      <w:r w:rsidRPr="00852FA7">
        <w:rPr>
          <w:b/>
          <w:bCs/>
        </w:rPr>
        <w:t>dentification codes:</w:t>
      </w:r>
      <w:r>
        <w:t xml:space="preserve"> </w:t>
      </w:r>
      <w:r w:rsidR="00E82333">
        <w:t>A</w:t>
      </w:r>
      <w:r w:rsidR="006D52F4" w:rsidRPr="00001CDC">
        <w:t>n application identification code is assigned to each application</w:t>
      </w:r>
      <w:r w:rsidR="00E82333">
        <w:t>.</w:t>
      </w:r>
      <w:r>
        <w:t xml:space="preserve"> </w:t>
      </w:r>
      <w:r w:rsidR="006D52F4" w:rsidRPr="00001CDC">
        <w:t>Application identification code yyyy/xxx/ABC stands for:</w:t>
      </w:r>
    </w:p>
    <w:p w14:paraId="67C487FD" w14:textId="0F5FEB9A" w:rsidR="006D52F4" w:rsidRPr="00001CDC" w:rsidRDefault="006D52F4" w:rsidP="006D52F4">
      <w:pPr>
        <w:pStyle w:val="Bullet"/>
      </w:pPr>
      <w:r w:rsidRPr="00001CDC">
        <w:t>yyyy – year granted (eg, 202</w:t>
      </w:r>
      <w:r w:rsidR="000B677A">
        <w:t>2</w:t>
      </w:r>
      <w:r w:rsidRPr="00001CDC">
        <w:t>)</w:t>
      </w:r>
    </w:p>
    <w:p w14:paraId="79A1F556" w14:textId="77777777" w:rsidR="006D52F4" w:rsidRPr="00001CDC" w:rsidRDefault="006D52F4" w:rsidP="006D52F4">
      <w:pPr>
        <w:pStyle w:val="Bullet"/>
      </w:pPr>
      <w:r w:rsidRPr="00001CDC">
        <w:t>xxx – application number assigned by person issuing permission</w:t>
      </w:r>
    </w:p>
    <w:p w14:paraId="554DCAD1" w14:textId="77777777" w:rsidR="006D52F4" w:rsidRPr="00001CDC" w:rsidRDefault="006D52F4" w:rsidP="006D52F4">
      <w:pPr>
        <w:pStyle w:val="Bullet"/>
      </w:pPr>
      <w:r w:rsidRPr="00001CDC">
        <w:t>ABC – initials of the person granting the permission.</w:t>
      </w:r>
    </w:p>
    <w:p w14:paraId="58339375" w14:textId="77777777" w:rsidR="00852FA7" w:rsidRDefault="00852FA7" w:rsidP="00852FA7"/>
    <w:p w14:paraId="41B69E2B" w14:textId="41895897" w:rsidR="00001CDC" w:rsidRPr="00001CDC" w:rsidRDefault="00001CDC" w:rsidP="00001CDC">
      <w:r w:rsidRPr="00852FA7">
        <w:rPr>
          <w:b/>
          <w:bCs/>
        </w:rPr>
        <w:t>Operational map</w:t>
      </w:r>
      <w:r w:rsidR="00852FA7" w:rsidRPr="00852FA7">
        <w:rPr>
          <w:b/>
          <w:bCs/>
        </w:rPr>
        <w:t>s:</w:t>
      </w:r>
      <w:r w:rsidR="00852FA7">
        <w:t xml:space="preserve"> </w:t>
      </w:r>
      <w:r w:rsidR="00852FA7" w:rsidRPr="00001CDC">
        <w:t xml:space="preserve">A map sufficiently representing the operational area should be included in the </w:t>
      </w:r>
      <w:r w:rsidR="00AB0559">
        <w:t>application</w:t>
      </w:r>
      <w:r w:rsidR="00AB0559" w:rsidRPr="00001CDC">
        <w:t xml:space="preserve"> </w:t>
      </w:r>
      <w:r w:rsidR="00852FA7" w:rsidRPr="00001CDC">
        <w:t>(refer to Section A of the application form)</w:t>
      </w:r>
      <w:r w:rsidR="00852FA7">
        <w:t xml:space="preserve">. </w:t>
      </w:r>
      <w:r w:rsidRPr="00001CDC">
        <w:t>A</w:t>
      </w:r>
      <w:r w:rsidR="00852FA7">
        <w:t>ppendix 4 provides a</w:t>
      </w:r>
      <w:r w:rsidRPr="00001CDC">
        <w:t xml:space="preserve">n example of an appropriate operational map to assist with the type of information required when assessing an application.  </w:t>
      </w:r>
    </w:p>
    <w:p w14:paraId="15DE9F7B" w14:textId="77777777" w:rsidR="00001CDC" w:rsidRPr="00001CDC" w:rsidRDefault="00001CDC" w:rsidP="00001CDC"/>
    <w:p w14:paraId="1898EC94" w14:textId="7C2DF8BA" w:rsidR="00001CDC" w:rsidRPr="00001CDC" w:rsidRDefault="00852FA7" w:rsidP="00001CDC">
      <w:r>
        <w:t>T</w:t>
      </w:r>
      <w:r w:rsidR="00001CDC" w:rsidRPr="00001CDC">
        <w:t xml:space="preserve">he person reviewing the application may request any other maps to adequately </w:t>
      </w:r>
      <w:r>
        <w:t xml:space="preserve">identify </w:t>
      </w:r>
      <w:r w:rsidR="00001CDC" w:rsidRPr="00001CDC">
        <w:t xml:space="preserve">areas of risk, or more accurately identify areas </w:t>
      </w:r>
      <w:r>
        <w:t>to</w:t>
      </w:r>
      <w:r w:rsidR="00001CDC" w:rsidRPr="00001CDC">
        <w:t xml:space="preserve"> which controls will be </w:t>
      </w:r>
      <w:r>
        <w:t>applied</w:t>
      </w:r>
      <w:r w:rsidR="00001CDC" w:rsidRPr="00001CDC">
        <w:t xml:space="preserve">. </w:t>
      </w:r>
      <w:r w:rsidR="000B5BCE" w:rsidRPr="00001CDC">
        <w:t>The person processing the application</w:t>
      </w:r>
      <w:r w:rsidR="000B5BCE">
        <w:t xml:space="preserve"> should record</w:t>
      </w:r>
      <w:r w:rsidR="000B5BCE" w:rsidRPr="00001CDC">
        <w:t xml:space="preserve"> </w:t>
      </w:r>
      <w:r w:rsidR="000B5BCE">
        <w:t>a</w:t>
      </w:r>
      <w:r w:rsidR="00001CDC" w:rsidRPr="00001CDC">
        <w:t xml:space="preserve">ny request </w:t>
      </w:r>
      <w:r>
        <w:t xml:space="preserve">for </w:t>
      </w:r>
      <w:r w:rsidR="00001CDC" w:rsidRPr="00001CDC">
        <w:t>(and receipt</w:t>
      </w:r>
      <w:r>
        <w:t xml:space="preserve"> of</w:t>
      </w:r>
      <w:r w:rsidR="00001CDC" w:rsidRPr="00001CDC">
        <w:t xml:space="preserve">) additional maps. </w:t>
      </w:r>
    </w:p>
    <w:p w14:paraId="147B3E15" w14:textId="77777777" w:rsidR="00010E4A" w:rsidRDefault="00010E4A" w:rsidP="00010E4A">
      <w:pPr>
        <w:pStyle w:val="Heading3"/>
      </w:pPr>
      <w:r>
        <w:t>Permissions</w:t>
      </w:r>
    </w:p>
    <w:p w14:paraId="57096180" w14:textId="4ADD95B9" w:rsidR="00010E4A" w:rsidRDefault="00010E4A" w:rsidP="00010E4A">
      <w:r>
        <w:t>Permissions</w:t>
      </w:r>
      <w:r w:rsidRPr="00001CDC">
        <w:t xml:space="preserve"> for </w:t>
      </w:r>
      <w:r>
        <w:t xml:space="preserve">the </w:t>
      </w:r>
      <w:r w:rsidRPr="00001CDC">
        <w:t xml:space="preserve">use of VTAs and other hazardous substances need to be </w:t>
      </w:r>
      <w:r w:rsidR="00631D90">
        <w:t>issued</w:t>
      </w:r>
      <w:r w:rsidRPr="00001CDC">
        <w:t xml:space="preserve"> on the current EPA-approved form available on the Ministry of Health’s website: </w:t>
      </w:r>
      <w:hyperlink r:id="rId46" w:history="1">
        <w:r w:rsidRPr="003B0B82">
          <w:rPr>
            <w:rStyle w:val="Hyperlink"/>
          </w:rPr>
          <w:t>https://www.health.govt.nz/publication/issuing-permissions-vertebrate-toxic-agents-vtas-guidelines-public-health-units</w:t>
        </w:r>
      </w:hyperlink>
      <w:r>
        <w:t xml:space="preserve"> </w:t>
      </w:r>
      <w:r w:rsidRPr="00001CDC">
        <w:t>under ‘Downloads’.</w:t>
      </w:r>
    </w:p>
    <w:p w14:paraId="40635E79" w14:textId="0AABEF4F" w:rsidR="007C41F4" w:rsidRDefault="00852FA7" w:rsidP="007C41F4">
      <w:pPr>
        <w:pStyle w:val="Heading4"/>
      </w:pPr>
      <w:r w:rsidRPr="00633FC5">
        <w:t>Duration</w:t>
      </w:r>
    </w:p>
    <w:p w14:paraId="4D9EA0D3" w14:textId="3C75F06F" w:rsidR="00EE0BAB" w:rsidRPr="00010E4A" w:rsidRDefault="00EE0BAB" w:rsidP="00EE0BAB">
      <w:pPr>
        <w:rPr>
          <w:color w:val="000000" w:themeColor="text1"/>
        </w:rPr>
      </w:pPr>
      <w:r>
        <w:rPr>
          <w:color w:val="000000" w:themeColor="text1"/>
        </w:rPr>
        <w:t xml:space="preserve">The period of the permission needs to </w:t>
      </w:r>
      <w:r w:rsidRPr="00010E4A">
        <w:rPr>
          <w:color w:val="000000" w:themeColor="text1"/>
        </w:rPr>
        <w:t xml:space="preserve">include time </w:t>
      </w:r>
      <w:r w:rsidR="00AD76EB">
        <w:rPr>
          <w:color w:val="000000" w:themeColor="text1"/>
        </w:rPr>
        <w:t xml:space="preserve">from the start of the operation until the operator has </w:t>
      </w:r>
      <w:r w:rsidRPr="00010E4A">
        <w:rPr>
          <w:color w:val="000000" w:themeColor="text1"/>
        </w:rPr>
        <w:t>check</w:t>
      </w:r>
      <w:r w:rsidR="00AD76EB">
        <w:rPr>
          <w:color w:val="000000" w:themeColor="text1"/>
        </w:rPr>
        <w:t>ed</w:t>
      </w:r>
      <w:r w:rsidRPr="00010E4A">
        <w:rPr>
          <w:color w:val="000000" w:themeColor="text1"/>
        </w:rPr>
        <w:t xml:space="preserve"> for any public health risks (such as the presence of baits) following the last application of </w:t>
      </w:r>
      <w:r>
        <w:rPr>
          <w:color w:val="000000" w:themeColor="text1"/>
        </w:rPr>
        <w:t xml:space="preserve">the </w:t>
      </w:r>
      <w:r w:rsidRPr="00010E4A">
        <w:rPr>
          <w:color w:val="000000" w:themeColor="text1"/>
        </w:rPr>
        <w:t>hazardous substance(s).</w:t>
      </w:r>
    </w:p>
    <w:p w14:paraId="598CAA8C" w14:textId="77777777" w:rsidR="00EE0BAB" w:rsidRPr="00010E4A" w:rsidRDefault="00EE0BAB" w:rsidP="00EE0BAB">
      <w:pPr>
        <w:rPr>
          <w:color w:val="000000" w:themeColor="text1"/>
        </w:rPr>
      </w:pPr>
    </w:p>
    <w:p w14:paraId="0477AC48" w14:textId="4D2B2F56" w:rsidR="00EE0BAB" w:rsidRDefault="00EE0BAB" w:rsidP="00EE0BAB">
      <w:pPr>
        <w:rPr>
          <w:color w:val="000000" w:themeColor="text1"/>
        </w:rPr>
      </w:pPr>
      <w:r w:rsidRPr="00010E4A">
        <w:rPr>
          <w:color w:val="000000" w:themeColor="text1"/>
        </w:rPr>
        <w:t>Permissions should allow some flexibility for weather and other circumstances that may delay an operation</w:t>
      </w:r>
      <w:r>
        <w:rPr>
          <w:color w:val="000000" w:themeColor="text1"/>
        </w:rPr>
        <w:t xml:space="preserve"> beyond the permission expiry date</w:t>
      </w:r>
      <w:r w:rsidRPr="00010E4A">
        <w:rPr>
          <w:color w:val="000000" w:themeColor="text1"/>
        </w:rPr>
        <w:t>. No timeframe is given for this flexibility</w:t>
      </w:r>
      <w:r w:rsidR="00950B4C">
        <w:rPr>
          <w:color w:val="000000" w:themeColor="text1"/>
        </w:rPr>
        <w:t>;</w:t>
      </w:r>
      <w:r w:rsidRPr="00010E4A">
        <w:rPr>
          <w:color w:val="000000" w:themeColor="text1"/>
        </w:rPr>
        <w:t xml:space="preserve"> it is expected that the permission issuer </w:t>
      </w:r>
      <w:r w:rsidR="00950B4C">
        <w:rPr>
          <w:color w:val="000000" w:themeColor="text1"/>
        </w:rPr>
        <w:t xml:space="preserve">will </w:t>
      </w:r>
      <w:r w:rsidRPr="00010E4A">
        <w:rPr>
          <w:color w:val="000000" w:themeColor="text1"/>
        </w:rPr>
        <w:t xml:space="preserve">use their discretion </w:t>
      </w:r>
      <w:r w:rsidR="000B5BCE">
        <w:rPr>
          <w:color w:val="000000" w:themeColor="text1"/>
        </w:rPr>
        <w:t>to</w:t>
      </w:r>
      <w:r w:rsidR="00745B1B">
        <w:rPr>
          <w:color w:val="000000" w:themeColor="text1"/>
        </w:rPr>
        <w:t xml:space="preserve"> decide on</w:t>
      </w:r>
      <w:r w:rsidR="000B5BCE" w:rsidRPr="00010E4A">
        <w:rPr>
          <w:color w:val="000000" w:themeColor="text1"/>
        </w:rPr>
        <w:t xml:space="preserve"> </w:t>
      </w:r>
      <w:r w:rsidRPr="00010E4A">
        <w:rPr>
          <w:color w:val="000000" w:themeColor="text1"/>
        </w:rPr>
        <w:t xml:space="preserve">what is practical </w:t>
      </w:r>
      <w:r>
        <w:rPr>
          <w:color w:val="000000" w:themeColor="text1"/>
        </w:rPr>
        <w:t xml:space="preserve">both </w:t>
      </w:r>
      <w:r w:rsidRPr="00010E4A">
        <w:rPr>
          <w:color w:val="000000" w:themeColor="text1"/>
        </w:rPr>
        <w:t>for the operator and for ensuring public safety.</w:t>
      </w:r>
    </w:p>
    <w:p w14:paraId="670824CB" w14:textId="77777777" w:rsidR="00A248BD" w:rsidRDefault="00A248BD" w:rsidP="004D6D45">
      <w:pPr>
        <w:autoSpaceDE w:val="0"/>
        <w:autoSpaceDN w:val="0"/>
        <w:adjustRightInd w:val="0"/>
        <w:rPr>
          <w:rFonts w:cs="Segoe UI"/>
          <w:color w:val="000000" w:themeColor="text1"/>
          <w:szCs w:val="21"/>
        </w:rPr>
      </w:pPr>
    </w:p>
    <w:p w14:paraId="5294E878" w14:textId="0CC3DC86" w:rsidR="004D6D45" w:rsidRPr="001D19E5" w:rsidRDefault="006D52F4" w:rsidP="004D6D45">
      <w:pPr>
        <w:autoSpaceDE w:val="0"/>
        <w:autoSpaceDN w:val="0"/>
        <w:adjustRightInd w:val="0"/>
        <w:rPr>
          <w:rFonts w:cs="Segoe UI"/>
          <w:color w:val="000000"/>
          <w:szCs w:val="21"/>
          <w:lang w:eastAsia="en-NZ"/>
        </w:rPr>
      </w:pPr>
      <w:r w:rsidRPr="001D19E5">
        <w:rPr>
          <w:rFonts w:cs="Segoe UI"/>
          <w:color w:val="000000" w:themeColor="text1"/>
          <w:szCs w:val="21"/>
        </w:rPr>
        <w:t xml:space="preserve">A permission </w:t>
      </w:r>
      <w:r w:rsidR="004D6D45" w:rsidRPr="001D19E5">
        <w:rPr>
          <w:rFonts w:cs="Segoe UI"/>
          <w:color w:val="000000" w:themeColor="text1"/>
          <w:szCs w:val="21"/>
        </w:rPr>
        <w:t>may</w:t>
      </w:r>
      <w:r w:rsidR="004D6D45" w:rsidRPr="001D19E5">
        <w:rPr>
          <w:rFonts w:cs="Segoe UI"/>
          <w:color w:val="000000"/>
          <w:szCs w:val="21"/>
          <w:lang w:eastAsia="en-NZ"/>
        </w:rPr>
        <w:t xml:space="preserve"> be issued for </w:t>
      </w:r>
      <w:r w:rsidR="009C5CF2" w:rsidRPr="001D19E5">
        <w:rPr>
          <w:rFonts w:cs="Segoe UI"/>
          <w:color w:val="000000"/>
          <w:szCs w:val="21"/>
          <w:lang w:eastAsia="en-NZ"/>
        </w:rPr>
        <w:t xml:space="preserve">up to </w:t>
      </w:r>
      <w:r w:rsidR="007F706E" w:rsidRPr="001D19E5">
        <w:rPr>
          <w:rFonts w:cs="Segoe UI"/>
          <w:color w:val="000000"/>
          <w:szCs w:val="21"/>
          <w:lang w:eastAsia="en-NZ"/>
        </w:rPr>
        <w:t>three</w:t>
      </w:r>
      <w:r w:rsidR="004D6D45" w:rsidRPr="001D19E5">
        <w:rPr>
          <w:rFonts w:cs="Segoe UI"/>
          <w:color w:val="000000"/>
          <w:szCs w:val="21"/>
          <w:lang w:eastAsia="en-NZ"/>
        </w:rPr>
        <w:t xml:space="preserve"> years </w:t>
      </w:r>
      <w:r w:rsidR="007D1E81" w:rsidRPr="001D19E5">
        <w:rPr>
          <w:rFonts w:cs="Segoe UI"/>
          <w:color w:val="000000"/>
          <w:szCs w:val="21"/>
          <w:lang w:eastAsia="en-NZ"/>
        </w:rPr>
        <w:t>if th</w:t>
      </w:r>
      <w:r w:rsidR="009C5CF2" w:rsidRPr="001D19E5">
        <w:rPr>
          <w:rFonts w:cs="Segoe UI"/>
          <w:color w:val="000000"/>
          <w:szCs w:val="21"/>
          <w:lang w:eastAsia="en-NZ"/>
        </w:rPr>
        <w:t xml:space="preserve">e following conditions </w:t>
      </w:r>
      <w:r w:rsidR="007D1E81" w:rsidRPr="001D19E5">
        <w:rPr>
          <w:rFonts w:cs="Segoe UI"/>
          <w:color w:val="000000"/>
          <w:szCs w:val="21"/>
          <w:lang w:eastAsia="en-NZ"/>
        </w:rPr>
        <w:t>are</w:t>
      </w:r>
      <w:r w:rsidR="009C5CF2" w:rsidRPr="001D19E5">
        <w:rPr>
          <w:rFonts w:cs="Segoe UI"/>
          <w:color w:val="000000"/>
          <w:szCs w:val="21"/>
          <w:lang w:eastAsia="en-NZ"/>
        </w:rPr>
        <w:t xml:space="preserve"> met</w:t>
      </w:r>
      <w:r w:rsidR="00745B1B">
        <w:rPr>
          <w:rFonts w:cs="Segoe UI"/>
          <w:color w:val="000000"/>
          <w:szCs w:val="21"/>
          <w:lang w:eastAsia="en-NZ"/>
        </w:rPr>
        <w:t>.</w:t>
      </w:r>
    </w:p>
    <w:p w14:paraId="35A71CE9" w14:textId="366C067B" w:rsidR="004D6D45" w:rsidRPr="001D19E5" w:rsidRDefault="004D6D45" w:rsidP="00AB0559">
      <w:pPr>
        <w:pStyle w:val="Bullet"/>
        <w:rPr>
          <w:lang w:eastAsia="en-NZ"/>
        </w:rPr>
      </w:pPr>
      <w:r w:rsidRPr="001D19E5">
        <w:rPr>
          <w:lang w:eastAsia="en-NZ"/>
        </w:rPr>
        <w:t>The operation has</w:t>
      </w:r>
      <w:r w:rsidR="00882CA0">
        <w:rPr>
          <w:lang w:eastAsia="en-NZ"/>
        </w:rPr>
        <w:t xml:space="preserve"> already</w:t>
      </w:r>
      <w:r w:rsidRPr="001D19E5">
        <w:rPr>
          <w:lang w:eastAsia="en-NZ"/>
        </w:rPr>
        <w:t xml:space="preserve"> been carried out each year for a</w:t>
      </w:r>
      <w:r w:rsidR="00F70E41" w:rsidRPr="001D19E5">
        <w:rPr>
          <w:lang w:eastAsia="en-NZ"/>
        </w:rPr>
        <w:t xml:space="preserve"> </w:t>
      </w:r>
      <w:r w:rsidR="00554100" w:rsidRPr="001D19E5">
        <w:rPr>
          <w:lang w:eastAsia="en-NZ"/>
        </w:rPr>
        <w:t>minimum of</w:t>
      </w:r>
      <w:r w:rsidRPr="001D19E5">
        <w:rPr>
          <w:lang w:eastAsia="en-NZ"/>
        </w:rPr>
        <w:t xml:space="preserve"> five years</w:t>
      </w:r>
      <w:r w:rsidR="00554100" w:rsidRPr="001D19E5">
        <w:rPr>
          <w:lang w:eastAsia="en-NZ"/>
        </w:rPr>
        <w:t>.</w:t>
      </w:r>
    </w:p>
    <w:p w14:paraId="28A5B85A" w14:textId="0CB4DC0E" w:rsidR="00D703F8" w:rsidRPr="001D19E5" w:rsidRDefault="004D6D45" w:rsidP="00AB0559">
      <w:pPr>
        <w:pStyle w:val="Bullet"/>
        <w:rPr>
          <w:lang w:eastAsia="en-NZ"/>
        </w:rPr>
      </w:pPr>
      <w:r w:rsidRPr="001D19E5">
        <w:rPr>
          <w:lang w:eastAsia="en-NZ"/>
        </w:rPr>
        <w:t xml:space="preserve">The operation has not changed significantly for at least </w:t>
      </w:r>
      <w:r w:rsidR="007F706E" w:rsidRPr="001D19E5">
        <w:rPr>
          <w:lang w:eastAsia="en-NZ"/>
        </w:rPr>
        <w:t>three</w:t>
      </w:r>
      <w:r w:rsidRPr="001D19E5">
        <w:rPr>
          <w:lang w:eastAsia="en-NZ"/>
        </w:rPr>
        <w:t xml:space="preserve"> years</w:t>
      </w:r>
      <w:r w:rsidR="00AD76EB" w:rsidRPr="001D19E5">
        <w:rPr>
          <w:lang w:eastAsia="en-NZ"/>
        </w:rPr>
        <w:t xml:space="preserve"> (see examples of significant changes below)</w:t>
      </w:r>
      <w:r w:rsidR="00554100" w:rsidRPr="001D19E5">
        <w:rPr>
          <w:lang w:eastAsia="en-NZ"/>
        </w:rPr>
        <w:t>.</w:t>
      </w:r>
    </w:p>
    <w:p w14:paraId="7B8432B8" w14:textId="0671F4BB" w:rsidR="00D703F8" w:rsidRPr="001D19E5" w:rsidRDefault="00554100" w:rsidP="00AB0559">
      <w:pPr>
        <w:pStyle w:val="Bullet"/>
        <w:rPr>
          <w:lang w:eastAsia="en-NZ"/>
        </w:rPr>
      </w:pPr>
      <w:r w:rsidRPr="001D19E5">
        <w:rPr>
          <w:color w:val="000000" w:themeColor="text1"/>
        </w:rPr>
        <w:t>Public c</w:t>
      </w:r>
      <w:r w:rsidR="00D703F8" w:rsidRPr="001D19E5">
        <w:rPr>
          <w:color w:val="000000" w:themeColor="text1"/>
        </w:rPr>
        <w:t>onsultation has occurred on the proposed dates</w:t>
      </w:r>
      <w:r w:rsidRPr="001D19E5">
        <w:rPr>
          <w:color w:val="000000" w:themeColor="text1"/>
        </w:rPr>
        <w:t>.</w:t>
      </w:r>
    </w:p>
    <w:p w14:paraId="73A9B6CA" w14:textId="3D4EAAF4" w:rsidR="004D6D45" w:rsidRPr="001D19E5" w:rsidRDefault="004D6D45" w:rsidP="00AB0559">
      <w:pPr>
        <w:pStyle w:val="Bullet"/>
        <w:rPr>
          <w:lang w:eastAsia="en-NZ"/>
        </w:rPr>
      </w:pPr>
      <w:r w:rsidRPr="001D19E5">
        <w:rPr>
          <w:lang w:eastAsia="en-NZ"/>
        </w:rPr>
        <w:t xml:space="preserve">No </w:t>
      </w:r>
      <w:r w:rsidR="00E17337" w:rsidRPr="001D19E5">
        <w:rPr>
          <w:lang w:eastAsia="en-NZ"/>
        </w:rPr>
        <w:t>valid</w:t>
      </w:r>
      <w:r w:rsidRPr="001D19E5">
        <w:rPr>
          <w:lang w:eastAsia="en-NZ"/>
        </w:rPr>
        <w:t xml:space="preserve"> incidents or complaints have occurred for at least five years</w:t>
      </w:r>
      <w:r w:rsidR="00554100" w:rsidRPr="001D19E5">
        <w:rPr>
          <w:lang w:eastAsia="en-NZ"/>
        </w:rPr>
        <w:t>.</w:t>
      </w:r>
    </w:p>
    <w:p w14:paraId="50D65559" w14:textId="30E64369" w:rsidR="004D6D45" w:rsidRPr="001D19E5" w:rsidRDefault="004D6D45" w:rsidP="00AB0559">
      <w:pPr>
        <w:pStyle w:val="Bullet"/>
        <w:rPr>
          <w:lang w:eastAsia="en-NZ"/>
        </w:rPr>
      </w:pPr>
      <w:r w:rsidRPr="001D19E5">
        <w:rPr>
          <w:lang w:eastAsia="en-NZ"/>
        </w:rPr>
        <w:t xml:space="preserve">The conditions in the permissions previously issued have not changed significantly for at least </w:t>
      </w:r>
      <w:r w:rsidR="007F706E" w:rsidRPr="001D19E5">
        <w:rPr>
          <w:lang w:eastAsia="en-NZ"/>
        </w:rPr>
        <w:t>three</w:t>
      </w:r>
      <w:r w:rsidR="00AD76EB" w:rsidRPr="001D19E5">
        <w:rPr>
          <w:lang w:eastAsia="en-NZ"/>
        </w:rPr>
        <w:t xml:space="preserve"> years</w:t>
      </w:r>
      <w:r w:rsidR="00554100" w:rsidRPr="001D19E5">
        <w:rPr>
          <w:lang w:eastAsia="en-NZ"/>
        </w:rPr>
        <w:t>.</w:t>
      </w:r>
    </w:p>
    <w:p w14:paraId="49951BD0" w14:textId="221856F4" w:rsidR="004D6D45" w:rsidRPr="001D19E5" w:rsidRDefault="00633FC5" w:rsidP="00AB0559">
      <w:pPr>
        <w:pStyle w:val="Bullet"/>
        <w:rPr>
          <w:lang w:eastAsia="en-NZ"/>
        </w:rPr>
      </w:pPr>
      <w:r w:rsidRPr="001D19E5">
        <w:rPr>
          <w:lang w:eastAsia="en-NZ"/>
        </w:rPr>
        <w:t>T</w:t>
      </w:r>
      <w:r w:rsidR="004D6D45" w:rsidRPr="001D19E5">
        <w:rPr>
          <w:lang w:eastAsia="en-NZ"/>
        </w:rPr>
        <w:t>he operator must inform the person issuing the permission of any significant changes, complain</w:t>
      </w:r>
      <w:r w:rsidR="00882CA0">
        <w:rPr>
          <w:lang w:eastAsia="en-NZ"/>
        </w:rPr>
        <w:t>t</w:t>
      </w:r>
      <w:r w:rsidR="004D6D45" w:rsidRPr="001D19E5">
        <w:rPr>
          <w:lang w:eastAsia="en-NZ"/>
        </w:rPr>
        <w:t>s or incidents.</w:t>
      </w:r>
    </w:p>
    <w:p w14:paraId="70041808" w14:textId="271B2BF9" w:rsidR="00633FC5" w:rsidRPr="001D19E5" w:rsidRDefault="00633FC5" w:rsidP="006D52F4">
      <w:pPr>
        <w:rPr>
          <w:rFonts w:cs="Segoe UI"/>
          <w:color w:val="000000" w:themeColor="text1"/>
          <w:szCs w:val="21"/>
        </w:rPr>
      </w:pPr>
    </w:p>
    <w:p w14:paraId="5872A45B" w14:textId="5B4C5C12" w:rsidR="00245D93" w:rsidRPr="001D19E5" w:rsidRDefault="00AD76EB" w:rsidP="00EA2649">
      <w:pPr>
        <w:rPr>
          <w:rFonts w:cs="Segoe UI"/>
          <w:color w:val="000000" w:themeColor="text1"/>
          <w:szCs w:val="21"/>
        </w:rPr>
      </w:pPr>
      <w:r w:rsidRPr="001D19E5">
        <w:rPr>
          <w:rFonts w:cs="Segoe UI"/>
          <w:color w:val="000000" w:themeColor="text1"/>
          <w:szCs w:val="21"/>
        </w:rPr>
        <w:t xml:space="preserve">When issuing permissions that may cover </w:t>
      </w:r>
      <w:r w:rsidR="00FC6A8C" w:rsidRPr="001D19E5">
        <w:rPr>
          <w:rFonts w:cs="Segoe UI"/>
          <w:color w:val="000000" w:themeColor="text1"/>
          <w:szCs w:val="21"/>
        </w:rPr>
        <w:t>repeated</w:t>
      </w:r>
      <w:r w:rsidRPr="001D19E5">
        <w:rPr>
          <w:rFonts w:cs="Segoe UI"/>
          <w:color w:val="000000" w:themeColor="text1"/>
          <w:szCs w:val="21"/>
        </w:rPr>
        <w:t xml:space="preserve"> operations, it is important </w:t>
      </w:r>
      <w:r w:rsidR="00B77847">
        <w:rPr>
          <w:rFonts w:cs="Segoe UI"/>
          <w:color w:val="000000" w:themeColor="text1"/>
          <w:szCs w:val="21"/>
        </w:rPr>
        <w:t xml:space="preserve">to ensure </w:t>
      </w:r>
      <w:r w:rsidR="00EA2649" w:rsidRPr="001D19E5">
        <w:rPr>
          <w:rFonts w:cs="Segoe UI"/>
          <w:color w:val="000000" w:themeColor="text1"/>
          <w:szCs w:val="21"/>
        </w:rPr>
        <w:t>local circumstances</w:t>
      </w:r>
      <w:r w:rsidR="00B77847">
        <w:rPr>
          <w:rFonts w:cs="Segoe UI"/>
          <w:color w:val="000000" w:themeColor="text1"/>
          <w:szCs w:val="21"/>
        </w:rPr>
        <w:t xml:space="preserve"> have not changed in ways</w:t>
      </w:r>
      <w:r w:rsidR="00EA2649" w:rsidRPr="001D19E5">
        <w:rPr>
          <w:rFonts w:cs="Segoe UI"/>
          <w:color w:val="000000" w:themeColor="text1"/>
          <w:szCs w:val="21"/>
        </w:rPr>
        <w:t xml:space="preserve"> </w:t>
      </w:r>
      <w:r w:rsidRPr="001D19E5">
        <w:rPr>
          <w:rFonts w:cs="Segoe UI"/>
          <w:color w:val="000000" w:themeColor="text1"/>
          <w:szCs w:val="21"/>
        </w:rPr>
        <w:t>that would require the public health risk to be reassessed</w:t>
      </w:r>
      <w:r w:rsidR="00882CA0">
        <w:rPr>
          <w:rFonts w:cs="Segoe UI"/>
          <w:color w:val="000000" w:themeColor="text1"/>
          <w:szCs w:val="21"/>
        </w:rPr>
        <w:t>. Examples of these significant changes are</w:t>
      </w:r>
      <w:r w:rsidR="00EA2649" w:rsidRPr="001D19E5">
        <w:rPr>
          <w:rFonts w:cs="Segoe UI"/>
          <w:color w:val="000000" w:themeColor="text1"/>
          <w:szCs w:val="21"/>
        </w:rPr>
        <w:t xml:space="preserve"> a</w:t>
      </w:r>
      <w:r w:rsidR="00245D93" w:rsidRPr="001D19E5">
        <w:rPr>
          <w:rFonts w:cs="Segoe UI"/>
          <w:color w:val="000000" w:themeColor="text1"/>
          <w:szCs w:val="21"/>
        </w:rPr>
        <w:t xml:space="preserve"> change in metho</w:t>
      </w:r>
      <w:r w:rsidR="00B93DCB" w:rsidRPr="001D19E5">
        <w:rPr>
          <w:rFonts w:cs="Segoe UI"/>
          <w:color w:val="000000" w:themeColor="text1"/>
          <w:szCs w:val="21"/>
        </w:rPr>
        <w:t>dology</w:t>
      </w:r>
      <w:r w:rsidR="00245D93" w:rsidRPr="001D19E5">
        <w:rPr>
          <w:rFonts w:cs="Segoe UI"/>
          <w:color w:val="000000" w:themeColor="text1"/>
          <w:szCs w:val="21"/>
        </w:rPr>
        <w:t xml:space="preserve"> (</w:t>
      </w:r>
      <w:r w:rsidR="00554100" w:rsidRPr="001D19E5">
        <w:rPr>
          <w:rFonts w:cs="Segoe UI"/>
          <w:color w:val="000000" w:themeColor="text1"/>
          <w:szCs w:val="21"/>
        </w:rPr>
        <w:t>eg</w:t>
      </w:r>
      <w:r w:rsidR="00157037">
        <w:rPr>
          <w:rFonts w:cs="Segoe UI"/>
          <w:color w:val="000000" w:themeColor="text1"/>
          <w:szCs w:val="21"/>
        </w:rPr>
        <w:t>,</w:t>
      </w:r>
      <w:r w:rsidR="00245D93" w:rsidRPr="001D19E5">
        <w:rPr>
          <w:rFonts w:cs="Segoe UI"/>
          <w:color w:val="000000" w:themeColor="text1"/>
          <w:szCs w:val="21"/>
        </w:rPr>
        <w:t xml:space="preserve"> moving from ground-based to aerial operations</w:t>
      </w:r>
      <w:r w:rsidR="00EA2649" w:rsidRPr="001D19E5">
        <w:rPr>
          <w:rFonts w:cs="Segoe UI"/>
          <w:color w:val="000000" w:themeColor="text1"/>
          <w:szCs w:val="21"/>
        </w:rPr>
        <w:t>)</w:t>
      </w:r>
      <w:r w:rsidR="00245D93" w:rsidRPr="001D19E5">
        <w:rPr>
          <w:rFonts w:cs="Segoe UI"/>
          <w:color w:val="000000" w:themeColor="text1"/>
          <w:szCs w:val="21"/>
        </w:rPr>
        <w:t xml:space="preserve">, </w:t>
      </w:r>
      <w:r w:rsidR="00157037">
        <w:rPr>
          <w:rFonts w:cs="Segoe UI"/>
          <w:color w:val="000000" w:themeColor="text1"/>
          <w:szCs w:val="21"/>
        </w:rPr>
        <w:t xml:space="preserve">a </w:t>
      </w:r>
      <w:r w:rsidR="00B93DCB" w:rsidRPr="001D19E5">
        <w:rPr>
          <w:rFonts w:cs="Segoe UI"/>
          <w:color w:val="000000" w:themeColor="text1"/>
          <w:szCs w:val="21"/>
        </w:rPr>
        <w:t>chang</w:t>
      </w:r>
      <w:r w:rsidR="00AD6977" w:rsidRPr="001D19E5">
        <w:rPr>
          <w:rFonts w:cs="Segoe UI"/>
          <w:color w:val="000000" w:themeColor="text1"/>
          <w:szCs w:val="21"/>
        </w:rPr>
        <w:t>e in</w:t>
      </w:r>
      <w:r w:rsidR="00B93DCB" w:rsidRPr="001D19E5">
        <w:rPr>
          <w:rFonts w:cs="Segoe UI"/>
          <w:color w:val="000000" w:themeColor="text1"/>
          <w:szCs w:val="21"/>
        </w:rPr>
        <w:t xml:space="preserve"> the pesticide being used, </w:t>
      </w:r>
      <w:r w:rsidR="00157037">
        <w:rPr>
          <w:rFonts w:cs="Segoe UI"/>
          <w:color w:val="000000" w:themeColor="text1"/>
          <w:szCs w:val="21"/>
        </w:rPr>
        <w:t xml:space="preserve">extending the </w:t>
      </w:r>
      <w:r w:rsidR="00B93DCB" w:rsidRPr="001D19E5">
        <w:rPr>
          <w:rFonts w:cs="Segoe UI"/>
          <w:color w:val="000000" w:themeColor="text1"/>
          <w:szCs w:val="21"/>
        </w:rPr>
        <w:t xml:space="preserve">operational area beyond the area included in the permission, </w:t>
      </w:r>
      <w:r w:rsidR="00157037">
        <w:rPr>
          <w:rFonts w:cs="Segoe UI"/>
          <w:color w:val="000000" w:themeColor="text1"/>
          <w:szCs w:val="21"/>
        </w:rPr>
        <w:t xml:space="preserve">a </w:t>
      </w:r>
      <w:r w:rsidR="00B93DCB" w:rsidRPr="001D19E5">
        <w:rPr>
          <w:rFonts w:cs="Segoe UI"/>
          <w:color w:val="000000" w:themeColor="text1"/>
          <w:szCs w:val="21"/>
        </w:rPr>
        <w:t xml:space="preserve">change in operator, </w:t>
      </w:r>
      <w:r w:rsidR="00157037">
        <w:rPr>
          <w:rFonts w:cs="Segoe UI"/>
          <w:color w:val="000000" w:themeColor="text1"/>
          <w:szCs w:val="21"/>
        </w:rPr>
        <w:t xml:space="preserve">a </w:t>
      </w:r>
      <w:r w:rsidR="00B93DCB" w:rsidRPr="001D19E5">
        <w:rPr>
          <w:rFonts w:cs="Segoe UI"/>
          <w:color w:val="000000" w:themeColor="text1"/>
          <w:szCs w:val="21"/>
        </w:rPr>
        <w:t>change in land ownership</w:t>
      </w:r>
      <w:r w:rsidR="00157037">
        <w:rPr>
          <w:rFonts w:cs="Segoe UI"/>
          <w:color w:val="000000" w:themeColor="text1"/>
          <w:szCs w:val="21"/>
        </w:rPr>
        <w:t xml:space="preserve"> and a</w:t>
      </w:r>
      <w:r w:rsidR="00B93DCB" w:rsidRPr="001D19E5">
        <w:rPr>
          <w:rFonts w:cs="Segoe UI"/>
          <w:color w:val="000000" w:themeColor="text1"/>
          <w:szCs w:val="21"/>
        </w:rPr>
        <w:t xml:space="preserve"> change in land use</w:t>
      </w:r>
      <w:r w:rsidR="00AD6977" w:rsidRPr="001D19E5">
        <w:rPr>
          <w:rFonts w:cs="Segoe UI"/>
          <w:color w:val="000000" w:themeColor="text1"/>
          <w:szCs w:val="21"/>
        </w:rPr>
        <w:t xml:space="preserve"> (including </w:t>
      </w:r>
      <w:r w:rsidR="00EA2649" w:rsidRPr="001D19E5">
        <w:rPr>
          <w:rFonts w:cs="Segoe UI"/>
          <w:color w:val="000000" w:themeColor="text1"/>
          <w:szCs w:val="21"/>
        </w:rPr>
        <w:t>new homes in the operational zone</w:t>
      </w:r>
      <w:r w:rsidR="00B93DCB" w:rsidRPr="001D19E5">
        <w:rPr>
          <w:rFonts w:cs="Segoe UI"/>
          <w:color w:val="000000" w:themeColor="text1"/>
          <w:szCs w:val="21"/>
        </w:rPr>
        <w:t>).</w:t>
      </w:r>
    </w:p>
    <w:p w14:paraId="5AEC8632" w14:textId="2194665C" w:rsidR="00B93DCB" w:rsidRPr="001D19E5" w:rsidRDefault="00B93DCB" w:rsidP="006D52F4">
      <w:pPr>
        <w:rPr>
          <w:rFonts w:cs="Segoe UI"/>
          <w:color w:val="000000" w:themeColor="text1"/>
          <w:szCs w:val="21"/>
        </w:rPr>
      </w:pPr>
    </w:p>
    <w:p w14:paraId="69DA41C9" w14:textId="1B74FDDA" w:rsidR="00A248BD" w:rsidRDefault="00A248BD" w:rsidP="00A248BD">
      <w:pPr>
        <w:rPr>
          <w:rFonts w:cs="Segoe UI"/>
          <w:color w:val="000000" w:themeColor="text1"/>
          <w:szCs w:val="21"/>
        </w:rPr>
      </w:pPr>
      <w:r w:rsidRPr="001D19E5">
        <w:rPr>
          <w:rFonts w:cs="Segoe UI"/>
          <w:color w:val="000000" w:themeColor="text1"/>
          <w:szCs w:val="21"/>
        </w:rPr>
        <w:t>If the conditions</w:t>
      </w:r>
      <w:r w:rsidR="00157037">
        <w:rPr>
          <w:rFonts w:cs="Segoe UI"/>
          <w:color w:val="000000" w:themeColor="text1"/>
          <w:szCs w:val="21"/>
        </w:rPr>
        <w:t xml:space="preserve"> for a three-year permission</w:t>
      </w:r>
      <w:r w:rsidRPr="001D19E5">
        <w:rPr>
          <w:rFonts w:cs="Segoe UI"/>
          <w:color w:val="000000" w:themeColor="text1"/>
          <w:szCs w:val="21"/>
        </w:rPr>
        <w:t xml:space="preserve"> cannot be met, the permission should be issued only for the specific operation, up to one year from the commencement date of the operation.</w:t>
      </w:r>
      <w:r>
        <w:rPr>
          <w:rFonts w:cs="Segoe UI"/>
          <w:color w:val="000000" w:themeColor="text1"/>
          <w:szCs w:val="21"/>
        </w:rPr>
        <w:t xml:space="preserve"> </w:t>
      </w:r>
    </w:p>
    <w:p w14:paraId="10533BFD" w14:textId="677E600D" w:rsidR="007C41F4" w:rsidRDefault="006D52F4" w:rsidP="007C41F4">
      <w:pPr>
        <w:pStyle w:val="Heading4"/>
      </w:pPr>
      <w:bookmarkStart w:id="109" w:name="_Hlk93492549"/>
      <w:r w:rsidRPr="00646A2B">
        <w:t>Extending permissions</w:t>
      </w:r>
    </w:p>
    <w:p w14:paraId="07E70338" w14:textId="7637BC72" w:rsidR="006D52F4" w:rsidRPr="001D19E5" w:rsidRDefault="00010E4A" w:rsidP="00A008F9">
      <w:pPr>
        <w:rPr>
          <w:color w:val="000000" w:themeColor="text1"/>
        </w:rPr>
      </w:pPr>
      <w:r w:rsidRPr="001D19E5">
        <w:rPr>
          <w:color w:val="000000" w:themeColor="text1"/>
        </w:rPr>
        <w:t>If an operation is significantly delayed (</w:t>
      </w:r>
      <w:r w:rsidR="0033432C">
        <w:rPr>
          <w:color w:val="000000" w:themeColor="text1"/>
        </w:rPr>
        <w:t>eg</w:t>
      </w:r>
      <w:r w:rsidRPr="001D19E5">
        <w:rPr>
          <w:color w:val="000000" w:themeColor="text1"/>
        </w:rPr>
        <w:t xml:space="preserve">, because of </w:t>
      </w:r>
      <w:r w:rsidR="0033432C">
        <w:rPr>
          <w:color w:val="000000" w:themeColor="text1"/>
        </w:rPr>
        <w:t xml:space="preserve">an </w:t>
      </w:r>
      <w:r w:rsidRPr="001D19E5">
        <w:rPr>
          <w:color w:val="000000" w:themeColor="text1"/>
        </w:rPr>
        <w:t>unexpectedly long period of adverse weather), then the permission may need to be extended</w:t>
      </w:r>
      <w:r w:rsidR="008D5614" w:rsidRPr="001D19E5">
        <w:rPr>
          <w:color w:val="000000" w:themeColor="text1"/>
        </w:rPr>
        <w:t>. If an extension is longer than 12 months, or if the applicant cannot meet the criteria for an extension</w:t>
      </w:r>
      <w:r w:rsidR="00AB7C09" w:rsidRPr="001D19E5">
        <w:rPr>
          <w:color w:val="000000" w:themeColor="text1"/>
        </w:rPr>
        <w:t xml:space="preserve"> or renewal</w:t>
      </w:r>
      <w:r w:rsidR="008D5614" w:rsidRPr="001D19E5">
        <w:rPr>
          <w:color w:val="000000" w:themeColor="text1"/>
        </w:rPr>
        <w:t xml:space="preserve">, then </w:t>
      </w:r>
      <w:r w:rsidR="00AB7C09" w:rsidRPr="001D19E5">
        <w:rPr>
          <w:color w:val="000000" w:themeColor="text1"/>
        </w:rPr>
        <w:t>a new application is needed.</w:t>
      </w:r>
    </w:p>
    <w:p w14:paraId="13AC8AE2" w14:textId="77777777" w:rsidR="006D52F4" w:rsidRPr="001D19E5" w:rsidRDefault="006D52F4" w:rsidP="00A008F9">
      <w:pPr>
        <w:rPr>
          <w:rFonts w:cs="Segoe UI"/>
          <w:color w:val="000000" w:themeColor="text1"/>
          <w:szCs w:val="21"/>
        </w:rPr>
      </w:pPr>
    </w:p>
    <w:p w14:paraId="2B324270" w14:textId="23B10AE9" w:rsidR="006D52F4" w:rsidRPr="001D19E5" w:rsidRDefault="006D52F4" w:rsidP="00A008F9">
      <w:pPr>
        <w:rPr>
          <w:rFonts w:cs="Segoe UI"/>
          <w:color w:val="000000" w:themeColor="text1"/>
          <w:szCs w:val="21"/>
        </w:rPr>
      </w:pPr>
      <w:r w:rsidRPr="001D19E5">
        <w:rPr>
          <w:rFonts w:cs="Segoe UI"/>
          <w:color w:val="000000" w:themeColor="text1"/>
          <w:szCs w:val="21"/>
        </w:rPr>
        <w:t xml:space="preserve">A permission date can be extended for a maximum of 12 months from the original finish date </w:t>
      </w:r>
      <w:r w:rsidR="00D10192" w:rsidRPr="001D19E5">
        <w:rPr>
          <w:rFonts w:cs="Segoe UI"/>
          <w:color w:val="000000" w:themeColor="text1"/>
          <w:szCs w:val="21"/>
        </w:rPr>
        <w:t xml:space="preserve">if </w:t>
      </w:r>
      <w:r w:rsidR="00F97835">
        <w:rPr>
          <w:rFonts w:cs="Segoe UI"/>
          <w:color w:val="000000" w:themeColor="text1"/>
          <w:szCs w:val="21"/>
        </w:rPr>
        <w:t xml:space="preserve">the application meets </w:t>
      </w:r>
      <w:r w:rsidR="00D10192" w:rsidRPr="001D19E5">
        <w:rPr>
          <w:rFonts w:cs="Segoe UI"/>
          <w:color w:val="000000" w:themeColor="text1"/>
          <w:szCs w:val="21"/>
        </w:rPr>
        <w:t>the</w:t>
      </w:r>
      <w:r w:rsidRPr="001D19E5">
        <w:rPr>
          <w:rFonts w:cs="Segoe UI"/>
          <w:color w:val="000000" w:themeColor="text1"/>
          <w:szCs w:val="21"/>
        </w:rPr>
        <w:t xml:space="preserve"> following criteria</w:t>
      </w:r>
      <w:r w:rsidR="00F97835">
        <w:rPr>
          <w:rFonts w:cs="Segoe UI"/>
          <w:color w:val="000000" w:themeColor="text1"/>
          <w:szCs w:val="21"/>
        </w:rPr>
        <w:t>.</w:t>
      </w:r>
    </w:p>
    <w:p w14:paraId="422B8779" w14:textId="3DF54E45" w:rsidR="006D52F4" w:rsidRPr="001D19E5" w:rsidRDefault="00554100" w:rsidP="00AB0559">
      <w:pPr>
        <w:pStyle w:val="Bullet"/>
      </w:pPr>
      <w:r w:rsidRPr="001D19E5">
        <w:t>C</w:t>
      </w:r>
      <w:r w:rsidR="006D52F4" w:rsidRPr="001D19E5">
        <w:t xml:space="preserve">onsultation </w:t>
      </w:r>
      <w:r w:rsidR="00E82333" w:rsidRPr="001D19E5">
        <w:t>on</w:t>
      </w:r>
      <w:r w:rsidR="006D52F4" w:rsidRPr="001D19E5">
        <w:t xml:space="preserve"> the proposed change of dates</w:t>
      </w:r>
      <w:r w:rsidR="00F97835" w:rsidRPr="001D19E5">
        <w:t xml:space="preserve"> has occurred</w:t>
      </w:r>
      <w:r w:rsidR="00F97835">
        <w:t>.</w:t>
      </w:r>
    </w:p>
    <w:p w14:paraId="1AF8FD0F" w14:textId="51CF986F" w:rsidR="006D52F4" w:rsidRPr="001D19E5" w:rsidRDefault="00F97835" w:rsidP="00AB0559">
      <w:pPr>
        <w:pStyle w:val="Bullet"/>
      </w:pPr>
      <w:r>
        <w:t>T</w:t>
      </w:r>
      <w:r w:rsidR="006D52F4" w:rsidRPr="001D19E5">
        <w:t xml:space="preserve">he application </w:t>
      </w:r>
      <w:r>
        <w:t>makes no changes to</w:t>
      </w:r>
      <w:r w:rsidRPr="001D19E5">
        <w:t xml:space="preserve"> </w:t>
      </w:r>
      <w:r w:rsidR="006D52F4" w:rsidRPr="001D19E5">
        <w:t>the methodology, controls, conditions or operation area</w:t>
      </w:r>
      <w:r w:rsidR="00AB0559">
        <w:t>s</w:t>
      </w:r>
      <w:r w:rsidR="00554100" w:rsidRPr="001D19E5">
        <w:t>.</w:t>
      </w:r>
    </w:p>
    <w:p w14:paraId="5D10E298" w14:textId="1AC5EC4F" w:rsidR="006D52F4" w:rsidRPr="001D19E5" w:rsidRDefault="00554100" w:rsidP="00AB0559">
      <w:pPr>
        <w:pStyle w:val="Bullet"/>
      </w:pPr>
      <w:r w:rsidRPr="001D19E5">
        <w:t>N</w:t>
      </w:r>
      <w:r w:rsidR="006D52F4" w:rsidRPr="001D19E5">
        <w:t>o non-compliance</w:t>
      </w:r>
      <w:r w:rsidR="00D647E0">
        <w:t>s</w:t>
      </w:r>
      <w:r w:rsidR="006D52F4" w:rsidRPr="001D19E5">
        <w:t xml:space="preserve"> </w:t>
      </w:r>
      <w:r w:rsidR="00E82333" w:rsidRPr="001D19E5">
        <w:t xml:space="preserve">or </w:t>
      </w:r>
      <w:r w:rsidR="00D10192" w:rsidRPr="001D19E5">
        <w:t xml:space="preserve">incidents </w:t>
      </w:r>
      <w:r w:rsidR="006D52F4" w:rsidRPr="001D19E5">
        <w:t xml:space="preserve">have </w:t>
      </w:r>
      <w:r w:rsidR="00E82333" w:rsidRPr="001D19E5">
        <w:t>been identified</w:t>
      </w:r>
      <w:r w:rsidR="006D52F4" w:rsidRPr="001D19E5">
        <w:t xml:space="preserve">. </w:t>
      </w:r>
    </w:p>
    <w:p w14:paraId="688801A2" w14:textId="4B694082" w:rsidR="007C41F4" w:rsidRPr="001D19E5" w:rsidRDefault="00E82333" w:rsidP="007C41F4">
      <w:pPr>
        <w:pStyle w:val="Heading4"/>
      </w:pPr>
      <w:r w:rsidRPr="001D19E5">
        <w:t>Renewing permissions</w:t>
      </w:r>
    </w:p>
    <w:p w14:paraId="04E3963B" w14:textId="40BF4DEF" w:rsidR="009A05B2" w:rsidRPr="001D19E5" w:rsidRDefault="00001BBF" w:rsidP="00F33B83">
      <w:pPr>
        <w:rPr>
          <w:color w:val="000000" w:themeColor="text1"/>
        </w:rPr>
      </w:pPr>
      <w:r w:rsidRPr="001D19E5">
        <w:rPr>
          <w:color w:val="000000" w:themeColor="text1"/>
        </w:rPr>
        <w:t>For</w:t>
      </w:r>
      <w:r w:rsidR="00D647E0">
        <w:rPr>
          <w:color w:val="000000" w:themeColor="text1"/>
        </w:rPr>
        <w:t xml:space="preserve"> a</w:t>
      </w:r>
      <w:r w:rsidRPr="001D19E5">
        <w:rPr>
          <w:color w:val="000000" w:themeColor="text1"/>
        </w:rPr>
        <w:t xml:space="preserve"> VTA operation that routine</w:t>
      </w:r>
      <w:r w:rsidR="00D647E0">
        <w:rPr>
          <w:color w:val="000000" w:themeColor="text1"/>
        </w:rPr>
        <w:t>ly</w:t>
      </w:r>
      <w:r w:rsidRPr="001D19E5">
        <w:rPr>
          <w:color w:val="000000" w:themeColor="text1"/>
        </w:rPr>
        <w:t xml:space="preserve"> use</w:t>
      </w:r>
      <w:r w:rsidR="00D647E0">
        <w:rPr>
          <w:color w:val="000000" w:themeColor="text1"/>
        </w:rPr>
        <w:t>s</w:t>
      </w:r>
      <w:r w:rsidRPr="001D19E5">
        <w:rPr>
          <w:color w:val="000000" w:themeColor="text1"/>
        </w:rPr>
        <w:t xml:space="preserve"> a controlled substance</w:t>
      </w:r>
      <w:r w:rsidR="00D647E0">
        <w:rPr>
          <w:color w:val="000000" w:themeColor="text1"/>
        </w:rPr>
        <w:t>,</w:t>
      </w:r>
      <w:r w:rsidRPr="001D19E5">
        <w:rPr>
          <w:color w:val="000000" w:themeColor="text1"/>
        </w:rPr>
        <w:t xml:space="preserve"> a permission can be renewed if the</w:t>
      </w:r>
      <w:r w:rsidR="00D647E0">
        <w:rPr>
          <w:color w:val="000000" w:themeColor="text1"/>
        </w:rPr>
        <w:t xml:space="preserve"> operation</w:t>
      </w:r>
      <w:r w:rsidRPr="001D19E5">
        <w:rPr>
          <w:color w:val="000000" w:themeColor="text1"/>
        </w:rPr>
        <w:t xml:space="preserve"> meet</w:t>
      </w:r>
      <w:r w:rsidR="00D647E0">
        <w:rPr>
          <w:color w:val="000000" w:themeColor="text1"/>
        </w:rPr>
        <w:t>s</w:t>
      </w:r>
      <w:r w:rsidRPr="001D19E5">
        <w:rPr>
          <w:color w:val="000000" w:themeColor="text1"/>
        </w:rPr>
        <w:t xml:space="preserve"> the criteria</w:t>
      </w:r>
      <w:r w:rsidR="00FC6A8C" w:rsidRPr="001D19E5">
        <w:rPr>
          <w:color w:val="000000" w:themeColor="text1"/>
        </w:rPr>
        <w:t xml:space="preserve"> below</w:t>
      </w:r>
      <w:r w:rsidRPr="001D19E5">
        <w:rPr>
          <w:color w:val="000000" w:themeColor="text1"/>
        </w:rPr>
        <w:t>.</w:t>
      </w:r>
      <w:r w:rsidR="003D65CF" w:rsidRPr="001D19E5">
        <w:rPr>
          <w:color w:val="000000" w:themeColor="text1"/>
        </w:rPr>
        <w:t xml:space="preserve"> </w:t>
      </w:r>
      <w:r w:rsidR="00E82333" w:rsidRPr="001D19E5">
        <w:rPr>
          <w:color w:val="000000" w:themeColor="text1"/>
        </w:rPr>
        <w:t xml:space="preserve">The </w:t>
      </w:r>
      <w:r w:rsidR="003D65CF" w:rsidRPr="001D19E5">
        <w:rPr>
          <w:color w:val="000000" w:themeColor="text1"/>
        </w:rPr>
        <w:t>re</w:t>
      </w:r>
      <w:r w:rsidR="00E82333" w:rsidRPr="001D19E5">
        <w:rPr>
          <w:color w:val="000000" w:themeColor="text1"/>
        </w:rPr>
        <w:t>new</w:t>
      </w:r>
      <w:r w:rsidR="003D65CF" w:rsidRPr="001D19E5">
        <w:rPr>
          <w:color w:val="000000" w:themeColor="text1"/>
        </w:rPr>
        <w:t>ed</w:t>
      </w:r>
      <w:r w:rsidR="00E82333" w:rsidRPr="001D19E5">
        <w:rPr>
          <w:color w:val="000000" w:themeColor="text1"/>
        </w:rPr>
        <w:t xml:space="preserve"> application may be an updated version of the previous application but must demonstrate the applicant has assessed whether </w:t>
      </w:r>
      <w:r w:rsidR="00076293">
        <w:rPr>
          <w:color w:val="000000" w:themeColor="text1"/>
        </w:rPr>
        <w:t>it involves</w:t>
      </w:r>
      <w:r w:rsidR="00E82333" w:rsidRPr="001D19E5">
        <w:rPr>
          <w:color w:val="000000" w:themeColor="text1"/>
        </w:rPr>
        <w:t xml:space="preserve"> any changes that are likely to affect the public health risk. Such changes may include, for example, </w:t>
      </w:r>
      <w:r w:rsidR="003B7150">
        <w:rPr>
          <w:color w:val="000000" w:themeColor="text1"/>
        </w:rPr>
        <w:t>that the operational are</w:t>
      </w:r>
      <w:r w:rsidR="003E767A">
        <w:rPr>
          <w:color w:val="000000" w:themeColor="text1"/>
        </w:rPr>
        <w:t>a</w:t>
      </w:r>
      <w:r w:rsidR="003B7150">
        <w:rPr>
          <w:color w:val="000000" w:themeColor="text1"/>
        </w:rPr>
        <w:t xml:space="preserve"> has gained </w:t>
      </w:r>
      <w:r w:rsidR="00E82333" w:rsidRPr="001D19E5">
        <w:rPr>
          <w:color w:val="000000" w:themeColor="text1"/>
        </w:rPr>
        <w:t>new facilities such as camping grounds, homes, roads or walking</w:t>
      </w:r>
      <w:r w:rsidR="00525BB1" w:rsidRPr="001D19E5">
        <w:rPr>
          <w:color w:val="000000" w:themeColor="text1"/>
        </w:rPr>
        <w:t xml:space="preserve"> and cycling</w:t>
      </w:r>
      <w:r w:rsidR="00E82333" w:rsidRPr="001D19E5">
        <w:rPr>
          <w:color w:val="000000" w:themeColor="text1"/>
        </w:rPr>
        <w:t xml:space="preserve"> tracks</w:t>
      </w:r>
      <w:r w:rsidR="0021196C" w:rsidRPr="001D19E5">
        <w:rPr>
          <w:color w:val="000000" w:themeColor="text1"/>
        </w:rPr>
        <w:t xml:space="preserve">. </w:t>
      </w:r>
    </w:p>
    <w:p w14:paraId="6BC81A7C" w14:textId="77777777" w:rsidR="009A05B2" w:rsidRPr="001D19E5" w:rsidRDefault="009A05B2" w:rsidP="00F33B83">
      <w:pPr>
        <w:rPr>
          <w:color w:val="000000" w:themeColor="text1"/>
        </w:rPr>
      </w:pPr>
    </w:p>
    <w:p w14:paraId="14804A76" w14:textId="5E847760" w:rsidR="00E82333" w:rsidRPr="001D19E5" w:rsidRDefault="009E7136" w:rsidP="00F33B83">
      <w:pPr>
        <w:rPr>
          <w:color w:val="000000" w:themeColor="text1"/>
        </w:rPr>
      </w:pPr>
      <w:r w:rsidRPr="001D19E5">
        <w:rPr>
          <w:color w:val="000000" w:themeColor="text1"/>
        </w:rPr>
        <w:t xml:space="preserve">It is </w:t>
      </w:r>
      <w:r w:rsidR="00F82DA9" w:rsidRPr="001D19E5">
        <w:rPr>
          <w:color w:val="000000" w:themeColor="text1"/>
        </w:rPr>
        <w:t>the responsibility o</w:t>
      </w:r>
      <w:r w:rsidR="001D19E5">
        <w:rPr>
          <w:color w:val="000000" w:themeColor="text1"/>
        </w:rPr>
        <w:t>f</w:t>
      </w:r>
      <w:r w:rsidR="00F82DA9" w:rsidRPr="001D19E5">
        <w:rPr>
          <w:color w:val="000000" w:themeColor="text1"/>
        </w:rPr>
        <w:t xml:space="preserve"> the issuing officer </w:t>
      </w:r>
      <w:r w:rsidR="006D3E19" w:rsidRPr="001D19E5">
        <w:rPr>
          <w:color w:val="000000" w:themeColor="text1"/>
        </w:rPr>
        <w:t>to ensure that each</w:t>
      </w:r>
      <w:r w:rsidR="00067751" w:rsidRPr="001D19E5">
        <w:rPr>
          <w:color w:val="000000" w:themeColor="text1"/>
        </w:rPr>
        <w:t xml:space="preserve"> permission is renewed appropriately and</w:t>
      </w:r>
      <w:r w:rsidR="005D716F" w:rsidRPr="001D19E5">
        <w:rPr>
          <w:color w:val="000000" w:themeColor="text1"/>
        </w:rPr>
        <w:t xml:space="preserve"> </w:t>
      </w:r>
      <w:r w:rsidR="003B7150">
        <w:rPr>
          <w:color w:val="000000" w:themeColor="text1"/>
        </w:rPr>
        <w:t>to avoid situations where a</w:t>
      </w:r>
      <w:r w:rsidR="003B7150" w:rsidRPr="001D19E5">
        <w:rPr>
          <w:color w:val="000000" w:themeColor="text1"/>
        </w:rPr>
        <w:t xml:space="preserve"> </w:t>
      </w:r>
      <w:r w:rsidR="005D716F" w:rsidRPr="001D19E5">
        <w:rPr>
          <w:color w:val="000000" w:themeColor="text1"/>
        </w:rPr>
        <w:t xml:space="preserve">permission </w:t>
      </w:r>
      <w:r w:rsidR="003B7150">
        <w:rPr>
          <w:color w:val="000000" w:themeColor="text1"/>
        </w:rPr>
        <w:t xml:space="preserve">is </w:t>
      </w:r>
      <w:r w:rsidR="005D716F" w:rsidRPr="001D19E5">
        <w:rPr>
          <w:color w:val="000000" w:themeColor="text1"/>
        </w:rPr>
        <w:t xml:space="preserve">renewed year after year when a </w:t>
      </w:r>
      <w:r w:rsidR="009017B5" w:rsidRPr="001D19E5">
        <w:rPr>
          <w:color w:val="000000" w:themeColor="text1"/>
        </w:rPr>
        <w:t>three-year</w:t>
      </w:r>
      <w:r w:rsidR="005D716F" w:rsidRPr="001D19E5">
        <w:rPr>
          <w:color w:val="000000" w:themeColor="text1"/>
        </w:rPr>
        <w:t xml:space="preserve"> permission </w:t>
      </w:r>
      <w:r w:rsidR="003B7150">
        <w:rPr>
          <w:color w:val="000000" w:themeColor="text1"/>
        </w:rPr>
        <w:t>is</w:t>
      </w:r>
      <w:r w:rsidR="005D716F" w:rsidRPr="001D19E5">
        <w:rPr>
          <w:color w:val="000000" w:themeColor="text1"/>
        </w:rPr>
        <w:t xml:space="preserve"> more appropriate.</w:t>
      </w:r>
    </w:p>
    <w:p w14:paraId="129BAA88" w14:textId="77777777" w:rsidR="00E82333" w:rsidRPr="001D19E5" w:rsidRDefault="00E82333" w:rsidP="00F33B83">
      <w:pPr>
        <w:rPr>
          <w:color w:val="000000" w:themeColor="text1"/>
        </w:rPr>
      </w:pPr>
    </w:p>
    <w:p w14:paraId="3E89624A" w14:textId="57011E9A" w:rsidR="00F33B83" w:rsidRPr="001D19E5" w:rsidRDefault="00840844" w:rsidP="00F33B83">
      <w:pPr>
        <w:rPr>
          <w:color w:val="000000" w:themeColor="text1"/>
        </w:rPr>
      </w:pPr>
      <w:r w:rsidRPr="001D19E5">
        <w:rPr>
          <w:color w:val="000000" w:themeColor="text1"/>
        </w:rPr>
        <w:t>T</w:t>
      </w:r>
      <w:r w:rsidR="00E82333" w:rsidRPr="001D19E5">
        <w:rPr>
          <w:color w:val="000000" w:themeColor="text1"/>
        </w:rPr>
        <w:t xml:space="preserve">he risk assessment should focus on </w:t>
      </w:r>
      <w:r w:rsidR="00197353" w:rsidRPr="001D19E5">
        <w:rPr>
          <w:color w:val="000000" w:themeColor="text1"/>
        </w:rPr>
        <w:t xml:space="preserve">any </w:t>
      </w:r>
      <w:r w:rsidR="00E82333" w:rsidRPr="001D19E5">
        <w:rPr>
          <w:color w:val="000000" w:themeColor="text1"/>
        </w:rPr>
        <w:t xml:space="preserve">changes to the risk profile and management of any risks identified in earlier operations. The permission should include relevant conditions, based on the previous permission and updated to reflect the </w:t>
      </w:r>
      <w:r w:rsidR="00197353" w:rsidRPr="001D19E5">
        <w:rPr>
          <w:color w:val="000000" w:themeColor="text1"/>
        </w:rPr>
        <w:t xml:space="preserve">new </w:t>
      </w:r>
      <w:r w:rsidR="00E82333" w:rsidRPr="001D19E5">
        <w:rPr>
          <w:color w:val="000000" w:themeColor="text1"/>
        </w:rPr>
        <w:t>risk assessment.</w:t>
      </w:r>
    </w:p>
    <w:p w14:paraId="0898DDCA" w14:textId="77777777" w:rsidR="00001BBF" w:rsidRPr="001D19E5" w:rsidRDefault="00001BBF" w:rsidP="00001BBF">
      <w:pPr>
        <w:rPr>
          <w:rFonts w:cs="Segoe UI"/>
          <w:color w:val="000000" w:themeColor="text1"/>
          <w:szCs w:val="21"/>
        </w:rPr>
      </w:pPr>
    </w:p>
    <w:p w14:paraId="77E5BBAB" w14:textId="1AE47CD0" w:rsidR="00001BBF" w:rsidRPr="001D19E5" w:rsidRDefault="00001BBF" w:rsidP="00001BBF">
      <w:pPr>
        <w:rPr>
          <w:rFonts w:cs="Segoe UI"/>
          <w:color w:val="000000" w:themeColor="text1"/>
          <w:szCs w:val="21"/>
        </w:rPr>
      </w:pPr>
      <w:r w:rsidRPr="001D19E5">
        <w:rPr>
          <w:rFonts w:cs="Segoe UI"/>
          <w:color w:val="000000" w:themeColor="text1"/>
          <w:szCs w:val="21"/>
        </w:rPr>
        <w:t xml:space="preserve">A permission can </w:t>
      </w:r>
      <w:r w:rsidR="003D65CF" w:rsidRPr="001D19E5">
        <w:rPr>
          <w:rFonts w:cs="Segoe UI"/>
          <w:color w:val="000000" w:themeColor="text1"/>
          <w:szCs w:val="21"/>
        </w:rPr>
        <w:t xml:space="preserve">be </w:t>
      </w:r>
      <w:r w:rsidRPr="001D19E5">
        <w:rPr>
          <w:rFonts w:cs="Segoe UI"/>
          <w:color w:val="000000" w:themeColor="text1"/>
          <w:szCs w:val="21"/>
        </w:rPr>
        <w:t xml:space="preserve">renewed for a maximum of </w:t>
      </w:r>
      <w:r w:rsidR="009017B5" w:rsidRPr="001D19E5">
        <w:rPr>
          <w:rFonts w:cs="Segoe UI"/>
          <w:color w:val="000000" w:themeColor="text1"/>
          <w:szCs w:val="21"/>
        </w:rPr>
        <w:t xml:space="preserve">three </w:t>
      </w:r>
      <w:r w:rsidR="00646A2B" w:rsidRPr="001D19E5">
        <w:rPr>
          <w:rFonts w:cs="Segoe UI"/>
          <w:color w:val="000000" w:themeColor="text1"/>
          <w:szCs w:val="21"/>
        </w:rPr>
        <w:t>years</w:t>
      </w:r>
      <w:r w:rsidRPr="001D19E5">
        <w:rPr>
          <w:rFonts w:cs="Segoe UI"/>
          <w:color w:val="000000" w:themeColor="text1"/>
          <w:szCs w:val="21"/>
        </w:rPr>
        <w:t xml:space="preserve"> from the original finish </w:t>
      </w:r>
      <w:r w:rsidR="00525BB1" w:rsidRPr="001D19E5">
        <w:rPr>
          <w:rFonts w:cs="Segoe UI"/>
          <w:color w:val="000000" w:themeColor="text1"/>
          <w:szCs w:val="21"/>
        </w:rPr>
        <w:t>date if</w:t>
      </w:r>
      <w:r w:rsidR="00B764E2">
        <w:rPr>
          <w:rFonts w:cs="Segoe UI"/>
          <w:color w:val="000000" w:themeColor="text1"/>
          <w:szCs w:val="21"/>
        </w:rPr>
        <w:t xml:space="preserve"> the application meets</w:t>
      </w:r>
      <w:r w:rsidRPr="001D19E5">
        <w:rPr>
          <w:rFonts w:cs="Segoe UI"/>
          <w:color w:val="000000" w:themeColor="text1"/>
          <w:szCs w:val="21"/>
        </w:rPr>
        <w:t xml:space="preserve"> the following criteria</w:t>
      </w:r>
      <w:r w:rsidR="00E459EA" w:rsidRPr="001D19E5">
        <w:rPr>
          <w:rFonts w:cs="Segoe UI"/>
          <w:color w:val="000000" w:themeColor="text1"/>
          <w:szCs w:val="21"/>
        </w:rPr>
        <w:t>.</w:t>
      </w:r>
      <w:r w:rsidRPr="001D19E5">
        <w:rPr>
          <w:rFonts w:cs="Segoe UI"/>
          <w:color w:val="000000" w:themeColor="text1"/>
          <w:szCs w:val="21"/>
        </w:rPr>
        <w:t xml:space="preserve"> </w:t>
      </w:r>
    </w:p>
    <w:p w14:paraId="435D8AAE" w14:textId="4A94F05C" w:rsidR="00001BBF" w:rsidRPr="001D19E5" w:rsidRDefault="00E459EA" w:rsidP="0093352E">
      <w:pPr>
        <w:pStyle w:val="Bullet"/>
      </w:pPr>
      <w:r w:rsidRPr="001D19E5">
        <w:t>C</w:t>
      </w:r>
      <w:r w:rsidR="00001BBF" w:rsidRPr="001D19E5">
        <w:t>onsultation on the proposed change of dates</w:t>
      </w:r>
      <w:r w:rsidR="00AD342E" w:rsidRPr="001D19E5">
        <w:t xml:space="preserve"> has occurred</w:t>
      </w:r>
      <w:r w:rsidRPr="001D19E5">
        <w:t>.</w:t>
      </w:r>
    </w:p>
    <w:p w14:paraId="769DFCEA" w14:textId="3E1DE131" w:rsidR="00001BBF" w:rsidRPr="001D19E5" w:rsidRDefault="00AD342E" w:rsidP="0093352E">
      <w:pPr>
        <w:pStyle w:val="Bullet"/>
      </w:pPr>
      <w:r>
        <w:t>T</w:t>
      </w:r>
      <w:r w:rsidR="00001BBF" w:rsidRPr="001D19E5">
        <w:t xml:space="preserve">he application </w:t>
      </w:r>
      <w:r>
        <w:t xml:space="preserve">makes no changes to </w:t>
      </w:r>
      <w:r w:rsidR="00001BBF" w:rsidRPr="001D19E5">
        <w:t>the methodology, controls, conditions or operation areas</w:t>
      </w:r>
      <w:r w:rsidR="00E459EA" w:rsidRPr="001D19E5">
        <w:t>.</w:t>
      </w:r>
    </w:p>
    <w:p w14:paraId="25FC96B1" w14:textId="602FFF02" w:rsidR="00001BBF" w:rsidRPr="001D19E5" w:rsidRDefault="00E459EA" w:rsidP="0093352E">
      <w:pPr>
        <w:pStyle w:val="Bullet"/>
      </w:pPr>
      <w:r w:rsidRPr="001D19E5">
        <w:t>N</w:t>
      </w:r>
      <w:r w:rsidR="00001BBF" w:rsidRPr="001D19E5">
        <w:t>o non-compliance</w:t>
      </w:r>
      <w:r w:rsidR="00B764E2">
        <w:t>s</w:t>
      </w:r>
      <w:r w:rsidR="00001BBF" w:rsidRPr="001D19E5">
        <w:t xml:space="preserve"> </w:t>
      </w:r>
      <w:r w:rsidR="00525BB1" w:rsidRPr="001D19E5">
        <w:t>or incidents</w:t>
      </w:r>
      <w:r w:rsidR="00001BBF" w:rsidRPr="001D19E5">
        <w:t xml:space="preserve"> have been identified.</w:t>
      </w:r>
    </w:p>
    <w:bookmarkEnd w:id="109"/>
    <w:p w14:paraId="2E84CF9A" w14:textId="51D1044B" w:rsidR="00010E4A" w:rsidRPr="00001CDC" w:rsidRDefault="00010E4A" w:rsidP="007C41F4">
      <w:pPr>
        <w:pStyle w:val="Heading4"/>
      </w:pPr>
      <w:r w:rsidRPr="000B3723">
        <w:t>Revoking</w:t>
      </w:r>
      <w:r w:rsidR="003D65CF" w:rsidRPr="000B3723">
        <w:t xml:space="preserve"> and amending</w:t>
      </w:r>
      <w:r w:rsidRPr="000B3723">
        <w:t xml:space="preserve"> permission</w:t>
      </w:r>
      <w:r w:rsidR="00E82333" w:rsidRPr="000B3723">
        <w:t>s</w:t>
      </w:r>
    </w:p>
    <w:p w14:paraId="683C0DE6" w14:textId="30E198BB" w:rsidR="00AD342E" w:rsidRDefault="00010E4A" w:rsidP="00010E4A">
      <w:r w:rsidRPr="00001CDC">
        <w:t>A permission may be revoked if the public health risk is not adequately managed</w:t>
      </w:r>
      <w:r w:rsidR="00AD342E">
        <w:t>. This</w:t>
      </w:r>
      <w:r w:rsidRPr="00001CDC">
        <w:t xml:space="preserve"> includ</w:t>
      </w:r>
      <w:r w:rsidR="00AD342E">
        <w:t>es</w:t>
      </w:r>
      <w:r w:rsidRPr="00001CDC">
        <w:t xml:space="preserve"> situations </w:t>
      </w:r>
      <w:r w:rsidR="00AD342E">
        <w:t xml:space="preserve">where </w:t>
      </w:r>
      <w:r w:rsidRPr="00001CDC">
        <w:t>the operator does not abide by the conditions of the permission, or when there is a need to review the decision on permission conditions.</w:t>
      </w:r>
      <w:r w:rsidR="003D65CF">
        <w:t xml:space="preserve"> Similarly, a permission can be amended to have additional conditions applied.</w:t>
      </w:r>
    </w:p>
    <w:p w14:paraId="62D20230" w14:textId="77777777" w:rsidR="00AD342E" w:rsidRDefault="00AD342E" w:rsidP="00010E4A"/>
    <w:p w14:paraId="381D09B5" w14:textId="7B38E43E" w:rsidR="00010E4A" w:rsidRPr="00001CDC" w:rsidRDefault="003D65CF" w:rsidP="00010E4A">
      <w:r>
        <w:t>In both cases</w:t>
      </w:r>
      <w:r w:rsidR="00AD342E">
        <w:t>,</w:t>
      </w:r>
      <w:r>
        <w:t xml:space="preserve"> </w:t>
      </w:r>
      <w:r w:rsidR="00AD342E">
        <w:t xml:space="preserve">notify </w:t>
      </w:r>
      <w:r>
        <w:t xml:space="preserve">the EPA </w:t>
      </w:r>
      <w:r w:rsidR="00AD342E">
        <w:t xml:space="preserve">by emailing </w:t>
      </w:r>
      <w:hyperlink r:id="rId47" w:history="1">
        <w:r w:rsidR="000E039F" w:rsidRPr="000E039F">
          <w:rPr>
            <w:rStyle w:val="Hyperlink"/>
          </w:rPr>
          <w:t>permissions@epa.govt.nz</w:t>
        </w:r>
      </w:hyperlink>
      <w:r w:rsidR="00E459EA">
        <w:t>.</w:t>
      </w:r>
    </w:p>
    <w:p w14:paraId="5B2E2DC6" w14:textId="2679C98B" w:rsidR="00001CDC" w:rsidRPr="00001CDC" w:rsidRDefault="00001CDC" w:rsidP="007C41F4">
      <w:pPr>
        <w:pStyle w:val="Heading4"/>
      </w:pPr>
      <w:r w:rsidRPr="00001CDC">
        <w:t>Register</w:t>
      </w:r>
      <w:r w:rsidR="00E82333">
        <w:t>ing</w:t>
      </w:r>
      <w:r w:rsidRPr="00001CDC">
        <w:t xml:space="preserve"> permissions</w:t>
      </w:r>
    </w:p>
    <w:p w14:paraId="00B0C54A" w14:textId="77777777" w:rsidR="00AD342E" w:rsidRDefault="00001CDC" w:rsidP="00001CDC">
      <w:r w:rsidRPr="00001CDC">
        <w:t xml:space="preserve">The EPA maintains a register of permissions issued for VTAs and other hazardous substances, as required under section 20 of the HSNO Act. </w:t>
      </w:r>
    </w:p>
    <w:p w14:paraId="0401D290" w14:textId="77777777" w:rsidR="00AD342E" w:rsidRDefault="00AD342E" w:rsidP="00001CDC"/>
    <w:p w14:paraId="159EF793" w14:textId="1BD8275B" w:rsidR="00001CDC" w:rsidRPr="00001CDC" w:rsidRDefault="00AD342E" w:rsidP="00001CDC">
      <w:r>
        <w:t>Email c</w:t>
      </w:r>
      <w:r w:rsidR="00001CDC" w:rsidRPr="00001CDC">
        <w:t xml:space="preserve">opies of permissions to </w:t>
      </w:r>
      <w:hyperlink r:id="rId48" w:history="1">
        <w:r w:rsidR="003B0B82" w:rsidRPr="00376065">
          <w:rPr>
            <w:rStyle w:val="Hyperlink"/>
          </w:rPr>
          <w:t>permissions@epa.govt.nz</w:t>
        </w:r>
      </w:hyperlink>
      <w:r w:rsidR="00001CDC" w:rsidRPr="00001CDC">
        <w:t xml:space="preserve">. </w:t>
      </w:r>
    </w:p>
    <w:p w14:paraId="3D0ED05C" w14:textId="7A5738FE" w:rsidR="00001CDC" w:rsidRPr="00001CDC" w:rsidRDefault="00001CDC" w:rsidP="00001CDC">
      <w:r w:rsidRPr="00001CDC">
        <w:t xml:space="preserve">Documents with scanned signatures are acceptable. </w:t>
      </w:r>
      <w:r w:rsidR="00CF7716">
        <w:t>Send o</w:t>
      </w:r>
      <w:r w:rsidRPr="00001CDC">
        <w:t>ne permission per email with the permission documents attached (cover page, Schedule 1, Schedule 2 and Schedule 3). If the maps are not embedded in the permission documents, send them as JPEGs, TIFFs, GIFs, BMPs or PDFs.</w:t>
      </w:r>
    </w:p>
    <w:p w14:paraId="7C5C308F" w14:textId="77777777" w:rsidR="00001CDC" w:rsidRPr="00001CDC" w:rsidRDefault="00001CDC" w:rsidP="00001CDC"/>
    <w:p w14:paraId="77BFE7AA" w14:textId="28FB0A3B" w:rsidR="00001CDC" w:rsidRPr="00001CDC" w:rsidRDefault="00CF7716" w:rsidP="00001CDC">
      <w:r>
        <w:t xml:space="preserve">It is </w:t>
      </w:r>
      <w:r w:rsidRPr="0093352E">
        <w:rPr>
          <w:b/>
          <w:bCs/>
        </w:rPr>
        <w:t>not</w:t>
      </w:r>
      <w:r>
        <w:t xml:space="preserve"> necessary to send a</w:t>
      </w:r>
      <w:r w:rsidR="00001CDC" w:rsidRPr="00001CDC">
        <w:t xml:space="preserve"> copy of the application form.</w:t>
      </w:r>
    </w:p>
    <w:p w14:paraId="1712D897" w14:textId="77777777" w:rsidR="00486C49" w:rsidRPr="00003A4A" w:rsidRDefault="00486C49" w:rsidP="00486C49">
      <w:pPr>
        <w:pStyle w:val="Heading2"/>
      </w:pPr>
      <w:bookmarkStart w:id="110" w:name="_Toc109793295"/>
      <w:r w:rsidRPr="00003A4A">
        <w:t>Manag</w:t>
      </w:r>
      <w:r>
        <w:t xml:space="preserve">ing </w:t>
      </w:r>
      <w:r w:rsidRPr="00003A4A">
        <w:t xml:space="preserve">enquiries </w:t>
      </w:r>
      <w:r>
        <w:t>and complaints</w:t>
      </w:r>
      <w:bookmarkEnd w:id="110"/>
    </w:p>
    <w:p w14:paraId="490BE774" w14:textId="1F960DCE" w:rsidR="00486C49" w:rsidRDefault="00486C49" w:rsidP="00486C49">
      <w:bookmarkStart w:id="111" w:name="_Toc246225372"/>
      <w:bookmarkStart w:id="112" w:name="_Toc252830396"/>
      <w:bookmarkStart w:id="113" w:name="_Toc254615775"/>
      <w:bookmarkStart w:id="114" w:name="_Toc254616213"/>
      <w:bookmarkStart w:id="115" w:name="_Toc255821141"/>
      <w:bookmarkStart w:id="116" w:name="_Toc258328458"/>
      <w:r>
        <w:t xml:space="preserve">A number of local, regional and national agencies are involved in VTA and other hazardous substance operations and management, including local and regional authorities and national government agencies. When members of the public make enquiries or report concerns or complaints about </w:t>
      </w:r>
      <w:r w:rsidR="007C6417">
        <w:t xml:space="preserve">the use of </w:t>
      </w:r>
      <w:r>
        <w:t>hazardous substance</w:t>
      </w:r>
      <w:r w:rsidR="007C6417">
        <w:t>s,</w:t>
      </w:r>
      <w:r>
        <w:t xml:space="preserve"> it is important </w:t>
      </w:r>
      <w:r w:rsidR="00EB3390">
        <w:t>to initiate</w:t>
      </w:r>
      <w:r>
        <w:t xml:space="preserve"> relevant inter-agency liaison. The location and situation of the incident being investigated will determine who the lead agency will be. </w:t>
      </w:r>
    </w:p>
    <w:p w14:paraId="68BB3BBC" w14:textId="77777777" w:rsidR="00486C49" w:rsidRDefault="00486C49" w:rsidP="00486C49"/>
    <w:p w14:paraId="71EF7908" w14:textId="5A9C6C47" w:rsidR="00486C49" w:rsidRDefault="00486C49" w:rsidP="00486C49">
      <w:pPr>
        <w:rPr>
          <w:rFonts w:eastAsiaTheme="minorHAnsi"/>
        </w:rPr>
      </w:pPr>
      <w:r>
        <w:t xml:space="preserve">VTA and other hazardous substance operations, in particular aerial applications of 1080, are often the subject of enquiries and requests under the Official Information Act 1982. Such enquiries can include complaints or reports of incidents, or queries </w:t>
      </w:r>
      <w:r w:rsidR="00EB3390">
        <w:t>about</w:t>
      </w:r>
      <w:r>
        <w:t xml:space="preserve"> the scope, type and risks of operations.</w:t>
      </w:r>
    </w:p>
    <w:p w14:paraId="0B030AAA" w14:textId="376F092F" w:rsidR="00486C49" w:rsidRPr="00385B83" w:rsidRDefault="007C6417" w:rsidP="00486C49">
      <w:pPr>
        <w:pStyle w:val="Heading3"/>
        <w:rPr>
          <w:rFonts w:cs="Arial"/>
          <w:color w:val="000000" w:themeColor="text1"/>
        </w:rPr>
      </w:pPr>
      <w:bookmarkStart w:id="117" w:name="_Toc246225373"/>
      <w:bookmarkStart w:id="118" w:name="_Toc252830397"/>
      <w:bookmarkStart w:id="119" w:name="_Toc254615776"/>
      <w:bookmarkStart w:id="120" w:name="_Toc254616214"/>
      <w:bookmarkStart w:id="121" w:name="_Toc255821142"/>
      <w:bookmarkStart w:id="122" w:name="_Toc258328459"/>
      <w:bookmarkEnd w:id="111"/>
      <w:bookmarkEnd w:id="112"/>
      <w:bookmarkEnd w:id="113"/>
      <w:bookmarkEnd w:id="114"/>
      <w:bookmarkEnd w:id="115"/>
      <w:bookmarkEnd w:id="116"/>
      <w:r>
        <w:t>N</w:t>
      </w:r>
      <w:r w:rsidR="00486C49" w:rsidRPr="00003A4A">
        <w:t xml:space="preserve">otifying </w:t>
      </w:r>
      <w:r>
        <w:t>a</w:t>
      </w:r>
      <w:r w:rsidR="00486C49" w:rsidRPr="00003A4A">
        <w:t xml:space="preserve"> complaint</w:t>
      </w:r>
      <w:r>
        <w:t xml:space="preserve"> or </w:t>
      </w:r>
      <w:r w:rsidR="00486C49" w:rsidRPr="00003A4A">
        <w:t>incident</w:t>
      </w:r>
      <w:bookmarkEnd w:id="117"/>
      <w:bookmarkEnd w:id="118"/>
      <w:bookmarkEnd w:id="119"/>
      <w:bookmarkEnd w:id="120"/>
      <w:bookmarkEnd w:id="121"/>
      <w:bookmarkEnd w:id="122"/>
    </w:p>
    <w:p w14:paraId="0EBCDED2" w14:textId="3DF2D4D5" w:rsidR="00486C49" w:rsidRPr="00385B83" w:rsidRDefault="00486C49" w:rsidP="00486C49">
      <w:r w:rsidRPr="00385B83">
        <w:t xml:space="preserve">Permit </w:t>
      </w:r>
      <w:r>
        <w:t>c</w:t>
      </w:r>
      <w:r w:rsidRPr="00385B83">
        <w:t>ondition</w:t>
      </w:r>
      <w:r>
        <w:t xml:space="preserve">s </w:t>
      </w:r>
      <w:r w:rsidRPr="00385B83">
        <w:t xml:space="preserve">require operators </w:t>
      </w:r>
      <w:r>
        <w:t xml:space="preserve">to </w:t>
      </w:r>
      <w:r w:rsidRPr="00385B83">
        <w:t xml:space="preserve">report any complaint or incident to the identified contact person within 24 hours of the incident or of </w:t>
      </w:r>
      <w:r w:rsidR="00C91D61">
        <w:t xml:space="preserve">receiving </w:t>
      </w:r>
      <w:r w:rsidRPr="00385B83">
        <w:t>the complaint.</w:t>
      </w:r>
    </w:p>
    <w:p w14:paraId="7EBCE791" w14:textId="77777777" w:rsidR="00486C49" w:rsidRPr="00385B83" w:rsidRDefault="00486C49" w:rsidP="00486C49"/>
    <w:p w14:paraId="300C983E" w14:textId="342B0D62" w:rsidR="00486C49" w:rsidRDefault="00486C49" w:rsidP="00486C49">
      <w:r w:rsidRPr="00385B83">
        <w:t xml:space="preserve">When </w:t>
      </w:r>
      <w:r w:rsidR="00073CD6">
        <w:t xml:space="preserve">the contact person receives </w:t>
      </w:r>
      <w:r w:rsidRPr="00385B83">
        <w:t>a complaint or notice of an incident involving VTAs or other hazardous substances,</w:t>
      </w:r>
      <w:r w:rsidR="00073CD6">
        <w:t xml:space="preserve"> they must record</w:t>
      </w:r>
      <w:r w:rsidRPr="00385B83">
        <w:t xml:space="preserve"> the details of the complaint, regardless of whether any further action is taken. </w:t>
      </w:r>
    </w:p>
    <w:p w14:paraId="6E395205" w14:textId="4BCBAFC9" w:rsidR="00486C49" w:rsidRPr="00003A4A" w:rsidRDefault="007C6417" w:rsidP="00486C49">
      <w:pPr>
        <w:pStyle w:val="Heading3"/>
      </w:pPr>
      <w:r>
        <w:t>Assessing whether it is a</w:t>
      </w:r>
      <w:r w:rsidR="00486C49" w:rsidRPr="00003A4A">
        <w:t xml:space="preserve"> public health issue</w:t>
      </w:r>
    </w:p>
    <w:p w14:paraId="280C7F4E" w14:textId="77777777" w:rsidR="00486C49" w:rsidRPr="00D22029" w:rsidRDefault="00486C49" w:rsidP="00486C49">
      <w:r w:rsidRPr="00D22029">
        <w:t>The Ministry of Health is responsible for ensuring that the provisions of the HSNO Act are enforced where it is necessary to protect public health.</w:t>
      </w:r>
    </w:p>
    <w:p w14:paraId="027CA5FC" w14:textId="6B0625A0" w:rsidR="00486C49" w:rsidRPr="00D22029" w:rsidRDefault="00486C49" w:rsidP="00486C49"/>
    <w:p w14:paraId="02F87570" w14:textId="64EC4C82" w:rsidR="00486C49" w:rsidRPr="00D22029" w:rsidRDefault="00486C49" w:rsidP="00486C49">
      <w:pPr>
        <w:rPr>
          <w:color w:val="000000" w:themeColor="text1"/>
        </w:rPr>
      </w:pPr>
      <w:r w:rsidRPr="00D22029">
        <w:rPr>
          <w:i/>
          <w:iCs/>
          <w:color w:val="000000" w:themeColor="text1"/>
        </w:rPr>
        <w:t>The Investigation and Surveillance of Poisonings and Hazardous</w:t>
      </w:r>
      <w:r w:rsidR="00B32F95">
        <w:rPr>
          <w:i/>
          <w:iCs/>
          <w:color w:val="000000" w:themeColor="text1"/>
        </w:rPr>
        <w:t>-s</w:t>
      </w:r>
      <w:r w:rsidRPr="00D22029">
        <w:rPr>
          <w:i/>
          <w:iCs/>
          <w:color w:val="000000" w:themeColor="text1"/>
        </w:rPr>
        <w:t>ubstance Injuries: Guidelines for public health units</w:t>
      </w:r>
      <w:r w:rsidRPr="00D22029">
        <w:rPr>
          <w:color w:val="000000" w:themeColor="text1"/>
        </w:rPr>
        <w:t xml:space="preserve"> (Ministry of Health 2019) and </w:t>
      </w:r>
      <w:r w:rsidRPr="00D22029">
        <w:rPr>
          <w:i/>
          <w:iCs/>
          <w:color w:val="000000" w:themeColor="text1"/>
        </w:rPr>
        <w:t>The Investigation and Surveillance of Agrichemical Spraydrift Incidents: Guidelines for public health units</w:t>
      </w:r>
      <w:r w:rsidRPr="00D22029">
        <w:rPr>
          <w:color w:val="000000" w:themeColor="text1"/>
        </w:rPr>
        <w:t xml:space="preserve"> (Ministry of Health 2007) provide comprehensive advice on how to investigate notifications of hazardous</w:t>
      </w:r>
      <w:r w:rsidR="00B32F95">
        <w:rPr>
          <w:color w:val="000000" w:themeColor="text1"/>
        </w:rPr>
        <w:t>-</w:t>
      </w:r>
      <w:r w:rsidRPr="00D22029">
        <w:rPr>
          <w:color w:val="000000" w:themeColor="text1"/>
        </w:rPr>
        <w:t>substance injuries and potential exposures to off-target applications, including details on the use of Graded Response Protocols.</w:t>
      </w:r>
    </w:p>
    <w:p w14:paraId="10BE08B5" w14:textId="77777777" w:rsidR="00486C49" w:rsidRPr="00D22029" w:rsidRDefault="00486C49" w:rsidP="00486C49"/>
    <w:p w14:paraId="6560C903" w14:textId="39C02C16" w:rsidR="00486C49" w:rsidRPr="00D22029" w:rsidRDefault="00486C49" w:rsidP="00486C49">
      <w:r w:rsidRPr="00D22029">
        <w:t xml:space="preserve">If the complaint relates to a public exposure and is </w:t>
      </w:r>
      <w:r w:rsidR="007C41F4" w:rsidRPr="00D22029">
        <w:t>legitimate</w:t>
      </w:r>
      <w:r w:rsidRPr="00D22029">
        <w:t xml:space="preserve">, an investigation should determine </w:t>
      </w:r>
      <w:r w:rsidR="00197353" w:rsidRPr="00D22029">
        <w:t xml:space="preserve">if the operator has breached permit conditions and </w:t>
      </w:r>
      <w:r w:rsidRPr="00D22029">
        <w:t>if any further action is warranted</w:t>
      </w:r>
      <w:r w:rsidR="00197353" w:rsidRPr="00D22029">
        <w:t>.</w:t>
      </w:r>
      <w:r w:rsidRPr="00D22029">
        <w:t xml:space="preserve"> </w:t>
      </w:r>
    </w:p>
    <w:p w14:paraId="44AA5F66" w14:textId="77777777" w:rsidR="000C0740" w:rsidRPr="00D22029" w:rsidRDefault="000C0740" w:rsidP="000C0740">
      <w:pPr>
        <w:pStyle w:val="Heading3"/>
      </w:pPr>
      <w:r w:rsidRPr="00D22029">
        <w:t>Auditing permissions</w:t>
      </w:r>
    </w:p>
    <w:p w14:paraId="571A9C14" w14:textId="583FF629" w:rsidR="000C0740" w:rsidRPr="00D22029" w:rsidRDefault="000C0740" w:rsidP="000C0740">
      <w:r w:rsidRPr="00D22029">
        <w:t xml:space="preserve">When a complaint or notice of an incident involving VTAs or other hazardous substances is </w:t>
      </w:r>
      <w:r w:rsidR="009B7584">
        <w:t>validated</w:t>
      </w:r>
      <w:r w:rsidRPr="00D22029">
        <w:t xml:space="preserve">, an audit of the operation may be undertaken. Audits are intended to verify that the applicant has complied with conditions in the permission. </w:t>
      </w:r>
    </w:p>
    <w:p w14:paraId="32E284CE" w14:textId="77777777" w:rsidR="000C0740" w:rsidRPr="00D22029" w:rsidRDefault="000C0740" w:rsidP="000C0740"/>
    <w:p w14:paraId="370DAF00" w14:textId="28D3620E" w:rsidR="000C0740" w:rsidRPr="00001CDC" w:rsidRDefault="000C0740" w:rsidP="000C0740">
      <w:pPr>
        <w:rPr>
          <w:rFonts w:cs="Arial"/>
        </w:rPr>
      </w:pPr>
      <w:r w:rsidRPr="00D22029">
        <w:rPr>
          <w:rFonts w:cs="Arial"/>
        </w:rPr>
        <w:t>The balance between desktop and field audits will be determined by the public health</w:t>
      </w:r>
      <w:r w:rsidRPr="00001CDC">
        <w:rPr>
          <w:rFonts w:cs="Arial"/>
        </w:rPr>
        <w:t xml:space="preserve"> risk and </w:t>
      </w:r>
      <w:r w:rsidR="0059028B">
        <w:rPr>
          <w:rFonts w:cs="Arial"/>
        </w:rPr>
        <w:t xml:space="preserve">the level of </w:t>
      </w:r>
      <w:r w:rsidRPr="00001CDC">
        <w:rPr>
          <w:rFonts w:cs="Arial"/>
        </w:rPr>
        <w:t xml:space="preserve">confidence in the applicant. </w:t>
      </w:r>
    </w:p>
    <w:p w14:paraId="22FF5683" w14:textId="77777777" w:rsidR="000C0740" w:rsidRPr="00001CDC" w:rsidRDefault="000C0740" w:rsidP="000C0740">
      <w:pPr>
        <w:rPr>
          <w:rFonts w:cs="Arial"/>
        </w:rPr>
      </w:pPr>
    </w:p>
    <w:p w14:paraId="38A6AC51" w14:textId="506580C9" w:rsidR="000C0740" w:rsidRPr="00001CDC" w:rsidRDefault="000C0740" w:rsidP="000C0740">
      <w:pPr>
        <w:rPr>
          <w:rFonts w:cs="Arial"/>
        </w:rPr>
      </w:pPr>
      <w:r w:rsidRPr="00001CDC">
        <w:rPr>
          <w:rFonts w:cs="Arial"/>
        </w:rPr>
        <w:t xml:space="preserve">Field audits involve physically visiting the site of operation and inspecting the operator’s procedures in the field to check compliance with some selected conditions in the permission. In deciding how many and which operations to audit in the field, </w:t>
      </w:r>
      <w:r>
        <w:rPr>
          <w:rFonts w:cs="Arial"/>
        </w:rPr>
        <w:t xml:space="preserve">consider the </w:t>
      </w:r>
      <w:r w:rsidRPr="00001CDC">
        <w:rPr>
          <w:rFonts w:cs="Arial"/>
        </w:rPr>
        <w:t>hazards and risks involved, the complexity of the operation, the experience of the operator(s) and the practicality of carrying out an audit. For example, there would be limited benefit in conducting a field audit of an aerial operation carried out in isolated back country involving few or no public tracks.</w:t>
      </w:r>
    </w:p>
    <w:p w14:paraId="6D2D7943" w14:textId="77777777" w:rsidR="000C0740" w:rsidRPr="00001CDC" w:rsidRDefault="000C0740" w:rsidP="000C0740">
      <w:pPr>
        <w:rPr>
          <w:rFonts w:cs="Arial"/>
        </w:rPr>
      </w:pPr>
    </w:p>
    <w:p w14:paraId="401221DE" w14:textId="77777777" w:rsidR="000C0740" w:rsidRDefault="000C0740" w:rsidP="000C0740">
      <w:pPr>
        <w:rPr>
          <w:rFonts w:cs="Arial"/>
        </w:rPr>
      </w:pPr>
      <w:r w:rsidRPr="00001CDC">
        <w:rPr>
          <w:rFonts w:cs="Arial"/>
        </w:rPr>
        <w:t xml:space="preserve">Desktop audits involve discussion with the operator and, if appropriate, verbal or written confirmation from the operator, WorkSafe New Zealand or other </w:t>
      </w:r>
      <w:r>
        <w:rPr>
          <w:rFonts w:cs="Arial"/>
        </w:rPr>
        <w:t xml:space="preserve">relevant </w:t>
      </w:r>
      <w:r w:rsidRPr="00001CDC">
        <w:rPr>
          <w:rFonts w:cs="Arial"/>
        </w:rPr>
        <w:t>agencies that controls have been applied appropriately</w:t>
      </w:r>
      <w:r>
        <w:rPr>
          <w:rFonts w:cs="Arial"/>
        </w:rPr>
        <w:t xml:space="preserve">. </w:t>
      </w:r>
    </w:p>
    <w:p w14:paraId="20D99402" w14:textId="77777777" w:rsidR="000C0740" w:rsidRDefault="000C0740" w:rsidP="000C0740">
      <w:pPr>
        <w:rPr>
          <w:rFonts w:cs="Arial"/>
        </w:rPr>
      </w:pPr>
    </w:p>
    <w:p w14:paraId="560FE53F" w14:textId="6B4E6361" w:rsidR="000C0740" w:rsidRPr="00D22029" w:rsidRDefault="000C0740" w:rsidP="000C0740">
      <w:r w:rsidRPr="00D22029">
        <w:t xml:space="preserve">If </w:t>
      </w:r>
      <w:r w:rsidR="008423F5">
        <w:t xml:space="preserve">an operator breaches the </w:t>
      </w:r>
      <w:r w:rsidRPr="00D22029">
        <w:t xml:space="preserve">permit conditions, then the EPA must be informed of the complaint </w:t>
      </w:r>
      <w:r w:rsidR="008423F5">
        <w:t>by emailing</w:t>
      </w:r>
      <w:r w:rsidRPr="00D22029">
        <w:t xml:space="preserve">: </w:t>
      </w:r>
      <w:hyperlink r:id="rId49" w:history="1">
        <w:r w:rsidRPr="00D22029">
          <w:rPr>
            <w:rStyle w:val="Hyperlink"/>
            <w:rFonts w:eastAsia="MS Gothic" w:cs="Arial"/>
            <w:color w:val="000000" w:themeColor="text1"/>
          </w:rPr>
          <w:t>hsincidents@epa.govt.nz</w:t>
        </w:r>
      </w:hyperlink>
      <w:r w:rsidRPr="00D22029">
        <w:t>. The EPA will need to be notified that the event has occurred, if any public health risk</w:t>
      </w:r>
      <w:r w:rsidR="008423F5">
        <w:t>s</w:t>
      </w:r>
      <w:r w:rsidRPr="00D22029">
        <w:t xml:space="preserve"> were present or if it is to be passed to another agency for review and investigation.</w:t>
      </w:r>
    </w:p>
    <w:p w14:paraId="6A28677B" w14:textId="77777777" w:rsidR="000C0740" w:rsidRPr="00D22029" w:rsidRDefault="000C0740" w:rsidP="000C0740"/>
    <w:p w14:paraId="6ECBF769" w14:textId="2B16DA0A" w:rsidR="000C0740" w:rsidRPr="00D22029" w:rsidRDefault="000C0740" w:rsidP="000C0740">
      <w:r w:rsidRPr="00D22029">
        <w:t>The results of the audit, including the rationale for holding a desktop or field audit, should be recorded with the other documentation relating to the permission.</w:t>
      </w:r>
    </w:p>
    <w:p w14:paraId="725FAAEC" w14:textId="2CDA5D9F" w:rsidR="00486C49" w:rsidRPr="00001CDC" w:rsidRDefault="00486C49" w:rsidP="00486C49">
      <w:pPr>
        <w:pStyle w:val="Heading3"/>
      </w:pPr>
      <w:r w:rsidRPr="00D22029">
        <w:t>Permission not issued</w:t>
      </w:r>
    </w:p>
    <w:p w14:paraId="5B2D093B" w14:textId="29357C9A" w:rsidR="00486C49" w:rsidRPr="00001CDC" w:rsidRDefault="00486C49" w:rsidP="00486C49">
      <w:r w:rsidRPr="00001CDC">
        <w:t>On occasion, VTAs and other hazardous substances may be used without a permission. I</w:t>
      </w:r>
      <w:r w:rsidR="008423F5">
        <w:t>n these instances, i</w:t>
      </w:r>
      <w:r w:rsidRPr="00001CDC">
        <w:t xml:space="preserve">f alleged non-compliances are reported, no breaches in permission conditions have occurred as no permission was required. </w:t>
      </w:r>
      <w:r w:rsidR="001460BC">
        <w:t>This means that a different</w:t>
      </w:r>
      <w:r w:rsidRPr="00001CDC">
        <w:t xml:space="preserve"> lead agency investigat</w:t>
      </w:r>
      <w:r w:rsidR="001460BC">
        <w:t>es</w:t>
      </w:r>
      <w:r w:rsidRPr="00001CDC">
        <w:t xml:space="preserve"> the alleged non-compliance</w:t>
      </w:r>
      <w:r w:rsidR="001460BC">
        <w:t xml:space="preserve">: either </w:t>
      </w:r>
      <w:r w:rsidRPr="00001CDC">
        <w:t xml:space="preserve">WorkSafe New Zealand for commercial operations </w:t>
      </w:r>
      <w:r w:rsidR="001460BC">
        <w:t>or</w:t>
      </w:r>
      <w:r w:rsidR="001460BC" w:rsidRPr="00001CDC">
        <w:t xml:space="preserve"> </w:t>
      </w:r>
      <w:r w:rsidRPr="00001CDC">
        <w:t>the territorial authority in any other place.</w:t>
      </w:r>
    </w:p>
    <w:p w14:paraId="76808AB2" w14:textId="26A5D491" w:rsidR="00486C49" w:rsidRPr="00003A4A" w:rsidRDefault="001460BC" w:rsidP="00486C49">
      <w:pPr>
        <w:pStyle w:val="Heading3"/>
      </w:pPr>
      <w:r>
        <w:t>Involving</w:t>
      </w:r>
      <w:r w:rsidRPr="00003A4A">
        <w:t xml:space="preserve"> </w:t>
      </w:r>
      <w:r w:rsidR="00486C49" w:rsidRPr="00003A4A">
        <w:t>other agencies</w:t>
      </w:r>
    </w:p>
    <w:p w14:paraId="3C55CFEA" w14:textId="42D87F44" w:rsidR="00486C49" w:rsidRPr="00834524" w:rsidRDefault="00486C49" w:rsidP="00486C49">
      <w:r w:rsidRPr="00834524">
        <w:t xml:space="preserve">If any other agencies are involved or have associated responsibilities, they must be informed of the complaint or the complaint should be referred to the appropriate agency for investigation and action. The following examples </w:t>
      </w:r>
      <w:r w:rsidR="0010544A">
        <w:t xml:space="preserve">of when to involve another agency </w:t>
      </w:r>
      <w:r w:rsidRPr="00834524">
        <w:t xml:space="preserve">may apply </w:t>
      </w:r>
      <w:r w:rsidR="0010544A">
        <w:t xml:space="preserve">in many situations </w:t>
      </w:r>
      <w:r w:rsidRPr="00834524">
        <w:t>but are not a</w:t>
      </w:r>
      <w:r w:rsidR="0010544A">
        <w:t>n</w:t>
      </w:r>
      <w:r w:rsidRPr="00834524">
        <w:t xml:space="preserve"> exhaustive list</w:t>
      </w:r>
      <w:r>
        <w:t>.</w:t>
      </w:r>
    </w:p>
    <w:p w14:paraId="43162A96" w14:textId="6E485B5C" w:rsidR="00486C49" w:rsidRPr="00834524" w:rsidRDefault="00EC2400" w:rsidP="00486C49">
      <w:pPr>
        <w:pStyle w:val="Bullet"/>
        <w:tabs>
          <w:tab w:val="num" w:pos="284"/>
        </w:tabs>
        <w:spacing w:before="120" w:line="264" w:lineRule="auto"/>
      </w:pPr>
      <w:r>
        <w:t>Refer a</w:t>
      </w:r>
      <w:r w:rsidR="00486C49" w:rsidRPr="00834524">
        <w:t>lleged non-compliance with controls on the use of VTAs or other hazardous substances to WorkSafe New Zealand</w:t>
      </w:r>
      <w:r w:rsidR="00486C49">
        <w:t>.</w:t>
      </w:r>
    </w:p>
    <w:p w14:paraId="446C8985" w14:textId="514A6B30" w:rsidR="00486C49" w:rsidRPr="00834524" w:rsidRDefault="00EC2400" w:rsidP="00486C49">
      <w:pPr>
        <w:pStyle w:val="Bullet"/>
        <w:tabs>
          <w:tab w:val="num" w:pos="284"/>
        </w:tabs>
        <w:spacing w:before="120" w:line="264" w:lineRule="auto"/>
      </w:pPr>
      <w:r>
        <w:t>Refer s</w:t>
      </w:r>
      <w:r w:rsidR="00486C49" w:rsidRPr="00834524">
        <w:t>uspected deaths of cattle to the Ministry for Primary Industries</w:t>
      </w:r>
      <w:r w:rsidR="00486C49">
        <w:t>.</w:t>
      </w:r>
    </w:p>
    <w:p w14:paraId="12E482AB" w14:textId="036EA2FB" w:rsidR="00486C49" w:rsidRDefault="00EC2400" w:rsidP="00486C49">
      <w:pPr>
        <w:pStyle w:val="Bullet"/>
        <w:tabs>
          <w:tab w:val="num" w:pos="284"/>
        </w:tabs>
        <w:spacing w:before="120" w:line="264" w:lineRule="auto"/>
      </w:pPr>
      <w:r>
        <w:t>Refer s</w:t>
      </w:r>
      <w:r w:rsidR="00486C49" w:rsidRPr="00834524">
        <w:t xml:space="preserve">uspected deaths of native animals to the Department </w:t>
      </w:r>
      <w:r w:rsidR="00486C49">
        <w:t>o</w:t>
      </w:r>
      <w:r w:rsidR="00486C49" w:rsidRPr="00834524">
        <w:t>f Conservation</w:t>
      </w:r>
      <w:r w:rsidR="00486C49">
        <w:t>.</w:t>
      </w:r>
    </w:p>
    <w:p w14:paraId="63759B4F" w14:textId="2F2C64F1" w:rsidR="00486C49" w:rsidRDefault="00EC2400" w:rsidP="00486C49">
      <w:pPr>
        <w:pStyle w:val="Bullet"/>
        <w:tabs>
          <w:tab w:val="num" w:pos="284"/>
        </w:tabs>
        <w:spacing w:before="120" w:line="264" w:lineRule="auto"/>
      </w:pPr>
      <w:r>
        <w:t>Refer s</w:t>
      </w:r>
      <w:r w:rsidR="00486C49" w:rsidRPr="00834524">
        <w:t>uspected misuse of VTAs (by the general public) or deliberate civil disobedience to the New Zealand Police</w:t>
      </w:r>
      <w:r w:rsidR="001460BC">
        <w:t>.</w:t>
      </w:r>
    </w:p>
    <w:p w14:paraId="5C844253" w14:textId="77777777" w:rsidR="006D52F4" w:rsidRPr="00001CDC" w:rsidRDefault="006D52F4" w:rsidP="006D52F4">
      <w:pPr>
        <w:pStyle w:val="Heading3"/>
      </w:pPr>
      <w:r w:rsidRPr="00001CDC">
        <w:t>Judicial review</w:t>
      </w:r>
    </w:p>
    <w:p w14:paraId="58F1645C" w14:textId="7A2ABE3E" w:rsidR="006D52F4" w:rsidRPr="00001CDC" w:rsidRDefault="006D52F4" w:rsidP="006D52F4">
      <w:r>
        <w:t>Judicial</w:t>
      </w:r>
      <w:r w:rsidRPr="00001CDC">
        <w:t xml:space="preserve"> reviews cover the </w:t>
      </w:r>
      <w:r w:rsidRPr="003B0B82">
        <w:rPr>
          <w:b/>
          <w:bCs/>
        </w:rPr>
        <w:t>process</w:t>
      </w:r>
      <w:r w:rsidRPr="00001CDC">
        <w:t xml:space="preserve"> followed in making a decision using statutory powers; they do not cover the </w:t>
      </w:r>
      <w:r w:rsidRPr="008902C8">
        <w:t>outcome</w:t>
      </w:r>
      <w:r w:rsidRPr="00001CDC">
        <w:t xml:space="preserve"> of the process</w:t>
      </w:r>
      <w:r w:rsidR="008902C8">
        <w:t xml:space="preserve"> (ie</w:t>
      </w:r>
      <w:r w:rsidR="00690C3E">
        <w:t>,</w:t>
      </w:r>
      <w:r w:rsidR="008902C8">
        <w:t xml:space="preserve"> </w:t>
      </w:r>
      <w:r w:rsidR="008902C8" w:rsidRPr="00001CDC">
        <w:t>they do not cover the</w:t>
      </w:r>
      <w:r w:rsidR="008902C8">
        <w:t xml:space="preserve"> decision itself)</w:t>
      </w:r>
      <w:r w:rsidRPr="00001CDC">
        <w:t>. There are three main grounds for judicial review.</w:t>
      </w:r>
    </w:p>
    <w:p w14:paraId="3FA40114" w14:textId="77777777" w:rsidR="006D52F4" w:rsidRPr="00001CDC" w:rsidRDefault="006D52F4" w:rsidP="006D52F4">
      <w:pPr>
        <w:pStyle w:val="Bullet"/>
      </w:pPr>
      <w:r w:rsidRPr="0093352E">
        <w:rPr>
          <w:b/>
          <w:bCs/>
        </w:rPr>
        <w:t>Legality:</w:t>
      </w:r>
      <w:r w:rsidRPr="00001CDC">
        <w:t xml:space="preserve"> For example, was the decision signed off by someone with the appropriate delegation? Is the decision within the scope of the person’s statutory powers?</w:t>
      </w:r>
    </w:p>
    <w:p w14:paraId="11CA2613" w14:textId="77777777" w:rsidR="006D52F4" w:rsidRPr="00001CDC" w:rsidRDefault="006D52F4" w:rsidP="006D52F4">
      <w:pPr>
        <w:pStyle w:val="Bullet"/>
      </w:pPr>
      <w:r w:rsidRPr="0093352E">
        <w:rPr>
          <w:b/>
          <w:bCs/>
        </w:rPr>
        <w:t>Reasonableness:</w:t>
      </w:r>
      <w:r w:rsidRPr="00001CDC">
        <w:t xml:space="preserve"> For example, is the decision reasonable in the circumstances? Would other sensible and reasonable people have come to the same conclusion?</w:t>
      </w:r>
    </w:p>
    <w:p w14:paraId="13235729" w14:textId="77777777" w:rsidR="006D52F4" w:rsidRPr="00001CDC" w:rsidRDefault="006D52F4" w:rsidP="006D52F4">
      <w:pPr>
        <w:pStyle w:val="Bullet"/>
      </w:pPr>
      <w:r w:rsidRPr="0093352E">
        <w:rPr>
          <w:b/>
          <w:bCs/>
        </w:rPr>
        <w:t>Fairness and natural justice:</w:t>
      </w:r>
      <w:r w:rsidRPr="00001CDC">
        <w:t xml:space="preserve"> For example, did the applicant have a fair opportunity to have their say? Was the decision influenced by outside factors? Is the decision consistent with comparable situations?</w:t>
      </w:r>
    </w:p>
    <w:p w14:paraId="4DD37278" w14:textId="77777777" w:rsidR="006D52F4" w:rsidRPr="00001CDC" w:rsidRDefault="006D52F4" w:rsidP="00474BFD"/>
    <w:p w14:paraId="43DB56BC" w14:textId="77777777" w:rsidR="006D52F4" w:rsidRPr="00001CDC" w:rsidRDefault="006D52F4" w:rsidP="006D52F4">
      <w:r w:rsidRPr="00001CDC">
        <w:t>As a judicial review deals with process, it is critical to document the decision-making process and to clearly demonstrate that it included a robust risk assessment that was tailored to the specific operation in question. A standard or ‘rubber stamp’ approach will not demonstrate a robust process.</w:t>
      </w:r>
    </w:p>
    <w:p w14:paraId="509B4EC6" w14:textId="77777777" w:rsidR="006D52F4" w:rsidRPr="00001CDC" w:rsidRDefault="006D52F4" w:rsidP="006D52F4"/>
    <w:p w14:paraId="7129F205" w14:textId="552943D2" w:rsidR="006D52F4" w:rsidRPr="00001CDC" w:rsidRDefault="006D52F4" w:rsidP="006D52F4">
      <w:r w:rsidRPr="00001CDC">
        <w:t xml:space="preserve">If the person signing the permission is not the person who conducted the risk assessment, then the person signing the permission </w:t>
      </w:r>
      <w:r w:rsidRPr="0093352E">
        <w:rPr>
          <w:b/>
          <w:bCs/>
        </w:rPr>
        <w:t>must</w:t>
      </w:r>
      <w:r>
        <w:t xml:space="preserve"> </w:t>
      </w:r>
      <w:r w:rsidR="008902C8">
        <w:t>satisfy themselves</w:t>
      </w:r>
      <w:r w:rsidRPr="00001CDC">
        <w:t xml:space="preserve"> that the conditions imposed are reasonable and fair, meet the expectations agreed with the applicant and are demonstrably based on a robust risk assessment.</w:t>
      </w:r>
    </w:p>
    <w:p w14:paraId="26ECA977" w14:textId="16B4F22C" w:rsidR="00001CDC" w:rsidRPr="00001CDC" w:rsidRDefault="00001CDC" w:rsidP="003B0B82">
      <w:pPr>
        <w:pStyle w:val="Heading2"/>
      </w:pPr>
      <w:bookmarkStart w:id="123" w:name="_Toc109793296"/>
      <w:r w:rsidRPr="00001CDC">
        <w:t>Model Permit Conditions</w:t>
      </w:r>
      <w:bookmarkEnd w:id="123"/>
    </w:p>
    <w:p w14:paraId="53BF1DA8" w14:textId="256B1F12" w:rsidR="00F33B83" w:rsidRPr="00F33B83" w:rsidRDefault="00F33B83" w:rsidP="00F33B83">
      <w:pPr>
        <w:rPr>
          <w:rFonts w:cs="Segoe UI"/>
          <w:szCs w:val="21"/>
        </w:rPr>
      </w:pPr>
      <w:r w:rsidRPr="00F33B83">
        <w:rPr>
          <w:rFonts w:cs="Segoe UI"/>
          <w:szCs w:val="21"/>
        </w:rPr>
        <w:t xml:space="preserve">The Model Permit Conditions are a tool to </w:t>
      </w:r>
      <w:r w:rsidR="001D4568">
        <w:rPr>
          <w:rFonts w:cs="Segoe UI"/>
          <w:szCs w:val="21"/>
        </w:rPr>
        <w:t>help</w:t>
      </w:r>
      <w:r w:rsidRPr="00F33B83">
        <w:rPr>
          <w:rFonts w:cs="Segoe UI"/>
          <w:szCs w:val="21"/>
        </w:rPr>
        <w:t xml:space="preserve"> manag</w:t>
      </w:r>
      <w:r w:rsidR="001D4568">
        <w:rPr>
          <w:rFonts w:cs="Segoe UI"/>
          <w:szCs w:val="21"/>
        </w:rPr>
        <w:t>e</w:t>
      </w:r>
      <w:r w:rsidRPr="00F33B83">
        <w:rPr>
          <w:rFonts w:cs="Segoe UI"/>
          <w:szCs w:val="21"/>
        </w:rPr>
        <w:t xml:space="preserve"> the public health risk </w:t>
      </w:r>
      <w:r w:rsidR="00B01F8F">
        <w:rPr>
          <w:rFonts w:cs="Segoe UI"/>
          <w:szCs w:val="21"/>
        </w:rPr>
        <w:t>of</w:t>
      </w:r>
      <w:r w:rsidRPr="00F33B83">
        <w:rPr>
          <w:rFonts w:cs="Segoe UI"/>
          <w:szCs w:val="21"/>
        </w:rPr>
        <w:t xml:space="preserve"> VTA and other hazardous substance operations.</w:t>
      </w:r>
    </w:p>
    <w:p w14:paraId="65E19A49" w14:textId="77777777" w:rsidR="00F33B83" w:rsidRPr="00F33B83" w:rsidRDefault="00F33B83" w:rsidP="00F33B83">
      <w:pPr>
        <w:rPr>
          <w:rFonts w:cs="Segoe UI"/>
          <w:szCs w:val="21"/>
        </w:rPr>
      </w:pPr>
    </w:p>
    <w:p w14:paraId="0E2BBD11" w14:textId="77777777" w:rsidR="001D4568" w:rsidRDefault="00F33B83" w:rsidP="00F33B83">
      <w:pPr>
        <w:rPr>
          <w:rFonts w:cs="Segoe UI"/>
          <w:szCs w:val="21"/>
        </w:rPr>
      </w:pPr>
      <w:r w:rsidRPr="00F33B83">
        <w:rPr>
          <w:rFonts w:cs="Segoe UI"/>
          <w:szCs w:val="21"/>
        </w:rPr>
        <w:t>These guidelines are intended as practical guidance in assessing</w:t>
      </w:r>
      <w:r w:rsidR="001D4568">
        <w:rPr>
          <w:rFonts w:cs="Segoe UI"/>
          <w:szCs w:val="21"/>
        </w:rPr>
        <w:t>:</w:t>
      </w:r>
    </w:p>
    <w:p w14:paraId="0F7669ED" w14:textId="55E0D569" w:rsidR="001D4568" w:rsidRDefault="00F33B83" w:rsidP="001D4568">
      <w:pPr>
        <w:pStyle w:val="Bullet"/>
      </w:pPr>
      <w:r w:rsidRPr="00F33B83">
        <w:t>which of the Model Permit Conditions to use for each VTA or other hazardous substance application</w:t>
      </w:r>
    </w:p>
    <w:p w14:paraId="1AE8BDB6" w14:textId="616E0171" w:rsidR="00F33B83" w:rsidRDefault="00F33B83" w:rsidP="0093352E">
      <w:pPr>
        <w:pStyle w:val="Bullet"/>
      </w:pPr>
      <w:r w:rsidRPr="00F33B83">
        <w:t xml:space="preserve">whether any </w:t>
      </w:r>
      <w:r w:rsidR="001D4568">
        <w:t xml:space="preserve">conditions </w:t>
      </w:r>
      <w:r w:rsidRPr="00F33B83">
        <w:t>need to be modified to adequately manage public health risks associated with that application.</w:t>
      </w:r>
    </w:p>
    <w:p w14:paraId="20192671" w14:textId="7FE47924" w:rsidR="00A95354" w:rsidRDefault="00A95354" w:rsidP="00F33B83">
      <w:pPr>
        <w:rPr>
          <w:rFonts w:cs="Segoe UI"/>
          <w:szCs w:val="21"/>
        </w:rPr>
      </w:pPr>
    </w:p>
    <w:p w14:paraId="089F2360" w14:textId="2E9FD87D" w:rsidR="00A95354" w:rsidRDefault="00A95354" w:rsidP="00A95354">
      <w:r w:rsidRPr="00F16CAD">
        <w:t xml:space="preserve">Each Model Permit Condition has guidelines attached to it to ensure that conditions are imposed (and/or modified) where they are necessary to manage a particular area of risk. </w:t>
      </w:r>
      <w:r>
        <w:t>C</w:t>
      </w:r>
      <w:r w:rsidRPr="00F16CAD">
        <w:t xml:space="preserve">ommentaries are only included </w:t>
      </w:r>
      <w:r w:rsidR="001D4568">
        <w:t>to</w:t>
      </w:r>
      <w:r w:rsidR="001D4568" w:rsidRPr="00F16CAD">
        <w:t xml:space="preserve"> </w:t>
      </w:r>
      <w:r w:rsidRPr="00F16CAD">
        <w:t>clarif</w:t>
      </w:r>
      <w:r w:rsidR="001D4568">
        <w:t>y</w:t>
      </w:r>
      <w:r w:rsidRPr="00F16CAD">
        <w:t xml:space="preserve"> conditions i</w:t>
      </w:r>
      <w:r w:rsidR="001D4568">
        <w:t>f</w:t>
      </w:r>
      <w:r w:rsidRPr="00F16CAD">
        <w:t xml:space="preserve"> needed.</w:t>
      </w:r>
    </w:p>
    <w:p w14:paraId="45DA964F" w14:textId="77777777" w:rsidR="003B0B82" w:rsidRPr="00001CDC" w:rsidRDefault="003B0B82" w:rsidP="00001CDC">
      <w:pPr>
        <w:rPr>
          <w:rFonts w:cs="Arial"/>
        </w:rPr>
      </w:pPr>
    </w:p>
    <w:p w14:paraId="75435916" w14:textId="77777777" w:rsidR="003B0B82" w:rsidRDefault="003B0B82" w:rsidP="003B0B82">
      <w:pPr>
        <w:pStyle w:val="Caption"/>
        <w:sectPr w:rsidR="003B0B82" w:rsidSect="003B0B82">
          <w:pgSz w:w="11907" w:h="16834" w:code="9"/>
          <w:pgMar w:top="1418" w:right="1701" w:bottom="1134" w:left="1843" w:header="284" w:footer="425" w:gutter="284"/>
          <w:cols w:space="720"/>
        </w:sectPr>
      </w:pPr>
    </w:p>
    <w:bookmarkEnd w:id="64"/>
    <w:p w14:paraId="4CB9839E" w14:textId="2B99570A" w:rsidR="00587C48" w:rsidRDefault="00587C48" w:rsidP="00587C48">
      <w:pPr>
        <w:pStyle w:val="Heading3"/>
      </w:pPr>
      <w:r>
        <w:t>General requirements</w:t>
      </w:r>
    </w:p>
    <w:tbl>
      <w:tblPr>
        <w:tblW w:w="80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01"/>
        <w:gridCol w:w="6322"/>
      </w:tblGrid>
      <w:tr w:rsidR="00587C48" w:rsidRPr="00D22029" w14:paraId="5561C935" w14:textId="77777777" w:rsidTr="00F4433C">
        <w:trPr>
          <w:cantSplit/>
        </w:trPr>
        <w:tc>
          <w:tcPr>
            <w:tcW w:w="8023" w:type="dxa"/>
            <w:gridSpan w:val="2"/>
            <w:tcBorders>
              <w:top w:val="nil"/>
              <w:left w:val="nil"/>
              <w:bottom w:val="nil"/>
              <w:right w:val="nil"/>
            </w:tcBorders>
            <w:shd w:val="clear" w:color="auto" w:fill="D9D9D9"/>
          </w:tcPr>
          <w:p w14:paraId="03FB2908" w14:textId="13CB14DB" w:rsidR="00587C48" w:rsidRPr="00D22029" w:rsidRDefault="00587C48" w:rsidP="002E12FB">
            <w:pPr>
              <w:pStyle w:val="TableText"/>
              <w:rPr>
                <w:szCs w:val="18"/>
              </w:rPr>
            </w:pPr>
            <w:r w:rsidRPr="00D22029">
              <w:rPr>
                <w:b/>
                <w:szCs w:val="18"/>
              </w:rPr>
              <w:t xml:space="preserve">CONDITION </w:t>
            </w:r>
            <w:r w:rsidR="00C37B70" w:rsidRPr="00D22029">
              <w:rPr>
                <w:b/>
                <w:szCs w:val="18"/>
              </w:rPr>
              <w:t>1</w:t>
            </w:r>
            <w:r w:rsidRPr="00D22029">
              <w:rPr>
                <w:b/>
                <w:szCs w:val="18"/>
              </w:rPr>
              <w:t>: Start date</w:t>
            </w:r>
            <w:r w:rsidR="00A95354" w:rsidRPr="00D22029">
              <w:rPr>
                <w:b/>
                <w:szCs w:val="18"/>
              </w:rPr>
              <w:t xml:space="preserve"> and duration</w:t>
            </w:r>
          </w:p>
        </w:tc>
      </w:tr>
      <w:tr w:rsidR="00587C48" w:rsidRPr="00D22029" w14:paraId="3CE897FE" w14:textId="77777777" w:rsidTr="00F4433C">
        <w:trPr>
          <w:cantSplit/>
        </w:trPr>
        <w:tc>
          <w:tcPr>
            <w:tcW w:w="8023" w:type="dxa"/>
            <w:gridSpan w:val="2"/>
            <w:tcBorders>
              <w:top w:val="nil"/>
              <w:left w:val="nil"/>
              <w:bottom w:val="single" w:sz="4" w:space="0" w:color="BFBFBF" w:themeColor="background1" w:themeShade="BF"/>
              <w:right w:val="nil"/>
            </w:tcBorders>
            <w:shd w:val="clear" w:color="auto" w:fill="FFFFFF"/>
          </w:tcPr>
          <w:p w14:paraId="5CFBFB7B" w14:textId="462F2F1A" w:rsidR="00A95354" w:rsidRPr="00D22029" w:rsidRDefault="00A95354" w:rsidP="00A95354">
            <w:pPr>
              <w:pStyle w:val="TableText"/>
              <w:rPr>
                <w:szCs w:val="18"/>
              </w:rPr>
            </w:pPr>
            <w:r w:rsidRPr="00D22029">
              <w:rPr>
                <w:szCs w:val="18"/>
              </w:rPr>
              <w:t>This approval is granted for the period commencing (</w:t>
            </w:r>
            <w:r w:rsidRPr="00D22029">
              <w:rPr>
                <w:i/>
                <w:iCs/>
                <w:szCs w:val="18"/>
              </w:rPr>
              <w:t>insert start date</w:t>
            </w:r>
            <w:r w:rsidRPr="00D22029">
              <w:rPr>
                <w:szCs w:val="18"/>
              </w:rPr>
              <w:t>) to (</w:t>
            </w:r>
            <w:r w:rsidRPr="00D22029">
              <w:rPr>
                <w:i/>
                <w:iCs/>
                <w:szCs w:val="18"/>
              </w:rPr>
              <w:t>insert end date</w:t>
            </w:r>
            <w:r w:rsidR="00C43F48" w:rsidRPr="00D22029">
              <w:rPr>
                <w:i/>
                <w:iCs/>
                <w:szCs w:val="18"/>
              </w:rPr>
              <w:t xml:space="preserve"> of up to</w:t>
            </w:r>
            <w:r w:rsidR="00E13A1C" w:rsidRPr="00D22029">
              <w:rPr>
                <w:i/>
                <w:iCs/>
                <w:szCs w:val="18"/>
              </w:rPr>
              <w:t xml:space="preserve"> three</w:t>
            </w:r>
            <w:r w:rsidR="00C43F48" w:rsidRPr="00D22029">
              <w:rPr>
                <w:i/>
                <w:iCs/>
                <w:szCs w:val="18"/>
              </w:rPr>
              <w:t xml:space="preserve"> years from the </w:t>
            </w:r>
            <w:r w:rsidR="003338E5" w:rsidRPr="00D22029">
              <w:rPr>
                <w:i/>
                <w:iCs/>
                <w:szCs w:val="18"/>
              </w:rPr>
              <w:t>operational start date</w:t>
            </w:r>
            <w:r w:rsidRPr="00D22029">
              <w:rPr>
                <w:szCs w:val="18"/>
              </w:rPr>
              <w:t>). (</w:t>
            </w:r>
            <w:r w:rsidRPr="00D22029">
              <w:rPr>
                <w:i/>
                <w:iCs/>
                <w:szCs w:val="18"/>
              </w:rPr>
              <w:t>Insert name</w:t>
            </w:r>
            <w:r w:rsidRPr="00D22029">
              <w:rPr>
                <w:szCs w:val="18"/>
              </w:rPr>
              <w:t>) shall be notified if there is any alteration to the intended date of the application.</w:t>
            </w:r>
          </w:p>
          <w:p w14:paraId="2AC12D26" w14:textId="5C067AC2" w:rsidR="00A95354" w:rsidRPr="00D22029" w:rsidRDefault="00A95354" w:rsidP="00A95354">
            <w:pPr>
              <w:pStyle w:val="TableText"/>
              <w:rPr>
                <w:szCs w:val="18"/>
              </w:rPr>
            </w:pPr>
            <w:r w:rsidRPr="00D22029">
              <w:rPr>
                <w:szCs w:val="18"/>
              </w:rPr>
              <w:t>Advise (</w:t>
            </w:r>
            <w:r w:rsidRPr="00D22029">
              <w:rPr>
                <w:i/>
                <w:iCs/>
                <w:szCs w:val="18"/>
              </w:rPr>
              <w:t>insert name</w:t>
            </w:r>
            <w:r w:rsidRPr="00D22029">
              <w:rPr>
                <w:szCs w:val="18"/>
              </w:rPr>
              <w:t>) of the commencement of the application of (</w:t>
            </w:r>
            <w:r w:rsidRPr="00D22029">
              <w:rPr>
                <w:i/>
                <w:szCs w:val="18"/>
              </w:rPr>
              <w:t>insert name</w:t>
            </w:r>
            <w:r w:rsidR="00A454D7">
              <w:rPr>
                <w:i/>
                <w:szCs w:val="18"/>
              </w:rPr>
              <w:t>(s)</w:t>
            </w:r>
            <w:r w:rsidRPr="00D22029">
              <w:rPr>
                <w:i/>
                <w:szCs w:val="18"/>
              </w:rPr>
              <w:t xml:space="preserve"> of VTA(s) or other hazardous substance(s)</w:t>
            </w:r>
            <w:r w:rsidRPr="00D22029">
              <w:rPr>
                <w:szCs w:val="18"/>
              </w:rPr>
              <w:t>), at least 12 hours before commencing application.</w:t>
            </w:r>
          </w:p>
          <w:p w14:paraId="056CE879" w14:textId="503BC043" w:rsidR="00C43F48" w:rsidRPr="00D22029" w:rsidRDefault="00C43F48" w:rsidP="00C43F48">
            <w:pPr>
              <w:pStyle w:val="TableText"/>
              <w:rPr>
                <w:rFonts w:cs="Segoe UI"/>
                <w:color w:val="000000"/>
                <w:szCs w:val="18"/>
                <w:lang w:eastAsia="en-NZ"/>
              </w:rPr>
            </w:pPr>
            <w:r w:rsidRPr="00D22029">
              <w:rPr>
                <w:szCs w:val="18"/>
              </w:rPr>
              <w:t>Advise (</w:t>
            </w:r>
            <w:r w:rsidRPr="00D22029">
              <w:rPr>
                <w:i/>
                <w:iCs/>
                <w:szCs w:val="18"/>
              </w:rPr>
              <w:t>insert name</w:t>
            </w:r>
            <w:r w:rsidRPr="00D22029">
              <w:rPr>
                <w:szCs w:val="18"/>
              </w:rPr>
              <w:t>) of any significant changes</w:t>
            </w:r>
            <w:r w:rsidRPr="00D22029">
              <w:rPr>
                <w:rFonts w:cs="Segoe UI"/>
                <w:color w:val="000000"/>
                <w:szCs w:val="18"/>
                <w:lang w:eastAsia="en-NZ"/>
              </w:rPr>
              <w:t>, complain</w:t>
            </w:r>
            <w:r w:rsidR="001673DA">
              <w:rPr>
                <w:rFonts w:cs="Segoe UI"/>
                <w:color w:val="000000"/>
                <w:szCs w:val="18"/>
                <w:lang w:eastAsia="en-NZ"/>
              </w:rPr>
              <w:t>t</w:t>
            </w:r>
            <w:r w:rsidRPr="00D22029">
              <w:rPr>
                <w:rFonts w:cs="Segoe UI"/>
                <w:color w:val="000000"/>
                <w:szCs w:val="18"/>
                <w:lang w:eastAsia="en-NZ"/>
              </w:rPr>
              <w:t>s or incidents relating to this operation.</w:t>
            </w:r>
          </w:p>
          <w:p w14:paraId="2370E407" w14:textId="3990AD14" w:rsidR="00587C48" w:rsidRPr="00D22029" w:rsidRDefault="00A95354" w:rsidP="00A95354">
            <w:pPr>
              <w:pStyle w:val="TableText"/>
              <w:rPr>
                <w:szCs w:val="18"/>
              </w:rPr>
            </w:pPr>
            <w:r w:rsidRPr="00D22029">
              <w:rPr>
                <w:szCs w:val="18"/>
              </w:rPr>
              <w:t>Contact (</w:t>
            </w:r>
            <w:r w:rsidRPr="00D22029">
              <w:rPr>
                <w:i/>
                <w:iCs/>
                <w:szCs w:val="18"/>
              </w:rPr>
              <w:t>insert name</w:t>
            </w:r>
            <w:r w:rsidRPr="00D22029">
              <w:rPr>
                <w:szCs w:val="18"/>
              </w:rPr>
              <w:t>) at least two weeks before the expiry date of the original approval period if you wish to continue the operation after this date</w:t>
            </w:r>
            <w:r w:rsidRPr="00D22029">
              <w:rPr>
                <w:rFonts w:cs="Arial"/>
                <w:szCs w:val="18"/>
              </w:rPr>
              <w:t xml:space="preserve">. </w:t>
            </w:r>
            <w:r w:rsidRPr="00D22029">
              <w:rPr>
                <w:szCs w:val="18"/>
              </w:rPr>
              <w:t>A permission can be extended only if it meets certain criteria.</w:t>
            </w:r>
          </w:p>
        </w:tc>
      </w:tr>
      <w:tr w:rsidR="00587C48" w:rsidRPr="00D22029" w14:paraId="2547A272"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421BAEA2" w14:textId="77777777" w:rsidR="00587C48" w:rsidRPr="00D22029" w:rsidRDefault="00587C48" w:rsidP="002E12FB">
            <w:pPr>
              <w:pStyle w:val="TableText"/>
              <w:rPr>
                <w:b/>
                <w:szCs w:val="18"/>
              </w:rPr>
            </w:pPr>
            <w:r w:rsidRPr="00D22029">
              <w:rPr>
                <w:b/>
                <w:szCs w:val="18"/>
              </w:rPr>
              <w:t>Scope</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3B076201" w14:textId="77777777" w:rsidR="00587C48" w:rsidRPr="00D22029" w:rsidRDefault="00587C48" w:rsidP="002E12FB">
            <w:pPr>
              <w:pStyle w:val="TableText"/>
              <w:rPr>
                <w:szCs w:val="18"/>
              </w:rPr>
            </w:pPr>
            <w:r w:rsidRPr="00D22029">
              <w:rPr>
                <w:szCs w:val="18"/>
              </w:rPr>
              <w:t>All VTA and other hazardous substance uses.</w:t>
            </w:r>
          </w:p>
        </w:tc>
      </w:tr>
      <w:tr w:rsidR="00587C48" w:rsidRPr="00D22029" w14:paraId="74B254EB"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482FC056" w14:textId="77777777" w:rsidR="00587C48" w:rsidRPr="00D22029" w:rsidRDefault="00587C48" w:rsidP="002E12FB">
            <w:pPr>
              <w:pStyle w:val="TableText"/>
              <w:rPr>
                <w:b/>
                <w:szCs w:val="18"/>
              </w:rPr>
            </w:pPr>
            <w:r w:rsidRPr="00D22029">
              <w:rPr>
                <w:b/>
                <w:szCs w:val="18"/>
              </w:rPr>
              <w:t>Rationale for the condition</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2E6C3012" w14:textId="77777777" w:rsidR="00A95354" w:rsidRPr="00D22029" w:rsidRDefault="00587C48" w:rsidP="002E12FB">
            <w:pPr>
              <w:pStyle w:val="TableText"/>
              <w:rPr>
                <w:szCs w:val="18"/>
              </w:rPr>
            </w:pPr>
            <w:r w:rsidRPr="00D22029">
              <w:t xml:space="preserve">Ensures awareness that </w:t>
            </w:r>
            <w:r w:rsidR="00633F3B" w:rsidRPr="00D22029">
              <w:t>the operation is commencing</w:t>
            </w:r>
            <w:r w:rsidRPr="00D22029">
              <w:t>.</w:t>
            </w:r>
            <w:r w:rsidR="00A95354" w:rsidRPr="00D22029">
              <w:rPr>
                <w:szCs w:val="18"/>
              </w:rPr>
              <w:t xml:space="preserve"> </w:t>
            </w:r>
          </w:p>
          <w:p w14:paraId="6AF283AC" w14:textId="46C7A9C8" w:rsidR="00587C48" w:rsidRPr="00D22029" w:rsidRDefault="00A95354" w:rsidP="002E12FB">
            <w:pPr>
              <w:pStyle w:val="TableText"/>
            </w:pPr>
            <w:r w:rsidRPr="00D22029">
              <w:rPr>
                <w:szCs w:val="18"/>
              </w:rPr>
              <w:t xml:space="preserve">This makes it easier for the permission dates to be </w:t>
            </w:r>
            <w:r w:rsidR="00E459EA" w:rsidRPr="00D22029">
              <w:rPr>
                <w:szCs w:val="18"/>
              </w:rPr>
              <w:t>extended</w:t>
            </w:r>
            <w:r w:rsidRPr="00D22029">
              <w:rPr>
                <w:szCs w:val="18"/>
              </w:rPr>
              <w:t xml:space="preserve"> in the event of poor weather or other variable circumstances.</w:t>
            </w:r>
          </w:p>
        </w:tc>
      </w:tr>
      <w:tr w:rsidR="00587C48" w:rsidRPr="00D22029" w14:paraId="49999C0A"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7870A9E3" w14:textId="77777777" w:rsidR="00587C48" w:rsidRPr="00D22029" w:rsidRDefault="00587C48" w:rsidP="002E12FB">
            <w:pPr>
              <w:pStyle w:val="TableText"/>
              <w:rPr>
                <w:b/>
                <w:szCs w:val="18"/>
              </w:rPr>
            </w:pPr>
            <w:r w:rsidRPr="00D22029">
              <w:rPr>
                <w:b/>
                <w:szCs w:val="18"/>
              </w:rPr>
              <w:t>Commentary</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2D9448B6" w14:textId="00971CEB" w:rsidR="00A95354" w:rsidRPr="00D22029" w:rsidRDefault="00A95354" w:rsidP="00A95354">
            <w:pPr>
              <w:rPr>
                <w:rFonts w:cs="Arial"/>
                <w:sz w:val="18"/>
                <w:szCs w:val="18"/>
              </w:rPr>
            </w:pPr>
            <w:r w:rsidRPr="00D22029">
              <w:rPr>
                <w:rFonts w:cs="Arial"/>
                <w:sz w:val="18"/>
                <w:szCs w:val="18"/>
              </w:rPr>
              <w:t xml:space="preserve">The intent of any permission is to ensure public health risks relating to any hazardous substance operation are managed to minimise risks, and ensure there have been no </w:t>
            </w:r>
            <w:r w:rsidR="00AB0559">
              <w:rPr>
                <w:rFonts w:cs="Arial"/>
                <w:sz w:val="18"/>
                <w:szCs w:val="18"/>
              </w:rPr>
              <w:t xml:space="preserve">significant </w:t>
            </w:r>
            <w:r w:rsidRPr="00D22029">
              <w:rPr>
                <w:rFonts w:cs="Arial"/>
                <w:sz w:val="18"/>
                <w:szCs w:val="18"/>
              </w:rPr>
              <w:t>changes in circumstances (eg, increased public access).</w:t>
            </w:r>
            <w:r w:rsidRPr="00D22029">
              <w:rPr>
                <w:sz w:val="18"/>
                <w:szCs w:val="18"/>
              </w:rPr>
              <w:t xml:space="preserve"> The condition applies to the first application of VTAs and other hazardous substances in an operation.</w:t>
            </w:r>
            <w:r w:rsidRPr="00D22029">
              <w:rPr>
                <w:rFonts w:cs="Arial"/>
                <w:sz w:val="18"/>
                <w:szCs w:val="18"/>
              </w:rPr>
              <w:t xml:space="preserve"> A permission is only valid for the specific operation. </w:t>
            </w:r>
          </w:p>
          <w:p w14:paraId="4AB1A80B" w14:textId="77777777" w:rsidR="00587C48" w:rsidRPr="00D22029" w:rsidRDefault="00A95354" w:rsidP="00A95354">
            <w:pPr>
              <w:pStyle w:val="TableText"/>
              <w:rPr>
                <w:rFonts w:cs="Arial"/>
                <w:color w:val="000000"/>
                <w:szCs w:val="18"/>
                <w:lang w:eastAsia="en-NZ"/>
              </w:rPr>
            </w:pPr>
            <w:r w:rsidRPr="00D22029">
              <w:rPr>
                <w:rFonts w:cs="Arial"/>
                <w:color w:val="000000"/>
                <w:szCs w:val="18"/>
                <w:lang w:eastAsia="en-NZ"/>
              </w:rPr>
              <w:t>The ‘end date’ on a permission does not refer to the last date when one or more applications of hazardous substance(s) can be made. Sufficient time should be allowed to check for public health risks such as the presence of baits in excluded areas. Such factors should be taken into account when considering the end date of a permission being issued.</w:t>
            </w:r>
          </w:p>
          <w:p w14:paraId="153266AC" w14:textId="2AEDC0A8" w:rsidR="00C43F48" w:rsidRPr="00D22029" w:rsidRDefault="00C43F48" w:rsidP="00CB48A3">
            <w:pPr>
              <w:rPr>
                <w:szCs w:val="18"/>
              </w:rPr>
            </w:pPr>
            <w:r w:rsidRPr="00D22029">
              <w:rPr>
                <w:rFonts w:cs="Segoe UI"/>
                <w:color w:val="000000" w:themeColor="text1"/>
                <w:sz w:val="18"/>
                <w:szCs w:val="18"/>
              </w:rPr>
              <w:t>Th</w:t>
            </w:r>
            <w:r w:rsidR="008637CC" w:rsidRPr="00D22029">
              <w:rPr>
                <w:rFonts w:cs="Segoe UI"/>
                <w:color w:val="000000" w:themeColor="text1"/>
                <w:sz w:val="18"/>
                <w:szCs w:val="18"/>
              </w:rPr>
              <w:t>e requirement to advise of any significant changes</w:t>
            </w:r>
            <w:r w:rsidR="002C18B9" w:rsidRPr="00D22029">
              <w:rPr>
                <w:rFonts w:cs="Segoe UI"/>
                <w:color w:val="000000" w:themeColor="text1"/>
                <w:sz w:val="18"/>
                <w:szCs w:val="18"/>
              </w:rPr>
              <w:t xml:space="preserve"> </w:t>
            </w:r>
            <w:r w:rsidRPr="00D22029">
              <w:rPr>
                <w:rFonts w:cs="Segoe UI"/>
                <w:color w:val="000000" w:themeColor="text1"/>
                <w:sz w:val="18"/>
                <w:szCs w:val="18"/>
              </w:rPr>
              <w:t xml:space="preserve">is to ensure </w:t>
            </w:r>
            <w:r w:rsidRPr="00AB0559">
              <w:rPr>
                <w:rFonts w:cs="Segoe UI"/>
                <w:color w:val="000000" w:themeColor="text1"/>
                <w:sz w:val="18"/>
                <w:szCs w:val="18"/>
              </w:rPr>
              <w:t xml:space="preserve">circumstances </w:t>
            </w:r>
            <w:r w:rsidR="003C1ACF" w:rsidRPr="00AB0559">
              <w:rPr>
                <w:rFonts w:cs="Segoe UI"/>
                <w:color w:val="000000" w:themeColor="text1"/>
                <w:sz w:val="18"/>
                <w:szCs w:val="18"/>
              </w:rPr>
              <w:t>have not changed.</w:t>
            </w:r>
            <w:r w:rsidR="00AB0559" w:rsidRPr="00AB0559">
              <w:rPr>
                <w:sz w:val="18"/>
                <w:szCs w:val="18"/>
              </w:rPr>
              <w:t xml:space="preserve"> in ways</w:t>
            </w:r>
            <w:r w:rsidR="00AB0559" w:rsidRPr="00AB0559">
              <w:rPr>
                <w:rFonts w:cs="Segoe UI"/>
                <w:color w:val="000000" w:themeColor="text1"/>
                <w:sz w:val="18"/>
                <w:szCs w:val="18"/>
              </w:rPr>
              <w:t xml:space="preserve"> that would require the public health risk to be reassessed.</w:t>
            </w:r>
            <w:r w:rsidR="003C1ACF" w:rsidRPr="00AB0559">
              <w:rPr>
                <w:rFonts w:cs="Segoe UI"/>
                <w:color w:val="000000" w:themeColor="text1"/>
                <w:sz w:val="18"/>
                <w:szCs w:val="18"/>
              </w:rPr>
              <w:t xml:space="preserve"> </w:t>
            </w:r>
            <w:r w:rsidR="003C1ACF">
              <w:rPr>
                <w:rFonts w:cs="Segoe UI"/>
                <w:color w:val="000000" w:themeColor="text1"/>
                <w:sz w:val="18"/>
                <w:szCs w:val="18"/>
              </w:rPr>
              <w:t xml:space="preserve">Examples are </w:t>
            </w:r>
            <w:r w:rsidRPr="00D22029">
              <w:rPr>
                <w:rFonts w:cs="Segoe UI"/>
                <w:color w:val="000000" w:themeColor="text1"/>
                <w:sz w:val="18"/>
                <w:szCs w:val="18"/>
              </w:rPr>
              <w:t>a change in methodology (</w:t>
            </w:r>
            <w:r w:rsidR="00554100" w:rsidRPr="00D22029">
              <w:rPr>
                <w:rFonts w:cs="Segoe UI"/>
                <w:color w:val="000000" w:themeColor="text1"/>
                <w:sz w:val="18"/>
                <w:szCs w:val="18"/>
              </w:rPr>
              <w:t>eg</w:t>
            </w:r>
            <w:r w:rsidR="003C1ACF">
              <w:rPr>
                <w:rFonts w:cs="Segoe UI"/>
                <w:color w:val="000000" w:themeColor="text1"/>
                <w:sz w:val="18"/>
                <w:szCs w:val="18"/>
              </w:rPr>
              <w:t>,</w:t>
            </w:r>
            <w:r w:rsidRPr="00D22029">
              <w:rPr>
                <w:rFonts w:cs="Segoe UI"/>
                <w:color w:val="000000" w:themeColor="text1"/>
                <w:sz w:val="18"/>
                <w:szCs w:val="18"/>
              </w:rPr>
              <w:t xml:space="preserve"> moving from ground-based to aerial operations), </w:t>
            </w:r>
            <w:r w:rsidR="00B77847">
              <w:rPr>
                <w:rFonts w:cs="Segoe UI"/>
                <w:color w:val="000000" w:themeColor="text1"/>
                <w:sz w:val="18"/>
                <w:szCs w:val="18"/>
              </w:rPr>
              <w:t xml:space="preserve">a </w:t>
            </w:r>
            <w:r w:rsidRPr="00D22029">
              <w:rPr>
                <w:rFonts w:cs="Segoe UI"/>
                <w:color w:val="000000" w:themeColor="text1"/>
                <w:sz w:val="18"/>
                <w:szCs w:val="18"/>
              </w:rPr>
              <w:t xml:space="preserve">change in the pesticide being used, </w:t>
            </w:r>
            <w:r w:rsidR="00B77847">
              <w:rPr>
                <w:rFonts w:cs="Segoe UI"/>
                <w:color w:val="000000" w:themeColor="text1"/>
                <w:sz w:val="18"/>
                <w:szCs w:val="18"/>
              </w:rPr>
              <w:t xml:space="preserve">extending the </w:t>
            </w:r>
            <w:r w:rsidRPr="00D22029">
              <w:rPr>
                <w:rFonts w:cs="Segoe UI"/>
                <w:color w:val="000000" w:themeColor="text1"/>
                <w:sz w:val="18"/>
                <w:szCs w:val="18"/>
              </w:rPr>
              <w:t xml:space="preserve">operational area beyond the area included in the permission, </w:t>
            </w:r>
            <w:r w:rsidR="007D3614">
              <w:rPr>
                <w:rFonts w:cs="Segoe UI"/>
                <w:color w:val="000000" w:themeColor="text1"/>
                <w:sz w:val="18"/>
                <w:szCs w:val="18"/>
              </w:rPr>
              <w:t xml:space="preserve">a </w:t>
            </w:r>
            <w:r w:rsidRPr="00D22029">
              <w:rPr>
                <w:rFonts w:cs="Segoe UI"/>
                <w:color w:val="000000" w:themeColor="text1"/>
                <w:sz w:val="18"/>
                <w:szCs w:val="18"/>
              </w:rPr>
              <w:t xml:space="preserve">change in operator, </w:t>
            </w:r>
            <w:r w:rsidR="007D3614">
              <w:rPr>
                <w:rFonts w:cs="Segoe UI"/>
                <w:color w:val="000000" w:themeColor="text1"/>
                <w:sz w:val="18"/>
                <w:szCs w:val="18"/>
              </w:rPr>
              <w:t xml:space="preserve">a </w:t>
            </w:r>
            <w:r w:rsidRPr="00D22029">
              <w:rPr>
                <w:rFonts w:cs="Segoe UI"/>
                <w:color w:val="000000" w:themeColor="text1"/>
                <w:sz w:val="18"/>
                <w:szCs w:val="18"/>
              </w:rPr>
              <w:t>change in land ownership</w:t>
            </w:r>
            <w:r w:rsidR="007D3614">
              <w:rPr>
                <w:rFonts w:cs="Segoe UI"/>
                <w:color w:val="000000" w:themeColor="text1"/>
                <w:sz w:val="18"/>
                <w:szCs w:val="18"/>
              </w:rPr>
              <w:t xml:space="preserve"> and a</w:t>
            </w:r>
            <w:r w:rsidRPr="00D22029">
              <w:rPr>
                <w:rFonts w:cs="Segoe UI"/>
                <w:color w:val="000000" w:themeColor="text1"/>
                <w:sz w:val="18"/>
                <w:szCs w:val="18"/>
              </w:rPr>
              <w:t xml:space="preserve"> change in land use (including new homes in the operational zone).</w:t>
            </w:r>
          </w:p>
        </w:tc>
      </w:tr>
      <w:tr w:rsidR="00587C48" w:rsidRPr="00D22029" w14:paraId="440B09BF"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25041762" w14:textId="77777777" w:rsidR="00587C48" w:rsidRPr="00D22029" w:rsidRDefault="00587C48" w:rsidP="002E12FB">
            <w:pPr>
              <w:pStyle w:val="TableText"/>
              <w:rPr>
                <w:b/>
                <w:szCs w:val="18"/>
              </w:rPr>
            </w:pPr>
            <w:r w:rsidRPr="00D22029">
              <w:rPr>
                <w:b/>
                <w:szCs w:val="18"/>
              </w:rPr>
              <w:t>Modification options</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2901C5B9" w14:textId="7E04A693" w:rsidR="00C43F48" w:rsidRPr="00D22029" w:rsidRDefault="00587C48" w:rsidP="00C43F48">
            <w:pPr>
              <w:pStyle w:val="TableText"/>
              <w:rPr>
                <w:szCs w:val="18"/>
              </w:rPr>
            </w:pPr>
            <w:r w:rsidRPr="00D22029">
              <w:rPr>
                <w:szCs w:val="18"/>
              </w:rPr>
              <w:t xml:space="preserve">If necessary, </w:t>
            </w:r>
            <w:r w:rsidR="005723D1">
              <w:rPr>
                <w:szCs w:val="18"/>
              </w:rPr>
              <w:t>specify</w:t>
            </w:r>
            <w:r w:rsidR="005723D1" w:rsidRPr="00D22029">
              <w:rPr>
                <w:szCs w:val="18"/>
              </w:rPr>
              <w:t xml:space="preserve"> </w:t>
            </w:r>
            <w:r w:rsidRPr="00D22029">
              <w:rPr>
                <w:szCs w:val="18"/>
              </w:rPr>
              <w:t xml:space="preserve">what forms of notification are acceptable, such as ‘in writing’ or ‘by telephone’.  </w:t>
            </w:r>
          </w:p>
        </w:tc>
      </w:tr>
      <w:tr w:rsidR="00A95354" w:rsidRPr="00D22029" w14:paraId="35D88176"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21791B71" w14:textId="2C6F51B2" w:rsidR="00A95354" w:rsidRPr="00D22029" w:rsidRDefault="00A95354" w:rsidP="002E12FB">
            <w:pPr>
              <w:pStyle w:val="TableText"/>
              <w:rPr>
                <w:b/>
                <w:szCs w:val="18"/>
              </w:rPr>
            </w:pPr>
            <w:r w:rsidRPr="00D22029">
              <w:rPr>
                <w:b/>
                <w:szCs w:val="18"/>
              </w:rPr>
              <w:t>Example</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3E1E921F" w14:textId="4DEB494F" w:rsidR="00A95354" w:rsidRPr="00D22029" w:rsidRDefault="00A95354" w:rsidP="002E12FB">
            <w:pPr>
              <w:pStyle w:val="TableText"/>
              <w:rPr>
                <w:szCs w:val="18"/>
              </w:rPr>
            </w:pPr>
            <w:r w:rsidRPr="00D22029">
              <w:rPr>
                <w:szCs w:val="18"/>
              </w:rPr>
              <w:t>The end date of the permission may need to be varied to enable relevant checks to be completed.</w:t>
            </w:r>
          </w:p>
        </w:tc>
      </w:tr>
    </w:tbl>
    <w:p w14:paraId="7DC3E64E" w14:textId="77777777" w:rsidR="00DB3BE2" w:rsidRDefault="00DB3BE2" w:rsidP="00587C48">
      <w:pPr>
        <w:sectPr w:rsidR="00DB3BE2" w:rsidSect="00587C48">
          <w:headerReference w:type="even" r:id="rId50"/>
          <w:footerReference w:type="even" r:id="rId51"/>
          <w:footerReference w:type="default" r:id="rId52"/>
          <w:pgSz w:w="11907" w:h="16834" w:code="9"/>
          <w:pgMar w:top="1418" w:right="1701" w:bottom="1134" w:left="1843" w:header="284" w:footer="425" w:gutter="284"/>
          <w:cols w:space="720"/>
        </w:sectPr>
      </w:pPr>
    </w:p>
    <w:p w14:paraId="7C9AC1E9" w14:textId="4349B57A" w:rsidR="00DB3BE2" w:rsidRPr="00D22029" w:rsidRDefault="00DB3BE2" w:rsidP="00587C48"/>
    <w:tbl>
      <w:tblPr>
        <w:tblW w:w="80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01"/>
        <w:gridCol w:w="6322"/>
      </w:tblGrid>
      <w:tr w:rsidR="00587C48" w:rsidRPr="00D22029" w14:paraId="1ED058D1" w14:textId="77777777" w:rsidTr="00F4433C">
        <w:trPr>
          <w:cantSplit/>
        </w:trPr>
        <w:tc>
          <w:tcPr>
            <w:tcW w:w="8023" w:type="dxa"/>
            <w:gridSpan w:val="2"/>
            <w:tcBorders>
              <w:top w:val="nil"/>
              <w:left w:val="nil"/>
              <w:bottom w:val="nil"/>
              <w:right w:val="nil"/>
            </w:tcBorders>
            <w:shd w:val="clear" w:color="auto" w:fill="D9D9D9"/>
          </w:tcPr>
          <w:p w14:paraId="6A9986AC" w14:textId="22F07466" w:rsidR="00587C48" w:rsidRPr="00D22029" w:rsidRDefault="00587C48" w:rsidP="002E12FB">
            <w:pPr>
              <w:pStyle w:val="TableText"/>
              <w:rPr>
                <w:szCs w:val="18"/>
              </w:rPr>
            </w:pPr>
            <w:r w:rsidRPr="00D22029">
              <w:rPr>
                <w:b/>
                <w:szCs w:val="18"/>
              </w:rPr>
              <w:t xml:space="preserve">CONDITION </w:t>
            </w:r>
            <w:r w:rsidR="00C37B70" w:rsidRPr="00D22029">
              <w:rPr>
                <w:b/>
                <w:szCs w:val="18"/>
              </w:rPr>
              <w:t>2</w:t>
            </w:r>
            <w:r w:rsidRPr="00D22029">
              <w:rPr>
                <w:b/>
                <w:szCs w:val="18"/>
              </w:rPr>
              <w:t>: Changes to permission</w:t>
            </w:r>
          </w:p>
        </w:tc>
      </w:tr>
      <w:tr w:rsidR="00587C48" w:rsidRPr="00D22029" w14:paraId="2EA43BBC" w14:textId="77777777" w:rsidTr="00F4433C">
        <w:trPr>
          <w:cantSplit/>
        </w:trPr>
        <w:tc>
          <w:tcPr>
            <w:tcW w:w="8023" w:type="dxa"/>
            <w:gridSpan w:val="2"/>
            <w:tcBorders>
              <w:top w:val="nil"/>
              <w:left w:val="nil"/>
              <w:bottom w:val="single" w:sz="4" w:space="0" w:color="BFBFBF" w:themeColor="background1" w:themeShade="BF"/>
              <w:right w:val="nil"/>
            </w:tcBorders>
            <w:shd w:val="clear" w:color="auto" w:fill="FFFFFF"/>
          </w:tcPr>
          <w:p w14:paraId="39EC05B8" w14:textId="459DDBE7" w:rsidR="00587C48" w:rsidRPr="00D22029" w:rsidRDefault="00587C48" w:rsidP="002E12FB">
            <w:pPr>
              <w:pStyle w:val="TableText"/>
              <w:rPr>
                <w:szCs w:val="18"/>
              </w:rPr>
            </w:pPr>
            <w:r w:rsidRPr="00D22029">
              <w:rPr>
                <w:szCs w:val="18"/>
              </w:rPr>
              <w:t>Advise (</w:t>
            </w:r>
            <w:r w:rsidRPr="00D22029">
              <w:rPr>
                <w:i/>
                <w:iCs/>
                <w:szCs w:val="18"/>
              </w:rPr>
              <w:t>insert name</w:t>
            </w:r>
            <w:r w:rsidRPr="00D22029">
              <w:rPr>
                <w:szCs w:val="18"/>
              </w:rPr>
              <w:t>) in writing of any changes to the proposed operation.</w:t>
            </w:r>
          </w:p>
        </w:tc>
      </w:tr>
      <w:tr w:rsidR="00587C48" w:rsidRPr="00D22029" w14:paraId="451002D2"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6D94779B" w14:textId="77777777" w:rsidR="00587C48" w:rsidRPr="00D22029" w:rsidRDefault="00587C48" w:rsidP="002E12FB">
            <w:pPr>
              <w:pStyle w:val="TableText"/>
              <w:rPr>
                <w:b/>
                <w:szCs w:val="18"/>
              </w:rPr>
            </w:pPr>
            <w:r w:rsidRPr="00D22029">
              <w:rPr>
                <w:b/>
                <w:szCs w:val="18"/>
              </w:rPr>
              <w:t>Scope</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73BD6D1E" w14:textId="77777777" w:rsidR="00587C48" w:rsidRPr="00D22029" w:rsidRDefault="00587C48" w:rsidP="002E12FB">
            <w:pPr>
              <w:pStyle w:val="TableText"/>
              <w:rPr>
                <w:szCs w:val="18"/>
              </w:rPr>
            </w:pPr>
            <w:r w:rsidRPr="00D22029">
              <w:rPr>
                <w:szCs w:val="18"/>
              </w:rPr>
              <w:t>All VTA and other hazardous substance uses.</w:t>
            </w:r>
          </w:p>
        </w:tc>
      </w:tr>
      <w:tr w:rsidR="00587C48" w:rsidRPr="00D22029" w14:paraId="1D5D746A"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124913EC" w14:textId="77777777" w:rsidR="00587C48" w:rsidRPr="00D22029" w:rsidRDefault="00587C48" w:rsidP="002E12FB">
            <w:pPr>
              <w:pStyle w:val="TableText"/>
              <w:rPr>
                <w:b/>
                <w:szCs w:val="18"/>
              </w:rPr>
            </w:pPr>
            <w:r w:rsidRPr="00D22029">
              <w:rPr>
                <w:b/>
                <w:szCs w:val="18"/>
              </w:rPr>
              <w:t>Rationale for the condition</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188E1237" w14:textId="7C42CBE6" w:rsidR="00587C48" w:rsidRPr="00D22029" w:rsidRDefault="00587C48" w:rsidP="002E12FB">
            <w:pPr>
              <w:pStyle w:val="TableText"/>
              <w:rPr>
                <w:szCs w:val="18"/>
              </w:rPr>
            </w:pPr>
            <w:r w:rsidRPr="00D22029">
              <w:rPr>
                <w:szCs w:val="18"/>
              </w:rPr>
              <w:t xml:space="preserve">Ensures awareness of changes to the operation that may affect public health </w:t>
            </w:r>
            <w:r w:rsidR="00A95354" w:rsidRPr="00D22029">
              <w:rPr>
                <w:szCs w:val="18"/>
              </w:rPr>
              <w:t>risk</w:t>
            </w:r>
            <w:r w:rsidRPr="00D22029">
              <w:rPr>
                <w:szCs w:val="18"/>
              </w:rPr>
              <w:t>s.</w:t>
            </w:r>
          </w:p>
        </w:tc>
      </w:tr>
      <w:tr w:rsidR="00587C48" w:rsidRPr="00D22029" w14:paraId="68631788"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2547D556" w14:textId="77777777" w:rsidR="00587C48" w:rsidRPr="00D22029" w:rsidRDefault="00587C48" w:rsidP="002E12FB">
            <w:pPr>
              <w:pStyle w:val="TableText"/>
              <w:rPr>
                <w:b/>
                <w:szCs w:val="18"/>
              </w:rPr>
            </w:pPr>
            <w:r w:rsidRPr="00D22029">
              <w:rPr>
                <w:b/>
                <w:szCs w:val="18"/>
              </w:rPr>
              <w:t>Commentary</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4FCFFB04" w14:textId="78AFCAC3" w:rsidR="00587C48" w:rsidRPr="00D22029" w:rsidRDefault="00587C48" w:rsidP="002E12FB">
            <w:pPr>
              <w:pStyle w:val="TableText"/>
              <w:rPr>
                <w:szCs w:val="18"/>
              </w:rPr>
            </w:pPr>
            <w:r w:rsidRPr="00D22029">
              <w:rPr>
                <w:szCs w:val="18"/>
              </w:rPr>
              <w:t xml:space="preserve">Only minor amendments, such as extension to allow for adverse weather, or correcting typographical errors, </w:t>
            </w:r>
            <w:r w:rsidR="007C41F4" w:rsidRPr="00D22029">
              <w:rPr>
                <w:szCs w:val="18"/>
              </w:rPr>
              <w:t>are recommended</w:t>
            </w:r>
            <w:r w:rsidRPr="00D22029">
              <w:rPr>
                <w:szCs w:val="18"/>
              </w:rPr>
              <w:t xml:space="preserve">. A new permission should be granted if </w:t>
            </w:r>
            <w:r w:rsidR="004D2B00" w:rsidRPr="00D22029">
              <w:rPr>
                <w:szCs w:val="18"/>
              </w:rPr>
              <w:t xml:space="preserve">significant </w:t>
            </w:r>
            <w:r w:rsidRPr="00D22029">
              <w:rPr>
                <w:szCs w:val="18"/>
              </w:rPr>
              <w:t>changes are made, such as adding new or different VTAs</w:t>
            </w:r>
            <w:r w:rsidR="006032BE" w:rsidRPr="00D22029">
              <w:rPr>
                <w:szCs w:val="18"/>
              </w:rPr>
              <w:t>.</w:t>
            </w:r>
          </w:p>
          <w:p w14:paraId="78DD99D2" w14:textId="637D9A18" w:rsidR="00587C48" w:rsidRPr="00D22029" w:rsidRDefault="00587C48" w:rsidP="002E12FB">
            <w:pPr>
              <w:rPr>
                <w:rFonts w:cs="Arial"/>
                <w:sz w:val="18"/>
                <w:szCs w:val="18"/>
              </w:rPr>
            </w:pPr>
            <w:r w:rsidRPr="00D22029">
              <w:rPr>
                <w:rFonts w:cs="Arial"/>
                <w:sz w:val="18"/>
                <w:szCs w:val="18"/>
              </w:rPr>
              <w:t xml:space="preserve">The intent of any permission is to ensure public health risks relating to any hazardous substance operation are managed to minimise risks, and ensure there have been no changes in circumstances (eg, </w:t>
            </w:r>
            <w:r w:rsidR="00A95354" w:rsidRPr="00D22029">
              <w:rPr>
                <w:rFonts w:cs="Arial"/>
                <w:sz w:val="18"/>
                <w:szCs w:val="18"/>
              </w:rPr>
              <w:t>new homes</w:t>
            </w:r>
            <w:r w:rsidRPr="00D22029">
              <w:rPr>
                <w:rFonts w:cs="Arial"/>
                <w:sz w:val="18"/>
                <w:szCs w:val="18"/>
              </w:rPr>
              <w:t>).</w:t>
            </w:r>
            <w:r w:rsidRPr="00D22029">
              <w:rPr>
                <w:sz w:val="18"/>
                <w:szCs w:val="18"/>
              </w:rPr>
              <w:t xml:space="preserve"> </w:t>
            </w:r>
            <w:r w:rsidRPr="00D22029">
              <w:rPr>
                <w:rFonts w:cs="Arial"/>
                <w:sz w:val="18"/>
                <w:szCs w:val="18"/>
              </w:rPr>
              <w:t xml:space="preserve">A permission is only valid for the specific operation. </w:t>
            </w:r>
            <w:r w:rsidR="00114D08" w:rsidRPr="00D22029">
              <w:rPr>
                <w:sz w:val="18"/>
                <w:szCs w:val="18"/>
              </w:rPr>
              <w:t xml:space="preserve"> </w:t>
            </w:r>
          </w:p>
        </w:tc>
      </w:tr>
      <w:tr w:rsidR="00587C48" w:rsidRPr="00D22029" w14:paraId="71B9541F"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3C8A9B31" w14:textId="77777777" w:rsidR="00587C48" w:rsidRPr="00D22029" w:rsidRDefault="00587C48" w:rsidP="002E12FB">
            <w:pPr>
              <w:pStyle w:val="TableText"/>
              <w:rPr>
                <w:b/>
                <w:szCs w:val="18"/>
              </w:rPr>
            </w:pPr>
            <w:r w:rsidRPr="00D22029">
              <w:rPr>
                <w:b/>
                <w:szCs w:val="18"/>
              </w:rPr>
              <w:t>Modification options</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2C707806" w14:textId="5D081B13" w:rsidR="00587C48" w:rsidRPr="00D22029" w:rsidRDefault="00A95354" w:rsidP="002E12FB">
            <w:pPr>
              <w:pStyle w:val="TableText"/>
              <w:rPr>
                <w:szCs w:val="18"/>
              </w:rPr>
            </w:pPr>
            <w:r w:rsidRPr="00D22029">
              <w:rPr>
                <w:szCs w:val="18"/>
              </w:rPr>
              <w:t>The condition may be modified if circumstances change during the operation, but discretion needs to be carefully applied. Dates should not be varied to extend an operation indefinitely.</w:t>
            </w:r>
            <w:r w:rsidRPr="00D22029" w:rsidDel="00B10735">
              <w:rPr>
                <w:szCs w:val="18"/>
              </w:rPr>
              <w:t xml:space="preserve"> </w:t>
            </w:r>
          </w:p>
        </w:tc>
      </w:tr>
      <w:tr w:rsidR="00A95354" w:rsidRPr="00D22029" w14:paraId="6D3AD33F" w14:textId="77777777" w:rsidTr="002E12FB">
        <w:trPr>
          <w:cantSplit/>
        </w:trPr>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5013B3E4" w14:textId="28A8F16E" w:rsidR="00A95354" w:rsidRPr="00D22029" w:rsidRDefault="00A95354" w:rsidP="002E12FB">
            <w:pPr>
              <w:pStyle w:val="TableText"/>
              <w:rPr>
                <w:b/>
                <w:szCs w:val="18"/>
              </w:rPr>
            </w:pPr>
            <w:r w:rsidRPr="00D22029">
              <w:rPr>
                <w:b/>
                <w:szCs w:val="18"/>
              </w:rPr>
              <w:t>Example</w:t>
            </w:r>
          </w:p>
        </w:tc>
        <w:tc>
          <w:tcPr>
            <w:tcW w:w="632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1EE90A3F" w14:textId="671A359C" w:rsidR="00A95354" w:rsidRPr="00D22029" w:rsidRDefault="00A95354" w:rsidP="002E12FB">
            <w:pPr>
              <w:pStyle w:val="TableText"/>
              <w:rPr>
                <w:szCs w:val="18"/>
              </w:rPr>
            </w:pPr>
            <w:r w:rsidRPr="00D22029">
              <w:rPr>
                <w:rFonts w:cs="Arial"/>
                <w:color w:val="000000"/>
                <w:szCs w:val="18"/>
                <w:lang w:eastAsia="en-NZ"/>
              </w:rPr>
              <w:t>If an operation is significantly delayed (</w:t>
            </w:r>
            <w:r w:rsidR="00296486">
              <w:rPr>
                <w:rFonts w:cs="Arial"/>
                <w:color w:val="000000"/>
                <w:szCs w:val="18"/>
                <w:lang w:eastAsia="en-NZ"/>
              </w:rPr>
              <w:t>eg</w:t>
            </w:r>
            <w:r w:rsidRPr="00D22029">
              <w:rPr>
                <w:rFonts w:cs="Arial"/>
                <w:color w:val="000000"/>
                <w:szCs w:val="18"/>
                <w:lang w:eastAsia="en-NZ"/>
              </w:rPr>
              <w:t>, because of unexpectedly long periods of adverse weather) and there is insufficient time for checks following the last application of hazardous substance(s), then the permission may need to be amended to extend the end date</w:t>
            </w:r>
            <w:r w:rsidR="00AA6EE8">
              <w:rPr>
                <w:rFonts w:cs="Arial"/>
                <w:color w:val="000000"/>
                <w:szCs w:val="18"/>
                <w:lang w:eastAsia="en-NZ"/>
              </w:rPr>
              <w:t xml:space="preserve"> so that</w:t>
            </w:r>
            <w:r w:rsidRPr="00D22029">
              <w:rPr>
                <w:rFonts w:cs="Arial"/>
                <w:color w:val="000000"/>
                <w:szCs w:val="18"/>
                <w:lang w:eastAsia="en-NZ"/>
              </w:rPr>
              <w:t xml:space="preserve"> the checks </w:t>
            </w:r>
            <w:r w:rsidR="00AA6EE8">
              <w:rPr>
                <w:rFonts w:cs="Arial"/>
                <w:color w:val="000000"/>
                <w:szCs w:val="18"/>
                <w:lang w:eastAsia="en-NZ"/>
              </w:rPr>
              <w:t>can</w:t>
            </w:r>
            <w:r w:rsidRPr="00D22029">
              <w:rPr>
                <w:rFonts w:cs="Arial"/>
                <w:color w:val="000000"/>
                <w:szCs w:val="18"/>
                <w:lang w:eastAsia="en-NZ"/>
              </w:rPr>
              <w:t xml:space="preserve"> be completed.</w:t>
            </w:r>
          </w:p>
        </w:tc>
      </w:tr>
    </w:tbl>
    <w:p w14:paraId="6C587D72" w14:textId="4BBBAEB4" w:rsidR="00587C48" w:rsidRPr="00D22029" w:rsidRDefault="00587C48" w:rsidP="002E12FB">
      <w:pPr>
        <w:pStyle w:val="Heading3"/>
      </w:pPr>
      <w:r w:rsidRPr="00D22029">
        <w:t>Notification</w:t>
      </w:r>
      <w:r w:rsidR="00954E74" w:rsidRPr="00D22029">
        <w:t>s</w:t>
      </w:r>
    </w:p>
    <w:tbl>
      <w:tblPr>
        <w:tblW w:w="8023"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1843"/>
        <w:gridCol w:w="6180"/>
      </w:tblGrid>
      <w:tr w:rsidR="00587C48" w:rsidRPr="00D22029" w14:paraId="039FC223" w14:textId="77777777" w:rsidTr="00F4433C">
        <w:trPr>
          <w:cantSplit/>
          <w:tblHeader/>
        </w:trPr>
        <w:tc>
          <w:tcPr>
            <w:tcW w:w="8023" w:type="dxa"/>
            <w:gridSpan w:val="2"/>
            <w:tcBorders>
              <w:top w:val="nil"/>
              <w:bottom w:val="nil"/>
            </w:tcBorders>
            <w:shd w:val="clear" w:color="auto" w:fill="D9D9D9"/>
          </w:tcPr>
          <w:p w14:paraId="403D1D74" w14:textId="1CC3CBD7" w:rsidR="00587C48" w:rsidRPr="00D22029" w:rsidRDefault="00587C48" w:rsidP="002E12FB">
            <w:pPr>
              <w:pStyle w:val="TableText"/>
              <w:keepNext/>
              <w:rPr>
                <w:szCs w:val="18"/>
              </w:rPr>
            </w:pPr>
            <w:r w:rsidRPr="00D22029">
              <w:rPr>
                <w:b/>
                <w:szCs w:val="18"/>
              </w:rPr>
              <w:t xml:space="preserve">CONDITION </w:t>
            </w:r>
            <w:r w:rsidR="00C37B70" w:rsidRPr="00D22029">
              <w:rPr>
                <w:b/>
                <w:szCs w:val="18"/>
              </w:rPr>
              <w:t>3</w:t>
            </w:r>
            <w:r w:rsidRPr="00D22029">
              <w:rPr>
                <w:b/>
                <w:szCs w:val="18"/>
              </w:rPr>
              <w:t xml:space="preserve">: Landowner </w:t>
            </w:r>
            <w:r w:rsidR="00954E74" w:rsidRPr="00D22029">
              <w:rPr>
                <w:b/>
                <w:szCs w:val="18"/>
              </w:rPr>
              <w:t xml:space="preserve">and occupier </w:t>
            </w:r>
            <w:r w:rsidRPr="00D22029">
              <w:rPr>
                <w:b/>
                <w:szCs w:val="18"/>
              </w:rPr>
              <w:t>notification</w:t>
            </w:r>
          </w:p>
        </w:tc>
      </w:tr>
      <w:tr w:rsidR="00587C48" w:rsidRPr="00D22029" w14:paraId="463531E8" w14:textId="77777777" w:rsidTr="00F4433C">
        <w:trPr>
          <w:cantSplit/>
        </w:trPr>
        <w:tc>
          <w:tcPr>
            <w:tcW w:w="8023" w:type="dxa"/>
            <w:gridSpan w:val="2"/>
            <w:tcBorders>
              <w:top w:val="nil"/>
            </w:tcBorders>
            <w:shd w:val="clear" w:color="auto" w:fill="FFFFFF"/>
          </w:tcPr>
          <w:p w14:paraId="22E767C6" w14:textId="02AEF391" w:rsidR="00587C48" w:rsidRPr="00D22029" w:rsidRDefault="00587C48" w:rsidP="00DB3BE2">
            <w:pPr>
              <w:pStyle w:val="TableText"/>
              <w:rPr>
                <w:szCs w:val="18"/>
              </w:rPr>
            </w:pPr>
            <w:r w:rsidRPr="00D22029">
              <w:rPr>
                <w:szCs w:val="18"/>
              </w:rPr>
              <w:t xml:space="preserve">Before commencing the operation, the applicant shall notify occupiers and, as far as practicable, owners of land, </w:t>
            </w:r>
            <w:r w:rsidR="006D52F4" w:rsidRPr="00D22029">
              <w:rPr>
                <w:szCs w:val="18"/>
              </w:rPr>
              <w:t>homes</w:t>
            </w:r>
            <w:r w:rsidRPr="00D22029">
              <w:rPr>
                <w:szCs w:val="18"/>
              </w:rPr>
              <w:t xml:space="preserve"> or buildings within the operational area and immediately abutting the operational area. </w:t>
            </w:r>
            <w:r w:rsidR="00A45053" w:rsidRPr="00D22029">
              <w:rPr>
                <w:szCs w:val="18"/>
              </w:rPr>
              <w:t xml:space="preserve">Occupiers include schools, community and club halls and facilities. </w:t>
            </w:r>
            <w:r w:rsidRPr="00D22029">
              <w:rPr>
                <w:szCs w:val="18"/>
              </w:rPr>
              <w:t>The notice must be given sufficiently prior to, but within two months of, the proposed application of (</w:t>
            </w:r>
            <w:r w:rsidRPr="00D22029">
              <w:rPr>
                <w:i/>
                <w:szCs w:val="18"/>
              </w:rPr>
              <w:t>insert name</w:t>
            </w:r>
            <w:r w:rsidR="00A454D7">
              <w:rPr>
                <w:i/>
                <w:szCs w:val="18"/>
              </w:rPr>
              <w:t>(s)</w:t>
            </w:r>
            <w:r w:rsidRPr="00D22029">
              <w:rPr>
                <w:i/>
                <w:szCs w:val="18"/>
              </w:rPr>
              <w:t xml:space="preserve"> of VTA(s) and other hazardous substance(s)</w:t>
            </w:r>
            <w:r w:rsidRPr="00D22029">
              <w:rPr>
                <w:szCs w:val="18"/>
              </w:rPr>
              <w:t>). If requested by the person notified, notification shall be repeated at a mutually agreed time before the proposed application.</w:t>
            </w:r>
          </w:p>
          <w:p w14:paraId="2284CD1B" w14:textId="77777777" w:rsidR="00587C48" w:rsidRPr="00D22029" w:rsidRDefault="00587C48" w:rsidP="00DB3BE2">
            <w:pPr>
              <w:pStyle w:val="TableText"/>
              <w:spacing w:after="20"/>
              <w:rPr>
                <w:szCs w:val="18"/>
              </w:rPr>
            </w:pPr>
            <w:r w:rsidRPr="00D22029">
              <w:rPr>
                <w:szCs w:val="18"/>
              </w:rPr>
              <w:t>The notice shall specify:</w:t>
            </w:r>
          </w:p>
          <w:p w14:paraId="5BBD44CC" w14:textId="77777777" w:rsidR="00587C48" w:rsidRPr="00D22029" w:rsidRDefault="00587C48" w:rsidP="00DB3BE2">
            <w:pPr>
              <w:pStyle w:val="TableText"/>
              <w:spacing w:before="0" w:after="20"/>
              <w:ind w:left="369" w:hanging="369"/>
              <w:rPr>
                <w:szCs w:val="18"/>
              </w:rPr>
            </w:pPr>
            <w:r w:rsidRPr="00D22029">
              <w:rPr>
                <w:szCs w:val="18"/>
              </w:rPr>
              <w:t>1.</w:t>
            </w:r>
            <w:r w:rsidRPr="00D22029">
              <w:rPr>
                <w:szCs w:val="18"/>
              </w:rPr>
              <w:tab/>
              <w:t xml:space="preserve">the name and nature of the VTA(s) and other hazardous substance(s) </w:t>
            </w:r>
          </w:p>
          <w:p w14:paraId="07052499" w14:textId="77777777" w:rsidR="00587C48" w:rsidRPr="00D22029" w:rsidRDefault="00587C48" w:rsidP="00DB3BE2">
            <w:pPr>
              <w:pStyle w:val="TableText"/>
              <w:spacing w:before="0" w:after="20"/>
              <w:ind w:left="369" w:hanging="369"/>
              <w:rPr>
                <w:szCs w:val="18"/>
              </w:rPr>
            </w:pPr>
            <w:r w:rsidRPr="00D22029">
              <w:rPr>
                <w:szCs w:val="18"/>
              </w:rPr>
              <w:t>2.</w:t>
            </w:r>
            <w:r w:rsidRPr="00D22029">
              <w:rPr>
                <w:szCs w:val="18"/>
              </w:rPr>
              <w:tab/>
              <w:t>the approximate date on which the VTA(s) and other hazardous substance(s) will be applied</w:t>
            </w:r>
          </w:p>
          <w:p w14:paraId="6B59B6EE" w14:textId="77777777" w:rsidR="00587C48" w:rsidRPr="00D22029" w:rsidRDefault="00587C48" w:rsidP="00DB3BE2">
            <w:pPr>
              <w:pStyle w:val="TableText"/>
              <w:spacing w:before="0" w:after="20"/>
              <w:ind w:left="369" w:hanging="369"/>
              <w:rPr>
                <w:szCs w:val="18"/>
              </w:rPr>
            </w:pPr>
            <w:r w:rsidRPr="00D22029">
              <w:rPr>
                <w:szCs w:val="18"/>
              </w:rPr>
              <w:t>3.</w:t>
            </w:r>
            <w:r w:rsidRPr="00D22029">
              <w:rPr>
                <w:szCs w:val="18"/>
              </w:rPr>
              <w:tab/>
              <w:t>a description of the area over which the VTA(s) and other hazardous substance(s) will be applied</w:t>
            </w:r>
          </w:p>
          <w:p w14:paraId="6BCBAEE3" w14:textId="77777777" w:rsidR="00587C48" w:rsidRPr="00D22029" w:rsidRDefault="00587C48" w:rsidP="00DB3BE2">
            <w:pPr>
              <w:pStyle w:val="TableText"/>
              <w:spacing w:before="0"/>
              <w:ind w:left="369" w:hanging="369"/>
              <w:rPr>
                <w:szCs w:val="18"/>
              </w:rPr>
            </w:pPr>
            <w:r w:rsidRPr="00D22029">
              <w:rPr>
                <w:szCs w:val="18"/>
              </w:rPr>
              <w:t>4.</w:t>
            </w:r>
            <w:r w:rsidRPr="00D22029">
              <w:rPr>
                <w:szCs w:val="18"/>
              </w:rPr>
              <w:tab/>
              <w:t xml:space="preserve">the name and address of the person responsible for applying the VTA(s) and other hazardous substance(s) </w:t>
            </w:r>
          </w:p>
          <w:p w14:paraId="00011FFF" w14:textId="77777777" w:rsidR="00587C48" w:rsidRPr="00D22029" w:rsidRDefault="00587C48" w:rsidP="00DB3BE2">
            <w:pPr>
              <w:pStyle w:val="TableText"/>
              <w:spacing w:before="0"/>
              <w:ind w:left="369" w:hanging="369"/>
              <w:rPr>
                <w:b/>
                <w:szCs w:val="18"/>
              </w:rPr>
            </w:pPr>
            <w:r w:rsidRPr="00D22029">
              <w:rPr>
                <w:szCs w:val="18"/>
              </w:rPr>
              <w:t>5.</w:t>
            </w:r>
            <w:r w:rsidRPr="00D22029">
              <w:rPr>
                <w:szCs w:val="18"/>
              </w:rPr>
              <w:tab/>
              <w:t>information on safety and precautions with respect to the VTA(s) and other hazardous substance(s) being used.</w:t>
            </w:r>
          </w:p>
        </w:tc>
      </w:tr>
      <w:tr w:rsidR="00587C48" w:rsidRPr="00D22029" w14:paraId="20849A39" w14:textId="77777777" w:rsidTr="00431440">
        <w:trPr>
          <w:cantSplit/>
        </w:trPr>
        <w:tc>
          <w:tcPr>
            <w:tcW w:w="1843" w:type="dxa"/>
            <w:shd w:val="clear" w:color="auto" w:fill="auto"/>
          </w:tcPr>
          <w:p w14:paraId="01C87AF0" w14:textId="77777777" w:rsidR="00587C48" w:rsidRPr="00D22029" w:rsidRDefault="00587C48" w:rsidP="002E12FB">
            <w:pPr>
              <w:pStyle w:val="TableText"/>
              <w:rPr>
                <w:b/>
                <w:szCs w:val="18"/>
              </w:rPr>
            </w:pPr>
            <w:r w:rsidRPr="00D22029">
              <w:rPr>
                <w:b/>
                <w:szCs w:val="18"/>
              </w:rPr>
              <w:t>Scope</w:t>
            </w:r>
          </w:p>
        </w:tc>
        <w:tc>
          <w:tcPr>
            <w:tcW w:w="6180" w:type="dxa"/>
            <w:shd w:val="clear" w:color="auto" w:fill="auto"/>
          </w:tcPr>
          <w:p w14:paraId="0320E883" w14:textId="77777777" w:rsidR="00587C48" w:rsidRPr="00D22029" w:rsidRDefault="00587C48" w:rsidP="002E12FB">
            <w:pPr>
              <w:pStyle w:val="TableText"/>
              <w:rPr>
                <w:szCs w:val="18"/>
              </w:rPr>
            </w:pPr>
            <w:r w:rsidRPr="00D22029">
              <w:rPr>
                <w:szCs w:val="18"/>
              </w:rPr>
              <w:t xml:space="preserve">All VTA and other hazardous substance uses </w:t>
            </w:r>
          </w:p>
        </w:tc>
      </w:tr>
      <w:tr w:rsidR="00587C48" w:rsidRPr="00D22029" w14:paraId="462C9E03" w14:textId="77777777" w:rsidTr="00431440">
        <w:trPr>
          <w:cantSplit/>
        </w:trPr>
        <w:tc>
          <w:tcPr>
            <w:tcW w:w="1843" w:type="dxa"/>
            <w:shd w:val="clear" w:color="auto" w:fill="auto"/>
          </w:tcPr>
          <w:p w14:paraId="1A1D42C3" w14:textId="77777777" w:rsidR="00587C48" w:rsidRPr="00D22029" w:rsidRDefault="00587C48" w:rsidP="002E12FB">
            <w:pPr>
              <w:pStyle w:val="TableText"/>
              <w:rPr>
                <w:b/>
                <w:szCs w:val="18"/>
              </w:rPr>
            </w:pPr>
            <w:r w:rsidRPr="00D22029">
              <w:rPr>
                <w:b/>
                <w:szCs w:val="18"/>
              </w:rPr>
              <w:t>Rationale for the condition</w:t>
            </w:r>
          </w:p>
        </w:tc>
        <w:tc>
          <w:tcPr>
            <w:tcW w:w="6180" w:type="dxa"/>
            <w:shd w:val="clear" w:color="auto" w:fill="auto"/>
          </w:tcPr>
          <w:p w14:paraId="0EB4B912" w14:textId="738780FA" w:rsidR="00587C48" w:rsidRPr="00D22029" w:rsidRDefault="00587C48" w:rsidP="00954E74">
            <w:pPr>
              <w:pStyle w:val="TableText"/>
              <w:rPr>
                <w:szCs w:val="18"/>
              </w:rPr>
            </w:pPr>
            <w:r w:rsidRPr="00D22029">
              <w:rPr>
                <w:szCs w:val="18"/>
              </w:rPr>
              <w:t xml:space="preserve">Legal requirements 1 to 4 exist for 1080 and MZP paste only. This condition ensures that landowners are notified when </w:t>
            </w:r>
            <w:r w:rsidR="00954E74" w:rsidRPr="00D22029">
              <w:rPr>
                <w:szCs w:val="18"/>
              </w:rPr>
              <w:t>other</w:t>
            </w:r>
            <w:r w:rsidRPr="00D22029">
              <w:rPr>
                <w:szCs w:val="18"/>
              </w:rPr>
              <w:t xml:space="preserve"> VTA</w:t>
            </w:r>
            <w:r w:rsidR="00954E74" w:rsidRPr="00D22029">
              <w:rPr>
                <w:szCs w:val="18"/>
              </w:rPr>
              <w:t>s</w:t>
            </w:r>
            <w:r w:rsidRPr="00D22029">
              <w:rPr>
                <w:szCs w:val="18"/>
              </w:rPr>
              <w:t xml:space="preserve"> or hazardous substance</w:t>
            </w:r>
            <w:r w:rsidR="00954E74" w:rsidRPr="00D22029">
              <w:rPr>
                <w:szCs w:val="18"/>
              </w:rPr>
              <w:t>s are</w:t>
            </w:r>
            <w:r w:rsidRPr="00D22029">
              <w:rPr>
                <w:szCs w:val="18"/>
              </w:rPr>
              <w:t xml:space="preserve"> used.</w:t>
            </w:r>
            <w:r w:rsidR="00954E74" w:rsidRPr="00D22029">
              <w:rPr>
                <w:szCs w:val="18"/>
              </w:rPr>
              <w:t xml:space="preserve"> It</w:t>
            </w:r>
            <w:r w:rsidRPr="00D22029">
              <w:rPr>
                <w:szCs w:val="18"/>
              </w:rPr>
              <w:t xml:space="preserve"> ensures that land occupiers and owners are informed about the risks</w:t>
            </w:r>
            <w:r w:rsidR="00954E74" w:rsidRPr="00D22029">
              <w:rPr>
                <w:szCs w:val="18"/>
              </w:rPr>
              <w:t xml:space="preserve"> of the operation and the use of VTAs or other hazardous substances</w:t>
            </w:r>
            <w:r w:rsidRPr="00D22029">
              <w:rPr>
                <w:szCs w:val="18"/>
              </w:rPr>
              <w:t>.</w:t>
            </w:r>
          </w:p>
        </w:tc>
      </w:tr>
      <w:tr w:rsidR="00587C48" w:rsidRPr="00D22029" w14:paraId="065FEACB" w14:textId="77777777" w:rsidTr="00431440">
        <w:trPr>
          <w:cantSplit/>
        </w:trPr>
        <w:tc>
          <w:tcPr>
            <w:tcW w:w="1843" w:type="dxa"/>
            <w:shd w:val="clear" w:color="auto" w:fill="auto"/>
          </w:tcPr>
          <w:p w14:paraId="38B6B4F4" w14:textId="77777777" w:rsidR="00587C48" w:rsidRPr="00D22029" w:rsidRDefault="00587C48" w:rsidP="002E12FB">
            <w:pPr>
              <w:pStyle w:val="TableText"/>
              <w:rPr>
                <w:b/>
                <w:szCs w:val="18"/>
              </w:rPr>
            </w:pPr>
            <w:r w:rsidRPr="00D22029">
              <w:rPr>
                <w:b/>
                <w:szCs w:val="18"/>
              </w:rPr>
              <w:t>Commentary</w:t>
            </w:r>
          </w:p>
        </w:tc>
        <w:tc>
          <w:tcPr>
            <w:tcW w:w="6180" w:type="dxa"/>
            <w:shd w:val="clear" w:color="auto" w:fill="auto"/>
          </w:tcPr>
          <w:p w14:paraId="3FBBDA73" w14:textId="77777777" w:rsidR="00587C48" w:rsidRPr="00D22029" w:rsidRDefault="00587C48" w:rsidP="002E12FB">
            <w:pPr>
              <w:pStyle w:val="TableText"/>
              <w:rPr>
                <w:rFonts w:cs="Segoe UI"/>
                <w:szCs w:val="18"/>
              </w:rPr>
            </w:pPr>
            <w:r w:rsidRPr="00D22029">
              <w:rPr>
                <w:rFonts w:cs="Segoe UI"/>
                <w:szCs w:val="18"/>
              </w:rPr>
              <w:t>The public health risk assessment may identify occupiers and owners who should be informed of the operation.</w:t>
            </w:r>
          </w:p>
          <w:p w14:paraId="5448C2A4" w14:textId="39356FD3" w:rsidR="009A1F31" w:rsidRPr="00D22029" w:rsidRDefault="009A1F31">
            <w:pPr>
              <w:pStyle w:val="CommentText"/>
            </w:pPr>
            <w:r w:rsidRPr="00D22029">
              <w:rPr>
                <w:rFonts w:ascii="Segoe UI" w:hAnsi="Segoe UI" w:cs="Segoe UI"/>
                <w:sz w:val="18"/>
                <w:szCs w:val="18"/>
              </w:rPr>
              <w:t>Operators must also comply with signage requirements under regulation</w:t>
            </w:r>
            <w:r w:rsidR="00A454D7">
              <w:rPr>
                <w:rFonts w:ascii="Segoe UI" w:hAnsi="Segoe UI" w:cs="Segoe UI"/>
                <w:sz w:val="18"/>
                <w:szCs w:val="18"/>
              </w:rPr>
              <w:t> </w:t>
            </w:r>
            <w:r w:rsidRPr="00D22029">
              <w:rPr>
                <w:rFonts w:ascii="Segoe UI" w:hAnsi="Segoe UI" w:cs="Segoe UI"/>
                <w:sz w:val="18"/>
                <w:szCs w:val="18"/>
              </w:rPr>
              <w:t xml:space="preserve">13.19 of the Health and Safety at Work (Hazardous Substances) Regulations 2017 </w:t>
            </w:r>
            <w:hyperlink r:id="rId53" w:history="1">
              <w:r w:rsidRPr="00D22029">
                <w:rPr>
                  <w:rStyle w:val="Hyperlink"/>
                  <w:rFonts w:ascii="Segoe UI" w:hAnsi="Segoe UI" w:cs="Segoe UI"/>
                  <w:sz w:val="18"/>
                  <w:szCs w:val="18"/>
                </w:rPr>
                <w:t>https://www.legislation.govt.nz/regulation/public/2017/0131/latest/DLM7366722.html</w:t>
              </w:r>
            </w:hyperlink>
          </w:p>
        </w:tc>
      </w:tr>
      <w:tr w:rsidR="00587C48" w:rsidRPr="00D22029" w14:paraId="61CB89DA" w14:textId="77777777" w:rsidTr="00431440">
        <w:trPr>
          <w:cantSplit/>
        </w:trPr>
        <w:tc>
          <w:tcPr>
            <w:tcW w:w="1843" w:type="dxa"/>
            <w:shd w:val="clear" w:color="auto" w:fill="auto"/>
          </w:tcPr>
          <w:p w14:paraId="28BF1FBA" w14:textId="77777777" w:rsidR="00587C48" w:rsidRPr="00D22029" w:rsidRDefault="00587C48" w:rsidP="002E12FB">
            <w:pPr>
              <w:pStyle w:val="TableText"/>
              <w:rPr>
                <w:b/>
                <w:szCs w:val="18"/>
              </w:rPr>
            </w:pPr>
            <w:r w:rsidRPr="00D22029">
              <w:rPr>
                <w:b/>
                <w:szCs w:val="18"/>
              </w:rPr>
              <w:t>Modification options</w:t>
            </w:r>
          </w:p>
        </w:tc>
        <w:tc>
          <w:tcPr>
            <w:tcW w:w="6180" w:type="dxa"/>
            <w:shd w:val="clear" w:color="auto" w:fill="auto"/>
          </w:tcPr>
          <w:p w14:paraId="4730DBF7" w14:textId="7E55BF15" w:rsidR="00587C48" w:rsidRPr="00D22029" w:rsidRDefault="00587C48" w:rsidP="002E12FB">
            <w:pPr>
              <w:pStyle w:val="TableText"/>
              <w:rPr>
                <w:szCs w:val="18"/>
              </w:rPr>
            </w:pPr>
            <w:r w:rsidRPr="00D22029">
              <w:rPr>
                <w:szCs w:val="18"/>
              </w:rPr>
              <w:t xml:space="preserve">This condition may be modified where it is useful from a public health perspective to notify a listed wider group of owners/occupiers. </w:t>
            </w:r>
          </w:p>
          <w:p w14:paraId="387371D1" w14:textId="1089EBA6" w:rsidR="00587C48" w:rsidRPr="00D22029" w:rsidRDefault="00587C48" w:rsidP="002E12FB">
            <w:pPr>
              <w:pStyle w:val="TableText"/>
              <w:rPr>
                <w:szCs w:val="18"/>
              </w:rPr>
            </w:pPr>
            <w:r w:rsidRPr="00D22029">
              <w:rPr>
                <w:szCs w:val="18"/>
              </w:rPr>
              <w:t>A telephone contact number may also be required.</w:t>
            </w:r>
          </w:p>
          <w:p w14:paraId="059E2B93" w14:textId="77777777" w:rsidR="00227E48" w:rsidRPr="00D22029" w:rsidRDefault="00954E74" w:rsidP="00954E74">
            <w:pPr>
              <w:pStyle w:val="TableText"/>
              <w:rPr>
                <w:szCs w:val="18"/>
              </w:rPr>
            </w:pPr>
            <w:r w:rsidRPr="00D22029">
              <w:rPr>
                <w:szCs w:val="18"/>
              </w:rPr>
              <w:t>In some cases, where nearby owners/occupiers commonly use the operational area, the condition could be widened to include owners/occupiers even if they are not immediately abutting the operational area.</w:t>
            </w:r>
            <w:r w:rsidR="008E1CE0" w:rsidRPr="00D22029">
              <w:rPr>
                <w:szCs w:val="18"/>
              </w:rPr>
              <w:t xml:space="preserve"> </w:t>
            </w:r>
          </w:p>
          <w:p w14:paraId="031509A6" w14:textId="29396745" w:rsidR="00587C48" w:rsidRPr="00D22029" w:rsidRDefault="008E1CE0" w:rsidP="00954E74">
            <w:pPr>
              <w:pStyle w:val="TableText"/>
              <w:rPr>
                <w:szCs w:val="18"/>
              </w:rPr>
            </w:pPr>
            <w:r w:rsidRPr="00D22029">
              <w:rPr>
                <w:szCs w:val="18"/>
              </w:rPr>
              <w:t xml:space="preserve">The applicant may also </w:t>
            </w:r>
            <w:r w:rsidR="00693BB9" w:rsidRPr="00D22029">
              <w:rPr>
                <w:szCs w:val="18"/>
              </w:rPr>
              <w:t xml:space="preserve">wish to </w:t>
            </w:r>
            <w:r w:rsidRPr="00D22029">
              <w:rPr>
                <w:szCs w:val="18"/>
              </w:rPr>
              <w:t>notify</w:t>
            </w:r>
            <w:r w:rsidR="00693BB9" w:rsidRPr="00D22029">
              <w:rPr>
                <w:szCs w:val="18"/>
              </w:rPr>
              <w:t xml:space="preserve"> key </w:t>
            </w:r>
            <w:r w:rsidRPr="00D22029">
              <w:rPr>
                <w:szCs w:val="18"/>
              </w:rPr>
              <w:t>stakeholders such as tramping or hunting clubs</w:t>
            </w:r>
            <w:r w:rsidR="008F7394" w:rsidRPr="00D22029">
              <w:rPr>
                <w:szCs w:val="18"/>
              </w:rPr>
              <w:t xml:space="preserve"> </w:t>
            </w:r>
            <w:r w:rsidR="00BB404F">
              <w:rPr>
                <w:szCs w:val="18"/>
              </w:rPr>
              <w:t xml:space="preserve">or </w:t>
            </w:r>
            <w:r w:rsidR="008F7394" w:rsidRPr="00D22029">
              <w:rPr>
                <w:szCs w:val="18"/>
              </w:rPr>
              <w:t>outdoor education providers</w:t>
            </w:r>
            <w:r w:rsidR="00227E48" w:rsidRPr="00D22029">
              <w:rPr>
                <w:szCs w:val="18"/>
              </w:rPr>
              <w:t xml:space="preserve"> </w:t>
            </w:r>
            <w:r w:rsidR="00BB404F">
              <w:rPr>
                <w:szCs w:val="18"/>
              </w:rPr>
              <w:t>where</w:t>
            </w:r>
            <w:r w:rsidR="00BB404F" w:rsidRPr="00D22029">
              <w:rPr>
                <w:szCs w:val="18"/>
              </w:rPr>
              <w:t xml:space="preserve"> </w:t>
            </w:r>
            <w:r w:rsidRPr="00D22029">
              <w:rPr>
                <w:szCs w:val="18"/>
              </w:rPr>
              <w:t>operations include public land</w:t>
            </w:r>
            <w:r w:rsidR="00227E48" w:rsidRPr="00D22029">
              <w:rPr>
                <w:szCs w:val="18"/>
              </w:rPr>
              <w:t xml:space="preserve"> that </w:t>
            </w:r>
            <w:r w:rsidR="00BB404F" w:rsidRPr="00D22029">
              <w:rPr>
                <w:szCs w:val="18"/>
              </w:rPr>
              <w:t>these groups</w:t>
            </w:r>
            <w:r w:rsidR="00227E48" w:rsidRPr="00D22029">
              <w:rPr>
                <w:szCs w:val="18"/>
              </w:rPr>
              <w:t xml:space="preserve"> frequently use</w:t>
            </w:r>
            <w:r w:rsidRPr="00D22029">
              <w:rPr>
                <w:szCs w:val="18"/>
              </w:rPr>
              <w:t xml:space="preserve">. </w:t>
            </w:r>
          </w:p>
          <w:p w14:paraId="3FE225A9" w14:textId="1E6DE33A" w:rsidR="00430440" w:rsidRPr="00D22029" w:rsidRDefault="00430440" w:rsidP="00954E74">
            <w:pPr>
              <w:pStyle w:val="TableText"/>
              <w:rPr>
                <w:szCs w:val="18"/>
              </w:rPr>
            </w:pPr>
            <w:r w:rsidRPr="00D22029">
              <w:rPr>
                <w:szCs w:val="18"/>
              </w:rPr>
              <w:t xml:space="preserve">A </w:t>
            </w:r>
            <w:r w:rsidR="00A37DBA" w:rsidRPr="00D22029">
              <w:rPr>
                <w:szCs w:val="18"/>
              </w:rPr>
              <w:t>greater</w:t>
            </w:r>
            <w:r w:rsidRPr="00D22029">
              <w:rPr>
                <w:szCs w:val="18"/>
              </w:rPr>
              <w:t xml:space="preserve"> distance</w:t>
            </w:r>
            <w:r w:rsidR="001A7659" w:rsidRPr="00D22029">
              <w:rPr>
                <w:szCs w:val="18"/>
              </w:rPr>
              <w:t xml:space="preserve"> between the operation </w:t>
            </w:r>
            <w:r w:rsidR="00733913" w:rsidRPr="00D22029">
              <w:rPr>
                <w:szCs w:val="18"/>
              </w:rPr>
              <w:t xml:space="preserve">zone </w:t>
            </w:r>
            <w:r w:rsidR="001A7659" w:rsidRPr="00D22029">
              <w:rPr>
                <w:szCs w:val="18"/>
              </w:rPr>
              <w:t>boundary and occupiers</w:t>
            </w:r>
            <w:r w:rsidR="00BA4A67" w:rsidRPr="00D22029">
              <w:rPr>
                <w:szCs w:val="18"/>
              </w:rPr>
              <w:t xml:space="preserve"> may be applied</w:t>
            </w:r>
            <w:r w:rsidR="00733913" w:rsidRPr="00D22029">
              <w:rPr>
                <w:szCs w:val="18"/>
              </w:rPr>
              <w:t>.</w:t>
            </w:r>
            <w:r w:rsidR="001A7659" w:rsidRPr="00D22029">
              <w:rPr>
                <w:szCs w:val="18"/>
              </w:rPr>
              <w:t xml:space="preserve"> </w:t>
            </w:r>
          </w:p>
        </w:tc>
      </w:tr>
      <w:tr w:rsidR="00587C48" w:rsidRPr="00D22029" w14:paraId="0D24FB9F" w14:textId="77777777" w:rsidTr="00431440">
        <w:trPr>
          <w:cantSplit/>
        </w:trPr>
        <w:tc>
          <w:tcPr>
            <w:tcW w:w="1843" w:type="dxa"/>
            <w:shd w:val="clear" w:color="auto" w:fill="auto"/>
          </w:tcPr>
          <w:p w14:paraId="587458A5" w14:textId="77777777" w:rsidR="00587C48" w:rsidRPr="00D22029" w:rsidRDefault="00587C48" w:rsidP="002E12FB">
            <w:pPr>
              <w:pStyle w:val="TableText"/>
              <w:rPr>
                <w:b/>
                <w:szCs w:val="18"/>
              </w:rPr>
            </w:pPr>
            <w:r w:rsidRPr="00D22029">
              <w:rPr>
                <w:b/>
                <w:szCs w:val="18"/>
              </w:rPr>
              <w:t>Example</w:t>
            </w:r>
          </w:p>
        </w:tc>
        <w:tc>
          <w:tcPr>
            <w:tcW w:w="6180" w:type="dxa"/>
            <w:shd w:val="clear" w:color="auto" w:fill="auto"/>
          </w:tcPr>
          <w:p w14:paraId="027993BA" w14:textId="7AA272EB" w:rsidR="00587C48" w:rsidRPr="00D22029" w:rsidRDefault="00954E74" w:rsidP="002E12FB">
            <w:pPr>
              <w:pStyle w:val="TableText"/>
              <w:rPr>
                <w:szCs w:val="18"/>
              </w:rPr>
            </w:pPr>
            <w:r w:rsidRPr="00D22029">
              <w:rPr>
                <w:szCs w:val="18"/>
              </w:rPr>
              <w:t xml:space="preserve">An example distance relating to proximity for nearby owners may be 150 m or alternatively a statement may be made that refers to </w:t>
            </w:r>
            <w:r w:rsidR="00D83EC8">
              <w:rPr>
                <w:szCs w:val="18"/>
              </w:rPr>
              <w:t>‘</w:t>
            </w:r>
            <w:r w:rsidR="006D52F4" w:rsidRPr="00D22029">
              <w:rPr>
                <w:szCs w:val="18"/>
              </w:rPr>
              <w:t>homes</w:t>
            </w:r>
            <w:r w:rsidRPr="00D22029">
              <w:rPr>
                <w:szCs w:val="18"/>
              </w:rPr>
              <w:t xml:space="preserve"> identified as per Section </w:t>
            </w:r>
            <w:r w:rsidR="00D83EC8">
              <w:rPr>
                <w:szCs w:val="18"/>
              </w:rPr>
              <w:t>“</w:t>
            </w:r>
            <w:r w:rsidRPr="00D22029">
              <w:rPr>
                <w:szCs w:val="18"/>
              </w:rPr>
              <w:t>X</w:t>
            </w:r>
            <w:r w:rsidR="00D83EC8">
              <w:rPr>
                <w:szCs w:val="18"/>
              </w:rPr>
              <w:t>”</w:t>
            </w:r>
            <w:r w:rsidRPr="00D22029">
              <w:rPr>
                <w:szCs w:val="18"/>
              </w:rPr>
              <w:t xml:space="preserve"> of the application</w:t>
            </w:r>
            <w:r w:rsidR="00D83EC8">
              <w:rPr>
                <w:szCs w:val="18"/>
              </w:rPr>
              <w:t>’</w:t>
            </w:r>
            <w:r w:rsidRPr="00D22029">
              <w:rPr>
                <w:szCs w:val="18"/>
              </w:rPr>
              <w:t>.</w:t>
            </w:r>
          </w:p>
        </w:tc>
      </w:tr>
    </w:tbl>
    <w:p w14:paraId="5ED5CD51" w14:textId="49D5D209" w:rsidR="00587C48" w:rsidRPr="00D22029" w:rsidRDefault="00587C48" w:rsidP="00587C48"/>
    <w:p w14:paraId="5CD2156A" w14:textId="137B8C7A" w:rsidR="009A1F31" w:rsidRPr="00D22029" w:rsidRDefault="009A1F31"/>
    <w:tbl>
      <w:tblPr>
        <w:tblW w:w="8023"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1843"/>
        <w:gridCol w:w="6180"/>
      </w:tblGrid>
      <w:tr w:rsidR="00954E74" w:rsidRPr="00D22029" w14:paraId="004F8A00" w14:textId="77777777" w:rsidTr="00F4433C">
        <w:trPr>
          <w:cantSplit/>
        </w:trPr>
        <w:tc>
          <w:tcPr>
            <w:tcW w:w="8023" w:type="dxa"/>
            <w:gridSpan w:val="2"/>
            <w:tcBorders>
              <w:top w:val="nil"/>
              <w:bottom w:val="nil"/>
            </w:tcBorders>
            <w:shd w:val="clear" w:color="auto" w:fill="D9D9D9"/>
          </w:tcPr>
          <w:p w14:paraId="0C785B34" w14:textId="3CCD695A" w:rsidR="00954E74" w:rsidRPr="00D22029" w:rsidRDefault="00954E74" w:rsidP="00F91AF2">
            <w:pPr>
              <w:pStyle w:val="TableText"/>
              <w:rPr>
                <w:szCs w:val="18"/>
              </w:rPr>
            </w:pPr>
            <w:r w:rsidRPr="00D22029">
              <w:rPr>
                <w:b/>
                <w:szCs w:val="18"/>
              </w:rPr>
              <w:t xml:space="preserve">CONDITION </w:t>
            </w:r>
            <w:r w:rsidR="00C37B70" w:rsidRPr="00D22029">
              <w:rPr>
                <w:b/>
                <w:szCs w:val="18"/>
              </w:rPr>
              <w:t>4</w:t>
            </w:r>
            <w:r w:rsidRPr="00D22029">
              <w:rPr>
                <w:b/>
                <w:szCs w:val="18"/>
              </w:rPr>
              <w:t>: Complaints and incidents</w:t>
            </w:r>
          </w:p>
        </w:tc>
      </w:tr>
      <w:tr w:rsidR="00954E74" w:rsidRPr="00D22029" w14:paraId="3C6A549A" w14:textId="77777777" w:rsidTr="00F4433C">
        <w:trPr>
          <w:cantSplit/>
        </w:trPr>
        <w:tc>
          <w:tcPr>
            <w:tcW w:w="8023" w:type="dxa"/>
            <w:gridSpan w:val="2"/>
            <w:tcBorders>
              <w:top w:val="nil"/>
            </w:tcBorders>
            <w:shd w:val="clear" w:color="auto" w:fill="FFFFFF"/>
          </w:tcPr>
          <w:p w14:paraId="066DC6A5" w14:textId="77777777" w:rsidR="00954E74" w:rsidRPr="00D22029" w:rsidRDefault="00954E74" w:rsidP="00F91AF2">
            <w:pPr>
              <w:pStyle w:val="TableText"/>
              <w:rPr>
                <w:szCs w:val="18"/>
              </w:rPr>
            </w:pPr>
            <w:r w:rsidRPr="00D22029">
              <w:rPr>
                <w:szCs w:val="18"/>
              </w:rPr>
              <w:t>Any incidents or complaints relating to the operation that are likely to impact on public health shall be reported to (</w:t>
            </w:r>
            <w:r w:rsidRPr="00D22029">
              <w:rPr>
                <w:i/>
                <w:iCs/>
                <w:szCs w:val="18"/>
              </w:rPr>
              <w:t>insert name)</w:t>
            </w:r>
            <w:r w:rsidRPr="00D22029">
              <w:rPr>
                <w:szCs w:val="18"/>
              </w:rPr>
              <w:t xml:space="preserve"> within 24 hours of the incident or complaint.</w:t>
            </w:r>
          </w:p>
        </w:tc>
      </w:tr>
      <w:tr w:rsidR="00954E74" w:rsidRPr="00D22029" w14:paraId="6CE09355" w14:textId="77777777" w:rsidTr="00F4433C">
        <w:trPr>
          <w:cantSplit/>
        </w:trPr>
        <w:tc>
          <w:tcPr>
            <w:tcW w:w="1843" w:type="dxa"/>
            <w:shd w:val="clear" w:color="auto" w:fill="auto"/>
          </w:tcPr>
          <w:p w14:paraId="563C63AF" w14:textId="77777777" w:rsidR="00954E74" w:rsidRPr="00D22029" w:rsidRDefault="00954E74" w:rsidP="00F91AF2">
            <w:pPr>
              <w:pStyle w:val="TableText"/>
              <w:rPr>
                <w:b/>
                <w:szCs w:val="18"/>
              </w:rPr>
            </w:pPr>
            <w:r w:rsidRPr="00D22029">
              <w:rPr>
                <w:b/>
                <w:szCs w:val="18"/>
              </w:rPr>
              <w:t>Scope</w:t>
            </w:r>
          </w:p>
        </w:tc>
        <w:tc>
          <w:tcPr>
            <w:tcW w:w="6180" w:type="dxa"/>
            <w:shd w:val="clear" w:color="auto" w:fill="auto"/>
          </w:tcPr>
          <w:p w14:paraId="65C90C0F" w14:textId="77777777" w:rsidR="00954E74" w:rsidRPr="00D22029" w:rsidRDefault="00954E74" w:rsidP="00F91AF2">
            <w:pPr>
              <w:pStyle w:val="TableText"/>
              <w:rPr>
                <w:szCs w:val="18"/>
              </w:rPr>
            </w:pPr>
            <w:r w:rsidRPr="00D22029">
              <w:rPr>
                <w:szCs w:val="18"/>
              </w:rPr>
              <w:t>All VTA and other hazardous substance uses.</w:t>
            </w:r>
          </w:p>
        </w:tc>
      </w:tr>
      <w:tr w:rsidR="00954E74" w:rsidRPr="00D22029" w14:paraId="20BBD74D" w14:textId="77777777" w:rsidTr="00F4433C">
        <w:trPr>
          <w:cantSplit/>
        </w:trPr>
        <w:tc>
          <w:tcPr>
            <w:tcW w:w="1843" w:type="dxa"/>
            <w:shd w:val="clear" w:color="auto" w:fill="auto"/>
          </w:tcPr>
          <w:p w14:paraId="7E8115B1" w14:textId="77777777" w:rsidR="00954E74" w:rsidRPr="00D22029" w:rsidRDefault="00954E74" w:rsidP="00F91AF2">
            <w:pPr>
              <w:pStyle w:val="TableText"/>
              <w:rPr>
                <w:b/>
                <w:szCs w:val="18"/>
              </w:rPr>
            </w:pPr>
            <w:r w:rsidRPr="00D22029">
              <w:rPr>
                <w:b/>
                <w:szCs w:val="18"/>
              </w:rPr>
              <w:t>Rationale for the condition</w:t>
            </w:r>
          </w:p>
        </w:tc>
        <w:tc>
          <w:tcPr>
            <w:tcW w:w="6180" w:type="dxa"/>
            <w:shd w:val="clear" w:color="auto" w:fill="auto"/>
          </w:tcPr>
          <w:p w14:paraId="392A2435" w14:textId="04366F79" w:rsidR="00954E74" w:rsidRPr="00D22029" w:rsidRDefault="00954E74" w:rsidP="00F91AF2">
            <w:pPr>
              <w:pStyle w:val="TableText"/>
              <w:rPr>
                <w:szCs w:val="18"/>
              </w:rPr>
            </w:pPr>
            <w:r w:rsidRPr="00D22029">
              <w:rPr>
                <w:szCs w:val="18"/>
              </w:rPr>
              <w:t xml:space="preserve">This condition includes potential public health risks, such as baits found in an area where the public may have access. It also includes any reports of public exposures. </w:t>
            </w:r>
          </w:p>
        </w:tc>
      </w:tr>
      <w:tr w:rsidR="00954E74" w:rsidRPr="00D22029" w14:paraId="69EAC1FB" w14:textId="77777777" w:rsidTr="00F4433C">
        <w:trPr>
          <w:cantSplit/>
        </w:trPr>
        <w:tc>
          <w:tcPr>
            <w:tcW w:w="1843" w:type="dxa"/>
            <w:shd w:val="clear" w:color="auto" w:fill="auto"/>
          </w:tcPr>
          <w:p w14:paraId="613F7AD7" w14:textId="77777777" w:rsidR="00954E74" w:rsidRPr="00D22029" w:rsidRDefault="00954E74" w:rsidP="00F91AF2">
            <w:pPr>
              <w:pStyle w:val="TableText"/>
              <w:rPr>
                <w:b/>
                <w:szCs w:val="18"/>
              </w:rPr>
            </w:pPr>
            <w:r w:rsidRPr="00D22029">
              <w:rPr>
                <w:b/>
                <w:szCs w:val="18"/>
              </w:rPr>
              <w:t>Commentary</w:t>
            </w:r>
          </w:p>
        </w:tc>
        <w:tc>
          <w:tcPr>
            <w:tcW w:w="6180" w:type="dxa"/>
            <w:shd w:val="clear" w:color="auto" w:fill="auto"/>
          </w:tcPr>
          <w:p w14:paraId="5B586A16" w14:textId="0967A25A" w:rsidR="00954E74" w:rsidRPr="00D22029" w:rsidRDefault="00954E74" w:rsidP="00F91AF2">
            <w:pPr>
              <w:pStyle w:val="TableText"/>
              <w:rPr>
                <w:szCs w:val="18"/>
              </w:rPr>
            </w:pPr>
            <w:r w:rsidRPr="00D22029">
              <w:rPr>
                <w:szCs w:val="18"/>
              </w:rPr>
              <w:t>It does not include incidents such as persistent vexatious complaints</w:t>
            </w:r>
            <w:r w:rsidR="00BC3970" w:rsidRPr="00D22029">
              <w:rPr>
                <w:szCs w:val="18"/>
              </w:rPr>
              <w:t xml:space="preserve"> or complaints where public exposure is implausible</w:t>
            </w:r>
            <w:r w:rsidRPr="00D22029">
              <w:rPr>
                <w:szCs w:val="18"/>
              </w:rPr>
              <w:t>.</w:t>
            </w:r>
          </w:p>
        </w:tc>
      </w:tr>
      <w:tr w:rsidR="00954E74" w:rsidRPr="00D22029" w14:paraId="0A7941AE" w14:textId="77777777" w:rsidTr="00F4433C">
        <w:trPr>
          <w:cantSplit/>
        </w:trPr>
        <w:tc>
          <w:tcPr>
            <w:tcW w:w="1843" w:type="dxa"/>
            <w:shd w:val="clear" w:color="auto" w:fill="auto"/>
          </w:tcPr>
          <w:p w14:paraId="6E209AEA" w14:textId="77777777" w:rsidR="00954E74" w:rsidRPr="00D22029" w:rsidRDefault="00954E74" w:rsidP="00F91AF2">
            <w:pPr>
              <w:pStyle w:val="TableText"/>
              <w:rPr>
                <w:b/>
                <w:szCs w:val="18"/>
              </w:rPr>
            </w:pPr>
            <w:r w:rsidRPr="00D22029">
              <w:rPr>
                <w:b/>
                <w:szCs w:val="18"/>
              </w:rPr>
              <w:t>Modification options</w:t>
            </w:r>
          </w:p>
        </w:tc>
        <w:tc>
          <w:tcPr>
            <w:tcW w:w="6180" w:type="dxa"/>
            <w:shd w:val="clear" w:color="auto" w:fill="auto"/>
          </w:tcPr>
          <w:p w14:paraId="73E3EFF3" w14:textId="672AB14E" w:rsidR="00954E74" w:rsidRPr="00D22029" w:rsidRDefault="00954E74" w:rsidP="00F91AF2">
            <w:pPr>
              <w:pStyle w:val="TableText"/>
              <w:rPr>
                <w:szCs w:val="18"/>
              </w:rPr>
            </w:pPr>
            <w:r w:rsidRPr="00D22029">
              <w:rPr>
                <w:szCs w:val="18"/>
              </w:rPr>
              <w:t xml:space="preserve">The period of time </w:t>
            </w:r>
            <w:r w:rsidR="00EB4640">
              <w:rPr>
                <w:szCs w:val="18"/>
              </w:rPr>
              <w:t>set for making a</w:t>
            </w:r>
            <w:r w:rsidRPr="00D22029">
              <w:rPr>
                <w:szCs w:val="18"/>
              </w:rPr>
              <w:t xml:space="preserve"> notification may be altered (for example, </w:t>
            </w:r>
            <w:r w:rsidR="00EB4640">
              <w:rPr>
                <w:szCs w:val="18"/>
              </w:rPr>
              <w:t>to ‘</w:t>
            </w:r>
            <w:r w:rsidRPr="00D22029">
              <w:rPr>
                <w:szCs w:val="18"/>
              </w:rPr>
              <w:t>within one or two working days</w:t>
            </w:r>
            <w:r w:rsidR="00EB4640">
              <w:rPr>
                <w:szCs w:val="18"/>
              </w:rPr>
              <w:t>’</w:t>
            </w:r>
            <w:r w:rsidRPr="00D22029">
              <w:rPr>
                <w:szCs w:val="18"/>
              </w:rPr>
              <w:t>).</w:t>
            </w:r>
          </w:p>
        </w:tc>
      </w:tr>
    </w:tbl>
    <w:p w14:paraId="68D96230" w14:textId="77777777" w:rsidR="00954E74" w:rsidRPr="00D22029" w:rsidRDefault="00954E74" w:rsidP="00954E74"/>
    <w:p w14:paraId="5F3921BE" w14:textId="77777777" w:rsidR="009A1F31" w:rsidRPr="00D22029" w:rsidRDefault="009A1F31">
      <w:pPr>
        <w:rPr>
          <w:color w:val="0A6AB4"/>
          <w:spacing w:val="-5"/>
          <w:sz w:val="36"/>
        </w:rPr>
      </w:pPr>
      <w:r w:rsidRPr="00D22029">
        <w:br w:type="page"/>
      </w:r>
    </w:p>
    <w:p w14:paraId="73A30AC9" w14:textId="028C6631" w:rsidR="00587C48" w:rsidRPr="00D22029" w:rsidRDefault="00633F3B" w:rsidP="00633F3B">
      <w:pPr>
        <w:pStyle w:val="Heading3"/>
      </w:pPr>
      <w:r w:rsidRPr="00D22029">
        <w:t>Areas where a risk to public health may be created</w:t>
      </w:r>
    </w:p>
    <w:tbl>
      <w:tblPr>
        <w:tblW w:w="8023"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1843"/>
        <w:gridCol w:w="6180"/>
      </w:tblGrid>
      <w:tr w:rsidR="00587C48" w:rsidRPr="00D22029" w14:paraId="008D7026" w14:textId="77777777" w:rsidTr="00F4433C">
        <w:trPr>
          <w:cantSplit/>
          <w:tblHeader/>
        </w:trPr>
        <w:tc>
          <w:tcPr>
            <w:tcW w:w="8023" w:type="dxa"/>
            <w:gridSpan w:val="2"/>
            <w:tcBorders>
              <w:top w:val="nil"/>
              <w:bottom w:val="nil"/>
            </w:tcBorders>
            <w:shd w:val="clear" w:color="auto" w:fill="D9D9D9"/>
          </w:tcPr>
          <w:p w14:paraId="50E1C69E" w14:textId="18DB3614" w:rsidR="00587C48" w:rsidRPr="00D22029" w:rsidRDefault="00587C48" w:rsidP="002E12FB">
            <w:pPr>
              <w:pStyle w:val="TableText"/>
              <w:keepNext/>
              <w:rPr>
                <w:b/>
                <w:szCs w:val="18"/>
              </w:rPr>
            </w:pPr>
            <w:r w:rsidRPr="00D22029">
              <w:rPr>
                <w:b/>
                <w:szCs w:val="18"/>
              </w:rPr>
              <w:t xml:space="preserve">CONDITION </w:t>
            </w:r>
            <w:r w:rsidR="00C37B70" w:rsidRPr="00D22029">
              <w:rPr>
                <w:b/>
                <w:szCs w:val="18"/>
              </w:rPr>
              <w:t>5</w:t>
            </w:r>
            <w:r w:rsidRPr="00D22029">
              <w:rPr>
                <w:b/>
                <w:szCs w:val="18"/>
              </w:rPr>
              <w:t xml:space="preserve">: </w:t>
            </w:r>
            <w:r w:rsidR="000F6F2A" w:rsidRPr="00D22029">
              <w:rPr>
                <w:b/>
                <w:szCs w:val="18"/>
              </w:rPr>
              <w:t>Protection of</w:t>
            </w:r>
            <w:r w:rsidRPr="00D22029">
              <w:rPr>
                <w:b/>
                <w:szCs w:val="18"/>
              </w:rPr>
              <w:t xml:space="preserve"> </w:t>
            </w:r>
            <w:r w:rsidR="00610482" w:rsidRPr="00D22029">
              <w:rPr>
                <w:b/>
                <w:szCs w:val="18"/>
              </w:rPr>
              <w:t>the</w:t>
            </w:r>
            <w:r w:rsidRPr="00D22029">
              <w:rPr>
                <w:b/>
                <w:szCs w:val="18"/>
              </w:rPr>
              <w:t xml:space="preserve"> public</w:t>
            </w:r>
          </w:p>
        </w:tc>
      </w:tr>
      <w:tr w:rsidR="00587C48" w:rsidRPr="00D22029" w14:paraId="13428235" w14:textId="77777777" w:rsidTr="00F4433C">
        <w:trPr>
          <w:cantSplit/>
        </w:trPr>
        <w:tc>
          <w:tcPr>
            <w:tcW w:w="8023" w:type="dxa"/>
            <w:gridSpan w:val="2"/>
            <w:tcBorders>
              <w:top w:val="nil"/>
            </w:tcBorders>
            <w:shd w:val="clear" w:color="auto" w:fill="auto"/>
          </w:tcPr>
          <w:p w14:paraId="2B051744" w14:textId="6BE0F31F" w:rsidR="004E4360" w:rsidRPr="00D22029" w:rsidRDefault="00F91393" w:rsidP="00DB3BE2">
            <w:pPr>
              <w:pStyle w:val="TableText"/>
              <w:keepNext/>
              <w:rPr>
                <w:szCs w:val="18"/>
              </w:rPr>
            </w:pPr>
            <w:r w:rsidRPr="00D22029">
              <w:rPr>
                <w:szCs w:val="18"/>
              </w:rPr>
              <w:t>No (</w:t>
            </w:r>
            <w:r w:rsidRPr="00D22029">
              <w:rPr>
                <w:i/>
                <w:szCs w:val="18"/>
              </w:rPr>
              <w:t>insert name</w:t>
            </w:r>
            <w:r w:rsidR="00E60E7A">
              <w:rPr>
                <w:i/>
                <w:szCs w:val="18"/>
              </w:rPr>
              <w:t>(s)</w:t>
            </w:r>
            <w:r w:rsidRPr="00D22029">
              <w:rPr>
                <w:i/>
                <w:szCs w:val="18"/>
              </w:rPr>
              <w:t xml:space="preserve"> of VTA(s) and other hazardous substance(s)</w:t>
            </w:r>
            <w:r w:rsidRPr="00D22029">
              <w:rPr>
                <w:szCs w:val="18"/>
              </w:rPr>
              <w:t>) shall be (</w:t>
            </w:r>
            <w:r w:rsidRPr="00D22029">
              <w:rPr>
                <w:i/>
                <w:iCs/>
                <w:szCs w:val="18"/>
              </w:rPr>
              <w:t>specify ‘aerially’ or ‘ground’</w:t>
            </w:r>
            <w:r w:rsidRPr="00D22029">
              <w:rPr>
                <w:szCs w:val="18"/>
              </w:rPr>
              <w:t>) applied within the distances listed below</w:t>
            </w:r>
            <w:r w:rsidRPr="00D22029">
              <w:rPr>
                <w:i/>
                <w:iCs/>
                <w:szCs w:val="18"/>
              </w:rPr>
              <w:t xml:space="preserve">, </w:t>
            </w:r>
            <w:r w:rsidRPr="00D22029">
              <w:rPr>
                <w:szCs w:val="18"/>
              </w:rPr>
              <w:t xml:space="preserve">and not where </w:t>
            </w:r>
            <w:r w:rsidR="00E60E7A">
              <w:rPr>
                <w:i/>
                <w:iCs/>
                <w:szCs w:val="18"/>
              </w:rPr>
              <w:t>(specify ‘</w:t>
            </w:r>
            <w:r w:rsidRPr="0093352E">
              <w:rPr>
                <w:i/>
                <w:iCs/>
                <w:szCs w:val="18"/>
              </w:rPr>
              <w:t>it is</w:t>
            </w:r>
            <w:r w:rsidR="00E60E7A">
              <w:rPr>
                <w:i/>
                <w:iCs/>
                <w:szCs w:val="18"/>
              </w:rPr>
              <w:t>’ or</w:t>
            </w:r>
            <w:r w:rsidRPr="00D22029">
              <w:rPr>
                <w:szCs w:val="18"/>
              </w:rPr>
              <w:t xml:space="preserve"> </w:t>
            </w:r>
            <w:r w:rsidR="00E60E7A">
              <w:rPr>
                <w:i/>
                <w:iCs/>
                <w:szCs w:val="18"/>
              </w:rPr>
              <w:t>‘</w:t>
            </w:r>
            <w:r w:rsidRPr="00D22029">
              <w:rPr>
                <w:i/>
                <w:iCs/>
                <w:szCs w:val="18"/>
              </w:rPr>
              <w:t>they are</w:t>
            </w:r>
            <w:r w:rsidR="00E60E7A">
              <w:rPr>
                <w:i/>
                <w:iCs/>
                <w:szCs w:val="18"/>
              </w:rPr>
              <w:t>’</w:t>
            </w:r>
            <w:r w:rsidRPr="00D22029">
              <w:rPr>
                <w:i/>
                <w:iCs/>
                <w:szCs w:val="18"/>
              </w:rPr>
              <w:t>)</w:t>
            </w:r>
            <w:r w:rsidRPr="00D22029">
              <w:rPr>
                <w:szCs w:val="18"/>
              </w:rPr>
              <w:t xml:space="preserve"> within sight of, the following </w:t>
            </w:r>
            <w:r w:rsidR="007D4003" w:rsidRPr="00D22029">
              <w:rPr>
                <w:szCs w:val="18"/>
              </w:rPr>
              <w:t xml:space="preserve">dwellings, </w:t>
            </w:r>
            <w:r w:rsidRPr="00D22029">
              <w:rPr>
                <w:szCs w:val="18"/>
              </w:rPr>
              <w:t>huts, access points, camping and public areas</w:t>
            </w:r>
            <w:r w:rsidR="00D2146D" w:rsidRPr="00D22029">
              <w:rPr>
                <w:szCs w:val="18"/>
              </w:rPr>
              <w:t>, walking and vehicle tracks</w:t>
            </w:r>
            <w:r w:rsidR="0095152B" w:rsidRPr="00D22029">
              <w:rPr>
                <w:szCs w:val="18"/>
              </w:rPr>
              <w:t>, roads and lay-bys</w:t>
            </w:r>
            <w:r w:rsidRPr="00D22029">
              <w:rPr>
                <w:szCs w:val="18"/>
              </w:rPr>
              <w:t xml:space="preserve">: </w:t>
            </w:r>
          </w:p>
          <w:p w14:paraId="4D13FFA0" w14:textId="5F672822" w:rsidR="00F950C0" w:rsidRPr="00DB3BE2" w:rsidRDefault="004E4360" w:rsidP="00DB3BE2">
            <w:pPr>
              <w:pStyle w:val="TableText"/>
              <w:keepNext/>
              <w:rPr>
                <w:i/>
                <w:iCs/>
                <w:szCs w:val="18"/>
              </w:rPr>
            </w:pPr>
            <w:r w:rsidRPr="00D22029">
              <w:rPr>
                <w:i/>
                <w:iCs/>
                <w:szCs w:val="18"/>
              </w:rPr>
              <w:t>L</w:t>
            </w:r>
            <w:r w:rsidR="00F91393" w:rsidRPr="00D22029">
              <w:rPr>
                <w:i/>
                <w:iCs/>
                <w:szCs w:val="18"/>
              </w:rPr>
              <w:t>ist</w:t>
            </w:r>
            <w:r w:rsidRPr="00D22029">
              <w:rPr>
                <w:i/>
                <w:iCs/>
                <w:szCs w:val="18"/>
              </w:rPr>
              <w:t xml:space="preserve"> and </w:t>
            </w:r>
            <w:r w:rsidR="00F91393" w:rsidRPr="00D22029">
              <w:rPr>
                <w:i/>
                <w:iCs/>
                <w:szCs w:val="18"/>
              </w:rPr>
              <w:t>specify exclusion distance for each public area</w:t>
            </w:r>
            <w:r w:rsidR="007503A5" w:rsidRPr="00D22029">
              <w:rPr>
                <w:i/>
                <w:iCs/>
                <w:szCs w:val="18"/>
              </w:rPr>
              <w:t>, specify whether aerial or ground-based application</w:t>
            </w:r>
            <w:r w:rsidR="00473A8D">
              <w:rPr>
                <w:i/>
                <w:iCs/>
                <w:szCs w:val="18"/>
              </w:rPr>
              <w:t>.</w:t>
            </w:r>
          </w:p>
        </w:tc>
      </w:tr>
      <w:tr w:rsidR="00587C48" w:rsidRPr="00D22029" w14:paraId="1BCBCE1D" w14:textId="77777777" w:rsidTr="00431440">
        <w:trPr>
          <w:cantSplit/>
        </w:trPr>
        <w:tc>
          <w:tcPr>
            <w:tcW w:w="1843" w:type="dxa"/>
            <w:shd w:val="clear" w:color="auto" w:fill="auto"/>
          </w:tcPr>
          <w:p w14:paraId="7989EB77" w14:textId="77777777" w:rsidR="00587C48" w:rsidRPr="00D22029" w:rsidRDefault="00587C48" w:rsidP="002E12FB">
            <w:pPr>
              <w:pStyle w:val="TableText"/>
              <w:keepNext/>
              <w:rPr>
                <w:b/>
                <w:szCs w:val="18"/>
              </w:rPr>
            </w:pPr>
            <w:r w:rsidRPr="00D22029">
              <w:rPr>
                <w:b/>
                <w:szCs w:val="18"/>
              </w:rPr>
              <w:t>Scope</w:t>
            </w:r>
          </w:p>
        </w:tc>
        <w:tc>
          <w:tcPr>
            <w:tcW w:w="6180" w:type="dxa"/>
            <w:shd w:val="clear" w:color="auto" w:fill="auto"/>
          </w:tcPr>
          <w:p w14:paraId="3B1B279F" w14:textId="77777777" w:rsidR="00587C48" w:rsidRPr="00D22029" w:rsidRDefault="00587C48" w:rsidP="002E12FB">
            <w:pPr>
              <w:pStyle w:val="TableText"/>
              <w:keepNext/>
              <w:rPr>
                <w:szCs w:val="18"/>
              </w:rPr>
            </w:pPr>
            <w:r w:rsidRPr="00D22029">
              <w:rPr>
                <w:szCs w:val="18"/>
              </w:rPr>
              <w:t>All VTA and other hazardous substance uses.</w:t>
            </w:r>
          </w:p>
        </w:tc>
      </w:tr>
      <w:tr w:rsidR="00587C48" w:rsidRPr="00D22029" w14:paraId="752D466F" w14:textId="77777777" w:rsidTr="00431440">
        <w:trPr>
          <w:cantSplit/>
        </w:trPr>
        <w:tc>
          <w:tcPr>
            <w:tcW w:w="1843" w:type="dxa"/>
            <w:shd w:val="clear" w:color="auto" w:fill="auto"/>
          </w:tcPr>
          <w:p w14:paraId="74AEEFB8" w14:textId="77777777" w:rsidR="00587C48" w:rsidRPr="00D22029" w:rsidRDefault="00587C48" w:rsidP="002E12FB">
            <w:pPr>
              <w:pStyle w:val="TableText"/>
              <w:keepNext/>
              <w:rPr>
                <w:b/>
                <w:szCs w:val="18"/>
              </w:rPr>
            </w:pPr>
            <w:r w:rsidRPr="00D22029">
              <w:rPr>
                <w:b/>
                <w:szCs w:val="18"/>
              </w:rPr>
              <w:t>Rationale for the condition</w:t>
            </w:r>
          </w:p>
        </w:tc>
        <w:tc>
          <w:tcPr>
            <w:tcW w:w="6180" w:type="dxa"/>
            <w:shd w:val="clear" w:color="auto" w:fill="auto"/>
          </w:tcPr>
          <w:p w14:paraId="105589B2" w14:textId="2FDBDAC8" w:rsidR="009154F6" w:rsidRPr="00D22029" w:rsidRDefault="009154F6" w:rsidP="00DB3BE2">
            <w:pPr>
              <w:pStyle w:val="TableText"/>
              <w:keepNext/>
              <w:rPr>
                <w:szCs w:val="18"/>
              </w:rPr>
            </w:pPr>
            <w:r w:rsidRPr="00D22029">
              <w:rPr>
                <w:szCs w:val="18"/>
              </w:rPr>
              <w:t>This ensures that VTA(s) and other hazardous substance(s) are applied</w:t>
            </w:r>
            <w:r w:rsidR="00F74F6B">
              <w:rPr>
                <w:szCs w:val="18"/>
              </w:rPr>
              <w:t xml:space="preserve"> no closer than</w:t>
            </w:r>
            <w:r w:rsidRPr="00D22029">
              <w:rPr>
                <w:szCs w:val="18"/>
              </w:rPr>
              <w:t xml:space="preserve"> a minimum distance away from public areas in order to reduce the risk of direct human contact with baits or where proposed mitigating measures and/or controls may not </w:t>
            </w:r>
            <w:r w:rsidR="00473A8D">
              <w:rPr>
                <w:szCs w:val="18"/>
              </w:rPr>
              <w:t xml:space="preserve">be </w:t>
            </w:r>
            <w:r w:rsidRPr="00D22029">
              <w:rPr>
                <w:szCs w:val="18"/>
              </w:rPr>
              <w:t>sufficient</w:t>
            </w:r>
            <w:r w:rsidR="00473A8D">
              <w:rPr>
                <w:szCs w:val="18"/>
              </w:rPr>
              <w:t xml:space="preserve"> to</w:t>
            </w:r>
            <w:r w:rsidRPr="00D22029">
              <w:rPr>
                <w:szCs w:val="18"/>
              </w:rPr>
              <w:t xml:space="preserve"> prevent an exposure pathway from occurring.</w:t>
            </w:r>
          </w:p>
          <w:p w14:paraId="760E2673" w14:textId="20650180" w:rsidR="009154F6" w:rsidRPr="00D22029" w:rsidRDefault="009154F6" w:rsidP="00DB3BE2">
            <w:pPr>
              <w:pStyle w:val="TableText"/>
              <w:keepNext/>
              <w:rPr>
                <w:szCs w:val="18"/>
              </w:rPr>
            </w:pPr>
            <w:r w:rsidRPr="00D22029">
              <w:rPr>
                <w:szCs w:val="18"/>
              </w:rPr>
              <w:t xml:space="preserve">The exclusion distance will generally be </w:t>
            </w:r>
            <w:r w:rsidR="00BB66C3">
              <w:rPr>
                <w:szCs w:val="18"/>
              </w:rPr>
              <w:t>shorter</w:t>
            </w:r>
            <w:r w:rsidR="00BB66C3" w:rsidRPr="00D22029">
              <w:rPr>
                <w:szCs w:val="18"/>
              </w:rPr>
              <w:t xml:space="preserve"> </w:t>
            </w:r>
            <w:r w:rsidRPr="00D22029">
              <w:rPr>
                <w:szCs w:val="18"/>
              </w:rPr>
              <w:t>for ground</w:t>
            </w:r>
            <w:r w:rsidR="001A0A14">
              <w:rPr>
                <w:szCs w:val="18"/>
              </w:rPr>
              <w:t>-based</w:t>
            </w:r>
            <w:r w:rsidRPr="00D22029">
              <w:rPr>
                <w:szCs w:val="18"/>
              </w:rPr>
              <w:t xml:space="preserve"> applications as the VTA(s) can be placed with more accuracy, particularly controlling for visibility of baits. Some operators will do aerial applications of the general area and ground-based applications closer to listed sites/amenities.</w:t>
            </w:r>
          </w:p>
          <w:p w14:paraId="52A7DEB9" w14:textId="0785EE53" w:rsidR="00087832" w:rsidRPr="00D22029" w:rsidRDefault="00954E74" w:rsidP="00DB3BE2">
            <w:pPr>
              <w:pStyle w:val="TableText"/>
              <w:keepNext/>
              <w:rPr>
                <w:szCs w:val="18"/>
              </w:rPr>
            </w:pPr>
            <w:r w:rsidRPr="00D22029">
              <w:rPr>
                <w:szCs w:val="18"/>
              </w:rPr>
              <w:t>To reduce the risk of direct contact with baits</w:t>
            </w:r>
            <w:r w:rsidR="006E3E4F" w:rsidRPr="00D22029">
              <w:rPr>
                <w:szCs w:val="18"/>
              </w:rPr>
              <w:t xml:space="preserve">, </w:t>
            </w:r>
            <w:r w:rsidR="00F74F6B">
              <w:rPr>
                <w:szCs w:val="18"/>
              </w:rPr>
              <w:t>no</w:t>
            </w:r>
            <w:r w:rsidR="00F74F6B" w:rsidRPr="00D22029">
              <w:rPr>
                <w:szCs w:val="18"/>
              </w:rPr>
              <w:t xml:space="preserve"> </w:t>
            </w:r>
            <w:r w:rsidR="00587C48" w:rsidRPr="00D22029">
              <w:rPr>
                <w:szCs w:val="18"/>
              </w:rPr>
              <w:t xml:space="preserve">baits are permitted to be within sight </w:t>
            </w:r>
            <w:r w:rsidR="000216A4" w:rsidRPr="00D22029">
              <w:rPr>
                <w:szCs w:val="18"/>
              </w:rPr>
              <w:t>or easy access</w:t>
            </w:r>
            <w:r w:rsidR="00BB66C3">
              <w:rPr>
                <w:szCs w:val="18"/>
              </w:rPr>
              <w:t xml:space="preserve"> of</w:t>
            </w:r>
            <w:r w:rsidR="00587C48" w:rsidRPr="00D22029">
              <w:rPr>
                <w:szCs w:val="18"/>
              </w:rPr>
              <w:t xml:space="preserve"> the public.</w:t>
            </w:r>
            <w:r w:rsidR="00A815E8" w:rsidRPr="00D22029">
              <w:rPr>
                <w:szCs w:val="18"/>
              </w:rPr>
              <w:t xml:space="preserve"> </w:t>
            </w:r>
          </w:p>
          <w:p w14:paraId="063332B7" w14:textId="3779FBAC" w:rsidR="00B74D64" w:rsidRPr="00D22029" w:rsidRDefault="00B74D64" w:rsidP="00DB3BE2">
            <w:pPr>
              <w:pStyle w:val="TableText"/>
              <w:keepNext/>
              <w:rPr>
                <w:szCs w:val="18"/>
              </w:rPr>
            </w:pPr>
            <w:r w:rsidRPr="00D22029">
              <w:rPr>
                <w:szCs w:val="18"/>
              </w:rPr>
              <w:t>Tracks include any purposefully created path, route or road for the public to follow. This can include paths, routes or roads with or without overlaid surfaces and may or may not have markers present. Whil</w:t>
            </w:r>
            <w:r w:rsidR="007432C2">
              <w:rPr>
                <w:szCs w:val="18"/>
              </w:rPr>
              <w:t>e</w:t>
            </w:r>
            <w:r w:rsidRPr="00D22029">
              <w:rPr>
                <w:szCs w:val="18"/>
              </w:rPr>
              <w:t xml:space="preserve"> it is considered that all Department of Conservation and private property tracks, roads and routes will be taken into account</w:t>
            </w:r>
            <w:r w:rsidR="007432C2">
              <w:rPr>
                <w:szCs w:val="18"/>
              </w:rPr>
              <w:t>,</w:t>
            </w:r>
            <w:r w:rsidRPr="00D22029">
              <w:rPr>
                <w:szCs w:val="18"/>
              </w:rPr>
              <w:t xml:space="preserve"> the operator may wish to include or exclude unofficial tracks (</w:t>
            </w:r>
            <w:r w:rsidR="007432C2">
              <w:rPr>
                <w:szCs w:val="18"/>
              </w:rPr>
              <w:t>eg,</w:t>
            </w:r>
            <w:r w:rsidRPr="00D22029">
              <w:rPr>
                <w:szCs w:val="18"/>
              </w:rPr>
              <w:t xml:space="preserve"> shortcuts or routes used by trapping parties, hunters or experienced trampers).</w:t>
            </w:r>
          </w:p>
        </w:tc>
      </w:tr>
      <w:tr w:rsidR="00587C48" w:rsidRPr="00D22029" w14:paraId="1A18DBC3" w14:textId="77777777" w:rsidTr="00431440">
        <w:trPr>
          <w:cantSplit/>
        </w:trPr>
        <w:tc>
          <w:tcPr>
            <w:tcW w:w="1843" w:type="dxa"/>
            <w:shd w:val="clear" w:color="auto" w:fill="auto"/>
          </w:tcPr>
          <w:p w14:paraId="64F3F3C1" w14:textId="77777777" w:rsidR="00587C48" w:rsidRPr="00D22029" w:rsidRDefault="00587C48" w:rsidP="002E12FB">
            <w:pPr>
              <w:pStyle w:val="TableText"/>
              <w:rPr>
                <w:b/>
                <w:szCs w:val="18"/>
              </w:rPr>
            </w:pPr>
            <w:r w:rsidRPr="00D22029">
              <w:rPr>
                <w:b/>
                <w:szCs w:val="18"/>
              </w:rPr>
              <w:t>Modification options</w:t>
            </w:r>
          </w:p>
        </w:tc>
        <w:tc>
          <w:tcPr>
            <w:tcW w:w="6180" w:type="dxa"/>
            <w:shd w:val="clear" w:color="auto" w:fill="auto"/>
          </w:tcPr>
          <w:p w14:paraId="41600A73" w14:textId="3ADE6B32" w:rsidR="004E4360" w:rsidRPr="00D22029" w:rsidRDefault="004E4360" w:rsidP="00DB3BE2">
            <w:pPr>
              <w:pStyle w:val="TableBullet"/>
              <w:numPr>
                <w:ilvl w:val="0"/>
                <w:numId w:val="0"/>
              </w:numPr>
              <w:tabs>
                <w:tab w:val="left" w:pos="720"/>
              </w:tabs>
            </w:pPr>
            <w:r w:rsidRPr="00D22029">
              <w:t xml:space="preserve">Exclude this condition if the person assessing the application is confident that the mitigating measures/controls the operator </w:t>
            </w:r>
            <w:r w:rsidR="00E55490">
              <w:t xml:space="preserve">proposes </w:t>
            </w:r>
            <w:r w:rsidRPr="00D22029">
              <w:t xml:space="preserve">are sufficient to prevent an exposure pathway from being present </w:t>
            </w:r>
            <w:r w:rsidRPr="00D22029">
              <w:rPr>
                <w:b/>
              </w:rPr>
              <w:t>and</w:t>
            </w:r>
            <w:r w:rsidRPr="00D22029">
              <w:t xml:space="preserve"> the risk assessment supports this.</w:t>
            </w:r>
          </w:p>
          <w:p w14:paraId="05255E83" w14:textId="77777777" w:rsidR="004E4360" w:rsidRPr="00D22029" w:rsidRDefault="004E4360" w:rsidP="00DB3BE2">
            <w:pPr>
              <w:pStyle w:val="TableText"/>
              <w:rPr>
                <w:szCs w:val="18"/>
              </w:rPr>
            </w:pPr>
            <w:r w:rsidRPr="00D22029">
              <w:rPr>
                <w:szCs w:val="18"/>
              </w:rPr>
              <w:t>The base exclusion distance for ground operations should be 20 m. The base exclusion distance for aerial operations should be 80 m.</w:t>
            </w:r>
          </w:p>
          <w:p w14:paraId="05A76F02" w14:textId="4B2D3E99" w:rsidR="004E4360" w:rsidRPr="00D22029" w:rsidRDefault="004E4360" w:rsidP="00DB3BE2">
            <w:pPr>
              <w:pStyle w:val="TableText"/>
              <w:rPr>
                <w:szCs w:val="18"/>
              </w:rPr>
            </w:pPr>
            <w:r w:rsidRPr="00D22029">
              <w:rPr>
                <w:szCs w:val="18"/>
              </w:rPr>
              <w:t>The base exclusion distances may be varied, or removed, if defined mitigating controls adequately manage public health risks, depending on the terrain and vegetation, accessibility and visibility of bait, method of application, and public use patterns. Sites with generally high use or with high use during the planned operation time (eg, a long weekend) may require a</w:t>
            </w:r>
            <w:r w:rsidR="00E55490">
              <w:rPr>
                <w:szCs w:val="18"/>
              </w:rPr>
              <w:t xml:space="preserve"> longer</w:t>
            </w:r>
            <w:r w:rsidRPr="00D22029">
              <w:rPr>
                <w:szCs w:val="18"/>
              </w:rPr>
              <w:t xml:space="preserve"> exclusion distance. Conversely, an 80 m aerial exclusion may be excessive in rough terrain with low use and heavy vegetation.</w:t>
            </w:r>
          </w:p>
          <w:p w14:paraId="08B2796F" w14:textId="5214CB36" w:rsidR="00C528F9" w:rsidRPr="00D22029" w:rsidRDefault="004E4360" w:rsidP="00DB3BE2">
            <w:pPr>
              <w:pStyle w:val="TableText"/>
              <w:rPr>
                <w:szCs w:val="18"/>
              </w:rPr>
            </w:pPr>
            <w:r w:rsidRPr="00D22029">
              <w:rPr>
                <w:szCs w:val="18"/>
              </w:rPr>
              <w:t xml:space="preserve">Use generic wording rather than listing locations where it is not feasible or possible to obtain a complete list. </w:t>
            </w:r>
            <w:r w:rsidR="00E55490">
              <w:rPr>
                <w:szCs w:val="18"/>
              </w:rPr>
              <w:t>One approach is to list t</w:t>
            </w:r>
            <w:r w:rsidRPr="00D22029">
              <w:rPr>
                <w:szCs w:val="18"/>
              </w:rPr>
              <w:t xml:space="preserve">he known locations, </w:t>
            </w:r>
            <w:r w:rsidR="00E55490">
              <w:rPr>
                <w:szCs w:val="18"/>
              </w:rPr>
              <w:t>before adding</w:t>
            </w:r>
            <w:r w:rsidR="00E55490" w:rsidRPr="00D22029">
              <w:rPr>
                <w:szCs w:val="18"/>
              </w:rPr>
              <w:t xml:space="preserve"> </w:t>
            </w:r>
            <w:r w:rsidRPr="00D22029">
              <w:rPr>
                <w:szCs w:val="18"/>
              </w:rPr>
              <w:t>wording such as ‘and any other</w:t>
            </w:r>
            <w:r w:rsidR="007D4003" w:rsidRPr="00D22029">
              <w:rPr>
                <w:szCs w:val="18"/>
              </w:rPr>
              <w:t xml:space="preserve"> dwellings, </w:t>
            </w:r>
            <w:r w:rsidRPr="00D22029">
              <w:rPr>
                <w:szCs w:val="18"/>
              </w:rPr>
              <w:t>tramping huts, bivvies/shelters, tent camping sites, picnic areas</w:t>
            </w:r>
            <w:r w:rsidR="00C528F9" w:rsidRPr="00D22029">
              <w:rPr>
                <w:szCs w:val="18"/>
              </w:rPr>
              <w:t>,</w:t>
            </w:r>
            <w:r w:rsidRPr="00D22029">
              <w:rPr>
                <w:szCs w:val="18"/>
              </w:rPr>
              <w:t xml:space="preserve"> watercraft landing points</w:t>
            </w:r>
            <w:r w:rsidR="00C528F9" w:rsidRPr="00D22029">
              <w:rPr>
                <w:szCs w:val="18"/>
              </w:rPr>
              <w:t>, walking and vehicle tracks</w:t>
            </w:r>
            <w:r w:rsidR="00FA0E9D" w:rsidRPr="00D22029">
              <w:rPr>
                <w:szCs w:val="18"/>
              </w:rPr>
              <w:t>, roads and lay-bys</w:t>
            </w:r>
            <w:r w:rsidRPr="00D22029">
              <w:rPr>
                <w:szCs w:val="18"/>
              </w:rPr>
              <w:t xml:space="preserve"> in the area’. Alternatively, </w:t>
            </w:r>
            <w:r w:rsidR="00E55490">
              <w:rPr>
                <w:szCs w:val="18"/>
              </w:rPr>
              <w:t xml:space="preserve">reference </w:t>
            </w:r>
            <w:r w:rsidRPr="00D22029">
              <w:rPr>
                <w:szCs w:val="18"/>
              </w:rPr>
              <w:t xml:space="preserve">the overall section of the application </w:t>
            </w:r>
            <w:r w:rsidR="00E55490">
              <w:rPr>
                <w:szCs w:val="18"/>
              </w:rPr>
              <w:t>that contains (specifies)</w:t>
            </w:r>
            <w:r w:rsidRPr="00D22029">
              <w:rPr>
                <w:szCs w:val="18"/>
              </w:rPr>
              <w:t xml:space="preserve"> the information.</w:t>
            </w:r>
          </w:p>
          <w:p w14:paraId="3C8D76F1" w14:textId="4D6339DD" w:rsidR="00B74D64" w:rsidRPr="00D22029" w:rsidRDefault="00A24445" w:rsidP="00DB3BE2">
            <w:pPr>
              <w:pStyle w:val="TableBullet"/>
              <w:numPr>
                <w:ilvl w:val="0"/>
                <w:numId w:val="0"/>
              </w:numPr>
            </w:pPr>
            <w:r w:rsidRPr="0093352E">
              <w:rPr>
                <w:b/>
                <w:bCs/>
                <w:szCs w:val="18"/>
              </w:rPr>
              <w:t>Important</w:t>
            </w:r>
            <w:r w:rsidR="004E4360" w:rsidRPr="0093352E">
              <w:rPr>
                <w:szCs w:val="18"/>
              </w:rPr>
              <w:t xml:space="preserve">: Where both aerial and ground-based applications are proposed, </w:t>
            </w:r>
            <w:r w:rsidR="008A16AF">
              <w:rPr>
                <w:szCs w:val="18"/>
              </w:rPr>
              <w:t xml:space="preserve">repeat </w:t>
            </w:r>
            <w:r w:rsidRPr="0093352E">
              <w:rPr>
                <w:szCs w:val="18"/>
              </w:rPr>
              <w:t xml:space="preserve">the </w:t>
            </w:r>
            <w:r w:rsidR="004E4360" w:rsidRPr="0093352E">
              <w:rPr>
                <w:szCs w:val="18"/>
              </w:rPr>
              <w:t>condition for each type of application.</w:t>
            </w:r>
          </w:p>
        </w:tc>
      </w:tr>
      <w:tr w:rsidR="00362593" w:rsidRPr="00D22029" w14:paraId="313FA1EF" w14:textId="77777777" w:rsidTr="00431440">
        <w:trPr>
          <w:cantSplit/>
        </w:trPr>
        <w:tc>
          <w:tcPr>
            <w:tcW w:w="1843" w:type="dxa"/>
            <w:shd w:val="clear" w:color="auto" w:fill="auto"/>
          </w:tcPr>
          <w:p w14:paraId="7D561F36" w14:textId="322120E0" w:rsidR="00362593" w:rsidRPr="00D22029" w:rsidRDefault="00362593" w:rsidP="002E12FB">
            <w:pPr>
              <w:pStyle w:val="TableText"/>
              <w:rPr>
                <w:b/>
                <w:szCs w:val="18"/>
              </w:rPr>
            </w:pPr>
            <w:r w:rsidRPr="00D22029">
              <w:rPr>
                <w:b/>
                <w:szCs w:val="18"/>
              </w:rPr>
              <w:t>Example 1</w:t>
            </w:r>
          </w:p>
        </w:tc>
        <w:tc>
          <w:tcPr>
            <w:tcW w:w="6180" w:type="dxa"/>
            <w:shd w:val="clear" w:color="auto" w:fill="auto"/>
          </w:tcPr>
          <w:p w14:paraId="3FB6A99A" w14:textId="5B90F3C4" w:rsidR="00362593" w:rsidRPr="00D22029" w:rsidRDefault="00362593" w:rsidP="00362593">
            <w:pPr>
              <w:pStyle w:val="TableText"/>
              <w:rPr>
                <w:szCs w:val="18"/>
              </w:rPr>
            </w:pPr>
            <w:r w:rsidRPr="00D22029">
              <w:rPr>
                <w:szCs w:val="18"/>
              </w:rPr>
              <w:t>An applica</w:t>
            </w:r>
            <w:r w:rsidR="00546644">
              <w:rPr>
                <w:szCs w:val="18"/>
              </w:rPr>
              <w:t>nt</w:t>
            </w:r>
            <w:r w:rsidRPr="00D22029">
              <w:rPr>
                <w:szCs w:val="18"/>
              </w:rPr>
              <w:t xml:space="preserve"> proposes</w:t>
            </w:r>
            <w:r w:rsidR="00546644">
              <w:rPr>
                <w:szCs w:val="18"/>
              </w:rPr>
              <w:t xml:space="preserve"> the</w:t>
            </w:r>
            <w:r w:rsidRPr="00D22029">
              <w:rPr>
                <w:szCs w:val="18"/>
              </w:rPr>
              <w:t xml:space="preserve"> ground-based application of cyanide paste in the vicinity of a popular tramping hut </w:t>
            </w:r>
            <w:r w:rsidR="0041797B">
              <w:rPr>
                <w:szCs w:val="18"/>
              </w:rPr>
              <w:t>that</w:t>
            </w:r>
            <w:r w:rsidRPr="00D22029">
              <w:rPr>
                <w:szCs w:val="18"/>
              </w:rPr>
              <w:t xml:space="preserve"> families and school groups</w:t>
            </w:r>
            <w:r w:rsidR="0041797B">
              <w:rPr>
                <w:szCs w:val="18"/>
              </w:rPr>
              <w:t xml:space="preserve"> frequently use</w:t>
            </w:r>
            <w:r w:rsidRPr="00D22029">
              <w:rPr>
                <w:szCs w:val="18"/>
              </w:rPr>
              <w:t xml:space="preserve"> (Hut 1). Hut 1 stands in a large grassy clearing, which includes a small number of trees within 20 m of the hut. Thick bush cover begins 30 m from the hut. The exclusion distance is adjusted to 80 m to ensure that all bait is placed away from the hut and in vegetation cover that will help limit the accessibility and visibility of the bait. </w:t>
            </w:r>
          </w:p>
          <w:p w14:paraId="62161549" w14:textId="62E48BE1" w:rsidR="00362593" w:rsidRPr="00D22029" w:rsidRDefault="00362593" w:rsidP="00362593">
            <w:pPr>
              <w:pStyle w:val="TableText"/>
              <w:rPr>
                <w:szCs w:val="18"/>
              </w:rPr>
            </w:pPr>
            <w:r w:rsidRPr="00D22029">
              <w:rPr>
                <w:szCs w:val="18"/>
              </w:rPr>
              <w:t>Hut 2 is within the same operational area but is extremely isolated, located in steep country and thick bush</w:t>
            </w:r>
            <w:r w:rsidR="0041797B">
              <w:rPr>
                <w:szCs w:val="18"/>
              </w:rPr>
              <w:t>,</w:t>
            </w:r>
            <w:r w:rsidRPr="00D22029">
              <w:rPr>
                <w:szCs w:val="18"/>
              </w:rPr>
              <w:t xml:space="preserve"> and seldom used. The exclusion distance is adjusted to 20 m for Hut 2.</w:t>
            </w:r>
          </w:p>
          <w:p w14:paraId="043B7793" w14:textId="77777777" w:rsidR="00362593" w:rsidRPr="00D22029" w:rsidRDefault="00362593" w:rsidP="00362593">
            <w:pPr>
              <w:pStyle w:val="TableText"/>
              <w:spacing w:after="30"/>
              <w:rPr>
                <w:szCs w:val="18"/>
              </w:rPr>
            </w:pPr>
            <w:r w:rsidRPr="00D22029">
              <w:rPr>
                <w:szCs w:val="18"/>
              </w:rPr>
              <w:t>In the condition, the locations and distances are listed as follows:</w:t>
            </w:r>
          </w:p>
          <w:p w14:paraId="78670503" w14:textId="77777777" w:rsidR="00362593" w:rsidRPr="00D22029" w:rsidRDefault="00362593" w:rsidP="00362593">
            <w:pPr>
              <w:pStyle w:val="TableBullet"/>
              <w:numPr>
                <w:ilvl w:val="0"/>
                <w:numId w:val="28"/>
              </w:numPr>
              <w:spacing w:after="30" w:line="264" w:lineRule="auto"/>
            </w:pPr>
            <w:r w:rsidRPr="00D22029">
              <w:t>Hut 1: 80 m</w:t>
            </w:r>
          </w:p>
          <w:p w14:paraId="6BF85772" w14:textId="03AC98ED" w:rsidR="00362593" w:rsidRPr="00D22029" w:rsidRDefault="00362593" w:rsidP="00362593">
            <w:pPr>
              <w:pStyle w:val="TableBullet"/>
              <w:numPr>
                <w:ilvl w:val="0"/>
                <w:numId w:val="28"/>
              </w:numPr>
              <w:spacing w:line="264" w:lineRule="auto"/>
            </w:pPr>
            <w:r w:rsidRPr="00D22029">
              <w:t>Hut 2: 20 m.</w:t>
            </w:r>
          </w:p>
        </w:tc>
      </w:tr>
      <w:tr w:rsidR="008E27F0" w:rsidRPr="00D22029" w14:paraId="7F6C8476" w14:textId="77777777" w:rsidTr="00431440">
        <w:trPr>
          <w:cantSplit/>
        </w:trPr>
        <w:tc>
          <w:tcPr>
            <w:tcW w:w="1843" w:type="dxa"/>
            <w:shd w:val="clear" w:color="auto" w:fill="auto"/>
          </w:tcPr>
          <w:p w14:paraId="3104ED4C" w14:textId="425448C6" w:rsidR="008E27F0" w:rsidRPr="00D22029" w:rsidRDefault="008E27F0" w:rsidP="008E27F0">
            <w:pPr>
              <w:pStyle w:val="TableText"/>
              <w:rPr>
                <w:b/>
                <w:szCs w:val="18"/>
              </w:rPr>
            </w:pPr>
            <w:r w:rsidRPr="00D22029">
              <w:rPr>
                <w:b/>
                <w:szCs w:val="18"/>
              </w:rPr>
              <w:t>Example 2</w:t>
            </w:r>
          </w:p>
        </w:tc>
        <w:tc>
          <w:tcPr>
            <w:tcW w:w="6180" w:type="dxa"/>
            <w:shd w:val="clear" w:color="auto" w:fill="auto"/>
          </w:tcPr>
          <w:p w14:paraId="297ED27A" w14:textId="006E058B" w:rsidR="00244D07" w:rsidRPr="00D22029" w:rsidRDefault="008E27F0" w:rsidP="008E27F0">
            <w:pPr>
              <w:pStyle w:val="TableText"/>
              <w:rPr>
                <w:szCs w:val="18"/>
              </w:rPr>
            </w:pPr>
            <w:r w:rsidRPr="00D22029">
              <w:rPr>
                <w:szCs w:val="18"/>
              </w:rPr>
              <w:t xml:space="preserve">An application for aerial 1080 use on forestry land includes a mapped vehicle track that is now closed. The entry to the block is by locked gate, and the mapped track has deteriorated at several points because of storms, including near the gate, so it is now impassable by vehicle. There is heavy brush/blackberry coverage in the area. The area is not known to be used for recreational purposes. </w:t>
            </w:r>
            <w:r w:rsidR="00912F1A" w:rsidRPr="00D22029">
              <w:rPr>
                <w:szCs w:val="18"/>
              </w:rPr>
              <w:t>The risk assessment confirms the operator’s advice.</w:t>
            </w:r>
          </w:p>
          <w:p w14:paraId="25105A7F" w14:textId="39BFD018" w:rsidR="008E27F0" w:rsidRPr="00D22029" w:rsidRDefault="00912F1A" w:rsidP="008E27F0">
            <w:pPr>
              <w:pStyle w:val="TableText"/>
              <w:rPr>
                <w:szCs w:val="18"/>
              </w:rPr>
            </w:pPr>
            <w:r w:rsidRPr="00D22029">
              <w:rPr>
                <w:szCs w:val="18"/>
              </w:rPr>
              <w:t xml:space="preserve">This condition </w:t>
            </w:r>
            <w:r w:rsidR="00E11975" w:rsidRPr="00D22029">
              <w:rPr>
                <w:szCs w:val="18"/>
              </w:rPr>
              <w:t>was</w:t>
            </w:r>
            <w:r w:rsidR="008E27F0" w:rsidRPr="00D22029">
              <w:rPr>
                <w:szCs w:val="18"/>
              </w:rPr>
              <w:t xml:space="preserve"> </w:t>
            </w:r>
            <w:r w:rsidR="00E11975" w:rsidRPr="00D22029">
              <w:rPr>
                <w:szCs w:val="18"/>
              </w:rPr>
              <w:t xml:space="preserve">not used </w:t>
            </w:r>
            <w:r w:rsidR="008E27F0" w:rsidRPr="00D22029">
              <w:rPr>
                <w:szCs w:val="18"/>
              </w:rPr>
              <w:t>as the risk to public health is limited.</w:t>
            </w:r>
            <w:r w:rsidR="00F80D31" w:rsidRPr="00D22029">
              <w:t xml:space="preserve"> Not utilising condition: if a public area can be controlled to avoid exposure pathways from being present, this condition can be omitted.</w:t>
            </w:r>
          </w:p>
        </w:tc>
      </w:tr>
      <w:tr w:rsidR="00AA193B" w:rsidRPr="00D22029" w14:paraId="5AF860C6" w14:textId="77777777" w:rsidTr="00AA193B">
        <w:trPr>
          <w:cantSplit/>
        </w:trPr>
        <w:tc>
          <w:tcPr>
            <w:tcW w:w="184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EF3E34" w14:textId="36719A67" w:rsidR="00AA193B" w:rsidRPr="00D22029" w:rsidRDefault="00AA193B" w:rsidP="00F91AF2">
            <w:pPr>
              <w:pStyle w:val="TableText"/>
              <w:rPr>
                <w:b/>
                <w:szCs w:val="18"/>
              </w:rPr>
            </w:pPr>
            <w:r w:rsidRPr="00D22029">
              <w:rPr>
                <w:b/>
                <w:szCs w:val="18"/>
              </w:rPr>
              <w:t>Example 3</w:t>
            </w:r>
          </w:p>
        </w:tc>
        <w:tc>
          <w:tcPr>
            <w:tcW w:w="61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3214D9" w14:textId="2B197490" w:rsidR="00AA193B" w:rsidRPr="00D22029" w:rsidRDefault="00AA193B" w:rsidP="00F91AF2">
            <w:pPr>
              <w:pStyle w:val="TableText"/>
              <w:rPr>
                <w:szCs w:val="18"/>
              </w:rPr>
            </w:pPr>
            <w:r w:rsidRPr="00D22029">
              <w:rPr>
                <w:szCs w:val="18"/>
              </w:rPr>
              <w:t xml:space="preserve">An operational area abuts a section of a state highway that includes a lay-by </w:t>
            </w:r>
            <w:r w:rsidR="009B113C" w:rsidRPr="00D22029">
              <w:rPr>
                <w:szCs w:val="18"/>
              </w:rPr>
              <w:t xml:space="preserve">and </w:t>
            </w:r>
            <w:r w:rsidRPr="00D22029">
              <w:rPr>
                <w:szCs w:val="18"/>
              </w:rPr>
              <w:t>lookout. A combined aerial and ground operation is planned for the area downhill from the lay-by, which sits above a 2 m bluff. The ground below the lay-by is covered with thick bush. The remainder of the area abutting the road is covered with thick bush to the road verge and rises steeply from the road.</w:t>
            </w:r>
          </w:p>
          <w:p w14:paraId="4056BF5E" w14:textId="74D7233B" w:rsidR="00AA193B" w:rsidRPr="00D22029" w:rsidRDefault="00BE4EE3" w:rsidP="00F91AF2">
            <w:pPr>
              <w:pStyle w:val="TableText"/>
              <w:rPr>
                <w:szCs w:val="18"/>
              </w:rPr>
            </w:pPr>
            <w:r w:rsidRPr="00D22029">
              <w:rPr>
                <w:szCs w:val="18"/>
              </w:rPr>
              <w:t>Given the</w:t>
            </w:r>
            <w:r w:rsidR="008A16AF">
              <w:rPr>
                <w:szCs w:val="18"/>
              </w:rPr>
              <w:t xml:space="preserve"> nature of the</w:t>
            </w:r>
            <w:r w:rsidRPr="00D22029">
              <w:rPr>
                <w:szCs w:val="18"/>
              </w:rPr>
              <w:t xml:space="preserve"> terrain and vegetation cover, ground</w:t>
            </w:r>
            <w:r w:rsidR="0041797B">
              <w:rPr>
                <w:szCs w:val="18"/>
              </w:rPr>
              <w:t>-</w:t>
            </w:r>
            <w:r w:rsidRPr="00D22029">
              <w:rPr>
                <w:szCs w:val="18"/>
              </w:rPr>
              <w:t>applied VTAs were excluded from within 10 m of the lay-by. As the proposed operation also includes an aerial 1080 application, 1080 was not permitted to be aerially applied within 80 m of the listed lay-by.</w:t>
            </w:r>
          </w:p>
        </w:tc>
      </w:tr>
      <w:tr w:rsidR="00AA193B" w:rsidRPr="00D22029" w14:paraId="133FFA5B" w14:textId="77777777" w:rsidTr="00AA193B">
        <w:trPr>
          <w:cantSplit/>
        </w:trPr>
        <w:tc>
          <w:tcPr>
            <w:tcW w:w="184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6098F" w14:textId="3DF8A246" w:rsidR="00AA193B" w:rsidRPr="00D22029" w:rsidRDefault="00AA193B" w:rsidP="00F91AF2">
            <w:pPr>
              <w:pStyle w:val="TableText"/>
              <w:rPr>
                <w:b/>
                <w:szCs w:val="18"/>
              </w:rPr>
            </w:pPr>
            <w:r w:rsidRPr="00D22029">
              <w:rPr>
                <w:b/>
                <w:szCs w:val="18"/>
              </w:rPr>
              <w:t>Example 4</w:t>
            </w:r>
          </w:p>
        </w:tc>
        <w:tc>
          <w:tcPr>
            <w:tcW w:w="61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71C9D4C" w14:textId="77777777" w:rsidR="00244D07" w:rsidRPr="00D22029" w:rsidRDefault="00AA193B" w:rsidP="00F91AF2">
            <w:pPr>
              <w:pStyle w:val="TableText"/>
              <w:rPr>
                <w:szCs w:val="18"/>
              </w:rPr>
            </w:pPr>
            <w:r w:rsidRPr="00D22029">
              <w:rPr>
                <w:szCs w:val="18"/>
              </w:rPr>
              <w:t xml:space="preserve">An application covers a remote back-country area with four </w:t>
            </w:r>
            <w:r w:rsidR="006D52F4" w:rsidRPr="00D22029">
              <w:rPr>
                <w:szCs w:val="18"/>
              </w:rPr>
              <w:t>home</w:t>
            </w:r>
            <w:r w:rsidRPr="00D22029">
              <w:rPr>
                <w:szCs w:val="18"/>
              </w:rPr>
              <w:t xml:space="preserve">s. All </w:t>
            </w:r>
            <w:r w:rsidR="006D52F4" w:rsidRPr="00D22029">
              <w:rPr>
                <w:szCs w:val="18"/>
              </w:rPr>
              <w:t>home</w:t>
            </w:r>
            <w:r w:rsidRPr="00D22029">
              <w:rPr>
                <w:szCs w:val="18"/>
              </w:rPr>
              <w:t xml:space="preserve">s are in isolated locations surrounded by bush. </w:t>
            </w:r>
          </w:p>
          <w:p w14:paraId="4B799B19" w14:textId="24B1E3AE" w:rsidR="00AA193B" w:rsidRPr="00D22029" w:rsidRDefault="00AA193B" w:rsidP="00F91AF2">
            <w:pPr>
              <w:pStyle w:val="TableText"/>
              <w:rPr>
                <w:szCs w:val="18"/>
              </w:rPr>
            </w:pPr>
            <w:r w:rsidRPr="00D22029">
              <w:rPr>
                <w:szCs w:val="18"/>
              </w:rPr>
              <w:t xml:space="preserve">The condition is modified to list each </w:t>
            </w:r>
            <w:r w:rsidR="006D52F4" w:rsidRPr="00D22029">
              <w:rPr>
                <w:szCs w:val="18"/>
              </w:rPr>
              <w:t xml:space="preserve">home </w:t>
            </w:r>
            <w:r w:rsidRPr="00D22029">
              <w:rPr>
                <w:szCs w:val="18"/>
              </w:rPr>
              <w:t xml:space="preserve">by road address or GPS reference and </w:t>
            </w:r>
            <w:r w:rsidR="00CB1C8D" w:rsidRPr="00D22029">
              <w:rPr>
                <w:szCs w:val="18"/>
              </w:rPr>
              <w:t xml:space="preserve">baits </w:t>
            </w:r>
            <w:r w:rsidR="00E11975" w:rsidRPr="00D22029">
              <w:rPr>
                <w:szCs w:val="18"/>
              </w:rPr>
              <w:t>were</w:t>
            </w:r>
            <w:r w:rsidR="00CB1C8D" w:rsidRPr="00D22029">
              <w:rPr>
                <w:szCs w:val="18"/>
              </w:rPr>
              <w:t xml:space="preserve"> not laid or applied within </w:t>
            </w:r>
            <w:r w:rsidR="001C17E3" w:rsidRPr="00D22029">
              <w:rPr>
                <w:szCs w:val="18"/>
              </w:rPr>
              <w:t>8</w:t>
            </w:r>
            <w:r w:rsidR="00CB1C8D" w:rsidRPr="00D22029">
              <w:rPr>
                <w:szCs w:val="18"/>
              </w:rPr>
              <w:t>0</w:t>
            </w:r>
            <w:r w:rsidR="00903CC9">
              <w:rPr>
                <w:szCs w:val="18"/>
              </w:rPr>
              <w:t xml:space="preserve"> </w:t>
            </w:r>
            <w:r w:rsidR="00CB1C8D" w:rsidRPr="00D22029">
              <w:rPr>
                <w:szCs w:val="18"/>
              </w:rPr>
              <w:t>m of each dwelling</w:t>
            </w:r>
            <w:r w:rsidRPr="00D22029">
              <w:rPr>
                <w:szCs w:val="18"/>
              </w:rPr>
              <w:t>.</w:t>
            </w:r>
          </w:p>
        </w:tc>
      </w:tr>
    </w:tbl>
    <w:p w14:paraId="3B5C5987" w14:textId="77777777" w:rsidR="00F824B8" w:rsidRPr="00D22029" w:rsidRDefault="00F824B8" w:rsidP="00F824B8"/>
    <w:tbl>
      <w:tblPr>
        <w:tblW w:w="8025"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1843"/>
        <w:gridCol w:w="6182"/>
      </w:tblGrid>
      <w:tr w:rsidR="00F824B8" w:rsidRPr="00D22029" w14:paraId="0D7EEA81" w14:textId="77777777" w:rsidTr="00F4433C">
        <w:trPr>
          <w:cantSplit/>
          <w:tblHeader/>
        </w:trPr>
        <w:tc>
          <w:tcPr>
            <w:tcW w:w="8025" w:type="dxa"/>
            <w:gridSpan w:val="2"/>
            <w:tcBorders>
              <w:top w:val="nil"/>
              <w:left w:val="nil"/>
              <w:bottom w:val="nil"/>
              <w:right w:val="nil"/>
            </w:tcBorders>
            <w:shd w:val="clear" w:color="auto" w:fill="D9D9D9"/>
            <w:hideMark/>
          </w:tcPr>
          <w:p w14:paraId="60E35D4B" w14:textId="40255CE8" w:rsidR="00F824B8" w:rsidRPr="00D22029" w:rsidRDefault="00F824B8">
            <w:pPr>
              <w:pStyle w:val="TableText"/>
              <w:rPr>
                <w:b/>
                <w:szCs w:val="18"/>
                <w:lang w:eastAsia="en-NZ"/>
              </w:rPr>
            </w:pPr>
            <w:r w:rsidRPr="00D22029">
              <w:rPr>
                <w:b/>
                <w:szCs w:val="18"/>
                <w:lang w:eastAsia="en-NZ"/>
              </w:rPr>
              <w:t xml:space="preserve">CONDITION </w:t>
            </w:r>
            <w:r w:rsidR="00984EE7" w:rsidRPr="00D22029">
              <w:rPr>
                <w:b/>
                <w:szCs w:val="18"/>
                <w:lang w:eastAsia="en-NZ"/>
              </w:rPr>
              <w:t>6</w:t>
            </w:r>
            <w:r w:rsidRPr="00D22029">
              <w:rPr>
                <w:b/>
                <w:szCs w:val="18"/>
                <w:lang w:eastAsia="en-NZ"/>
              </w:rPr>
              <w:t xml:space="preserve">: Aerial applications to </w:t>
            </w:r>
            <w:r w:rsidR="004C07AA" w:rsidRPr="00D22029">
              <w:rPr>
                <w:szCs w:val="18"/>
              </w:rPr>
              <w:t>dwellings, huts, access points, camping and public areas, walking and vehicle tracks, roads and lay-bys</w:t>
            </w:r>
          </w:p>
        </w:tc>
      </w:tr>
      <w:tr w:rsidR="00F824B8" w:rsidRPr="00D22029" w14:paraId="3D4A5837" w14:textId="77777777" w:rsidTr="00F4433C">
        <w:tc>
          <w:tcPr>
            <w:tcW w:w="8025" w:type="dxa"/>
            <w:gridSpan w:val="2"/>
            <w:tcBorders>
              <w:top w:val="nil"/>
              <w:left w:val="nil"/>
              <w:bottom w:val="single" w:sz="4" w:space="0" w:color="BFBFBF" w:themeColor="background1" w:themeShade="BF"/>
              <w:right w:val="nil"/>
            </w:tcBorders>
            <w:hideMark/>
          </w:tcPr>
          <w:p w14:paraId="58F70BB0" w14:textId="746A010D" w:rsidR="00F824B8" w:rsidRPr="00D22029" w:rsidRDefault="00F824B8">
            <w:pPr>
              <w:pStyle w:val="TableText"/>
              <w:rPr>
                <w:szCs w:val="18"/>
                <w:lang w:eastAsia="en-NZ"/>
              </w:rPr>
            </w:pPr>
            <w:r w:rsidRPr="00D22029">
              <w:rPr>
                <w:szCs w:val="18"/>
                <w:lang w:eastAsia="en-NZ"/>
              </w:rPr>
              <w:t>(</w:t>
            </w:r>
            <w:r w:rsidRPr="00D22029">
              <w:rPr>
                <w:i/>
                <w:szCs w:val="18"/>
                <w:lang w:eastAsia="en-NZ"/>
              </w:rPr>
              <w:t xml:space="preserve">Insert </w:t>
            </w:r>
            <w:r w:rsidR="00984EE7" w:rsidRPr="00D22029">
              <w:rPr>
                <w:i/>
                <w:szCs w:val="18"/>
              </w:rPr>
              <w:t>name</w:t>
            </w:r>
            <w:r w:rsidR="00903CC9">
              <w:rPr>
                <w:i/>
                <w:szCs w:val="18"/>
              </w:rPr>
              <w:t>(s)</w:t>
            </w:r>
            <w:r w:rsidR="00984EE7" w:rsidRPr="00D22029">
              <w:rPr>
                <w:i/>
                <w:szCs w:val="18"/>
              </w:rPr>
              <w:t xml:space="preserve"> of VTA(s) and other hazardous substance(s)</w:t>
            </w:r>
            <w:r w:rsidRPr="00D22029">
              <w:rPr>
                <w:rFonts w:cs="Arial"/>
                <w:color w:val="000000"/>
                <w:szCs w:val="18"/>
                <w:lang w:eastAsia="en-NZ"/>
              </w:rPr>
              <w:t xml:space="preserve">) may be aerially applied </w:t>
            </w:r>
            <w:r w:rsidRPr="00D22029">
              <w:rPr>
                <w:szCs w:val="18"/>
                <w:lang w:eastAsia="en-NZ"/>
              </w:rPr>
              <w:t xml:space="preserve">to the following </w:t>
            </w:r>
            <w:r w:rsidR="004C07AA" w:rsidRPr="00D22029">
              <w:rPr>
                <w:szCs w:val="18"/>
              </w:rPr>
              <w:t>dwellings, huts, access points, camping and public areas, walking and vehicle tracks, roads and lay-bys</w:t>
            </w:r>
            <w:r w:rsidRPr="00D22029">
              <w:rPr>
                <w:szCs w:val="18"/>
                <w:lang w:eastAsia="en-NZ"/>
              </w:rPr>
              <w:t xml:space="preserve"> but not during</w:t>
            </w:r>
            <w:r w:rsidR="00903CC9">
              <w:rPr>
                <w:szCs w:val="18"/>
                <w:lang w:eastAsia="en-NZ"/>
              </w:rPr>
              <w:t>,</w:t>
            </w:r>
            <w:r w:rsidRPr="00D22029">
              <w:rPr>
                <w:szCs w:val="18"/>
                <w:lang w:eastAsia="en-NZ"/>
              </w:rPr>
              <w:t xml:space="preserve"> or within 24 hours </w:t>
            </w:r>
            <w:r w:rsidR="00903CC9">
              <w:rPr>
                <w:szCs w:val="18"/>
                <w:lang w:eastAsia="en-NZ"/>
              </w:rPr>
              <w:t>before</w:t>
            </w:r>
            <w:r w:rsidR="00903CC9" w:rsidRPr="00D22029">
              <w:rPr>
                <w:szCs w:val="18"/>
                <w:lang w:eastAsia="en-NZ"/>
              </w:rPr>
              <w:t xml:space="preserve"> </w:t>
            </w:r>
            <w:r w:rsidRPr="00D22029">
              <w:rPr>
                <w:szCs w:val="18"/>
                <w:lang w:eastAsia="en-NZ"/>
              </w:rPr>
              <w:t>the start of</w:t>
            </w:r>
            <w:r w:rsidR="00903CC9">
              <w:rPr>
                <w:szCs w:val="18"/>
                <w:lang w:eastAsia="en-NZ"/>
              </w:rPr>
              <w:t>,</w:t>
            </w:r>
            <w:r w:rsidRPr="00D22029">
              <w:rPr>
                <w:szCs w:val="18"/>
                <w:lang w:eastAsia="en-NZ"/>
              </w:rPr>
              <w:t xml:space="preserve"> school holidays, public holidays or public holiday weekends: (</w:t>
            </w:r>
            <w:r w:rsidRPr="00D22029">
              <w:rPr>
                <w:i/>
                <w:iCs/>
                <w:szCs w:val="18"/>
                <w:lang w:eastAsia="en-NZ"/>
              </w:rPr>
              <w:t>list</w:t>
            </w:r>
            <w:r w:rsidRPr="00D22029">
              <w:rPr>
                <w:szCs w:val="18"/>
                <w:lang w:eastAsia="en-NZ"/>
              </w:rPr>
              <w:t>).</w:t>
            </w:r>
          </w:p>
          <w:p w14:paraId="2E94E56F" w14:textId="723EBCF8" w:rsidR="00F824B8" w:rsidRPr="00D22029" w:rsidRDefault="00F824B8">
            <w:pPr>
              <w:pStyle w:val="TableText"/>
              <w:rPr>
                <w:szCs w:val="18"/>
                <w:lang w:eastAsia="en-NZ"/>
              </w:rPr>
            </w:pPr>
            <w:r w:rsidRPr="00D22029">
              <w:rPr>
                <w:szCs w:val="18"/>
                <w:lang w:eastAsia="en-NZ"/>
              </w:rPr>
              <w:t xml:space="preserve">If </w:t>
            </w:r>
            <w:r w:rsidR="00984EE7" w:rsidRPr="00D22029">
              <w:rPr>
                <w:szCs w:val="18"/>
                <w:lang w:eastAsia="en-NZ"/>
              </w:rPr>
              <w:t>(</w:t>
            </w:r>
            <w:r w:rsidR="00903CC9">
              <w:rPr>
                <w:i/>
                <w:szCs w:val="18"/>
                <w:lang w:eastAsia="en-NZ"/>
              </w:rPr>
              <w:t>i</w:t>
            </w:r>
            <w:r w:rsidR="00984EE7" w:rsidRPr="00D22029">
              <w:rPr>
                <w:i/>
                <w:szCs w:val="18"/>
                <w:lang w:eastAsia="en-NZ"/>
              </w:rPr>
              <w:t xml:space="preserve">nsert </w:t>
            </w:r>
            <w:r w:rsidR="00984EE7" w:rsidRPr="00D22029">
              <w:rPr>
                <w:i/>
                <w:szCs w:val="18"/>
              </w:rPr>
              <w:t>name</w:t>
            </w:r>
            <w:r w:rsidR="00903CC9">
              <w:rPr>
                <w:i/>
                <w:szCs w:val="18"/>
              </w:rPr>
              <w:t>(s)</w:t>
            </w:r>
            <w:r w:rsidR="00984EE7" w:rsidRPr="00D22029">
              <w:rPr>
                <w:i/>
                <w:szCs w:val="18"/>
              </w:rPr>
              <w:t xml:space="preserve"> of VTA(s) and other hazardous substance(s)</w:t>
            </w:r>
            <w:r w:rsidR="00984EE7" w:rsidRPr="00D22029">
              <w:rPr>
                <w:rFonts w:cs="Arial"/>
                <w:color w:val="000000"/>
                <w:szCs w:val="18"/>
                <w:lang w:eastAsia="en-NZ"/>
              </w:rPr>
              <w:t>)</w:t>
            </w:r>
            <w:r w:rsidRPr="00D22029">
              <w:rPr>
                <w:szCs w:val="18"/>
                <w:lang w:eastAsia="en-NZ"/>
              </w:rPr>
              <w:t xml:space="preserve"> is aerially applied to any of the above-listed </w:t>
            </w:r>
            <w:r w:rsidR="004C07AA" w:rsidRPr="00D22029">
              <w:rPr>
                <w:szCs w:val="18"/>
              </w:rPr>
              <w:t>dwellings, huts, access points, camping and public areas, walking and vehicle tracks, roads and lay-bys</w:t>
            </w:r>
            <w:r w:rsidRPr="00D22029">
              <w:rPr>
                <w:szCs w:val="18"/>
                <w:lang w:eastAsia="en-NZ"/>
              </w:rPr>
              <w:t xml:space="preserve">, inspect those </w:t>
            </w:r>
            <w:r w:rsidR="004C07AA" w:rsidRPr="00D22029">
              <w:rPr>
                <w:szCs w:val="18"/>
              </w:rPr>
              <w:t>dwellings, huts, access points, camping and public areas, walking and vehicle tracks, roads and lay-bys</w:t>
            </w:r>
            <w:r w:rsidRPr="00D22029">
              <w:rPr>
                <w:szCs w:val="18"/>
                <w:lang w:eastAsia="en-NZ"/>
              </w:rPr>
              <w:t xml:space="preserve"> as soon as possible and no more than 24 hours after the aerial application and make reasonable efforts to find and remove all bait and, if encountered, animal carcasses.</w:t>
            </w:r>
          </w:p>
          <w:p w14:paraId="18883AF4" w14:textId="483C9943" w:rsidR="00214946" w:rsidRPr="00D22029" w:rsidRDefault="00214946" w:rsidP="00567231">
            <w:pPr>
              <w:pStyle w:val="TableText"/>
              <w:rPr>
                <w:szCs w:val="18"/>
              </w:rPr>
            </w:pPr>
            <w:r w:rsidRPr="00D22029">
              <w:rPr>
                <w:szCs w:val="18"/>
                <w:lang w:eastAsia="en-NZ"/>
              </w:rPr>
              <w:t xml:space="preserve">Undertake a second inspection of the following </w:t>
            </w:r>
            <w:r w:rsidR="004C07AA" w:rsidRPr="00D22029">
              <w:rPr>
                <w:szCs w:val="18"/>
              </w:rPr>
              <w:t>dwellings, huts, access points, camping and public areas, walking and vehicle tracks, roads and lay-bys</w:t>
            </w:r>
            <w:r w:rsidRPr="00D22029">
              <w:rPr>
                <w:szCs w:val="18"/>
                <w:lang w:eastAsia="en-NZ"/>
              </w:rPr>
              <w:t>, and make reasonable efforts to find and remove all bait and, if encountered, animal carcasses:</w:t>
            </w:r>
            <w:r w:rsidR="00567231" w:rsidRPr="00D22029">
              <w:rPr>
                <w:szCs w:val="18"/>
                <w:lang w:eastAsia="en-NZ"/>
              </w:rPr>
              <w:t xml:space="preserve"> </w:t>
            </w:r>
            <w:r w:rsidRPr="00D22029">
              <w:rPr>
                <w:szCs w:val="18"/>
                <w:lang w:eastAsia="en-NZ"/>
              </w:rPr>
              <w:t>(</w:t>
            </w:r>
            <w:r w:rsidRPr="00D22029">
              <w:rPr>
                <w:i/>
                <w:iCs/>
                <w:szCs w:val="18"/>
                <w:lang w:eastAsia="en-NZ"/>
              </w:rPr>
              <w:t>list tracks to undergo a second clearance</w:t>
            </w:r>
            <w:r w:rsidRPr="00D22029">
              <w:rPr>
                <w:szCs w:val="18"/>
                <w:lang w:eastAsia="en-NZ"/>
              </w:rPr>
              <w:t>).</w:t>
            </w:r>
            <w:r w:rsidR="00567231" w:rsidRPr="00D22029">
              <w:rPr>
                <w:szCs w:val="18"/>
                <w:lang w:eastAsia="en-NZ"/>
              </w:rPr>
              <w:t xml:space="preserve"> </w:t>
            </w:r>
            <w:r w:rsidRPr="00D22029">
              <w:rPr>
                <w:szCs w:val="18"/>
                <w:lang w:eastAsia="en-NZ"/>
              </w:rPr>
              <w:t xml:space="preserve">The second inspection shall be made at least 24 hours </w:t>
            </w:r>
            <w:r w:rsidRPr="00D22029">
              <w:rPr>
                <w:iCs/>
                <w:szCs w:val="18"/>
                <w:lang w:eastAsia="en-NZ"/>
              </w:rPr>
              <w:t>(</w:t>
            </w:r>
            <w:r w:rsidRPr="00D22029">
              <w:rPr>
                <w:i/>
                <w:iCs/>
                <w:szCs w:val="18"/>
                <w:lang w:eastAsia="en-NZ"/>
              </w:rPr>
              <w:t>or insert agreed timeframe</w:t>
            </w:r>
            <w:r w:rsidRPr="00D22029">
              <w:rPr>
                <w:iCs/>
                <w:szCs w:val="18"/>
                <w:lang w:eastAsia="en-NZ"/>
              </w:rPr>
              <w:t>)</w:t>
            </w:r>
            <w:r w:rsidRPr="00D22029">
              <w:rPr>
                <w:szCs w:val="18"/>
                <w:lang w:eastAsia="en-NZ"/>
              </w:rPr>
              <w:t xml:space="preserve"> after the toxic bait application. It should be timed to take place either</w:t>
            </w:r>
            <w:r w:rsidR="00567231" w:rsidRPr="00D22029">
              <w:rPr>
                <w:szCs w:val="18"/>
                <w:lang w:eastAsia="en-NZ"/>
              </w:rPr>
              <w:t xml:space="preserve"> </w:t>
            </w:r>
            <w:r w:rsidRPr="00D22029">
              <w:rPr>
                <w:szCs w:val="18"/>
                <w:lang w:eastAsia="en-NZ"/>
              </w:rPr>
              <w:t>immediately after the occurrence of strong winds, or</w:t>
            </w:r>
            <w:r w:rsidR="00567231" w:rsidRPr="00D22029">
              <w:rPr>
                <w:szCs w:val="18"/>
                <w:lang w:eastAsia="en-NZ"/>
              </w:rPr>
              <w:t xml:space="preserve"> </w:t>
            </w:r>
            <w:r w:rsidRPr="00D22029">
              <w:rPr>
                <w:szCs w:val="18"/>
                <w:lang w:eastAsia="en-NZ"/>
              </w:rPr>
              <w:t>immediately before the weekend or commencement of school holidays or public holidays,</w:t>
            </w:r>
            <w:r w:rsidR="00567231" w:rsidRPr="00D22029">
              <w:rPr>
                <w:szCs w:val="18"/>
                <w:lang w:eastAsia="en-NZ"/>
              </w:rPr>
              <w:t xml:space="preserve"> </w:t>
            </w:r>
            <w:r w:rsidRPr="00D22029">
              <w:rPr>
                <w:szCs w:val="18"/>
                <w:lang w:eastAsia="en-NZ"/>
              </w:rPr>
              <w:t>whichever occurs first.</w:t>
            </w:r>
          </w:p>
        </w:tc>
      </w:tr>
      <w:tr w:rsidR="00F824B8" w:rsidRPr="00D22029" w14:paraId="5AFB1FDD" w14:textId="77777777" w:rsidTr="00C95A73">
        <w:trPr>
          <w:cantSplit/>
        </w:trPr>
        <w:tc>
          <w:tcPr>
            <w:tcW w:w="18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8270AF2" w14:textId="77777777" w:rsidR="00F824B8" w:rsidRPr="00D22029" w:rsidRDefault="00F824B8">
            <w:pPr>
              <w:pStyle w:val="TableText"/>
              <w:rPr>
                <w:b/>
                <w:szCs w:val="18"/>
              </w:rPr>
            </w:pPr>
            <w:r w:rsidRPr="00D22029">
              <w:rPr>
                <w:b/>
                <w:szCs w:val="18"/>
              </w:rPr>
              <w:t>Scope</w:t>
            </w:r>
          </w:p>
        </w:tc>
        <w:tc>
          <w:tcPr>
            <w:tcW w:w="618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3CDBE55E" w14:textId="75FDD11C" w:rsidR="00F824B8" w:rsidRPr="00D22029" w:rsidRDefault="009E7C79">
            <w:pPr>
              <w:pStyle w:val="TableText"/>
              <w:rPr>
                <w:szCs w:val="18"/>
              </w:rPr>
            </w:pPr>
            <w:r w:rsidRPr="00D22029">
              <w:rPr>
                <w:szCs w:val="18"/>
              </w:rPr>
              <w:t>For aerial application of VTAs and other hazardous substances.</w:t>
            </w:r>
          </w:p>
        </w:tc>
      </w:tr>
      <w:tr w:rsidR="00F824B8" w14:paraId="29E8D5A7" w14:textId="77777777" w:rsidTr="00C95A73">
        <w:trPr>
          <w:cantSplit/>
        </w:trPr>
        <w:tc>
          <w:tcPr>
            <w:tcW w:w="18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F023D85" w14:textId="77777777" w:rsidR="00F824B8" w:rsidRPr="00D22029" w:rsidRDefault="00F824B8">
            <w:pPr>
              <w:pStyle w:val="TableText"/>
              <w:rPr>
                <w:b/>
                <w:szCs w:val="18"/>
              </w:rPr>
            </w:pPr>
            <w:r w:rsidRPr="00D22029">
              <w:rPr>
                <w:b/>
                <w:szCs w:val="18"/>
              </w:rPr>
              <w:t>Rationale for the condition</w:t>
            </w:r>
          </w:p>
        </w:tc>
        <w:tc>
          <w:tcPr>
            <w:tcW w:w="618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5213FBAD" w14:textId="0C58E3F4" w:rsidR="00F824B8" w:rsidRPr="00D22029" w:rsidRDefault="00F824B8">
            <w:pPr>
              <w:pStyle w:val="TableText"/>
              <w:rPr>
                <w:szCs w:val="18"/>
                <w:lang w:eastAsia="en-NZ"/>
              </w:rPr>
            </w:pPr>
            <w:r w:rsidRPr="00D22029">
              <w:rPr>
                <w:szCs w:val="18"/>
                <w:lang w:eastAsia="en-NZ"/>
              </w:rPr>
              <w:t xml:space="preserve">This ensures that, where aerial application to </w:t>
            </w:r>
            <w:r w:rsidR="000A0371" w:rsidRPr="00D22029">
              <w:rPr>
                <w:szCs w:val="18"/>
              </w:rPr>
              <w:t>dwellings, huts, access points, camping and public areas, walking and vehicle tracks, roads and lay-bys</w:t>
            </w:r>
            <w:r w:rsidRPr="00D22029">
              <w:rPr>
                <w:szCs w:val="18"/>
                <w:lang w:eastAsia="en-NZ"/>
              </w:rPr>
              <w:t xml:space="preserve"> is permitted, it should take place in sufficient time to allow the clearance of these </w:t>
            </w:r>
            <w:r w:rsidR="000A0371" w:rsidRPr="00D22029">
              <w:rPr>
                <w:szCs w:val="18"/>
              </w:rPr>
              <w:t>dwellings, huts, access points, camping and public areas, walking and vehicle tracks, roads and lay-bys</w:t>
            </w:r>
            <w:r w:rsidR="000A0371" w:rsidRPr="00D22029" w:rsidDel="000A0371">
              <w:rPr>
                <w:szCs w:val="18"/>
                <w:lang w:eastAsia="en-NZ"/>
              </w:rPr>
              <w:t xml:space="preserve"> </w:t>
            </w:r>
            <w:r w:rsidRPr="00D22029">
              <w:rPr>
                <w:szCs w:val="18"/>
                <w:lang w:eastAsia="en-NZ"/>
              </w:rPr>
              <w:t>before school or public holidays commence so as to minimise the risk of direct human (particularly child) contact with baits.</w:t>
            </w:r>
          </w:p>
          <w:p w14:paraId="43FF0829" w14:textId="0B2C38A2" w:rsidR="00214946" w:rsidRDefault="00214946">
            <w:pPr>
              <w:pStyle w:val="TableText"/>
              <w:rPr>
                <w:szCs w:val="18"/>
                <w:lang w:eastAsia="en-NZ"/>
              </w:rPr>
            </w:pPr>
            <w:r w:rsidRPr="00D22029">
              <w:rPr>
                <w:szCs w:val="18"/>
                <w:lang w:eastAsia="en-NZ"/>
              </w:rPr>
              <w:t>When a second clearance is undertaken, it should be timed</w:t>
            </w:r>
            <w:r w:rsidR="00FA48C7">
              <w:rPr>
                <w:szCs w:val="18"/>
                <w:lang w:eastAsia="en-NZ"/>
              </w:rPr>
              <w:t xml:space="preserve"> to</w:t>
            </w:r>
            <w:r w:rsidRPr="00D22029">
              <w:rPr>
                <w:szCs w:val="18"/>
                <w:lang w:eastAsia="en-NZ"/>
              </w:rPr>
              <w:t xml:space="preserve"> take place after strong winds </w:t>
            </w:r>
            <w:r w:rsidR="00D150A2">
              <w:rPr>
                <w:szCs w:val="18"/>
                <w:lang w:eastAsia="en-NZ"/>
              </w:rPr>
              <w:t xml:space="preserve">occur </w:t>
            </w:r>
            <w:r w:rsidRPr="00D22029">
              <w:rPr>
                <w:szCs w:val="18"/>
                <w:lang w:eastAsia="en-NZ"/>
              </w:rPr>
              <w:t>that may dislodge bait caught up in the forest canopy or, failing that, immediately before the weekend or public or school holidays.</w:t>
            </w:r>
          </w:p>
        </w:tc>
      </w:tr>
      <w:tr w:rsidR="00F824B8" w14:paraId="103B2D8B" w14:textId="77777777" w:rsidTr="00C95A73">
        <w:trPr>
          <w:cantSplit/>
        </w:trPr>
        <w:tc>
          <w:tcPr>
            <w:tcW w:w="18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A8E820C" w14:textId="77777777" w:rsidR="00F824B8" w:rsidRDefault="00F824B8">
            <w:pPr>
              <w:pStyle w:val="TableText"/>
              <w:rPr>
                <w:b/>
                <w:szCs w:val="18"/>
              </w:rPr>
            </w:pPr>
            <w:r>
              <w:rPr>
                <w:b/>
                <w:szCs w:val="18"/>
              </w:rPr>
              <w:t>Modification options</w:t>
            </w:r>
          </w:p>
        </w:tc>
        <w:tc>
          <w:tcPr>
            <w:tcW w:w="618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30E7AF06" w14:textId="4D5015C8" w:rsidR="00F824B8" w:rsidRDefault="00F824B8">
            <w:pPr>
              <w:pStyle w:val="TableText"/>
              <w:rPr>
                <w:szCs w:val="18"/>
                <w:lang w:eastAsia="en-NZ"/>
              </w:rPr>
            </w:pPr>
            <w:r>
              <w:rPr>
                <w:szCs w:val="18"/>
                <w:lang w:eastAsia="en-NZ"/>
              </w:rPr>
              <w:t xml:space="preserve">Use discretion to permit the aerial application of </w:t>
            </w:r>
            <w:r w:rsidR="001844CD" w:rsidRPr="003D6D02">
              <w:rPr>
                <w:szCs w:val="18"/>
              </w:rPr>
              <w:t>VTA</w:t>
            </w:r>
            <w:r w:rsidR="001844CD">
              <w:rPr>
                <w:szCs w:val="18"/>
              </w:rPr>
              <w:t>s</w:t>
            </w:r>
            <w:r w:rsidR="001844CD" w:rsidRPr="003D6D02">
              <w:rPr>
                <w:szCs w:val="18"/>
              </w:rPr>
              <w:t xml:space="preserve"> and other hazardous substance uses</w:t>
            </w:r>
            <w:r>
              <w:rPr>
                <w:rFonts w:cs="Arial"/>
                <w:color w:val="000000"/>
                <w:szCs w:val="18"/>
                <w:lang w:eastAsia="en-NZ"/>
              </w:rPr>
              <w:t xml:space="preserve"> </w:t>
            </w:r>
            <w:r>
              <w:rPr>
                <w:szCs w:val="18"/>
                <w:lang w:eastAsia="en-NZ"/>
              </w:rPr>
              <w:t xml:space="preserve">to some </w:t>
            </w:r>
            <w:r w:rsidR="00EB0324" w:rsidRPr="00D22029">
              <w:rPr>
                <w:szCs w:val="18"/>
              </w:rPr>
              <w:t>dwellings, huts, access points, camping and public areas, walking and vehicle tracks, roads and lay-bys</w:t>
            </w:r>
            <w:r>
              <w:rPr>
                <w:szCs w:val="18"/>
                <w:lang w:eastAsia="en-NZ"/>
              </w:rPr>
              <w:t xml:space="preserve">, instead of excluding them under Condition </w:t>
            </w:r>
            <w:r w:rsidR="00C95A73">
              <w:rPr>
                <w:szCs w:val="18"/>
                <w:lang w:eastAsia="en-NZ"/>
              </w:rPr>
              <w:t>5</w:t>
            </w:r>
            <w:r>
              <w:rPr>
                <w:szCs w:val="18"/>
                <w:lang w:eastAsia="en-NZ"/>
              </w:rPr>
              <w:t xml:space="preserve">, provided that bait is cleared as soon as possible. This would generally apply to low- or medium-use </w:t>
            </w:r>
            <w:r w:rsidR="00EB0324" w:rsidRPr="00D22029">
              <w:rPr>
                <w:szCs w:val="18"/>
              </w:rPr>
              <w:t>dwellings, huts, access points, camping and public areas, walking and vehicle tracks, roads and lay-bys</w:t>
            </w:r>
            <w:r>
              <w:rPr>
                <w:szCs w:val="18"/>
                <w:lang w:eastAsia="en-NZ"/>
              </w:rPr>
              <w:t>.</w:t>
            </w:r>
          </w:p>
          <w:p w14:paraId="588B821C" w14:textId="3761193E" w:rsidR="00D20B35" w:rsidRDefault="00017775" w:rsidP="00D20B35">
            <w:pPr>
              <w:pStyle w:val="TableText"/>
              <w:rPr>
                <w:szCs w:val="18"/>
                <w:lang w:eastAsia="en-NZ"/>
              </w:rPr>
            </w:pPr>
            <w:r w:rsidRPr="000F07CA">
              <w:rPr>
                <w:szCs w:val="18"/>
                <w:lang w:eastAsia="en-NZ"/>
              </w:rPr>
              <w:t xml:space="preserve">Use discretion in </w:t>
            </w:r>
            <w:r>
              <w:rPr>
                <w:szCs w:val="18"/>
                <w:lang w:eastAsia="en-NZ"/>
              </w:rPr>
              <w:t>requiring a second clearance</w:t>
            </w:r>
            <w:r w:rsidRPr="000F07CA">
              <w:rPr>
                <w:szCs w:val="18"/>
                <w:lang w:eastAsia="en-NZ"/>
              </w:rPr>
              <w:t xml:space="preserve">. The condition may not be required for low-use </w:t>
            </w:r>
            <w:r w:rsidR="00EB0324" w:rsidRPr="00D22029">
              <w:rPr>
                <w:szCs w:val="18"/>
              </w:rPr>
              <w:t>dwellings, huts, access points, camping and public areas, walking and vehicle tracks, roads and lay-bys</w:t>
            </w:r>
            <w:r w:rsidRPr="000F07CA">
              <w:rPr>
                <w:szCs w:val="18"/>
                <w:lang w:eastAsia="en-NZ"/>
              </w:rPr>
              <w:t xml:space="preserve"> but consider </w:t>
            </w:r>
            <w:r w:rsidR="00EB0324">
              <w:rPr>
                <w:szCs w:val="18"/>
                <w:lang w:eastAsia="en-NZ"/>
              </w:rPr>
              <w:t>this</w:t>
            </w:r>
            <w:r w:rsidRPr="000F07CA">
              <w:rPr>
                <w:szCs w:val="18"/>
                <w:lang w:eastAsia="en-NZ"/>
              </w:rPr>
              <w:t xml:space="preserve"> on a case-by-case basis</w:t>
            </w:r>
            <w:r w:rsidR="00D150A2">
              <w:rPr>
                <w:szCs w:val="18"/>
                <w:lang w:eastAsia="en-NZ"/>
              </w:rPr>
              <w:t>. Some cases may require</w:t>
            </w:r>
            <w:r w:rsidRPr="000F07CA">
              <w:rPr>
                <w:szCs w:val="18"/>
                <w:lang w:eastAsia="en-NZ"/>
              </w:rPr>
              <w:t xml:space="preserve"> consultation with </w:t>
            </w:r>
            <w:r>
              <w:rPr>
                <w:szCs w:val="18"/>
                <w:lang w:eastAsia="en-NZ"/>
              </w:rPr>
              <w:t xml:space="preserve">the </w:t>
            </w:r>
            <w:r w:rsidRPr="000F07CA">
              <w:rPr>
                <w:szCs w:val="18"/>
                <w:lang w:eastAsia="en-NZ"/>
              </w:rPr>
              <w:t>Department of Conservation and/or the relevant track manager(s).</w:t>
            </w:r>
          </w:p>
          <w:p w14:paraId="48200A62" w14:textId="16DF96CB" w:rsidR="00017775" w:rsidRDefault="00017775" w:rsidP="00D20B35">
            <w:pPr>
              <w:pStyle w:val="TableText"/>
              <w:rPr>
                <w:szCs w:val="18"/>
                <w:lang w:eastAsia="en-NZ"/>
              </w:rPr>
            </w:pPr>
            <w:r w:rsidRPr="000F07CA">
              <w:rPr>
                <w:szCs w:val="18"/>
                <w:lang w:eastAsia="en-NZ"/>
              </w:rPr>
              <w:t xml:space="preserve">Timeframes for clearances should reflect both use (low, medium or high) and complexity (ie, terrain, length, safety considerations). All such matters inform a risk assessment, and applicable mitigating measures </w:t>
            </w:r>
            <w:r>
              <w:rPr>
                <w:szCs w:val="18"/>
                <w:lang w:eastAsia="en-NZ"/>
              </w:rPr>
              <w:t>that</w:t>
            </w:r>
            <w:r w:rsidRPr="000F07CA">
              <w:rPr>
                <w:szCs w:val="18"/>
                <w:lang w:eastAsia="en-NZ"/>
              </w:rPr>
              <w:t xml:space="preserve"> reduce</w:t>
            </w:r>
            <w:r w:rsidR="00D150A2">
              <w:rPr>
                <w:szCs w:val="18"/>
                <w:lang w:eastAsia="en-NZ"/>
              </w:rPr>
              <w:t xml:space="preserve"> or </w:t>
            </w:r>
            <w:r w:rsidRPr="000F07CA">
              <w:rPr>
                <w:szCs w:val="18"/>
                <w:lang w:eastAsia="en-NZ"/>
              </w:rPr>
              <w:t xml:space="preserve">remove </w:t>
            </w:r>
            <w:r>
              <w:rPr>
                <w:szCs w:val="18"/>
                <w:lang w:eastAsia="en-NZ"/>
              </w:rPr>
              <w:t xml:space="preserve">the presence of </w:t>
            </w:r>
            <w:r w:rsidRPr="000F07CA">
              <w:rPr>
                <w:szCs w:val="18"/>
                <w:lang w:eastAsia="en-NZ"/>
              </w:rPr>
              <w:t>exposure pathways.</w:t>
            </w:r>
          </w:p>
        </w:tc>
      </w:tr>
      <w:tr w:rsidR="006A558F" w14:paraId="4BB4546E" w14:textId="77777777" w:rsidTr="00C95A73">
        <w:trPr>
          <w:cantSplit/>
        </w:trPr>
        <w:tc>
          <w:tcPr>
            <w:tcW w:w="18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AB357A1" w14:textId="1031104A" w:rsidR="006A558F" w:rsidRDefault="006A558F" w:rsidP="006A558F">
            <w:pPr>
              <w:pStyle w:val="TableText"/>
              <w:rPr>
                <w:b/>
                <w:szCs w:val="18"/>
              </w:rPr>
            </w:pPr>
            <w:r w:rsidRPr="009C1886">
              <w:rPr>
                <w:b/>
                <w:szCs w:val="18"/>
              </w:rPr>
              <w:t>Example</w:t>
            </w:r>
          </w:p>
        </w:tc>
        <w:tc>
          <w:tcPr>
            <w:tcW w:w="618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D35957B" w14:textId="42AF3CBE" w:rsidR="006A558F" w:rsidRDefault="00EB0324" w:rsidP="006A558F">
            <w:pPr>
              <w:pStyle w:val="TableText"/>
              <w:rPr>
                <w:szCs w:val="18"/>
                <w:lang w:eastAsia="en-NZ"/>
              </w:rPr>
            </w:pPr>
            <w:r>
              <w:rPr>
                <w:szCs w:val="18"/>
              </w:rPr>
              <w:t>D</w:t>
            </w:r>
            <w:r w:rsidRPr="00D22029">
              <w:rPr>
                <w:szCs w:val="18"/>
              </w:rPr>
              <w:t>wellings, huts, access points, camping and public areas, walking and vehicle tracks, roads and lay-bys</w:t>
            </w:r>
            <w:r w:rsidR="006A558F" w:rsidRPr="0009241D">
              <w:rPr>
                <w:szCs w:val="18"/>
              </w:rPr>
              <w:t xml:space="preserve"> that have a moderate degree of use, especially in weekends, should be listed for a second clearance </w:t>
            </w:r>
            <w:r w:rsidR="00CB3576">
              <w:rPr>
                <w:szCs w:val="18"/>
              </w:rPr>
              <w:t>of</w:t>
            </w:r>
            <w:r w:rsidR="006A558F" w:rsidRPr="0009241D">
              <w:rPr>
                <w:szCs w:val="18"/>
              </w:rPr>
              <w:t xml:space="preserve"> a</w:t>
            </w:r>
            <w:r w:rsidR="00CB3576">
              <w:rPr>
                <w:szCs w:val="18"/>
              </w:rPr>
              <w:t>ll</w:t>
            </w:r>
            <w:r w:rsidR="006A558F" w:rsidRPr="0009241D">
              <w:rPr>
                <w:szCs w:val="18"/>
              </w:rPr>
              <w:t xml:space="preserve"> </w:t>
            </w:r>
            <w:r w:rsidR="00CB3576">
              <w:rPr>
                <w:szCs w:val="18"/>
              </w:rPr>
              <w:t xml:space="preserve">remaining </w:t>
            </w:r>
            <w:r w:rsidR="006A558F" w:rsidRPr="0009241D">
              <w:rPr>
                <w:szCs w:val="18"/>
              </w:rPr>
              <w:t>bait and/or carcasses.</w:t>
            </w:r>
          </w:p>
        </w:tc>
      </w:tr>
    </w:tbl>
    <w:p w14:paraId="769A77D9" w14:textId="77777777" w:rsidR="00431440" w:rsidRPr="00003A4A" w:rsidRDefault="00431440" w:rsidP="00587C48"/>
    <w:tbl>
      <w:tblPr>
        <w:tblW w:w="8023"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1843"/>
        <w:gridCol w:w="6180"/>
      </w:tblGrid>
      <w:tr w:rsidR="00587C48" w:rsidRPr="006E150E" w14:paraId="0791F1DB" w14:textId="77777777" w:rsidTr="00431440">
        <w:trPr>
          <w:cantSplit/>
        </w:trPr>
        <w:tc>
          <w:tcPr>
            <w:tcW w:w="8023" w:type="dxa"/>
            <w:gridSpan w:val="2"/>
            <w:shd w:val="clear" w:color="auto" w:fill="D9D9D9"/>
          </w:tcPr>
          <w:p w14:paraId="778A1699" w14:textId="5AC9644A" w:rsidR="00587C48" w:rsidRPr="006E150E" w:rsidRDefault="00587C48" w:rsidP="002E12FB">
            <w:pPr>
              <w:pStyle w:val="TableText"/>
              <w:rPr>
                <w:b/>
                <w:szCs w:val="18"/>
                <w:lang w:eastAsia="en-NZ"/>
              </w:rPr>
            </w:pPr>
            <w:r w:rsidRPr="006E150E">
              <w:rPr>
                <w:b/>
                <w:szCs w:val="18"/>
                <w:lang w:eastAsia="en-NZ"/>
              </w:rPr>
              <w:t xml:space="preserve">CONDITION </w:t>
            </w:r>
            <w:r w:rsidR="006A558F">
              <w:rPr>
                <w:b/>
                <w:szCs w:val="18"/>
                <w:lang w:eastAsia="en-NZ"/>
              </w:rPr>
              <w:t>7</w:t>
            </w:r>
            <w:r w:rsidRPr="006E150E">
              <w:rPr>
                <w:b/>
                <w:szCs w:val="18"/>
                <w:lang w:eastAsia="en-NZ"/>
              </w:rPr>
              <w:t>: GPS track logs</w:t>
            </w:r>
          </w:p>
        </w:tc>
      </w:tr>
      <w:tr w:rsidR="00587C48" w:rsidRPr="00003A4A" w14:paraId="3EB893D6" w14:textId="77777777" w:rsidTr="00431440">
        <w:trPr>
          <w:cantSplit/>
        </w:trPr>
        <w:tc>
          <w:tcPr>
            <w:tcW w:w="8023" w:type="dxa"/>
            <w:gridSpan w:val="2"/>
            <w:shd w:val="clear" w:color="auto" w:fill="auto"/>
          </w:tcPr>
          <w:p w14:paraId="04F82538" w14:textId="1CBFD91F" w:rsidR="00587C48" w:rsidRPr="000F07CA" w:rsidRDefault="00587C48" w:rsidP="002E12FB">
            <w:pPr>
              <w:pStyle w:val="TableText"/>
              <w:rPr>
                <w:szCs w:val="18"/>
              </w:rPr>
            </w:pPr>
            <w:r w:rsidRPr="000F07CA">
              <w:rPr>
                <w:szCs w:val="18"/>
                <w:lang w:eastAsia="en-NZ"/>
              </w:rPr>
              <w:t>A GPS track log shall be recorded and maintained for each clearance and made available to (</w:t>
            </w:r>
            <w:r w:rsidRPr="000F07CA">
              <w:rPr>
                <w:i/>
                <w:iCs/>
                <w:szCs w:val="18"/>
                <w:lang w:eastAsia="en-NZ"/>
              </w:rPr>
              <w:t xml:space="preserve">insert the name of </w:t>
            </w:r>
            <w:r w:rsidR="0058430C">
              <w:rPr>
                <w:i/>
                <w:iCs/>
                <w:szCs w:val="18"/>
                <w:lang w:eastAsia="en-NZ"/>
              </w:rPr>
              <w:t>permission issuer</w:t>
            </w:r>
            <w:r w:rsidRPr="000F07CA">
              <w:rPr>
                <w:szCs w:val="18"/>
                <w:lang w:eastAsia="en-NZ"/>
              </w:rPr>
              <w:t xml:space="preserve">) within </w:t>
            </w:r>
            <w:r>
              <w:rPr>
                <w:szCs w:val="18"/>
                <w:lang w:eastAsia="en-NZ"/>
              </w:rPr>
              <w:t>two</w:t>
            </w:r>
            <w:r w:rsidRPr="000F07CA">
              <w:rPr>
                <w:szCs w:val="18"/>
                <w:lang w:eastAsia="en-NZ"/>
              </w:rPr>
              <w:t xml:space="preserve"> weeks of the VTAs being applied.</w:t>
            </w:r>
          </w:p>
        </w:tc>
      </w:tr>
      <w:tr w:rsidR="00587C48" w:rsidRPr="00003A4A" w14:paraId="3C940582" w14:textId="77777777" w:rsidTr="00431440">
        <w:trPr>
          <w:cantSplit/>
        </w:trPr>
        <w:tc>
          <w:tcPr>
            <w:tcW w:w="1843" w:type="dxa"/>
            <w:shd w:val="clear" w:color="auto" w:fill="auto"/>
          </w:tcPr>
          <w:p w14:paraId="4A0C3EF3" w14:textId="77777777" w:rsidR="00587C48" w:rsidRPr="006E150E" w:rsidRDefault="00587C48" w:rsidP="002E12FB">
            <w:pPr>
              <w:pStyle w:val="TableText"/>
              <w:rPr>
                <w:b/>
                <w:szCs w:val="18"/>
              </w:rPr>
            </w:pPr>
            <w:r w:rsidRPr="006E150E">
              <w:rPr>
                <w:b/>
                <w:szCs w:val="18"/>
              </w:rPr>
              <w:t>Scope</w:t>
            </w:r>
          </w:p>
        </w:tc>
        <w:tc>
          <w:tcPr>
            <w:tcW w:w="6180" w:type="dxa"/>
            <w:shd w:val="clear" w:color="auto" w:fill="auto"/>
          </w:tcPr>
          <w:p w14:paraId="52D7D1AF" w14:textId="384D8959" w:rsidR="00587C48" w:rsidRPr="000F07CA" w:rsidRDefault="00587C48" w:rsidP="002E12FB">
            <w:pPr>
              <w:pStyle w:val="TableText"/>
              <w:rPr>
                <w:szCs w:val="18"/>
              </w:rPr>
            </w:pPr>
            <w:r w:rsidRPr="000F07CA">
              <w:rPr>
                <w:szCs w:val="18"/>
              </w:rPr>
              <w:t xml:space="preserve">For aerial application of </w:t>
            </w:r>
            <w:r w:rsidR="00AA193B">
              <w:rPr>
                <w:szCs w:val="18"/>
              </w:rPr>
              <w:t>VTAs and other hazardous substances</w:t>
            </w:r>
            <w:r w:rsidRPr="000F07CA">
              <w:rPr>
                <w:szCs w:val="18"/>
              </w:rPr>
              <w:t>.</w:t>
            </w:r>
          </w:p>
        </w:tc>
      </w:tr>
      <w:tr w:rsidR="00587C48" w:rsidRPr="00003A4A" w14:paraId="55075B75" w14:textId="77777777" w:rsidTr="00431440">
        <w:trPr>
          <w:cantSplit/>
        </w:trPr>
        <w:tc>
          <w:tcPr>
            <w:tcW w:w="1843" w:type="dxa"/>
            <w:shd w:val="clear" w:color="auto" w:fill="auto"/>
          </w:tcPr>
          <w:p w14:paraId="15A42B63" w14:textId="77777777" w:rsidR="00587C48" w:rsidRPr="006E150E" w:rsidRDefault="00587C48" w:rsidP="002E12FB">
            <w:pPr>
              <w:pStyle w:val="TableText"/>
              <w:rPr>
                <w:b/>
                <w:szCs w:val="18"/>
              </w:rPr>
            </w:pPr>
            <w:r w:rsidRPr="006E150E">
              <w:rPr>
                <w:b/>
                <w:szCs w:val="18"/>
              </w:rPr>
              <w:t>Rationale for the condition</w:t>
            </w:r>
          </w:p>
        </w:tc>
        <w:tc>
          <w:tcPr>
            <w:tcW w:w="6180" w:type="dxa"/>
            <w:shd w:val="clear" w:color="auto" w:fill="auto"/>
          </w:tcPr>
          <w:p w14:paraId="562142AA" w14:textId="62A1A002" w:rsidR="00587C48" w:rsidRPr="000F07CA" w:rsidRDefault="00587C48" w:rsidP="002E12FB">
            <w:pPr>
              <w:pStyle w:val="TableText"/>
              <w:rPr>
                <w:szCs w:val="18"/>
              </w:rPr>
            </w:pPr>
            <w:r w:rsidRPr="000F07CA">
              <w:rPr>
                <w:szCs w:val="18"/>
              </w:rPr>
              <w:t xml:space="preserve">This provides a record of </w:t>
            </w:r>
            <w:r w:rsidR="00383F86" w:rsidRPr="00D22029">
              <w:rPr>
                <w:szCs w:val="18"/>
              </w:rPr>
              <w:t>dwellings, huts, access points, camping and public areas, walking and vehicle tracks, roads and lay-bys</w:t>
            </w:r>
            <w:r>
              <w:rPr>
                <w:szCs w:val="18"/>
              </w:rPr>
              <w:t xml:space="preserve"> that</w:t>
            </w:r>
            <w:r w:rsidRPr="000F07CA">
              <w:rPr>
                <w:szCs w:val="18"/>
              </w:rPr>
              <w:t xml:space="preserve"> have been cleared and when.</w:t>
            </w:r>
          </w:p>
        </w:tc>
      </w:tr>
      <w:tr w:rsidR="00587C48" w:rsidRPr="00003A4A" w14:paraId="37323D1A" w14:textId="77777777" w:rsidTr="00431440">
        <w:trPr>
          <w:cantSplit/>
        </w:trPr>
        <w:tc>
          <w:tcPr>
            <w:tcW w:w="1843" w:type="dxa"/>
            <w:shd w:val="clear" w:color="auto" w:fill="auto"/>
          </w:tcPr>
          <w:p w14:paraId="164C8055" w14:textId="77777777" w:rsidR="00587C48" w:rsidRPr="006E150E" w:rsidRDefault="00587C48" w:rsidP="002E12FB">
            <w:pPr>
              <w:pStyle w:val="TableText"/>
              <w:rPr>
                <w:b/>
                <w:szCs w:val="18"/>
              </w:rPr>
            </w:pPr>
            <w:r w:rsidRPr="006E150E">
              <w:rPr>
                <w:b/>
                <w:szCs w:val="18"/>
              </w:rPr>
              <w:t>Modification options</w:t>
            </w:r>
          </w:p>
        </w:tc>
        <w:tc>
          <w:tcPr>
            <w:tcW w:w="6180" w:type="dxa"/>
            <w:shd w:val="clear" w:color="auto" w:fill="auto"/>
          </w:tcPr>
          <w:p w14:paraId="0FE3F4C7" w14:textId="6364A003" w:rsidR="00587C48" w:rsidRPr="000F07CA" w:rsidRDefault="00587C48" w:rsidP="002E12FB">
            <w:pPr>
              <w:pStyle w:val="TableText"/>
              <w:rPr>
                <w:szCs w:val="18"/>
                <w:lang w:eastAsia="en-NZ"/>
              </w:rPr>
            </w:pPr>
            <w:r w:rsidRPr="000F07CA">
              <w:rPr>
                <w:szCs w:val="18"/>
                <w:lang w:eastAsia="en-NZ"/>
              </w:rPr>
              <w:t xml:space="preserve">This condition may be applied in instances where the applicant is permitted to aerially apply </w:t>
            </w:r>
            <w:r w:rsidR="00AA193B">
              <w:rPr>
                <w:szCs w:val="18"/>
              </w:rPr>
              <w:t>VTAs and other hazardous substances</w:t>
            </w:r>
            <w:r w:rsidR="00AA193B" w:rsidRPr="000F07CA">
              <w:rPr>
                <w:szCs w:val="18"/>
                <w:lang w:eastAsia="en-NZ"/>
              </w:rPr>
              <w:t xml:space="preserve"> </w:t>
            </w:r>
            <w:r w:rsidRPr="000F07CA">
              <w:rPr>
                <w:szCs w:val="18"/>
                <w:lang w:eastAsia="en-NZ"/>
              </w:rPr>
              <w:t xml:space="preserve">to </w:t>
            </w:r>
            <w:r w:rsidR="00383F86" w:rsidRPr="00D22029">
              <w:rPr>
                <w:szCs w:val="18"/>
              </w:rPr>
              <w:t>dwellings, huts, access points, camping and public areas, walking and vehicle tracks, roads and lay-bys</w:t>
            </w:r>
            <w:r w:rsidRPr="000F07CA">
              <w:rPr>
                <w:szCs w:val="18"/>
                <w:lang w:eastAsia="en-NZ"/>
              </w:rPr>
              <w:t>.</w:t>
            </w:r>
          </w:p>
        </w:tc>
      </w:tr>
      <w:tr w:rsidR="00587C48" w:rsidRPr="00003A4A" w14:paraId="1711C8C4" w14:textId="77777777" w:rsidTr="00431440">
        <w:trPr>
          <w:cantSplit/>
        </w:trPr>
        <w:tc>
          <w:tcPr>
            <w:tcW w:w="1843" w:type="dxa"/>
            <w:shd w:val="clear" w:color="auto" w:fill="auto"/>
          </w:tcPr>
          <w:p w14:paraId="1D5EDAE0" w14:textId="77777777" w:rsidR="00587C48" w:rsidRPr="006E150E" w:rsidRDefault="00587C48" w:rsidP="002E12FB">
            <w:pPr>
              <w:pStyle w:val="TableText"/>
              <w:rPr>
                <w:b/>
                <w:szCs w:val="18"/>
              </w:rPr>
            </w:pPr>
            <w:r w:rsidRPr="006E150E">
              <w:rPr>
                <w:b/>
                <w:szCs w:val="18"/>
              </w:rPr>
              <w:t>Example</w:t>
            </w:r>
          </w:p>
        </w:tc>
        <w:tc>
          <w:tcPr>
            <w:tcW w:w="6180" w:type="dxa"/>
            <w:shd w:val="clear" w:color="auto" w:fill="auto"/>
          </w:tcPr>
          <w:p w14:paraId="5AFF8157" w14:textId="4BC6C9F0" w:rsidR="00587C48" w:rsidRPr="000F07CA" w:rsidRDefault="00587C48" w:rsidP="002E12FB">
            <w:pPr>
              <w:pStyle w:val="TableText"/>
              <w:rPr>
                <w:szCs w:val="18"/>
              </w:rPr>
            </w:pPr>
            <w:r w:rsidRPr="000F07CA">
              <w:rPr>
                <w:szCs w:val="18"/>
              </w:rPr>
              <w:t xml:space="preserve">This condition is required for an operation that includes </w:t>
            </w:r>
            <w:r w:rsidR="00383F86" w:rsidRPr="00D22029">
              <w:rPr>
                <w:szCs w:val="18"/>
              </w:rPr>
              <w:t>dwellings, huts, access points, camping and public areas, walking and vehicle tracks, roads and lay-bys</w:t>
            </w:r>
            <w:r w:rsidR="00383F86" w:rsidRPr="000F07CA" w:rsidDel="00383F86">
              <w:rPr>
                <w:szCs w:val="18"/>
              </w:rPr>
              <w:t xml:space="preserve"> </w:t>
            </w:r>
            <w:r w:rsidRPr="000F07CA">
              <w:rPr>
                <w:szCs w:val="18"/>
              </w:rPr>
              <w:t xml:space="preserve">that receive moderate use, to ensure that the operator keeps a formal record of the work that has been undertaken. It may be useful </w:t>
            </w:r>
            <w:r w:rsidR="00CB3576">
              <w:rPr>
                <w:szCs w:val="18"/>
              </w:rPr>
              <w:t>if a member of the public makes</w:t>
            </w:r>
            <w:r w:rsidRPr="000F07CA">
              <w:rPr>
                <w:szCs w:val="18"/>
              </w:rPr>
              <w:t xml:space="preserve"> a complaint relating to bait found on </w:t>
            </w:r>
            <w:r w:rsidR="00383F86">
              <w:rPr>
                <w:szCs w:val="18"/>
              </w:rPr>
              <w:t xml:space="preserve">or near </w:t>
            </w:r>
            <w:r w:rsidR="00383F86" w:rsidRPr="00D22029">
              <w:rPr>
                <w:szCs w:val="18"/>
              </w:rPr>
              <w:t>dwellings, huts, access points, camping and public areas, walking and vehicle tracks, roads and lay-bys</w:t>
            </w:r>
            <w:r w:rsidRPr="000F07CA">
              <w:rPr>
                <w:szCs w:val="18"/>
              </w:rPr>
              <w:t>.</w:t>
            </w:r>
          </w:p>
        </w:tc>
      </w:tr>
    </w:tbl>
    <w:p w14:paraId="2D6EBA3F" w14:textId="6239A235" w:rsidR="00587C48" w:rsidRDefault="002E12FB" w:rsidP="00EC6714">
      <w:pPr>
        <w:pStyle w:val="Heading3"/>
      </w:pPr>
      <w:bookmarkStart w:id="124" w:name="_Toc246225389"/>
      <w:bookmarkStart w:id="125" w:name="_Toc254615791"/>
      <w:bookmarkStart w:id="126" w:name="_Toc258328475"/>
      <w:r w:rsidRPr="002E12FB">
        <w:t>Protection of drinking water supplies</w:t>
      </w:r>
    </w:p>
    <w:tbl>
      <w:tblPr>
        <w:tblW w:w="8023"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1302"/>
        <w:gridCol w:w="6721"/>
      </w:tblGrid>
      <w:tr w:rsidR="00587C48" w14:paraId="65F1D928" w14:textId="77777777" w:rsidTr="00153568">
        <w:trPr>
          <w:tblHeader/>
        </w:trPr>
        <w:tc>
          <w:tcPr>
            <w:tcW w:w="8023" w:type="dxa"/>
            <w:gridSpan w:val="2"/>
            <w:tcBorders>
              <w:top w:val="nil"/>
              <w:bottom w:val="nil"/>
            </w:tcBorders>
            <w:shd w:val="clear" w:color="auto" w:fill="D9D9D9"/>
            <w:tcMar>
              <w:top w:w="0" w:type="dxa"/>
              <w:left w:w="57" w:type="dxa"/>
              <w:bottom w:w="0" w:type="dxa"/>
              <w:right w:w="57" w:type="dxa"/>
            </w:tcMar>
            <w:hideMark/>
          </w:tcPr>
          <w:p w14:paraId="713DABB9" w14:textId="090FCB91" w:rsidR="00587C48" w:rsidRDefault="00587C48" w:rsidP="002E12FB">
            <w:pPr>
              <w:pStyle w:val="TableText"/>
              <w:keepNext/>
              <w:rPr>
                <w:rFonts w:eastAsiaTheme="minorHAnsi"/>
                <w:b/>
                <w:bCs/>
                <w:szCs w:val="18"/>
              </w:rPr>
            </w:pPr>
            <w:r>
              <w:rPr>
                <w:b/>
                <w:bCs/>
                <w:szCs w:val="18"/>
              </w:rPr>
              <w:t xml:space="preserve">CONDITION </w:t>
            </w:r>
            <w:r w:rsidR="00C37B70">
              <w:rPr>
                <w:b/>
                <w:bCs/>
                <w:szCs w:val="18"/>
              </w:rPr>
              <w:t>8</w:t>
            </w:r>
            <w:r>
              <w:rPr>
                <w:b/>
                <w:bCs/>
                <w:szCs w:val="18"/>
              </w:rPr>
              <w:t>: Drinking water supply: protection of drinking water supplies</w:t>
            </w:r>
          </w:p>
        </w:tc>
      </w:tr>
      <w:tr w:rsidR="00587C48" w14:paraId="080CF551" w14:textId="77777777" w:rsidTr="00153568">
        <w:tc>
          <w:tcPr>
            <w:tcW w:w="8023" w:type="dxa"/>
            <w:gridSpan w:val="2"/>
            <w:tcBorders>
              <w:top w:val="nil"/>
            </w:tcBorders>
            <w:tcMar>
              <w:top w:w="0" w:type="dxa"/>
              <w:left w:w="57" w:type="dxa"/>
              <w:bottom w:w="0" w:type="dxa"/>
              <w:right w:w="57" w:type="dxa"/>
            </w:tcMar>
            <w:hideMark/>
          </w:tcPr>
          <w:p w14:paraId="0A24C49A" w14:textId="25166AB4" w:rsidR="00587C48" w:rsidRDefault="00587C48" w:rsidP="002E12FB">
            <w:pPr>
              <w:pStyle w:val="TableText"/>
              <w:keepNext/>
              <w:spacing w:after="30"/>
              <w:rPr>
                <w:szCs w:val="18"/>
              </w:rPr>
            </w:pPr>
            <w:r>
              <w:rPr>
                <w:szCs w:val="18"/>
              </w:rPr>
              <w:t>Sufficiently prior to, but within two months of, the operation, the applicant must identify</w:t>
            </w:r>
            <w:r w:rsidR="005B4072">
              <w:rPr>
                <w:szCs w:val="18"/>
              </w:rPr>
              <w:t xml:space="preserve"> appropriate mitigation measures</w:t>
            </w:r>
            <w:r>
              <w:rPr>
                <w:szCs w:val="18"/>
              </w:rPr>
              <w:t xml:space="preserve"> to protect all water supplies (including domestic self-supplies) that draw water for human consumption from an abstraction point: </w:t>
            </w:r>
          </w:p>
          <w:p w14:paraId="3F96FF18" w14:textId="6808371B" w:rsidR="00587C48" w:rsidRPr="002465B6" w:rsidRDefault="00587C48" w:rsidP="00587C48">
            <w:pPr>
              <w:pStyle w:val="TableBullet"/>
              <w:spacing w:after="80" w:line="264" w:lineRule="auto"/>
            </w:pPr>
            <w:r w:rsidRPr="002465B6">
              <w:t>within the operational area</w:t>
            </w:r>
            <w:r w:rsidR="00295A2B">
              <w:t>,</w:t>
            </w:r>
            <w:r w:rsidRPr="002465B6">
              <w:t xml:space="preserve"> or</w:t>
            </w:r>
          </w:p>
          <w:p w14:paraId="0DED533A" w14:textId="01C57AF5" w:rsidR="00587C48" w:rsidRDefault="00587C48" w:rsidP="00587C48">
            <w:pPr>
              <w:pStyle w:val="TableBullet"/>
              <w:spacing w:after="80" w:line="264" w:lineRule="auto"/>
            </w:pPr>
            <w:r w:rsidRPr="002465B6">
              <w:t>within 200</w:t>
            </w:r>
            <w:r>
              <w:t xml:space="preserve"> </w:t>
            </w:r>
            <w:r w:rsidRPr="002465B6">
              <w:t>m for ground-based applications, and</w:t>
            </w:r>
            <w:r w:rsidR="00561521">
              <w:t xml:space="preserve"> within</w:t>
            </w:r>
            <w:r w:rsidRPr="002465B6">
              <w:t xml:space="preserve"> 400</w:t>
            </w:r>
            <w:r>
              <w:t xml:space="preserve"> </w:t>
            </w:r>
            <w:r w:rsidRPr="002465B6">
              <w:t>m for aerial applications, downstream of the operational area where the water source is a surface waterbody that flows through or rises within the operational area.</w:t>
            </w:r>
          </w:p>
          <w:p w14:paraId="1EC50992" w14:textId="248733C5" w:rsidR="00A5203C" w:rsidRDefault="00A5203C" w:rsidP="00AB0559">
            <w:pPr>
              <w:pStyle w:val="TableText"/>
            </w:pPr>
            <w:r>
              <w:t>Within this same timeframe, the applicant must also</w:t>
            </w:r>
            <w:r>
              <w:rPr>
                <w:szCs w:val="18"/>
              </w:rPr>
              <w:t xml:space="preserve"> notify the water supplier of these measures and take and record these measures.</w:t>
            </w:r>
          </w:p>
        </w:tc>
      </w:tr>
      <w:tr w:rsidR="00587C48" w14:paraId="47C0D668" w14:textId="77777777" w:rsidTr="00431440">
        <w:tc>
          <w:tcPr>
            <w:tcW w:w="1764" w:type="dxa"/>
            <w:tcMar>
              <w:top w:w="0" w:type="dxa"/>
              <w:left w:w="57" w:type="dxa"/>
              <w:bottom w:w="0" w:type="dxa"/>
              <w:right w:w="57" w:type="dxa"/>
            </w:tcMar>
            <w:hideMark/>
          </w:tcPr>
          <w:p w14:paraId="742BDEA4" w14:textId="77777777" w:rsidR="00587C48" w:rsidRDefault="00587C48" w:rsidP="002E12FB">
            <w:pPr>
              <w:pStyle w:val="TableText"/>
              <w:keepNext/>
              <w:rPr>
                <w:rFonts w:eastAsiaTheme="minorHAnsi"/>
                <w:b/>
                <w:bCs/>
                <w:szCs w:val="18"/>
              </w:rPr>
            </w:pPr>
            <w:r>
              <w:rPr>
                <w:b/>
                <w:bCs/>
                <w:szCs w:val="18"/>
              </w:rPr>
              <w:t>Scope</w:t>
            </w:r>
          </w:p>
        </w:tc>
        <w:tc>
          <w:tcPr>
            <w:tcW w:w="6259" w:type="dxa"/>
            <w:tcMar>
              <w:top w:w="0" w:type="dxa"/>
              <w:left w:w="57" w:type="dxa"/>
              <w:bottom w:w="0" w:type="dxa"/>
              <w:right w:w="57" w:type="dxa"/>
            </w:tcMar>
            <w:hideMark/>
          </w:tcPr>
          <w:p w14:paraId="52093EF3" w14:textId="77777777" w:rsidR="00587C48" w:rsidRDefault="00587C48" w:rsidP="002E12FB">
            <w:pPr>
              <w:pStyle w:val="TableText"/>
              <w:keepNext/>
              <w:rPr>
                <w:szCs w:val="18"/>
              </w:rPr>
            </w:pPr>
            <w:r>
              <w:rPr>
                <w:szCs w:val="18"/>
              </w:rPr>
              <w:t>All VTA and other hazardous substance uses.</w:t>
            </w:r>
          </w:p>
        </w:tc>
      </w:tr>
      <w:tr w:rsidR="00587C48" w14:paraId="7675FF70" w14:textId="77777777" w:rsidTr="00431440">
        <w:tc>
          <w:tcPr>
            <w:tcW w:w="1764" w:type="dxa"/>
            <w:tcMar>
              <w:top w:w="0" w:type="dxa"/>
              <w:left w:w="57" w:type="dxa"/>
              <w:bottom w:w="0" w:type="dxa"/>
              <w:right w:w="57" w:type="dxa"/>
            </w:tcMar>
            <w:hideMark/>
          </w:tcPr>
          <w:p w14:paraId="4BEE1D5C" w14:textId="77777777" w:rsidR="00587C48" w:rsidRDefault="00587C48" w:rsidP="002E12FB">
            <w:pPr>
              <w:pStyle w:val="TableText"/>
              <w:keepNext/>
              <w:rPr>
                <w:b/>
                <w:bCs/>
                <w:szCs w:val="18"/>
              </w:rPr>
            </w:pPr>
            <w:r>
              <w:rPr>
                <w:b/>
                <w:bCs/>
                <w:szCs w:val="18"/>
              </w:rPr>
              <w:t>Rationale for the condition</w:t>
            </w:r>
          </w:p>
        </w:tc>
        <w:tc>
          <w:tcPr>
            <w:tcW w:w="6259" w:type="dxa"/>
            <w:tcMar>
              <w:top w:w="0" w:type="dxa"/>
              <w:left w:w="57" w:type="dxa"/>
              <w:bottom w:w="0" w:type="dxa"/>
              <w:right w:w="57" w:type="dxa"/>
            </w:tcMar>
            <w:hideMark/>
          </w:tcPr>
          <w:p w14:paraId="08E93A80" w14:textId="77777777" w:rsidR="00587C48" w:rsidRDefault="00587C48" w:rsidP="002E12FB">
            <w:pPr>
              <w:pStyle w:val="TableText"/>
              <w:keepNext/>
              <w:rPr>
                <w:color w:val="000000"/>
                <w:sz w:val="25"/>
                <w:szCs w:val="25"/>
                <w:shd w:val="clear" w:color="auto" w:fill="FFFFFF"/>
              </w:rPr>
            </w:pPr>
            <w:r>
              <w:rPr>
                <w:color w:val="000000"/>
                <w:szCs w:val="18"/>
                <w:shd w:val="clear" w:color="auto" w:fill="FFFFFF"/>
              </w:rPr>
              <w:t xml:space="preserve">This ensures the applicant protects any drinking water supplies (including domestic self-supplies) affected by the proposed operation.  </w:t>
            </w:r>
          </w:p>
        </w:tc>
      </w:tr>
      <w:tr w:rsidR="00587C48" w14:paraId="07703CB5" w14:textId="77777777" w:rsidTr="00431440">
        <w:tc>
          <w:tcPr>
            <w:tcW w:w="1764" w:type="dxa"/>
            <w:tcMar>
              <w:top w:w="0" w:type="dxa"/>
              <w:left w:w="57" w:type="dxa"/>
              <w:bottom w:w="0" w:type="dxa"/>
              <w:right w:w="57" w:type="dxa"/>
            </w:tcMar>
            <w:hideMark/>
          </w:tcPr>
          <w:p w14:paraId="27D55BB5" w14:textId="77777777" w:rsidR="00587C48" w:rsidRDefault="00587C48" w:rsidP="002E12FB">
            <w:pPr>
              <w:pStyle w:val="TableText"/>
              <w:keepNext/>
              <w:rPr>
                <w:b/>
                <w:bCs/>
                <w:szCs w:val="18"/>
              </w:rPr>
            </w:pPr>
            <w:r>
              <w:rPr>
                <w:b/>
                <w:bCs/>
                <w:szCs w:val="18"/>
              </w:rPr>
              <w:t>Commentary</w:t>
            </w:r>
          </w:p>
        </w:tc>
        <w:tc>
          <w:tcPr>
            <w:tcW w:w="6259" w:type="dxa"/>
            <w:tcMar>
              <w:top w:w="0" w:type="dxa"/>
              <w:left w:w="57" w:type="dxa"/>
              <w:bottom w:w="0" w:type="dxa"/>
              <w:right w:w="57" w:type="dxa"/>
            </w:tcMar>
            <w:hideMark/>
          </w:tcPr>
          <w:p w14:paraId="3F2BF782" w14:textId="77777777" w:rsidR="00587C48" w:rsidRDefault="00587C48" w:rsidP="00EC6714">
            <w:pPr>
              <w:pStyle w:val="TableText"/>
              <w:rPr>
                <w:rStyle w:val="Hyperlink"/>
                <w:rFonts w:cs="Arial"/>
                <w:color w:val="000000"/>
                <w:szCs w:val="18"/>
                <w:shd w:val="clear" w:color="auto" w:fill="FFFFFF"/>
              </w:rPr>
            </w:pPr>
            <w:r w:rsidRPr="00F3597B">
              <w:t>A drinking</w:t>
            </w:r>
            <w:r>
              <w:t xml:space="preserve"> </w:t>
            </w:r>
            <w:r w:rsidRPr="00F3597B">
              <w:t>water supply may take water from sources such as streams, springs, rivers, creeks, boreholes</w:t>
            </w:r>
            <w:r>
              <w:t xml:space="preserve"> and</w:t>
            </w:r>
            <w:r w:rsidRPr="00F3597B">
              <w:t xml:space="preserve"> roof/rainwater collection systems.</w:t>
            </w:r>
            <w:r w:rsidRPr="00F3597B">
              <w:rPr>
                <w:rStyle w:val="Hyperlink"/>
                <w:rFonts w:cs="Arial"/>
                <w:color w:val="000000"/>
                <w:szCs w:val="18"/>
                <w:shd w:val="clear" w:color="auto" w:fill="FFFFFF"/>
              </w:rPr>
              <w:t xml:space="preserve"> </w:t>
            </w:r>
          </w:p>
          <w:p w14:paraId="1C713526" w14:textId="4DBA6E87" w:rsidR="00587C48" w:rsidRDefault="00587C48" w:rsidP="00EC6714">
            <w:pPr>
              <w:pStyle w:val="TableText"/>
              <w:rPr>
                <w:color w:val="000000"/>
                <w:shd w:val="clear" w:color="auto" w:fill="FFFFFF"/>
              </w:rPr>
            </w:pPr>
            <w:r w:rsidRPr="00F3597B">
              <w:rPr>
                <w:color w:val="000000"/>
                <w:shd w:val="clear" w:color="auto" w:fill="FFFFFF"/>
              </w:rPr>
              <w:t>It is the VTA operator’s responsibility to ensure appropriate mitigation measures are put in place to prevent contamination of drinking</w:t>
            </w:r>
            <w:r>
              <w:rPr>
                <w:color w:val="000000"/>
                <w:shd w:val="clear" w:color="auto" w:fill="FFFFFF"/>
              </w:rPr>
              <w:t xml:space="preserve"> </w:t>
            </w:r>
            <w:r w:rsidRPr="00F3597B">
              <w:rPr>
                <w:color w:val="000000"/>
                <w:shd w:val="clear" w:color="auto" w:fill="FFFFFF"/>
              </w:rPr>
              <w:t>water supplies</w:t>
            </w:r>
            <w:r w:rsidR="00C70098">
              <w:rPr>
                <w:color w:val="000000"/>
                <w:shd w:val="clear" w:color="auto" w:fill="FFFFFF"/>
              </w:rPr>
              <w:t>.</w:t>
            </w:r>
            <w:r w:rsidRPr="00F3597B">
              <w:rPr>
                <w:color w:val="000000"/>
                <w:shd w:val="clear" w:color="auto" w:fill="FFFFFF"/>
              </w:rPr>
              <w:t xml:space="preserve"> </w:t>
            </w:r>
            <w:r w:rsidR="00C70098">
              <w:rPr>
                <w:color w:val="000000"/>
                <w:shd w:val="clear" w:color="auto" w:fill="FFFFFF"/>
              </w:rPr>
              <w:t>T</w:t>
            </w:r>
            <w:r w:rsidRPr="00F3597B">
              <w:rPr>
                <w:color w:val="000000"/>
                <w:shd w:val="clear" w:color="auto" w:fill="FFFFFF"/>
              </w:rPr>
              <w:t xml:space="preserve">hey should </w:t>
            </w:r>
            <w:r w:rsidR="00C70098">
              <w:rPr>
                <w:color w:val="000000"/>
                <w:shd w:val="clear" w:color="auto" w:fill="FFFFFF"/>
              </w:rPr>
              <w:t xml:space="preserve">also </w:t>
            </w:r>
            <w:r w:rsidRPr="00F3597B">
              <w:rPr>
                <w:color w:val="000000"/>
                <w:shd w:val="clear" w:color="auto" w:fill="FFFFFF"/>
              </w:rPr>
              <w:t xml:space="preserve">work with the water supplier to ensure </w:t>
            </w:r>
            <w:r w:rsidR="00C70098" w:rsidRPr="00F3597B">
              <w:rPr>
                <w:color w:val="000000"/>
                <w:shd w:val="clear" w:color="auto" w:fill="FFFFFF"/>
              </w:rPr>
              <w:t>the water supplier</w:t>
            </w:r>
            <w:r w:rsidR="00C70098">
              <w:rPr>
                <w:color w:val="000000"/>
                <w:shd w:val="clear" w:color="auto" w:fill="FFFFFF"/>
              </w:rPr>
              <w:t xml:space="preserve"> considers</w:t>
            </w:r>
            <w:r w:rsidR="00C70098" w:rsidRPr="00F3597B">
              <w:rPr>
                <w:color w:val="000000"/>
                <w:shd w:val="clear" w:color="auto" w:fill="FFFFFF"/>
              </w:rPr>
              <w:t xml:space="preserve"> </w:t>
            </w:r>
            <w:r w:rsidRPr="00F3597B">
              <w:rPr>
                <w:color w:val="000000"/>
                <w:shd w:val="clear" w:color="auto" w:fill="FFFFFF"/>
              </w:rPr>
              <w:t xml:space="preserve">the proposed mitigation measures </w:t>
            </w:r>
            <w:r w:rsidR="00C70098">
              <w:rPr>
                <w:color w:val="000000"/>
                <w:shd w:val="clear" w:color="auto" w:fill="FFFFFF"/>
              </w:rPr>
              <w:t xml:space="preserve">are </w:t>
            </w:r>
            <w:r w:rsidRPr="00F3597B">
              <w:rPr>
                <w:color w:val="000000"/>
                <w:shd w:val="clear" w:color="auto" w:fill="FFFFFF"/>
              </w:rPr>
              <w:t>satisfactory.</w:t>
            </w:r>
          </w:p>
          <w:p w14:paraId="227CAAAA" w14:textId="26CED529" w:rsidR="00587C48" w:rsidRDefault="00587C48" w:rsidP="00EC6714">
            <w:pPr>
              <w:pStyle w:val="TableText"/>
              <w:rPr>
                <w:shd w:val="clear" w:color="auto" w:fill="FFFFFF"/>
              </w:rPr>
            </w:pPr>
            <w:r w:rsidRPr="00EC6714">
              <w:t>VTA operators must comply with the</w:t>
            </w:r>
            <w:r w:rsidR="00C70098">
              <w:t xml:space="preserve"> following provisions of the</w:t>
            </w:r>
            <w:r w:rsidRPr="00EC6714">
              <w:t xml:space="preserve"> HSNO</w:t>
            </w:r>
            <w:r w:rsidRPr="00F3597B">
              <w:rPr>
                <w:shd w:val="clear" w:color="auto" w:fill="FFFFFF"/>
              </w:rPr>
              <w:t xml:space="preserve"> Act</w:t>
            </w:r>
            <w:r w:rsidR="00C70098">
              <w:rPr>
                <w:shd w:val="clear" w:color="auto" w:fill="FFFFFF"/>
              </w:rPr>
              <w:t>.</w:t>
            </w:r>
          </w:p>
          <w:p w14:paraId="23ABF30F" w14:textId="67D44BCD" w:rsidR="00587C48" w:rsidRDefault="00587C48" w:rsidP="0093352E">
            <w:pPr>
              <w:pStyle w:val="TableBullet"/>
              <w:numPr>
                <w:ilvl w:val="0"/>
                <w:numId w:val="0"/>
              </w:numPr>
              <w:ind w:left="397"/>
            </w:pPr>
            <w:r w:rsidRPr="00F3597B">
              <w:t xml:space="preserve">Every person who imports, possesses, or uses a hazardous substance or new organism shall ensure that </w:t>
            </w:r>
            <w:r w:rsidRPr="00F3597B">
              <w:rPr>
                <w:rStyle w:val="label"/>
                <w:b/>
                <w:bCs/>
                <w:color w:val="000000"/>
                <w:szCs w:val="18"/>
                <w:bdr w:val="none" w:sz="0" w:space="0" w:color="auto" w:frame="1"/>
              </w:rPr>
              <w:t xml:space="preserve">(a) </w:t>
            </w:r>
            <w:r w:rsidRPr="00F3597B">
              <w:t xml:space="preserve">any adverse effect caused by an act or omission of that person in relation to that substance or organism on any other person or the environment is avoided, remedied, or mitigated; and </w:t>
            </w:r>
            <w:r w:rsidRPr="00F3597B">
              <w:rPr>
                <w:rStyle w:val="label"/>
                <w:b/>
                <w:bCs/>
                <w:color w:val="000000"/>
                <w:szCs w:val="18"/>
                <w:bdr w:val="none" w:sz="0" w:space="0" w:color="auto" w:frame="1"/>
              </w:rPr>
              <w:t xml:space="preserve">(b) </w:t>
            </w:r>
            <w:r w:rsidRPr="00F3597B">
              <w:t>no action or omission by that person will contravene any requirement or control on that substance or organism imposed by this Act (section 13)</w:t>
            </w:r>
            <w:r w:rsidR="00C70098">
              <w:t>.</w:t>
            </w:r>
            <w:r w:rsidRPr="00F3597B">
              <w:t xml:space="preserve"> </w:t>
            </w:r>
          </w:p>
          <w:p w14:paraId="693DC768" w14:textId="566CE35E" w:rsidR="00587C48" w:rsidRPr="00F3597B" w:rsidRDefault="00587C48" w:rsidP="0093352E">
            <w:pPr>
              <w:pStyle w:val="TableBullet"/>
              <w:numPr>
                <w:ilvl w:val="0"/>
                <w:numId w:val="0"/>
              </w:numPr>
              <w:ind w:left="397"/>
              <w:rPr>
                <w:rStyle w:val="label"/>
                <w:color w:val="000000"/>
                <w:szCs w:val="18"/>
                <w:bdr w:val="none" w:sz="0" w:space="0" w:color="auto" w:frame="1"/>
              </w:rPr>
            </w:pPr>
            <w:r w:rsidRPr="00F3597B">
              <w:t>Every person commits an offence against this Act who</w:t>
            </w:r>
            <w:r>
              <w:t xml:space="preserve"> </w:t>
            </w:r>
            <w:r w:rsidRPr="00F3597B">
              <w:t xml:space="preserve">… </w:t>
            </w:r>
            <w:r w:rsidRPr="00F3597B">
              <w:rPr>
                <w:shd w:val="clear" w:color="auto" w:fill="FFFFFF"/>
              </w:rPr>
              <w:t>fails to comply with any EPA controls imposed by an approval relating to a hazardous substance granted under this Act [or] fails to comply with a condition on a </w:t>
            </w:r>
            <w:r w:rsidRPr="00F3597B">
              <w:rPr>
                <w:rStyle w:val="insertwords"/>
                <w:rFonts w:cs="Arial"/>
                <w:color w:val="000000"/>
                <w:szCs w:val="18"/>
                <w:bdr w:val="none" w:sz="0" w:space="0" w:color="auto" w:frame="1"/>
              </w:rPr>
              <w:t>permission granted under </w:t>
            </w:r>
            <w:bookmarkStart w:id="127" w:name="DLM384626"/>
            <w:r w:rsidRPr="00F3597B">
              <w:rPr>
                <w:rStyle w:val="insertwords"/>
                <w:rFonts w:cs="Arial"/>
                <w:color w:val="000000"/>
                <w:szCs w:val="18"/>
                <w:bdr w:val="none" w:sz="0" w:space="0" w:color="auto" w:frame="1"/>
              </w:rPr>
              <w:fldChar w:fldCharType="begin"/>
            </w:r>
            <w:r w:rsidRPr="00F3597B">
              <w:rPr>
                <w:rStyle w:val="insertwords"/>
                <w:rFonts w:cs="Arial"/>
                <w:color w:val="000000"/>
                <w:szCs w:val="18"/>
                <w:bdr w:val="none" w:sz="0" w:space="0" w:color="auto" w:frame="1"/>
              </w:rPr>
              <w:instrText xml:space="preserve"> HYPERLINK "https://www.legislation.govt.nz/act/public/1996/0030/latest/link.aspx?id=DLM384626" \l "DLM384626" </w:instrText>
            </w:r>
            <w:r w:rsidRPr="00F3597B">
              <w:rPr>
                <w:rStyle w:val="insertwords"/>
                <w:rFonts w:cs="Arial"/>
                <w:color w:val="000000"/>
                <w:szCs w:val="18"/>
                <w:bdr w:val="none" w:sz="0" w:space="0" w:color="auto" w:frame="1"/>
              </w:rPr>
              <w:fldChar w:fldCharType="separate"/>
            </w:r>
            <w:r w:rsidRPr="00F3597B">
              <w:rPr>
                <w:rStyle w:val="Hyperlink"/>
                <w:rFonts w:cs="Arial"/>
                <w:szCs w:val="18"/>
                <w:bdr w:val="none" w:sz="0" w:space="0" w:color="auto" w:frame="1"/>
              </w:rPr>
              <w:t>section 95A</w:t>
            </w:r>
            <w:r w:rsidRPr="00F3597B">
              <w:rPr>
                <w:rStyle w:val="insertwords"/>
                <w:rFonts w:cs="Arial"/>
                <w:color w:val="000000"/>
                <w:szCs w:val="18"/>
                <w:bdr w:val="none" w:sz="0" w:space="0" w:color="auto" w:frame="1"/>
              </w:rPr>
              <w:fldChar w:fldCharType="end"/>
            </w:r>
            <w:bookmarkEnd w:id="127"/>
            <w:r w:rsidRPr="00F3597B">
              <w:rPr>
                <w:rStyle w:val="insertwords"/>
                <w:rFonts w:cs="Arial"/>
                <w:color w:val="000000"/>
                <w:szCs w:val="18"/>
                <w:bdr w:val="none" w:sz="0" w:space="0" w:color="auto" w:frame="1"/>
              </w:rPr>
              <w:t xml:space="preserve"> (section </w:t>
            </w:r>
            <w:r w:rsidRPr="00F3597B">
              <w:rPr>
                <w:rStyle w:val="label"/>
                <w:color w:val="000000"/>
                <w:szCs w:val="18"/>
                <w:bdr w:val="none" w:sz="0" w:space="0" w:color="auto" w:frame="1"/>
              </w:rPr>
              <w:t>109(1)(e) and (ea))</w:t>
            </w:r>
            <w:r w:rsidR="00C70098">
              <w:rPr>
                <w:rStyle w:val="label"/>
                <w:color w:val="000000"/>
                <w:szCs w:val="18"/>
                <w:bdr w:val="none" w:sz="0" w:space="0" w:color="auto" w:frame="1"/>
              </w:rPr>
              <w:t>.</w:t>
            </w:r>
          </w:p>
          <w:p w14:paraId="647EAA80" w14:textId="77777777" w:rsidR="00587C48" w:rsidRPr="00EC6714" w:rsidRDefault="00587C48" w:rsidP="00EC6714">
            <w:pPr>
              <w:pStyle w:val="TableText"/>
            </w:pPr>
            <w:r w:rsidRPr="00EC6714">
              <w:rPr>
                <w:rStyle w:val="Hyperlink"/>
                <w:b w:val="0"/>
                <w:color w:val="auto"/>
              </w:rPr>
              <w:t xml:space="preserve">VTA operators must also comply with the Health and Safety at Work Act 2015, which states that </w:t>
            </w:r>
            <w:r w:rsidRPr="00EC6714">
              <w:t>the person in charge of a business or undertaking must still ‘… ensure, so far as is reasonably practicable, that the health and safety of other persons is not put at risk from work carried out as part of the conduct of the business or undertaking …’ (section 36).</w:t>
            </w:r>
          </w:p>
          <w:p w14:paraId="794C83FB" w14:textId="51705EFA" w:rsidR="00587C48" w:rsidRPr="00F3597B" w:rsidRDefault="00587C48" w:rsidP="00EC6714">
            <w:pPr>
              <w:pStyle w:val="TableText"/>
              <w:rPr>
                <w:rStyle w:val="Hyperlink"/>
                <w:rFonts w:cs="Arial"/>
                <w:color w:val="000000"/>
                <w:szCs w:val="18"/>
                <w:u w:val="single"/>
                <w:shd w:val="clear" w:color="auto" w:fill="FFFFFF"/>
              </w:rPr>
            </w:pPr>
            <w:r w:rsidRPr="00EC6714">
              <w:rPr>
                <w:rStyle w:val="Hyperlink"/>
                <w:b w:val="0"/>
                <w:color w:val="auto"/>
              </w:rPr>
              <w:t>Appendix 5 provides guidance for VTA operators on potential mitigation measures</w:t>
            </w:r>
            <w:r w:rsidR="00C70098">
              <w:rPr>
                <w:rStyle w:val="Hyperlink"/>
                <w:b w:val="0"/>
                <w:color w:val="auto"/>
              </w:rPr>
              <w:t xml:space="preserve"> to protect drinking water supplies</w:t>
            </w:r>
            <w:r w:rsidRPr="00EC6714">
              <w:rPr>
                <w:rStyle w:val="Hyperlink"/>
                <w:b w:val="0"/>
                <w:color w:val="auto"/>
              </w:rPr>
              <w:t>.</w:t>
            </w:r>
          </w:p>
        </w:tc>
      </w:tr>
      <w:tr w:rsidR="00587C48" w14:paraId="63699E0D" w14:textId="77777777" w:rsidTr="00431440">
        <w:tc>
          <w:tcPr>
            <w:tcW w:w="1764" w:type="dxa"/>
            <w:tcMar>
              <w:top w:w="0" w:type="dxa"/>
              <w:left w:w="57" w:type="dxa"/>
              <w:bottom w:w="0" w:type="dxa"/>
              <w:right w:w="57" w:type="dxa"/>
            </w:tcMar>
            <w:hideMark/>
          </w:tcPr>
          <w:p w14:paraId="77D59D6E" w14:textId="77777777" w:rsidR="00587C48" w:rsidRDefault="00587C48" w:rsidP="002E12FB">
            <w:pPr>
              <w:pStyle w:val="TableText"/>
              <w:rPr>
                <w:b/>
                <w:bCs/>
              </w:rPr>
            </w:pPr>
            <w:r>
              <w:rPr>
                <w:b/>
                <w:bCs/>
                <w:szCs w:val="18"/>
              </w:rPr>
              <w:t>Modification options</w:t>
            </w:r>
          </w:p>
        </w:tc>
        <w:tc>
          <w:tcPr>
            <w:tcW w:w="6259" w:type="dxa"/>
            <w:tcMar>
              <w:top w:w="0" w:type="dxa"/>
              <w:left w:w="57" w:type="dxa"/>
              <w:bottom w:w="0" w:type="dxa"/>
              <w:right w:w="57" w:type="dxa"/>
            </w:tcMar>
            <w:hideMark/>
          </w:tcPr>
          <w:p w14:paraId="59056F35" w14:textId="12C6A457" w:rsidR="00587C48" w:rsidRPr="00F3597B" w:rsidRDefault="00587C48" w:rsidP="00EC6714">
            <w:pPr>
              <w:pStyle w:val="TableText"/>
            </w:pPr>
            <w:r w:rsidRPr="00310DE9">
              <w:rPr>
                <w:b/>
                <w:bCs/>
              </w:rPr>
              <w:t xml:space="preserve">Condition </w:t>
            </w:r>
            <w:r>
              <w:rPr>
                <w:b/>
                <w:bCs/>
              </w:rPr>
              <w:t>may not be</w:t>
            </w:r>
            <w:r w:rsidRPr="00310DE9">
              <w:rPr>
                <w:b/>
                <w:bCs/>
              </w:rPr>
              <w:t xml:space="preserve"> required:</w:t>
            </w:r>
            <w:r>
              <w:t xml:space="preserve"> </w:t>
            </w:r>
            <w:r w:rsidRPr="00F3597B">
              <w:t>This condition is not required if</w:t>
            </w:r>
            <w:r w:rsidR="00C70098" w:rsidRPr="00F3597B">
              <w:t xml:space="preserve"> the operation</w:t>
            </w:r>
            <w:r w:rsidR="00C70098">
              <w:t xml:space="preserve"> does not affect any</w:t>
            </w:r>
            <w:r w:rsidRPr="00F3597B">
              <w:t xml:space="preserve"> water supply catchments.</w:t>
            </w:r>
          </w:p>
          <w:p w14:paraId="443EAAA1" w14:textId="77777777" w:rsidR="00587C48" w:rsidRPr="000D7185" w:rsidRDefault="00587C48" w:rsidP="00EC6714">
            <w:pPr>
              <w:pStyle w:val="TableText"/>
            </w:pPr>
            <w:r w:rsidRPr="000D7185">
              <w:rPr>
                <w:b/>
                <w:bCs/>
                <w:iCs/>
                <w:lang w:eastAsia="en-NZ"/>
              </w:rPr>
              <w:t xml:space="preserve">Exclusion </w:t>
            </w:r>
            <w:r>
              <w:rPr>
                <w:b/>
                <w:bCs/>
                <w:iCs/>
                <w:lang w:eastAsia="en-NZ"/>
              </w:rPr>
              <w:t>d</w:t>
            </w:r>
            <w:r w:rsidRPr="000D7185">
              <w:rPr>
                <w:b/>
                <w:bCs/>
                <w:iCs/>
                <w:lang w:eastAsia="en-NZ"/>
              </w:rPr>
              <w:t>istances:</w:t>
            </w:r>
            <w:r>
              <w:rPr>
                <w:iCs/>
                <w:lang w:eastAsia="en-NZ"/>
              </w:rPr>
              <w:t xml:space="preserve"> </w:t>
            </w:r>
            <w:r w:rsidRPr="000D7185">
              <w:rPr>
                <w:iCs/>
                <w:lang w:eastAsia="en-NZ"/>
              </w:rPr>
              <w:t>VTAs</w:t>
            </w:r>
            <w:r w:rsidRPr="000D7185">
              <w:rPr>
                <w:lang w:eastAsia="en-NZ"/>
              </w:rPr>
              <w:t xml:space="preserve"> should not be applied within the following distances of </w:t>
            </w:r>
            <w:r w:rsidRPr="0093352E">
              <w:rPr>
                <w:rStyle w:val="HTMLDefinition"/>
                <w:rFonts w:cs="Arial"/>
                <w:b/>
                <w:bCs/>
                <w:i w:val="0"/>
                <w:iCs w:val="0"/>
                <w:color w:val="000000"/>
                <w:szCs w:val="18"/>
                <w:bdr w:val="none" w:sz="0" w:space="0" w:color="auto" w:frame="1"/>
              </w:rPr>
              <w:t>abstraction points</w:t>
            </w:r>
            <w:r w:rsidRPr="000D7185">
              <w:rPr>
                <w:lang w:eastAsia="en-NZ"/>
              </w:rPr>
              <w:t xml:space="preserve"> that are within the operational area.</w:t>
            </w:r>
          </w:p>
          <w:tbl>
            <w:tblPr>
              <w:tblW w:w="660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1708"/>
              <w:gridCol w:w="2463"/>
              <w:gridCol w:w="2436"/>
            </w:tblGrid>
            <w:tr w:rsidR="00587C48" w:rsidRPr="00347F9D" w14:paraId="37B4A5B1" w14:textId="77777777" w:rsidTr="00EC6714">
              <w:tc>
                <w:tcPr>
                  <w:tcW w:w="1708" w:type="dxa"/>
                  <w:shd w:val="clear" w:color="auto" w:fill="D9D9D9" w:themeFill="background1" w:themeFillShade="D9"/>
                  <w:tcMar>
                    <w:top w:w="0" w:type="dxa"/>
                    <w:left w:w="108" w:type="dxa"/>
                    <w:bottom w:w="0" w:type="dxa"/>
                    <w:right w:w="108" w:type="dxa"/>
                  </w:tcMar>
                </w:tcPr>
                <w:p w14:paraId="212C0D47" w14:textId="77777777" w:rsidR="00587C48" w:rsidRPr="00EC6714" w:rsidRDefault="00587C48" w:rsidP="00EC6714">
                  <w:pPr>
                    <w:pStyle w:val="TableText"/>
                    <w:rPr>
                      <w:b/>
                      <w:bCs/>
                    </w:rPr>
                  </w:pPr>
                  <w:r w:rsidRPr="00EC6714">
                    <w:rPr>
                      <w:b/>
                      <w:bCs/>
                    </w:rPr>
                    <w:t>Distance from abstraction point</w:t>
                  </w:r>
                </w:p>
              </w:tc>
              <w:tc>
                <w:tcPr>
                  <w:tcW w:w="2463" w:type="dxa"/>
                  <w:shd w:val="clear" w:color="auto" w:fill="D9D9D9" w:themeFill="background1" w:themeFillShade="D9"/>
                  <w:tcMar>
                    <w:top w:w="0" w:type="dxa"/>
                    <w:left w:w="108" w:type="dxa"/>
                    <w:bottom w:w="0" w:type="dxa"/>
                    <w:right w:w="108" w:type="dxa"/>
                  </w:tcMar>
                  <w:hideMark/>
                </w:tcPr>
                <w:p w14:paraId="3206300A" w14:textId="77777777" w:rsidR="00587C48" w:rsidRPr="00EC6714" w:rsidRDefault="00587C48" w:rsidP="00EC6714">
                  <w:pPr>
                    <w:pStyle w:val="TableText"/>
                    <w:rPr>
                      <w:b/>
                      <w:bCs/>
                    </w:rPr>
                  </w:pPr>
                  <w:r w:rsidRPr="00EC6714">
                    <w:rPr>
                      <w:b/>
                      <w:bCs/>
                    </w:rPr>
                    <w:t xml:space="preserve">Domestic supplies </w:t>
                  </w:r>
                </w:p>
              </w:tc>
              <w:tc>
                <w:tcPr>
                  <w:tcW w:w="2436" w:type="dxa"/>
                  <w:shd w:val="clear" w:color="auto" w:fill="D9D9D9" w:themeFill="background1" w:themeFillShade="D9"/>
                  <w:tcMar>
                    <w:top w:w="0" w:type="dxa"/>
                    <w:left w:w="108" w:type="dxa"/>
                    <w:bottom w:w="0" w:type="dxa"/>
                    <w:right w:w="108" w:type="dxa"/>
                  </w:tcMar>
                  <w:hideMark/>
                </w:tcPr>
                <w:p w14:paraId="326DC1E8" w14:textId="77777777" w:rsidR="00587C48" w:rsidRPr="00EC6714" w:rsidRDefault="00587C48" w:rsidP="00EC6714">
                  <w:pPr>
                    <w:pStyle w:val="TableText"/>
                    <w:rPr>
                      <w:b/>
                      <w:bCs/>
                    </w:rPr>
                  </w:pPr>
                  <w:r w:rsidRPr="00EC6714">
                    <w:rPr>
                      <w:b/>
                      <w:bCs/>
                    </w:rPr>
                    <w:t xml:space="preserve">Public supplies </w:t>
                  </w:r>
                </w:p>
              </w:tc>
            </w:tr>
            <w:tr w:rsidR="00587C48" w:rsidRPr="00347F9D" w14:paraId="45D9F079" w14:textId="77777777" w:rsidTr="00EC6714">
              <w:tc>
                <w:tcPr>
                  <w:tcW w:w="1708" w:type="dxa"/>
                  <w:tcMar>
                    <w:top w:w="0" w:type="dxa"/>
                    <w:left w:w="108" w:type="dxa"/>
                    <w:bottom w:w="0" w:type="dxa"/>
                    <w:right w:w="108" w:type="dxa"/>
                  </w:tcMar>
                  <w:hideMark/>
                </w:tcPr>
                <w:p w14:paraId="28454AEC" w14:textId="77777777" w:rsidR="00587C48" w:rsidRPr="00347F9D" w:rsidRDefault="00587C48" w:rsidP="00EC6714">
                  <w:pPr>
                    <w:pStyle w:val="TableText"/>
                  </w:pPr>
                  <w:r w:rsidRPr="00347F9D">
                    <w:t>Ground</w:t>
                  </w:r>
                  <w:r>
                    <w:t>-</w:t>
                  </w:r>
                  <w:r w:rsidRPr="00347F9D">
                    <w:t xml:space="preserve">based application </w:t>
                  </w:r>
                </w:p>
              </w:tc>
              <w:tc>
                <w:tcPr>
                  <w:tcW w:w="2463" w:type="dxa"/>
                  <w:tcMar>
                    <w:top w:w="0" w:type="dxa"/>
                    <w:left w:w="108" w:type="dxa"/>
                    <w:bottom w:w="0" w:type="dxa"/>
                    <w:right w:w="108" w:type="dxa"/>
                  </w:tcMar>
                  <w:hideMark/>
                </w:tcPr>
                <w:p w14:paraId="05580E7D" w14:textId="77777777" w:rsidR="00587C48" w:rsidRPr="00347F9D" w:rsidRDefault="00587C48" w:rsidP="00EC6714">
                  <w:pPr>
                    <w:pStyle w:val="TableText"/>
                  </w:pPr>
                  <w:r w:rsidRPr="00347F9D">
                    <w:t>20</w:t>
                  </w:r>
                  <w:r>
                    <w:t xml:space="preserve"> </w:t>
                  </w:r>
                  <w:r w:rsidRPr="00347F9D">
                    <w:t>m (extending 50</w:t>
                  </w:r>
                  <w:r>
                    <w:t xml:space="preserve"> </w:t>
                  </w:r>
                  <w:r w:rsidRPr="00347F9D">
                    <w:t xml:space="preserve">m upstream for flowing surface watercourses) </w:t>
                  </w:r>
                </w:p>
              </w:tc>
              <w:tc>
                <w:tcPr>
                  <w:tcW w:w="2436" w:type="dxa"/>
                  <w:tcMar>
                    <w:top w:w="0" w:type="dxa"/>
                    <w:left w:w="108" w:type="dxa"/>
                    <w:bottom w:w="0" w:type="dxa"/>
                    <w:right w:w="108" w:type="dxa"/>
                  </w:tcMar>
                  <w:hideMark/>
                </w:tcPr>
                <w:p w14:paraId="1E308138" w14:textId="77777777" w:rsidR="00587C48" w:rsidRPr="00347F9D" w:rsidRDefault="00587C48" w:rsidP="00EC6714">
                  <w:pPr>
                    <w:pStyle w:val="TableText"/>
                  </w:pPr>
                  <w:r w:rsidRPr="00347F9D">
                    <w:t>50</w:t>
                  </w:r>
                  <w:r>
                    <w:t xml:space="preserve"> </w:t>
                  </w:r>
                  <w:r w:rsidRPr="00347F9D">
                    <w:t>m (extending 100</w:t>
                  </w:r>
                  <w:r>
                    <w:t xml:space="preserve"> </w:t>
                  </w:r>
                  <w:r w:rsidRPr="00347F9D">
                    <w:t xml:space="preserve">m upstream for flowing surface watercourses) </w:t>
                  </w:r>
                </w:p>
              </w:tc>
            </w:tr>
            <w:tr w:rsidR="00587C48" w:rsidRPr="00347F9D" w14:paraId="0B94E0BF" w14:textId="77777777" w:rsidTr="00EC6714">
              <w:trPr>
                <w:trHeight w:val="623"/>
              </w:trPr>
              <w:tc>
                <w:tcPr>
                  <w:tcW w:w="1708" w:type="dxa"/>
                  <w:tcMar>
                    <w:top w:w="0" w:type="dxa"/>
                    <w:left w:w="108" w:type="dxa"/>
                    <w:bottom w:w="0" w:type="dxa"/>
                    <w:right w:w="108" w:type="dxa"/>
                  </w:tcMar>
                  <w:hideMark/>
                </w:tcPr>
                <w:p w14:paraId="54EB3576" w14:textId="77777777" w:rsidR="00587C48" w:rsidRPr="00347F9D" w:rsidRDefault="00587C48" w:rsidP="00EC6714">
                  <w:pPr>
                    <w:pStyle w:val="TableText"/>
                  </w:pPr>
                  <w:r w:rsidRPr="00347F9D">
                    <w:t xml:space="preserve">Aerial </w:t>
                  </w:r>
                  <w:r>
                    <w:t>applications</w:t>
                  </w:r>
                </w:p>
              </w:tc>
              <w:tc>
                <w:tcPr>
                  <w:tcW w:w="2463" w:type="dxa"/>
                  <w:tcMar>
                    <w:top w:w="0" w:type="dxa"/>
                    <w:left w:w="108" w:type="dxa"/>
                    <w:bottom w:w="0" w:type="dxa"/>
                    <w:right w:w="108" w:type="dxa"/>
                  </w:tcMar>
                  <w:hideMark/>
                </w:tcPr>
                <w:p w14:paraId="5E6ED219" w14:textId="77777777" w:rsidR="00587C48" w:rsidRPr="00347F9D" w:rsidRDefault="00587C48" w:rsidP="00EC6714">
                  <w:pPr>
                    <w:pStyle w:val="TableText"/>
                  </w:pPr>
                  <w:r w:rsidRPr="00347F9D">
                    <w:t>50</w:t>
                  </w:r>
                  <w:r>
                    <w:t xml:space="preserve"> </w:t>
                  </w:r>
                  <w:r w:rsidRPr="00347F9D">
                    <w:t>m (extending 200</w:t>
                  </w:r>
                  <w:r>
                    <w:t xml:space="preserve"> </w:t>
                  </w:r>
                  <w:r w:rsidRPr="00347F9D">
                    <w:t xml:space="preserve">m upstream for flowing surface watercourses) </w:t>
                  </w:r>
                </w:p>
              </w:tc>
              <w:tc>
                <w:tcPr>
                  <w:tcW w:w="2436" w:type="dxa"/>
                  <w:tcMar>
                    <w:top w:w="0" w:type="dxa"/>
                    <w:left w:w="108" w:type="dxa"/>
                    <w:bottom w:w="0" w:type="dxa"/>
                    <w:right w:w="108" w:type="dxa"/>
                  </w:tcMar>
                  <w:hideMark/>
                </w:tcPr>
                <w:p w14:paraId="5C7EE7F1" w14:textId="77777777" w:rsidR="00587C48" w:rsidRPr="00347F9D" w:rsidRDefault="00587C48" w:rsidP="00EC6714">
                  <w:pPr>
                    <w:pStyle w:val="TableText"/>
                  </w:pPr>
                  <w:r w:rsidRPr="00347F9D">
                    <w:t>200</w:t>
                  </w:r>
                  <w:r>
                    <w:t xml:space="preserve"> </w:t>
                  </w:r>
                  <w:r w:rsidRPr="00347F9D">
                    <w:t>m (extending 400</w:t>
                  </w:r>
                  <w:r>
                    <w:t xml:space="preserve"> </w:t>
                  </w:r>
                  <w:r w:rsidRPr="00347F9D">
                    <w:t xml:space="preserve">m upstream for flowing surface watercourses) </w:t>
                  </w:r>
                </w:p>
              </w:tc>
            </w:tr>
          </w:tbl>
          <w:p w14:paraId="1A23C01D" w14:textId="77777777" w:rsidR="00EC6714" w:rsidRPr="00F3597B" w:rsidRDefault="00EC6714" w:rsidP="002E12FB">
            <w:pPr>
              <w:pStyle w:val="NoSpacing"/>
              <w:rPr>
                <w:rFonts w:cs="Arial"/>
                <w:sz w:val="18"/>
                <w:szCs w:val="18"/>
              </w:rPr>
            </w:pPr>
          </w:p>
          <w:p w14:paraId="3B6D07CC" w14:textId="639D5E48" w:rsidR="00587C48" w:rsidRPr="00F3597B" w:rsidRDefault="00587C48" w:rsidP="00EC6714">
            <w:pPr>
              <w:pStyle w:val="TableText"/>
            </w:pPr>
            <w:r w:rsidRPr="00F3597B">
              <w:t>In steep areas, the exclusion area may need to be increased to pr</w:t>
            </w:r>
            <w:r w:rsidR="00435E92">
              <w:t>event</w:t>
            </w:r>
            <w:r w:rsidRPr="00F3597B">
              <w:t xml:space="preserve"> bait</w:t>
            </w:r>
            <w:r w:rsidR="00435E92">
              <w:t xml:space="preserve"> from</w:t>
            </w:r>
            <w:r w:rsidRPr="00F3597B">
              <w:t xml:space="preserve"> falling into the waterway. For other operations (eg, along farm streams), bait may</w:t>
            </w:r>
            <w:r>
              <w:t xml:space="preserve"> </w:t>
            </w:r>
            <w:r w:rsidRPr="00F3597B">
              <w:t xml:space="preserve">be applied closer to the water edge as long as the bait can be applied in a way </w:t>
            </w:r>
            <w:r w:rsidR="00435E92">
              <w:t>that</w:t>
            </w:r>
            <w:r w:rsidRPr="00F3597B">
              <w:t xml:space="preserve"> </w:t>
            </w:r>
            <w:r w:rsidR="00435E92">
              <w:t>prevents any from falling</w:t>
            </w:r>
            <w:r w:rsidRPr="00F3597B">
              <w:t xml:space="preserve"> into the water (eg, using trickle feeding). </w:t>
            </w:r>
          </w:p>
          <w:p w14:paraId="48A4DC38" w14:textId="7D5A3D03" w:rsidR="00587C48" w:rsidRPr="00F3597B" w:rsidRDefault="00587C48" w:rsidP="00EC6714">
            <w:pPr>
              <w:pStyle w:val="TableText"/>
            </w:pPr>
            <w:r w:rsidRPr="00F3597B">
              <w:t>Where the risk of the VTA or poisoned carcasses entering into waterways</w:t>
            </w:r>
            <w:r w:rsidR="00435E92">
              <w:t xml:space="preserve"> is higher</w:t>
            </w:r>
            <w:r w:rsidRPr="00F3597B">
              <w:t xml:space="preserve"> (eg, sloping ground toward the waterway; heavy vegetation overhanging the waterway), the exclusion distances may be increased. In flat areas with low possum numbers, the exclusion distance could be decreased, if this does not increase potential public health risks. This will depend on local conditions, including rainfall, the gradient of the terrain, vegetation and soil type.</w:t>
            </w:r>
          </w:p>
          <w:p w14:paraId="7F79E09C" w14:textId="78CADF33" w:rsidR="00587C48" w:rsidRDefault="00587C48" w:rsidP="00EC6714">
            <w:pPr>
              <w:pStyle w:val="TableText"/>
              <w:rPr>
                <w:i/>
                <w:iCs/>
              </w:rPr>
            </w:pPr>
            <w:r w:rsidRPr="00BD2D22">
              <w:rPr>
                <w:b/>
                <w:bCs/>
                <w:lang w:eastAsia="en-NZ"/>
              </w:rPr>
              <w:t xml:space="preserve">Aerial </w:t>
            </w:r>
            <w:r>
              <w:rPr>
                <w:b/>
                <w:bCs/>
                <w:lang w:eastAsia="en-NZ"/>
              </w:rPr>
              <w:t>a</w:t>
            </w:r>
            <w:r w:rsidRPr="00BD2D22">
              <w:rPr>
                <w:b/>
                <w:bCs/>
                <w:lang w:eastAsia="en-NZ"/>
              </w:rPr>
              <w:t>pplications of 1080:</w:t>
            </w:r>
            <w:r>
              <w:rPr>
                <w:lang w:eastAsia="en-NZ"/>
              </w:rPr>
              <w:t xml:space="preserve"> </w:t>
            </w:r>
            <w:r w:rsidRPr="00F3597B">
              <w:rPr>
                <w:lang w:eastAsia="en-NZ"/>
              </w:rPr>
              <w:t>Following 1080 aerial operations</w:t>
            </w:r>
            <w:r w:rsidRPr="00F3597B">
              <w:rPr>
                <w:i/>
                <w:color w:val="000000"/>
                <w:lang w:eastAsia="en-NZ"/>
              </w:rPr>
              <w:t>,</w:t>
            </w:r>
            <w:r w:rsidRPr="00F3597B">
              <w:rPr>
                <w:lang w:eastAsia="en-NZ"/>
              </w:rPr>
              <w:t xml:space="preserve"> the operator </w:t>
            </w:r>
            <w:r w:rsidR="008C24EE">
              <w:t>is likely to</w:t>
            </w:r>
            <w:r w:rsidR="008C24EE" w:rsidRPr="00F3597B">
              <w:rPr>
                <w:lang w:eastAsia="en-NZ"/>
              </w:rPr>
              <w:t xml:space="preserve"> </w:t>
            </w:r>
            <w:r w:rsidRPr="00F3597B">
              <w:rPr>
                <w:lang w:eastAsia="en-NZ"/>
              </w:rPr>
              <w:t xml:space="preserve">test the water, </w:t>
            </w:r>
            <w:r w:rsidRPr="00F3597B">
              <w:t xml:space="preserve">if there are insufficient historical records demonstrating that the water supply will not be contaminated or to </w:t>
            </w:r>
            <w:r w:rsidR="00435E92">
              <w:t>reassure the</w:t>
            </w:r>
            <w:r w:rsidR="00435E92" w:rsidRPr="00F3597B">
              <w:t xml:space="preserve"> </w:t>
            </w:r>
            <w:r w:rsidRPr="00F3597B">
              <w:t xml:space="preserve">public that the </w:t>
            </w:r>
            <w:r w:rsidRPr="002465B6">
              <w:t xml:space="preserve">contaminated water supply is safe. </w:t>
            </w:r>
            <w:r w:rsidRPr="002465B6">
              <w:rPr>
                <w:lang w:eastAsia="en-NZ"/>
              </w:rPr>
              <w:t>If undertaking water testing, the operator should follow</w:t>
            </w:r>
            <w:r w:rsidRPr="002465B6">
              <w:t xml:space="preserve"> the current </w:t>
            </w:r>
            <w:r w:rsidR="004F1AD7">
              <w:t>‘</w:t>
            </w:r>
            <w:r w:rsidRPr="0093352E">
              <w:t>Guideline for sampling and testing water associated with monitoring of aerial 1080 baiting operations</w:t>
            </w:r>
            <w:r w:rsidR="004F1AD7">
              <w:t>’</w:t>
            </w:r>
            <w:r w:rsidRPr="002465B6">
              <w:t xml:space="preserve"> (Manaaki Whenua 2019).  </w:t>
            </w:r>
          </w:p>
          <w:p w14:paraId="0E7CA5B6" w14:textId="40AA0D04" w:rsidR="00587C48" w:rsidRDefault="00587C48" w:rsidP="00EC6714">
            <w:pPr>
              <w:pStyle w:val="TableText"/>
              <w:rPr>
                <w:i/>
                <w:iCs/>
                <w:lang w:eastAsia="en-NZ"/>
              </w:rPr>
            </w:pPr>
            <w:r w:rsidRPr="00F3597B">
              <w:rPr>
                <w:lang w:eastAsia="en-NZ"/>
              </w:rPr>
              <w:t xml:space="preserve">The water supply </w:t>
            </w:r>
            <w:r w:rsidR="008C24EE">
              <w:t>is likely to</w:t>
            </w:r>
            <w:r w:rsidRPr="00F3597B">
              <w:rPr>
                <w:lang w:eastAsia="en-NZ"/>
              </w:rPr>
              <w:t xml:space="preserve"> be temporarily disconnected until such time as water testing finds no 1080 present above 50 percent of the </w:t>
            </w:r>
            <w:r>
              <w:rPr>
                <w:lang w:eastAsia="en-NZ"/>
              </w:rPr>
              <w:t>provisional maximum acceptable value (</w:t>
            </w:r>
            <w:r w:rsidRPr="00F3597B">
              <w:rPr>
                <w:lang w:eastAsia="en-NZ"/>
              </w:rPr>
              <w:t>PMAV</w:t>
            </w:r>
            <w:r>
              <w:rPr>
                <w:lang w:eastAsia="en-NZ"/>
              </w:rPr>
              <w:t xml:space="preserve">) for 1080 in the </w:t>
            </w:r>
            <w:r w:rsidRPr="00517E66">
              <w:rPr>
                <w:i/>
                <w:iCs/>
                <w:lang w:eastAsia="en-NZ"/>
              </w:rPr>
              <w:t>Drinking-</w:t>
            </w:r>
            <w:r>
              <w:rPr>
                <w:i/>
                <w:iCs/>
                <w:lang w:eastAsia="en-NZ"/>
              </w:rPr>
              <w:t>w</w:t>
            </w:r>
            <w:r w:rsidRPr="00517E66">
              <w:rPr>
                <w:i/>
                <w:iCs/>
                <w:lang w:eastAsia="en-NZ"/>
              </w:rPr>
              <w:t>ater Standards for New Zealand</w:t>
            </w:r>
            <w:r>
              <w:rPr>
                <w:i/>
                <w:iCs/>
                <w:lang w:eastAsia="en-NZ"/>
              </w:rPr>
              <w:t xml:space="preserve"> </w:t>
            </w:r>
            <w:r>
              <w:rPr>
                <w:iCs/>
                <w:lang w:eastAsia="en-NZ"/>
              </w:rPr>
              <w:t>(Ministry of Health 2018)</w:t>
            </w:r>
            <w:r w:rsidRPr="00517E66">
              <w:rPr>
                <w:i/>
                <w:iCs/>
                <w:lang w:eastAsia="en-NZ"/>
              </w:rPr>
              <w:t>.</w:t>
            </w:r>
            <w:r w:rsidRPr="00F3597B">
              <w:rPr>
                <w:lang w:eastAsia="en-NZ"/>
              </w:rPr>
              <w:t xml:space="preserve"> If no alternative water source is available, an adequate alternative potable water supply (to be used for drinking and cooking) </w:t>
            </w:r>
            <w:r w:rsidR="008C24EE">
              <w:t>is likely to</w:t>
            </w:r>
            <w:r w:rsidR="008C24EE" w:rsidRPr="00F3597B">
              <w:rPr>
                <w:lang w:eastAsia="en-NZ"/>
              </w:rPr>
              <w:t xml:space="preserve"> </w:t>
            </w:r>
            <w:r w:rsidR="008C24EE">
              <w:rPr>
                <w:lang w:eastAsia="en-NZ"/>
              </w:rPr>
              <w:t xml:space="preserve">be </w:t>
            </w:r>
            <w:r w:rsidRPr="00F3597B">
              <w:rPr>
                <w:lang w:eastAsia="en-NZ"/>
              </w:rPr>
              <w:t>provided to affected households</w:t>
            </w:r>
            <w:r>
              <w:rPr>
                <w:lang w:eastAsia="en-NZ"/>
              </w:rPr>
              <w:t>,</w:t>
            </w:r>
            <w:r w:rsidRPr="00F3597B">
              <w:rPr>
                <w:lang w:eastAsia="en-NZ"/>
              </w:rPr>
              <w:t xml:space="preserve"> until testing is completed.</w:t>
            </w:r>
          </w:p>
          <w:p w14:paraId="6A223CD0" w14:textId="5CE0F66D" w:rsidR="00587C48" w:rsidRPr="00F3597B" w:rsidRDefault="00587C48" w:rsidP="00EC6714">
            <w:pPr>
              <w:pStyle w:val="TableText"/>
            </w:pPr>
            <w:r w:rsidRPr="00F3597B">
              <w:rPr>
                <w:lang w:eastAsia="en-NZ"/>
              </w:rPr>
              <w:t>When water testing reveals 1080 contamination over 50 percent of the PMAV, the alternative potable water supply should be maintained until testing confirms 1080</w:t>
            </w:r>
            <w:r w:rsidR="00216D58">
              <w:rPr>
                <w:lang w:eastAsia="en-NZ"/>
              </w:rPr>
              <w:t xml:space="preserve"> is</w:t>
            </w:r>
            <w:r w:rsidRPr="00F3597B">
              <w:rPr>
                <w:lang w:eastAsia="en-NZ"/>
              </w:rPr>
              <w:t xml:space="preserve"> below 50 percent of the PMAV.</w:t>
            </w:r>
          </w:p>
          <w:p w14:paraId="3E83DAB1" w14:textId="77777777" w:rsidR="00587C48" w:rsidRPr="00F3597B" w:rsidRDefault="00587C48" w:rsidP="002E12FB">
            <w:pPr>
              <w:pStyle w:val="NoSpacing"/>
              <w:rPr>
                <w:rFonts w:cs="Arial"/>
                <w:color w:val="000000"/>
                <w:sz w:val="18"/>
                <w:szCs w:val="18"/>
                <w:shd w:val="clear" w:color="auto" w:fill="FFFFFF"/>
              </w:rPr>
            </w:pPr>
          </w:p>
        </w:tc>
      </w:tr>
    </w:tbl>
    <w:p w14:paraId="65E14C2F" w14:textId="77777777" w:rsidR="00587C48" w:rsidRDefault="00587C48" w:rsidP="00587C48">
      <w:pPr>
        <w:rPr>
          <w:rFonts w:ascii="Calibri" w:hAnsi="Calibri" w:cs="Calibri"/>
          <w:sz w:val="22"/>
        </w:rPr>
      </w:pPr>
      <w:r>
        <w:br w:type="page"/>
      </w:r>
    </w:p>
    <w:p w14:paraId="0F34A3C2" w14:textId="16FD495D" w:rsidR="00587C48" w:rsidRPr="00003A4A" w:rsidRDefault="00587C48" w:rsidP="00587C48">
      <w:pPr>
        <w:pStyle w:val="Heading2"/>
      </w:pPr>
      <w:bookmarkStart w:id="128" w:name="_Toc90633217"/>
      <w:bookmarkStart w:id="129" w:name="_Toc109793297"/>
      <w:r w:rsidRPr="00003A4A">
        <w:t xml:space="preserve">Case </w:t>
      </w:r>
      <w:r>
        <w:t>study</w:t>
      </w:r>
      <w:r w:rsidRPr="00003A4A">
        <w:t xml:space="preserve"> 1: Managing risk around roads and vehicle tracks</w:t>
      </w:r>
      <w:bookmarkEnd w:id="124"/>
      <w:bookmarkEnd w:id="125"/>
      <w:bookmarkEnd w:id="126"/>
      <w:bookmarkEnd w:id="128"/>
      <w:bookmarkEnd w:id="129"/>
    </w:p>
    <w:p w14:paraId="717B068A" w14:textId="77777777" w:rsidR="00587C48" w:rsidRPr="00003A4A" w:rsidRDefault="00587C48" w:rsidP="00587C48">
      <w:r w:rsidRPr="00057E36">
        <w:rPr>
          <w:noProof/>
          <w:lang w:eastAsia="en-NZ"/>
        </w:rPr>
        <w:drawing>
          <wp:anchor distT="0" distB="0" distL="114300" distR="114300" simplePos="0" relativeHeight="251660288" behindDoc="1" locked="0" layoutInCell="1" allowOverlap="1" wp14:anchorId="29584940" wp14:editId="08195953">
            <wp:simplePos x="0" y="0"/>
            <wp:positionH relativeFrom="column">
              <wp:posOffset>31588</wp:posOffset>
            </wp:positionH>
            <wp:positionV relativeFrom="paragraph">
              <wp:posOffset>3175</wp:posOffset>
            </wp:positionV>
            <wp:extent cx="5349727" cy="3429000"/>
            <wp:effectExtent l="0" t="0" r="3810" b="0"/>
            <wp:wrapNone/>
            <wp:docPr id="33" name="Picture 33" descr="Aerial map of Ahaura Forest, an area comprising open beech forest and commercial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rial map of Ahaura Forest, an area comprising open beech forest and commercial forest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1675" cy="343024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418" w:type="dxa"/>
        <w:tblInd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tblGrid>
      <w:tr w:rsidR="00587C48" w:rsidRPr="00003A4A" w14:paraId="43B93564" w14:textId="77777777" w:rsidTr="00EC6714">
        <w:trPr>
          <w:cantSplit/>
        </w:trPr>
        <w:tc>
          <w:tcPr>
            <w:tcW w:w="1418" w:type="dxa"/>
            <w:shd w:val="clear" w:color="auto" w:fill="FFFFFF" w:themeFill="background1"/>
          </w:tcPr>
          <w:p w14:paraId="17B6DDC3" w14:textId="77777777" w:rsidR="00587C48" w:rsidRPr="00066863" w:rsidRDefault="00587C48" w:rsidP="002E12FB">
            <w:pPr>
              <w:pStyle w:val="TableText"/>
              <w:rPr>
                <w:b/>
                <w:noProof/>
                <w:szCs w:val="18"/>
                <w:lang w:eastAsia="en-NZ"/>
              </w:rPr>
            </w:pPr>
            <w:r w:rsidRPr="00066863">
              <w:rPr>
                <w:b/>
                <w:noProof/>
                <w:szCs w:val="18"/>
                <w:lang w:eastAsia="en-NZ"/>
              </w:rPr>
              <w:t>Legend</w:t>
            </w:r>
          </w:p>
          <w:p w14:paraId="5D663E9B" w14:textId="77777777" w:rsidR="00587C48" w:rsidRPr="005C29AC" w:rsidRDefault="00587C48" w:rsidP="002E12FB">
            <w:pPr>
              <w:pStyle w:val="TableText"/>
              <w:tabs>
                <w:tab w:val="left" w:pos="885"/>
              </w:tabs>
              <w:rPr>
                <w:noProof/>
                <w:szCs w:val="18"/>
                <w:lang w:eastAsia="en-NZ"/>
              </w:rPr>
            </w:pPr>
            <w:r w:rsidRPr="005C29AC">
              <w:rPr>
                <w:noProof/>
                <w:szCs w:val="18"/>
                <w:lang w:eastAsia="en-NZ"/>
              </w:rPr>
              <w:t>Road 1</w:t>
            </w:r>
            <w:r w:rsidRPr="005C29AC">
              <w:rPr>
                <w:noProof/>
                <w:szCs w:val="18"/>
                <w:lang w:eastAsia="en-NZ"/>
              </w:rPr>
              <w:tab/>
            </w:r>
            <w:r w:rsidRPr="005C29AC">
              <w:rPr>
                <w:bCs/>
                <w:noProof/>
                <w:color w:val="FFFF00"/>
                <w:szCs w:val="18"/>
                <w:lang w:eastAsia="en-NZ"/>
              </w:rPr>
              <w:t>***</w:t>
            </w:r>
          </w:p>
          <w:p w14:paraId="367CA610" w14:textId="77777777" w:rsidR="00587C48" w:rsidRPr="005C29AC" w:rsidRDefault="00587C48" w:rsidP="002E12FB">
            <w:pPr>
              <w:pStyle w:val="TableText"/>
              <w:tabs>
                <w:tab w:val="left" w:pos="885"/>
              </w:tabs>
              <w:rPr>
                <w:noProof/>
                <w:szCs w:val="18"/>
                <w:lang w:eastAsia="en-NZ"/>
              </w:rPr>
            </w:pPr>
            <w:r w:rsidRPr="005C29AC">
              <w:rPr>
                <w:noProof/>
                <w:szCs w:val="18"/>
                <w:lang w:eastAsia="en-NZ"/>
              </w:rPr>
              <w:t>Road 2</w:t>
            </w:r>
            <w:r w:rsidRPr="005C29AC">
              <w:rPr>
                <w:noProof/>
                <w:szCs w:val="18"/>
                <w:lang w:eastAsia="en-NZ"/>
              </w:rPr>
              <w:tab/>
            </w:r>
            <w:r w:rsidRPr="005C29AC">
              <w:rPr>
                <w:bCs/>
                <w:noProof/>
                <w:color w:val="D99594"/>
                <w:szCs w:val="18"/>
                <w:lang w:eastAsia="en-NZ"/>
              </w:rPr>
              <w:t>***</w:t>
            </w:r>
          </w:p>
          <w:p w14:paraId="66FB80E9" w14:textId="77777777" w:rsidR="00587C48" w:rsidRPr="005C29AC" w:rsidRDefault="00587C48" w:rsidP="002E12FB">
            <w:pPr>
              <w:pStyle w:val="TableText"/>
              <w:tabs>
                <w:tab w:val="left" w:pos="885"/>
              </w:tabs>
              <w:rPr>
                <w:noProof/>
                <w:szCs w:val="18"/>
                <w:lang w:eastAsia="en-NZ"/>
              </w:rPr>
            </w:pPr>
            <w:r w:rsidRPr="005C29AC">
              <w:rPr>
                <w:noProof/>
                <w:szCs w:val="18"/>
                <w:lang w:eastAsia="en-NZ"/>
              </w:rPr>
              <w:t>Road 3</w:t>
            </w:r>
            <w:r w:rsidRPr="005C29AC">
              <w:rPr>
                <w:noProof/>
                <w:szCs w:val="18"/>
                <w:lang w:eastAsia="en-NZ"/>
              </w:rPr>
              <w:tab/>
            </w:r>
            <w:r w:rsidRPr="005C29AC">
              <w:rPr>
                <w:bCs/>
                <w:noProof/>
                <w:color w:val="B2A1C7"/>
                <w:szCs w:val="18"/>
                <w:lang w:eastAsia="en-NZ"/>
              </w:rPr>
              <w:t>***</w:t>
            </w:r>
          </w:p>
          <w:p w14:paraId="598D6753" w14:textId="77777777" w:rsidR="00587C48" w:rsidRPr="005C29AC" w:rsidRDefault="00587C48" w:rsidP="002E12FB">
            <w:pPr>
              <w:pStyle w:val="TableText"/>
              <w:tabs>
                <w:tab w:val="left" w:pos="885"/>
              </w:tabs>
              <w:rPr>
                <w:noProof/>
                <w:szCs w:val="18"/>
                <w:lang w:eastAsia="en-NZ"/>
              </w:rPr>
            </w:pPr>
            <w:r w:rsidRPr="005C29AC">
              <w:rPr>
                <w:noProof/>
                <w:szCs w:val="18"/>
                <w:lang w:eastAsia="en-NZ"/>
              </w:rPr>
              <w:t>Road 4</w:t>
            </w:r>
            <w:r w:rsidRPr="005C29AC">
              <w:rPr>
                <w:noProof/>
                <w:szCs w:val="18"/>
                <w:lang w:eastAsia="en-NZ"/>
              </w:rPr>
              <w:tab/>
            </w:r>
            <w:r w:rsidRPr="005C29AC">
              <w:rPr>
                <w:bCs/>
                <w:noProof/>
                <w:color w:val="00B0F0"/>
                <w:szCs w:val="18"/>
                <w:lang w:eastAsia="en-NZ"/>
              </w:rPr>
              <w:t>***</w:t>
            </w:r>
          </w:p>
          <w:p w14:paraId="20C1BE96" w14:textId="77777777" w:rsidR="00587C48" w:rsidRPr="005C29AC" w:rsidRDefault="00587C48" w:rsidP="002E12FB">
            <w:pPr>
              <w:pStyle w:val="TableText"/>
              <w:tabs>
                <w:tab w:val="left" w:pos="885"/>
              </w:tabs>
              <w:rPr>
                <w:noProof/>
                <w:szCs w:val="18"/>
                <w:lang w:eastAsia="en-NZ"/>
              </w:rPr>
            </w:pPr>
            <w:r w:rsidRPr="005C29AC">
              <w:rPr>
                <w:noProof/>
                <w:szCs w:val="18"/>
                <w:lang w:eastAsia="en-NZ"/>
              </w:rPr>
              <w:t>Road 5</w:t>
            </w:r>
            <w:r w:rsidRPr="005C29AC">
              <w:rPr>
                <w:noProof/>
                <w:szCs w:val="18"/>
                <w:lang w:eastAsia="en-NZ"/>
              </w:rPr>
              <w:tab/>
            </w:r>
            <w:r w:rsidRPr="005C29AC">
              <w:rPr>
                <w:bCs/>
                <w:noProof/>
                <w:color w:val="92D050"/>
                <w:szCs w:val="18"/>
                <w:lang w:eastAsia="en-NZ"/>
              </w:rPr>
              <w:t>***</w:t>
            </w:r>
          </w:p>
        </w:tc>
      </w:tr>
    </w:tbl>
    <w:p w14:paraId="263BF06A" w14:textId="209C84AF" w:rsidR="00EC6714" w:rsidRDefault="00EC6714" w:rsidP="00587C48"/>
    <w:p w14:paraId="314D7196" w14:textId="030B4589" w:rsidR="002B797C" w:rsidRPr="002B797C" w:rsidRDefault="002B797C" w:rsidP="002B797C"/>
    <w:p w14:paraId="62775B87" w14:textId="17FF442E" w:rsidR="002B797C" w:rsidRPr="002B797C" w:rsidRDefault="002B797C" w:rsidP="002B797C"/>
    <w:p w14:paraId="36E7660A" w14:textId="6642527D" w:rsidR="002B797C" w:rsidRPr="002B797C" w:rsidRDefault="002B797C" w:rsidP="002B797C"/>
    <w:p w14:paraId="196382D8" w14:textId="199F4E7F" w:rsidR="002B797C" w:rsidRPr="002B797C" w:rsidRDefault="002B797C" w:rsidP="002B797C"/>
    <w:p w14:paraId="0F931031" w14:textId="17E0E82B" w:rsidR="002B797C" w:rsidRPr="002B797C" w:rsidRDefault="002B797C" w:rsidP="002B797C"/>
    <w:p w14:paraId="2A376E39" w14:textId="2B8C47D1" w:rsidR="002B797C" w:rsidRPr="002B797C" w:rsidRDefault="002B797C" w:rsidP="002B797C"/>
    <w:p w14:paraId="3FABDEDD" w14:textId="3F919821" w:rsidR="002B797C" w:rsidRPr="002B797C" w:rsidRDefault="002B797C" w:rsidP="002B797C"/>
    <w:p w14:paraId="4F860DA4" w14:textId="64C63CBE" w:rsidR="002B797C" w:rsidRPr="002B797C" w:rsidRDefault="002B797C" w:rsidP="002B797C"/>
    <w:p w14:paraId="24154201" w14:textId="5E91F94D" w:rsidR="002B797C" w:rsidRPr="002B797C" w:rsidRDefault="002B797C" w:rsidP="002B797C"/>
    <w:p w14:paraId="2115F01E" w14:textId="2F9AFAFA" w:rsidR="002B797C" w:rsidRPr="002B797C" w:rsidRDefault="006E3E4F" w:rsidP="002B797C">
      <w:r>
        <w:rPr>
          <w:noProof/>
        </w:rPr>
        <mc:AlternateContent>
          <mc:Choice Requires="wps">
            <w:drawing>
              <wp:anchor distT="45720" distB="45720" distL="114300" distR="114300" simplePos="0" relativeHeight="251659264" behindDoc="0" locked="0" layoutInCell="1" allowOverlap="1" wp14:anchorId="21DEF8F4" wp14:editId="5AA5A661">
                <wp:simplePos x="0" y="0"/>
                <wp:positionH relativeFrom="margin">
                  <wp:posOffset>28575</wp:posOffset>
                </wp:positionH>
                <wp:positionV relativeFrom="paragraph">
                  <wp:posOffset>251460</wp:posOffset>
                </wp:positionV>
                <wp:extent cx="5360035" cy="4404360"/>
                <wp:effectExtent l="0" t="0" r="120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035" cy="4404360"/>
                        </a:xfrm>
                        <a:prstGeom prst="rect">
                          <a:avLst/>
                        </a:prstGeom>
                        <a:solidFill>
                          <a:srgbClr val="FFFFFF"/>
                        </a:solidFill>
                        <a:ln w="9525">
                          <a:solidFill>
                            <a:srgbClr val="000000"/>
                          </a:solidFill>
                          <a:miter lim="800000"/>
                          <a:headEnd/>
                          <a:tailEnd/>
                        </a:ln>
                      </wps:spPr>
                      <wps:txbx>
                        <w:txbxContent>
                          <w:p w14:paraId="20496FA4" w14:textId="663B0A85" w:rsidR="00F4433C" w:rsidRPr="00EC6714" w:rsidRDefault="00F4433C" w:rsidP="00EC6714">
                            <w:pPr>
                              <w:spacing w:before="120"/>
                              <w:ind w:left="142" w:right="187"/>
                              <w:rPr>
                                <w:b/>
                                <w:bCs/>
                                <w:szCs w:val="21"/>
                              </w:rPr>
                            </w:pPr>
                            <w:r w:rsidRPr="00EC6714">
                              <w:rPr>
                                <w:b/>
                                <w:bCs/>
                                <w:szCs w:val="21"/>
                              </w:rPr>
                              <w:t>Scenario</w:t>
                            </w:r>
                          </w:p>
                          <w:p w14:paraId="3C4CB3D4" w14:textId="1E5658C9" w:rsidR="00F4433C" w:rsidRPr="00EC6714" w:rsidRDefault="00F4433C" w:rsidP="00EC6714">
                            <w:pPr>
                              <w:spacing w:before="120"/>
                              <w:ind w:left="142" w:right="187"/>
                              <w:rPr>
                                <w:szCs w:val="21"/>
                              </w:rPr>
                            </w:pPr>
                            <w:r w:rsidRPr="00EC6714">
                              <w:rPr>
                                <w:szCs w:val="21"/>
                              </w:rPr>
                              <w:t>An applicant wishes to aerially apply 1080 over 4</w:t>
                            </w:r>
                            <w:r>
                              <w:rPr>
                                <w:szCs w:val="21"/>
                              </w:rPr>
                              <w:t>,</w:t>
                            </w:r>
                            <w:r w:rsidRPr="00EC6714">
                              <w:rPr>
                                <w:szCs w:val="21"/>
                              </w:rPr>
                              <w:t>800 ha of the Ahaura Forest</w:t>
                            </w:r>
                            <w:r>
                              <w:rPr>
                                <w:szCs w:val="21"/>
                              </w:rPr>
                              <w:t>,</w:t>
                            </w:r>
                            <w:r w:rsidRPr="00EC6714">
                              <w:rPr>
                                <w:szCs w:val="21"/>
                              </w:rPr>
                              <w:t xml:space="preserve"> an area comprising open beech forest and commercial forestry. The forest contains about 45 km of formed roads and vehicle tracks (</w:t>
                            </w:r>
                            <w:r>
                              <w:rPr>
                                <w:szCs w:val="21"/>
                              </w:rPr>
                              <w:t>r</w:t>
                            </w:r>
                            <w:r w:rsidRPr="00EC6714">
                              <w:rPr>
                                <w:szCs w:val="21"/>
                              </w:rPr>
                              <w:t>oads 1–5 as marked on the map), to which there are five main access points.</w:t>
                            </w:r>
                          </w:p>
                          <w:p w14:paraId="20C62242" w14:textId="7198E2C5" w:rsidR="00F4433C" w:rsidRPr="00EC6714" w:rsidRDefault="00F4433C" w:rsidP="00EC6714">
                            <w:pPr>
                              <w:spacing w:before="120"/>
                              <w:ind w:left="142" w:right="187"/>
                              <w:rPr>
                                <w:szCs w:val="21"/>
                              </w:rPr>
                            </w:pPr>
                            <w:r w:rsidRPr="00EC6714">
                              <w:rPr>
                                <w:szCs w:val="21"/>
                              </w:rPr>
                              <w:t>Checking with the relevant land manager</w:t>
                            </w:r>
                            <w:r>
                              <w:rPr>
                                <w:szCs w:val="21"/>
                              </w:rPr>
                              <w:t>, the applicant</w:t>
                            </w:r>
                            <w:r w:rsidRPr="00EC6714">
                              <w:rPr>
                                <w:szCs w:val="21"/>
                              </w:rPr>
                              <w:t xml:space="preserve"> determines</w:t>
                            </w:r>
                            <w:r>
                              <w:rPr>
                                <w:szCs w:val="21"/>
                              </w:rPr>
                              <w:t xml:space="preserve"> the following characteristics of the roads.</w:t>
                            </w:r>
                          </w:p>
                          <w:p w14:paraId="6C1CF39F" w14:textId="752A524F" w:rsidR="00F4433C" w:rsidRPr="00EC6714" w:rsidRDefault="00F4433C" w:rsidP="00153568">
                            <w:pPr>
                              <w:pStyle w:val="ListParagraph"/>
                              <w:numPr>
                                <w:ilvl w:val="0"/>
                                <w:numId w:val="12"/>
                              </w:numPr>
                              <w:spacing w:before="120"/>
                              <w:ind w:left="567" w:right="187" w:hanging="413"/>
                              <w:rPr>
                                <w:rFonts w:ascii="Segoe UI" w:hAnsi="Segoe UI" w:cs="Segoe UI"/>
                                <w:sz w:val="21"/>
                                <w:szCs w:val="21"/>
                              </w:rPr>
                            </w:pPr>
                            <w:r w:rsidRPr="00EC6714">
                              <w:rPr>
                                <w:rFonts w:ascii="Segoe UI" w:hAnsi="Segoe UI" w:cs="Segoe UI"/>
                                <w:sz w:val="21"/>
                                <w:szCs w:val="21"/>
                              </w:rPr>
                              <w:t>Road 1 is a well-formed gravel road, providing river access</w:t>
                            </w:r>
                            <w:r>
                              <w:rPr>
                                <w:rFonts w:ascii="Segoe UI" w:hAnsi="Segoe UI" w:cs="Segoe UI"/>
                                <w:sz w:val="21"/>
                                <w:szCs w:val="21"/>
                              </w:rPr>
                              <w:t xml:space="preserve"> that is</w:t>
                            </w:r>
                            <w:r w:rsidRPr="00EC6714">
                              <w:rPr>
                                <w:rFonts w:ascii="Segoe UI" w:hAnsi="Segoe UI" w:cs="Segoe UI"/>
                                <w:sz w:val="21"/>
                                <w:szCs w:val="21"/>
                              </w:rPr>
                              <w:t xml:space="preserve"> popular with families. It has the highest level of public use (more than 20 people per day on average)</w:t>
                            </w:r>
                            <w:r>
                              <w:rPr>
                                <w:rFonts w:ascii="Segoe UI" w:hAnsi="Segoe UI" w:cs="Segoe UI"/>
                                <w:sz w:val="21"/>
                                <w:szCs w:val="21"/>
                              </w:rPr>
                              <w:t>.</w:t>
                            </w:r>
                          </w:p>
                          <w:p w14:paraId="2DBB1D10" w14:textId="5525B3FD" w:rsidR="00F4433C" w:rsidRPr="00EC6714" w:rsidRDefault="00F4433C" w:rsidP="00153568">
                            <w:pPr>
                              <w:pStyle w:val="ListParagraph"/>
                              <w:numPr>
                                <w:ilvl w:val="0"/>
                                <w:numId w:val="12"/>
                              </w:numPr>
                              <w:spacing w:before="120"/>
                              <w:ind w:left="567" w:right="187" w:hanging="413"/>
                              <w:rPr>
                                <w:rFonts w:ascii="Segoe UI" w:hAnsi="Segoe UI" w:cs="Segoe UI"/>
                                <w:sz w:val="21"/>
                                <w:szCs w:val="21"/>
                              </w:rPr>
                            </w:pPr>
                            <w:r w:rsidRPr="00EC6714">
                              <w:rPr>
                                <w:rFonts w:ascii="Segoe UI" w:hAnsi="Segoe UI" w:cs="Segoe UI"/>
                                <w:sz w:val="21"/>
                                <w:szCs w:val="21"/>
                              </w:rPr>
                              <w:t>Road 2 is a rough, seldom-used 4WD track, mostly through steep native bush. It is unusable in winter due to mud</w:t>
                            </w:r>
                            <w:r>
                              <w:rPr>
                                <w:rFonts w:ascii="Segoe UI" w:hAnsi="Segoe UI" w:cs="Segoe UI"/>
                                <w:sz w:val="21"/>
                                <w:szCs w:val="21"/>
                              </w:rPr>
                              <w:t>.</w:t>
                            </w:r>
                          </w:p>
                          <w:p w14:paraId="09263DC0" w14:textId="2276E042" w:rsidR="00F4433C" w:rsidRDefault="00F4433C" w:rsidP="00153568">
                            <w:pPr>
                              <w:pStyle w:val="ListParagraph"/>
                              <w:numPr>
                                <w:ilvl w:val="0"/>
                                <w:numId w:val="12"/>
                              </w:numPr>
                              <w:spacing w:before="120"/>
                              <w:ind w:left="567" w:right="187" w:hanging="413"/>
                              <w:rPr>
                                <w:rFonts w:ascii="Segoe UI" w:hAnsi="Segoe UI" w:cs="Segoe UI"/>
                                <w:sz w:val="21"/>
                                <w:szCs w:val="21"/>
                              </w:rPr>
                            </w:pPr>
                            <w:r w:rsidRPr="002B797C">
                              <w:rPr>
                                <w:rFonts w:ascii="Segoe UI" w:hAnsi="Segoe UI" w:cs="Segoe UI"/>
                                <w:sz w:val="21"/>
                                <w:szCs w:val="21"/>
                              </w:rPr>
                              <w:t>Road 3 is a well-formed track and popular route for hunters accessing the native bush</w:t>
                            </w:r>
                            <w:r>
                              <w:rPr>
                                <w:rFonts w:ascii="Segoe UI" w:hAnsi="Segoe UI" w:cs="Segoe UI"/>
                                <w:sz w:val="21"/>
                                <w:szCs w:val="21"/>
                              </w:rPr>
                              <w:t>.</w:t>
                            </w:r>
                            <w:r w:rsidRPr="006E3E4F">
                              <w:rPr>
                                <w:rFonts w:ascii="Segoe UI" w:hAnsi="Segoe UI" w:cs="Segoe UI"/>
                                <w:sz w:val="21"/>
                                <w:szCs w:val="21"/>
                              </w:rPr>
                              <w:t xml:space="preserve"> </w:t>
                            </w:r>
                          </w:p>
                          <w:p w14:paraId="76B24576" w14:textId="00559316" w:rsidR="00F4433C" w:rsidRPr="00EC6714" w:rsidRDefault="00F4433C" w:rsidP="00153568">
                            <w:pPr>
                              <w:pStyle w:val="ListParagraph"/>
                              <w:numPr>
                                <w:ilvl w:val="0"/>
                                <w:numId w:val="12"/>
                              </w:numPr>
                              <w:spacing w:before="120"/>
                              <w:ind w:left="567" w:right="187" w:hanging="413"/>
                              <w:rPr>
                                <w:rFonts w:ascii="Segoe UI" w:hAnsi="Segoe UI" w:cs="Segoe UI"/>
                                <w:sz w:val="21"/>
                                <w:szCs w:val="21"/>
                              </w:rPr>
                            </w:pPr>
                            <w:r w:rsidRPr="00EC6714">
                              <w:rPr>
                                <w:rFonts w:ascii="Segoe UI" w:hAnsi="Segoe UI" w:cs="Segoe UI"/>
                                <w:sz w:val="21"/>
                                <w:szCs w:val="21"/>
                              </w:rPr>
                              <w:t xml:space="preserve">Roads 4 and 5 are seldom-used commercial forestry tracks with lockable gates at their access points. </w:t>
                            </w:r>
                            <w:r>
                              <w:rPr>
                                <w:rFonts w:ascii="Segoe UI" w:hAnsi="Segoe UI" w:cs="Segoe UI"/>
                                <w:sz w:val="21"/>
                                <w:szCs w:val="21"/>
                              </w:rPr>
                              <w:t>The main</w:t>
                            </w:r>
                            <w:r w:rsidRPr="00EC6714">
                              <w:rPr>
                                <w:rFonts w:ascii="Segoe UI" w:hAnsi="Segoe UI" w:cs="Segoe UI"/>
                                <w:sz w:val="21"/>
                                <w:szCs w:val="21"/>
                              </w:rPr>
                              <w:t xml:space="preserve"> use of these roads </w:t>
                            </w:r>
                            <w:r>
                              <w:rPr>
                                <w:rFonts w:ascii="Segoe UI" w:hAnsi="Segoe UI" w:cs="Segoe UI"/>
                                <w:sz w:val="21"/>
                                <w:szCs w:val="21"/>
                              </w:rPr>
                              <w:t xml:space="preserve">is </w:t>
                            </w:r>
                            <w:r w:rsidRPr="00EC6714">
                              <w:rPr>
                                <w:rFonts w:ascii="Segoe UI" w:hAnsi="Segoe UI" w:cs="Segoe UI"/>
                                <w:sz w:val="21"/>
                                <w:szCs w:val="21"/>
                              </w:rPr>
                              <w:t xml:space="preserve">at weekends when local families </w:t>
                            </w:r>
                            <w:r>
                              <w:rPr>
                                <w:rFonts w:ascii="Segoe UI" w:hAnsi="Segoe UI" w:cs="Segoe UI"/>
                                <w:sz w:val="21"/>
                                <w:szCs w:val="21"/>
                              </w:rPr>
                              <w:t>collect</w:t>
                            </w:r>
                            <w:r w:rsidRPr="00EC6714">
                              <w:rPr>
                                <w:rFonts w:ascii="Segoe UI" w:hAnsi="Segoe UI" w:cs="Segoe UI"/>
                                <w:sz w:val="21"/>
                                <w:szCs w:val="21"/>
                              </w:rPr>
                              <w:t xml:space="preserve"> firewood.</w:t>
                            </w:r>
                          </w:p>
                          <w:p w14:paraId="61A4889D" w14:textId="0F5B01FA" w:rsidR="00F4433C" w:rsidRPr="006E3E4F" w:rsidRDefault="00F4433C" w:rsidP="006E3E4F">
                            <w:pPr>
                              <w:spacing w:before="120"/>
                              <w:ind w:left="142" w:right="187"/>
                              <w:rPr>
                                <w:szCs w:val="21"/>
                              </w:rPr>
                            </w:pPr>
                            <w:r w:rsidRPr="00EC6714">
                              <w:rPr>
                                <w:szCs w:val="21"/>
                              </w:rPr>
                              <w:t>The applicant clarifies that it is not practical to clear the 45 km of roads within 24 hours, that</w:t>
                            </w:r>
                            <w:r>
                              <w:rPr>
                                <w:szCs w:val="21"/>
                              </w:rPr>
                              <w:t xml:space="preserve"> at most about 20 km</w:t>
                            </w:r>
                            <w:r w:rsidRPr="00EC6714">
                              <w:rPr>
                                <w:szCs w:val="21"/>
                              </w:rPr>
                              <w:t xml:space="preserve"> could be cleared </w:t>
                            </w:r>
                            <w:r>
                              <w:rPr>
                                <w:szCs w:val="21"/>
                              </w:rPr>
                              <w:t>in this timeframe</w:t>
                            </w:r>
                            <w:r w:rsidRPr="00EC6714">
                              <w:rPr>
                                <w:szCs w:val="21"/>
                              </w:rPr>
                              <w:t xml:space="preserve">, </w:t>
                            </w:r>
                            <w:r w:rsidRPr="00E11975">
                              <w:rPr>
                                <w:szCs w:val="21"/>
                              </w:rPr>
                              <w:t>and that there will be a significant loss of efficacy if exclusions are required on all roads.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EF8F4" id="_x0000_t202" coordsize="21600,21600" o:spt="202" path="m,l,21600r21600,l21600,xe">
                <v:stroke joinstyle="miter"/>
                <v:path gradientshapeok="t" o:connecttype="rect"/>
              </v:shapetype>
              <v:shape id="Text Box 2" o:spid="_x0000_s1026" type="#_x0000_t202" style="position:absolute;margin-left:2.25pt;margin-top:19.8pt;width:422.05pt;height:346.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">
                <v:textbox>
                  <w:txbxContent>
                    <w:p w14:paraId="20496FA4" w14:textId="663B0A85" w:rsidR="00F4433C" w:rsidRPr="00EC6714" w:rsidRDefault="00F4433C" w:rsidP="00EC6714">
                      <w:pPr>
                        <w:spacing w:before="120"/>
                        <w:ind w:left="142" w:right="187"/>
                        <w:rPr>
                          <w:b/>
                          <w:bCs/>
                          <w:szCs w:val="21"/>
                        </w:rPr>
                      </w:pPr>
                      <w:r w:rsidRPr="00EC6714">
                        <w:rPr>
                          <w:b/>
                          <w:bCs/>
                          <w:szCs w:val="21"/>
                        </w:rPr>
                        <w:t>Scenario</w:t>
                      </w:r>
                    </w:p>
                    <w:p w14:paraId="3C4CB3D4" w14:textId="1E5658C9" w:rsidR="00F4433C" w:rsidRPr="00EC6714" w:rsidRDefault="00F4433C" w:rsidP="00EC6714">
                      <w:pPr>
                        <w:spacing w:before="120"/>
                        <w:ind w:left="142" w:right="187"/>
                        <w:rPr>
                          <w:szCs w:val="21"/>
                        </w:rPr>
                      </w:pPr>
                      <w:r w:rsidRPr="00EC6714">
                        <w:rPr>
                          <w:szCs w:val="21"/>
                        </w:rPr>
                        <w:t>An applicant wishes to aerially apply 1080 over 4</w:t>
                      </w:r>
                      <w:r>
                        <w:rPr>
                          <w:szCs w:val="21"/>
                        </w:rPr>
                        <w:t>,</w:t>
                      </w:r>
                      <w:r w:rsidRPr="00EC6714">
                        <w:rPr>
                          <w:szCs w:val="21"/>
                        </w:rPr>
                        <w:t>800 ha of the Ahaura Forest</w:t>
                      </w:r>
                      <w:r>
                        <w:rPr>
                          <w:szCs w:val="21"/>
                        </w:rPr>
                        <w:t>,</w:t>
                      </w:r>
                      <w:r w:rsidRPr="00EC6714">
                        <w:rPr>
                          <w:szCs w:val="21"/>
                        </w:rPr>
                        <w:t xml:space="preserve"> an area comprising open beech forest and commercial forestry. The forest contains about 45 km of formed roads and vehicle tracks (</w:t>
                      </w:r>
                      <w:r>
                        <w:rPr>
                          <w:szCs w:val="21"/>
                        </w:rPr>
                        <w:t>r</w:t>
                      </w:r>
                      <w:r w:rsidRPr="00EC6714">
                        <w:rPr>
                          <w:szCs w:val="21"/>
                        </w:rPr>
                        <w:t>oads 1–5 as marked on the map), to which there are five main access points.</w:t>
                      </w:r>
                    </w:p>
                    <w:p w14:paraId="20C62242" w14:textId="7198E2C5" w:rsidR="00F4433C" w:rsidRPr="00EC6714" w:rsidRDefault="00F4433C" w:rsidP="00EC6714">
                      <w:pPr>
                        <w:spacing w:before="120"/>
                        <w:ind w:left="142" w:right="187"/>
                        <w:rPr>
                          <w:szCs w:val="21"/>
                        </w:rPr>
                      </w:pPr>
                      <w:r w:rsidRPr="00EC6714">
                        <w:rPr>
                          <w:szCs w:val="21"/>
                        </w:rPr>
                        <w:t>Checking with the relevant land manager</w:t>
                      </w:r>
                      <w:r>
                        <w:rPr>
                          <w:szCs w:val="21"/>
                        </w:rPr>
                        <w:t>, the applicant</w:t>
                      </w:r>
                      <w:r w:rsidRPr="00EC6714">
                        <w:rPr>
                          <w:szCs w:val="21"/>
                        </w:rPr>
                        <w:t xml:space="preserve"> determines</w:t>
                      </w:r>
                      <w:r>
                        <w:rPr>
                          <w:szCs w:val="21"/>
                        </w:rPr>
                        <w:t xml:space="preserve"> the following characteristics of the roads.</w:t>
                      </w:r>
                    </w:p>
                    <w:p w14:paraId="6C1CF39F" w14:textId="752A524F" w:rsidR="00F4433C" w:rsidRPr="00EC6714" w:rsidRDefault="00F4433C" w:rsidP="00153568">
                      <w:pPr>
                        <w:pStyle w:val="ListParagraph"/>
                        <w:numPr>
                          <w:ilvl w:val="0"/>
                          <w:numId w:val="12"/>
                        </w:numPr>
                        <w:spacing w:before="120"/>
                        <w:ind w:left="567" w:right="187" w:hanging="413"/>
                        <w:rPr>
                          <w:rFonts w:ascii="Segoe UI" w:hAnsi="Segoe UI" w:cs="Segoe UI"/>
                          <w:sz w:val="21"/>
                          <w:szCs w:val="21"/>
                        </w:rPr>
                      </w:pPr>
                      <w:r w:rsidRPr="00EC6714">
                        <w:rPr>
                          <w:rFonts w:ascii="Segoe UI" w:hAnsi="Segoe UI" w:cs="Segoe UI"/>
                          <w:sz w:val="21"/>
                          <w:szCs w:val="21"/>
                        </w:rPr>
                        <w:t>Road 1 is a well-formed gravel road, providing river access</w:t>
                      </w:r>
                      <w:r>
                        <w:rPr>
                          <w:rFonts w:ascii="Segoe UI" w:hAnsi="Segoe UI" w:cs="Segoe UI"/>
                          <w:sz w:val="21"/>
                          <w:szCs w:val="21"/>
                        </w:rPr>
                        <w:t xml:space="preserve"> that is</w:t>
                      </w:r>
                      <w:r w:rsidRPr="00EC6714">
                        <w:rPr>
                          <w:rFonts w:ascii="Segoe UI" w:hAnsi="Segoe UI" w:cs="Segoe UI"/>
                          <w:sz w:val="21"/>
                          <w:szCs w:val="21"/>
                        </w:rPr>
                        <w:t xml:space="preserve"> popular with families. It has the highest level of public use (more than 20 people per day on average)</w:t>
                      </w:r>
                      <w:r>
                        <w:rPr>
                          <w:rFonts w:ascii="Segoe UI" w:hAnsi="Segoe UI" w:cs="Segoe UI"/>
                          <w:sz w:val="21"/>
                          <w:szCs w:val="21"/>
                        </w:rPr>
                        <w:t>.</w:t>
                      </w:r>
                    </w:p>
                    <w:p w14:paraId="2DBB1D10" w14:textId="5525B3FD" w:rsidR="00F4433C" w:rsidRPr="00EC6714" w:rsidRDefault="00F4433C" w:rsidP="00153568">
                      <w:pPr>
                        <w:pStyle w:val="ListParagraph"/>
                        <w:numPr>
                          <w:ilvl w:val="0"/>
                          <w:numId w:val="12"/>
                        </w:numPr>
                        <w:spacing w:before="120"/>
                        <w:ind w:left="567" w:right="187" w:hanging="413"/>
                        <w:rPr>
                          <w:rFonts w:ascii="Segoe UI" w:hAnsi="Segoe UI" w:cs="Segoe UI"/>
                          <w:sz w:val="21"/>
                          <w:szCs w:val="21"/>
                        </w:rPr>
                      </w:pPr>
                      <w:r w:rsidRPr="00EC6714">
                        <w:rPr>
                          <w:rFonts w:ascii="Segoe UI" w:hAnsi="Segoe UI" w:cs="Segoe UI"/>
                          <w:sz w:val="21"/>
                          <w:szCs w:val="21"/>
                        </w:rPr>
                        <w:t>Road 2 is a rough, seldom-used 4WD track, mostly through steep native bush. It is unusable in winter due to mud</w:t>
                      </w:r>
                      <w:r>
                        <w:rPr>
                          <w:rFonts w:ascii="Segoe UI" w:hAnsi="Segoe UI" w:cs="Segoe UI"/>
                          <w:sz w:val="21"/>
                          <w:szCs w:val="21"/>
                        </w:rPr>
                        <w:t>.</w:t>
                      </w:r>
                    </w:p>
                    <w:p w14:paraId="09263DC0" w14:textId="2276E042" w:rsidR="00F4433C" w:rsidRDefault="00F4433C" w:rsidP="00153568">
                      <w:pPr>
                        <w:pStyle w:val="ListParagraph"/>
                        <w:numPr>
                          <w:ilvl w:val="0"/>
                          <w:numId w:val="12"/>
                        </w:numPr>
                        <w:spacing w:before="120"/>
                        <w:ind w:left="567" w:right="187" w:hanging="413"/>
                        <w:rPr>
                          <w:rFonts w:ascii="Segoe UI" w:hAnsi="Segoe UI" w:cs="Segoe UI"/>
                          <w:sz w:val="21"/>
                          <w:szCs w:val="21"/>
                        </w:rPr>
                      </w:pPr>
                      <w:r w:rsidRPr="002B797C">
                        <w:rPr>
                          <w:rFonts w:ascii="Segoe UI" w:hAnsi="Segoe UI" w:cs="Segoe UI"/>
                          <w:sz w:val="21"/>
                          <w:szCs w:val="21"/>
                        </w:rPr>
                        <w:t>Road 3 is a well-formed track and popular route for hunters accessing the native bush</w:t>
                      </w:r>
                      <w:r>
                        <w:rPr>
                          <w:rFonts w:ascii="Segoe UI" w:hAnsi="Segoe UI" w:cs="Segoe UI"/>
                          <w:sz w:val="21"/>
                          <w:szCs w:val="21"/>
                        </w:rPr>
                        <w:t>.</w:t>
                      </w:r>
                      <w:r w:rsidRPr="006E3E4F">
                        <w:rPr>
                          <w:rFonts w:ascii="Segoe UI" w:hAnsi="Segoe UI" w:cs="Segoe UI"/>
                          <w:sz w:val="21"/>
                          <w:szCs w:val="21"/>
                        </w:rPr>
                        <w:t xml:space="preserve"> </w:t>
                      </w:r>
                    </w:p>
                    <w:p w14:paraId="76B24576" w14:textId="00559316" w:rsidR="00F4433C" w:rsidRPr="00EC6714" w:rsidRDefault="00F4433C" w:rsidP="00153568">
                      <w:pPr>
                        <w:pStyle w:val="ListParagraph"/>
                        <w:numPr>
                          <w:ilvl w:val="0"/>
                          <w:numId w:val="12"/>
                        </w:numPr>
                        <w:spacing w:before="120"/>
                        <w:ind w:left="567" w:right="187" w:hanging="413"/>
                        <w:rPr>
                          <w:rFonts w:ascii="Segoe UI" w:hAnsi="Segoe UI" w:cs="Segoe UI"/>
                          <w:sz w:val="21"/>
                          <w:szCs w:val="21"/>
                        </w:rPr>
                      </w:pPr>
                      <w:r w:rsidRPr="00EC6714">
                        <w:rPr>
                          <w:rFonts w:ascii="Segoe UI" w:hAnsi="Segoe UI" w:cs="Segoe UI"/>
                          <w:sz w:val="21"/>
                          <w:szCs w:val="21"/>
                        </w:rPr>
                        <w:t xml:space="preserve">Roads 4 and 5 are seldom-used commercial forestry tracks with lockable gates at their access points. </w:t>
                      </w:r>
                      <w:r>
                        <w:rPr>
                          <w:rFonts w:ascii="Segoe UI" w:hAnsi="Segoe UI" w:cs="Segoe UI"/>
                          <w:sz w:val="21"/>
                          <w:szCs w:val="21"/>
                        </w:rPr>
                        <w:t>The main</w:t>
                      </w:r>
                      <w:r w:rsidRPr="00EC6714">
                        <w:rPr>
                          <w:rFonts w:ascii="Segoe UI" w:hAnsi="Segoe UI" w:cs="Segoe UI"/>
                          <w:sz w:val="21"/>
                          <w:szCs w:val="21"/>
                        </w:rPr>
                        <w:t xml:space="preserve"> use of these roads </w:t>
                      </w:r>
                      <w:r>
                        <w:rPr>
                          <w:rFonts w:ascii="Segoe UI" w:hAnsi="Segoe UI" w:cs="Segoe UI"/>
                          <w:sz w:val="21"/>
                          <w:szCs w:val="21"/>
                        </w:rPr>
                        <w:t xml:space="preserve">is </w:t>
                      </w:r>
                      <w:r w:rsidRPr="00EC6714">
                        <w:rPr>
                          <w:rFonts w:ascii="Segoe UI" w:hAnsi="Segoe UI" w:cs="Segoe UI"/>
                          <w:sz w:val="21"/>
                          <w:szCs w:val="21"/>
                        </w:rPr>
                        <w:t xml:space="preserve">at weekends when local families </w:t>
                      </w:r>
                      <w:r>
                        <w:rPr>
                          <w:rFonts w:ascii="Segoe UI" w:hAnsi="Segoe UI" w:cs="Segoe UI"/>
                          <w:sz w:val="21"/>
                          <w:szCs w:val="21"/>
                        </w:rPr>
                        <w:t>collect</w:t>
                      </w:r>
                      <w:r w:rsidRPr="00EC6714">
                        <w:rPr>
                          <w:rFonts w:ascii="Segoe UI" w:hAnsi="Segoe UI" w:cs="Segoe UI"/>
                          <w:sz w:val="21"/>
                          <w:szCs w:val="21"/>
                        </w:rPr>
                        <w:t xml:space="preserve"> firewood.</w:t>
                      </w:r>
                    </w:p>
                    <w:p w14:paraId="61A4889D" w14:textId="0F5B01FA" w:rsidR="00F4433C" w:rsidRPr="006E3E4F" w:rsidRDefault="00F4433C" w:rsidP="006E3E4F">
                      <w:pPr>
                        <w:spacing w:before="120"/>
                        <w:ind w:left="142" w:right="187"/>
                        <w:rPr>
                          <w:szCs w:val="21"/>
                        </w:rPr>
                      </w:pPr>
                      <w:r w:rsidRPr="00EC6714">
                        <w:rPr>
                          <w:szCs w:val="21"/>
                        </w:rPr>
                        <w:t>The applicant clarifies that it is not practical to clear the 45 km of roads within 24 hours, that</w:t>
                      </w:r>
                      <w:r>
                        <w:rPr>
                          <w:szCs w:val="21"/>
                        </w:rPr>
                        <w:t xml:space="preserve"> at most about 20 km</w:t>
                      </w:r>
                      <w:r w:rsidRPr="00EC6714">
                        <w:rPr>
                          <w:szCs w:val="21"/>
                        </w:rPr>
                        <w:t xml:space="preserve"> could be cleared </w:t>
                      </w:r>
                      <w:r>
                        <w:rPr>
                          <w:szCs w:val="21"/>
                        </w:rPr>
                        <w:t>in this timeframe</w:t>
                      </w:r>
                      <w:r w:rsidRPr="00EC6714">
                        <w:rPr>
                          <w:szCs w:val="21"/>
                        </w:rPr>
                        <w:t xml:space="preserve">, </w:t>
                      </w:r>
                      <w:r w:rsidRPr="00E11975">
                        <w:rPr>
                          <w:szCs w:val="21"/>
                        </w:rPr>
                        <w:t>and that there will be a significant loss of efficacy if exclusions are required on all roads.</w:t>
                      </w:r>
                    </w:p>
                  </w:txbxContent>
                </v:textbox>
                <w10:wrap type="square" anchorx="margin"/>
              </v:shape>
            </w:pict>
          </mc:Fallback>
        </mc:AlternateContent>
      </w:r>
    </w:p>
    <w:p w14:paraId="3BC7FC2F" w14:textId="1C89DA93" w:rsidR="002B797C" w:rsidRPr="002B797C" w:rsidRDefault="002B797C" w:rsidP="002B797C"/>
    <w:tbl>
      <w:tblPr>
        <w:tblW w:w="8505"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3261"/>
        <w:gridCol w:w="1275"/>
        <w:gridCol w:w="3969"/>
      </w:tblGrid>
      <w:tr w:rsidR="00587C48" w:rsidRPr="00066863" w14:paraId="2E125F8C" w14:textId="77777777" w:rsidTr="00153568">
        <w:trPr>
          <w:cantSplit/>
          <w:tblHeader/>
        </w:trPr>
        <w:tc>
          <w:tcPr>
            <w:tcW w:w="3261" w:type="dxa"/>
            <w:tcBorders>
              <w:top w:val="nil"/>
              <w:bottom w:val="nil"/>
              <w:right w:val="nil"/>
            </w:tcBorders>
            <w:shd w:val="clear" w:color="auto" w:fill="D9D9D9"/>
          </w:tcPr>
          <w:p w14:paraId="4BBD0739" w14:textId="77777777" w:rsidR="00587C48" w:rsidRPr="00066863" w:rsidRDefault="00587C48" w:rsidP="002B797C">
            <w:pPr>
              <w:pStyle w:val="TableText"/>
              <w:rPr>
                <w:b/>
                <w:szCs w:val="18"/>
              </w:rPr>
            </w:pPr>
            <w:r w:rsidRPr="00066863">
              <w:rPr>
                <w:b/>
                <w:szCs w:val="18"/>
              </w:rPr>
              <w:t xml:space="preserve">Model </w:t>
            </w:r>
            <w:r>
              <w:rPr>
                <w:b/>
                <w:szCs w:val="18"/>
              </w:rPr>
              <w:t>P</w:t>
            </w:r>
            <w:r w:rsidRPr="00066863">
              <w:rPr>
                <w:b/>
                <w:szCs w:val="18"/>
              </w:rPr>
              <w:t xml:space="preserve">ermit </w:t>
            </w:r>
            <w:r>
              <w:rPr>
                <w:b/>
                <w:szCs w:val="18"/>
              </w:rPr>
              <w:t>C</w:t>
            </w:r>
            <w:r w:rsidRPr="00066863">
              <w:rPr>
                <w:b/>
                <w:szCs w:val="18"/>
              </w:rPr>
              <w:t>ondition</w:t>
            </w:r>
          </w:p>
        </w:tc>
        <w:tc>
          <w:tcPr>
            <w:tcW w:w="1275" w:type="dxa"/>
            <w:tcBorders>
              <w:top w:val="nil"/>
              <w:left w:val="nil"/>
              <w:bottom w:val="nil"/>
              <w:right w:val="nil"/>
            </w:tcBorders>
            <w:shd w:val="clear" w:color="auto" w:fill="D9D9D9"/>
          </w:tcPr>
          <w:p w14:paraId="2DCAEE59" w14:textId="77777777" w:rsidR="00587C48" w:rsidRPr="00066863" w:rsidRDefault="00587C48" w:rsidP="002B797C">
            <w:pPr>
              <w:pStyle w:val="TableText"/>
              <w:jc w:val="center"/>
              <w:rPr>
                <w:b/>
                <w:szCs w:val="18"/>
              </w:rPr>
            </w:pPr>
            <w:r w:rsidRPr="00066863">
              <w:rPr>
                <w:b/>
                <w:szCs w:val="18"/>
              </w:rPr>
              <w:t>Applicable?</w:t>
            </w:r>
          </w:p>
        </w:tc>
        <w:tc>
          <w:tcPr>
            <w:tcW w:w="3969" w:type="dxa"/>
            <w:tcBorders>
              <w:top w:val="nil"/>
              <w:left w:val="nil"/>
              <w:bottom w:val="nil"/>
            </w:tcBorders>
            <w:shd w:val="clear" w:color="auto" w:fill="D9D9D9"/>
          </w:tcPr>
          <w:p w14:paraId="5D26A199" w14:textId="77777777" w:rsidR="00587C48" w:rsidRPr="00066863" w:rsidRDefault="00587C48" w:rsidP="002B797C">
            <w:pPr>
              <w:pStyle w:val="TableText"/>
              <w:jc w:val="center"/>
              <w:rPr>
                <w:b/>
                <w:szCs w:val="18"/>
              </w:rPr>
            </w:pPr>
            <w:r w:rsidRPr="00066863">
              <w:rPr>
                <w:b/>
                <w:szCs w:val="18"/>
              </w:rPr>
              <w:t>Modification</w:t>
            </w:r>
          </w:p>
        </w:tc>
      </w:tr>
      <w:tr w:rsidR="00587C48" w:rsidRPr="00066863" w14:paraId="59B62A72" w14:textId="77777777" w:rsidTr="00153568">
        <w:trPr>
          <w:cantSplit/>
        </w:trPr>
        <w:tc>
          <w:tcPr>
            <w:tcW w:w="3261" w:type="dxa"/>
            <w:tcBorders>
              <w:top w:val="nil"/>
            </w:tcBorders>
            <w:shd w:val="clear" w:color="auto" w:fill="auto"/>
          </w:tcPr>
          <w:p w14:paraId="11E84618" w14:textId="446C53A7" w:rsidR="00587C48" w:rsidRPr="00066863" w:rsidRDefault="00587C48" w:rsidP="002B797C">
            <w:pPr>
              <w:pStyle w:val="TableText"/>
              <w:rPr>
                <w:szCs w:val="18"/>
              </w:rPr>
            </w:pPr>
            <w:r w:rsidRPr="00066863">
              <w:rPr>
                <w:szCs w:val="18"/>
              </w:rPr>
              <w:t xml:space="preserve">Conditions </w:t>
            </w:r>
            <w:r w:rsidRPr="00C034C9">
              <w:rPr>
                <w:szCs w:val="18"/>
              </w:rPr>
              <w:t>1–</w:t>
            </w:r>
            <w:r w:rsidR="006E3E4F">
              <w:rPr>
                <w:szCs w:val="18"/>
              </w:rPr>
              <w:t>5</w:t>
            </w:r>
          </w:p>
        </w:tc>
        <w:tc>
          <w:tcPr>
            <w:tcW w:w="1275" w:type="dxa"/>
            <w:tcBorders>
              <w:top w:val="nil"/>
            </w:tcBorders>
            <w:shd w:val="clear" w:color="auto" w:fill="auto"/>
          </w:tcPr>
          <w:p w14:paraId="16D5BE18" w14:textId="77777777" w:rsidR="00587C48" w:rsidRPr="00066863" w:rsidRDefault="00587C48" w:rsidP="002B797C">
            <w:pPr>
              <w:pStyle w:val="TableText"/>
              <w:jc w:val="center"/>
              <w:rPr>
                <w:szCs w:val="18"/>
              </w:rPr>
            </w:pPr>
            <w:r w:rsidRPr="00066863">
              <w:rPr>
                <w:rFonts w:ascii="Wingdings" w:eastAsia="Wingdings" w:hAnsi="Wingdings" w:cs="Wingdings"/>
                <w:szCs w:val="18"/>
              </w:rPr>
              <w:sym w:font="Wingdings" w:char="F0FC"/>
            </w:r>
          </w:p>
        </w:tc>
        <w:tc>
          <w:tcPr>
            <w:tcW w:w="3969" w:type="dxa"/>
            <w:tcBorders>
              <w:top w:val="nil"/>
            </w:tcBorders>
            <w:shd w:val="clear" w:color="auto" w:fill="auto"/>
          </w:tcPr>
          <w:p w14:paraId="20EA5B1D" w14:textId="77777777" w:rsidR="00587C48" w:rsidRPr="00066863" w:rsidRDefault="00587C48" w:rsidP="00DB3BE2">
            <w:pPr>
              <w:pStyle w:val="TableText"/>
              <w:rPr>
                <w:szCs w:val="18"/>
              </w:rPr>
            </w:pPr>
            <w:r w:rsidRPr="00066863">
              <w:rPr>
                <w:szCs w:val="18"/>
              </w:rPr>
              <w:t>[Not covered in this example]</w:t>
            </w:r>
          </w:p>
        </w:tc>
      </w:tr>
      <w:tr w:rsidR="00587C48" w:rsidRPr="00D22029" w14:paraId="08D09393" w14:textId="77777777" w:rsidTr="006E3E4F">
        <w:trPr>
          <w:cantSplit/>
        </w:trPr>
        <w:tc>
          <w:tcPr>
            <w:tcW w:w="3261" w:type="dxa"/>
            <w:shd w:val="clear" w:color="auto" w:fill="auto"/>
          </w:tcPr>
          <w:p w14:paraId="1704CA45" w14:textId="76CA14C9" w:rsidR="00587C48" w:rsidRPr="00153568" w:rsidRDefault="00EC60AE" w:rsidP="00153568">
            <w:pPr>
              <w:pStyle w:val="TableText"/>
              <w:rPr>
                <w:b/>
                <w:bCs/>
              </w:rPr>
            </w:pPr>
            <w:r w:rsidRPr="00153568">
              <w:rPr>
                <w:b/>
                <w:bCs/>
              </w:rPr>
              <w:t>Areas where a risk to public health may be created</w:t>
            </w:r>
          </w:p>
        </w:tc>
        <w:tc>
          <w:tcPr>
            <w:tcW w:w="1275" w:type="dxa"/>
            <w:shd w:val="clear" w:color="auto" w:fill="auto"/>
          </w:tcPr>
          <w:p w14:paraId="2DD0680C" w14:textId="77777777" w:rsidR="00587C48" w:rsidRPr="00D22029" w:rsidRDefault="00587C48" w:rsidP="002B797C">
            <w:pPr>
              <w:pStyle w:val="TableText"/>
              <w:jc w:val="center"/>
              <w:rPr>
                <w:szCs w:val="18"/>
              </w:rPr>
            </w:pPr>
          </w:p>
        </w:tc>
        <w:tc>
          <w:tcPr>
            <w:tcW w:w="3969" w:type="dxa"/>
            <w:shd w:val="clear" w:color="auto" w:fill="auto"/>
          </w:tcPr>
          <w:p w14:paraId="2F3469EE" w14:textId="77777777" w:rsidR="00587C48" w:rsidRPr="00D22029" w:rsidRDefault="00587C48" w:rsidP="00DB3BE2">
            <w:pPr>
              <w:pStyle w:val="TableText"/>
              <w:rPr>
                <w:szCs w:val="18"/>
              </w:rPr>
            </w:pPr>
          </w:p>
        </w:tc>
      </w:tr>
      <w:tr w:rsidR="00587C48" w:rsidRPr="00D22029" w14:paraId="4CB8888D" w14:textId="77777777" w:rsidTr="006E3E4F">
        <w:trPr>
          <w:cantSplit/>
        </w:trPr>
        <w:tc>
          <w:tcPr>
            <w:tcW w:w="3261" w:type="dxa"/>
            <w:shd w:val="clear" w:color="auto" w:fill="auto"/>
          </w:tcPr>
          <w:p w14:paraId="44BA2626" w14:textId="0F76A71D" w:rsidR="00587C48" w:rsidRPr="00D22029" w:rsidRDefault="00587C48" w:rsidP="002B797C">
            <w:pPr>
              <w:pStyle w:val="TableText"/>
              <w:rPr>
                <w:szCs w:val="18"/>
              </w:rPr>
            </w:pPr>
            <w:r w:rsidRPr="00D22029">
              <w:rPr>
                <w:szCs w:val="18"/>
              </w:rPr>
              <w:t xml:space="preserve">Condition </w:t>
            </w:r>
            <w:r w:rsidR="0043501D" w:rsidRPr="00D22029">
              <w:rPr>
                <w:szCs w:val="18"/>
              </w:rPr>
              <w:t>6</w:t>
            </w:r>
          </w:p>
        </w:tc>
        <w:tc>
          <w:tcPr>
            <w:tcW w:w="1275" w:type="dxa"/>
            <w:shd w:val="clear" w:color="auto" w:fill="auto"/>
          </w:tcPr>
          <w:p w14:paraId="34565F0A" w14:textId="77777777" w:rsidR="00587C48" w:rsidRPr="00D22029" w:rsidRDefault="00587C48" w:rsidP="002B797C">
            <w:pPr>
              <w:pStyle w:val="TableText"/>
              <w:jc w:val="center"/>
              <w:rPr>
                <w:szCs w:val="18"/>
              </w:rPr>
            </w:pPr>
            <w:r w:rsidRPr="00D22029">
              <w:rPr>
                <w:rFonts w:ascii="Wingdings" w:eastAsia="Wingdings" w:hAnsi="Wingdings" w:cs="Wingdings"/>
                <w:szCs w:val="18"/>
              </w:rPr>
              <w:sym w:font="Wingdings" w:char="F0FC"/>
            </w:r>
          </w:p>
        </w:tc>
        <w:tc>
          <w:tcPr>
            <w:tcW w:w="3969" w:type="dxa"/>
            <w:shd w:val="clear" w:color="auto" w:fill="auto"/>
          </w:tcPr>
          <w:p w14:paraId="452B3149" w14:textId="02F3C41F" w:rsidR="00587C48" w:rsidRPr="00D22029" w:rsidRDefault="00E11975" w:rsidP="00DB3BE2">
            <w:pPr>
              <w:pStyle w:val="TableText"/>
              <w:keepNext/>
              <w:rPr>
                <w:szCs w:val="18"/>
              </w:rPr>
            </w:pPr>
            <w:r w:rsidRPr="00D22029">
              <w:rPr>
                <w:szCs w:val="18"/>
              </w:rPr>
              <w:t>Baits may not be laid or applied within 20 m</w:t>
            </w:r>
            <w:r w:rsidR="00D0161E">
              <w:rPr>
                <w:szCs w:val="18"/>
              </w:rPr>
              <w:t xml:space="preserve"> of</w:t>
            </w:r>
            <w:r w:rsidRPr="00D22029">
              <w:rPr>
                <w:szCs w:val="18"/>
              </w:rPr>
              <w:t xml:space="preserve"> either side of roads 1 and 3.</w:t>
            </w:r>
            <w:r w:rsidRPr="00D22029">
              <w:rPr>
                <w:szCs w:val="18"/>
                <w:lang w:eastAsia="en-NZ"/>
              </w:rPr>
              <w:t xml:space="preserve"> </w:t>
            </w:r>
            <w:r w:rsidR="006E3E4F" w:rsidRPr="00D22029">
              <w:rPr>
                <w:szCs w:val="18"/>
              </w:rPr>
              <w:t xml:space="preserve">Vehicle access </w:t>
            </w:r>
            <w:r w:rsidRPr="00D22029">
              <w:rPr>
                <w:szCs w:val="18"/>
              </w:rPr>
              <w:t xml:space="preserve">to roads 4 and 5 </w:t>
            </w:r>
            <w:r w:rsidR="006E3E4F" w:rsidRPr="00D22029">
              <w:rPr>
                <w:szCs w:val="18"/>
              </w:rPr>
              <w:t>will be prevented by locked gates and/or temporary barriers at all access points</w:t>
            </w:r>
            <w:r w:rsidR="00D0161E">
              <w:rPr>
                <w:szCs w:val="18"/>
              </w:rPr>
              <w:t>,</w:t>
            </w:r>
            <w:r w:rsidR="006E3E4F" w:rsidRPr="00D22029">
              <w:rPr>
                <w:szCs w:val="18"/>
              </w:rPr>
              <w:t xml:space="preserve"> </w:t>
            </w:r>
            <w:r w:rsidR="00D0161E">
              <w:rPr>
                <w:szCs w:val="18"/>
              </w:rPr>
              <w:t xml:space="preserve">where </w:t>
            </w:r>
            <w:r w:rsidR="006E3E4F" w:rsidRPr="00D22029">
              <w:rPr>
                <w:szCs w:val="18"/>
              </w:rPr>
              <w:t xml:space="preserve">warning signs </w:t>
            </w:r>
            <w:r w:rsidR="00D0161E">
              <w:rPr>
                <w:szCs w:val="18"/>
              </w:rPr>
              <w:t xml:space="preserve">will </w:t>
            </w:r>
            <w:r w:rsidR="006E3E4F" w:rsidRPr="00D22029">
              <w:rPr>
                <w:szCs w:val="18"/>
              </w:rPr>
              <w:t>advis</w:t>
            </w:r>
            <w:r w:rsidR="00D0161E">
              <w:rPr>
                <w:szCs w:val="18"/>
              </w:rPr>
              <w:t>e</w:t>
            </w:r>
            <w:r w:rsidR="006E3E4F" w:rsidRPr="00D22029">
              <w:rPr>
                <w:szCs w:val="18"/>
              </w:rPr>
              <w:t xml:space="preserve"> access is prohibited. </w:t>
            </w:r>
          </w:p>
          <w:p w14:paraId="7088D74D" w14:textId="48B22ED9" w:rsidR="00DC3565" w:rsidRPr="00D22029" w:rsidRDefault="00DC3565" w:rsidP="00DB3BE2">
            <w:pPr>
              <w:pStyle w:val="TableText"/>
              <w:keepNext/>
              <w:rPr>
                <w:szCs w:val="18"/>
              </w:rPr>
            </w:pPr>
            <w:r w:rsidRPr="00D22029">
              <w:rPr>
                <w:szCs w:val="18"/>
                <w:lang w:eastAsia="en-NZ"/>
              </w:rPr>
              <w:t xml:space="preserve">Starting within 24 hours of the toxic bait application, make reasonable efforts to find and remove all bait, and any animal carcasses found, </w:t>
            </w:r>
            <w:r w:rsidR="008902C8" w:rsidRPr="00D22029">
              <w:rPr>
                <w:szCs w:val="18"/>
                <w:lang w:eastAsia="en-NZ"/>
              </w:rPr>
              <w:t xml:space="preserve">within 20 m </w:t>
            </w:r>
            <w:r w:rsidR="001D735F">
              <w:rPr>
                <w:szCs w:val="18"/>
                <w:lang w:eastAsia="en-NZ"/>
              </w:rPr>
              <w:t xml:space="preserve">of </w:t>
            </w:r>
            <w:r w:rsidRPr="00D22029">
              <w:rPr>
                <w:szCs w:val="18"/>
              </w:rPr>
              <w:t>either side of roads 1 and 3.</w:t>
            </w:r>
          </w:p>
        </w:tc>
      </w:tr>
      <w:tr w:rsidR="00EB7763" w:rsidRPr="00D22029" w14:paraId="484F0745" w14:textId="77777777" w:rsidTr="006E3E4F">
        <w:trPr>
          <w:cantSplit/>
        </w:trPr>
        <w:tc>
          <w:tcPr>
            <w:tcW w:w="3261" w:type="dxa"/>
            <w:shd w:val="clear" w:color="auto" w:fill="auto"/>
          </w:tcPr>
          <w:p w14:paraId="5A0F3A70" w14:textId="0F317E94" w:rsidR="00EB7763" w:rsidRPr="00D22029" w:rsidRDefault="00EB7763" w:rsidP="002B797C">
            <w:pPr>
              <w:pStyle w:val="TableText"/>
              <w:rPr>
                <w:szCs w:val="18"/>
              </w:rPr>
            </w:pPr>
            <w:r w:rsidRPr="00D22029">
              <w:rPr>
                <w:szCs w:val="18"/>
              </w:rPr>
              <w:t>Condition 7</w:t>
            </w:r>
          </w:p>
        </w:tc>
        <w:tc>
          <w:tcPr>
            <w:tcW w:w="1275" w:type="dxa"/>
            <w:shd w:val="clear" w:color="auto" w:fill="auto"/>
          </w:tcPr>
          <w:p w14:paraId="1541C563" w14:textId="66699D28" w:rsidR="00EB7763" w:rsidRPr="00D22029" w:rsidRDefault="008902C8" w:rsidP="002B797C">
            <w:pPr>
              <w:pStyle w:val="TableText"/>
              <w:jc w:val="center"/>
              <w:rPr>
                <w:rFonts w:eastAsia="Wingdings" w:cs="Segoe UI"/>
                <w:szCs w:val="18"/>
              </w:rPr>
            </w:pPr>
            <w:r w:rsidRPr="00D22029">
              <w:rPr>
                <w:rFonts w:eastAsia="Wingdings" w:cs="Segoe UI"/>
                <w:szCs w:val="18"/>
              </w:rPr>
              <w:t>No</w:t>
            </w:r>
          </w:p>
        </w:tc>
        <w:tc>
          <w:tcPr>
            <w:tcW w:w="3969" w:type="dxa"/>
            <w:shd w:val="clear" w:color="auto" w:fill="auto"/>
          </w:tcPr>
          <w:p w14:paraId="173E339F" w14:textId="1CC44940" w:rsidR="00EB7763" w:rsidRPr="00D22029" w:rsidRDefault="008902C8" w:rsidP="00DB3BE2">
            <w:pPr>
              <w:pStyle w:val="TableText"/>
              <w:rPr>
                <w:szCs w:val="18"/>
              </w:rPr>
            </w:pPr>
            <w:r w:rsidRPr="00D22029">
              <w:rPr>
                <w:szCs w:val="18"/>
                <w:lang w:eastAsia="en-NZ"/>
              </w:rPr>
              <w:t>Not required</w:t>
            </w:r>
          </w:p>
        </w:tc>
      </w:tr>
      <w:tr w:rsidR="00BC2629" w:rsidRPr="00D22029" w14:paraId="42FF07EF" w14:textId="77777777" w:rsidTr="006E3E4F">
        <w:trPr>
          <w:cantSplit/>
        </w:trPr>
        <w:tc>
          <w:tcPr>
            <w:tcW w:w="3261" w:type="dxa"/>
            <w:shd w:val="clear" w:color="auto" w:fill="auto"/>
          </w:tcPr>
          <w:p w14:paraId="636F59BD" w14:textId="5561F640" w:rsidR="00BC2629" w:rsidRPr="00D22029" w:rsidRDefault="00BC2629" w:rsidP="00DC3565">
            <w:pPr>
              <w:pStyle w:val="TableText"/>
              <w:rPr>
                <w:szCs w:val="18"/>
              </w:rPr>
            </w:pPr>
            <w:r w:rsidRPr="00D22029">
              <w:rPr>
                <w:b/>
                <w:bCs/>
                <w:szCs w:val="18"/>
              </w:rPr>
              <w:t>Protection of drinking water catchments</w:t>
            </w:r>
          </w:p>
        </w:tc>
        <w:tc>
          <w:tcPr>
            <w:tcW w:w="1275" w:type="dxa"/>
            <w:shd w:val="clear" w:color="auto" w:fill="auto"/>
          </w:tcPr>
          <w:p w14:paraId="41D29026" w14:textId="66E7AD83" w:rsidR="00BC2629" w:rsidRPr="00D22029" w:rsidRDefault="00BC2629" w:rsidP="00DC3565">
            <w:pPr>
              <w:pStyle w:val="TableText"/>
              <w:jc w:val="center"/>
              <w:rPr>
                <w:rFonts w:ascii="Wingdings" w:eastAsia="Wingdings" w:hAnsi="Wingdings" w:cs="Wingdings"/>
                <w:szCs w:val="18"/>
              </w:rPr>
            </w:pPr>
          </w:p>
        </w:tc>
        <w:tc>
          <w:tcPr>
            <w:tcW w:w="3969" w:type="dxa"/>
            <w:shd w:val="clear" w:color="auto" w:fill="auto"/>
          </w:tcPr>
          <w:p w14:paraId="45F0D3ED" w14:textId="5FF5771E" w:rsidR="00BC2629" w:rsidRPr="00D22029" w:rsidRDefault="00BC2629" w:rsidP="00DB3BE2">
            <w:pPr>
              <w:pStyle w:val="TableText"/>
              <w:rPr>
                <w:szCs w:val="18"/>
                <w:lang w:eastAsia="en-NZ"/>
              </w:rPr>
            </w:pPr>
          </w:p>
        </w:tc>
      </w:tr>
      <w:tr w:rsidR="00BC2629" w:rsidRPr="00D22029" w14:paraId="79C6A203" w14:textId="77777777" w:rsidTr="006E3E4F">
        <w:trPr>
          <w:cantSplit/>
        </w:trPr>
        <w:tc>
          <w:tcPr>
            <w:tcW w:w="3261" w:type="dxa"/>
            <w:shd w:val="clear" w:color="auto" w:fill="auto"/>
          </w:tcPr>
          <w:p w14:paraId="631CAA3B" w14:textId="30908AFC" w:rsidR="00BC2629" w:rsidRPr="00D22029" w:rsidRDefault="00BC2629" w:rsidP="00DC3565">
            <w:pPr>
              <w:pStyle w:val="TableText"/>
              <w:rPr>
                <w:szCs w:val="18"/>
              </w:rPr>
            </w:pPr>
            <w:r w:rsidRPr="00D22029">
              <w:rPr>
                <w:szCs w:val="18"/>
              </w:rPr>
              <w:t>Condition 8</w:t>
            </w:r>
          </w:p>
        </w:tc>
        <w:tc>
          <w:tcPr>
            <w:tcW w:w="1275" w:type="dxa"/>
            <w:shd w:val="clear" w:color="auto" w:fill="auto"/>
          </w:tcPr>
          <w:p w14:paraId="5DBB8448" w14:textId="3362A9F5" w:rsidR="00BC2629" w:rsidRPr="00D22029" w:rsidRDefault="00FC6059" w:rsidP="00DC3565">
            <w:pPr>
              <w:pStyle w:val="TableText"/>
              <w:jc w:val="center"/>
              <w:rPr>
                <w:rFonts w:ascii="Wingdings" w:eastAsia="Wingdings" w:hAnsi="Wingdings" w:cs="Wingdings"/>
                <w:szCs w:val="18"/>
              </w:rPr>
            </w:pPr>
            <w:r w:rsidRPr="00D22029">
              <w:rPr>
                <w:rFonts w:eastAsia="Wingdings" w:cs="Segoe UI"/>
                <w:szCs w:val="18"/>
              </w:rPr>
              <w:t>No</w:t>
            </w:r>
          </w:p>
        </w:tc>
        <w:tc>
          <w:tcPr>
            <w:tcW w:w="3969" w:type="dxa"/>
            <w:shd w:val="clear" w:color="auto" w:fill="auto"/>
          </w:tcPr>
          <w:p w14:paraId="7DCE98BE" w14:textId="6B1EDE8A" w:rsidR="00BC2629" w:rsidRPr="00D22029" w:rsidRDefault="00BC2629" w:rsidP="00DB3BE2">
            <w:pPr>
              <w:pStyle w:val="TableText"/>
              <w:rPr>
                <w:szCs w:val="18"/>
              </w:rPr>
            </w:pPr>
            <w:r w:rsidRPr="00D22029">
              <w:rPr>
                <w:szCs w:val="18"/>
                <w:lang w:eastAsia="en-NZ"/>
              </w:rPr>
              <w:t xml:space="preserve">The risk assessment found no drinking water supplies </w:t>
            </w:r>
            <w:r>
              <w:rPr>
                <w:szCs w:val="18"/>
                <w:lang w:eastAsia="en-NZ"/>
              </w:rPr>
              <w:t xml:space="preserve">were </w:t>
            </w:r>
            <w:r w:rsidRPr="00D22029">
              <w:rPr>
                <w:szCs w:val="18"/>
                <w:lang w:eastAsia="en-NZ"/>
              </w:rPr>
              <w:t>in the operational area or within 400</w:t>
            </w:r>
            <w:r>
              <w:rPr>
                <w:szCs w:val="18"/>
                <w:lang w:eastAsia="en-NZ"/>
              </w:rPr>
              <w:t xml:space="preserve"> </w:t>
            </w:r>
            <w:r w:rsidRPr="00D22029">
              <w:rPr>
                <w:szCs w:val="18"/>
                <w:lang w:eastAsia="en-NZ"/>
              </w:rPr>
              <w:t>m downstream of the operational area</w:t>
            </w:r>
            <w:r>
              <w:rPr>
                <w:szCs w:val="18"/>
                <w:lang w:eastAsia="en-NZ"/>
              </w:rPr>
              <w:t>.</w:t>
            </w:r>
          </w:p>
        </w:tc>
      </w:tr>
    </w:tbl>
    <w:p w14:paraId="2CDA1149" w14:textId="77777777" w:rsidR="00587C48" w:rsidRPr="00003A4A" w:rsidRDefault="00587C48" w:rsidP="00587C48"/>
    <w:p w14:paraId="258BC90A" w14:textId="77777777" w:rsidR="006E3E4F" w:rsidRDefault="006E3E4F">
      <w:pPr>
        <w:rPr>
          <w:b/>
          <w:color w:val="0A6AB4"/>
          <w:spacing w:val="-5"/>
          <w:sz w:val="48"/>
        </w:rPr>
      </w:pPr>
      <w:bookmarkStart w:id="130" w:name="_Toc246225391"/>
      <w:bookmarkStart w:id="131" w:name="_Toc254615793"/>
      <w:bookmarkStart w:id="132" w:name="_Toc258328477"/>
      <w:bookmarkStart w:id="133" w:name="_Toc90633218"/>
      <w:r>
        <w:br w:type="page"/>
      </w:r>
    </w:p>
    <w:p w14:paraId="44D5EF57" w14:textId="6627F26A" w:rsidR="00587C48" w:rsidRPr="00003A4A" w:rsidRDefault="00587C48" w:rsidP="00587C48">
      <w:pPr>
        <w:pStyle w:val="Heading2"/>
      </w:pPr>
      <w:bookmarkStart w:id="134" w:name="_Toc109793298"/>
      <w:r w:rsidRPr="00003A4A">
        <w:t xml:space="preserve">Case </w:t>
      </w:r>
      <w:r>
        <w:t>s</w:t>
      </w:r>
      <w:r w:rsidRPr="00003A4A">
        <w:t xml:space="preserve">tudy </w:t>
      </w:r>
      <w:r>
        <w:t>2</w:t>
      </w:r>
      <w:r w:rsidRPr="00003A4A">
        <w:t>: Managing high-risk exclusions</w:t>
      </w:r>
      <w:bookmarkEnd w:id="130"/>
      <w:bookmarkEnd w:id="131"/>
      <w:bookmarkEnd w:id="132"/>
      <w:bookmarkEnd w:id="133"/>
      <w:bookmarkEnd w:id="134"/>
    </w:p>
    <w:p w14:paraId="5E4BC3EE" w14:textId="77777777" w:rsidR="00587C48" w:rsidRPr="00003A4A" w:rsidRDefault="00587C48" w:rsidP="00587C48">
      <w:r w:rsidRPr="00057E36">
        <w:rPr>
          <w:noProof/>
          <w:lang w:eastAsia="en-NZ"/>
        </w:rPr>
        <w:drawing>
          <wp:inline distT="0" distB="0" distL="0" distR="0" wp14:anchorId="60989485" wp14:editId="58869991">
            <wp:extent cx="5372100" cy="3419475"/>
            <wp:effectExtent l="0" t="0" r="0" b="9525"/>
            <wp:docPr id="29" name="Picture 29" descr="Map of Cape Foul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Cape Foulwin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2100" cy="3419475"/>
                    </a:xfrm>
                    <a:prstGeom prst="rect">
                      <a:avLst/>
                    </a:prstGeom>
                    <a:noFill/>
                    <a:ln>
                      <a:noFill/>
                    </a:ln>
                  </pic:spPr>
                </pic:pic>
              </a:graphicData>
            </a:graphic>
          </wp:inline>
        </w:drawing>
      </w:r>
    </w:p>
    <w:p w14:paraId="1BA86DCF" w14:textId="77777777" w:rsidR="00587C48" w:rsidRPr="00BF0FA0" w:rsidRDefault="00587C48" w:rsidP="00153568">
      <w:pPr>
        <w:pStyle w:val="Box"/>
        <w:pBdr>
          <w:right w:val="single" w:sz="4" w:space="31" w:color="auto"/>
        </w:pBdr>
        <w:rPr>
          <w:b/>
          <w:bCs/>
        </w:rPr>
      </w:pPr>
      <w:r w:rsidRPr="00BF0FA0">
        <w:rPr>
          <w:b/>
          <w:bCs/>
        </w:rPr>
        <w:t>Scenario</w:t>
      </w:r>
    </w:p>
    <w:p w14:paraId="27896AB4" w14:textId="77777777" w:rsidR="00587C48" w:rsidRPr="00713F09" w:rsidRDefault="00587C48" w:rsidP="00153568">
      <w:pPr>
        <w:pStyle w:val="Box"/>
        <w:pBdr>
          <w:right w:val="single" w:sz="4" w:space="31" w:color="auto"/>
        </w:pBdr>
      </w:pPr>
      <w:r w:rsidRPr="00713F09">
        <w:t>An applicant proposes a hand-laid possum control operation, using sodium cyanide paste in the Cape Foulwind area.</w:t>
      </w:r>
    </w:p>
    <w:p w14:paraId="5DCF4053" w14:textId="35122AE7" w:rsidR="00587C48" w:rsidRPr="00713F09" w:rsidRDefault="00587C48" w:rsidP="00153568">
      <w:pPr>
        <w:pStyle w:val="Box"/>
        <w:pBdr>
          <w:right w:val="single" w:sz="4" w:space="31" w:color="auto"/>
        </w:pBdr>
      </w:pPr>
      <w:r w:rsidRPr="00713F09">
        <w:t xml:space="preserve">The operational area is mostly rolling farmland but is traversed by the 4 km Cape Foulwind Walkway, which runs from the lighthouse at Cape Foulwind to the seal </w:t>
      </w:r>
      <w:r w:rsidR="006E3E4F">
        <w:t>colony</w:t>
      </w:r>
      <w:r w:rsidRPr="00713F09">
        <w:t xml:space="preserve"> near Tauranga Bay. Car parks are located at each end of the walkway and</w:t>
      </w:r>
      <w:r w:rsidR="00DB3F60">
        <w:t xml:space="preserve"> the public use both</w:t>
      </w:r>
      <w:r w:rsidRPr="00713F09">
        <w:t xml:space="preserve"> Limestone and Lighthouse roads to access the</w:t>
      </w:r>
      <w:r w:rsidR="00DB3F60">
        <w:t>m</w:t>
      </w:r>
      <w:r w:rsidRPr="00713F09">
        <w:t>.</w:t>
      </w:r>
    </w:p>
    <w:p w14:paraId="72E38E2F" w14:textId="2D84246D" w:rsidR="00587C48" w:rsidRPr="00713F09" w:rsidRDefault="00587C48" w:rsidP="00153568">
      <w:pPr>
        <w:pStyle w:val="Box"/>
        <w:pBdr>
          <w:right w:val="single" w:sz="4" w:space="31" w:color="auto"/>
        </w:pBdr>
      </w:pPr>
      <w:r w:rsidRPr="00713F09">
        <w:t>The seal colony attracts an estimated 80,000 to 100,000 visitors every year</w:t>
      </w:r>
      <w:r w:rsidR="00DB3F60">
        <w:t>.</w:t>
      </w:r>
      <w:r w:rsidRPr="00713F09">
        <w:t xml:space="preserve"> </w:t>
      </w:r>
      <w:r w:rsidR="00DB3F60">
        <w:t>M</w:t>
      </w:r>
      <w:r w:rsidRPr="00713F09">
        <w:t>any of these visitors walk all or part of the walkway</w:t>
      </w:r>
      <w:r w:rsidR="00DB3F60">
        <w:t>, and many</w:t>
      </w:r>
      <w:r w:rsidRPr="00713F09">
        <w:t xml:space="preserve"> are tourists or families with young children. The walkway passes through </w:t>
      </w:r>
      <w:r w:rsidR="00DB3F60">
        <w:t>rolling</w:t>
      </w:r>
      <w:r w:rsidR="00DB3F60" w:rsidRPr="00713F09">
        <w:t xml:space="preserve"> </w:t>
      </w:r>
      <w:r w:rsidRPr="00713F09">
        <w:t>farmland, with coastal cliffs on the seaward side.</w:t>
      </w:r>
    </w:p>
    <w:p w14:paraId="11459555" w14:textId="2F826E4D" w:rsidR="00587C48" w:rsidRPr="00713F09" w:rsidRDefault="00587C48" w:rsidP="00153568">
      <w:pPr>
        <w:pStyle w:val="Box"/>
        <w:pBdr>
          <w:right w:val="single" w:sz="4" w:space="31" w:color="auto"/>
        </w:pBdr>
      </w:pPr>
      <w:r w:rsidRPr="00713F09">
        <w:t>The track manager confirms that the walkway passes as close as 2–5 m to the edge of the coastal cliffs</w:t>
      </w:r>
      <w:r w:rsidR="00DB3F60">
        <w:t xml:space="preserve"> in places</w:t>
      </w:r>
      <w:r w:rsidRPr="00713F09">
        <w:t xml:space="preserve"> but that the cliffs are steep and inaccessible.</w:t>
      </w:r>
    </w:p>
    <w:p w14:paraId="6DB79A08" w14:textId="77777777" w:rsidR="00DB3BE2" w:rsidRDefault="00DB3BE2" w:rsidP="00587C48">
      <w:pPr>
        <w:sectPr w:rsidR="00DB3BE2" w:rsidSect="00587C48">
          <w:pgSz w:w="11907" w:h="16834" w:code="9"/>
          <w:pgMar w:top="1418" w:right="1701" w:bottom="1134" w:left="1843" w:header="284" w:footer="425" w:gutter="284"/>
          <w:cols w:space="720"/>
        </w:sectPr>
      </w:pPr>
    </w:p>
    <w:tbl>
      <w:tblPr>
        <w:tblW w:w="8505"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3080"/>
        <w:gridCol w:w="1173"/>
        <w:gridCol w:w="4252"/>
      </w:tblGrid>
      <w:tr w:rsidR="00587C48" w:rsidRPr="004235D5" w14:paraId="276A3AD3" w14:textId="77777777" w:rsidTr="00BF0FA0">
        <w:trPr>
          <w:cantSplit/>
          <w:tblHeader/>
        </w:trPr>
        <w:tc>
          <w:tcPr>
            <w:tcW w:w="3080" w:type="dxa"/>
            <w:shd w:val="clear" w:color="auto" w:fill="D9D9D9"/>
          </w:tcPr>
          <w:p w14:paraId="57191982" w14:textId="77777777" w:rsidR="00587C48" w:rsidRPr="004235D5" w:rsidRDefault="00587C48" w:rsidP="002E12FB">
            <w:pPr>
              <w:pStyle w:val="TableText"/>
              <w:rPr>
                <w:b/>
                <w:szCs w:val="18"/>
              </w:rPr>
            </w:pPr>
            <w:r w:rsidRPr="004235D5">
              <w:rPr>
                <w:b/>
                <w:szCs w:val="18"/>
              </w:rPr>
              <w:t xml:space="preserve">Model </w:t>
            </w:r>
            <w:r>
              <w:rPr>
                <w:b/>
                <w:szCs w:val="18"/>
              </w:rPr>
              <w:t>P</w:t>
            </w:r>
            <w:r w:rsidRPr="004235D5">
              <w:rPr>
                <w:b/>
                <w:szCs w:val="18"/>
              </w:rPr>
              <w:t xml:space="preserve">ermit </w:t>
            </w:r>
            <w:r>
              <w:rPr>
                <w:b/>
                <w:szCs w:val="18"/>
              </w:rPr>
              <w:t>C</w:t>
            </w:r>
            <w:r w:rsidRPr="004235D5">
              <w:rPr>
                <w:b/>
                <w:szCs w:val="18"/>
              </w:rPr>
              <w:t>ondition</w:t>
            </w:r>
          </w:p>
        </w:tc>
        <w:tc>
          <w:tcPr>
            <w:tcW w:w="1173" w:type="dxa"/>
            <w:shd w:val="clear" w:color="auto" w:fill="D9D9D9"/>
          </w:tcPr>
          <w:p w14:paraId="78F48051" w14:textId="77777777" w:rsidR="00587C48" w:rsidRPr="004235D5" w:rsidRDefault="00587C48" w:rsidP="002E12FB">
            <w:pPr>
              <w:pStyle w:val="TableText"/>
              <w:jc w:val="center"/>
              <w:rPr>
                <w:b/>
                <w:szCs w:val="18"/>
              </w:rPr>
            </w:pPr>
            <w:r w:rsidRPr="004235D5">
              <w:rPr>
                <w:b/>
                <w:szCs w:val="18"/>
              </w:rPr>
              <w:t>Applicable?</w:t>
            </w:r>
          </w:p>
        </w:tc>
        <w:tc>
          <w:tcPr>
            <w:tcW w:w="4252" w:type="dxa"/>
            <w:shd w:val="clear" w:color="auto" w:fill="D9D9D9"/>
          </w:tcPr>
          <w:p w14:paraId="56EB9970" w14:textId="77777777" w:rsidR="00587C48" w:rsidRPr="004235D5" w:rsidRDefault="00587C48" w:rsidP="002E12FB">
            <w:pPr>
              <w:pStyle w:val="TableText"/>
              <w:jc w:val="center"/>
              <w:rPr>
                <w:b/>
                <w:szCs w:val="18"/>
              </w:rPr>
            </w:pPr>
            <w:r w:rsidRPr="004235D5">
              <w:rPr>
                <w:b/>
                <w:szCs w:val="18"/>
              </w:rPr>
              <w:t>Modification</w:t>
            </w:r>
          </w:p>
        </w:tc>
      </w:tr>
      <w:tr w:rsidR="00587C48" w:rsidRPr="004235D5" w14:paraId="0A67F927" w14:textId="77777777" w:rsidTr="00BF0FA0">
        <w:trPr>
          <w:cantSplit/>
        </w:trPr>
        <w:tc>
          <w:tcPr>
            <w:tcW w:w="3080" w:type="dxa"/>
            <w:shd w:val="clear" w:color="auto" w:fill="auto"/>
          </w:tcPr>
          <w:p w14:paraId="315F8207" w14:textId="74B89147" w:rsidR="00587C48" w:rsidRPr="004235D5" w:rsidRDefault="00587C48" w:rsidP="002E12FB">
            <w:pPr>
              <w:pStyle w:val="TableText"/>
              <w:rPr>
                <w:szCs w:val="18"/>
              </w:rPr>
            </w:pPr>
            <w:r w:rsidRPr="004235D5">
              <w:rPr>
                <w:szCs w:val="18"/>
              </w:rPr>
              <w:t>Conditions 1–</w:t>
            </w:r>
            <w:r w:rsidR="006E3E4F">
              <w:rPr>
                <w:szCs w:val="18"/>
              </w:rPr>
              <w:t>5</w:t>
            </w:r>
          </w:p>
        </w:tc>
        <w:tc>
          <w:tcPr>
            <w:tcW w:w="1173" w:type="dxa"/>
            <w:shd w:val="clear" w:color="auto" w:fill="auto"/>
          </w:tcPr>
          <w:p w14:paraId="380C040F" w14:textId="77777777" w:rsidR="00587C48" w:rsidRPr="004235D5" w:rsidRDefault="00587C48" w:rsidP="002E12FB">
            <w:pPr>
              <w:pStyle w:val="TableText"/>
              <w:jc w:val="center"/>
              <w:rPr>
                <w:szCs w:val="18"/>
              </w:rPr>
            </w:pPr>
            <w:r w:rsidRPr="004235D5">
              <w:rPr>
                <w:rFonts w:ascii="Wingdings" w:eastAsia="Wingdings" w:hAnsi="Wingdings" w:cs="Wingdings"/>
                <w:szCs w:val="18"/>
              </w:rPr>
              <w:sym w:font="Wingdings" w:char="F0FC"/>
            </w:r>
          </w:p>
        </w:tc>
        <w:tc>
          <w:tcPr>
            <w:tcW w:w="4252" w:type="dxa"/>
            <w:shd w:val="clear" w:color="auto" w:fill="auto"/>
          </w:tcPr>
          <w:p w14:paraId="40049229" w14:textId="77777777" w:rsidR="00587C48" w:rsidRPr="004235D5" w:rsidRDefault="00587C48" w:rsidP="002E12FB">
            <w:pPr>
              <w:pStyle w:val="TableText"/>
              <w:rPr>
                <w:szCs w:val="18"/>
              </w:rPr>
            </w:pPr>
            <w:r w:rsidRPr="004235D5">
              <w:rPr>
                <w:szCs w:val="18"/>
              </w:rPr>
              <w:t>[Not covered in this example]</w:t>
            </w:r>
          </w:p>
        </w:tc>
      </w:tr>
      <w:tr w:rsidR="00587C48" w:rsidRPr="00153568" w14:paraId="5C85D842" w14:textId="77777777" w:rsidTr="00BF0FA0">
        <w:trPr>
          <w:cantSplit/>
        </w:trPr>
        <w:tc>
          <w:tcPr>
            <w:tcW w:w="3080" w:type="dxa"/>
            <w:shd w:val="clear" w:color="auto" w:fill="auto"/>
          </w:tcPr>
          <w:p w14:paraId="13FBC3CE" w14:textId="3DFBBF2B" w:rsidR="00587C48" w:rsidRPr="00153568" w:rsidRDefault="00EC60AE" w:rsidP="00153568">
            <w:pPr>
              <w:pStyle w:val="TableText"/>
              <w:rPr>
                <w:b/>
                <w:bCs/>
              </w:rPr>
            </w:pPr>
            <w:r w:rsidRPr="00153568">
              <w:rPr>
                <w:b/>
                <w:bCs/>
              </w:rPr>
              <w:t>Areas where a risk to public health may be created</w:t>
            </w:r>
          </w:p>
        </w:tc>
        <w:tc>
          <w:tcPr>
            <w:tcW w:w="1173" w:type="dxa"/>
            <w:shd w:val="clear" w:color="auto" w:fill="auto"/>
          </w:tcPr>
          <w:p w14:paraId="3C937CCB" w14:textId="77777777" w:rsidR="00587C48" w:rsidRPr="00153568" w:rsidRDefault="00587C48" w:rsidP="00153568">
            <w:pPr>
              <w:pStyle w:val="TableText"/>
              <w:rPr>
                <w:b/>
                <w:bCs/>
              </w:rPr>
            </w:pPr>
          </w:p>
        </w:tc>
        <w:tc>
          <w:tcPr>
            <w:tcW w:w="4252" w:type="dxa"/>
            <w:shd w:val="clear" w:color="auto" w:fill="auto"/>
          </w:tcPr>
          <w:p w14:paraId="0127521D" w14:textId="77777777" w:rsidR="00587C48" w:rsidRPr="00153568" w:rsidRDefault="00587C48" w:rsidP="00153568">
            <w:pPr>
              <w:pStyle w:val="TableText"/>
              <w:rPr>
                <w:b/>
                <w:bCs/>
              </w:rPr>
            </w:pPr>
          </w:p>
        </w:tc>
      </w:tr>
      <w:tr w:rsidR="00587C48" w:rsidRPr="004235D5" w14:paraId="3B81C290" w14:textId="77777777" w:rsidTr="00BF0FA0">
        <w:trPr>
          <w:cantSplit/>
        </w:trPr>
        <w:tc>
          <w:tcPr>
            <w:tcW w:w="3080" w:type="dxa"/>
            <w:shd w:val="clear" w:color="auto" w:fill="auto"/>
          </w:tcPr>
          <w:p w14:paraId="15C63EE3" w14:textId="4D051093" w:rsidR="00587C48" w:rsidRPr="00D22029" w:rsidRDefault="00587C48" w:rsidP="002E12FB">
            <w:pPr>
              <w:pStyle w:val="TableText"/>
              <w:rPr>
                <w:szCs w:val="18"/>
              </w:rPr>
            </w:pPr>
            <w:r w:rsidRPr="00D22029">
              <w:rPr>
                <w:szCs w:val="18"/>
              </w:rPr>
              <w:t xml:space="preserve">Condition </w:t>
            </w:r>
            <w:r w:rsidR="000C330C" w:rsidRPr="00D22029">
              <w:rPr>
                <w:szCs w:val="18"/>
              </w:rPr>
              <w:t>6</w:t>
            </w:r>
          </w:p>
        </w:tc>
        <w:tc>
          <w:tcPr>
            <w:tcW w:w="1173" w:type="dxa"/>
            <w:shd w:val="clear" w:color="auto" w:fill="auto"/>
          </w:tcPr>
          <w:p w14:paraId="71674069" w14:textId="402E2978" w:rsidR="00587C48" w:rsidRPr="00D22029" w:rsidRDefault="00A83CCF" w:rsidP="002E12FB">
            <w:pPr>
              <w:pStyle w:val="TableText"/>
              <w:jc w:val="center"/>
              <w:rPr>
                <w:szCs w:val="18"/>
              </w:rPr>
            </w:pPr>
            <w:r w:rsidRPr="004235D5">
              <w:rPr>
                <w:szCs w:val="18"/>
              </w:rPr>
              <w:t>No</w:t>
            </w:r>
          </w:p>
        </w:tc>
        <w:tc>
          <w:tcPr>
            <w:tcW w:w="4252" w:type="dxa"/>
            <w:shd w:val="clear" w:color="auto" w:fill="auto"/>
          </w:tcPr>
          <w:p w14:paraId="211EF3F5" w14:textId="3A9C0435" w:rsidR="00587C48" w:rsidRPr="00D22029" w:rsidRDefault="00A83CCF" w:rsidP="00DC3565">
            <w:pPr>
              <w:pStyle w:val="TableText"/>
              <w:rPr>
                <w:szCs w:val="18"/>
              </w:rPr>
            </w:pPr>
            <w:r>
              <w:rPr>
                <w:szCs w:val="18"/>
              </w:rPr>
              <w:t>This condition is not applicable to ground-based operations</w:t>
            </w:r>
          </w:p>
        </w:tc>
      </w:tr>
      <w:tr w:rsidR="00DC3565" w:rsidRPr="004235D5" w14:paraId="469B4F21" w14:textId="77777777" w:rsidTr="00BF0FA0">
        <w:trPr>
          <w:cantSplit/>
        </w:trPr>
        <w:tc>
          <w:tcPr>
            <w:tcW w:w="3080" w:type="dxa"/>
            <w:shd w:val="clear" w:color="auto" w:fill="auto"/>
          </w:tcPr>
          <w:p w14:paraId="10EB2842" w14:textId="312BE945" w:rsidR="00DC3565" w:rsidRPr="00D22029" w:rsidRDefault="00DC3565" w:rsidP="00DC3565">
            <w:pPr>
              <w:pStyle w:val="TableText"/>
              <w:rPr>
                <w:b/>
                <w:bCs/>
                <w:szCs w:val="18"/>
              </w:rPr>
            </w:pPr>
            <w:r w:rsidRPr="00D22029">
              <w:rPr>
                <w:szCs w:val="18"/>
              </w:rPr>
              <w:t>Condition 7</w:t>
            </w:r>
          </w:p>
        </w:tc>
        <w:tc>
          <w:tcPr>
            <w:tcW w:w="1173" w:type="dxa"/>
            <w:shd w:val="clear" w:color="auto" w:fill="auto"/>
          </w:tcPr>
          <w:p w14:paraId="28742BAB" w14:textId="45F9B2F1" w:rsidR="00DC3565" w:rsidRPr="00D22029" w:rsidRDefault="00A83CCF" w:rsidP="00DC3565">
            <w:pPr>
              <w:pStyle w:val="TableText"/>
              <w:jc w:val="center"/>
              <w:rPr>
                <w:rFonts w:ascii="Wingdings" w:eastAsia="Wingdings" w:hAnsi="Wingdings" w:cs="Wingdings"/>
                <w:szCs w:val="18"/>
              </w:rPr>
            </w:pPr>
            <w:r w:rsidRPr="004235D5">
              <w:rPr>
                <w:szCs w:val="18"/>
              </w:rPr>
              <w:t>No</w:t>
            </w:r>
          </w:p>
        </w:tc>
        <w:tc>
          <w:tcPr>
            <w:tcW w:w="4252" w:type="dxa"/>
            <w:shd w:val="clear" w:color="auto" w:fill="auto"/>
          </w:tcPr>
          <w:p w14:paraId="0BBC01BC" w14:textId="5736C363" w:rsidR="00DC3565" w:rsidRPr="00D22029" w:rsidRDefault="00A83CCF" w:rsidP="00DC3565">
            <w:pPr>
              <w:pStyle w:val="TableText"/>
              <w:rPr>
                <w:szCs w:val="18"/>
              </w:rPr>
            </w:pPr>
            <w:r>
              <w:rPr>
                <w:szCs w:val="18"/>
              </w:rPr>
              <w:t>This condition is not applicable to ground-based operations</w:t>
            </w:r>
          </w:p>
        </w:tc>
      </w:tr>
      <w:tr w:rsidR="00DC3565" w:rsidRPr="004235D5" w14:paraId="7AA2E0DF" w14:textId="77777777" w:rsidTr="00BF0FA0">
        <w:trPr>
          <w:cantSplit/>
        </w:trPr>
        <w:tc>
          <w:tcPr>
            <w:tcW w:w="3080" w:type="dxa"/>
            <w:shd w:val="clear" w:color="auto" w:fill="auto"/>
          </w:tcPr>
          <w:p w14:paraId="117BCEE0" w14:textId="57D207FF" w:rsidR="00DC3565" w:rsidRPr="00D22029" w:rsidRDefault="00BC2629" w:rsidP="00DC3565">
            <w:pPr>
              <w:pStyle w:val="TableText"/>
              <w:rPr>
                <w:szCs w:val="18"/>
              </w:rPr>
            </w:pPr>
            <w:r w:rsidRPr="00D22029">
              <w:rPr>
                <w:b/>
                <w:bCs/>
                <w:szCs w:val="18"/>
              </w:rPr>
              <w:t>Protection of drinking water catchments</w:t>
            </w:r>
          </w:p>
        </w:tc>
        <w:tc>
          <w:tcPr>
            <w:tcW w:w="1173" w:type="dxa"/>
            <w:shd w:val="clear" w:color="auto" w:fill="auto"/>
          </w:tcPr>
          <w:p w14:paraId="55BC0F50" w14:textId="77777777" w:rsidR="00DC3565" w:rsidRPr="00D22029" w:rsidRDefault="00DC3565" w:rsidP="00DC3565">
            <w:pPr>
              <w:pStyle w:val="TableText"/>
              <w:jc w:val="center"/>
              <w:rPr>
                <w:rFonts w:ascii="Wingdings" w:eastAsia="Wingdings" w:hAnsi="Wingdings" w:cs="Wingdings"/>
                <w:szCs w:val="18"/>
              </w:rPr>
            </w:pPr>
          </w:p>
        </w:tc>
        <w:tc>
          <w:tcPr>
            <w:tcW w:w="4252" w:type="dxa"/>
            <w:shd w:val="clear" w:color="auto" w:fill="auto"/>
          </w:tcPr>
          <w:p w14:paraId="2AA442C9" w14:textId="29D3C0F3" w:rsidR="00DC3565" w:rsidRPr="00D22029" w:rsidRDefault="00DC3565" w:rsidP="00DC3565">
            <w:pPr>
              <w:pStyle w:val="TableText"/>
              <w:rPr>
                <w:szCs w:val="18"/>
              </w:rPr>
            </w:pPr>
          </w:p>
        </w:tc>
      </w:tr>
      <w:tr w:rsidR="005506AD" w:rsidRPr="004235D5" w14:paraId="51572AEA" w14:textId="77777777" w:rsidTr="00BF0FA0">
        <w:trPr>
          <w:cantSplit/>
        </w:trPr>
        <w:tc>
          <w:tcPr>
            <w:tcW w:w="3080" w:type="dxa"/>
            <w:shd w:val="clear" w:color="auto" w:fill="auto"/>
          </w:tcPr>
          <w:p w14:paraId="24B013E2" w14:textId="511ADB15" w:rsidR="005506AD" w:rsidRPr="00D22029" w:rsidRDefault="005506AD" w:rsidP="005506AD">
            <w:pPr>
              <w:pStyle w:val="TableText"/>
              <w:rPr>
                <w:szCs w:val="18"/>
              </w:rPr>
            </w:pPr>
            <w:r w:rsidRPr="00D22029">
              <w:rPr>
                <w:szCs w:val="18"/>
              </w:rPr>
              <w:t xml:space="preserve">Condition </w:t>
            </w:r>
            <w:r w:rsidR="00BC2629">
              <w:rPr>
                <w:szCs w:val="18"/>
              </w:rPr>
              <w:t>8</w:t>
            </w:r>
          </w:p>
        </w:tc>
        <w:tc>
          <w:tcPr>
            <w:tcW w:w="1173" w:type="dxa"/>
            <w:shd w:val="clear" w:color="auto" w:fill="auto"/>
          </w:tcPr>
          <w:p w14:paraId="11F79E62" w14:textId="0D6BD8B7" w:rsidR="005506AD" w:rsidRPr="00D22029" w:rsidRDefault="005506AD" w:rsidP="005506AD">
            <w:pPr>
              <w:pStyle w:val="TableText"/>
              <w:jc w:val="center"/>
              <w:rPr>
                <w:szCs w:val="18"/>
              </w:rPr>
            </w:pPr>
            <w:r w:rsidRPr="00D22029">
              <w:rPr>
                <w:rFonts w:eastAsia="Wingdings" w:cs="Segoe UI"/>
                <w:szCs w:val="18"/>
              </w:rPr>
              <w:t>No</w:t>
            </w:r>
          </w:p>
        </w:tc>
        <w:tc>
          <w:tcPr>
            <w:tcW w:w="4252" w:type="dxa"/>
            <w:shd w:val="clear" w:color="auto" w:fill="auto"/>
          </w:tcPr>
          <w:p w14:paraId="6383C631" w14:textId="35B5CCF7" w:rsidR="005506AD" w:rsidRPr="00D22029" w:rsidRDefault="00C61A08" w:rsidP="005506AD">
            <w:pPr>
              <w:pStyle w:val="TableText"/>
              <w:rPr>
                <w:szCs w:val="18"/>
              </w:rPr>
            </w:pPr>
            <w:r w:rsidRPr="00D22029">
              <w:rPr>
                <w:szCs w:val="18"/>
                <w:lang w:eastAsia="en-NZ"/>
              </w:rPr>
              <w:t xml:space="preserve">The risk assessment found no drinking water supplies </w:t>
            </w:r>
            <w:r w:rsidR="001D735F">
              <w:rPr>
                <w:szCs w:val="18"/>
                <w:lang w:eastAsia="en-NZ"/>
              </w:rPr>
              <w:t xml:space="preserve">were </w:t>
            </w:r>
            <w:r w:rsidRPr="00D22029">
              <w:rPr>
                <w:szCs w:val="18"/>
                <w:lang w:eastAsia="en-NZ"/>
              </w:rPr>
              <w:t>in the operational area or within 400</w:t>
            </w:r>
            <w:r w:rsidR="001D735F">
              <w:rPr>
                <w:szCs w:val="18"/>
                <w:lang w:eastAsia="en-NZ"/>
              </w:rPr>
              <w:t> </w:t>
            </w:r>
            <w:r w:rsidRPr="00D22029">
              <w:rPr>
                <w:szCs w:val="18"/>
                <w:lang w:eastAsia="en-NZ"/>
              </w:rPr>
              <w:t>m downstream of the operational area</w:t>
            </w:r>
            <w:r w:rsidR="001D735F">
              <w:rPr>
                <w:szCs w:val="18"/>
                <w:lang w:eastAsia="en-NZ"/>
              </w:rPr>
              <w:t>.</w:t>
            </w:r>
          </w:p>
        </w:tc>
      </w:tr>
    </w:tbl>
    <w:p w14:paraId="6AD4FB6A" w14:textId="77777777" w:rsidR="00BF0FA0" w:rsidRPr="00003A4A" w:rsidRDefault="00587C48" w:rsidP="00BF0FA0">
      <w:pPr>
        <w:pStyle w:val="Heading1"/>
      </w:pPr>
      <w:r w:rsidRPr="00003A4A">
        <w:br w:type="page"/>
      </w:r>
      <w:bookmarkStart w:id="135" w:name="_Toc265219424"/>
      <w:bookmarkStart w:id="136" w:name="_Toc336505266"/>
      <w:bookmarkStart w:id="137" w:name="_Toc90633219"/>
      <w:bookmarkStart w:id="138" w:name="_Toc109793299"/>
      <w:r w:rsidR="00BF0FA0" w:rsidRPr="00003A4A">
        <w:t xml:space="preserve">Bibliography and </w:t>
      </w:r>
      <w:r w:rsidR="00BF0FA0">
        <w:t>r</w:t>
      </w:r>
      <w:r w:rsidR="00BF0FA0" w:rsidRPr="00003A4A">
        <w:t>eferences</w:t>
      </w:r>
      <w:bookmarkEnd w:id="135"/>
      <w:bookmarkEnd w:id="136"/>
      <w:bookmarkEnd w:id="137"/>
      <w:bookmarkEnd w:id="138"/>
    </w:p>
    <w:p w14:paraId="793F412B" w14:textId="7A844CFB" w:rsidR="00BF0FA0" w:rsidRPr="00E57CBB" w:rsidRDefault="00BF0FA0" w:rsidP="00BF0FA0">
      <w:pPr>
        <w:pStyle w:val="References"/>
        <w:rPr>
          <w:rFonts w:cs="Arial"/>
          <w:szCs w:val="22"/>
        </w:rPr>
      </w:pPr>
      <w:r w:rsidRPr="00E57CBB">
        <w:rPr>
          <w:rFonts w:cs="Arial"/>
          <w:szCs w:val="22"/>
        </w:rPr>
        <w:t xml:space="preserve">Animal Control Products Ltd. 2006. </w:t>
      </w:r>
      <w:r w:rsidRPr="00E57CBB">
        <w:rPr>
          <w:rFonts w:cs="Arial"/>
          <w:i/>
          <w:iCs/>
          <w:szCs w:val="22"/>
        </w:rPr>
        <w:t>Safety Data Sheet: DRC 1339</w:t>
      </w:r>
      <w:r w:rsidRPr="00E57CBB">
        <w:rPr>
          <w:rFonts w:cs="Arial"/>
          <w:szCs w:val="22"/>
        </w:rPr>
        <w:t xml:space="preserve">. URL: </w:t>
      </w:r>
      <w:hyperlink r:id="rId56" w:history="1">
        <w:r w:rsidRPr="00BF0FA0">
          <w:rPr>
            <w:rStyle w:val="Hyperlink"/>
            <w:rFonts w:cs="Arial"/>
            <w:szCs w:val="22"/>
          </w:rPr>
          <w:t>https://www.pestoff.co.nz/assets/sdsdrc1339.pdf</w:t>
        </w:r>
      </w:hyperlink>
      <w:r>
        <w:rPr>
          <w:rFonts w:cs="Arial"/>
          <w:szCs w:val="22"/>
        </w:rPr>
        <w:t xml:space="preserve"> </w:t>
      </w:r>
      <w:r w:rsidRPr="00BF0FA0">
        <w:rPr>
          <w:rFonts w:eastAsia="MS Gothic"/>
        </w:rPr>
        <w:t>(a</w:t>
      </w:r>
      <w:r w:rsidRPr="00BF0FA0">
        <w:t>ccessed</w:t>
      </w:r>
      <w:r w:rsidRPr="00E57CBB">
        <w:rPr>
          <w:rFonts w:cs="Arial"/>
          <w:szCs w:val="22"/>
        </w:rPr>
        <w:t xml:space="preserve"> 23 April 2018</w:t>
      </w:r>
      <w:r>
        <w:rPr>
          <w:rFonts w:cs="Arial"/>
          <w:szCs w:val="22"/>
        </w:rPr>
        <w:t>)</w:t>
      </w:r>
      <w:r w:rsidRPr="00E57CBB">
        <w:rPr>
          <w:rFonts w:cs="Arial"/>
          <w:szCs w:val="22"/>
        </w:rPr>
        <w:t>.</w:t>
      </w:r>
    </w:p>
    <w:p w14:paraId="5CD732ED" w14:textId="1FBDE4CE" w:rsidR="00BF0FA0" w:rsidRPr="00E57CBB" w:rsidRDefault="00BF0FA0" w:rsidP="00BF0FA0">
      <w:pPr>
        <w:pStyle w:val="References"/>
        <w:rPr>
          <w:rFonts w:cs="Arial"/>
          <w:szCs w:val="22"/>
        </w:rPr>
      </w:pPr>
      <w:r w:rsidRPr="00E57CBB">
        <w:rPr>
          <w:rFonts w:cs="Arial"/>
          <w:szCs w:val="22"/>
        </w:rPr>
        <w:t xml:space="preserve">Eason CT, Wickstrom M. 2001. </w:t>
      </w:r>
      <w:r w:rsidRPr="00E57CBB">
        <w:rPr>
          <w:rFonts w:cs="Arial"/>
          <w:i/>
          <w:iCs/>
          <w:szCs w:val="22"/>
        </w:rPr>
        <w:t>Vertebrate Pesticide Toxicology Manual (Poisons): Information on poisons used in New Zealand as vertebrate pesticides</w:t>
      </w:r>
      <w:r w:rsidRPr="00E57CBB">
        <w:rPr>
          <w:rFonts w:cs="Arial"/>
          <w:szCs w:val="22"/>
        </w:rPr>
        <w:t xml:space="preserve">. Wellington: Department of Conservation. URL: </w:t>
      </w:r>
      <w:hyperlink r:id="rId57" w:history="1">
        <w:r w:rsidRPr="0076076A">
          <w:rPr>
            <w:rStyle w:val="Hyperlink"/>
            <w:rFonts w:eastAsia="MS Gothic" w:cs="Arial"/>
            <w:szCs w:val="22"/>
          </w:rPr>
          <w:t xml:space="preserve">www.doc.govt.nz/upload/documents/science-and-technical/docts23.pdf </w:t>
        </w:r>
      </w:hyperlink>
      <w:r>
        <w:rPr>
          <w:rFonts w:cs="Arial"/>
          <w:szCs w:val="22"/>
        </w:rPr>
        <w:t xml:space="preserve"> </w:t>
      </w:r>
      <w:r>
        <w:rPr>
          <w:rStyle w:val="Hyperlink"/>
          <w:rFonts w:eastAsia="MS Gothic" w:cs="Arial"/>
          <w:szCs w:val="22"/>
        </w:rPr>
        <w:t>(</w:t>
      </w:r>
      <w:r>
        <w:rPr>
          <w:rFonts w:cs="Arial"/>
          <w:szCs w:val="22"/>
        </w:rPr>
        <w:t>a</w:t>
      </w:r>
      <w:r w:rsidRPr="00E57CBB">
        <w:rPr>
          <w:rFonts w:cs="Arial"/>
          <w:szCs w:val="22"/>
        </w:rPr>
        <w:t xml:space="preserve">ccessed </w:t>
      </w:r>
      <w:r>
        <w:rPr>
          <w:rFonts w:cs="Arial"/>
          <w:szCs w:val="22"/>
        </w:rPr>
        <w:t>23 April</w:t>
      </w:r>
      <w:r w:rsidRPr="00E57CBB">
        <w:rPr>
          <w:rFonts w:cs="Arial"/>
          <w:szCs w:val="22"/>
        </w:rPr>
        <w:t xml:space="preserve"> 2018</w:t>
      </w:r>
      <w:r>
        <w:rPr>
          <w:rFonts w:cs="Arial"/>
          <w:szCs w:val="22"/>
        </w:rPr>
        <w:t>)</w:t>
      </w:r>
      <w:r w:rsidRPr="00E57CBB">
        <w:rPr>
          <w:rFonts w:cs="Arial"/>
          <w:szCs w:val="22"/>
        </w:rPr>
        <w:t>.</w:t>
      </w:r>
    </w:p>
    <w:p w14:paraId="46C98D7B" w14:textId="185037D9" w:rsidR="00BF0FA0" w:rsidRPr="00E57CBB" w:rsidRDefault="00BF0FA0" w:rsidP="00BF0FA0">
      <w:pPr>
        <w:pStyle w:val="References"/>
        <w:rPr>
          <w:rFonts w:cs="Arial"/>
          <w:szCs w:val="22"/>
        </w:rPr>
      </w:pPr>
      <w:r>
        <w:rPr>
          <w:rFonts w:cs="Arial"/>
          <w:szCs w:val="22"/>
        </w:rPr>
        <w:t>EPA [formerly</w:t>
      </w:r>
      <w:r w:rsidR="001D735F">
        <w:rPr>
          <w:rFonts w:cs="Arial"/>
          <w:szCs w:val="22"/>
        </w:rPr>
        <w:t xml:space="preserve"> ERMA</w:t>
      </w:r>
      <w:r>
        <w:rPr>
          <w:rFonts w:cs="Arial"/>
          <w:szCs w:val="22"/>
        </w:rPr>
        <w:t>]</w:t>
      </w:r>
      <w:r w:rsidRPr="00E57CBB">
        <w:rPr>
          <w:rFonts w:cs="Arial"/>
          <w:szCs w:val="22"/>
        </w:rPr>
        <w:t xml:space="preserve">. 2007a. </w:t>
      </w:r>
      <w:r w:rsidRPr="00E57CBB">
        <w:rPr>
          <w:rFonts w:cs="Arial"/>
          <w:i/>
          <w:iCs/>
          <w:szCs w:val="22"/>
        </w:rPr>
        <w:t>Evaluation and Review Report: Reassessment of 1080</w:t>
      </w:r>
      <w:r>
        <w:rPr>
          <w:rFonts w:cs="Arial"/>
          <w:i/>
          <w:iCs/>
          <w:szCs w:val="22"/>
        </w:rPr>
        <w:t>.</w:t>
      </w:r>
      <w:r>
        <w:rPr>
          <w:rFonts w:cs="Arial"/>
          <w:iCs/>
          <w:szCs w:val="22"/>
        </w:rPr>
        <w:t xml:space="preserve"> Application Number:</w:t>
      </w:r>
      <w:r w:rsidRPr="00E57CBB">
        <w:rPr>
          <w:rFonts w:cs="Arial"/>
          <w:i/>
          <w:iCs/>
          <w:szCs w:val="22"/>
        </w:rPr>
        <w:t xml:space="preserve"> </w:t>
      </w:r>
      <w:r w:rsidRPr="002465B6">
        <w:rPr>
          <w:rFonts w:cs="Arial"/>
          <w:iCs/>
          <w:szCs w:val="22"/>
        </w:rPr>
        <w:t>HRE05002</w:t>
      </w:r>
      <w:r w:rsidRPr="00E57CBB">
        <w:rPr>
          <w:rFonts w:cs="Arial"/>
          <w:i/>
          <w:iCs/>
          <w:szCs w:val="22"/>
        </w:rPr>
        <w:t xml:space="preserve">. </w:t>
      </w:r>
      <w:r w:rsidRPr="002465B6">
        <w:rPr>
          <w:rFonts w:cs="Arial"/>
          <w:iCs/>
          <w:szCs w:val="22"/>
        </w:rPr>
        <w:t xml:space="preserve">Appendix M: </w:t>
      </w:r>
      <w:r w:rsidR="00CB19CA">
        <w:rPr>
          <w:rFonts w:cs="Arial"/>
          <w:iCs/>
          <w:szCs w:val="22"/>
        </w:rPr>
        <w:t>E</w:t>
      </w:r>
      <w:r w:rsidRPr="002465B6">
        <w:rPr>
          <w:rFonts w:cs="Arial"/>
          <w:iCs/>
          <w:szCs w:val="22"/>
        </w:rPr>
        <w:t>xposure and risk assessment (1080 and cyanide): human health</w:t>
      </w:r>
      <w:r w:rsidRPr="00562653">
        <w:rPr>
          <w:rFonts w:cs="Arial"/>
          <w:szCs w:val="22"/>
        </w:rPr>
        <w:t xml:space="preserve">. </w:t>
      </w:r>
      <w:r w:rsidRPr="00E57CBB">
        <w:rPr>
          <w:rFonts w:cs="Arial"/>
          <w:szCs w:val="22"/>
        </w:rPr>
        <w:t xml:space="preserve">Wellington: </w:t>
      </w:r>
      <w:r w:rsidR="001D735F" w:rsidRPr="00E57CBB">
        <w:rPr>
          <w:rFonts w:cs="Arial"/>
          <w:szCs w:val="22"/>
        </w:rPr>
        <w:t>Environmental Risk Management Authority</w:t>
      </w:r>
      <w:r w:rsidR="001D735F" w:rsidRPr="00E57CBB" w:rsidDel="001D735F">
        <w:rPr>
          <w:rFonts w:cs="Arial"/>
          <w:szCs w:val="22"/>
        </w:rPr>
        <w:t xml:space="preserve"> </w:t>
      </w:r>
      <w:r w:rsidRPr="00E57CBB">
        <w:rPr>
          <w:rFonts w:cs="Arial"/>
          <w:szCs w:val="22"/>
        </w:rPr>
        <w:t xml:space="preserve">New Zealand. URL: </w:t>
      </w:r>
      <w:hyperlink r:id="rId58" w:history="1">
        <w:r w:rsidRPr="00BF0FA0">
          <w:rPr>
            <w:rStyle w:val="Hyperlink"/>
            <w:rFonts w:cs="Arial"/>
            <w:szCs w:val="22"/>
          </w:rPr>
          <w:t>http://www.epa.govt.nz/assets/FileAPI/hsno-ar/HRE05002/HRE05002-044.pdf</w:t>
        </w:r>
      </w:hyperlink>
      <w:r>
        <w:rPr>
          <w:rFonts w:cs="Arial"/>
          <w:szCs w:val="22"/>
        </w:rPr>
        <w:t xml:space="preserve"> </w:t>
      </w:r>
      <w:r>
        <w:rPr>
          <w:rStyle w:val="Hyperlink"/>
          <w:rFonts w:eastAsia="MS Gothic" w:cs="Arial"/>
          <w:szCs w:val="22"/>
        </w:rPr>
        <w:t>(</w:t>
      </w:r>
      <w:r>
        <w:rPr>
          <w:rFonts w:cs="Arial"/>
          <w:szCs w:val="22"/>
        </w:rPr>
        <w:t>a</w:t>
      </w:r>
      <w:r w:rsidRPr="00E57CBB">
        <w:rPr>
          <w:rFonts w:cs="Arial"/>
          <w:szCs w:val="22"/>
        </w:rPr>
        <w:t>ccessed 19 October 2018</w:t>
      </w:r>
      <w:r>
        <w:rPr>
          <w:rFonts w:cs="Arial"/>
          <w:szCs w:val="22"/>
        </w:rPr>
        <w:t>)</w:t>
      </w:r>
      <w:r w:rsidRPr="00E57CBB">
        <w:rPr>
          <w:rFonts w:cs="Arial"/>
          <w:szCs w:val="22"/>
        </w:rPr>
        <w:t>.</w:t>
      </w:r>
    </w:p>
    <w:p w14:paraId="3D458A4A" w14:textId="0B6EB83A" w:rsidR="00BF0FA0" w:rsidRPr="00E57CBB" w:rsidRDefault="00BF0FA0" w:rsidP="00BF0FA0">
      <w:pPr>
        <w:pStyle w:val="References"/>
        <w:rPr>
          <w:rFonts w:cs="Arial"/>
          <w:szCs w:val="22"/>
        </w:rPr>
      </w:pPr>
      <w:r>
        <w:rPr>
          <w:rFonts w:cs="Arial"/>
          <w:szCs w:val="22"/>
        </w:rPr>
        <w:t xml:space="preserve">EPA [formerly </w:t>
      </w:r>
      <w:r w:rsidR="00CB19CA">
        <w:rPr>
          <w:rFonts w:cs="Arial"/>
          <w:szCs w:val="22"/>
        </w:rPr>
        <w:t>ERMA</w:t>
      </w:r>
      <w:r>
        <w:rPr>
          <w:rFonts w:cs="Arial"/>
          <w:szCs w:val="22"/>
        </w:rPr>
        <w:t>]</w:t>
      </w:r>
      <w:r w:rsidRPr="00E57CBB">
        <w:rPr>
          <w:rFonts w:cs="Arial"/>
          <w:szCs w:val="22"/>
        </w:rPr>
        <w:t xml:space="preserve">. 2007b. </w:t>
      </w:r>
      <w:r w:rsidRPr="00E57CBB">
        <w:rPr>
          <w:rFonts w:cs="Arial"/>
          <w:i/>
          <w:iCs/>
          <w:szCs w:val="22"/>
        </w:rPr>
        <w:t>1080</w:t>
      </w:r>
      <w:r>
        <w:rPr>
          <w:rFonts w:cs="Arial"/>
          <w:i/>
          <w:iCs/>
          <w:szCs w:val="22"/>
        </w:rPr>
        <w:t xml:space="preserve"> </w:t>
      </w:r>
      <w:r w:rsidRPr="00E57CBB">
        <w:rPr>
          <w:rFonts w:cs="Arial"/>
          <w:i/>
          <w:iCs/>
          <w:szCs w:val="22"/>
        </w:rPr>
        <w:t>Reassessment Decision</w:t>
      </w:r>
      <w:r w:rsidRPr="00E57CBB">
        <w:rPr>
          <w:rFonts w:cs="Arial"/>
          <w:szCs w:val="22"/>
        </w:rPr>
        <w:t xml:space="preserve">. Wellington: </w:t>
      </w:r>
      <w:r w:rsidR="00CB19CA" w:rsidRPr="00E57CBB">
        <w:rPr>
          <w:rFonts w:cs="Arial"/>
          <w:szCs w:val="22"/>
        </w:rPr>
        <w:t>Environmental Risk Management Authority</w:t>
      </w:r>
      <w:r w:rsidR="00CB19CA" w:rsidRPr="00E57CBB" w:rsidDel="00CB19CA">
        <w:rPr>
          <w:rFonts w:cs="Arial"/>
          <w:szCs w:val="22"/>
        </w:rPr>
        <w:t xml:space="preserve"> </w:t>
      </w:r>
      <w:r w:rsidRPr="00E57CBB">
        <w:rPr>
          <w:rFonts w:cs="Arial"/>
          <w:szCs w:val="22"/>
        </w:rPr>
        <w:t>New Zealand.</w:t>
      </w:r>
    </w:p>
    <w:p w14:paraId="2FD71439" w14:textId="0A64923F" w:rsidR="00BF0FA0" w:rsidRDefault="00BF0FA0" w:rsidP="00BF0FA0">
      <w:pPr>
        <w:pStyle w:val="References"/>
      </w:pPr>
      <w:r w:rsidRPr="005641BB">
        <w:t>EPA</w:t>
      </w:r>
      <w:r>
        <w:rPr>
          <w:rFonts w:cs="Arial"/>
          <w:szCs w:val="22"/>
        </w:rPr>
        <w:t xml:space="preserve"> [formerly </w:t>
      </w:r>
      <w:r w:rsidRPr="00E57CBB">
        <w:rPr>
          <w:rFonts w:cs="Arial"/>
          <w:szCs w:val="22"/>
        </w:rPr>
        <w:t>E</w:t>
      </w:r>
      <w:r w:rsidR="00CB19CA">
        <w:rPr>
          <w:rFonts w:cs="Arial"/>
          <w:szCs w:val="22"/>
        </w:rPr>
        <w:t>RMA</w:t>
      </w:r>
      <w:r>
        <w:rPr>
          <w:rFonts w:cs="Arial"/>
          <w:szCs w:val="22"/>
        </w:rPr>
        <w:t>]</w:t>
      </w:r>
      <w:r>
        <w:t>. 2007c.</w:t>
      </w:r>
      <w:r w:rsidRPr="005641BB">
        <w:t xml:space="preserve"> </w:t>
      </w:r>
      <w:r w:rsidRPr="00EE6EAC">
        <w:rPr>
          <w:i/>
        </w:rPr>
        <w:t xml:space="preserve">Notification of Decision </w:t>
      </w:r>
      <w:r w:rsidRPr="00EE6EAC">
        <w:rPr>
          <w:bCs/>
          <w:i/>
          <w:color w:val="000000"/>
          <w:lang w:val="en-GB"/>
        </w:rPr>
        <w:t>to Import or Manufacture Campaign Ant Bait and Amdro Fire Ant Bait for Release</w:t>
      </w:r>
      <w:r>
        <w:rPr>
          <w:bCs/>
          <w:color w:val="000000"/>
          <w:lang w:val="en-GB"/>
        </w:rPr>
        <w:t>.</w:t>
      </w:r>
      <w:r w:rsidRPr="005641BB">
        <w:rPr>
          <w:color w:val="000000"/>
          <w:lang w:val="en-GB"/>
        </w:rPr>
        <w:t xml:space="preserve"> </w:t>
      </w:r>
      <w:r w:rsidRPr="00E57CBB">
        <w:rPr>
          <w:rFonts w:cs="Arial"/>
          <w:szCs w:val="22"/>
        </w:rPr>
        <w:t xml:space="preserve">Wellington: </w:t>
      </w:r>
      <w:r w:rsidR="00CB19CA" w:rsidRPr="00E57CBB">
        <w:rPr>
          <w:rFonts w:cs="Arial"/>
          <w:szCs w:val="22"/>
        </w:rPr>
        <w:t>Environmental Risk Management Authority</w:t>
      </w:r>
      <w:r w:rsidR="00CB19CA" w:rsidRPr="00E57CBB" w:rsidDel="00CB19CA">
        <w:rPr>
          <w:rFonts w:cs="Arial"/>
          <w:szCs w:val="22"/>
        </w:rPr>
        <w:t xml:space="preserve"> </w:t>
      </w:r>
      <w:r w:rsidRPr="00E57CBB">
        <w:rPr>
          <w:rFonts w:cs="Arial"/>
          <w:szCs w:val="22"/>
        </w:rPr>
        <w:t>New Zealand.</w:t>
      </w:r>
      <w:r>
        <w:rPr>
          <w:rFonts w:cs="Arial"/>
          <w:szCs w:val="22"/>
        </w:rPr>
        <w:t xml:space="preserve"> URL: </w:t>
      </w:r>
      <w:hyperlink r:id="rId59" w:history="1">
        <w:r w:rsidRPr="00010AC2">
          <w:rPr>
            <w:rStyle w:val="Hyperlink"/>
            <w:rFonts w:eastAsia="MS Gothic" w:cs="Arial"/>
          </w:rPr>
          <w:t>https://www.epa.govt.nz/assets/FileAPI/hsno-ar/HSR06133/fa0cfb3282/HSR06133.doc</w:t>
        </w:r>
      </w:hyperlink>
      <w:r>
        <w:t xml:space="preserve"> (accessed 17 December 2021).</w:t>
      </w:r>
    </w:p>
    <w:p w14:paraId="34455E6C" w14:textId="231F7A7C" w:rsidR="00B35E8E" w:rsidRPr="005641BB" w:rsidRDefault="00B35E8E" w:rsidP="0093352E">
      <w:pPr>
        <w:pStyle w:val="References"/>
        <w:rPr>
          <w:lang w:val="en-GB"/>
        </w:rPr>
      </w:pPr>
      <w:r w:rsidRPr="005641BB">
        <w:t>EPA</w:t>
      </w:r>
      <w:r>
        <w:rPr>
          <w:rFonts w:cs="Arial"/>
          <w:szCs w:val="22"/>
        </w:rPr>
        <w:t xml:space="preserve"> [formerly </w:t>
      </w:r>
      <w:r w:rsidRPr="00E57CBB">
        <w:rPr>
          <w:rFonts w:cs="Arial"/>
          <w:szCs w:val="22"/>
        </w:rPr>
        <w:t>E</w:t>
      </w:r>
      <w:r w:rsidR="00CB19CA">
        <w:rPr>
          <w:rFonts w:cs="Arial"/>
          <w:szCs w:val="22"/>
        </w:rPr>
        <w:t>RMA</w:t>
      </w:r>
      <w:r>
        <w:rPr>
          <w:rFonts w:cs="Arial"/>
          <w:szCs w:val="22"/>
        </w:rPr>
        <w:t>]</w:t>
      </w:r>
      <w:r>
        <w:t>. 2008.</w:t>
      </w:r>
      <w:r w:rsidRPr="005641BB">
        <w:t xml:space="preserve"> </w:t>
      </w:r>
      <w:r w:rsidRPr="001E36C0">
        <w:rPr>
          <w:i/>
        </w:rPr>
        <w:t xml:space="preserve">Evaluation and Review Report: </w:t>
      </w:r>
      <w:r w:rsidRPr="001E36C0">
        <w:rPr>
          <w:bCs/>
          <w:i/>
          <w:lang w:val="en-GB"/>
        </w:rPr>
        <w:t xml:space="preserve">Application for </w:t>
      </w:r>
      <w:r>
        <w:rPr>
          <w:bCs/>
          <w:i/>
          <w:lang w:val="en-GB"/>
        </w:rPr>
        <w:t>a</w:t>
      </w:r>
      <w:r w:rsidRPr="001E36C0">
        <w:rPr>
          <w:bCs/>
          <w:i/>
          <w:lang w:val="en-GB"/>
        </w:rPr>
        <w:t xml:space="preserve">pproval to </w:t>
      </w:r>
      <w:r>
        <w:rPr>
          <w:bCs/>
          <w:i/>
          <w:lang w:val="en-GB"/>
        </w:rPr>
        <w:t>i</w:t>
      </w:r>
      <w:r w:rsidRPr="001E36C0">
        <w:rPr>
          <w:bCs/>
          <w:i/>
          <w:lang w:val="en-GB"/>
        </w:rPr>
        <w:t xml:space="preserve">mport or </w:t>
      </w:r>
      <w:r>
        <w:rPr>
          <w:bCs/>
          <w:i/>
          <w:lang w:val="en-GB"/>
        </w:rPr>
        <w:t>m</w:t>
      </w:r>
      <w:r w:rsidRPr="001E36C0">
        <w:rPr>
          <w:bCs/>
          <w:i/>
          <w:lang w:val="en-GB"/>
        </w:rPr>
        <w:t xml:space="preserve">anufacture Advion Fire </w:t>
      </w:r>
      <w:r>
        <w:rPr>
          <w:bCs/>
          <w:i/>
          <w:lang w:val="en-GB"/>
        </w:rPr>
        <w:t>a</w:t>
      </w:r>
      <w:r w:rsidRPr="001E36C0">
        <w:rPr>
          <w:bCs/>
          <w:i/>
          <w:lang w:val="en-GB"/>
        </w:rPr>
        <w:t xml:space="preserve">nt </w:t>
      </w:r>
      <w:r>
        <w:rPr>
          <w:bCs/>
          <w:i/>
          <w:lang w:val="en-GB"/>
        </w:rPr>
        <w:t>b</w:t>
      </w:r>
      <w:r w:rsidRPr="001E36C0">
        <w:rPr>
          <w:bCs/>
          <w:i/>
          <w:lang w:val="en-GB"/>
        </w:rPr>
        <w:t xml:space="preserve">ait for </w:t>
      </w:r>
      <w:r>
        <w:rPr>
          <w:bCs/>
          <w:i/>
          <w:lang w:val="en-GB"/>
        </w:rPr>
        <w:t>r</w:t>
      </w:r>
      <w:r w:rsidRPr="001E36C0">
        <w:rPr>
          <w:bCs/>
          <w:i/>
          <w:lang w:val="en-GB"/>
        </w:rPr>
        <w:t>elease</w:t>
      </w:r>
      <w:r w:rsidRPr="005641BB">
        <w:rPr>
          <w:bCs/>
          <w:lang w:val="en-GB"/>
        </w:rPr>
        <w:t xml:space="preserve">. </w:t>
      </w:r>
      <w:r w:rsidRPr="005641BB">
        <w:rPr>
          <w:lang w:val="en-GB"/>
        </w:rPr>
        <w:t xml:space="preserve">Application </w:t>
      </w:r>
      <w:r>
        <w:rPr>
          <w:lang w:val="en-GB"/>
        </w:rPr>
        <w:t>n</w:t>
      </w:r>
      <w:r w:rsidRPr="005641BB">
        <w:rPr>
          <w:lang w:val="en-GB"/>
        </w:rPr>
        <w:t>umber: HSR06132</w:t>
      </w:r>
      <w:r w:rsidRPr="00B35E8E">
        <w:rPr>
          <w:rFonts w:cs="Arial"/>
          <w:szCs w:val="22"/>
        </w:rPr>
        <w:t xml:space="preserve"> </w:t>
      </w:r>
      <w:r w:rsidRPr="00E57CBB">
        <w:rPr>
          <w:rFonts w:cs="Arial"/>
          <w:szCs w:val="22"/>
        </w:rPr>
        <w:t xml:space="preserve">Wellington: </w:t>
      </w:r>
      <w:r w:rsidR="00CB19CA" w:rsidRPr="00E57CBB">
        <w:rPr>
          <w:rFonts w:cs="Arial"/>
          <w:szCs w:val="22"/>
        </w:rPr>
        <w:t xml:space="preserve">Environmental Risk Management Authority </w:t>
      </w:r>
      <w:r w:rsidRPr="00E57CBB">
        <w:rPr>
          <w:rFonts w:cs="Arial"/>
          <w:szCs w:val="22"/>
        </w:rPr>
        <w:t>New Zealand.</w:t>
      </w:r>
      <w:r>
        <w:rPr>
          <w:rFonts w:cs="Arial"/>
          <w:szCs w:val="22"/>
        </w:rPr>
        <w:t xml:space="preserve"> URL:</w:t>
      </w:r>
      <w:r w:rsidRPr="001E36C0">
        <w:t xml:space="preserve"> </w:t>
      </w:r>
      <w:hyperlink r:id="rId60" w:history="1">
        <w:r w:rsidRPr="00A858DF">
          <w:rPr>
            <w:rStyle w:val="Hyperlink"/>
            <w:lang w:val="en-GB"/>
          </w:rPr>
          <w:t>https://www.epa.govt.nz/database-search/hsno-application-register/view/HSR06132</w:t>
        </w:r>
      </w:hyperlink>
      <w:r>
        <w:t xml:space="preserve"> (accessed 26 April 2022).</w:t>
      </w:r>
      <w:r>
        <w:rPr>
          <w:lang w:val="en-GB"/>
        </w:rPr>
        <w:t xml:space="preserve"> </w:t>
      </w:r>
    </w:p>
    <w:p w14:paraId="692F924A" w14:textId="1518969C" w:rsidR="00BF0FA0" w:rsidRPr="005641BB" w:rsidRDefault="00BF0FA0" w:rsidP="00BF0FA0">
      <w:pPr>
        <w:pStyle w:val="References"/>
      </w:pPr>
      <w:r w:rsidRPr="00F80AB5">
        <w:rPr>
          <w:rFonts w:cs="Arial"/>
        </w:rPr>
        <w:t>EPA</w:t>
      </w:r>
      <w:r>
        <w:rPr>
          <w:rFonts w:cs="Arial"/>
          <w:szCs w:val="22"/>
        </w:rPr>
        <w:t xml:space="preserve"> [formerly </w:t>
      </w:r>
      <w:r w:rsidRPr="00E57CBB">
        <w:rPr>
          <w:rFonts w:cs="Arial"/>
          <w:szCs w:val="22"/>
        </w:rPr>
        <w:t>E</w:t>
      </w:r>
      <w:r w:rsidR="00CB19CA">
        <w:rPr>
          <w:rFonts w:cs="Arial"/>
          <w:szCs w:val="22"/>
        </w:rPr>
        <w:t>RMA</w:t>
      </w:r>
      <w:r>
        <w:rPr>
          <w:rFonts w:cs="Arial"/>
          <w:szCs w:val="22"/>
        </w:rPr>
        <w:t>]</w:t>
      </w:r>
      <w:r>
        <w:rPr>
          <w:rFonts w:cs="Arial"/>
        </w:rPr>
        <w:t>. 2009a.</w:t>
      </w:r>
      <w:r w:rsidRPr="00F80AB5">
        <w:rPr>
          <w:rFonts w:cs="Arial"/>
        </w:rPr>
        <w:t xml:space="preserve"> </w:t>
      </w:r>
      <w:r w:rsidRPr="00EE6EAC">
        <w:rPr>
          <w:rFonts w:cs="Arial"/>
          <w:i/>
        </w:rPr>
        <w:t>Communications Guideline for Aerial 1080 Operations</w:t>
      </w:r>
      <w:r>
        <w:rPr>
          <w:rFonts w:cs="Arial"/>
        </w:rPr>
        <w:t>.</w:t>
      </w:r>
      <w:r w:rsidRPr="00F80AB5">
        <w:rPr>
          <w:rFonts w:cs="Arial"/>
        </w:rPr>
        <w:t xml:space="preserve"> </w:t>
      </w:r>
      <w:r w:rsidRPr="00E57CBB">
        <w:rPr>
          <w:rFonts w:cs="Arial"/>
          <w:szCs w:val="22"/>
        </w:rPr>
        <w:t xml:space="preserve">Wellington: </w:t>
      </w:r>
      <w:r w:rsidR="00CB19CA" w:rsidRPr="00E57CBB">
        <w:rPr>
          <w:rFonts w:cs="Arial"/>
          <w:szCs w:val="22"/>
        </w:rPr>
        <w:t>Environmental Risk Management Authority</w:t>
      </w:r>
      <w:r w:rsidR="00CB19CA" w:rsidRPr="00E57CBB" w:rsidDel="00CB19CA">
        <w:rPr>
          <w:rFonts w:cs="Arial"/>
          <w:szCs w:val="22"/>
        </w:rPr>
        <w:t xml:space="preserve"> </w:t>
      </w:r>
      <w:r w:rsidRPr="00E57CBB">
        <w:rPr>
          <w:rFonts w:cs="Arial"/>
          <w:szCs w:val="22"/>
        </w:rPr>
        <w:t>New Zealand.</w:t>
      </w:r>
      <w:r>
        <w:rPr>
          <w:rFonts w:cs="Arial"/>
          <w:szCs w:val="22"/>
        </w:rPr>
        <w:t xml:space="preserve"> URL: </w:t>
      </w:r>
      <w:hyperlink r:id="rId61" w:history="1">
        <w:r w:rsidRPr="00BE120F">
          <w:rPr>
            <w:rStyle w:val="Hyperlink"/>
            <w:rFonts w:eastAsia="MS Gothic" w:cs="Arial"/>
          </w:rPr>
          <w:t>http://www.epa.govt.nz/assets/Uploads/Documents/Hazardous-Substances/Guidance/1080-Communications-Guidelines.pdf</w:t>
        </w:r>
      </w:hyperlink>
      <w:r>
        <w:rPr>
          <w:rFonts w:cs="Arial"/>
        </w:rPr>
        <w:t xml:space="preserve"> </w:t>
      </w:r>
      <w:r>
        <w:t>(accessed 17 December 2021).</w:t>
      </w:r>
    </w:p>
    <w:p w14:paraId="610C1AF0" w14:textId="773C5EEB" w:rsidR="00BF0FA0" w:rsidRPr="00C6138D" w:rsidRDefault="00BF0FA0" w:rsidP="00BF0FA0">
      <w:pPr>
        <w:pStyle w:val="References"/>
      </w:pPr>
      <w:r>
        <w:rPr>
          <w:rFonts w:cs="Arial"/>
          <w:szCs w:val="22"/>
        </w:rPr>
        <w:t xml:space="preserve">EPA [formerly </w:t>
      </w:r>
      <w:r w:rsidRPr="00E57CBB">
        <w:rPr>
          <w:rFonts w:cs="Arial"/>
          <w:szCs w:val="22"/>
        </w:rPr>
        <w:t>E</w:t>
      </w:r>
      <w:r w:rsidR="00CB19CA">
        <w:rPr>
          <w:rFonts w:cs="Arial"/>
          <w:szCs w:val="22"/>
        </w:rPr>
        <w:t>RMA</w:t>
      </w:r>
      <w:r>
        <w:rPr>
          <w:rFonts w:cs="Arial"/>
          <w:szCs w:val="22"/>
        </w:rPr>
        <w:t>]</w:t>
      </w:r>
      <w:r w:rsidRPr="00E57CBB">
        <w:rPr>
          <w:rFonts w:cs="Arial"/>
          <w:szCs w:val="22"/>
        </w:rPr>
        <w:t>.</w:t>
      </w:r>
      <w:r>
        <w:rPr>
          <w:rFonts w:cs="Arial"/>
          <w:szCs w:val="22"/>
        </w:rPr>
        <w:t xml:space="preserve"> </w:t>
      </w:r>
      <w:r>
        <w:t>2009b.</w:t>
      </w:r>
      <w:r w:rsidRPr="005641BB">
        <w:t xml:space="preserve"> </w:t>
      </w:r>
      <w:r w:rsidRPr="002465B6">
        <w:rPr>
          <w:i/>
        </w:rPr>
        <w:t xml:space="preserve">Evaluation and Review Report: Application for </w:t>
      </w:r>
      <w:r w:rsidRPr="002A157A">
        <w:rPr>
          <w:i/>
        </w:rPr>
        <w:t>approval to import or manufacture microe</w:t>
      </w:r>
      <w:r w:rsidRPr="002465B6">
        <w:rPr>
          <w:i/>
        </w:rPr>
        <w:t xml:space="preserve">ncapsulated </w:t>
      </w:r>
      <w:r w:rsidRPr="002A157A">
        <w:rPr>
          <w:i/>
        </w:rPr>
        <w:t>zinc phos</w:t>
      </w:r>
      <w:r w:rsidRPr="002465B6">
        <w:rPr>
          <w:i/>
        </w:rPr>
        <w:t>phide (MZP) and MZP</w:t>
      </w:r>
      <w:r w:rsidRPr="002A157A">
        <w:rPr>
          <w:i/>
        </w:rPr>
        <w:t xml:space="preserve"> paste for rele</w:t>
      </w:r>
      <w:r w:rsidRPr="002465B6">
        <w:rPr>
          <w:i/>
        </w:rPr>
        <w:t>ase</w:t>
      </w:r>
      <w:r>
        <w:rPr>
          <w:i/>
        </w:rPr>
        <w:t>.</w:t>
      </w:r>
      <w:r w:rsidRPr="00634F3A">
        <w:rPr>
          <w:i/>
        </w:rPr>
        <w:t xml:space="preserve"> </w:t>
      </w:r>
      <w:r>
        <w:t xml:space="preserve">Application Number: </w:t>
      </w:r>
      <w:r w:rsidRPr="00634F3A">
        <w:t>HSR09013</w:t>
      </w:r>
      <w:r w:rsidRPr="002465B6">
        <w:rPr>
          <w:i/>
        </w:rPr>
        <w:t>.</w:t>
      </w:r>
      <w:r>
        <w:t xml:space="preserve"> </w:t>
      </w:r>
      <w:r w:rsidRPr="00E57CBB">
        <w:rPr>
          <w:rFonts w:cs="Arial"/>
          <w:szCs w:val="22"/>
        </w:rPr>
        <w:t xml:space="preserve">Wellington: </w:t>
      </w:r>
      <w:r w:rsidR="00CB19CA" w:rsidRPr="00E57CBB">
        <w:rPr>
          <w:rFonts w:cs="Arial"/>
          <w:szCs w:val="22"/>
        </w:rPr>
        <w:t>Environmental Risk Management Authority</w:t>
      </w:r>
      <w:r w:rsidR="00CB19CA" w:rsidRPr="00E57CBB" w:rsidDel="00CB19CA">
        <w:rPr>
          <w:rFonts w:cs="Arial"/>
          <w:szCs w:val="22"/>
        </w:rPr>
        <w:t xml:space="preserve"> </w:t>
      </w:r>
      <w:r w:rsidRPr="00E57CBB">
        <w:rPr>
          <w:rFonts w:cs="Arial"/>
          <w:szCs w:val="22"/>
        </w:rPr>
        <w:t>New Zealand.</w:t>
      </w:r>
      <w:r>
        <w:rPr>
          <w:rFonts w:cs="Arial"/>
          <w:szCs w:val="22"/>
        </w:rPr>
        <w:t xml:space="preserve"> URL: </w:t>
      </w:r>
      <w:hyperlink r:id="rId62" w:history="1">
        <w:r w:rsidRPr="00FA0B2F">
          <w:rPr>
            <w:rStyle w:val="Hyperlink"/>
            <w:rFonts w:eastAsia="MS Gothic" w:cs="Arial"/>
          </w:rPr>
          <w:t>https://www.epa.govt.nz/assets/FileAPI/hsno-ar/HSR09013/bbd9a1178d/HSR09013-HSR09013-Evaluation-and-Review-Report.pdf</w:t>
        </w:r>
      </w:hyperlink>
      <w:r>
        <w:t xml:space="preserve"> (accessed 17 December 2021).</w:t>
      </w:r>
    </w:p>
    <w:p w14:paraId="56565D8B" w14:textId="77777777" w:rsidR="00153568" w:rsidRDefault="00153568" w:rsidP="00BF0FA0">
      <w:pPr>
        <w:pStyle w:val="References"/>
        <w:rPr>
          <w:rFonts w:cs="Arial"/>
        </w:rPr>
      </w:pPr>
    </w:p>
    <w:p w14:paraId="69DABF49" w14:textId="77777777" w:rsidR="00153568" w:rsidRDefault="00153568" w:rsidP="00BF0FA0">
      <w:pPr>
        <w:pStyle w:val="References"/>
        <w:rPr>
          <w:rFonts w:cs="Arial"/>
        </w:rPr>
      </w:pPr>
    </w:p>
    <w:p w14:paraId="28726545" w14:textId="4A4F9382" w:rsidR="00BF0FA0" w:rsidRDefault="00BF0FA0" w:rsidP="00BF0FA0">
      <w:pPr>
        <w:pStyle w:val="References"/>
        <w:rPr>
          <w:rFonts w:cs="Arial"/>
        </w:rPr>
      </w:pPr>
      <w:r w:rsidRPr="005641BB">
        <w:rPr>
          <w:rFonts w:cs="Arial"/>
        </w:rPr>
        <w:t>EPA</w:t>
      </w:r>
      <w:r>
        <w:rPr>
          <w:rFonts w:cs="Arial"/>
        </w:rPr>
        <w:t xml:space="preserve">. 2011. </w:t>
      </w:r>
      <w:r w:rsidRPr="00EE6EAC">
        <w:rPr>
          <w:rFonts w:cs="Arial"/>
          <w:i/>
        </w:rPr>
        <w:t>MZP and MZP Paste Decision</w:t>
      </w:r>
      <w:r>
        <w:rPr>
          <w:rFonts w:cs="Arial"/>
        </w:rPr>
        <w:t>.</w:t>
      </w:r>
      <w:r w:rsidRPr="005641BB">
        <w:rPr>
          <w:rFonts w:cs="Arial"/>
        </w:rPr>
        <w:t xml:space="preserve"> </w:t>
      </w:r>
      <w:r w:rsidRPr="00E57CBB">
        <w:rPr>
          <w:rFonts w:cs="Arial"/>
          <w:szCs w:val="22"/>
        </w:rPr>
        <w:t>Wellington: Environmental Protection Authority</w:t>
      </w:r>
      <w:r>
        <w:rPr>
          <w:rFonts w:cs="Arial"/>
          <w:szCs w:val="22"/>
        </w:rPr>
        <w:t xml:space="preserve">. URL: </w:t>
      </w:r>
      <w:hyperlink r:id="rId63" w:history="1">
        <w:r w:rsidRPr="005C5B9E">
          <w:rPr>
            <w:rStyle w:val="Hyperlink"/>
            <w:rFonts w:eastAsia="MS Gothic" w:cs="Arial"/>
          </w:rPr>
          <w:t>https://www.epa.govt.nz/assets/FileAPI/hsno-ar/HSR09013/7f691f0fd6/HSR09013-HSR09013-Decision-amended.pdf</w:t>
        </w:r>
      </w:hyperlink>
      <w:r>
        <w:rPr>
          <w:rFonts w:cs="Arial"/>
        </w:rPr>
        <w:t xml:space="preserve"> </w:t>
      </w:r>
      <w:r>
        <w:t>(accessed 17 December 2021).</w:t>
      </w:r>
    </w:p>
    <w:p w14:paraId="47A3DA1D" w14:textId="77777777" w:rsidR="00BF0FA0" w:rsidRPr="00E57CBB" w:rsidRDefault="00BF0FA0" w:rsidP="00BF0FA0">
      <w:pPr>
        <w:pStyle w:val="References"/>
        <w:rPr>
          <w:rFonts w:cs="Arial"/>
          <w:szCs w:val="22"/>
        </w:rPr>
      </w:pPr>
      <w:r w:rsidRPr="00E57CBB">
        <w:rPr>
          <w:rFonts w:cs="Arial"/>
          <w:szCs w:val="22"/>
        </w:rPr>
        <w:t>E</w:t>
      </w:r>
      <w:r>
        <w:rPr>
          <w:rFonts w:cs="Arial"/>
          <w:szCs w:val="22"/>
        </w:rPr>
        <w:t>PA</w:t>
      </w:r>
      <w:r w:rsidRPr="00E57CBB">
        <w:rPr>
          <w:rFonts w:cs="Arial"/>
          <w:szCs w:val="22"/>
        </w:rPr>
        <w:t xml:space="preserve">. 2020. </w:t>
      </w:r>
      <w:r w:rsidRPr="00E57CBB">
        <w:rPr>
          <w:rFonts w:cs="Arial"/>
          <w:i/>
          <w:iCs/>
          <w:szCs w:val="22"/>
        </w:rPr>
        <w:t>Roles and Responsibilities: Hazardous substance enforcement under the HSNO Act 1996</w:t>
      </w:r>
      <w:r w:rsidRPr="00E57CBB">
        <w:rPr>
          <w:rFonts w:cs="Arial"/>
          <w:szCs w:val="22"/>
        </w:rPr>
        <w:t>. Wellington: Environmental Protection Authority</w:t>
      </w:r>
      <w:r>
        <w:rPr>
          <w:rFonts w:cs="Arial"/>
          <w:szCs w:val="22"/>
        </w:rPr>
        <w:t>.</w:t>
      </w:r>
    </w:p>
    <w:p w14:paraId="73F36066" w14:textId="71B44F27" w:rsidR="00BF0FA0" w:rsidRPr="005641BB" w:rsidRDefault="00BF0FA0" w:rsidP="00BF0FA0">
      <w:pPr>
        <w:pStyle w:val="References"/>
      </w:pPr>
      <w:r w:rsidRPr="005641BB">
        <w:t>EPA</w:t>
      </w:r>
      <w:r>
        <w:t xml:space="preserve">. 2021a. </w:t>
      </w:r>
      <w:r>
        <w:rPr>
          <w:i/>
        </w:rPr>
        <w:t xml:space="preserve">Approval for Campaign </w:t>
      </w:r>
      <w:r w:rsidR="003D0468">
        <w:rPr>
          <w:i/>
        </w:rPr>
        <w:t>A</w:t>
      </w:r>
      <w:r>
        <w:rPr>
          <w:i/>
        </w:rPr>
        <w:t xml:space="preserve">nt </w:t>
      </w:r>
      <w:r w:rsidR="003D0468">
        <w:rPr>
          <w:i/>
        </w:rPr>
        <w:t>B</w:t>
      </w:r>
      <w:r>
        <w:rPr>
          <w:i/>
        </w:rPr>
        <w:t>ait.</w:t>
      </w:r>
      <w:r w:rsidRPr="005641BB">
        <w:t xml:space="preserve"> </w:t>
      </w:r>
      <w:r w:rsidRPr="00E57CBB">
        <w:rPr>
          <w:rFonts w:cs="Arial"/>
          <w:szCs w:val="22"/>
        </w:rPr>
        <w:t>Wellington: Environmental Protection Authority</w:t>
      </w:r>
      <w:r>
        <w:rPr>
          <w:rFonts w:cs="Arial"/>
          <w:szCs w:val="22"/>
        </w:rPr>
        <w:t xml:space="preserve">. URL: </w:t>
      </w:r>
      <w:hyperlink r:id="rId64" w:history="1">
        <w:r w:rsidRPr="00010AC2">
          <w:rPr>
            <w:rStyle w:val="Hyperlink"/>
            <w:rFonts w:eastAsia="MS Gothic" w:cs="Arial"/>
          </w:rPr>
          <w:t>https://www.epa.govt.nz/assets/RecordsAPI/Campaign_ant_bait_HSR007881.pdf</w:t>
        </w:r>
      </w:hyperlink>
      <w:r>
        <w:rPr>
          <w:rFonts w:cs="Arial"/>
        </w:rPr>
        <w:t xml:space="preserve"> </w:t>
      </w:r>
      <w:r>
        <w:t>(accessed 17 December 2021).</w:t>
      </w:r>
    </w:p>
    <w:p w14:paraId="5AC62F66" w14:textId="10564AF4" w:rsidR="00BF0FA0" w:rsidRPr="008B5478" w:rsidRDefault="00BF0FA0" w:rsidP="00BF0FA0">
      <w:pPr>
        <w:pStyle w:val="References"/>
        <w:rPr>
          <w:spacing w:val="-2"/>
        </w:rPr>
      </w:pPr>
      <w:r w:rsidRPr="008B5478">
        <w:rPr>
          <w:rFonts w:cs="Arial"/>
          <w:spacing w:val="-2"/>
        </w:rPr>
        <w:t xml:space="preserve">EPA. 2021b. </w:t>
      </w:r>
      <w:r w:rsidRPr="008B5478">
        <w:rPr>
          <w:rFonts w:cs="Arial"/>
          <w:i/>
          <w:spacing w:val="-2"/>
        </w:rPr>
        <w:t xml:space="preserve">Approval for Amdro Fire </w:t>
      </w:r>
      <w:r w:rsidR="003D0468" w:rsidRPr="008B5478">
        <w:rPr>
          <w:rFonts w:cs="Arial"/>
          <w:i/>
          <w:spacing w:val="-2"/>
        </w:rPr>
        <w:t>A</w:t>
      </w:r>
      <w:r w:rsidRPr="008B5478">
        <w:rPr>
          <w:rFonts w:cs="Arial"/>
          <w:i/>
          <w:spacing w:val="-2"/>
        </w:rPr>
        <w:t xml:space="preserve">nt </w:t>
      </w:r>
      <w:r w:rsidR="003D0468" w:rsidRPr="008B5478">
        <w:rPr>
          <w:rFonts w:cs="Arial"/>
          <w:i/>
          <w:spacing w:val="-2"/>
        </w:rPr>
        <w:t>B</w:t>
      </w:r>
      <w:r w:rsidRPr="008B5478">
        <w:rPr>
          <w:rFonts w:cs="Arial"/>
          <w:i/>
          <w:spacing w:val="-2"/>
        </w:rPr>
        <w:t>ait.</w:t>
      </w:r>
      <w:r w:rsidRPr="008B5478">
        <w:rPr>
          <w:rFonts w:cs="Arial"/>
          <w:spacing w:val="-2"/>
          <w:szCs w:val="22"/>
        </w:rPr>
        <w:t xml:space="preserve"> Wellington: Environmental Protection Authority.</w:t>
      </w:r>
      <w:r w:rsidRPr="008B5478">
        <w:rPr>
          <w:rFonts w:cs="Arial"/>
          <w:spacing w:val="-2"/>
        </w:rPr>
        <w:t xml:space="preserve"> URL: </w:t>
      </w:r>
      <w:hyperlink r:id="rId65" w:history="1">
        <w:r w:rsidRPr="008B5478">
          <w:rPr>
            <w:rStyle w:val="Hyperlink"/>
            <w:rFonts w:eastAsia="MS Gothic" w:cs="Arial"/>
            <w:spacing w:val="-2"/>
          </w:rPr>
          <w:t>https://www.epa.govt.nz/assets/RecordsAPI/Amdro_Fire_Ant_Bait_HSR007882.pdf</w:t>
        </w:r>
      </w:hyperlink>
      <w:r w:rsidRPr="008B5478">
        <w:rPr>
          <w:rFonts w:cs="Arial"/>
          <w:spacing w:val="-2"/>
        </w:rPr>
        <w:t xml:space="preserve"> </w:t>
      </w:r>
      <w:r w:rsidRPr="008B5478">
        <w:rPr>
          <w:spacing w:val="-2"/>
        </w:rPr>
        <w:t>(accessed 17 December 2021).</w:t>
      </w:r>
    </w:p>
    <w:p w14:paraId="3F8742DE" w14:textId="42E28F67" w:rsidR="00B35E8E" w:rsidRPr="008B5478" w:rsidRDefault="00B35E8E" w:rsidP="00B35E8E">
      <w:pPr>
        <w:pStyle w:val="References"/>
        <w:rPr>
          <w:spacing w:val="-2"/>
        </w:rPr>
      </w:pPr>
      <w:r w:rsidRPr="008B5478">
        <w:rPr>
          <w:spacing w:val="-2"/>
        </w:rPr>
        <w:t xml:space="preserve">EPA. 2021c. </w:t>
      </w:r>
      <w:r w:rsidRPr="008B5478">
        <w:rPr>
          <w:i/>
          <w:iCs/>
          <w:spacing w:val="-2"/>
        </w:rPr>
        <w:t xml:space="preserve">HSNO Controls for Advion </w:t>
      </w:r>
      <w:r w:rsidR="003D0468" w:rsidRPr="008B5478">
        <w:rPr>
          <w:i/>
          <w:iCs/>
          <w:spacing w:val="-2"/>
        </w:rPr>
        <w:t>F</w:t>
      </w:r>
      <w:r w:rsidRPr="008B5478">
        <w:rPr>
          <w:i/>
          <w:iCs/>
          <w:spacing w:val="-2"/>
        </w:rPr>
        <w:t xml:space="preserve">ire </w:t>
      </w:r>
      <w:r w:rsidR="003D0468" w:rsidRPr="008B5478">
        <w:rPr>
          <w:i/>
          <w:iCs/>
          <w:spacing w:val="-2"/>
        </w:rPr>
        <w:t>A</w:t>
      </w:r>
      <w:r w:rsidRPr="008B5478">
        <w:rPr>
          <w:i/>
          <w:iCs/>
          <w:spacing w:val="-2"/>
        </w:rPr>
        <w:t xml:space="preserve">nt </w:t>
      </w:r>
      <w:r w:rsidR="003D0468" w:rsidRPr="008B5478">
        <w:rPr>
          <w:i/>
          <w:iCs/>
          <w:spacing w:val="-2"/>
        </w:rPr>
        <w:t>B</w:t>
      </w:r>
      <w:r w:rsidRPr="008B5478">
        <w:rPr>
          <w:i/>
          <w:iCs/>
          <w:spacing w:val="-2"/>
        </w:rPr>
        <w:t>ait</w:t>
      </w:r>
      <w:r w:rsidRPr="008B5478">
        <w:rPr>
          <w:spacing w:val="-2"/>
        </w:rPr>
        <w:t xml:space="preserve">. </w:t>
      </w:r>
      <w:r w:rsidRPr="008B5478">
        <w:rPr>
          <w:rFonts w:cs="Arial"/>
          <w:spacing w:val="-2"/>
          <w:szCs w:val="22"/>
        </w:rPr>
        <w:t>Wellington: Environmental Protection Authority.</w:t>
      </w:r>
      <w:r w:rsidRPr="008B5478">
        <w:rPr>
          <w:rFonts w:cs="Arial"/>
          <w:spacing w:val="-2"/>
        </w:rPr>
        <w:t xml:space="preserve"> URL: </w:t>
      </w:r>
      <w:hyperlink r:id="rId66" w:history="1">
        <w:r w:rsidRPr="008B5478">
          <w:rPr>
            <w:rStyle w:val="Hyperlink"/>
            <w:rFonts w:eastAsia="MS Gothic" w:cs="Arial"/>
            <w:spacing w:val="-2"/>
          </w:rPr>
          <w:t>https://www.epa.govt.nz/assets/RecordsAPI/Advion_fire_ant_bait_HSR007905.pdf</w:t>
        </w:r>
      </w:hyperlink>
      <w:r w:rsidRPr="008B5478">
        <w:rPr>
          <w:rFonts w:eastAsia="MS Gothic"/>
          <w:spacing w:val="-2"/>
        </w:rPr>
        <w:t xml:space="preserve"> (accessed 26 April 2022).</w:t>
      </w:r>
    </w:p>
    <w:p w14:paraId="4CAF7699" w14:textId="5986243E" w:rsidR="00BF0FA0" w:rsidRPr="003A4E63" w:rsidRDefault="00BF0FA0" w:rsidP="00BF0FA0">
      <w:pPr>
        <w:pStyle w:val="References"/>
      </w:pPr>
      <w:r w:rsidRPr="002465B6">
        <w:rPr>
          <w:rFonts w:cs="Arial"/>
        </w:rPr>
        <w:t>Manaaki Whenua. 2019.</w:t>
      </w:r>
      <w:r w:rsidRPr="002465B6">
        <w:rPr>
          <w:rFonts w:cs="Arial"/>
          <w:i/>
          <w:iCs/>
        </w:rPr>
        <w:t xml:space="preserve"> </w:t>
      </w:r>
      <w:r w:rsidRPr="002465B6">
        <w:t>Guideline for sampling and testing water associated with monitoring of aerial 1080 baiting operations</w:t>
      </w:r>
      <w:r>
        <w:t xml:space="preserve">. Wellington: </w:t>
      </w:r>
      <w:r w:rsidRPr="002465B6">
        <w:rPr>
          <w:rFonts w:cs="Arial"/>
        </w:rPr>
        <w:t>Manaaki Whenua Landcare Research</w:t>
      </w:r>
      <w:r>
        <w:rPr>
          <w:rFonts w:cs="Arial"/>
        </w:rPr>
        <w:t>. URL:</w:t>
      </w:r>
      <w:r w:rsidRPr="002465B6">
        <w:t xml:space="preserve"> </w:t>
      </w:r>
      <w:hyperlink r:id="rId67" w:history="1">
        <w:r w:rsidRPr="00BF0FA0">
          <w:rPr>
            <w:rStyle w:val="Hyperlink"/>
          </w:rPr>
          <w:t>https://www.landcareresearch.co.nz/partner-with-us/laboratories-and-diagnostics/toxicology-laboratory/sampling-protocols/guideline-for-sampling-and-testing-water-associated-with-monitoring-of-aerial-1080-baiting-operations/</w:t>
        </w:r>
      </w:hyperlink>
      <w:r w:rsidR="003A4E63">
        <w:t xml:space="preserve"> (accessed 26 April 2022).</w:t>
      </w:r>
    </w:p>
    <w:p w14:paraId="0265B46A" w14:textId="77777777" w:rsidR="00BF0FA0" w:rsidRDefault="00BF0FA0" w:rsidP="00BF0FA0">
      <w:pPr>
        <w:pStyle w:val="References"/>
        <w:rPr>
          <w:rFonts w:cs="Arial"/>
          <w:szCs w:val="22"/>
        </w:rPr>
      </w:pPr>
      <w:r w:rsidRPr="00E57CBB">
        <w:rPr>
          <w:rFonts w:cs="Arial"/>
          <w:szCs w:val="22"/>
        </w:rPr>
        <w:t>Meenken D, Eason CT. 1995. Effects of water quality of a possum (</w:t>
      </w:r>
      <w:r w:rsidRPr="00E57CBB">
        <w:rPr>
          <w:rFonts w:cs="Arial"/>
          <w:i/>
          <w:iCs/>
          <w:szCs w:val="22"/>
        </w:rPr>
        <w:t>Trichosurus vulpecula</w:t>
      </w:r>
      <w:r w:rsidRPr="00E57CBB">
        <w:rPr>
          <w:rFonts w:cs="Arial"/>
          <w:szCs w:val="22"/>
        </w:rPr>
        <w:t xml:space="preserve">) poisoning operation using toxin 1080 (sodium monofluoroacetate). </w:t>
      </w:r>
      <w:r w:rsidRPr="00E57CBB">
        <w:rPr>
          <w:rFonts w:cs="Arial"/>
          <w:i/>
          <w:iCs/>
          <w:szCs w:val="22"/>
        </w:rPr>
        <w:t>New Zealand Journal of Marine and Freshwater Research</w:t>
      </w:r>
      <w:r w:rsidRPr="00E57CBB">
        <w:rPr>
          <w:rFonts w:cs="Arial"/>
          <w:szCs w:val="22"/>
        </w:rPr>
        <w:t xml:space="preserve"> 29: 25–8.</w:t>
      </w:r>
    </w:p>
    <w:p w14:paraId="12C6E5AE" w14:textId="77777777" w:rsidR="00BF0FA0" w:rsidRDefault="00BF0FA0" w:rsidP="00BF0FA0">
      <w:pPr>
        <w:pStyle w:val="References"/>
        <w:rPr>
          <w:rStyle w:val="Hyperlink"/>
          <w:rFonts w:eastAsia="MS Gothic" w:cs="Arial"/>
          <w:szCs w:val="22"/>
        </w:rPr>
      </w:pPr>
      <w:r w:rsidRPr="00E57CBB">
        <w:rPr>
          <w:rFonts w:cs="Arial"/>
          <w:szCs w:val="22"/>
        </w:rPr>
        <w:t>Ministry of Health. 20</w:t>
      </w:r>
      <w:r>
        <w:rPr>
          <w:rFonts w:cs="Arial"/>
          <w:szCs w:val="22"/>
        </w:rPr>
        <w:t>07</w:t>
      </w:r>
      <w:r w:rsidRPr="00E57CBB">
        <w:rPr>
          <w:rFonts w:cs="Arial"/>
          <w:szCs w:val="22"/>
        </w:rPr>
        <w:t xml:space="preserve">. </w:t>
      </w:r>
      <w:r w:rsidRPr="00801514">
        <w:rPr>
          <w:rFonts w:cs="Arial"/>
          <w:i/>
          <w:iCs/>
          <w:color w:val="000000" w:themeColor="text1"/>
        </w:rPr>
        <w:t xml:space="preserve">The Investigation and Surveillance of Agrichemical Spraydrift Incidents: Guidelines for </w:t>
      </w:r>
      <w:r>
        <w:rPr>
          <w:rFonts w:cs="Arial"/>
          <w:i/>
          <w:iCs/>
          <w:color w:val="000000" w:themeColor="text1"/>
        </w:rPr>
        <w:t>p</w:t>
      </w:r>
      <w:r w:rsidRPr="00801514">
        <w:rPr>
          <w:rFonts w:cs="Arial"/>
          <w:i/>
          <w:iCs/>
          <w:color w:val="000000" w:themeColor="text1"/>
        </w:rPr>
        <w:t xml:space="preserve">ublic </w:t>
      </w:r>
      <w:r>
        <w:rPr>
          <w:rFonts w:cs="Arial"/>
          <w:i/>
          <w:iCs/>
          <w:color w:val="000000" w:themeColor="text1"/>
        </w:rPr>
        <w:t>h</w:t>
      </w:r>
      <w:r w:rsidRPr="00801514">
        <w:rPr>
          <w:rFonts w:cs="Arial"/>
          <w:i/>
          <w:iCs/>
          <w:color w:val="000000" w:themeColor="text1"/>
        </w:rPr>
        <w:t xml:space="preserve">ealth </w:t>
      </w:r>
      <w:r>
        <w:rPr>
          <w:rFonts w:cs="Arial"/>
          <w:i/>
          <w:iCs/>
          <w:color w:val="000000" w:themeColor="text1"/>
        </w:rPr>
        <w:t>u</w:t>
      </w:r>
      <w:r w:rsidRPr="00801514">
        <w:rPr>
          <w:rFonts w:cs="Arial"/>
          <w:i/>
          <w:iCs/>
          <w:color w:val="000000" w:themeColor="text1"/>
        </w:rPr>
        <w:t>nits</w:t>
      </w:r>
      <w:r>
        <w:rPr>
          <w:rFonts w:cs="Arial"/>
          <w:i/>
          <w:iCs/>
          <w:color w:val="000000" w:themeColor="text1"/>
        </w:rPr>
        <w:t>. Revised edition</w:t>
      </w:r>
      <w:r w:rsidRPr="00801514">
        <w:rPr>
          <w:rFonts w:cs="Arial"/>
          <w:color w:val="000000" w:themeColor="text1"/>
          <w:szCs w:val="22"/>
        </w:rPr>
        <w:t xml:space="preserve">. </w:t>
      </w:r>
      <w:r w:rsidRPr="00E57CBB">
        <w:rPr>
          <w:rFonts w:cs="Arial"/>
          <w:szCs w:val="22"/>
        </w:rPr>
        <w:t xml:space="preserve">Wellington: Ministry of Health. </w:t>
      </w:r>
      <w:r>
        <w:rPr>
          <w:rFonts w:cs="Arial"/>
          <w:szCs w:val="22"/>
        </w:rPr>
        <w:t xml:space="preserve">URL: </w:t>
      </w:r>
      <w:hyperlink r:id="rId68" w:history="1">
        <w:r w:rsidRPr="00D96EEB">
          <w:rPr>
            <w:rStyle w:val="Hyperlink"/>
            <w:rFonts w:eastAsia="MS Gothic" w:cs="Arial"/>
            <w:szCs w:val="22"/>
          </w:rPr>
          <w:t>https://www.health.govt.nz/publication/investigation-and-surveillance-poisoning-and-hazardous-substance-injuries-guidelines-public-health</w:t>
        </w:r>
      </w:hyperlink>
      <w:r>
        <w:rPr>
          <w:rStyle w:val="Hyperlink"/>
          <w:rFonts w:eastAsia="MS Gothic" w:cs="Arial"/>
          <w:szCs w:val="22"/>
        </w:rPr>
        <w:t xml:space="preserve"> </w:t>
      </w:r>
      <w:r w:rsidRPr="0093352E">
        <w:rPr>
          <w:rFonts w:eastAsia="MS Gothic"/>
        </w:rPr>
        <w:t>(accessed 15 December 2021)</w:t>
      </w:r>
      <w:r>
        <w:rPr>
          <w:rStyle w:val="Hyperlink"/>
          <w:rFonts w:eastAsia="MS Gothic" w:cs="Arial"/>
          <w:szCs w:val="22"/>
        </w:rPr>
        <w:t>.</w:t>
      </w:r>
    </w:p>
    <w:p w14:paraId="73660D44" w14:textId="77777777" w:rsidR="00BF0FA0" w:rsidRPr="00E57CBB" w:rsidRDefault="00BF0FA0" w:rsidP="00BF0FA0">
      <w:pPr>
        <w:pStyle w:val="References"/>
        <w:rPr>
          <w:rFonts w:cs="Arial"/>
          <w:szCs w:val="22"/>
        </w:rPr>
      </w:pPr>
      <w:r w:rsidRPr="0093352E">
        <w:rPr>
          <w:rStyle w:val="Hyperlink"/>
          <w:rFonts w:eastAsia="MS Gothic" w:cs="Arial"/>
          <w:b w:val="0"/>
          <w:bCs/>
          <w:szCs w:val="22"/>
        </w:rPr>
        <w:t>Ministry of Health. 2018.</w:t>
      </w:r>
      <w:r w:rsidRPr="003D4DD6">
        <w:rPr>
          <w:i/>
        </w:rPr>
        <w:t xml:space="preserve"> </w:t>
      </w:r>
      <w:r>
        <w:rPr>
          <w:i/>
        </w:rPr>
        <w:t>Drinking-water Standards for New Zealand 2005 (revised 2018)</w:t>
      </w:r>
      <w:r>
        <w:t xml:space="preserve">. Wellington: Ministry of Health. URL: </w:t>
      </w:r>
      <w:hyperlink r:id="rId69" w:history="1">
        <w:r w:rsidRPr="0088447F">
          <w:rPr>
            <w:rStyle w:val="Hyperlink"/>
            <w:rFonts w:eastAsia="MS Gothic" w:cs="Arial"/>
            <w:lang w:eastAsia="en-NZ"/>
          </w:rPr>
          <w:t>https://www.taumataarowai.govt.nz/for-water-suppliers/current-drinking-water-standards/</w:t>
        </w:r>
      </w:hyperlink>
      <w:r w:rsidRPr="0093352E">
        <w:rPr>
          <w:rFonts w:eastAsia="MS Gothic"/>
        </w:rPr>
        <w:t xml:space="preserve"> (accessed 16 December 2021).</w:t>
      </w:r>
    </w:p>
    <w:p w14:paraId="2D17DE5E" w14:textId="77777777" w:rsidR="00BF0FA0" w:rsidRPr="00E57CBB" w:rsidRDefault="00BF0FA0" w:rsidP="00BF0FA0">
      <w:pPr>
        <w:pStyle w:val="References"/>
        <w:rPr>
          <w:rStyle w:val="Hyperlink"/>
          <w:rFonts w:eastAsia="MS Gothic" w:cs="Arial"/>
          <w:szCs w:val="22"/>
        </w:rPr>
      </w:pPr>
      <w:r w:rsidRPr="00E57CBB">
        <w:rPr>
          <w:rFonts w:cs="Arial"/>
          <w:szCs w:val="22"/>
        </w:rPr>
        <w:t>Ministry of Health. 201</w:t>
      </w:r>
      <w:r>
        <w:rPr>
          <w:rFonts w:cs="Arial"/>
          <w:szCs w:val="22"/>
        </w:rPr>
        <w:t>9</w:t>
      </w:r>
      <w:r w:rsidRPr="00E57CBB">
        <w:rPr>
          <w:rFonts w:cs="Arial"/>
          <w:szCs w:val="22"/>
        </w:rPr>
        <w:t xml:space="preserve">. </w:t>
      </w:r>
      <w:r w:rsidRPr="00E57CBB">
        <w:rPr>
          <w:rFonts w:cs="Arial"/>
          <w:i/>
          <w:iCs/>
          <w:szCs w:val="22"/>
        </w:rPr>
        <w:t>The Investigation and Surveillance of Poisonings and Hazardous</w:t>
      </w:r>
      <w:r>
        <w:rPr>
          <w:rFonts w:cs="Arial"/>
          <w:i/>
          <w:iCs/>
          <w:szCs w:val="22"/>
        </w:rPr>
        <w:t>-s</w:t>
      </w:r>
      <w:r w:rsidRPr="00E57CBB">
        <w:rPr>
          <w:rFonts w:cs="Arial"/>
          <w:i/>
          <w:iCs/>
          <w:szCs w:val="22"/>
        </w:rPr>
        <w:t>ubstance Injuries: Guidelines for public health units</w:t>
      </w:r>
      <w:r>
        <w:rPr>
          <w:rFonts w:cs="Arial"/>
          <w:i/>
          <w:iCs/>
          <w:szCs w:val="22"/>
        </w:rPr>
        <w:t xml:space="preserve"> </w:t>
      </w:r>
      <w:r>
        <w:rPr>
          <w:rFonts w:cs="Arial"/>
          <w:iCs/>
          <w:szCs w:val="22"/>
        </w:rPr>
        <w:t>(4th edn)</w:t>
      </w:r>
      <w:r w:rsidRPr="00E57CBB">
        <w:rPr>
          <w:rFonts w:cs="Arial"/>
          <w:szCs w:val="22"/>
        </w:rPr>
        <w:t xml:space="preserve">. Wellington: Ministry of Health. URL: </w:t>
      </w:r>
      <w:hyperlink r:id="rId70" w:history="1">
        <w:r w:rsidRPr="00D96EEB">
          <w:rPr>
            <w:rStyle w:val="Hyperlink"/>
            <w:rFonts w:eastAsia="MS Gothic" w:cs="Arial"/>
            <w:szCs w:val="22"/>
          </w:rPr>
          <w:t>https://www.health.govt.nz/system/files/documents/publications/investigation-surveillance-poisoning-hazardous-substance-injuries-guidelines-public-health-units-mar2019.pdf</w:t>
        </w:r>
      </w:hyperlink>
      <w:r>
        <w:rPr>
          <w:rStyle w:val="Hyperlink"/>
          <w:rFonts w:eastAsia="MS Gothic" w:cs="Arial"/>
          <w:szCs w:val="22"/>
        </w:rPr>
        <w:t xml:space="preserve"> </w:t>
      </w:r>
      <w:r w:rsidRPr="0093352E">
        <w:rPr>
          <w:rFonts w:eastAsia="MS Gothic"/>
        </w:rPr>
        <w:t>(accessed 15 December 2021).</w:t>
      </w:r>
    </w:p>
    <w:p w14:paraId="07BA8EF3" w14:textId="77777777" w:rsidR="00BF0FA0" w:rsidRDefault="00BF0FA0" w:rsidP="00BF0FA0">
      <w:pPr>
        <w:pStyle w:val="References"/>
      </w:pPr>
      <w:r w:rsidRPr="006B7407">
        <w:t xml:space="preserve">New Zealand Food Safety Authority. 2002. </w:t>
      </w:r>
      <w:r w:rsidRPr="006B7407">
        <w:rPr>
          <w:i/>
        </w:rPr>
        <w:t>Controlled Pesticides: DRC 1339 for bird control.</w:t>
      </w:r>
      <w:r w:rsidRPr="006B7407">
        <w:t xml:space="preserve"> Wellington</w:t>
      </w:r>
      <w:r>
        <w:t>:</w:t>
      </w:r>
      <w:r w:rsidRPr="006B7407">
        <w:t xml:space="preserve"> New Zealand Food Safety Authority.</w:t>
      </w:r>
    </w:p>
    <w:p w14:paraId="07815E7C" w14:textId="77777777" w:rsidR="00BF0FA0" w:rsidRPr="00E57CBB" w:rsidRDefault="00BF0FA0" w:rsidP="00BF0FA0">
      <w:pPr>
        <w:pStyle w:val="References"/>
        <w:rPr>
          <w:rFonts w:cs="Arial"/>
          <w:szCs w:val="22"/>
        </w:rPr>
      </w:pPr>
      <w:r w:rsidRPr="00E57CBB">
        <w:rPr>
          <w:rFonts w:cs="Arial"/>
          <w:szCs w:val="22"/>
        </w:rPr>
        <w:t xml:space="preserve">Public Health Commission. 1995. </w:t>
      </w:r>
      <w:r w:rsidRPr="00B94405">
        <w:rPr>
          <w:rFonts w:cs="Arial"/>
          <w:i/>
          <w:iCs/>
          <w:szCs w:val="22"/>
        </w:rPr>
        <w:t xml:space="preserve">A Guide to Health Impact Assessment: Guidelines for </w:t>
      </w:r>
      <w:r>
        <w:rPr>
          <w:rFonts w:cs="Arial"/>
          <w:i/>
          <w:iCs/>
          <w:szCs w:val="22"/>
        </w:rPr>
        <w:t>p</w:t>
      </w:r>
      <w:r w:rsidRPr="00B94405">
        <w:rPr>
          <w:rFonts w:cs="Arial"/>
          <w:i/>
          <w:iCs/>
          <w:szCs w:val="22"/>
        </w:rPr>
        <w:t xml:space="preserve">ublic </w:t>
      </w:r>
      <w:r>
        <w:rPr>
          <w:rFonts w:cs="Arial"/>
          <w:i/>
          <w:iCs/>
          <w:szCs w:val="22"/>
        </w:rPr>
        <w:t>h</w:t>
      </w:r>
      <w:r w:rsidRPr="00B94405">
        <w:rPr>
          <w:rFonts w:cs="Arial"/>
          <w:i/>
          <w:iCs/>
          <w:szCs w:val="22"/>
        </w:rPr>
        <w:t xml:space="preserve">ealth </w:t>
      </w:r>
      <w:r>
        <w:rPr>
          <w:rFonts w:cs="Arial"/>
          <w:i/>
          <w:iCs/>
          <w:szCs w:val="22"/>
        </w:rPr>
        <w:t>s</w:t>
      </w:r>
      <w:r w:rsidRPr="00B94405">
        <w:rPr>
          <w:rFonts w:cs="Arial"/>
          <w:i/>
          <w:iCs/>
          <w:szCs w:val="22"/>
        </w:rPr>
        <w:t>ervices.</w:t>
      </w:r>
      <w:r w:rsidRPr="00E57CBB">
        <w:rPr>
          <w:rFonts w:cs="Arial"/>
          <w:szCs w:val="22"/>
        </w:rPr>
        <w:t xml:space="preserve"> Wellington</w:t>
      </w:r>
      <w:r>
        <w:rPr>
          <w:rFonts w:cs="Arial"/>
          <w:szCs w:val="22"/>
        </w:rPr>
        <w:t>: Public Health Commission</w:t>
      </w:r>
      <w:r w:rsidRPr="00E57CBB">
        <w:rPr>
          <w:rFonts w:cs="Arial"/>
          <w:szCs w:val="22"/>
        </w:rPr>
        <w:t>.</w:t>
      </w:r>
    </w:p>
    <w:p w14:paraId="3675BC87" w14:textId="2D3A770B" w:rsidR="00841CC7" w:rsidRPr="00841CC7" w:rsidRDefault="00841CC7" w:rsidP="00841CC7">
      <w:pPr>
        <w:pStyle w:val="References"/>
        <w:rPr>
          <w:lang w:eastAsia="en-NZ"/>
        </w:rPr>
      </w:pPr>
      <w:r w:rsidRPr="00841CC7">
        <w:rPr>
          <w:lang w:eastAsia="en-NZ"/>
        </w:rPr>
        <w:t xml:space="preserve">USEPA.1993. </w:t>
      </w:r>
      <w:r w:rsidRPr="00841CC7">
        <w:rPr>
          <w:i/>
          <w:iCs/>
          <w:lang w:eastAsia="en-NZ"/>
        </w:rPr>
        <w:t xml:space="preserve">A Guidebook to Comparing Risks and Setting Priorities. </w:t>
      </w:r>
      <w:r w:rsidRPr="00841CC7">
        <w:rPr>
          <w:lang w:eastAsia="en-NZ"/>
        </w:rPr>
        <w:t>Washington: Office of Policy, Planning and Evaluation</w:t>
      </w:r>
      <w:r w:rsidR="008E0C09">
        <w:rPr>
          <w:lang w:eastAsia="en-NZ"/>
        </w:rPr>
        <w:t xml:space="preserve">, </w:t>
      </w:r>
      <w:r w:rsidR="008E0C09" w:rsidRPr="00841CC7">
        <w:rPr>
          <w:lang w:eastAsia="en-NZ"/>
        </w:rPr>
        <w:t>United States Environmental Protection Agency</w:t>
      </w:r>
      <w:r w:rsidRPr="00841CC7">
        <w:rPr>
          <w:lang w:eastAsia="en-NZ"/>
        </w:rPr>
        <w:t>.</w:t>
      </w:r>
    </w:p>
    <w:p w14:paraId="7A68D341" w14:textId="77777777" w:rsidR="00BF0FA0" w:rsidRDefault="00BF0FA0" w:rsidP="00BF0FA0"/>
    <w:p w14:paraId="799B35FC" w14:textId="77777777" w:rsidR="00BA4C37" w:rsidRDefault="00BA4C37" w:rsidP="00BA4C37">
      <w:pPr>
        <w:spacing w:before="160" w:after="160"/>
        <w:ind w:left="567" w:hanging="567"/>
        <w:sectPr w:rsidR="00BA4C37" w:rsidSect="00587C48">
          <w:pgSz w:w="11907" w:h="16834" w:code="9"/>
          <w:pgMar w:top="1418" w:right="1701" w:bottom="1134" w:left="1843" w:header="284" w:footer="425" w:gutter="284"/>
          <w:cols w:space="720"/>
        </w:sectPr>
      </w:pPr>
    </w:p>
    <w:p w14:paraId="023F263B" w14:textId="71DDA2A7" w:rsidR="00BA4C37" w:rsidRPr="00BA4C37" w:rsidRDefault="00BA4C37" w:rsidP="00BA4C37">
      <w:pPr>
        <w:pStyle w:val="Heading1"/>
        <w:spacing w:before="0"/>
      </w:pPr>
      <w:bookmarkStart w:id="139" w:name="_Toc457978016"/>
      <w:bookmarkStart w:id="140" w:name="_Toc90633221"/>
      <w:bookmarkStart w:id="141" w:name="_Toc109793300"/>
      <w:r w:rsidRPr="00BA4C37">
        <w:t xml:space="preserve">Appendix </w:t>
      </w:r>
      <w:r w:rsidR="00717EAD">
        <w:t>1</w:t>
      </w:r>
      <w:r w:rsidRPr="00BA4C37">
        <w:t>: EPA approval codes for VTAs and other hazardous substances requiring health permission</w:t>
      </w:r>
      <w:bookmarkEnd w:id="139"/>
      <w:r w:rsidRPr="00BA4C37">
        <w:t>s</w:t>
      </w:r>
      <w:bookmarkEnd w:id="140"/>
      <w:bookmarkEnd w:id="141"/>
    </w:p>
    <w:p w14:paraId="4BAA498C" w14:textId="07BAC735" w:rsidR="00BA4C37" w:rsidRDefault="00486C49" w:rsidP="00BA4C37">
      <w:pPr>
        <w:ind w:right="425"/>
        <w:rPr>
          <w:b/>
          <w:bCs/>
        </w:rPr>
      </w:pPr>
      <w:r>
        <w:rPr>
          <w:b/>
          <w:bCs/>
        </w:rPr>
        <w:t>EPA</w:t>
      </w:r>
      <w:r w:rsidR="00BA4C37" w:rsidRPr="00BA4C37">
        <w:rPr>
          <w:b/>
          <w:bCs/>
        </w:rPr>
        <w:t xml:space="preserve"> approval codes for VTAs and other hazardous substances requiring health permissions</w:t>
      </w:r>
    </w:p>
    <w:p w14:paraId="1067D83E" w14:textId="77777777" w:rsidR="00BA4C37" w:rsidRPr="00BA4C37" w:rsidRDefault="00BA4C37" w:rsidP="00BA4C37">
      <w:pPr>
        <w:rPr>
          <w:b/>
          <w:bCs/>
        </w:rPr>
      </w:pP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31"/>
        <w:gridCol w:w="1848"/>
      </w:tblGrid>
      <w:tr w:rsidR="00BA4C37" w:rsidRPr="00BA4C37" w14:paraId="79583EE1" w14:textId="77777777" w:rsidTr="00153568">
        <w:tc>
          <w:tcPr>
            <w:tcW w:w="6232" w:type="dxa"/>
            <w:tcBorders>
              <w:top w:val="nil"/>
              <w:bottom w:val="nil"/>
              <w:right w:val="nil"/>
            </w:tcBorders>
            <w:shd w:val="clear" w:color="auto" w:fill="D9D9D9" w:themeFill="background1" w:themeFillShade="D9"/>
          </w:tcPr>
          <w:p w14:paraId="5ED46ED4" w14:textId="77777777" w:rsidR="00BA4C37" w:rsidRPr="00BA4C37" w:rsidRDefault="00BA4C37" w:rsidP="00BA4C37">
            <w:pPr>
              <w:pStyle w:val="TableText"/>
              <w:rPr>
                <w:b/>
                <w:bCs/>
                <w:lang w:eastAsia="en-AU"/>
              </w:rPr>
            </w:pPr>
            <w:r w:rsidRPr="00BA4C37">
              <w:rPr>
                <w:b/>
                <w:bCs/>
              </w:rPr>
              <w:t>Sodium monofluoroacetate (1080) formulations</w:t>
            </w:r>
          </w:p>
        </w:tc>
        <w:tc>
          <w:tcPr>
            <w:tcW w:w="1848" w:type="dxa"/>
            <w:tcBorders>
              <w:top w:val="nil"/>
              <w:left w:val="nil"/>
              <w:bottom w:val="nil"/>
            </w:tcBorders>
            <w:shd w:val="clear" w:color="auto" w:fill="D9D9D9" w:themeFill="background1" w:themeFillShade="D9"/>
            <w:hideMark/>
          </w:tcPr>
          <w:p w14:paraId="16ACAC3C" w14:textId="77777777" w:rsidR="00BA4C37" w:rsidRPr="00BA4C37" w:rsidRDefault="00BA4C37" w:rsidP="00BA4C37">
            <w:pPr>
              <w:pStyle w:val="TableText"/>
              <w:rPr>
                <w:b/>
                <w:bCs/>
                <w:lang w:eastAsia="en-AU"/>
              </w:rPr>
            </w:pPr>
            <w:r w:rsidRPr="00BA4C37">
              <w:rPr>
                <w:b/>
                <w:bCs/>
              </w:rPr>
              <w:t>Approval code</w:t>
            </w:r>
          </w:p>
        </w:tc>
      </w:tr>
      <w:tr w:rsidR="00BA4C37" w:rsidRPr="00245BF6" w14:paraId="38074D7D" w14:textId="77777777" w:rsidTr="00153568">
        <w:tc>
          <w:tcPr>
            <w:tcW w:w="6232" w:type="dxa"/>
            <w:tcBorders>
              <w:top w:val="nil"/>
            </w:tcBorders>
            <w:shd w:val="clear" w:color="auto" w:fill="auto"/>
          </w:tcPr>
          <w:p w14:paraId="497129B6" w14:textId="77777777" w:rsidR="00BA4C37" w:rsidRPr="00245BF6" w:rsidRDefault="00BA4C37" w:rsidP="00BA4C37">
            <w:pPr>
              <w:pStyle w:val="TableText"/>
              <w:rPr>
                <w:lang w:eastAsia="en-AU"/>
              </w:rPr>
            </w:pPr>
            <w:r>
              <w:t>Soluble concentrate containing</w:t>
            </w:r>
            <w:r w:rsidRPr="00245BF6">
              <w:t xml:space="preserve"> </w:t>
            </w:r>
            <w:r>
              <w:t>200 g sodium fluoroacetate/litre</w:t>
            </w:r>
          </w:p>
        </w:tc>
        <w:tc>
          <w:tcPr>
            <w:tcW w:w="1848" w:type="dxa"/>
            <w:tcBorders>
              <w:top w:val="nil"/>
            </w:tcBorders>
            <w:shd w:val="clear" w:color="auto" w:fill="auto"/>
          </w:tcPr>
          <w:p w14:paraId="1559FB38" w14:textId="77777777" w:rsidR="00BA4C37" w:rsidRPr="00245BF6" w:rsidRDefault="00BA4C37" w:rsidP="00BA4C37">
            <w:pPr>
              <w:pStyle w:val="TableText"/>
              <w:rPr>
                <w:lang w:eastAsia="en-AU"/>
              </w:rPr>
            </w:pPr>
            <w:r w:rsidRPr="00245BF6">
              <w:t>HSR002427</w:t>
            </w:r>
          </w:p>
        </w:tc>
      </w:tr>
      <w:tr w:rsidR="00BA4C37" w:rsidRPr="00245BF6" w14:paraId="7A438FBF" w14:textId="77777777" w:rsidTr="00BA4C37">
        <w:tc>
          <w:tcPr>
            <w:tcW w:w="6232" w:type="dxa"/>
            <w:shd w:val="clear" w:color="auto" w:fill="auto"/>
          </w:tcPr>
          <w:p w14:paraId="0B348C74" w14:textId="77777777" w:rsidR="00BA4C37" w:rsidRPr="00245BF6" w:rsidRDefault="00BA4C37" w:rsidP="00BA4C37">
            <w:pPr>
              <w:pStyle w:val="TableText"/>
              <w:rPr>
                <w:lang w:eastAsia="en-AU"/>
              </w:rPr>
            </w:pPr>
            <w:r>
              <w:t>Cereal-based pellets containing</w:t>
            </w:r>
            <w:r w:rsidRPr="00245BF6">
              <w:t xml:space="preserve"> </w:t>
            </w:r>
            <w:r>
              <w:t>1.5–2.0 g sodium fluoroacetate/kg</w:t>
            </w:r>
          </w:p>
        </w:tc>
        <w:tc>
          <w:tcPr>
            <w:tcW w:w="1848" w:type="dxa"/>
            <w:shd w:val="clear" w:color="auto" w:fill="auto"/>
          </w:tcPr>
          <w:p w14:paraId="79FD0206" w14:textId="77777777" w:rsidR="00BA4C37" w:rsidRPr="00245BF6" w:rsidRDefault="00BA4C37" w:rsidP="00BA4C37">
            <w:pPr>
              <w:pStyle w:val="TableText"/>
              <w:rPr>
                <w:lang w:eastAsia="en-AU"/>
              </w:rPr>
            </w:pPr>
            <w:r w:rsidRPr="00245BF6">
              <w:t>HSR002424</w:t>
            </w:r>
          </w:p>
        </w:tc>
      </w:tr>
      <w:tr w:rsidR="00BA4C37" w:rsidRPr="00245BF6" w14:paraId="69ADAA42" w14:textId="77777777" w:rsidTr="00BA4C37">
        <w:tc>
          <w:tcPr>
            <w:tcW w:w="6232" w:type="dxa"/>
            <w:shd w:val="clear" w:color="auto" w:fill="auto"/>
          </w:tcPr>
          <w:p w14:paraId="0CEE7E10" w14:textId="77777777" w:rsidR="00BA4C37" w:rsidRPr="00245BF6" w:rsidRDefault="00BA4C37" w:rsidP="00BA4C37">
            <w:pPr>
              <w:pStyle w:val="TableText"/>
              <w:rPr>
                <w:lang w:eastAsia="en-AU"/>
              </w:rPr>
            </w:pPr>
            <w:r>
              <w:t>Fishmeal pellets containing 1.0 g sodium fluoroacetate/kg</w:t>
            </w:r>
          </w:p>
        </w:tc>
        <w:tc>
          <w:tcPr>
            <w:tcW w:w="1848" w:type="dxa"/>
            <w:shd w:val="clear" w:color="auto" w:fill="auto"/>
          </w:tcPr>
          <w:p w14:paraId="3466E00A" w14:textId="77777777" w:rsidR="00BA4C37" w:rsidRPr="00245BF6" w:rsidRDefault="00BA4C37" w:rsidP="00BA4C37">
            <w:pPr>
              <w:pStyle w:val="TableText"/>
              <w:rPr>
                <w:lang w:eastAsia="en-AU"/>
              </w:rPr>
            </w:pPr>
            <w:r w:rsidRPr="00245BF6">
              <w:t>HSR002423</w:t>
            </w:r>
          </w:p>
        </w:tc>
      </w:tr>
      <w:tr w:rsidR="00BA4C37" w:rsidRPr="00245BF6" w14:paraId="0CAFC9CE" w14:textId="77777777" w:rsidTr="00BA4C37">
        <w:tc>
          <w:tcPr>
            <w:tcW w:w="6232" w:type="dxa"/>
            <w:shd w:val="clear" w:color="auto" w:fill="auto"/>
          </w:tcPr>
          <w:p w14:paraId="4669A2E2" w14:textId="77777777" w:rsidR="00BA4C37" w:rsidRPr="00245BF6" w:rsidRDefault="00BA4C37" w:rsidP="00BA4C37">
            <w:pPr>
              <w:pStyle w:val="TableText"/>
              <w:rPr>
                <w:lang w:eastAsia="en-AU"/>
              </w:rPr>
            </w:pPr>
            <w:r>
              <w:t>Cereal-based pellets containing 0.4–0.8 g sodium fluoroacetate/kg</w:t>
            </w:r>
          </w:p>
        </w:tc>
        <w:tc>
          <w:tcPr>
            <w:tcW w:w="1848" w:type="dxa"/>
            <w:shd w:val="clear" w:color="auto" w:fill="auto"/>
          </w:tcPr>
          <w:p w14:paraId="5D9A8A12" w14:textId="77777777" w:rsidR="00BA4C37" w:rsidRPr="00245BF6" w:rsidRDefault="00BA4C37" w:rsidP="00BA4C37">
            <w:pPr>
              <w:pStyle w:val="TableText"/>
              <w:rPr>
                <w:lang w:eastAsia="en-AU"/>
              </w:rPr>
            </w:pPr>
            <w:r w:rsidRPr="00245BF6">
              <w:t>HSR002422</w:t>
            </w:r>
          </w:p>
        </w:tc>
      </w:tr>
      <w:tr w:rsidR="00BA4C37" w:rsidRPr="00245BF6" w14:paraId="52E515B5" w14:textId="77777777" w:rsidTr="00BA4C37">
        <w:tc>
          <w:tcPr>
            <w:tcW w:w="6232" w:type="dxa"/>
            <w:shd w:val="clear" w:color="auto" w:fill="auto"/>
          </w:tcPr>
          <w:p w14:paraId="4EDDA194" w14:textId="77777777" w:rsidR="00BA4C37" w:rsidRPr="00245BF6" w:rsidRDefault="00BA4C37" w:rsidP="00BA4C37">
            <w:pPr>
              <w:pStyle w:val="TableText"/>
              <w:rPr>
                <w:lang w:eastAsia="en-AU"/>
              </w:rPr>
            </w:pPr>
            <w:r>
              <w:t>Fish paste containing 10 g sodium fluoroacetate/kg</w:t>
            </w:r>
          </w:p>
        </w:tc>
        <w:tc>
          <w:tcPr>
            <w:tcW w:w="1848" w:type="dxa"/>
            <w:shd w:val="clear" w:color="auto" w:fill="auto"/>
          </w:tcPr>
          <w:p w14:paraId="278C7805" w14:textId="77777777" w:rsidR="00BA4C37" w:rsidRPr="00245BF6" w:rsidRDefault="00BA4C37" w:rsidP="00BA4C37">
            <w:pPr>
              <w:pStyle w:val="TableText"/>
              <w:rPr>
                <w:lang w:eastAsia="en-AU"/>
              </w:rPr>
            </w:pPr>
            <w:r w:rsidRPr="00245BF6">
              <w:t>HSR002425</w:t>
            </w:r>
          </w:p>
        </w:tc>
      </w:tr>
      <w:tr w:rsidR="00BA4C37" w:rsidRPr="00245BF6" w14:paraId="02B99841" w14:textId="77777777" w:rsidTr="00BA4C37">
        <w:tc>
          <w:tcPr>
            <w:tcW w:w="6232" w:type="dxa"/>
            <w:shd w:val="clear" w:color="auto" w:fill="auto"/>
          </w:tcPr>
          <w:p w14:paraId="397E9BF1" w14:textId="77777777" w:rsidR="00BA4C37" w:rsidRPr="00245BF6" w:rsidRDefault="00BA4C37" w:rsidP="00BA4C37">
            <w:pPr>
              <w:pStyle w:val="TableText"/>
              <w:rPr>
                <w:lang w:eastAsia="en-AU"/>
              </w:rPr>
            </w:pPr>
            <w:r>
              <w:t>Apple-based paste containing</w:t>
            </w:r>
            <w:r w:rsidRPr="00245BF6">
              <w:t xml:space="preserve"> </w:t>
            </w:r>
            <w:r>
              <w:t>1.5 g sodium fluoroacetate/kg</w:t>
            </w:r>
          </w:p>
        </w:tc>
        <w:tc>
          <w:tcPr>
            <w:tcW w:w="1848" w:type="dxa"/>
            <w:shd w:val="clear" w:color="auto" w:fill="auto"/>
          </w:tcPr>
          <w:p w14:paraId="49314890" w14:textId="77777777" w:rsidR="00BA4C37" w:rsidRPr="00245BF6" w:rsidRDefault="00BA4C37" w:rsidP="00BA4C37">
            <w:pPr>
              <w:pStyle w:val="TableText"/>
              <w:rPr>
                <w:lang w:eastAsia="en-AU"/>
              </w:rPr>
            </w:pPr>
            <w:r w:rsidRPr="00245BF6">
              <w:t>HSR002421</w:t>
            </w:r>
          </w:p>
        </w:tc>
      </w:tr>
      <w:tr w:rsidR="00BA4C37" w:rsidRPr="00245BF6" w14:paraId="53997F0B" w14:textId="77777777" w:rsidTr="00BA4C37">
        <w:tc>
          <w:tcPr>
            <w:tcW w:w="6232" w:type="dxa"/>
            <w:shd w:val="clear" w:color="auto" w:fill="auto"/>
          </w:tcPr>
          <w:p w14:paraId="2512A438" w14:textId="77777777" w:rsidR="00BA4C37" w:rsidRPr="00245BF6" w:rsidRDefault="00BA4C37" w:rsidP="00BA4C37">
            <w:pPr>
              <w:pStyle w:val="TableText"/>
              <w:rPr>
                <w:lang w:eastAsia="en-AU"/>
              </w:rPr>
            </w:pPr>
            <w:r>
              <w:t>Peanut-based paste containing 1.5 g sodium fluoroacetate/kg</w:t>
            </w:r>
          </w:p>
        </w:tc>
        <w:tc>
          <w:tcPr>
            <w:tcW w:w="1848" w:type="dxa"/>
            <w:shd w:val="clear" w:color="auto" w:fill="auto"/>
            <w:hideMark/>
          </w:tcPr>
          <w:p w14:paraId="5732D16F" w14:textId="77777777" w:rsidR="00BA4C37" w:rsidRPr="0093352E" w:rsidRDefault="00BA4C37" w:rsidP="00BA4C37">
            <w:pPr>
              <w:pStyle w:val="TableText"/>
              <w:rPr>
                <w:szCs w:val="18"/>
                <w:lang w:eastAsia="en-AU"/>
              </w:rPr>
            </w:pPr>
            <w:r w:rsidRPr="0093352E">
              <w:rPr>
                <w:szCs w:val="18"/>
              </w:rPr>
              <w:t>HRE000001</w:t>
            </w:r>
          </w:p>
        </w:tc>
      </w:tr>
      <w:tr w:rsidR="00BA4C37" w:rsidRPr="00245BF6" w14:paraId="3AFE94A1" w14:textId="77777777" w:rsidTr="00BA4C37">
        <w:tc>
          <w:tcPr>
            <w:tcW w:w="6232" w:type="dxa"/>
            <w:shd w:val="clear" w:color="auto" w:fill="auto"/>
          </w:tcPr>
          <w:p w14:paraId="42AB9C2B" w14:textId="77777777" w:rsidR="00BA4C37" w:rsidRPr="00245BF6" w:rsidRDefault="00BA4C37" w:rsidP="00BA4C37">
            <w:pPr>
              <w:pStyle w:val="TableText"/>
              <w:rPr>
                <w:lang w:eastAsia="en-AU"/>
              </w:rPr>
            </w:pPr>
            <w:r>
              <w:t>Apple-based paste containing</w:t>
            </w:r>
            <w:r w:rsidRPr="00245BF6">
              <w:t xml:space="preserve"> </w:t>
            </w:r>
            <w:r>
              <w:t>0.6–0.8 g sodium fluoroacetate/kg</w:t>
            </w:r>
          </w:p>
        </w:tc>
        <w:tc>
          <w:tcPr>
            <w:tcW w:w="1848" w:type="dxa"/>
            <w:shd w:val="clear" w:color="auto" w:fill="auto"/>
            <w:hideMark/>
          </w:tcPr>
          <w:p w14:paraId="4C92E8EC" w14:textId="77777777" w:rsidR="00BA4C37" w:rsidRPr="0093352E" w:rsidRDefault="00BA4C37" w:rsidP="00BA4C37">
            <w:pPr>
              <w:pStyle w:val="TableText"/>
              <w:rPr>
                <w:szCs w:val="18"/>
                <w:lang w:eastAsia="en-AU"/>
              </w:rPr>
            </w:pPr>
            <w:r w:rsidRPr="0093352E">
              <w:rPr>
                <w:szCs w:val="18"/>
              </w:rPr>
              <w:t>HSR002420</w:t>
            </w:r>
          </w:p>
        </w:tc>
      </w:tr>
      <w:tr w:rsidR="00BA4C37" w:rsidRPr="00245BF6" w14:paraId="79BD9A72" w14:textId="77777777" w:rsidTr="00BA4C37">
        <w:tc>
          <w:tcPr>
            <w:tcW w:w="6232" w:type="dxa"/>
            <w:shd w:val="clear" w:color="auto" w:fill="auto"/>
          </w:tcPr>
          <w:p w14:paraId="5398B7BC" w14:textId="77777777" w:rsidR="00BA4C37" w:rsidRPr="00245BF6" w:rsidRDefault="00BA4C37" w:rsidP="00BA4C37">
            <w:pPr>
              <w:pStyle w:val="TableText"/>
              <w:rPr>
                <w:lang w:eastAsia="en-AU"/>
              </w:rPr>
            </w:pPr>
            <w:r>
              <w:t>Polymer gel containing 50 g</w:t>
            </w:r>
            <w:r w:rsidRPr="00245BF6">
              <w:t xml:space="preserve"> </w:t>
            </w:r>
            <w:r>
              <w:t>sodium fluoroacetate/kg</w:t>
            </w:r>
          </w:p>
        </w:tc>
        <w:tc>
          <w:tcPr>
            <w:tcW w:w="1848" w:type="dxa"/>
            <w:shd w:val="clear" w:color="auto" w:fill="auto"/>
          </w:tcPr>
          <w:p w14:paraId="24CD7992" w14:textId="77777777" w:rsidR="00BA4C37" w:rsidRPr="00245BF6" w:rsidRDefault="00BA4C37" w:rsidP="00BA4C37">
            <w:pPr>
              <w:pStyle w:val="TableText"/>
              <w:rPr>
                <w:lang w:eastAsia="en-AU"/>
              </w:rPr>
            </w:pPr>
            <w:r w:rsidRPr="00245BF6">
              <w:t>HSR002418</w:t>
            </w:r>
          </w:p>
        </w:tc>
      </w:tr>
      <w:tr w:rsidR="00BA4C37" w:rsidRPr="00245BF6" w14:paraId="3B7AD914" w14:textId="77777777" w:rsidTr="00BA4C37">
        <w:tc>
          <w:tcPr>
            <w:tcW w:w="6232" w:type="dxa"/>
            <w:shd w:val="clear" w:color="auto" w:fill="auto"/>
          </w:tcPr>
          <w:p w14:paraId="79DB0165" w14:textId="77777777" w:rsidR="00BA4C37" w:rsidRPr="00245BF6" w:rsidRDefault="00BA4C37" w:rsidP="00BA4C37">
            <w:pPr>
              <w:pStyle w:val="TableText"/>
              <w:rPr>
                <w:lang w:eastAsia="en-AU"/>
              </w:rPr>
            </w:pPr>
            <w:r>
              <w:t>Polymer gel containing 100 g</w:t>
            </w:r>
            <w:r w:rsidRPr="00245BF6">
              <w:t xml:space="preserve"> </w:t>
            </w:r>
            <w:r>
              <w:t>sodium</w:t>
            </w:r>
            <w:r w:rsidRPr="00245BF6">
              <w:t xml:space="preserve"> </w:t>
            </w:r>
            <w:r>
              <w:t>fluoroacetate/kg</w:t>
            </w:r>
          </w:p>
        </w:tc>
        <w:tc>
          <w:tcPr>
            <w:tcW w:w="1848" w:type="dxa"/>
            <w:shd w:val="clear" w:color="auto" w:fill="auto"/>
          </w:tcPr>
          <w:p w14:paraId="61D174CD" w14:textId="77777777" w:rsidR="00BA4C37" w:rsidRPr="00245BF6" w:rsidRDefault="00BA4C37" w:rsidP="00BA4C37">
            <w:pPr>
              <w:pStyle w:val="TableText"/>
              <w:rPr>
                <w:lang w:eastAsia="en-AU"/>
              </w:rPr>
            </w:pPr>
            <w:r w:rsidRPr="00245BF6">
              <w:t>HSR002426</w:t>
            </w:r>
          </w:p>
        </w:tc>
      </w:tr>
      <w:tr w:rsidR="00BA4C37" w:rsidRPr="00245BF6" w14:paraId="5C42A952" w14:textId="77777777" w:rsidTr="00153568">
        <w:tc>
          <w:tcPr>
            <w:tcW w:w="6232" w:type="dxa"/>
            <w:tcBorders>
              <w:bottom w:val="nil"/>
            </w:tcBorders>
            <w:shd w:val="clear" w:color="auto" w:fill="auto"/>
            <w:hideMark/>
          </w:tcPr>
          <w:p w14:paraId="72E6B0B9" w14:textId="77777777" w:rsidR="00BA4C37" w:rsidRPr="00245BF6" w:rsidRDefault="00BA4C37" w:rsidP="00BA4C37">
            <w:pPr>
              <w:pStyle w:val="TableText"/>
              <w:rPr>
                <w:lang w:eastAsia="en-AU"/>
              </w:rPr>
            </w:pPr>
            <w:r>
              <w:t xml:space="preserve">Polymer gel block containing 1.5 g sodium fluoroacetate/kg </w:t>
            </w:r>
          </w:p>
        </w:tc>
        <w:tc>
          <w:tcPr>
            <w:tcW w:w="1848" w:type="dxa"/>
            <w:tcBorders>
              <w:bottom w:val="nil"/>
            </w:tcBorders>
            <w:shd w:val="clear" w:color="auto" w:fill="auto"/>
          </w:tcPr>
          <w:p w14:paraId="1716AEF5" w14:textId="77777777" w:rsidR="00BA4C37" w:rsidRPr="00245BF6" w:rsidRDefault="00BA4C37" w:rsidP="00BA4C37">
            <w:pPr>
              <w:pStyle w:val="TableText"/>
              <w:rPr>
                <w:lang w:eastAsia="en-AU"/>
              </w:rPr>
            </w:pPr>
            <w:r w:rsidRPr="00245BF6">
              <w:t>HSR002419</w:t>
            </w:r>
          </w:p>
        </w:tc>
      </w:tr>
      <w:tr w:rsidR="00BA4C37" w:rsidRPr="00BA4C37" w14:paraId="3F686DEE" w14:textId="77777777" w:rsidTr="00153568">
        <w:tc>
          <w:tcPr>
            <w:tcW w:w="6232" w:type="dxa"/>
            <w:tcBorders>
              <w:top w:val="nil"/>
              <w:bottom w:val="nil"/>
              <w:right w:val="nil"/>
            </w:tcBorders>
            <w:shd w:val="clear" w:color="auto" w:fill="D9D9D9" w:themeFill="background1" w:themeFillShade="D9"/>
          </w:tcPr>
          <w:p w14:paraId="04669119" w14:textId="77777777" w:rsidR="00BA4C37" w:rsidRPr="00BA4C37" w:rsidRDefault="00BA4C37" w:rsidP="00BA4C37">
            <w:pPr>
              <w:pStyle w:val="TableText"/>
              <w:rPr>
                <w:b/>
                <w:bCs/>
                <w:lang w:eastAsia="en-AU"/>
              </w:rPr>
            </w:pPr>
            <w:r w:rsidRPr="00BA4C37">
              <w:rPr>
                <w:b/>
                <w:bCs/>
              </w:rPr>
              <w:t>Cyanide formulations</w:t>
            </w:r>
          </w:p>
        </w:tc>
        <w:tc>
          <w:tcPr>
            <w:tcW w:w="1848" w:type="dxa"/>
            <w:tcBorders>
              <w:top w:val="nil"/>
              <w:left w:val="nil"/>
              <w:bottom w:val="nil"/>
            </w:tcBorders>
            <w:shd w:val="clear" w:color="auto" w:fill="D9D9D9" w:themeFill="background1" w:themeFillShade="D9"/>
          </w:tcPr>
          <w:p w14:paraId="6DD92B8B" w14:textId="77777777" w:rsidR="00BA4C37" w:rsidRPr="00BA4C37" w:rsidRDefault="00BA4C37" w:rsidP="00BA4C37">
            <w:pPr>
              <w:pStyle w:val="TableText"/>
              <w:rPr>
                <w:b/>
                <w:bCs/>
                <w:lang w:eastAsia="en-AU"/>
              </w:rPr>
            </w:pPr>
          </w:p>
        </w:tc>
      </w:tr>
      <w:tr w:rsidR="00BA4C37" w:rsidRPr="009C0599" w14:paraId="4CBD0A44" w14:textId="77777777" w:rsidTr="00153568">
        <w:tc>
          <w:tcPr>
            <w:tcW w:w="6232" w:type="dxa"/>
            <w:tcBorders>
              <w:top w:val="nil"/>
            </w:tcBorders>
            <w:shd w:val="clear" w:color="auto" w:fill="auto"/>
          </w:tcPr>
          <w:p w14:paraId="244E15CF" w14:textId="77777777" w:rsidR="00BA4C37" w:rsidRPr="0093352E" w:rsidRDefault="00BA4C37" w:rsidP="00BA4C37">
            <w:pPr>
              <w:pStyle w:val="TableText"/>
              <w:rPr>
                <w:szCs w:val="18"/>
                <w:lang w:eastAsia="en-AU"/>
              </w:rPr>
            </w:pPr>
            <w:r w:rsidRPr="0093352E">
              <w:rPr>
                <w:szCs w:val="18"/>
              </w:rPr>
              <w:t>Bait containing 0.55–1.84% w/w encapsulated potassium cyanide (Reassessed – HRC08001)</w:t>
            </w:r>
          </w:p>
        </w:tc>
        <w:tc>
          <w:tcPr>
            <w:tcW w:w="1848" w:type="dxa"/>
            <w:tcBorders>
              <w:top w:val="nil"/>
            </w:tcBorders>
            <w:shd w:val="clear" w:color="auto" w:fill="auto"/>
          </w:tcPr>
          <w:p w14:paraId="62A77193" w14:textId="77777777" w:rsidR="00BA4C37" w:rsidRPr="0093352E" w:rsidRDefault="00BA4C37" w:rsidP="00BA4C37">
            <w:pPr>
              <w:pStyle w:val="TableText"/>
              <w:rPr>
                <w:bCs/>
                <w:szCs w:val="18"/>
                <w:lang w:eastAsia="en-AU"/>
              </w:rPr>
            </w:pPr>
            <w:r w:rsidRPr="0093352E">
              <w:rPr>
                <w:bCs/>
                <w:szCs w:val="18"/>
              </w:rPr>
              <w:t>HSR007628</w:t>
            </w:r>
          </w:p>
        </w:tc>
      </w:tr>
      <w:tr w:rsidR="00BA4C37" w:rsidRPr="009C0599" w14:paraId="06957EA6" w14:textId="77777777" w:rsidTr="00BA4C37">
        <w:tc>
          <w:tcPr>
            <w:tcW w:w="6232" w:type="dxa"/>
            <w:shd w:val="clear" w:color="auto" w:fill="auto"/>
          </w:tcPr>
          <w:p w14:paraId="0B3FA1D5" w14:textId="77777777" w:rsidR="00BA4C37" w:rsidRPr="0093352E" w:rsidRDefault="00BA4C37" w:rsidP="00BA4C37">
            <w:pPr>
              <w:pStyle w:val="TableText"/>
              <w:rPr>
                <w:szCs w:val="18"/>
                <w:lang w:eastAsia="en-AU"/>
              </w:rPr>
            </w:pPr>
            <w:r w:rsidRPr="0093352E">
              <w:rPr>
                <w:szCs w:val="18"/>
              </w:rPr>
              <w:t>Encapsulated paste containing 500 g/kg potassium cyanide (Reassessed – HRC08001)</w:t>
            </w:r>
          </w:p>
        </w:tc>
        <w:tc>
          <w:tcPr>
            <w:tcW w:w="1848" w:type="dxa"/>
            <w:shd w:val="clear" w:color="auto" w:fill="auto"/>
          </w:tcPr>
          <w:p w14:paraId="233014AA" w14:textId="77777777" w:rsidR="00BA4C37" w:rsidRPr="0093352E" w:rsidRDefault="00BA4C37" w:rsidP="00BA4C37">
            <w:pPr>
              <w:pStyle w:val="TableText"/>
              <w:rPr>
                <w:bCs/>
                <w:szCs w:val="18"/>
                <w:lang w:eastAsia="en-AU"/>
              </w:rPr>
            </w:pPr>
            <w:r w:rsidRPr="0093352E">
              <w:rPr>
                <w:bCs/>
                <w:color w:val="000000"/>
                <w:szCs w:val="18"/>
              </w:rPr>
              <w:t>HSR001607</w:t>
            </w:r>
          </w:p>
        </w:tc>
      </w:tr>
      <w:tr w:rsidR="00BA4C37" w:rsidRPr="009C0599" w14:paraId="2A5F6612" w14:textId="77777777" w:rsidTr="00BA4C37">
        <w:tc>
          <w:tcPr>
            <w:tcW w:w="6232" w:type="dxa"/>
            <w:shd w:val="clear" w:color="auto" w:fill="auto"/>
          </w:tcPr>
          <w:p w14:paraId="30286552" w14:textId="2378FCFE" w:rsidR="00BA4C37" w:rsidRPr="0093352E" w:rsidRDefault="00BA4C37" w:rsidP="00BA4C37">
            <w:pPr>
              <w:pStyle w:val="TableText"/>
              <w:rPr>
                <w:szCs w:val="18"/>
                <w:lang w:eastAsia="en-AU"/>
              </w:rPr>
            </w:pPr>
            <w:r w:rsidRPr="0093352E">
              <w:rPr>
                <w:szCs w:val="18"/>
              </w:rPr>
              <w:t>Encapsulated pellet containing 800 g/kg potassium cyanide (Reassessed – HRC08001) (not currently being manufactured)</w:t>
            </w:r>
          </w:p>
        </w:tc>
        <w:tc>
          <w:tcPr>
            <w:tcW w:w="1848" w:type="dxa"/>
            <w:shd w:val="clear" w:color="auto" w:fill="auto"/>
          </w:tcPr>
          <w:p w14:paraId="18C3CB6A" w14:textId="77777777" w:rsidR="00BA4C37" w:rsidRPr="0093352E" w:rsidRDefault="00BA4C37" w:rsidP="00BA4C37">
            <w:pPr>
              <w:pStyle w:val="TableText"/>
              <w:rPr>
                <w:bCs/>
                <w:szCs w:val="18"/>
                <w:lang w:eastAsia="en-AU"/>
              </w:rPr>
            </w:pPr>
            <w:r w:rsidRPr="0093352E">
              <w:rPr>
                <w:bCs/>
                <w:color w:val="000000"/>
                <w:szCs w:val="18"/>
              </w:rPr>
              <w:t>HSR001608</w:t>
            </w:r>
          </w:p>
        </w:tc>
      </w:tr>
      <w:tr w:rsidR="00BA4C37" w:rsidRPr="009C0599" w14:paraId="701A32C0" w14:textId="77777777" w:rsidTr="00BA4C37">
        <w:trPr>
          <w:trHeight w:val="441"/>
        </w:trPr>
        <w:tc>
          <w:tcPr>
            <w:tcW w:w="6232" w:type="dxa"/>
            <w:shd w:val="clear" w:color="auto" w:fill="auto"/>
          </w:tcPr>
          <w:p w14:paraId="28DB7BBC" w14:textId="77777777" w:rsidR="00BA4C37" w:rsidRPr="0093352E" w:rsidRDefault="00BA4C37" w:rsidP="00BA4C37">
            <w:pPr>
              <w:pStyle w:val="TableText"/>
              <w:rPr>
                <w:szCs w:val="18"/>
                <w:lang w:eastAsia="en-AU"/>
              </w:rPr>
            </w:pPr>
            <w:r w:rsidRPr="0093352E">
              <w:rPr>
                <w:szCs w:val="18"/>
              </w:rPr>
              <w:t>Feratox 475 g/kg (Reassessed – HRC08001)</w:t>
            </w:r>
          </w:p>
        </w:tc>
        <w:tc>
          <w:tcPr>
            <w:tcW w:w="1848" w:type="dxa"/>
            <w:shd w:val="clear" w:color="auto" w:fill="auto"/>
          </w:tcPr>
          <w:p w14:paraId="0726A1CF" w14:textId="77777777" w:rsidR="00BA4C37" w:rsidRPr="0093352E" w:rsidRDefault="00BA4C37" w:rsidP="00BA4C37">
            <w:pPr>
              <w:pStyle w:val="TableText"/>
              <w:rPr>
                <w:bCs/>
                <w:szCs w:val="18"/>
                <w:lang w:eastAsia="en-AU"/>
              </w:rPr>
            </w:pPr>
            <w:r w:rsidRPr="0093352E">
              <w:rPr>
                <w:bCs/>
                <w:color w:val="000000"/>
                <w:szCs w:val="18"/>
              </w:rPr>
              <w:t>HSR001673</w:t>
            </w:r>
          </w:p>
        </w:tc>
      </w:tr>
      <w:tr w:rsidR="00BA4C37" w:rsidRPr="009C0599" w14:paraId="599917F1" w14:textId="77777777" w:rsidTr="00BA4C37">
        <w:tc>
          <w:tcPr>
            <w:tcW w:w="6232" w:type="dxa"/>
            <w:shd w:val="clear" w:color="auto" w:fill="auto"/>
          </w:tcPr>
          <w:p w14:paraId="3819E490" w14:textId="77777777" w:rsidR="00BA4C37" w:rsidRPr="0093352E" w:rsidRDefault="00BA4C37" w:rsidP="00BA4C37">
            <w:pPr>
              <w:pStyle w:val="TableText"/>
              <w:rPr>
                <w:szCs w:val="18"/>
                <w:lang w:eastAsia="en-AU"/>
              </w:rPr>
            </w:pPr>
            <w:r w:rsidRPr="0093352E">
              <w:rPr>
                <w:szCs w:val="18"/>
              </w:rPr>
              <w:t>Paste containing 500–600 g/kg sodium cyanide (Reassessed – HRC08001)</w:t>
            </w:r>
          </w:p>
        </w:tc>
        <w:tc>
          <w:tcPr>
            <w:tcW w:w="1848" w:type="dxa"/>
            <w:shd w:val="clear" w:color="auto" w:fill="auto"/>
          </w:tcPr>
          <w:p w14:paraId="5462490B" w14:textId="77777777" w:rsidR="00BA4C37" w:rsidRPr="0093352E" w:rsidRDefault="00BA4C37" w:rsidP="00BA4C37">
            <w:pPr>
              <w:pStyle w:val="TableText"/>
              <w:rPr>
                <w:bCs/>
                <w:szCs w:val="18"/>
                <w:lang w:eastAsia="en-AU"/>
              </w:rPr>
            </w:pPr>
            <w:r w:rsidRPr="0093352E">
              <w:rPr>
                <w:bCs/>
                <w:color w:val="000000"/>
                <w:szCs w:val="18"/>
              </w:rPr>
              <w:t>HSR001606</w:t>
            </w:r>
          </w:p>
        </w:tc>
      </w:tr>
      <w:tr w:rsidR="00BA4C37" w:rsidRPr="009C0599" w14:paraId="6F57677C" w14:textId="77777777" w:rsidTr="00153568">
        <w:tc>
          <w:tcPr>
            <w:tcW w:w="6232" w:type="dxa"/>
            <w:tcBorders>
              <w:bottom w:val="nil"/>
            </w:tcBorders>
            <w:shd w:val="clear" w:color="auto" w:fill="auto"/>
          </w:tcPr>
          <w:p w14:paraId="6138566F" w14:textId="738E73B6" w:rsidR="00BA4C37" w:rsidRPr="0093352E" w:rsidRDefault="00BA4C37" w:rsidP="00BA4C37">
            <w:pPr>
              <w:pStyle w:val="TableText"/>
              <w:rPr>
                <w:szCs w:val="18"/>
                <w:lang w:eastAsia="en-AU"/>
              </w:rPr>
            </w:pPr>
            <w:r w:rsidRPr="0093352E">
              <w:rPr>
                <w:rFonts w:eastAsia="Calibri"/>
                <w:color w:val="000000"/>
                <w:szCs w:val="18"/>
                <w:lang w:eastAsia="en-NZ"/>
              </w:rPr>
              <w:t>Feratox pellets containing encapsulated potassium cyanide at 0.5</w:t>
            </w:r>
            <w:r w:rsidR="009C0599">
              <w:rPr>
                <w:rFonts w:eastAsia="Calibri"/>
                <w:color w:val="000000"/>
                <w:szCs w:val="18"/>
                <w:lang w:eastAsia="en-NZ"/>
              </w:rPr>
              <w:t>–</w:t>
            </w:r>
            <w:r w:rsidRPr="0093352E">
              <w:rPr>
                <w:rFonts w:eastAsia="Calibri"/>
                <w:color w:val="000000"/>
                <w:szCs w:val="18"/>
                <w:lang w:eastAsia="en-NZ"/>
              </w:rPr>
              <w:t>2.3% in Ferafeed paste</w:t>
            </w:r>
          </w:p>
        </w:tc>
        <w:tc>
          <w:tcPr>
            <w:tcW w:w="1848" w:type="dxa"/>
            <w:tcBorders>
              <w:bottom w:val="nil"/>
            </w:tcBorders>
            <w:shd w:val="clear" w:color="auto" w:fill="auto"/>
          </w:tcPr>
          <w:p w14:paraId="4958D104" w14:textId="77777777" w:rsidR="00BA4C37" w:rsidRPr="0093352E" w:rsidRDefault="00BA4C37" w:rsidP="00BA4C37">
            <w:pPr>
              <w:pStyle w:val="TableText"/>
              <w:rPr>
                <w:bCs/>
                <w:szCs w:val="18"/>
                <w:lang w:eastAsia="en-AU"/>
              </w:rPr>
            </w:pPr>
            <w:r w:rsidRPr="0093352E">
              <w:rPr>
                <w:rFonts w:eastAsia="Calibri"/>
                <w:bCs/>
                <w:color w:val="000000"/>
                <w:szCs w:val="18"/>
                <w:lang w:eastAsia="en-NZ"/>
              </w:rPr>
              <w:t>HSR100752</w:t>
            </w:r>
          </w:p>
        </w:tc>
      </w:tr>
      <w:tr w:rsidR="00BA4C37" w:rsidRPr="00BA4C37" w14:paraId="64918845" w14:textId="77777777" w:rsidTr="00153568">
        <w:tc>
          <w:tcPr>
            <w:tcW w:w="6232" w:type="dxa"/>
            <w:tcBorders>
              <w:top w:val="nil"/>
              <w:bottom w:val="nil"/>
              <w:right w:val="nil"/>
            </w:tcBorders>
            <w:shd w:val="clear" w:color="auto" w:fill="D9D9D9" w:themeFill="background1" w:themeFillShade="D9"/>
          </w:tcPr>
          <w:p w14:paraId="0729E282" w14:textId="77777777" w:rsidR="00BA4C37" w:rsidRPr="00BA4C37" w:rsidRDefault="00BA4C37" w:rsidP="00BA4C37">
            <w:pPr>
              <w:pStyle w:val="TableText"/>
              <w:rPr>
                <w:b/>
                <w:bCs/>
                <w:lang w:eastAsia="en-AU"/>
              </w:rPr>
            </w:pPr>
            <w:r w:rsidRPr="00BA4C37">
              <w:rPr>
                <w:b/>
                <w:bCs/>
              </w:rPr>
              <w:t>Yellow phosphorus</w:t>
            </w:r>
          </w:p>
        </w:tc>
        <w:tc>
          <w:tcPr>
            <w:tcW w:w="1848" w:type="dxa"/>
            <w:tcBorders>
              <w:top w:val="nil"/>
              <w:left w:val="nil"/>
              <w:bottom w:val="nil"/>
            </w:tcBorders>
            <w:shd w:val="clear" w:color="auto" w:fill="D9D9D9" w:themeFill="background1" w:themeFillShade="D9"/>
          </w:tcPr>
          <w:p w14:paraId="6CE33C69" w14:textId="44EF7543" w:rsidR="00BA4C37" w:rsidRPr="00BA4C37" w:rsidRDefault="00DB3BE2" w:rsidP="00BA4C37">
            <w:pPr>
              <w:pStyle w:val="TableText"/>
              <w:rPr>
                <w:b/>
                <w:bCs/>
                <w:lang w:eastAsia="en-AU"/>
              </w:rPr>
            </w:pPr>
            <w:r w:rsidRPr="00BA4C37">
              <w:rPr>
                <w:b/>
                <w:bCs/>
              </w:rPr>
              <w:t>Approval code</w:t>
            </w:r>
          </w:p>
        </w:tc>
      </w:tr>
      <w:tr w:rsidR="00BA4C37" w:rsidRPr="009C0599" w14:paraId="6625F0EA" w14:textId="77777777" w:rsidTr="00153568">
        <w:trPr>
          <w:trHeight w:val="393"/>
        </w:trPr>
        <w:tc>
          <w:tcPr>
            <w:tcW w:w="6232" w:type="dxa"/>
            <w:tcBorders>
              <w:top w:val="nil"/>
            </w:tcBorders>
            <w:shd w:val="clear" w:color="auto" w:fill="auto"/>
          </w:tcPr>
          <w:p w14:paraId="3E25B049" w14:textId="77777777" w:rsidR="00BA4C37" w:rsidRPr="0093352E" w:rsidRDefault="00BA4C37" w:rsidP="00BA4C37">
            <w:pPr>
              <w:pStyle w:val="TableText"/>
              <w:rPr>
                <w:szCs w:val="18"/>
                <w:lang w:eastAsia="en-AU"/>
              </w:rPr>
            </w:pPr>
            <w:r w:rsidRPr="0093352E">
              <w:rPr>
                <w:szCs w:val="18"/>
              </w:rPr>
              <w:t>Paste containing 4.5–5 g/kg yellow phosphorus (Reassessed – HRC08001)</w:t>
            </w:r>
          </w:p>
        </w:tc>
        <w:tc>
          <w:tcPr>
            <w:tcW w:w="1848" w:type="dxa"/>
            <w:tcBorders>
              <w:top w:val="nil"/>
            </w:tcBorders>
            <w:shd w:val="clear" w:color="auto" w:fill="auto"/>
          </w:tcPr>
          <w:p w14:paraId="46E8A59A" w14:textId="77777777" w:rsidR="00BA4C37" w:rsidRPr="0093352E" w:rsidRDefault="00BA4C37" w:rsidP="00BA4C37">
            <w:pPr>
              <w:pStyle w:val="TableText"/>
              <w:rPr>
                <w:bCs/>
                <w:szCs w:val="18"/>
                <w:lang w:eastAsia="en-AU"/>
              </w:rPr>
            </w:pPr>
            <w:r w:rsidRPr="0093352E">
              <w:rPr>
                <w:bCs/>
                <w:iCs/>
                <w:color w:val="000000"/>
                <w:szCs w:val="18"/>
              </w:rPr>
              <w:t>HSR001610</w:t>
            </w:r>
          </w:p>
        </w:tc>
      </w:tr>
      <w:tr w:rsidR="00BA4C37" w:rsidRPr="009C0599" w14:paraId="14C66E99" w14:textId="77777777" w:rsidTr="00153568">
        <w:trPr>
          <w:trHeight w:val="362"/>
        </w:trPr>
        <w:tc>
          <w:tcPr>
            <w:tcW w:w="6232" w:type="dxa"/>
            <w:tcBorders>
              <w:bottom w:val="nil"/>
            </w:tcBorders>
            <w:shd w:val="clear" w:color="auto" w:fill="auto"/>
          </w:tcPr>
          <w:p w14:paraId="58983765" w14:textId="77777777" w:rsidR="00BA4C37" w:rsidRPr="0093352E" w:rsidRDefault="00BA4C37" w:rsidP="00BA4C37">
            <w:pPr>
              <w:pStyle w:val="TableText"/>
              <w:rPr>
                <w:szCs w:val="18"/>
                <w:lang w:eastAsia="en-AU"/>
              </w:rPr>
            </w:pPr>
            <w:r w:rsidRPr="0093352E">
              <w:rPr>
                <w:szCs w:val="18"/>
              </w:rPr>
              <w:t>Paste containing 9.5–10 g/kg yellow phosphorus (Reassessed – HRC08001)</w:t>
            </w:r>
          </w:p>
        </w:tc>
        <w:tc>
          <w:tcPr>
            <w:tcW w:w="1848" w:type="dxa"/>
            <w:tcBorders>
              <w:bottom w:val="nil"/>
            </w:tcBorders>
            <w:shd w:val="clear" w:color="auto" w:fill="auto"/>
            <w:hideMark/>
          </w:tcPr>
          <w:p w14:paraId="6291F73B" w14:textId="77777777" w:rsidR="00BA4C37" w:rsidRPr="0093352E" w:rsidRDefault="00BA4C37" w:rsidP="00BA4C37">
            <w:pPr>
              <w:pStyle w:val="TableText"/>
              <w:rPr>
                <w:bCs/>
                <w:szCs w:val="18"/>
                <w:lang w:eastAsia="en-AU"/>
              </w:rPr>
            </w:pPr>
            <w:r w:rsidRPr="0093352E">
              <w:rPr>
                <w:bCs/>
                <w:iCs/>
                <w:color w:val="000000"/>
                <w:szCs w:val="18"/>
              </w:rPr>
              <w:t>HSR001609</w:t>
            </w:r>
          </w:p>
        </w:tc>
      </w:tr>
      <w:tr w:rsidR="00BA4C37" w:rsidRPr="00BA4C37" w14:paraId="2E93BF41" w14:textId="77777777" w:rsidTr="00153568">
        <w:trPr>
          <w:trHeight w:val="394"/>
        </w:trPr>
        <w:tc>
          <w:tcPr>
            <w:tcW w:w="6232" w:type="dxa"/>
            <w:tcBorders>
              <w:top w:val="nil"/>
              <w:bottom w:val="nil"/>
              <w:right w:val="nil"/>
            </w:tcBorders>
            <w:shd w:val="clear" w:color="auto" w:fill="D9D9D9" w:themeFill="background1" w:themeFillShade="D9"/>
            <w:hideMark/>
          </w:tcPr>
          <w:p w14:paraId="1B8DA718" w14:textId="77777777" w:rsidR="00BA4C37" w:rsidRPr="00BA4C37" w:rsidRDefault="00BA4C37" w:rsidP="00BA4C37">
            <w:pPr>
              <w:pStyle w:val="TableText"/>
              <w:rPr>
                <w:b/>
                <w:bCs/>
                <w:lang w:eastAsia="en-AU"/>
              </w:rPr>
            </w:pPr>
            <w:r w:rsidRPr="00BA4C37">
              <w:rPr>
                <w:b/>
                <w:bCs/>
              </w:rPr>
              <w:t>3-chloro-p-toluidine hydrochloride (DRC 1339)</w:t>
            </w:r>
          </w:p>
        </w:tc>
        <w:tc>
          <w:tcPr>
            <w:tcW w:w="1848" w:type="dxa"/>
            <w:tcBorders>
              <w:top w:val="nil"/>
              <w:left w:val="nil"/>
              <w:bottom w:val="nil"/>
            </w:tcBorders>
            <w:shd w:val="clear" w:color="auto" w:fill="D9D9D9" w:themeFill="background1" w:themeFillShade="D9"/>
          </w:tcPr>
          <w:p w14:paraId="24501073" w14:textId="77777777" w:rsidR="00BA4C37" w:rsidRPr="00BA4C37" w:rsidRDefault="00BA4C37" w:rsidP="00BA4C37">
            <w:pPr>
              <w:pStyle w:val="TableText"/>
              <w:rPr>
                <w:b/>
                <w:bCs/>
                <w:lang w:eastAsia="en-AU"/>
              </w:rPr>
            </w:pPr>
          </w:p>
        </w:tc>
      </w:tr>
      <w:tr w:rsidR="00BA4C37" w:rsidRPr="009C0599" w14:paraId="5B0DBFF1" w14:textId="77777777" w:rsidTr="00153568">
        <w:tc>
          <w:tcPr>
            <w:tcW w:w="6232" w:type="dxa"/>
            <w:tcBorders>
              <w:top w:val="nil"/>
              <w:bottom w:val="nil"/>
            </w:tcBorders>
            <w:shd w:val="clear" w:color="auto" w:fill="auto"/>
          </w:tcPr>
          <w:p w14:paraId="751CF248" w14:textId="77777777" w:rsidR="00BA4C37" w:rsidRPr="0093352E" w:rsidRDefault="00BA4C37" w:rsidP="00BA4C37">
            <w:pPr>
              <w:pStyle w:val="TableText"/>
              <w:rPr>
                <w:szCs w:val="18"/>
                <w:lang w:eastAsia="en-AU"/>
              </w:rPr>
            </w:pPr>
            <w:r w:rsidRPr="0093352E">
              <w:rPr>
                <w:szCs w:val="18"/>
              </w:rPr>
              <w:t>Powder containing 970–980 g/kg 3-chloro-p-toluidine hydrochloride (Reassessed – HRC08001)</w:t>
            </w:r>
          </w:p>
        </w:tc>
        <w:tc>
          <w:tcPr>
            <w:tcW w:w="1848" w:type="dxa"/>
            <w:tcBorders>
              <w:top w:val="nil"/>
              <w:bottom w:val="nil"/>
            </w:tcBorders>
            <w:shd w:val="clear" w:color="auto" w:fill="auto"/>
          </w:tcPr>
          <w:p w14:paraId="7287B3E8" w14:textId="77777777" w:rsidR="00BA4C37" w:rsidRPr="0093352E" w:rsidRDefault="00BA4C37" w:rsidP="00BA4C37">
            <w:pPr>
              <w:pStyle w:val="TableText"/>
              <w:rPr>
                <w:bCs/>
                <w:szCs w:val="18"/>
                <w:lang w:eastAsia="en-AU"/>
              </w:rPr>
            </w:pPr>
            <w:r w:rsidRPr="0093352E">
              <w:rPr>
                <w:bCs/>
                <w:iCs/>
                <w:color w:val="000000"/>
                <w:szCs w:val="18"/>
              </w:rPr>
              <w:t>HSR001611</w:t>
            </w:r>
          </w:p>
        </w:tc>
      </w:tr>
      <w:tr w:rsidR="00BA4C37" w:rsidRPr="00BA4C37" w14:paraId="5DFD3FAF" w14:textId="77777777" w:rsidTr="00153568">
        <w:tc>
          <w:tcPr>
            <w:tcW w:w="6232" w:type="dxa"/>
            <w:tcBorders>
              <w:top w:val="nil"/>
              <w:bottom w:val="nil"/>
              <w:right w:val="nil"/>
            </w:tcBorders>
            <w:shd w:val="clear" w:color="auto" w:fill="D9D9D9" w:themeFill="background1" w:themeFillShade="D9"/>
          </w:tcPr>
          <w:p w14:paraId="398979B6" w14:textId="77777777" w:rsidR="00BA4C37" w:rsidRPr="00BA4C37" w:rsidRDefault="00BA4C37" w:rsidP="00BA4C37">
            <w:pPr>
              <w:pStyle w:val="TableText"/>
              <w:rPr>
                <w:b/>
                <w:bCs/>
                <w:lang w:eastAsia="en-AU"/>
              </w:rPr>
            </w:pPr>
            <w:r w:rsidRPr="00BA4C37">
              <w:rPr>
                <w:b/>
                <w:bCs/>
              </w:rPr>
              <w:t xml:space="preserve">Microencapsulated zinc phosphide (MZP) paste </w:t>
            </w:r>
          </w:p>
        </w:tc>
        <w:tc>
          <w:tcPr>
            <w:tcW w:w="1848" w:type="dxa"/>
            <w:tcBorders>
              <w:top w:val="nil"/>
              <w:left w:val="nil"/>
              <w:bottom w:val="nil"/>
            </w:tcBorders>
            <w:shd w:val="clear" w:color="auto" w:fill="D9D9D9" w:themeFill="background1" w:themeFillShade="D9"/>
          </w:tcPr>
          <w:p w14:paraId="6A0F09F1" w14:textId="77777777" w:rsidR="00BA4C37" w:rsidRPr="00BA4C37" w:rsidRDefault="00BA4C37" w:rsidP="00BA4C37">
            <w:pPr>
              <w:pStyle w:val="TableText"/>
              <w:rPr>
                <w:b/>
                <w:bCs/>
                <w:lang w:eastAsia="en-AU"/>
              </w:rPr>
            </w:pPr>
          </w:p>
        </w:tc>
      </w:tr>
      <w:tr w:rsidR="00BA4C37" w:rsidRPr="009C0599" w14:paraId="0AD7527B" w14:textId="77777777" w:rsidTr="00153568">
        <w:tc>
          <w:tcPr>
            <w:tcW w:w="6232" w:type="dxa"/>
            <w:tcBorders>
              <w:top w:val="nil"/>
              <w:bottom w:val="nil"/>
            </w:tcBorders>
            <w:shd w:val="clear" w:color="auto" w:fill="auto"/>
          </w:tcPr>
          <w:p w14:paraId="5781144F" w14:textId="77777777" w:rsidR="00BA4C37" w:rsidRPr="0093352E" w:rsidRDefault="00BA4C37" w:rsidP="00BA4C37">
            <w:pPr>
              <w:pStyle w:val="TableText"/>
              <w:rPr>
                <w:szCs w:val="18"/>
                <w:lang w:eastAsia="en-AU"/>
              </w:rPr>
            </w:pPr>
            <w:r w:rsidRPr="0093352E">
              <w:rPr>
                <w:bCs/>
                <w:kern w:val="36"/>
                <w:szCs w:val="18"/>
                <w:lang w:val="en-US"/>
              </w:rPr>
              <w:t xml:space="preserve">MZP paste containing 15 g/kg zinc phosphide </w:t>
            </w:r>
          </w:p>
        </w:tc>
        <w:tc>
          <w:tcPr>
            <w:tcW w:w="1848" w:type="dxa"/>
            <w:tcBorders>
              <w:top w:val="nil"/>
              <w:bottom w:val="nil"/>
            </w:tcBorders>
            <w:shd w:val="clear" w:color="auto" w:fill="auto"/>
            <w:hideMark/>
          </w:tcPr>
          <w:p w14:paraId="0DF4FE95" w14:textId="77777777" w:rsidR="00BA4C37" w:rsidRPr="0093352E" w:rsidRDefault="00BA4C37" w:rsidP="00BA4C37">
            <w:pPr>
              <w:pStyle w:val="TableText"/>
              <w:rPr>
                <w:szCs w:val="18"/>
                <w:lang w:eastAsia="en-AU"/>
              </w:rPr>
            </w:pPr>
            <w:r w:rsidRPr="0093352E">
              <w:rPr>
                <w:bCs/>
                <w:color w:val="2E2E2E"/>
                <w:kern w:val="36"/>
                <w:szCs w:val="18"/>
                <w:lang w:val="en-US"/>
              </w:rPr>
              <w:t>HSR100557</w:t>
            </w:r>
          </w:p>
        </w:tc>
      </w:tr>
      <w:tr w:rsidR="00BA4C37" w:rsidRPr="00BA4C37" w14:paraId="522434CF" w14:textId="77777777" w:rsidTr="00153568">
        <w:tc>
          <w:tcPr>
            <w:tcW w:w="6232" w:type="dxa"/>
            <w:tcBorders>
              <w:top w:val="nil"/>
              <w:bottom w:val="nil"/>
              <w:right w:val="nil"/>
            </w:tcBorders>
            <w:shd w:val="clear" w:color="auto" w:fill="D9D9D9" w:themeFill="background1" w:themeFillShade="D9"/>
          </w:tcPr>
          <w:p w14:paraId="0183DC94" w14:textId="77777777" w:rsidR="00BA4C37" w:rsidRPr="00BA4C37" w:rsidRDefault="00BA4C37" w:rsidP="00BA4C37">
            <w:pPr>
              <w:pStyle w:val="TableText"/>
              <w:rPr>
                <w:b/>
                <w:bCs/>
                <w:lang w:eastAsia="en-AU"/>
              </w:rPr>
            </w:pPr>
            <w:r w:rsidRPr="00BA4C37">
              <w:rPr>
                <w:b/>
                <w:bCs/>
              </w:rPr>
              <w:t>Ant baits</w:t>
            </w:r>
          </w:p>
        </w:tc>
        <w:tc>
          <w:tcPr>
            <w:tcW w:w="1848" w:type="dxa"/>
            <w:tcBorders>
              <w:top w:val="nil"/>
              <w:left w:val="nil"/>
              <w:bottom w:val="nil"/>
            </w:tcBorders>
            <w:shd w:val="clear" w:color="auto" w:fill="D9D9D9" w:themeFill="background1" w:themeFillShade="D9"/>
          </w:tcPr>
          <w:p w14:paraId="3AB1CD78" w14:textId="77777777" w:rsidR="00BA4C37" w:rsidRPr="00BA4C37" w:rsidRDefault="00BA4C37" w:rsidP="00BA4C37">
            <w:pPr>
              <w:pStyle w:val="TableText"/>
              <w:rPr>
                <w:b/>
                <w:bCs/>
                <w:lang w:eastAsia="en-AU"/>
              </w:rPr>
            </w:pPr>
          </w:p>
        </w:tc>
      </w:tr>
      <w:tr w:rsidR="00BA4C37" w:rsidRPr="009C0599" w14:paraId="27C89FB2" w14:textId="77777777" w:rsidTr="00153568">
        <w:tc>
          <w:tcPr>
            <w:tcW w:w="6232" w:type="dxa"/>
            <w:tcBorders>
              <w:top w:val="nil"/>
            </w:tcBorders>
            <w:shd w:val="clear" w:color="auto" w:fill="auto"/>
          </w:tcPr>
          <w:p w14:paraId="520AC1B0" w14:textId="77777777" w:rsidR="00BA4C37" w:rsidRPr="0093352E" w:rsidRDefault="00BA4C37" w:rsidP="00BA4C37">
            <w:pPr>
              <w:pStyle w:val="TableText"/>
              <w:rPr>
                <w:szCs w:val="18"/>
                <w:lang w:eastAsia="en-AU"/>
              </w:rPr>
            </w:pPr>
            <w:r w:rsidRPr="0093352E">
              <w:rPr>
                <w:szCs w:val="18"/>
              </w:rPr>
              <w:t>Advion Fire ant bait containing indoxacarb</w:t>
            </w:r>
          </w:p>
        </w:tc>
        <w:tc>
          <w:tcPr>
            <w:tcW w:w="1848" w:type="dxa"/>
            <w:tcBorders>
              <w:top w:val="nil"/>
            </w:tcBorders>
            <w:shd w:val="clear" w:color="auto" w:fill="auto"/>
            <w:hideMark/>
          </w:tcPr>
          <w:p w14:paraId="01B56AA3" w14:textId="77777777" w:rsidR="00BA4C37" w:rsidRPr="0093352E" w:rsidRDefault="00BA4C37" w:rsidP="00BA4C37">
            <w:pPr>
              <w:pStyle w:val="TableText"/>
              <w:rPr>
                <w:szCs w:val="18"/>
                <w:lang w:eastAsia="en-AU"/>
              </w:rPr>
            </w:pPr>
            <w:r w:rsidRPr="0093352E">
              <w:rPr>
                <w:szCs w:val="18"/>
              </w:rPr>
              <w:t>HSR007905</w:t>
            </w:r>
          </w:p>
        </w:tc>
      </w:tr>
      <w:tr w:rsidR="00BA4C37" w:rsidRPr="009C0599" w14:paraId="3F9BA13E" w14:textId="77777777" w:rsidTr="00BA4C37">
        <w:tc>
          <w:tcPr>
            <w:tcW w:w="6232" w:type="dxa"/>
            <w:shd w:val="clear" w:color="auto" w:fill="auto"/>
          </w:tcPr>
          <w:p w14:paraId="56A33726" w14:textId="77777777" w:rsidR="00BA4C37" w:rsidRPr="0093352E" w:rsidRDefault="00BA4C37" w:rsidP="00BA4C37">
            <w:pPr>
              <w:pStyle w:val="TableText"/>
              <w:rPr>
                <w:szCs w:val="18"/>
                <w:lang w:eastAsia="en-AU"/>
              </w:rPr>
            </w:pPr>
            <w:r w:rsidRPr="0093352E">
              <w:rPr>
                <w:szCs w:val="18"/>
              </w:rPr>
              <w:t>Amdro Fire ant bait containing hydramethylnon</w:t>
            </w:r>
          </w:p>
        </w:tc>
        <w:tc>
          <w:tcPr>
            <w:tcW w:w="1848" w:type="dxa"/>
            <w:shd w:val="clear" w:color="auto" w:fill="auto"/>
            <w:hideMark/>
          </w:tcPr>
          <w:p w14:paraId="4E878239" w14:textId="77777777" w:rsidR="00BA4C37" w:rsidRPr="0093352E" w:rsidRDefault="00BA4C37" w:rsidP="00BA4C37">
            <w:pPr>
              <w:pStyle w:val="TableText"/>
              <w:rPr>
                <w:szCs w:val="18"/>
                <w:lang w:eastAsia="en-AU"/>
              </w:rPr>
            </w:pPr>
            <w:r w:rsidRPr="0093352E">
              <w:rPr>
                <w:szCs w:val="18"/>
              </w:rPr>
              <w:t>HSR007882</w:t>
            </w:r>
          </w:p>
        </w:tc>
      </w:tr>
      <w:tr w:rsidR="00BA4C37" w:rsidRPr="009C0599" w14:paraId="5C33FBA2" w14:textId="77777777" w:rsidTr="00BA4C37">
        <w:tc>
          <w:tcPr>
            <w:tcW w:w="6232" w:type="dxa"/>
            <w:shd w:val="clear" w:color="auto" w:fill="auto"/>
          </w:tcPr>
          <w:p w14:paraId="5085ADE0" w14:textId="77777777" w:rsidR="00BA4C37" w:rsidRPr="0093352E" w:rsidRDefault="00BA4C37" w:rsidP="00BA4C37">
            <w:pPr>
              <w:pStyle w:val="TableText"/>
              <w:rPr>
                <w:szCs w:val="18"/>
                <w:lang w:eastAsia="en-AU"/>
              </w:rPr>
            </w:pPr>
            <w:r w:rsidRPr="0093352E">
              <w:rPr>
                <w:szCs w:val="18"/>
              </w:rPr>
              <w:t>Campaign ant bait containing hydramethylnon</w:t>
            </w:r>
          </w:p>
        </w:tc>
        <w:tc>
          <w:tcPr>
            <w:tcW w:w="1848" w:type="dxa"/>
            <w:shd w:val="clear" w:color="auto" w:fill="auto"/>
            <w:hideMark/>
          </w:tcPr>
          <w:p w14:paraId="336C48DC" w14:textId="77777777" w:rsidR="00BA4C37" w:rsidRPr="0093352E" w:rsidRDefault="00BA4C37" w:rsidP="00BA4C37">
            <w:pPr>
              <w:pStyle w:val="TableText"/>
              <w:rPr>
                <w:szCs w:val="18"/>
                <w:lang w:eastAsia="en-AU"/>
              </w:rPr>
            </w:pPr>
            <w:r w:rsidRPr="0093352E">
              <w:rPr>
                <w:szCs w:val="18"/>
              </w:rPr>
              <w:t>HSR007881</w:t>
            </w:r>
          </w:p>
        </w:tc>
      </w:tr>
    </w:tbl>
    <w:p w14:paraId="0EB8EF5F" w14:textId="595B6B75" w:rsidR="00BA4C37" w:rsidRDefault="00BA4C37" w:rsidP="00A42341">
      <w:r>
        <w:br w:type="page"/>
      </w:r>
    </w:p>
    <w:p w14:paraId="0594D4FC" w14:textId="01E4DCAB" w:rsidR="00145814" w:rsidRPr="00A42341" w:rsidRDefault="00145814" w:rsidP="00145814">
      <w:pPr>
        <w:pStyle w:val="Heading1"/>
        <w:spacing w:before="0"/>
      </w:pPr>
      <w:bookmarkStart w:id="142" w:name="_Toc109793301"/>
      <w:bookmarkStart w:id="143" w:name="_Toc246225386"/>
      <w:bookmarkStart w:id="144" w:name="_Toc258328479"/>
      <w:bookmarkStart w:id="145" w:name="_Toc265219425"/>
      <w:bookmarkStart w:id="146" w:name="_Toc336505267"/>
      <w:bookmarkStart w:id="147" w:name="_Toc90633220"/>
      <w:r w:rsidRPr="00A42341">
        <w:t xml:space="preserve">Appendix </w:t>
      </w:r>
      <w:r>
        <w:t>2</w:t>
      </w:r>
      <w:r w:rsidRPr="00A42341">
        <w:t>: Notes to assist in the risk assessment</w:t>
      </w:r>
      <w:bookmarkEnd w:id="142"/>
    </w:p>
    <w:p w14:paraId="39BB8A76" w14:textId="77777777" w:rsidR="00145814" w:rsidRPr="00A42341" w:rsidRDefault="00145814" w:rsidP="00145814">
      <w:pPr>
        <w:pStyle w:val="Heading2"/>
      </w:pPr>
      <w:bookmarkStart w:id="148" w:name="_Toc109793302"/>
      <w:r w:rsidRPr="00A42341">
        <w:t>Methods of application</w:t>
      </w:r>
      <w:bookmarkEnd w:id="148"/>
    </w:p>
    <w:p w14:paraId="6ABBA334" w14:textId="3AFA0C59" w:rsidR="00145814" w:rsidRPr="00A42341" w:rsidRDefault="00145814" w:rsidP="00145814">
      <w:r w:rsidRPr="00A42341">
        <w:t xml:space="preserve">There are a number of methods of applying VTAs and other hazardous substances, each with different associated hazards. The method used must be appropriate to the terrain in question and allow the operator certainty around the accuracy of bait placement. The concentration of </w:t>
      </w:r>
      <w:r w:rsidR="00F64FDF">
        <w:t xml:space="preserve">the </w:t>
      </w:r>
      <w:r w:rsidRPr="00A42341">
        <w:t>VTA or other hazardous substance being used can vary significantly depending on the application method, the target species and the environment.</w:t>
      </w:r>
    </w:p>
    <w:p w14:paraId="3B70E459" w14:textId="77777777" w:rsidR="00145814" w:rsidRPr="00A42341" w:rsidRDefault="00145814" w:rsidP="00145814"/>
    <w:p w14:paraId="74F4F7BB" w14:textId="1582DD41" w:rsidR="00145814" w:rsidRPr="00A42341" w:rsidRDefault="00145814" w:rsidP="00145814">
      <w:r w:rsidRPr="00A42341">
        <w:t>In certain circumstances, an operator may use a combination of ground</w:t>
      </w:r>
      <w:r w:rsidR="00F64FDF">
        <w:t>-based</w:t>
      </w:r>
      <w:r w:rsidRPr="00A42341">
        <w:t xml:space="preserve"> and aerial applications. For example, an operation might involve aerial 1080 application for a wide area </w:t>
      </w:r>
      <w:r w:rsidR="00F64FDF">
        <w:t>as well as</w:t>
      </w:r>
      <w:r w:rsidRPr="00A42341">
        <w:t xml:space="preserve"> ground</w:t>
      </w:r>
      <w:r w:rsidR="00F64FDF">
        <w:t>-based</w:t>
      </w:r>
      <w:r w:rsidRPr="00A42341">
        <w:t xml:space="preserve"> application along the periphery to allow for control of possums in areas that abut a residential area and that require </w:t>
      </w:r>
      <w:r w:rsidR="00F64FDF">
        <w:t>more</w:t>
      </w:r>
      <w:r w:rsidR="00F64FDF" w:rsidRPr="00A42341">
        <w:t xml:space="preserve"> </w:t>
      </w:r>
      <w:r w:rsidRPr="00A42341">
        <w:t>accura</w:t>
      </w:r>
      <w:r w:rsidR="00F64FDF">
        <w:t>te</w:t>
      </w:r>
      <w:r w:rsidRPr="00A42341">
        <w:t xml:space="preserve"> bait placement.</w:t>
      </w:r>
    </w:p>
    <w:p w14:paraId="74D0B31F" w14:textId="77777777" w:rsidR="00145814" w:rsidRPr="00A42341" w:rsidRDefault="00145814" w:rsidP="00145814">
      <w:pPr>
        <w:pStyle w:val="NoSpacing"/>
        <w:jc w:val="both"/>
        <w:rPr>
          <w:rFonts w:cs="Arial"/>
        </w:rPr>
      </w:pPr>
    </w:p>
    <w:p w14:paraId="0574A593" w14:textId="0622B16A" w:rsidR="00145814" w:rsidRDefault="00145814" w:rsidP="0093352E">
      <w:pPr>
        <w:pStyle w:val="Caption"/>
        <w:rPr>
          <w:rFonts w:cs="Arial"/>
        </w:rPr>
      </w:pPr>
      <w:bookmarkStart w:id="149" w:name="_Toc90957715"/>
      <w:r>
        <w:t>Table A.</w:t>
      </w:r>
      <w:r w:rsidR="00CB212C">
        <w:fldChar w:fldCharType="begin"/>
      </w:r>
      <w:r w:rsidR="00CB212C">
        <w:instrText xml:space="preserve"> SEQ Table_A. \* ARABIC </w:instrText>
      </w:r>
      <w:r w:rsidR="00CB212C">
        <w:fldChar w:fldCharType="separate"/>
      </w:r>
      <w:r w:rsidR="001F6003">
        <w:rPr>
          <w:noProof/>
        </w:rPr>
        <w:t>1</w:t>
      </w:r>
      <w:r w:rsidR="00CB212C">
        <w:rPr>
          <w:noProof/>
        </w:rPr>
        <w:fldChar w:fldCharType="end"/>
      </w:r>
      <w:r>
        <w:t xml:space="preserve">: </w:t>
      </w:r>
      <w:r w:rsidRPr="00A42341">
        <w:rPr>
          <w:rFonts w:cs="Arial"/>
        </w:rPr>
        <w:t>Overview of VTA and other hazardous substance application methods</w:t>
      </w:r>
      <w:bookmarkEnd w:id="149"/>
    </w:p>
    <w:tbl>
      <w:tblPr>
        <w:tblW w:w="8023"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2552"/>
        <w:gridCol w:w="1927"/>
        <w:gridCol w:w="3544"/>
      </w:tblGrid>
      <w:tr w:rsidR="00145814" w:rsidRPr="00CA3C19" w14:paraId="19D7E71C" w14:textId="77777777" w:rsidTr="00153568">
        <w:trPr>
          <w:cantSplit/>
          <w:tblHeader/>
        </w:trPr>
        <w:tc>
          <w:tcPr>
            <w:tcW w:w="2552" w:type="dxa"/>
            <w:tcBorders>
              <w:top w:val="nil"/>
              <w:bottom w:val="nil"/>
              <w:right w:val="nil"/>
            </w:tcBorders>
            <w:shd w:val="clear" w:color="auto" w:fill="D9D9D9"/>
          </w:tcPr>
          <w:p w14:paraId="6700AEE0" w14:textId="77777777" w:rsidR="00145814" w:rsidRPr="00CA3C19" w:rsidRDefault="00145814" w:rsidP="00DB3BE2">
            <w:pPr>
              <w:pStyle w:val="TableText"/>
              <w:rPr>
                <w:b/>
                <w:szCs w:val="18"/>
              </w:rPr>
            </w:pPr>
            <w:r w:rsidRPr="00CA3C19">
              <w:rPr>
                <w:b/>
                <w:szCs w:val="18"/>
              </w:rPr>
              <w:t>Application method</w:t>
            </w:r>
          </w:p>
        </w:tc>
        <w:tc>
          <w:tcPr>
            <w:tcW w:w="1927" w:type="dxa"/>
            <w:tcBorders>
              <w:top w:val="nil"/>
              <w:left w:val="nil"/>
              <w:bottom w:val="nil"/>
              <w:right w:val="nil"/>
            </w:tcBorders>
            <w:shd w:val="clear" w:color="auto" w:fill="D9D9D9"/>
          </w:tcPr>
          <w:p w14:paraId="2041A33D" w14:textId="2280BE2A" w:rsidR="00145814" w:rsidRPr="00CA3C19" w:rsidRDefault="00145814" w:rsidP="00DB3BE2">
            <w:pPr>
              <w:pStyle w:val="TableText"/>
              <w:rPr>
                <w:b/>
                <w:szCs w:val="18"/>
              </w:rPr>
            </w:pPr>
            <w:r w:rsidRPr="00CA3C19">
              <w:rPr>
                <w:b/>
                <w:szCs w:val="18"/>
              </w:rPr>
              <w:t>Substance</w:t>
            </w:r>
            <w:r w:rsidR="00B515C6">
              <w:rPr>
                <w:b/>
                <w:szCs w:val="18"/>
              </w:rPr>
              <w:t>(s)</w:t>
            </w:r>
          </w:p>
        </w:tc>
        <w:tc>
          <w:tcPr>
            <w:tcW w:w="3544" w:type="dxa"/>
            <w:tcBorders>
              <w:top w:val="nil"/>
              <w:left w:val="nil"/>
              <w:bottom w:val="nil"/>
            </w:tcBorders>
            <w:shd w:val="clear" w:color="auto" w:fill="D9D9D9"/>
          </w:tcPr>
          <w:p w14:paraId="1120292A" w14:textId="77777777" w:rsidR="00145814" w:rsidRPr="00CA3C19" w:rsidRDefault="00145814" w:rsidP="00DB3BE2">
            <w:pPr>
              <w:pStyle w:val="TableText"/>
              <w:rPr>
                <w:b/>
                <w:szCs w:val="18"/>
              </w:rPr>
            </w:pPr>
            <w:r w:rsidRPr="00CA3C19">
              <w:rPr>
                <w:b/>
                <w:szCs w:val="18"/>
              </w:rPr>
              <w:t>Bait placement and coverage</w:t>
            </w:r>
          </w:p>
        </w:tc>
      </w:tr>
      <w:tr w:rsidR="00145814" w:rsidRPr="00CA3C19" w14:paraId="35FBBADD" w14:textId="77777777" w:rsidTr="00153568">
        <w:trPr>
          <w:cantSplit/>
        </w:trPr>
        <w:tc>
          <w:tcPr>
            <w:tcW w:w="2552" w:type="dxa"/>
            <w:tcBorders>
              <w:top w:val="nil"/>
            </w:tcBorders>
            <w:shd w:val="clear" w:color="auto" w:fill="auto"/>
          </w:tcPr>
          <w:p w14:paraId="0AC9CF27" w14:textId="77777777" w:rsidR="00145814" w:rsidRPr="00CA3C19" w:rsidRDefault="00145814" w:rsidP="001A1FE3">
            <w:pPr>
              <w:pStyle w:val="TableText"/>
              <w:rPr>
                <w:szCs w:val="18"/>
              </w:rPr>
            </w:pPr>
            <w:r w:rsidRPr="00CA3C19">
              <w:rPr>
                <w:szCs w:val="18"/>
              </w:rPr>
              <w:t>Aerial broadcast</w:t>
            </w:r>
          </w:p>
        </w:tc>
        <w:tc>
          <w:tcPr>
            <w:tcW w:w="1927" w:type="dxa"/>
            <w:tcBorders>
              <w:top w:val="nil"/>
            </w:tcBorders>
            <w:shd w:val="clear" w:color="auto" w:fill="auto"/>
          </w:tcPr>
          <w:p w14:paraId="7B1CC48F" w14:textId="77777777" w:rsidR="00145814" w:rsidRPr="00CA3C19" w:rsidRDefault="00145814" w:rsidP="001A1FE3">
            <w:pPr>
              <w:pStyle w:val="TableText"/>
              <w:rPr>
                <w:szCs w:val="18"/>
              </w:rPr>
            </w:pPr>
            <w:r w:rsidRPr="00CA3C19">
              <w:rPr>
                <w:szCs w:val="18"/>
              </w:rPr>
              <w:t>1080</w:t>
            </w:r>
          </w:p>
        </w:tc>
        <w:tc>
          <w:tcPr>
            <w:tcW w:w="3544" w:type="dxa"/>
            <w:tcBorders>
              <w:top w:val="nil"/>
            </w:tcBorders>
            <w:shd w:val="clear" w:color="auto" w:fill="auto"/>
          </w:tcPr>
          <w:p w14:paraId="19ADA766" w14:textId="77777777" w:rsidR="00145814" w:rsidRPr="00CA3C19" w:rsidRDefault="00145814" w:rsidP="001A1FE3">
            <w:pPr>
              <w:pStyle w:val="TableText"/>
              <w:rPr>
                <w:szCs w:val="18"/>
              </w:rPr>
            </w:pPr>
            <w:r w:rsidRPr="00CA3C19">
              <w:rPr>
                <w:szCs w:val="18"/>
              </w:rPr>
              <w:t>Potential for bait to be placed inaccurately. Bait is generally well spread, particularly if a low-sow bucket is used.</w:t>
            </w:r>
          </w:p>
        </w:tc>
      </w:tr>
      <w:tr w:rsidR="00145814" w:rsidRPr="00CA3C19" w14:paraId="1648D9EF" w14:textId="77777777" w:rsidTr="001A1FE3">
        <w:trPr>
          <w:cantSplit/>
        </w:trPr>
        <w:tc>
          <w:tcPr>
            <w:tcW w:w="2552" w:type="dxa"/>
            <w:shd w:val="clear" w:color="auto" w:fill="auto"/>
          </w:tcPr>
          <w:p w14:paraId="153C7CB7" w14:textId="77777777" w:rsidR="00145814" w:rsidRPr="00CA3C19" w:rsidRDefault="00145814" w:rsidP="001A1FE3">
            <w:pPr>
              <w:pStyle w:val="TableText"/>
              <w:rPr>
                <w:szCs w:val="18"/>
              </w:rPr>
            </w:pPr>
            <w:r w:rsidRPr="00CA3C19">
              <w:rPr>
                <w:szCs w:val="18"/>
              </w:rPr>
              <w:t>Aerial trickle</w:t>
            </w:r>
          </w:p>
        </w:tc>
        <w:tc>
          <w:tcPr>
            <w:tcW w:w="1927" w:type="dxa"/>
            <w:shd w:val="clear" w:color="auto" w:fill="auto"/>
          </w:tcPr>
          <w:p w14:paraId="4C893672" w14:textId="77777777" w:rsidR="00145814" w:rsidRPr="00CA3C19" w:rsidRDefault="00145814" w:rsidP="001A1FE3">
            <w:pPr>
              <w:pStyle w:val="TableText"/>
              <w:rPr>
                <w:szCs w:val="18"/>
              </w:rPr>
            </w:pPr>
            <w:r w:rsidRPr="00CA3C19">
              <w:rPr>
                <w:szCs w:val="18"/>
              </w:rPr>
              <w:t>1080</w:t>
            </w:r>
          </w:p>
        </w:tc>
        <w:tc>
          <w:tcPr>
            <w:tcW w:w="3544" w:type="dxa"/>
            <w:shd w:val="clear" w:color="auto" w:fill="auto"/>
          </w:tcPr>
          <w:p w14:paraId="46FA9592" w14:textId="77777777" w:rsidR="00145814" w:rsidRPr="00CA3C19" w:rsidRDefault="00145814" w:rsidP="001A1FE3">
            <w:pPr>
              <w:pStyle w:val="TableText"/>
              <w:rPr>
                <w:szCs w:val="18"/>
              </w:rPr>
            </w:pPr>
            <w:r w:rsidRPr="00CA3C19">
              <w:rPr>
                <w:szCs w:val="18"/>
              </w:rPr>
              <w:t>More accurate placement than aerial broadcast; bait is generally well spaced.</w:t>
            </w:r>
          </w:p>
        </w:tc>
      </w:tr>
      <w:tr w:rsidR="00145814" w:rsidRPr="00CA3C19" w14:paraId="7A9178CB" w14:textId="77777777" w:rsidTr="001A1FE3">
        <w:trPr>
          <w:cantSplit/>
        </w:trPr>
        <w:tc>
          <w:tcPr>
            <w:tcW w:w="2552" w:type="dxa"/>
            <w:shd w:val="clear" w:color="auto" w:fill="auto"/>
          </w:tcPr>
          <w:p w14:paraId="03DD5BC7" w14:textId="77777777" w:rsidR="00145814" w:rsidRPr="00CA3C19" w:rsidRDefault="00145814" w:rsidP="001A1FE3">
            <w:pPr>
              <w:pStyle w:val="TableText"/>
              <w:rPr>
                <w:szCs w:val="18"/>
              </w:rPr>
            </w:pPr>
            <w:r w:rsidRPr="00CA3C19">
              <w:rPr>
                <w:szCs w:val="18"/>
              </w:rPr>
              <w:t>Aerial cluster</w:t>
            </w:r>
          </w:p>
        </w:tc>
        <w:tc>
          <w:tcPr>
            <w:tcW w:w="1927" w:type="dxa"/>
            <w:shd w:val="clear" w:color="auto" w:fill="auto"/>
          </w:tcPr>
          <w:p w14:paraId="5E168C60" w14:textId="77777777" w:rsidR="00145814" w:rsidRPr="00CA3C19" w:rsidRDefault="00145814" w:rsidP="001A1FE3">
            <w:pPr>
              <w:pStyle w:val="TableText"/>
              <w:rPr>
                <w:szCs w:val="18"/>
              </w:rPr>
            </w:pPr>
            <w:r w:rsidRPr="00CA3C19">
              <w:rPr>
                <w:szCs w:val="18"/>
              </w:rPr>
              <w:t>1080</w:t>
            </w:r>
          </w:p>
        </w:tc>
        <w:tc>
          <w:tcPr>
            <w:tcW w:w="3544" w:type="dxa"/>
            <w:shd w:val="clear" w:color="auto" w:fill="auto"/>
          </w:tcPr>
          <w:p w14:paraId="221429BA" w14:textId="78BDCAD8" w:rsidR="00145814" w:rsidRPr="00CA3C19" w:rsidRDefault="00145814" w:rsidP="001A1FE3">
            <w:pPr>
              <w:pStyle w:val="TableText"/>
              <w:rPr>
                <w:szCs w:val="18"/>
              </w:rPr>
            </w:pPr>
            <w:r w:rsidRPr="00CA3C19">
              <w:rPr>
                <w:szCs w:val="18"/>
              </w:rPr>
              <w:t>Relatively accurate placement; however</w:t>
            </w:r>
            <w:r w:rsidR="00FF3228">
              <w:rPr>
                <w:szCs w:val="18"/>
              </w:rPr>
              <w:t>,</w:t>
            </w:r>
            <w:r w:rsidRPr="00CA3C19">
              <w:rPr>
                <w:szCs w:val="18"/>
              </w:rPr>
              <w:t xml:space="preserve"> </w:t>
            </w:r>
            <w:r>
              <w:rPr>
                <w:szCs w:val="18"/>
              </w:rPr>
              <w:t xml:space="preserve">there is </w:t>
            </w:r>
            <w:r w:rsidRPr="00CA3C19">
              <w:rPr>
                <w:szCs w:val="18"/>
              </w:rPr>
              <w:t>a large cluster of bait, so exposure is to many pellets rather than spaced single pellets.</w:t>
            </w:r>
          </w:p>
        </w:tc>
      </w:tr>
      <w:tr w:rsidR="00145814" w:rsidRPr="00CA3C19" w14:paraId="222C8E30" w14:textId="77777777" w:rsidTr="001A1FE3">
        <w:trPr>
          <w:cantSplit/>
        </w:trPr>
        <w:tc>
          <w:tcPr>
            <w:tcW w:w="2552" w:type="dxa"/>
            <w:shd w:val="clear" w:color="auto" w:fill="auto"/>
          </w:tcPr>
          <w:p w14:paraId="39D3F4BD" w14:textId="77777777" w:rsidR="00145814" w:rsidRPr="00CA3C19" w:rsidRDefault="00145814" w:rsidP="001A1FE3">
            <w:pPr>
              <w:pStyle w:val="TableText"/>
              <w:rPr>
                <w:szCs w:val="18"/>
              </w:rPr>
            </w:pPr>
            <w:r w:rsidRPr="00CA3C19">
              <w:rPr>
                <w:szCs w:val="18"/>
              </w:rPr>
              <w:t>Open ground application: turf spits, hand broadcast, ground-laid paste</w:t>
            </w:r>
          </w:p>
        </w:tc>
        <w:tc>
          <w:tcPr>
            <w:tcW w:w="1927" w:type="dxa"/>
            <w:shd w:val="clear" w:color="auto" w:fill="auto"/>
          </w:tcPr>
          <w:p w14:paraId="1360CD35" w14:textId="77777777" w:rsidR="00145814" w:rsidRPr="00CA3C19" w:rsidRDefault="00145814" w:rsidP="001A1FE3">
            <w:pPr>
              <w:pStyle w:val="TableText"/>
              <w:rPr>
                <w:szCs w:val="18"/>
              </w:rPr>
            </w:pPr>
            <w:r w:rsidRPr="00CA3C19">
              <w:rPr>
                <w:szCs w:val="18"/>
              </w:rPr>
              <w:t>1080, cyanide, yellow phosphorus, DRC 1339</w:t>
            </w:r>
          </w:p>
        </w:tc>
        <w:tc>
          <w:tcPr>
            <w:tcW w:w="3544" w:type="dxa"/>
            <w:shd w:val="clear" w:color="auto" w:fill="auto"/>
          </w:tcPr>
          <w:p w14:paraId="03AD15DE" w14:textId="77777777" w:rsidR="00145814" w:rsidRPr="00CA3C19" w:rsidRDefault="00145814" w:rsidP="001A1FE3">
            <w:pPr>
              <w:pStyle w:val="TableText"/>
              <w:rPr>
                <w:szCs w:val="18"/>
              </w:rPr>
            </w:pPr>
            <w:r w:rsidRPr="00CA3C19">
              <w:rPr>
                <w:szCs w:val="18"/>
              </w:rPr>
              <w:t>Accurate placement. Coverage rates vary depending on terrain, target species and VTA.</w:t>
            </w:r>
          </w:p>
        </w:tc>
      </w:tr>
      <w:tr w:rsidR="00145814" w:rsidRPr="00CA3C19" w14:paraId="649E5DF3" w14:textId="77777777" w:rsidTr="001A1FE3">
        <w:trPr>
          <w:cantSplit/>
        </w:trPr>
        <w:tc>
          <w:tcPr>
            <w:tcW w:w="2552" w:type="dxa"/>
            <w:shd w:val="clear" w:color="auto" w:fill="auto"/>
          </w:tcPr>
          <w:p w14:paraId="2257852E" w14:textId="77777777" w:rsidR="00145814" w:rsidRPr="00CA3C19" w:rsidRDefault="00145814" w:rsidP="001A1FE3">
            <w:pPr>
              <w:pStyle w:val="TableText"/>
              <w:rPr>
                <w:szCs w:val="18"/>
              </w:rPr>
            </w:pPr>
            <w:r w:rsidRPr="00CA3C19">
              <w:rPr>
                <w:szCs w:val="18"/>
              </w:rPr>
              <w:t>Hand-based application from an aircraft</w:t>
            </w:r>
          </w:p>
        </w:tc>
        <w:tc>
          <w:tcPr>
            <w:tcW w:w="1927" w:type="dxa"/>
            <w:shd w:val="clear" w:color="auto" w:fill="auto"/>
          </w:tcPr>
          <w:p w14:paraId="129D02F7" w14:textId="77777777" w:rsidR="00145814" w:rsidRPr="00CA3C19" w:rsidRDefault="00145814" w:rsidP="001A1FE3">
            <w:pPr>
              <w:pStyle w:val="TableText"/>
              <w:rPr>
                <w:szCs w:val="18"/>
              </w:rPr>
            </w:pPr>
            <w:r w:rsidRPr="00CA3C19">
              <w:rPr>
                <w:szCs w:val="18"/>
              </w:rPr>
              <w:t>DRC 1339</w:t>
            </w:r>
          </w:p>
        </w:tc>
        <w:tc>
          <w:tcPr>
            <w:tcW w:w="3544" w:type="dxa"/>
            <w:shd w:val="clear" w:color="auto" w:fill="auto"/>
          </w:tcPr>
          <w:p w14:paraId="2C877B9F" w14:textId="77777777" w:rsidR="00145814" w:rsidRPr="00CA3C19" w:rsidRDefault="00145814" w:rsidP="001A1FE3">
            <w:pPr>
              <w:pStyle w:val="TableText"/>
              <w:rPr>
                <w:szCs w:val="18"/>
              </w:rPr>
            </w:pPr>
            <w:r w:rsidRPr="00CA3C19">
              <w:rPr>
                <w:szCs w:val="18"/>
              </w:rPr>
              <w:t>Accurate placement. Coverage rates vary depending on terrain and target species.</w:t>
            </w:r>
          </w:p>
        </w:tc>
      </w:tr>
      <w:tr w:rsidR="00145814" w:rsidRPr="00CA3C19" w14:paraId="446F0311" w14:textId="77777777" w:rsidTr="001A1FE3">
        <w:trPr>
          <w:cantSplit/>
        </w:trPr>
        <w:tc>
          <w:tcPr>
            <w:tcW w:w="2552" w:type="dxa"/>
            <w:shd w:val="clear" w:color="auto" w:fill="auto"/>
          </w:tcPr>
          <w:p w14:paraId="2A870F4A" w14:textId="77777777" w:rsidR="00145814" w:rsidRPr="00CA3C19" w:rsidRDefault="00145814" w:rsidP="001A1FE3">
            <w:pPr>
              <w:pStyle w:val="TableText"/>
              <w:rPr>
                <w:szCs w:val="18"/>
              </w:rPr>
            </w:pPr>
            <w:r w:rsidRPr="00CA3C19">
              <w:rPr>
                <w:szCs w:val="18"/>
              </w:rPr>
              <w:t>Bait stations</w:t>
            </w:r>
          </w:p>
        </w:tc>
        <w:tc>
          <w:tcPr>
            <w:tcW w:w="1927" w:type="dxa"/>
            <w:shd w:val="clear" w:color="auto" w:fill="auto"/>
          </w:tcPr>
          <w:p w14:paraId="1A6265D3" w14:textId="77777777" w:rsidR="00145814" w:rsidRPr="00CA3C19" w:rsidRDefault="00145814" w:rsidP="001A1FE3">
            <w:pPr>
              <w:pStyle w:val="TableText"/>
              <w:rPr>
                <w:szCs w:val="18"/>
              </w:rPr>
            </w:pPr>
            <w:r w:rsidRPr="00CA3C19">
              <w:rPr>
                <w:szCs w:val="18"/>
              </w:rPr>
              <w:t>1080, cyanide</w:t>
            </w:r>
          </w:p>
        </w:tc>
        <w:tc>
          <w:tcPr>
            <w:tcW w:w="3544" w:type="dxa"/>
            <w:shd w:val="clear" w:color="auto" w:fill="auto"/>
          </w:tcPr>
          <w:p w14:paraId="4BE8FE42" w14:textId="2D69B90F" w:rsidR="00145814" w:rsidRPr="00CA3C19" w:rsidRDefault="00145814" w:rsidP="001A1FE3">
            <w:pPr>
              <w:pStyle w:val="TableText"/>
              <w:rPr>
                <w:szCs w:val="18"/>
              </w:rPr>
            </w:pPr>
            <w:r w:rsidRPr="00CA3C19">
              <w:rPr>
                <w:szCs w:val="18"/>
              </w:rPr>
              <w:t>Placement divided into less or more than 1</w:t>
            </w:r>
            <w:r w:rsidR="00FF3228">
              <w:rPr>
                <w:szCs w:val="18"/>
              </w:rPr>
              <w:t> </w:t>
            </w:r>
            <w:r w:rsidRPr="00CA3C19">
              <w:rPr>
                <w:szCs w:val="18"/>
              </w:rPr>
              <w:t>m above the ground. Coverage rates vary depending on terrain, target species and VTA.</w:t>
            </w:r>
          </w:p>
        </w:tc>
      </w:tr>
      <w:tr w:rsidR="00145814" w:rsidRPr="00CA3C19" w14:paraId="61D9F981" w14:textId="77777777" w:rsidTr="001A1FE3">
        <w:trPr>
          <w:cantSplit/>
        </w:trPr>
        <w:tc>
          <w:tcPr>
            <w:tcW w:w="2552" w:type="dxa"/>
            <w:shd w:val="clear" w:color="auto" w:fill="auto"/>
          </w:tcPr>
          <w:p w14:paraId="71D57BE3" w14:textId="77777777" w:rsidR="00145814" w:rsidRPr="00CA3C19" w:rsidRDefault="00145814" w:rsidP="001A1FE3">
            <w:pPr>
              <w:pStyle w:val="TableText"/>
              <w:rPr>
                <w:szCs w:val="18"/>
              </w:rPr>
            </w:pPr>
            <w:r w:rsidRPr="00CA3C19">
              <w:rPr>
                <w:szCs w:val="18"/>
              </w:rPr>
              <w:t>Hand-based application; restricted to use within specified types of bait stations</w:t>
            </w:r>
          </w:p>
        </w:tc>
        <w:tc>
          <w:tcPr>
            <w:tcW w:w="1927" w:type="dxa"/>
            <w:shd w:val="clear" w:color="auto" w:fill="auto"/>
          </w:tcPr>
          <w:p w14:paraId="25FEB611" w14:textId="77777777" w:rsidR="00145814" w:rsidRPr="00CA3C19" w:rsidRDefault="00145814" w:rsidP="001A1FE3">
            <w:pPr>
              <w:pStyle w:val="TableText"/>
              <w:rPr>
                <w:szCs w:val="18"/>
              </w:rPr>
            </w:pPr>
            <w:r w:rsidRPr="00CA3C19">
              <w:rPr>
                <w:szCs w:val="18"/>
              </w:rPr>
              <w:t>MZP paste</w:t>
            </w:r>
          </w:p>
        </w:tc>
        <w:tc>
          <w:tcPr>
            <w:tcW w:w="3544" w:type="dxa"/>
            <w:shd w:val="clear" w:color="auto" w:fill="auto"/>
          </w:tcPr>
          <w:p w14:paraId="379B74BB" w14:textId="77777777" w:rsidR="00145814" w:rsidRPr="00CA3C19" w:rsidRDefault="00145814" w:rsidP="001A1FE3">
            <w:pPr>
              <w:pStyle w:val="TableText"/>
              <w:rPr>
                <w:szCs w:val="18"/>
              </w:rPr>
            </w:pPr>
            <w:r w:rsidRPr="00CA3C19">
              <w:rPr>
                <w:szCs w:val="18"/>
              </w:rPr>
              <w:t>Accurate placement. Coverage rates vary depending on terrain and target species.</w:t>
            </w:r>
          </w:p>
        </w:tc>
      </w:tr>
      <w:tr w:rsidR="00145814" w:rsidRPr="00CA3C19" w14:paraId="1A82E2CD" w14:textId="77777777" w:rsidTr="001A1FE3">
        <w:trPr>
          <w:cantSplit/>
        </w:trPr>
        <w:tc>
          <w:tcPr>
            <w:tcW w:w="2552" w:type="dxa"/>
            <w:shd w:val="clear" w:color="auto" w:fill="auto"/>
          </w:tcPr>
          <w:p w14:paraId="0245C653" w14:textId="77777777" w:rsidR="00145814" w:rsidRPr="00CA3C19" w:rsidRDefault="00145814" w:rsidP="001A1FE3">
            <w:pPr>
              <w:pStyle w:val="TableText"/>
              <w:rPr>
                <w:szCs w:val="18"/>
              </w:rPr>
            </w:pPr>
            <w:r>
              <w:rPr>
                <w:szCs w:val="18"/>
              </w:rPr>
              <w:t>Aerial application</w:t>
            </w:r>
          </w:p>
        </w:tc>
        <w:tc>
          <w:tcPr>
            <w:tcW w:w="1927" w:type="dxa"/>
            <w:shd w:val="clear" w:color="auto" w:fill="auto"/>
          </w:tcPr>
          <w:p w14:paraId="49D60650" w14:textId="77777777" w:rsidR="00145814" w:rsidRPr="00CA3C19" w:rsidRDefault="00145814" w:rsidP="001A1FE3">
            <w:pPr>
              <w:pStyle w:val="TableText"/>
              <w:rPr>
                <w:szCs w:val="18"/>
              </w:rPr>
            </w:pPr>
            <w:r>
              <w:rPr>
                <w:szCs w:val="18"/>
              </w:rPr>
              <w:t>Amdro</w:t>
            </w:r>
            <w:r>
              <w:rPr>
                <w:rFonts w:cs="Arial"/>
                <w:szCs w:val="18"/>
              </w:rPr>
              <w:t>®</w:t>
            </w:r>
          </w:p>
        </w:tc>
        <w:tc>
          <w:tcPr>
            <w:tcW w:w="3544" w:type="dxa"/>
            <w:shd w:val="clear" w:color="auto" w:fill="auto"/>
          </w:tcPr>
          <w:p w14:paraId="32BD12B1" w14:textId="4BED4B71" w:rsidR="00145814" w:rsidRPr="00CA3C19" w:rsidRDefault="00145814" w:rsidP="001A1FE3">
            <w:pPr>
              <w:pStyle w:val="TableText"/>
              <w:rPr>
                <w:szCs w:val="18"/>
              </w:rPr>
            </w:pPr>
            <w:r>
              <w:rPr>
                <w:szCs w:val="18"/>
              </w:rPr>
              <w:t xml:space="preserve">Accurate placement. A maximum rate of 2.5 kg/ha, twice per </w:t>
            </w:r>
            <w:r w:rsidR="006E2A03">
              <w:rPr>
                <w:szCs w:val="18"/>
              </w:rPr>
              <w:t xml:space="preserve">year </w:t>
            </w:r>
            <w:r>
              <w:rPr>
                <w:szCs w:val="18"/>
              </w:rPr>
              <w:t>in any application area is set for this substance.</w:t>
            </w:r>
          </w:p>
        </w:tc>
      </w:tr>
      <w:tr w:rsidR="00145814" w:rsidRPr="00CA3C19" w14:paraId="1E578014" w14:textId="77777777" w:rsidTr="001A1FE3">
        <w:trPr>
          <w:cantSplit/>
        </w:trPr>
        <w:tc>
          <w:tcPr>
            <w:tcW w:w="2552" w:type="dxa"/>
            <w:shd w:val="clear" w:color="auto" w:fill="auto"/>
          </w:tcPr>
          <w:p w14:paraId="2A43856D" w14:textId="77777777" w:rsidR="00145814" w:rsidRPr="00CA3C19" w:rsidRDefault="00145814" w:rsidP="001A1FE3">
            <w:pPr>
              <w:pStyle w:val="TableText"/>
              <w:rPr>
                <w:szCs w:val="18"/>
              </w:rPr>
            </w:pPr>
            <w:r>
              <w:rPr>
                <w:szCs w:val="18"/>
              </w:rPr>
              <w:t>Aerial application</w:t>
            </w:r>
          </w:p>
        </w:tc>
        <w:tc>
          <w:tcPr>
            <w:tcW w:w="1927" w:type="dxa"/>
            <w:shd w:val="clear" w:color="auto" w:fill="auto"/>
          </w:tcPr>
          <w:p w14:paraId="7B626DDA" w14:textId="77777777" w:rsidR="00145814" w:rsidRPr="00CA3C19" w:rsidRDefault="00145814" w:rsidP="001A1FE3">
            <w:pPr>
              <w:pStyle w:val="TableText"/>
              <w:rPr>
                <w:szCs w:val="18"/>
              </w:rPr>
            </w:pPr>
            <w:r>
              <w:rPr>
                <w:szCs w:val="18"/>
              </w:rPr>
              <w:t>Campaign</w:t>
            </w:r>
            <w:r>
              <w:rPr>
                <w:rFonts w:cs="Arial"/>
                <w:szCs w:val="18"/>
              </w:rPr>
              <w:t>®</w:t>
            </w:r>
          </w:p>
        </w:tc>
        <w:tc>
          <w:tcPr>
            <w:tcW w:w="3544" w:type="dxa"/>
            <w:shd w:val="clear" w:color="auto" w:fill="auto"/>
          </w:tcPr>
          <w:p w14:paraId="0A1D3A70" w14:textId="69740378" w:rsidR="00145814" w:rsidRPr="00CA3C19" w:rsidRDefault="00145814" w:rsidP="001A1FE3">
            <w:pPr>
              <w:pStyle w:val="TableText"/>
              <w:rPr>
                <w:szCs w:val="18"/>
              </w:rPr>
            </w:pPr>
            <w:r>
              <w:rPr>
                <w:szCs w:val="18"/>
              </w:rPr>
              <w:t xml:space="preserve">Accurate placement. A maximum rate of 2.5 kg/ha, twice per </w:t>
            </w:r>
            <w:r w:rsidR="006E2A03">
              <w:rPr>
                <w:szCs w:val="18"/>
              </w:rPr>
              <w:t xml:space="preserve">year </w:t>
            </w:r>
            <w:r>
              <w:rPr>
                <w:szCs w:val="18"/>
              </w:rPr>
              <w:t>in any application area is set for this substance.</w:t>
            </w:r>
          </w:p>
        </w:tc>
      </w:tr>
      <w:tr w:rsidR="00145814" w:rsidRPr="00CA3C19" w14:paraId="0C241B9F" w14:textId="77777777" w:rsidTr="001A1FE3">
        <w:trPr>
          <w:cantSplit/>
        </w:trPr>
        <w:tc>
          <w:tcPr>
            <w:tcW w:w="2552" w:type="dxa"/>
            <w:shd w:val="clear" w:color="auto" w:fill="auto"/>
          </w:tcPr>
          <w:p w14:paraId="1DD94B3F" w14:textId="77777777" w:rsidR="00145814" w:rsidRPr="00CA3C19" w:rsidRDefault="00145814" w:rsidP="001A1FE3">
            <w:pPr>
              <w:pStyle w:val="TableText"/>
              <w:rPr>
                <w:szCs w:val="18"/>
              </w:rPr>
            </w:pPr>
            <w:r>
              <w:rPr>
                <w:szCs w:val="18"/>
              </w:rPr>
              <w:t>Aerial application</w:t>
            </w:r>
          </w:p>
        </w:tc>
        <w:tc>
          <w:tcPr>
            <w:tcW w:w="1927" w:type="dxa"/>
            <w:shd w:val="clear" w:color="auto" w:fill="auto"/>
          </w:tcPr>
          <w:p w14:paraId="34286A68" w14:textId="77777777" w:rsidR="00145814" w:rsidRDefault="00145814" w:rsidP="001A1FE3">
            <w:pPr>
              <w:pStyle w:val="TableText"/>
              <w:rPr>
                <w:szCs w:val="18"/>
              </w:rPr>
            </w:pPr>
            <w:r>
              <w:rPr>
                <w:szCs w:val="18"/>
              </w:rPr>
              <w:t>Advion</w:t>
            </w:r>
            <w:r>
              <w:rPr>
                <w:rFonts w:cs="Arial"/>
                <w:szCs w:val="18"/>
              </w:rPr>
              <w:t>®</w:t>
            </w:r>
          </w:p>
        </w:tc>
        <w:tc>
          <w:tcPr>
            <w:tcW w:w="3544" w:type="dxa"/>
            <w:shd w:val="clear" w:color="auto" w:fill="auto"/>
          </w:tcPr>
          <w:p w14:paraId="0D86EC4E" w14:textId="22B5EF22" w:rsidR="00145814" w:rsidRPr="00CA3C19" w:rsidRDefault="00145814" w:rsidP="001A1FE3">
            <w:pPr>
              <w:pStyle w:val="TableText"/>
              <w:rPr>
                <w:szCs w:val="18"/>
              </w:rPr>
            </w:pPr>
            <w:r>
              <w:rPr>
                <w:szCs w:val="18"/>
              </w:rPr>
              <w:t>Accurate placement. A maximum rate of 2</w:t>
            </w:r>
            <w:r w:rsidR="00FF3228">
              <w:rPr>
                <w:szCs w:val="18"/>
              </w:rPr>
              <w:t> </w:t>
            </w:r>
            <w:r>
              <w:rPr>
                <w:szCs w:val="18"/>
              </w:rPr>
              <w:t>kg/ha, twice per year in any application area is set for this substance.</w:t>
            </w:r>
          </w:p>
        </w:tc>
      </w:tr>
    </w:tbl>
    <w:p w14:paraId="6044477A" w14:textId="77777777" w:rsidR="00145814" w:rsidRPr="00A42341" w:rsidRDefault="00145814" w:rsidP="00145814">
      <w:pPr>
        <w:pStyle w:val="Heading2"/>
      </w:pPr>
      <w:bookmarkStart w:id="150" w:name="_Toc109793303"/>
      <w:r w:rsidRPr="00A42341">
        <w:t>Aerial application</w:t>
      </w:r>
      <w:bookmarkEnd w:id="150"/>
    </w:p>
    <w:p w14:paraId="3676ED4F" w14:textId="38A3AB57" w:rsidR="00145814" w:rsidRPr="00A42341" w:rsidRDefault="00145814" w:rsidP="00145814">
      <w:r w:rsidRPr="00A42341">
        <w:t>As noted in Table A.1, 1080 is the only VTA that requires a permission to be aerially applied, as it is used for pest control in remote areas where ground</w:t>
      </w:r>
      <w:r w:rsidR="00537023">
        <w:t>-based</w:t>
      </w:r>
      <w:r w:rsidRPr="00A42341">
        <w:t xml:space="preserve"> application would be difficult or impossible. The various application methods</w:t>
      </w:r>
      <w:r w:rsidR="00537023">
        <w:t xml:space="preserve"> are</w:t>
      </w:r>
      <w:r w:rsidRPr="00A42341">
        <w:t>:</w:t>
      </w:r>
    </w:p>
    <w:p w14:paraId="0B7ACF50" w14:textId="77777777" w:rsidR="00145814" w:rsidRPr="00A42341" w:rsidRDefault="00145814" w:rsidP="00145814">
      <w:pPr>
        <w:pStyle w:val="Bullet"/>
      </w:pPr>
      <w:r w:rsidRPr="00A42341">
        <w:t>pellets or carrot bait broadcast from a hopper underneath the aircraft with approximately 120 m swathe, 2–6 kg/ha sowing rate for possums (greater amount may be used for rabbits)</w:t>
      </w:r>
    </w:p>
    <w:p w14:paraId="016FDADA" w14:textId="79F10716" w:rsidR="00145814" w:rsidRPr="00A42341" w:rsidRDefault="00145814" w:rsidP="00145814">
      <w:pPr>
        <w:pStyle w:val="Bullet"/>
      </w:pPr>
      <w:r w:rsidRPr="00A42341">
        <w:t>pellets or carrot bait trickle</w:t>
      </w:r>
      <w:r w:rsidR="00537023">
        <w:t>-</w:t>
      </w:r>
      <w:r w:rsidRPr="00A42341">
        <w:t>fed from a hopper underneath the aircraft (‘clustering’ of bait is also sometimes used)</w:t>
      </w:r>
    </w:p>
    <w:p w14:paraId="3B2B85CF" w14:textId="77777777" w:rsidR="00145814" w:rsidRPr="00A42341" w:rsidRDefault="00145814" w:rsidP="00145814">
      <w:pPr>
        <w:pStyle w:val="Bullet"/>
      </w:pPr>
      <w:r w:rsidRPr="00A42341">
        <w:t>pellets hand-dropped from the aircraft (rarely used).</w:t>
      </w:r>
    </w:p>
    <w:p w14:paraId="0FB91AEA" w14:textId="77777777" w:rsidR="00145814" w:rsidRPr="00A42341" w:rsidRDefault="00145814" w:rsidP="00145814">
      <w:pPr>
        <w:pStyle w:val="NoSpacing"/>
        <w:jc w:val="both"/>
        <w:rPr>
          <w:rFonts w:cs="Arial"/>
        </w:rPr>
      </w:pPr>
    </w:p>
    <w:p w14:paraId="4B4A313D" w14:textId="77777777" w:rsidR="00145814" w:rsidRPr="00A42341" w:rsidRDefault="00145814" w:rsidP="00145814">
      <w:r w:rsidRPr="00A42341">
        <w:t>The EPA reassessment decision notes that only the following formulated substances are approved for aerial application:</w:t>
      </w:r>
    </w:p>
    <w:p w14:paraId="784FCDC5" w14:textId="77777777" w:rsidR="00145814" w:rsidRPr="00A42341" w:rsidRDefault="00145814" w:rsidP="00145814">
      <w:pPr>
        <w:pStyle w:val="Bullet"/>
      </w:pPr>
      <w:r w:rsidRPr="00A42341">
        <w:t>cereal-based pellets containing 0.4–0.8 g 1080/kg</w:t>
      </w:r>
    </w:p>
    <w:p w14:paraId="2895EBE3" w14:textId="77777777" w:rsidR="00145814" w:rsidRPr="00A42341" w:rsidRDefault="00145814" w:rsidP="00145814">
      <w:pPr>
        <w:pStyle w:val="Bullet"/>
      </w:pPr>
      <w:r w:rsidRPr="00A42341">
        <w:t>cereal-based pellets containing 1.5–2.0 g 1080/kg</w:t>
      </w:r>
    </w:p>
    <w:p w14:paraId="1A873DE8" w14:textId="77777777" w:rsidR="00145814" w:rsidRPr="00A42341" w:rsidRDefault="00145814" w:rsidP="00145814">
      <w:pPr>
        <w:pStyle w:val="Bullet"/>
      </w:pPr>
      <w:r w:rsidRPr="00A42341">
        <w:t>soluble concentrate containing 200 g 1080/L (only when applied to food baits as per controls).</w:t>
      </w:r>
    </w:p>
    <w:p w14:paraId="515EA9F9" w14:textId="77777777" w:rsidR="00145814" w:rsidRPr="00A42341" w:rsidRDefault="00145814" w:rsidP="00145814">
      <w:pPr>
        <w:pStyle w:val="NoSpacing"/>
        <w:jc w:val="both"/>
        <w:rPr>
          <w:rFonts w:cs="Arial"/>
        </w:rPr>
      </w:pPr>
    </w:p>
    <w:p w14:paraId="37AB943E" w14:textId="77777777" w:rsidR="00145814" w:rsidRPr="00A42341" w:rsidRDefault="00145814" w:rsidP="00145814">
      <w:r w:rsidRPr="00A42341">
        <w:t xml:space="preserve">Aerial drops may release 1080 into areas outside the planned operational area through overflying (release outside the area due to error or mechanical problems), bait drift or accidental release. Operators are required to use GPS logs to confine aerial applications of 1080 to operational areas and to ensure that the application preserves exclusion zones around </w:t>
      </w:r>
      <w:r>
        <w:t>homes</w:t>
      </w:r>
      <w:r w:rsidRPr="00A42341">
        <w:t>, roads and tracks, schools and drinking water supplies.</w:t>
      </w:r>
    </w:p>
    <w:p w14:paraId="4C62DFBF" w14:textId="77777777" w:rsidR="00145814" w:rsidRPr="00A42341" w:rsidRDefault="00145814" w:rsidP="00145814"/>
    <w:p w14:paraId="082E7855" w14:textId="5439EB65" w:rsidR="00145814" w:rsidRPr="00A42341" w:rsidRDefault="00145814" w:rsidP="00145814">
      <w:r w:rsidRPr="00A42341">
        <w:t>The three ant baits, Campaign®, Amdro® and Advion®, can only be aerially applied if the operator has permission</w:t>
      </w:r>
      <w:r w:rsidR="00537023">
        <w:t xml:space="preserve"> </w:t>
      </w:r>
      <w:r w:rsidRPr="00A42341">
        <w:t>– see Table A.1 for further information.</w:t>
      </w:r>
    </w:p>
    <w:p w14:paraId="79CB1577" w14:textId="27AD28E4" w:rsidR="00145814" w:rsidRPr="00A42341" w:rsidRDefault="00145814" w:rsidP="00145814">
      <w:pPr>
        <w:pStyle w:val="Heading2"/>
      </w:pPr>
      <w:bookmarkStart w:id="151" w:name="_Toc109793304"/>
      <w:r w:rsidRPr="00A42341">
        <w:t>Ground</w:t>
      </w:r>
      <w:r w:rsidR="00537023">
        <w:t>-based</w:t>
      </w:r>
      <w:r w:rsidRPr="00A42341">
        <w:t xml:space="preserve"> application</w:t>
      </w:r>
      <w:bookmarkEnd w:id="151"/>
    </w:p>
    <w:p w14:paraId="7F036618" w14:textId="63426FFD" w:rsidR="00145814" w:rsidRPr="00A42341" w:rsidRDefault="00145814" w:rsidP="00145814">
      <w:r w:rsidRPr="00A42341">
        <w:t>Ground</w:t>
      </w:r>
      <w:r w:rsidR="00537023">
        <w:t>-based</w:t>
      </w:r>
      <w:r w:rsidRPr="00A42341">
        <w:t xml:space="preserve"> application of VTAs allows for </w:t>
      </w:r>
      <w:r w:rsidR="006923A1">
        <w:t>more</w:t>
      </w:r>
      <w:r w:rsidR="006923A1" w:rsidRPr="00A42341">
        <w:t xml:space="preserve"> </w:t>
      </w:r>
      <w:r w:rsidRPr="00A42341">
        <w:t>accura</w:t>
      </w:r>
      <w:r w:rsidR="006923A1">
        <w:t>te</w:t>
      </w:r>
      <w:r w:rsidRPr="00A42341">
        <w:t xml:space="preserve"> bait placement; however, it is limited in terms of the area that </w:t>
      </w:r>
      <w:r w:rsidR="006923A1">
        <w:t xml:space="preserve">it </w:t>
      </w:r>
      <w:r w:rsidRPr="00A42341">
        <w:t xml:space="preserve">can cover. </w:t>
      </w:r>
      <w:r w:rsidR="006923A1">
        <w:t xml:space="preserve">Methods of ground-laying </w:t>
      </w:r>
      <w:r w:rsidRPr="00A42341">
        <w:t xml:space="preserve">1080, cyanide, yellow phosphorus, DRC 1339, MZP and ant baits </w:t>
      </w:r>
      <w:r w:rsidR="006923A1">
        <w:t>are to</w:t>
      </w:r>
      <w:r w:rsidRPr="00A42341">
        <w:t xml:space="preserve"> us</w:t>
      </w:r>
      <w:r w:rsidR="006923A1">
        <w:t>e</w:t>
      </w:r>
      <w:r w:rsidRPr="00A42341">
        <w:t>:</w:t>
      </w:r>
    </w:p>
    <w:p w14:paraId="4070AE44" w14:textId="77777777" w:rsidR="00145814" w:rsidRPr="00A42341" w:rsidRDefault="00145814" w:rsidP="00145814">
      <w:pPr>
        <w:pStyle w:val="Bullet"/>
      </w:pPr>
      <w:r w:rsidRPr="00A42341">
        <w:t>bait stations</w:t>
      </w:r>
    </w:p>
    <w:p w14:paraId="3DDA30CF" w14:textId="77777777" w:rsidR="00145814" w:rsidRPr="00A42341" w:rsidRDefault="00145814" w:rsidP="00145814">
      <w:pPr>
        <w:pStyle w:val="Bullet"/>
      </w:pPr>
      <w:r w:rsidRPr="00A42341">
        <w:t>bait bags</w:t>
      </w:r>
    </w:p>
    <w:p w14:paraId="768F4153" w14:textId="77777777" w:rsidR="00145814" w:rsidRPr="00A42341" w:rsidRDefault="00145814" w:rsidP="00145814">
      <w:pPr>
        <w:pStyle w:val="Bullet"/>
      </w:pPr>
      <w:r w:rsidRPr="00A42341">
        <w:t>ground distribution (hand broadcast) of bait</w:t>
      </w:r>
    </w:p>
    <w:p w14:paraId="70C9FBF8" w14:textId="77777777" w:rsidR="00145814" w:rsidRPr="00A42341" w:rsidRDefault="00145814" w:rsidP="00145814">
      <w:pPr>
        <w:pStyle w:val="Bullet"/>
      </w:pPr>
      <w:r w:rsidRPr="00A42341">
        <w:t>gels or pastes in earth ‘spits’</w:t>
      </w:r>
    </w:p>
    <w:p w14:paraId="0FD44BD0" w14:textId="77777777" w:rsidR="00145814" w:rsidRPr="00A42341" w:rsidRDefault="00145814" w:rsidP="00145814">
      <w:pPr>
        <w:pStyle w:val="Bullet"/>
      </w:pPr>
      <w:r w:rsidRPr="00A42341">
        <w:t>small dollops of paste or gel on trees and fence posts, often marked with white flour.</w:t>
      </w:r>
    </w:p>
    <w:p w14:paraId="5E6D21A2" w14:textId="77777777" w:rsidR="00145814" w:rsidRPr="00A42341" w:rsidRDefault="00145814" w:rsidP="00145814">
      <w:pPr>
        <w:pStyle w:val="NoSpacing"/>
        <w:jc w:val="both"/>
        <w:rPr>
          <w:rFonts w:cs="Arial"/>
        </w:rPr>
      </w:pPr>
    </w:p>
    <w:p w14:paraId="1BB03119" w14:textId="06CF2597" w:rsidR="00145814" w:rsidRPr="00A42341" w:rsidRDefault="00145814" w:rsidP="00145814">
      <w:r w:rsidRPr="00A42341">
        <w:t>It is important to check the formulation to see which application methods are allowed because some are allowed to be used</w:t>
      </w:r>
      <w:r w:rsidR="006923A1" w:rsidRPr="006923A1">
        <w:t xml:space="preserve"> </w:t>
      </w:r>
      <w:r w:rsidR="006923A1" w:rsidRPr="00A42341">
        <w:t>only</w:t>
      </w:r>
      <w:r w:rsidRPr="00A42341">
        <w:t xml:space="preserve"> in contained ground-based applications.</w:t>
      </w:r>
    </w:p>
    <w:p w14:paraId="51585F7A" w14:textId="77777777" w:rsidR="00145814" w:rsidRPr="00A42341" w:rsidRDefault="00145814" w:rsidP="00145814">
      <w:pPr>
        <w:pStyle w:val="Heading2"/>
      </w:pPr>
      <w:bookmarkStart w:id="152" w:name="_Toc109793305"/>
      <w:r w:rsidRPr="00A42341">
        <w:t>Bait presentation</w:t>
      </w:r>
      <w:bookmarkEnd w:id="152"/>
    </w:p>
    <w:p w14:paraId="4653AB87" w14:textId="77777777" w:rsidR="00145814" w:rsidRPr="00A42341" w:rsidRDefault="00145814" w:rsidP="00145814">
      <w:r w:rsidRPr="00A42341">
        <w:t>There are various ways of presenting bait that aim to make the bait as attractive and as accessible as possible to the target species, while reducing the risk to other species, including humans.</w:t>
      </w:r>
    </w:p>
    <w:p w14:paraId="12E83C94" w14:textId="77777777" w:rsidR="00145814" w:rsidRPr="00A42341" w:rsidRDefault="00145814" w:rsidP="00145814">
      <w:pPr>
        <w:pStyle w:val="NoSpacing"/>
        <w:jc w:val="both"/>
        <w:rPr>
          <w:rFonts w:cs="Arial"/>
        </w:rPr>
      </w:pPr>
    </w:p>
    <w:p w14:paraId="7268A7C5" w14:textId="53E1BBD0" w:rsidR="00145814" w:rsidRPr="00A42341" w:rsidRDefault="00145814" w:rsidP="00145814">
      <w:r w:rsidRPr="00A42341">
        <w:t xml:space="preserve">1080 is incorporated into a number of different baits at varying concentrations, depending on the target species, the method of application and the type of bait least likely to attract non-target species. The EPA, in its reassessment of the use of 1080, noted that public hazards from various forms of exposure to 1080 are relatively </w:t>
      </w:r>
      <w:r w:rsidR="006923A1">
        <w:t>minor</w:t>
      </w:r>
      <w:r w:rsidRPr="00A42341">
        <w:t>. It stated that the greatest hazard relates to unsupervised children finding and eating bait (EPA 2007a).</w:t>
      </w:r>
    </w:p>
    <w:p w14:paraId="33F91EA3" w14:textId="77777777" w:rsidR="00145814" w:rsidRPr="00A42341" w:rsidRDefault="00145814" w:rsidP="00145814"/>
    <w:p w14:paraId="7719269B" w14:textId="0F44B580" w:rsidR="00145814" w:rsidRPr="00A42341" w:rsidRDefault="00145814" w:rsidP="00145814">
      <w:r w:rsidRPr="00A42341">
        <w:t xml:space="preserve">1080 is also available as a soluble concentrate that may be coated on carrot or apple pieces, mixed with cereal to form hard pellets or made into paste or gel formulations. Carrot bait for aerial distribution is chopped and screened to remove small pieces </w:t>
      </w:r>
      <w:r w:rsidR="004835FE">
        <w:t xml:space="preserve">in order </w:t>
      </w:r>
      <w:r w:rsidRPr="00A42341">
        <w:t>to reduce the risk of poisoning non-target birds. Cereal pellet bait is used for both aerial and bait station control. Paste bait is used for ground-based follow-up maintenance control. A masking agent</w:t>
      </w:r>
      <w:r w:rsidR="00186673">
        <w:t xml:space="preserve"> from the range available</w:t>
      </w:r>
      <w:r w:rsidRPr="00A42341">
        <w:t>, such as cinnamon or orange oil, is added to bait to mask the taste of 1080. Cinnamon is thought to be a partial deterrent to birds and insects; green dye is added to</w:t>
      </w:r>
      <w:r w:rsidR="00186673">
        <w:t xml:space="preserve"> further</w:t>
      </w:r>
      <w:r w:rsidRPr="00A42341">
        <w:t xml:space="preserve"> deter birds.</w:t>
      </w:r>
    </w:p>
    <w:p w14:paraId="1AEB0EE2" w14:textId="77777777" w:rsidR="00145814" w:rsidRPr="00A42341" w:rsidRDefault="00145814" w:rsidP="00145814"/>
    <w:p w14:paraId="46A6B045" w14:textId="59F3B482" w:rsidR="00145814" w:rsidRPr="00A42341" w:rsidRDefault="00145814" w:rsidP="00145814">
      <w:r w:rsidRPr="00A42341">
        <w:t xml:space="preserve">Cyanide is presented as pea-sized pieces of paste placed with a little flour and icing sugar or </w:t>
      </w:r>
      <w:r w:rsidR="00294046">
        <w:t>an</w:t>
      </w:r>
      <w:r w:rsidRPr="00A42341">
        <w:t>other lure such as cinnamon or eucalyptus oil on a rock, leaf or stick. Feratox® (a pea-sized encapsulated cyanide pellet) was developed to increase the effectiveness of cyanide and reduce the risk of operators being exposed to hydrogen cyanide vapours. The pellets are placed in a bait station either with similar-sized cereal feed pellets or in a peanut-butter paste.</w:t>
      </w:r>
    </w:p>
    <w:p w14:paraId="03C51B71" w14:textId="77777777" w:rsidR="00145814" w:rsidRPr="00A42341" w:rsidRDefault="00145814" w:rsidP="00145814"/>
    <w:p w14:paraId="3BBA5F65" w14:textId="77777777" w:rsidR="00145814" w:rsidRPr="00A42341" w:rsidRDefault="00145814" w:rsidP="00145814">
      <w:r w:rsidRPr="00A42341">
        <w:t>Yellow phosphorus comes in a paste form and is generally applied to turf spits on the ground for rabbit control or in similar ways to cyanide paste for possum control. These two forms of application may be more hazardous in easily accessible areas.</w:t>
      </w:r>
    </w:p>
    <w:p w14:paraId="79314154" w14:textId="77777777" w:rsidR="00145814" w:rsidRPr="00A42341" w:rsidRDefault="00145814" w:rsidP="00145814">
      <w:r w:rsidRPr="00A42341">
        <w:t>DRC 1339 is most commonly presented as laced bread bait for ground-feeding flocks or as gel bait that operators, lowered by helicopter, drop into nests in tall trees.</w:t>
      </w:r>
    </w:p>
    <w:p w14:paraId="71A41A3D" w14:textId="77777777" w:rsidR="00145814" w:rsidRPr="00A42341" w:rsidRDefault="00145814" w:rsidP="00145814"/>
    <w:p w14:paraId="3F8F9790" w14:textId="77777777" w:rsidR="00145814" w:rsidRPr="00A42341" w:rsidRDefault="00145814" w:rsidP="00145814">
      <w:r w:rsidRPr="00A42341">
        <w:t>MZP paste is presented as a ready-to-use paste bait containing 15g/kg zinc phosphide for direct consumption by target pests. The paste is placed in standard reusable plastic bait stations or specific types of disposable bait stations, such as bio-bags (labelled paper bags), Strikers (starch bait station) or Defender bait station (labelled cardboard boxes).</w:t>
      </w:r>
    </w:p>
    <w:p w14:paraId="02B63D77" w14:textId="77777777" w:rsidR="00145814" w:rsidRPr="00A42341" w:rsidRDefault="00145814" w:rsidP="00145814"/>
    <w:p w14:paraId="2460C304" w14:textId="7F120A00" w:rsidR="00145814" w:rsidRPr="00A42341" w:rsidRDefault="00145814" w:rsidP="00145814">
      <w:r w:rsidRPr="00A42341">
        <w:t xml:space="preserve">Campaign® and Amdro® are granular </w:t>
      </w:r>
      <w:r w:rsidR="00DF272E">
        <w:t xml:space="preserve">ant </w:t>
      </w:r>
      <w:r w:rsidRPr="00A42341">
        <w:t xml:space="preserve">baits containing 7.3 g/kg of the active ingredient hydramethylnon while Advion® is an ant bait containing 0.45g/kg of the active ingredient indoxacarb in the form of a granule. The substances are applied by aerial or ground-based dispersal </w:t>
      </w:r>
      <w:r w:rsidR="00DF272E">
        <w:t>where</w:t>
      </w:r>
      <w:r w:rsidRPr="00A42341">
        <w:t xml:space="preserve"> an ant infestation</w:t>
      </w:r>
      <w:r w:rsidR="00DF272E">
        <w:t xml:space="preserve"> occurs</w:t>
      </w:r>
      <w:r w:rsidRPr="00A42341">
        <w:t xml:space="preserve">. They are also used </w:t>
      </w:r>
      <w:r w:rsidR="00DF272E">
        <w:t xml:space="preserve">to </w:t>
      </w:r>
      <w:r w:rsidRPr="00A42341">
        <w:t xml:space="preserve">treat individual nests and as a maintenance treatment in designated zones around previously identified and detected colonies. Ants carry the bait back to the nest and pass it on to the queen and other ants.  </w:t>
      </w:r>
    </w:p>
    <w:p w14:paraId="2F26408E" w14:textId="77777777" w:rsidR="00145814" w:rsidRPr="00A42341" w:rsidRDefault="00145814" w:rsidP="00145814">
      <w:pPr>
        <w:pStyle w:val="Heading2"/>
      </w:pPr>
      <w:bookmarkStart w:id="153" w:name="_Toc109793306"/>
      <w:r w:rsidRPr="00A42341">
        <w:t>Terrain and vegetation variables</w:t>
      </w:r>
      <w:bookmarkEnd w:id="153"/>
    </w:p>
    <w:p w14:paraId="698758BB" w14:textId="6B450098" w:rsidR="00145814" w:rsidRDefault="00145814" w:rsidP="00145814">
      <w:r w:rsidRPr="00A42341">
        <w:t xml:space="preserve">The terrain and vegetation in an operational area can affect </w:t>
      </w:r>
      <w:r w:rsidR="00DF272E">
        <w:t xml:space="preserve">the </w:t>
      </w:r>
      <w:r w:rsidRPr="00A42341">
        <w:t xml:space="preserve">public health risks </w:t>
      </w:r>
      <w:r w:rsidR="00DF272E">
        <w:t>of</w:t>
      </w:r>
      <w:r w:rsidRPr="00A42341">
        <w:t xml:space="preserve"> a pest control operation</w:t>
      </w:r>
      <w:r w:rsidR="00DF272E">
        <w:t>. They</w:t>
      </w:r>
      <w:r w:rsidRPr="00A42341">
        <w:t xml:space="preserve"> should be considered when assessing the suitability of the Model Permit Conditions and how they may need to be modified</w:t>
      </w:r>
      <w:r w:rsidR="00DF272E">
        <w:t xml:space="preserve"> (see Table A.2)</w:t>
      </w:r>
      <w:r w:rsidRPr="00A42341">
        <w:t>.</w:t>
      </w:r>
    </w:p>
    <w:p w14:paraId="0863F346" w14:textId="77777777" w:rsidR="00145814" w:rsidRPr="002B35EA" w:rsidRDefault="00145814" w:rsidP="00145814"/>
    <w:p w14:paraId="7D788923" w14:textId="6340EC54" w:rsidR="00145814" w:rsidRDefault="00145814" w:rsidP="00ED45C4">
      <w:pPr>
        <w:pStyle w:val="Caption"/>
      </w:pPr>
      <w:bookmarkStart w:id="154" w:name="_Toc90957716"/>
      <w:r>
        <w:t>Table A.</w:t>
      </w:r>
      <w:r w:rsidR="00CB212C">
        <w:fldChar w:fldCharType="begin"/>
      </w:r>
      <w:r w:rsidR="00CB212C">
        <w:instrText xml:space="preserve"> SEQ Table_A. \* ARABIC </w:instrText>
      </w:r>
      <w:r w:rsidR="00CB212C">
        <w:fldChar w:fldCharType="separate"/>
      </w:r>
      <w:r w:rsidR="001F6003">
        <w:rPr>
          <w:noProof/>
        </w:rPr>
        <w:t>2</w:t>
      </w:r>
      <w:r w:rsidR="00CB212C">
        <w:rPr>
          <w:noProof/>
        </w:rPr>
        <w:fldChar w:fldCharType="end"/>
      </w:r>
      <w:r>
        <w:t xml:space="preserve">: </w:t>
      </w:r>
      <w:r w:rsidRPr="00E37218">
        <w:t>Overview of terrain and vegetation variables</w:t>
      </w:r>
      <w:bookmarkEnd w:id="154"/>
    </w:p>
    <w:tbl>
      <w:tblPr>
        <w:tblW w:w="8165"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2694"/>
        <w:gridCol w:w="5471"/>
      </w:tblGrid>
      <w:tr w:rsidR="00145814" w:rsidRPr="00255CBA" w14:paraId="11FCE1C5" w14:textId="77777777" w:rsidTr="00153568">
        <w:trPr>
          <w:cantSplit/>
          <w:tblHeader/>
        </w:trPr>
        <w:tc>
          <w:tcPr>
            <w:tcW w:w="2694" w:type="dxa"/>
            <w:tcBorders>
              <w:top w:val="nil"/>
              <w:bottom w:val="nil"/>
              <w:right w:val="nil"/>
            </w:tcBorders>
            <w:shd w:val="clear" w:color="auto" w:fill="D9D9D9"/>
          </w:tcPr>
          <w:p w14:paraId="1431F336" w14:textId="77777777" w:rsidR="00145814" w:rsidRPr="00255CBA" w:rsidRDefault="00145814" w:rsidP="001A1FE3">
            <w:pPr>
              <w:pStyle w:val="TableText"/>
              <w:rPr>
                <w:b/>
                <w:szCs w:val="18"/>
              </w:rPr>
            </w:pPr>
            <w:r w:rsidRPr="00255CBA">
              <w:rPr>
                <w:b/>
                <w:szCs w:val="18"/>
              </w:rPr>
              <w:t>Terrain type</w:t>
            </w:r>
          </w:p>
        </w:tc>
        <w:tc>
          <w:tcPr>
            <w:tcW w:w="5471" w:type="dxa"/>
            <w:tcBorders>
              <w:top w:val="nil"/>
              <w:left w:val="nil"/>
              <w:bottom w:val="nil"/>
            </w:tcBorders>
            <w:shd w:val="clear" w:color="auto" w:fill="D9D9D9"/>
          </w:tcPr>
          <w:p w14:paraId="5B4C1CE2" w14:textId="77777777" w:rsidR="00145814" w:rsidRPr="00255CBA" w:rsidRDefault="00145814" w:rsidP="001A1FE3">
            <w:pPr>
              <w:pStyle w:val="TableText"/>
              <w:rPr>
                <w:b/>
                <w:szCs w:val="18"/>
              </w:rPr>
            </w:pPr>
            <w:r w:rsidRPr="00255CBA">
              <w:rPr>
                <w:b/>
                <w:szCs w:val="18"/>
              </w:rPr>
              <w:t>Comments related to risk characteristics</w:t>
            </w:r>
          </w:p>
        </w:tc>
      </w:tr>
      <w:tr w:rsidR="00145814" w:rsidRPr="00255CBA" w14:paraId="0E2FE16E" w14:textId="77777777" w:rsidTr="00153568">
        <w:trPr>
          <w:cantSplit/>
        </w:trPr>
        <w:tc>
          <w:tcPr>
            <w:tcW w:w="2694" w:type="dxa"/>
            <w:tcBorders>
              <w:top w:val="nil"/>
            </w:tcBorders>
            <w:shd w:val="clear" w:color="auto" w:fill="auto"/>
          </w:tcPr>
          <w:p w14:paraId="2D6E09F9" w14:textId="77777777" w:rsidR="00145814" w:rsidRPr="00255CBA" w:rsidRDefault="00145814" w:rsidP="001A1FE3">
            <w:pPr>
              <w:pStyle w:val="TableText"/>
              <w:rPr>
                <w:szCs w:val="18"/>
              </w:rPr>
            </w:pPr>
            <w:r w:rsidRPr="00255CBA">
              <w:rPr>
                <w:szCs w:val="18"/>
              </w:rPr>
              <w:t>Open terrain, flat to gentle contour</w:t>
            </w:r>
          </w:p>
        </w:tc>
        <w:tc>
          <w:tcPr>
            <w:tcW w:w="5471" w:type="dxa"/>
            <w:tcBorders>
              <w:top w:val="nil"/>
            </w:tcBorders>
            <w:shd w:val="clear" w:color="auto" w:fill="auto"/>
          </w:tcPr>
          <w:p w14:paraId="71817344" w14:textId="51169EEC" w:rsidR="00145814" w:rsidRPr="00255CBA" w:rsidRDefault="00145814" w:rsidP="001A1FE3">
            <w:pPr>
              <w:pStyle w:val="TableText"/>
              <w:rPr>
                <w:szCs w:val="18"/>
              </w:rPr>
            </w:pPr>
            <w:r w:rsidRPr="00255CBA">
              <w:rPr>
                <w:szCs w:val="18"/>
              </w:rPr>
              <w:t xml:space="preserve">Relatively easy for the public to access, particularly if close to residential areas. Bait visible from long distances, regardless of method of application. Unless access is physically limited (eg, </w:t>
            </w:r>
            <w:r w:rsidR="00C54DF5">
              <w:rPr>
                <w:szCs w:val="18"/>
              </w:rPr>
              <w:t xml:space="preserve">by </w:t>
            </w:r>
            <w:r w:rsidRPr="00255CBA">
              <w:rPr>
                <w:szCs w:val="18"/>
              </w:rPr>
              <w:t>fences, ditches, walls), use may present a relatively greater public health risk.</w:t>
            </w:r>
          </w:p>
        </w:tc>
      </w:tr>
      <w:tr w:rsidR="00145814" w:rsidRPr="00255CBA" w14:paraId="5BDAC031" w14:textId="77777777" w:rsidTr="001A1FE3">
        <w:trPr>
          <w:cantSplit/>
        </w:trPr>
        <w:tc>
          <w:tcPr>
            <w:tcW w:w="2694" w:type="dxa"/>
            <w:shd w:val="clear" w:color="auto" w:fill="auto"/>
          </w:tcPr>
          <w:p w14:paraId="5DE7F7D3" w14:textId="77777777" w:rsidR="00145814" w:rsidRPr="00255CBA" w:rsidRDefault="00145814" w:rsidP="001A1FE3">
            <w:pPr>
              <w:pStyle w:val="TableText"/>
              <w:rPr>
                <w:szCs w:val="18"/>
              </w:rPr>
            </w:pPr>
            <w:r w:rsidRPr="00255CBA">
              <w:rPr>
                <w:szCs w:val="18"/>
              </w:rPr>
              <w:t>Medium terrain (gentle rolling to hilly contour)</w:t>
            </w:r>
          </w:p>
        </w:tc>
        <w:tc>
          <w:tcPr>
            <w:tcW w:w="5471" w:type="dxa"/>
            <w:shd w:val="clear" w:color="auto" w:fill="auto"/>
          </w:tcPr>
          <w:p w14:paraId="271B42B4" w14:textId="77777777" w:rsidR="00145814" w:rsidRPr="00255CBA" w:rsidRDefault="00145814" w:rsidP="001A1FE3">
            <w:pPr>
              <w:pStyle w:val="TableText"/>
              <w:rPr>
                <w:szCs w:val="18"/>
              </w:rPr>
            </w:pPr>
            <w:r w:rsidRPr="00255CBA">
              <w:rPr>
                <w:szCs w:val="18"/>
              </w:rPr>
              <w:t>More difficult to access, and terrain and vegetation cover of this type may present a barrier to younger children (depending on proximity to residential areas).</w:t>
            </w:r>
          </w:p>
        </w:tc>
      </w:tr>
      <w:tr w:rsidR="00145814" w:rsidRPr="00255CBA" w14:paraId="3F8BD28C" w14:textId="77777777" w:rsidTr="001A1FE3">
        <w:trPr>
          <w:cantSplit/>
        </w:trPr>
        <w:tc>
          <w:tcPr>
            <w:tcW w:w="2694" w:type="dxa"/>
            <w:shd w:val="clear" w:color="auto" w:fill="auto"/>
          </w:tcPr>
          <w:p w14:paraId="720BF89B" w14:textId="77777777" w:rsidR="00145814" w:rsidRPr="00255CBA" w:rsidRDefault="00145814" w:rsidP="001A1FE3">
            <w:pPr>
              <w:pStyle w:val="TableText"/>
              <w:rPr>
                <w:szCs w:val="18"/>
              </w:rPr>
            </w:pPr>
            <w:r w:rsidRPr="00255CBA">
              <w:rPr>
                <w:szCs w:val="18"/>
              </w:rPr>
              <w:t>Rough, steep contour</w:t>
            </w:r>
          </w:p>
        </w:tc>
        <w:tc>
          <w:tcPr>
            <w:tcW w:w="5471" w:type="dxa"/>
            <w:shd w:val="clear" w:color="auto" w:fill="auto"/>
          </w:tcPr>
          <w:p w14:paraId="504D4639" w14:textId="77777777" w:rsidR="00145814" w:rsidRPr="00255CBA" w:rsidRDefault="00145814" w:rsidP="001A1FE3">
            <w:pPr>
              <w:pStyle w:val="TableText"/>
              <w:rPr>
                <w:szCs w:val="18"/>
              </w:rPr>
            </w:pPr>
            <w:r w:rsidRPr="00255CBA">
              <w:rPr>
                <w:szCs w:val="18"/>
              </w:rPr>
              <w:t xml:space="preserve">This type of terrain may act as a physical barrier, preventing ready access to bait in an operational area. Some areas of rough terrain will include vehicle or walking tracks that may provide access to otherwise inhospitable landscapes – see Model Permit Conditions </w:t>
            </w:r>
            <w:r>
              <w:rPr>
                <w:szCs w:val="18"/>
              </w:rPr>
              <w:t>9</w:t>
            </w:r>
            <w:r w:rsidRPr="00255CBA">
              <w:rPr>
                <w:szCs w:val="18"/>
              </w:rPr>
              <w:t>–1</w:t>
            </w:r>
            <w:r>
              <w:rPr>
                <w:szCs w:val="18"/>
              </w:rPr>
              <w:t>1</w:t>
            </w:r>
            <w:r w:rsidRPr="00255CBA">
              <w:rPr>
                <w:szCs w:val="18"/>
              </w:rPr>
              <w:t>.</w:t>
            </w:r>
          </w:p>
        </w:tc>
      </w:tr>
      <w:tr w:rsidR="00145814" w:rsidRPr="00255CBA" w14:paraId="69C9B868" w14:textId="77777777" w:rsidTr="001A1FE3">
        <w:trPr>
          <w:cantSplit/>
        </w:trPr>
        <w:tc>
          <w:tcPr>
            <w:tcW w:w="2694" w:type="dxa"/>
            <w:shd w:val="clear" w:color="auto" w:fill="auto"/>
          </w:tcPr>
          <w:p w14:paraId="72191687" w14:textId="77777777" w:rsidR="00145814" w:rsidRPr="00255CBA" w:rsidRDefault="00145814" w:rsidP="001A1FE3">
            <w:pPr>
              <w:pStyle w:val="TableText"/>
              <w:rPr>
                <w:szCs w:val="18"/>
              </w:rPr>
            </w:pPr>
            <w:r w:rsidRPr="00255CBA">
              <w:rPr>
                <w:szCs w:val="18"/>
              </w:rPr>
              <w:t>Vegetation type</w:t>
            </w:r>
          </w:p>
        </w:tc>
        <w:tc>
          <w:tcPr>
            <w:tcW w:w="5471" w:type="dxa"/>
            <w:shd w:val="clear" w:color="auto" w:fill="auto"/>
          </w:tcPr>
          <w:p w14:paraId="478238CC" w14:textId="77777777" w:rsidR="00145814" w:rsidRPr="00255CBA" w:rsidRDefault="00145814" w:rsidP="001A1FE3">
            <w:pPr>
              <w:pStyle w:val="TableText"/>
              <w:rPr>
                <w:szCs w:val="18"/>
              </w:rPr>
            </w:pPr>
            <w:r w:rsidRPr="00255CBA">
              <w:rPr>
                <w:szCs w:val="18"/>
              </w:rPr>
              <w:t>Comments related to risk characteristics.</w:t>
            </w:r>
          </w:p>
        </w:tc>
      </w:tr>
      <w:tr w:rsidR="00145814" w:rsidRPr="00255CBA" w14:paraId="7194A831" w14:textId="77777777" w:rsidTr="001A1FE3">
        <w:trPr>
          <w:cantSplit/>
        </w:trPr>
        <w:tc>
          <w:tcPr>
            <w:tcW w:w="2694" w:type="dxa"/>
            <w:shd w:val="clear" w:color="auto" w:fill="auto"/>
          </w:tcPr>
          <w:p w14:paraId="7AB466DD" w14:textId="77777777" w:rsidR="00145814" w:rsidRPr="00255CBA" w:rsidRDefault="00145814" w:rsidP="001A1FE3">
            <w:pPr>
              <w:pStyle w:val="TableText"/>
              <w:rPr>
                <w:szCs w:val="18"/>
              </w:rPr>
            </w:pPr>
            <w:r w:rsidRPr="00255CBA">
              <w:rPr>
                <w:szCs w:val="18"/>
              </w:rPr>
              <w:t>Light to no vegetation, eg, pastureland, open grassland, sparse tree cover</w:t>
            </w:r>
          </w:p>
        </w:tc>
        <w:tc>
          <w:tcPr>
            <w:tcW w:w="5471" w:type="dxa"/>
            <w:shd w:val="clear" w:color="auto" w:fill="auto"/>
          </w:tcPr>
          <w:p w14:paraId="75DB1A80" w14:textId="77777777" w:rsidR="00145814" w:rsidRPr="00255CBA" w:rsidRDefault="00145814" w:rsidP="001A1FE3">
            <w:pPr>
              <w:pStyle w:val="TableText"/>
              <w:rPr>
                <w:szCs w:val="18"/>
              </w:rPr>
            </w:pPr>
            <w:r w:rsidRPr="00255CBA">
              <w:rPr>
                <w:szCs w:val="18"/>
              </w:rPr>
              <w:t>Bait visible from relatively long distances. Vegetation does not provide a barrier to accessing the bait.</w:t>
            </w:r>
          </w:p>
        </w:tc>
      </w:tr>
      <w:tr w:rsidR="00145814" w:rsidRPr="00255CBA" w14:paraId="48159D3A" w14:textId="77777777" w:rsidTr="001A1FE3">
        <w:trPr>
          <w:cantSplit/>
        </w:trPr>
        <w:tc>
          <w:tcPr>
            <w:tcW w:w="2694" w:type="dxa"/>
            <w:shd w:val="clear" w:color="auto" w:fill="auto"/>
          </w:tcPr>
          <w:p w14:paraId="6F055E34" w14:textId="77777777" w:rsidR="00145814" w:rsidRPr="00255CBA" w:rsidRDefault="00145814" w:rsidP="001A1FE3">
            <w:pPr>
              <w:pStyle w:val="TableText"/>
              <w:rPr>
                <w:szCs w:val="18"/>
              </w:rPr>
            </w:pPr>
            <w:r w:rsidRPr="00255CBA">
              <w:rPr>
                <w:szCs w:val="18"/>
              </w:rPr>
              <w:t>Medium vegetation coverage (eg, fodder crops, open bush, tussock)</w:t>
            </w:r>
          </w:p>
        </w:tc>
        <w:tc>
          <w:tcPr>
            <w:tcW w:w="5471" w:type="dxa"/>
            <w:shd w:val="clear" w:color="auto" w:fill="auto"/>
          </w:tcPr>
          <w:p w14:paraId="3BFBDB37" w14:textId="77777777" w:rsidR="00145814" w:rsidRPr="00255CBA" w:rsidRDefault="00145814" w:rsidP="001A1FE3">
            <w:pPr>
              <w:pStyle w:val="TableText"/>
              <w:rPr>
                <w:szCs w:val="18"/>
              </w:rPr>
            </w:pPr>
            <w:r w:rsidRPr="00255CBA">
              <w:rPr>
                <w:szCs w:val="18"/>
              </w:rPr>
              <w:t>Vegetation cover may limit visibility of bait on the ground or in bait stations and may present a moderate physical barrier to access, particularly for young children.</w:t>
            </w:r>
          </w:p>
        </w:tc>
      </w:tr>
      <w:tr w:rsidR="00145814" w:rsidRPr="00255CBA" w14:paraId="59DB73BF" w14:textId="77777777" w:rsidTr="001A1FE3">
        <w:trPr>
          <w:cantSplit/>
        </w:trPr>
        <w:tc>
          <w:tcPr>
            <w:tcW w:w="2694" w:type="dxa"/>
            <w:shd w:val="clear" w:color="auto" w:fill="auto"/>
          </w:tcPr>
          <w:p w14:paraId="003DA885" w14:textId="77777777" w:rsidR="00145814" w:rsidRPr="00255CBA" w:rsidRDefault="00145814" w:rsidP="001A1FE3">
            <w:pPr>
              <w:pStyle w:val="TableText"/>
              <w:rPr>
                <w:szCs w:val="18"/>
              </w:rPr>
            </w:pPr>
            <w:r w:rsidRPr="00255CBA">
              <w:rPr>
                <w:szCs w:val="18"/>
              </w:rPr>
              <w:t>Heavy vegetation (thick bush, extensive undergrowth)</w:t>
            </w:r>
          </w:p>
        </w:tc>
        <w:tc>
          <w:tcPr>
            <w:tcW w:w="5471" w:type="dxa"/>
            <w:shd w:val="clear" w:color="auto" w:fill="auto"/>
          </w:tcPr>
          <w:p w14:paraId="58769FC0" w14:textId="77777777" w:rsidR="00145814" w:rsidRPr="00255CBA" w:rsidRDefault="00145814" w:rsidP="001A1FE3">
            <w:pPr>
              <w:pStyle w:val="TableText"/>
              <w:rPr>
                <w:szCs w:val="18"/>
              </w:rPr>
            </w:pPr>
            <w:r w:rsidRPr="00255CBA">
              <w:rPr>
                <w:szCs w:val="18"/>
              </w:rPr>
              <w:t xml:space="preserve">Vegetation cover significantly limits visibility and presents a physical barrier to accessing the operational area. Note: In some areas, tracks may provide access to otherwise heavily forested or covered areas. Model Permit Conditions </w:t>
            </w:r>
            <w:r>
              <w:rPr>
                <w:szCs w:val="18"/>
              </w:rPr>
              <w:t>9</w:t>
            </w:r>
            <w:r w:rsidRPr="00255CBA">
              <w:rPr>
                <w:szCs w:val="18"/>
              </w:rPr>
              <w:t>–1</w:t>
            </w:r>
            <w:r>
              <w:rPr>
                <w:szCs w:val="18"/>
              </w:rPr>
              <w:t>1</w:t>
            </w:r>
            <w:r w:rsidRPr="00255CBA">
              <w:rPr>
                <w:szCs w:val="18"/>
              </w:rPr>
              <w:t xml:space="preserve"> provide for controls in these circumstances.</w:t>
            </w:r>
          </w:p>
        </w:tc>
      </w:tr>
    </w:tbl>
    <w:p w14:paraId="52F45D4C" w14:textId="77777777" w:rsidR="00145814" w:rsidRDefault="00145814" w:rsidP="00145814">
      <w:pPr>
        <w:pStyle w:val="Heading2"/>
      </w:pPr>
      <w:bookmarkStart w:id="155" w:name="_Toc109793307"/>
      <w:r>
        <w:t>Potentially exposed population</w:t>
      </w:r>
      <w:bookmarkEnd w:id="155"/>
    </w:p>
    <w:p w14:paraId="03AC1091" w14:textId="77777777" w:rsidR="00145814" w:rsidRDefault="00145814" w:rsidP="00145814">
      <w:r>
        <w:t>The potentially exposed population will differ for each operation. However, examples of populations that may often be exposed include (but are not limited to):</w:t>
      </w:r>
    </w:p>
    <w:p w14:paraId="7B0449FD" w14:textId="77777777" w:rsidR="00145814" w:rsidRDefault="00145814" w:rsidP="00145814">
      <w:pPr>
        <w:pStyle w:val="Bullet"/>
      </w:pPr>
      <w:r>
        <w:t>local residents or visitors (noting that children may wander or explore more extensively than adults in areas adjoining residential areas or homes)</w:t>
      </w:r>
    </w:p>
    <w:p w14:paraId="6E975B67" w14:textId="70BC4D03" w:rsidR="00145814" w:rsidRDefault="00145814" w:rsidP="00145814">
      <w:pPr>
        <w:pStyle w:val="Bullet"/>
      </w:pPr>
      <w:r>
        <w:t>trampers</w:t>
      </w:r>
      <w:r w:rsidR="00816A4C">
        <w:t xml:space="preserve"> or </w:t>
      </w:r>
      <w:r>
        <w:t>day walkers using bush tracks and huts</w:t>
      </w:r>
    </w:p>
    <w:p w14:paraId="3F9A7F38" w14:textId="77777777" w:rsidR="00145814" w:rsidRDefault="00145814" w:rsidP="00145814">
      <w:pPr>
        <w:pStyle w:val="Bullet"/>
      </w:pPr>
      <w:r>
        <w:t>hunters</w:t>
      </w:r>
    </w:p>
    <w:p w14:paraId="250F6A7A" w14:textId="77777777" w:rsidR="00145814" w:rsidRDefault="00145814" w:rsidP="00145814">
      <w:pPr>
        <w:pStyle w:val="Bullet"/>
      </w:pPr>
      <w:r>
        <w:t>farming families on the edges of operational areas</w:t>
      </w:r>
    </w:p>
    <w:p w14:paraId="5B7489B5" w14:textId="02E36D6C" w:rsidR="00145814" w:rsidRDefault="00145814" w:rsidP="00145814">
      <w:pPr>
        <w:pStyle w:val="Bullet"/>
      </w:pPr>
      <w:r>
        <w:t>school groups using operational areas</w:t>
      </w:r>
    </w:p>
    <w:p w14:paraId="20D3D838" w14:textId="77777777" w:rsidR="00145814" w:rsidRDefault="00145814" w:rsidP="00145814">
      <w:pPr>
        <w:pStyle w:val="Bullet"/>
      </w:pPr>
      <w:r>
        <w:t>watercraft users using landing sites within operational areas</w:t>
      </w:r>
    </w:p>
    <w:p w14:paraId="7A1AB2A8" w14:textId="69E96920" w:rsidR="00145814" w:rsidRDefault="00145814" w:rsidP="00145814">
      <w:pPr>
        <w:pStyle w:val="Bullet"/>
      </w:pPr>
      <w:r>
        <w:t xml:space="preserve">any other individuals or groups that </w:t>
      </w:r>
      <w:r w:rsidR="00AE6371">
        <w:t>use the</w:t>
      </w:r>
      <w:r>
        <w:t xml:space="preserve"> operational areas</w:t>
      </w:r>
      <w:r w:rsidR="00224E1E">
        <w:t xml:space="preserve"> </w:t>
      </w:r>
      <w:r w:rsidR="00AE6371">
        <w:t xml:space="preserve">for recreation </w:t>
      </w:r>
      <w:r w:rsidR="00224E1E">
        <w:t>(eg</w:t>
      </w:r>
      <w:r w:rsidR="00AE6371">
        <w:t>,</w:t>
      </w:r>
      <w:r w:rsidR="00224E1E">
        <w:t xml:space="preserve"> cyclists, mountain bikers, trail motorbike riders)</w:t>
      </w:r>
      <w:r>
        <w:t>.</w:t>
      </w:r>
    </w:p>
    <w:p w14:paraId="6D44E0D2" w14:textId="77777777" w:rsidR="00145814" w:rsidRDefault="00145814" w:rsidP="00145814"/>
    <w:p w14:paraId="0671D9FE" w14:textId="650F8EE4" w:rsidR="00145814" w:rsidRDefault="00145814" w:rsidP="00145814">
      <w:r>
        <w:t>Public use patterns must be taken into account, in particular when considering the application and/or modification of, for example, Model Permit Condition 9. Table A.3 sets out some examples of public use patterns that may influence the use of Model Permit Conditions. Please note these are examples only and will be influenced by other factors such as seasonal use patterns, events that bring large groups into an area for a short time, and the characteristics of the local and likely visiting populations.</w:t>
      </w:r>
    </w:p>
    <w:p w14:paraId="58C4A8EF" w14:textId="77777777" w:rsidR="00145814" w:rsidRDefault="00145814" w:rsidP="00145814"/>
    <w:p w14:paraId="0B91B37E" w14:textId="3CD090F9" w:rsidR="00145814" w:rsidRDefault="00145814" w:rsidP="00ED45C4">
      <w:pPr>
        <w:pStyle w:val="Caption"/>
      </w:pPr>
      <w:bookmarkStart w:id="156" w:name="_Toc90957717"/>
      <w:r>
        <w:t>Table A.</w:t>
      </w:r>
      <w:r w:rsidR="00CB212C">
        <w:fldChar w:fldCharType="begin"/>
      </w:r>
      <w:r w:rsidR="00CB212C">
        <w:instrText xml:space="preserve"> SEQ Table_A. \* ARABIC </w:instrText>
      </w:r>
      <w:r w:rsidR="00CB212C">
        <w:fldChar w:fldCharType="separate"/>
      </w:r>
      <w:r w:rsidR="001F6003">
        <w:rPr>
          <w:noProof/>
        </w:rPr>
        <w:t>3</w:t>
      </w:r>
      <w:r w:rsidR="00CB212C">
        <w:rPr>
          <w:noProof/>
        </w:rPr>
        <w:fldChar w:fldCharType="end"/>
      </w:r>
      <w:r>
        <w:t xml:space="preserve">: </w:t>
      </w:r>
      <w:r w:rsidRPr="00E37218">
        <w:t>Overview of terrain and vegetation variables</w:t>
      </w:r>
      <w:bookmarkEnd w:id="156"/>
    </w:p>
    <w:tbl>
      <w:tblPr>
        <w:tblW w:w="8023"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A0" w:firstRow="1" w:lastRow="0" w:firstColumn="1" w:lastColumn="0" w:noHBand="0" w:noVBand="0"/>
      </w:tblPr>
      <w:tblGrid>
        <w:gridCol w:w="2410"/>
        <w:gridCol w:w="5613"/>
      </w:tblGrid>
      <w:tr w:rsidR="00145814" w:rsidRPr="00AE0EC5" w14:paraId="41FFFB27" w14:textId="77777777" w:rsidTr="00153568">
        <w:trPr>
          <w:cantSplit/>
        </w:trPr>
        <w:tc>
          <w:tcPr>
            <w:tcW w:w="2410" w:type="dxa"/>
            <w:tcBorders>
              <w:top w:val="nil"/>
              <w:bottom w:val="nil"/>
              <w:right w:val="nil"/>
            </w:tcBorders>
            <w:shd w:val="clear" w:color="auto" w:fill="D9D9D9"/>
          </w:tcPr>
          <w:p w14:paraId="6F9F9401" w14:textId="77777777" w:rsidR="00145814" w:rsidRPr="00AE0EC5" w:rsidRDefault="00145814" w:rsidP="001A1FE3">
            <w:pPr>
              <w:pStyle w:val="TableText"/>
              <w:rPr>
                <w:b/>
                <w:szCs w:val="18"/>
              </w:rPr>
            </w:pPr>
            <w:r w:rsidRPr="00AE0EC5">
              <w:rPr>
                <w:b/>
                <w:szCs w:val="18"/>
              </w:rPr>
              <w:br w:type="page"/>
              <w:t>Intensity of public use</w:t>
            </w:r>
          </w:p>
        </w:tc>
        <w:tc>
          <w:tcPr>
            <w:tcW w:w="5613" w:type="dxa"/>
            <w:tcBorders>
              <w:top w:val="nil"/>
              <w:left w:val="nil"/>
              <w:bottom w:val="nil"/>
            </w:tcBorders>
            <w:shd w:val="clear" w:color="auto" w:fill="D9D9D9"/>
          </w:tcPr>
          <w:p w14:paraId="57FDE326" w14:textId="77777777" w:rsidR="00145814" w:rsidRPr="00AE0EC5" w:rsidRDefault="00145814" w:rsidP="001A1FE3">
            <w:pPr>
              <w:pStyle w:val="TableText"/>
              <w:rPr>
                <w:b/>
                <w:szCs w:val="18"/>
              </w:rPr>
            </w:pPr>
            <w:r w:rsidRPr="00AE0EC5">
              <w:rPr>
                <w:b/>
                <w:szCs w:val="18"/>
              </w:rPr>
              <w:t>Comments related to risk characteristics</w:t>
            </w:r>
          </w:p>
        </w:tc>
      </w:tr>
      <w:tr w:rsidR="00145814" w:rsidRPr="00003A4A" w14:paraId="426DDC8C" w14:textId="77777777" w:rsidTr="00153568">
        <w:trPr>
          <w:cantSplit/>
        </w:trPr>
        <w:tc>
          <w:tcPr>
            <w:tcW w:w="2410" w:type="dxa"/>
            <w:tcBorders>
              <w:top w:val="nil"/>
            </w:tcBorders>
            <w:shd w:val="clear" w:color="auto" w:fill="auto"/>
          </w:tcPr>
          <w:p w14:paraId="1452D28C" w14:textId="77777777" w:rsidR="00145814" w:rsidRPr="00AE0EC5" w:rsidRDefault="00145814" w:rsidP="001A1FE3">
            <w:pPr>
              <w:pStyle w:val="TableText"/>
              <w:rPr>
                <w:szCs w:val="18"/>
              </w:rPr>
            </w:pPr>
            <w:r w:rsidRPr="00AE0EC5">
              <w:rPr>
                <w:szCs w:val="18"/>
              </w:rPr>
              <w:t>High public use (eg, more than 50 people per day)</w:t>
            </w:r>
          </w:p>
        </w:tc>
        <w:tc>
          <w:tcPr>
            <w:tcW w:w="5613" w:type="dxa"/>
            <w:tcBorders>
              <w:top w:val="nil"/>
            </w:tcBorders>
            <w:shd w:val="clear" w:color="auto" w:fill="auto"/>
          </w:tcPr>
          <w:p w14:paraId="4864145C" w14:textId="3C7A1CFF" w:rsidR="00145814" w:rsidRPr="00AE0EC5" w:rsidRDefault="00145814" w:rsidP="001A1FE3">
            <w:pPr>
              <w:pStyle w:val="TableText"/>
              <w:rPr>
                <w:szCs w:val="18"/>
              </w:rPr>
            </w:pPr>
            <w:r w:rsidRPr="00AE0EC5">
              <w:rPr>
                <w:szCs w:val="18"/>
              </w:rPr>
              <w:t>Higher public use may increase the risk of contact with baits due to the large number of people in the area. Some areas may experience intermittent periods of high use around holidays, long weekends or hunting seasons. In some areas, use will be concentrated or confined to specific parts of a proposed operational area.</w:t>
            </w:r>
          </w:p>
        </w:tc>
      </w:tr>
      <w:tr w:rsidR="00145814" w:rsidRPr="00003A4A" w14:paraId="67974AE9" w14:textId="77777777" w:rsidTr="001A1FE3">
        <w:trPr>
          <w:cantSplit/>
        </w:trPr>
        <w:tc>
          <w:tcPr>
            <w:tcW w:w="2410" w:type="dxa"/>
            <w:shd w:val="clear" w:color="auto" w:fill="auto"/>
          </w:tcPr>
          <w:p w14:paraId="0BB2B982" w14:textId="33B734AF" w:rsidR="00145814" w:rsidRPr="00AE0EC5" w:rsidRDefault="00145814" w:rsidP="001A1FE3">
            <w:pPr>
              <w:pStyle w:val="TableText"/>
              <w:rPr>
                <w:szCs w:val="18"/>
              </w:rPr>
            </w:pPr>
            <w:r w:rsidRPr="00AE0EC5">
              <w:rPr>
                <w:szCs w:val="18"/>
              </w:rPr>
              <w:t>Medium public use (eg, 20–50 people per day)</w:t>
            </w:r>
          </w:p>
        </w:tc>
        <w:tc>
          <w:tcPr>
            <w:tcW w:w="5613" w:type="dxa"/>
            <w:shd w:val="clear" w:color="auto" w:fill="auto"/>
          </w:tcPr>
          <w:p w14:paraId="6283711D" w14:textId="77777777" w:rsidR="00145814" w:rsidRPr="00AE0EC5" w:rsidRDefault="00145814" w:rsidP="001A1FE3">
            <w:pPr>
              <w:pStyle w:val="TableText"/>
              <w:rPr>
                <w:szCs w:val="18"/>
              </w:rPr>
            </w:pPr>
            <w:r w:rsidRPr="00AE0EC5">
              <w:rPr>
                <w:szCs w:val="18"/>
              </w:rPr>
              <w:t>There may be some risk of contact with bait due to the number of people, particularly if users include children or, for example, non-English speakers who may not fully understand warning signs.</w:t>
            </w:r>
          </w:p>
        </w:tc>
      </w:tr>
      <w:tr w:rsidR="00145814" w:rsidRPr="00003A4A" w14:paraId="3DACB7B4" w14:textId="77777777" w:rsidTr="001A1FE3">
        <w:trPr>
          <w:cantSplit/>
        </w:trPr>
        <w:tc>
          <w:tcPr>
            <w:tcW w:w="2410" w:type="dxa"/>
            <w:shd w:val="clear" w:color="auto" w:fill="auto"/>
          </w:tcPr>
          <w:p w14:paraId="3221C3A2" w14:textId="166CF372" w:rsidR="00145814" w:rsidRPr="00AE0EC5" w:rsidRDefault="00145814" w:rsidP="001A1FE3">
            <w:pPr>
              <w:pStyle w:val="TableText"/>
              <w:rPr>
                <w:szCs w:val="18"/>
              </w:rPr>
            </w:pPr>
            <w:r w:rsidRPr="00AE0EC5">
              <w:rPr>
                <w:szCs w:val="18"/>
              </w:rPr>
              <w:t xml:space="preserve">Low public use (eg, </w:t>
            </w:r>
            <w:r>
              <w:rPr>
                <w:szCs w:val="18"/>
              </w:rPr>
              <w:t>fewer</w:t>
            </w:r>
            <w:r w:rsidRPr="00AE0EC5">
              <w:rPr>
                <w:szCs w:val="18"/>
              </w:rPr>
              <w:t xml:space="preserve"> than 20 people per day)</w:t>
            </w:r>
          </w:p>
        </w:tc>
        <w:tc>
          <w:tcPr>
            <w:tcW w:w="5613" w:type="dxa"/>
            <w:shd w:val="clear" w:color="auto" w:fill="auto"/>
          </w:tcPr>
          <w:p w14:paraId="545AE269" w14:textId="77777777" w:rsidR="00145814" w:rsidRPr="00AE0EC5" w:rsidRDefault="00145814" w:rsidP="001A1FE3">
            <w:pPr>
              <w:pStyle w:val="TableText"/>
              <w:rPr>
                <w:szCs w:val="18"/>
              </w:rPr>
            </w:pPr>
            <w:r w:rsidRPr="00AE0EC5">
              <w:rPr>
                <w:szCs w:val="18"/>
              </w:rPr>
              <w:t>A lower concentration of users may lower the risk of contact with bait. However, the types of users must still be considered; small groups or individuals may still be at risk, particularly children.</w:t>
            </w:r>
          </w:p>
        </w:tc>
      </w:tr>
    </w:tbl>
    <w:p w14:paraId="26103AE6" w14:textId="77777777" w:rsidR="00145814" w:rsidRDefault="00145814" w:rsidP="00145814"/>
    <w:p w14:paraId="57B06078" w14:textId="77777777" w:rsidR="00145814" w:rsidRDefault="00145814" w:rsidP="00145814">
      <w:r>
        <w:br w:type="page"/>
      </w:r>
    </w:p>
    <w:p w14:paraId="775B11C3" w14:textId="0330E383" w:rsidR="00AA1781" w:rsidRPr="00003A4A" w:rsidRDefault="00AA1781" w:rsidP="00AA1781">
      <w:pPr>
        <w:pStyle w:val="Heading1"/>
        <w:spacing w:before="0"/>
      </w:pPr>
      <w:bookmarkStart w:id="157" w:name="_Toc109793308"/>
      <w:r w:rsidRPr="00D5386F">
        <w:t xml:space="preserve">Appendix </w:t>
      </w:r>
      <w:r w:rsidR="00145814" w:rsidRPr="00D5386F">
        <w:t>3</w:t>
      </w:r>
      <w:r w:rsidRPr="00D5386F">
        <w:t>: Example checklist for assessing application</w:t>
      </w:r>
      <w:bookmarkEnd w:id="143"/>
      <w:bookmarkEnd w:id="144"/>
      <w:r w:rsidRPr="00D5386F">
        <w:t>s</w:t>
      </w:r>
      <w:bookmarkEnd w:id="145"/>
      <w:bookmarkEnd w:id="146"/>
      <w:bookmarkEnd w:id="147"/>
      <w:bookmarkEnd w:id="157"/>
    </w:p>
    <w:p w14:paraId="7BC55B06" w14:textId="3638A4B2" w:rsidR="00AA1781" w:rsidRPr="00003A4A" w:rsidRDefault="00A651D9" w:rsidP="00AA1781">
      <w:r>
        <w:t>Use this checklist</w:t>
      </w:r>
      <w:r w:rsidR="00AA1781" w:rsidRPr="00003A4A">
        <w:t xml:space="preserve"> in conjunction with the application form</w:t>
      </w:r>
      <w:r w:rsidR="00AA1781">
        <w:t>.</w:t>
      </w:r>
    </w:p>
    <w:p w14:paraId="5D41F8AD" w14:textId="77777777" w:rsidR="00AA1781" w:rsidRPr="00003A4A" w:rsidRDefault="00AA1781" w:rsidP="00AA1781">
      <w:pPr>
        <w:tabs>
          <w:tab w:val="left" w:pos="3969"/>
          <w:tab w:val="left" w:pos="6804"/>
        </w:tabs>
        <w:spacing w:before="120"/>
        <w:rPr>
          <w:rFonts w:cs="Arial"/>
        </w:rPr>
      </w:pPr>
      <w:r w:rsidRPr="00003A4A">
        <w:rPr>
          <w:rFonts w:cs="Arial"/>
        </w:rPr>
        <w:t>Applicant:</w:t>
      </w:r>
      <w:r w:rsidRPr="00003A4A">
        <w:rPr>
          <w:rFonts w:cs="Arial"/>
        </w:rPr>
        <w:tab/>
        <w:t>Date received:</w:t>
      </w:r>
    </w:p>
    <w:p w14:paraId="46EDFCA8" w14:textId="77777777" w:rsidR="00AA1781" w:rsidRPr="00003A4A" w:rsidRDefault="00AA1781" w:rsidP="00AA1781">
      <w:pPr>
        <w:pBdr>
          <w:bottom w:val="single" w:sz="4" w:space="6" w:color="auto"/>
        </w:pBdr>
        <w:tabs>
          <w:tab w:val="left" w:pos="3969"/>
          <w:tab w:val="left" w:pos="6804"/>
        </w:tabs>
        <w:spacing w:before="60"/>
        <w:rPr>
          <w:rFonts w:cs="Arial"/>
        </w:rPr>
      </w:pPr>
      <w:r w:rsidRPr="00003A4A">
        <w:rPr>
          <w:rFonts w:cs="Arial"/>
        </w:rPr>
        <w:t>Operation:</w:t>
      </w:r>
      <w:r w:rsidRPr="00003A4A">
        <w:rPr>
          <w:rFonts w:cs="Arial"/>
        </w:rPr>
        <w:tab/>
        <w:t>Start date:</w:t>
      </w:r>
      <w:r w:rsidRPr="00003A4A">
        <w:rPr>
          <w:rFonts w:cs="Arial"/>
        </w:rPr>
        <w:tab/>
        <w:t>Finish date:</w:t>
      </w:r>
    </w:p>
    <w:p w14:paraId="3302A3E1" w14:textId="1420AD3B" w:rsidR="00AA1781" w:rsidRPr="00B36615" w:rsidRDefault="00AA1781" w:rsidP="00AA1781">
      <w:pPr>
        <w:spacing w:before="160" w:after="160"/>
        <w:ind w:left="567" w:hanging="567"/>
        <w:rPr>
          <w:rFonts w:cs="Arial"/>
        </w:rPr>
      </w:pPr>
      <w:r w:rsidRPr="00003A4A">
        <w:rPr>
          <w:rFonts w:ascii="Webdings" w:eastAsia="Webdings" w:hAnsi="Webdings" w:cs="Webdings"/>
        </w:rPr>
        <w:sym w:font="Webdings" w:char="F063"/>
      </w:r>
      <w:r w:rsidRPr="00003A4A">
        <w:rPr>
          <w:rFonts w:cs="Arial"/>
        </w:rPr>
        <w:tab/>
      </w:r>
      <w:r w:rsidRPr="00B36615">
        <w:rPr>
          <w:rFonts w:cs="Arial"/>
        </w:rPr>
        <w:t xml:space="preserve">Information on application complete (must be signed, </w:t>
      </w:r>
      <w:r>
        <w:rPr>
          <w:rFonts w:cs="Arial"/>
        </w:rPr>
        <w:t xml:space="preserve">have </w:t>
      </w:r>
      <w:r w:rsidRPr="00B36615">
        <w:rPr>
          <w:rFonts w:cs="Arial"/>
        </w:rPr>
        <w:t xml:space="preserve">all sections completed and </w:t>
      </w:r>
      <w:r w:rsidR="00A651D9">
        <w:rPr>
          <w:rFonts w:cs="Arial"/>
        </w:rPr>
        <w:t>seek</w:t>
      </w:r>
      <w:r w:rsidRPr="00B36615">
        <w:rPr>
          <w:rFonts w:cs="Arial"/>
        </w:rPr>
        <w:t xml:space="preserve"> a</w:t>
      </w:r>
      <w:r w:rsidR="00EA1308">
        <w:rPr>
          <w:rFonts w:cs="Arial"/>
        </w:rPr>
        <w:t>n appropriate</w:t>
      </w:r>
      <w:r w:rsidRPr="00B36615">
        <w:rPr>
          <w:rFonts w:cs="Arial"/>
        </w:rPr>
        <w:t xml:space="preserve"> permission timeframe)</w:t>
      </w:r>
    </w:p>
    <w:p w14:paraId="0755C955" w14:textId="77777777" w:rsidR="00AA1781" w:rsidRPr="00B36615" w:rsidRDefault="00AA1781" w:rsidP="00AA1781">
      <w:pPr>
        <w:spacing w:before="160" w:after="160"/>
        <w:ind w:left="567" w:hanging="567"/>
        <w:rPr>
          <w:rFonts w:cs="Arial"/>
        </w:rPr>
      </w:pPr>
      <w:r w:rsidRPr="00B36615">
        <w:rPr>
          <w:rFonts w:ascii="Webdings" w:eastAsia="Webdings" w:hAnsi="Webdings" w:cs="Webdings"/>
        </w:rPr>
        <w:sym w:font="Webdings" w:char="F063"/>
      </w:r>
      <w:r w:rsidRPr="00B36615">
        <w:rPr>
          <w:rFonts w:cs="Arial"/>
        </w:rPr>
        <w:tab/>
        <w:t>Operation area clearly defined by map and description</w:t>
      </w:r>
    </w:p>
    <w:p w14:paraId="01196626" w14:textId="77777777" w:rsidR="00AA1781" w:rsidRPr="00B36615" w:rsidRDefault="00AA1781" w:rsidP="00AA1781">
      <w:pPr>
        <w:spacing w:before="160" w:after="160"/>
        <w:ind w:left="567" w:hanging="567"/>
        <w:rPr>
          <w:rFonts w:cs="Arial"/>
        </w:rPr>
      </w:pPr>
      <w:r w:rsidRPr="00B36615">
        <w:rPr>
          <w:rFonts w:ascii="Webdings" w:eastAsia="Webdings" w:hAnsi="Webdings" w:cs="Webdings"/>
        </w:rPr>
        <w:sym w:font="Webdings" w:char="F063"/>
      </w:r>
      <w:r w:rsidRPr="00B36615">
        <w:rPr>
          <w:rFonts w:cs="Arial"/>
        </w:rPr>
        <w:tab/>
        <w:t>Operational description satisfactory</w:t>
      </w:r>
    </w:p>
    <w:p w14:paraId="46706FFC" w14:textId="47438D88" w:rsidR="00AA1781" w:rsidRPr="00B36615" w:rsidRDefault="00AA1781" w:rsidP="00AA1781">
      <w:pPr>
        <w:spacing w:before="160" w:after="160"/>
        <w:ind w:left="567" w:hanging="567"/>
        <w:rPr>
          <w:rFonts w:cs="Arial"/>
        </w:rPr>
      </w:pPr>
      <w:r w:rsidRPr="00B36615">
        <w:rPr>
          <w:rFonts w:ascii="Webdings" w:eastAsia="Webdings" w:hAnsi="Webdings" w:cs="Webdings"/>
        </w:rPr>
        <w:sym w:font="Webdings" w:char="F063"/>
      </w:r>
      <w:r w:rsidRPr="00B36615">
        <w:rPr>
          <w:rFonts w:cs="Arial"/>
        </w:rPr>
        <w:tab/>
      </w:r>
      <w:r w:rsidRPr="00FC6A8C">
        <w:rPr>
          <w:rFonts w:cs="Arial"/>
        </w:rPr>
        <w:t xml:space="preserve">Operator </w:t>
      </w:r>
      <w:r w:rsidR="00FC6A8C">
        <w:rPr>
          <w:rFonts w:cs="Arial"/>
        </w:rPr>
        <w:t>identified</w:t>
      </w:r>
    </w:p>
    <w:p w14:paraId="6284E885" w14:textId="4CE44B81" w:rsidR="00AA1781" w:rsidRDefault="00AA1781" w:rsidP="00AA1781">
      <w:pPr>
        <w:spacing w:before="160" w:after="160"/>
        <w:ind w:left="567" w:hanging="567"/>
        <w:rPr>
          <w:rFonts w:cs="Arial"/>
        </w:rPr>
      </w:pPr>
      <w:r w:rsidRPr="00B36615">
        <w:rPr>
          <w:rFonts w:ascii="Webdings" w:eastAsia="Webdings" w:hAnsi="Webdings" w:cs="Webdings"/>
        </w:rPr>
        <w:sym w:font="Webdings" w:char="F063"/>
      </w:r>
      <w:r w:rsidRPr="00B36615">
        <w:rPr>
          <w:rFonts w:cs="Arial"/>
        </w:rPr>
        <w:tab/>
      </w:r>
      <w:r>
        <w:rPr>
          <w:rFonts w:cs="Arial"/>
        </w:rPr>
        <w:t xml:space="preserve">Risk assessment </w:t>
      </w:r>
      <w:r w:rsidRPr="00B36615">
        <w:rPr>
          <w:rFonts w:cs="Arial"/>
        </w:rPr>
        <w:t>information adequate</w:t>
      </w:r>
    </w:p>
    <w:p w14:paraId="1FD910AF" w14:textId="77777777" w:rsidR="00AA1781" w:rsidRPr="00003A4A" w:rsidRDefault="00AA1781" w:rsidP="00AA1781">
      <w:pPr>
        <w:spacing w:before="160" w:after="160"/>
        <w:ind w:left="567" w:hanging="567"/>
        <w:rPr>
          <w:rFonts w:cs="Arial"/>
        </w:rPr>
      </w:pPr>
      <w:r w:rsidRPr="00003A4A">
        <w:rPr>
          <w:rFonts w:ascii="Webdings" w:eastAsia="Webdings" w:hAnsi="Webdings" w:cs="Webdings"/>
        </w:rPr>
        <w:sym w:font="Webdings" w:char="F063"/>
      </w:r>
      <w:r w:rsidRPr="00003A4A">
        <w:rPr>
          <w:rFonts w:cs="Arial"/>
        </w:rPr>
        <w:tab/>
        <w:t>All landowner</w:t>
      </w:r>
      <w:r>
        <w:rPr>
          <w:rFonts w:cs="Arial"/>
        </w:rPr>
        <w:t>s’</w:t>
      </w:r>
      <w:r w:rsidRPr="00003A4A">
        <w:rPr>
          <w:rFonts w:cs="Arial"/>
        </w:rPr>
        <w:t xml:space="preserve"> name</w:t>
      </w:r>
      <w:r>
        <w:rPr>
          <w:rFonts w:cs="Arial"/>
        </w:rPr>
        <w:t>s</w:t>
      </w:r>
      <w:r w:rsidRPr="00003A4A">
        <w:rPr>
          <w:rFonts w:cs="Arial"/>
        </w:rPr>
        <w:t>, addresses and phone numbers provided</w:t>
      </w:r>
    </w:p>
    <w:p w14:paraId="6561BF4C" w14:textId="428C50B8" w:rsidR="00AA1781" w:rsidRPr="00003A4A" w:rsidRDefault="00AA1781" w:rsidP="00AA1781">
      <w:pPr>
        <w:spacing w:before="160" w:after="160"/>
        <w:ind w:left="1134" w:hanging="567"/>
        <w:rPr>
          <w:rFonts w:cs="Arial"/>
        </w:rPr>
      </w:pPr>
      <w:r w:rsidRPr="00003A4A">
        <w:rPr>
          <w:rFonts w:ascii="Webdings" w:eastAsia="Webdings" w:hAnsi="Webdings" w:cs="Webdings"/>
        </w:rPr>
        <w:sym w:font="Webdings" w:char="F063"/>
      </w:r>
      <w:r w:rsidRPr="00003A4A">
        <w:rPr>
          <w:rFonts w:cs="Arial"/>
        </w:rPr>
        <w:tab/>
        <w:t>Indication that permission has been given</w:t>
      </w:r>
    </w:p>
    <w:p w14:paraId="71F4A983" w14:textId="77777777" w:rsidR="00AA1781" w:rsidRPr="00B36615" w:rsidRDefault="00AA1781" w:rsidP="00AA1781">
      <w:pPr>
        <w:spacing w:before="160" w:after="160"/>
        <w:ind w:left="567" w:hanging="567"/>
        <w:rPr>
          <w:rFonts w:cs="Arial"/>
        </w:rPr>
      </w:pPr>
      <w:r w:rsidRPr="00B36615">
        <w:rPr>
          <w:rFonts w:ascii="Webdings" w:eastAsia="Webdings" w:hAnsi="Webdings" w:cs="Webdings"/>
        </w:rPr>
        <w:sym w:font="Webdings" w:char="F063"/>
      </w:r>
      <w:r w:rsidRPr="00B36615">
        <w:rPr>
          <w:rFonts w:cs="Arial"/>
        </w:rPr>
        <w:tab/>
        <w:t>Exclusion areas and boundaries adequately described</w:t>
      </w:r>
    </w:p>
    <w:p w14:paraId="5217FDCD" w14:textId="77777777" w:rsidR="00AA1781" w:rsidRPr="00003A4A" w:rsidRDefault="00AA1781" w:rsidP="00AA1781">
      <w:pPr>
        <w:spacing w:before="160" w:after="160"/>
        <w:ind w:left="567" w:hanging="567"/>
        <w:rPr>
          <w:rFonts w:cs="Arial"/>
        </w:rPr>
      </w:pPr>
      <w:r w:rsidRPr="00B36615">
        <w:rPr>
          <w:rFonts w:ascii="Webdings" w:eastAsia="Webdings" w:hAnsi="Webdings" w:cs="Webdings"/>
        </w:rPr>
        <w:sym w:font="Webdings" w:char="F063"/>
      </w:r>
      <w:r w:rsidRPr="00B36615">
        <w:rPr>
          <w:rFonts w:cs="Arial"/>
        </w:rPr>
        <w:tab/>
        <w:t>Tracks identified in application and marked on map</w:t>
      </w:r>
    </w:p>
    <w:p w14:paraId="7D707B02" w14:textId="77777777" w:rsidR="00AA1781" w:rsidRPr="00003A4A" w:rsidRDefault="00AA1781" w:rsidP="00AA1781">
      <w:pPr>
        <w:spacing w:before="160" w:after="160"/>
        <w:ind w:left="567" w:hanging="567"/>
        <w:rPr>
          <w:rFonts w:cs="Arial"/>
        </w:rPr>
      </w:pPr>
      <w:r w:rsidRPr="00003A4A">
        <w:rPr>
          <w:rFonts w:ascii="Webdings" w:eastAsia="Webdings" w:hAnsi="Webdings" w:cs="Webdings"/>
        </w:rPr>
        <w:sym w:font="Webdings" w:char="F063"/>
      </w:r>
      <w:r w:rsidRPr="00003A4A">
        <w:rPr>
          <w:rFonts w:cs="Arial"/>
        </w:rPr>
        <w:tab/>
        <w:t>Houses, huts, public roads in operational area identified</w:t>
      </w:r>
    </w:p>
    <w:p w14:paraId="5F2BFE40" w14:textId="77777777" w:rsidR="00AA1781" w:rsidRDefault="00AA1781" w:rsidP="00AA1781">
      <w:pPr>
        <w:spacing w:before="160" w:after="160"/>
        <w:ind w:left="567" w:hanging="567"/>
        <w:rPr>
          <w:rFonts w:cs="Arial"/>
        </w:rPr>
      </w:pPr>
      <w:r w:rsidRPr="00B36615">
        <w:rPr>
          <w:rFonts w:ascii="Webdings" w:eastAsia="Webdings" w:hAnsi="Webdings" w:cs="Webdings"/>
        </w:rPr>
        <w:sym w:font="Webdings" w:char="F063"/>
      </w:r>
      <w:r w:rsidRPr="00B36615">
        <w:rPr>
          <w:rFonts w:cs="Arial"/>
        </w:rPr>
        <w:tab/>
        <w:t>Water supplies identified (domestic and public/networked)</w:t>
      </w:r>
    </w:p>
    <w:p w14:paraId="35C5C746" w14:textId="77777777" w:rsidR="00AA1781" w:rsidRDefault="00AA1781" w:rsidP="00AA1781">
      <w:pPr>
        <w:spacing w:before="160" w:after="160"/>
        <w:ind w:left="567" w:hanging="567"/>
        <w:rPr>
          <w:rFonts w:cs="Arial"/>
        </w:rPr>
      </w:pPr>
    </w:p>
    <w:p w14:paraId="23365B58" w14:textId="7B08870A" w:rsidR="00717EAD" w:rsidRDefault="00717EAD">
      <w:r>
        <w:br w:type="page"/>
      </w:r>
    </w:p>
    <w:p w14:paraId="4AC0BE58" w14:textId="5F530684" w:rsidR="00E37218" w:rsidRDefault="00E37218" w:rsidP="00E37218">
      <w:pPr>
        <w:pStyle w:val="Heading1"/>
      </w:pPr>
      <w:bookmarkStart w:id="158" w:name="_Toc109793309"/>
      <w:r w:rsidRPr="00E37218">
        <w:t>Appendix 4: Example of an appropriate operational map</w:t>
      </w:r>
      <w:bookmarkEnd w:id="158"/>
    </w:p>
    <w:p w14:paraId="0F2DD9E9" w14:textId="18B86289" w:rsidR="00E37218" w:rsidRPr="00E37218" w:rsidRDefault="00E37218" w:rsidP="00E37218">
      <w:r>
        <w:rPr>
          <w:noProof/>
        </w:rPr>
        <w:drawing>
          <wp:inline distT="0" distB="0" distL="0" distR="0" wp14:anchorId="00D70C95" wp14:editId="736D5ACC">
            <wp:extent cx="5389245" cy="3584575"/>
            <wp:effectExtent l="0" t="0" r="1905" b="0"/>
            <wp:docPr id="7" name="Picture 7" descr="Waima Ground Control - Possum; Treatment Year 2008-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ima Ground Control - Possum; Treatment Year 2008-20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9245" cy="3584575"/>
                    </a:xfrm>
                    <a:prstGeom prst="rect">
                      <a:avLst/>
                    </a:prstGeom>
                    <a:noFill/>
                  </pic:spPr>
                </pic:pic>
              </a:graphicData>
            </a:graphic>
          </wp:inline>
        </w:drawing>
      </w:r>
    </w:p>
    <w:p w14:paraId="2E2458F9" w14:textId="77777777" w:rsidR="00E37218" w:rsidRDefault="00E37218" w:rsidP="00E37218"/>
    <w:p w14:paraId="21A2023D" w14:textId="5F682370" w:rsidR="00EB7763" w:rsidRDefault="00EB7763">
      <w:r>
        <w:br w:type="page"/>
      </w:r>
    </w:p>
    <w:p w14:paraId="7934C81F" w14:textId="77777777" w:rsidR="00E37218" w:rsidRDefault="00E37218" w:rsidP="00E37218">
      <w:pPr>
        <w:pStyle w:val="Heading1"/>
      </w:pPr>
      <w:bookmarkStart w:id="159" w:name="_Toc109793310"/>
      <w:r>
        <w:t>Appendix 5: Protection of drinking water – guidance</w:t>
      </w:r>
      <w:bookmarkEnd w:id="159"/>
    </w:p>
    <w:p w14:paraId="78EE50AF" w14:textId="77777777" w:rsidR="00E37218" w:rsidRDefault="00E37218" w:rsidP="00E37218">
      <w:r>
        <w:t>The following information provides guidance to VTA operators and drinking water suppliers to consider with a view to adopting relevant measures from it as good practice to protect drinking water. When any parts of this guidance are included as conditions in the permission, they are mandatory.</w:t>
      </w:r>
    </w:p>
    <w:p w14:paraId="5CC2C36C" w14:textId="77777777" w:rsidR="00E37218" w:rsidRDefault="00E37218" w:rsidP="00E37218">
      <w:pPr>
        <w:pStyle w:val="Heading2"/>
      </w:pPr>
      <w:bookmarkStart w:id="160" w:name="_Toc109793311"/>
      <w:r>
        <w:t>Definitions</w:t>
      </w:r>
      <w:bookmarkEnd w:id="160"/>
    </w:p>
    <w:p w14:paraId="36CFE34C" w14:textId="77777777" w:rsidR="00E37218" w:rsidRDefault="00E37218" w:rsidP="00E37218">
      <w:r>
        <w:t xml:space="preserve">An </w:t>
      </w:r>
      <w:r w:rsidRPr="0093352E">
        <w:rPr>
          <w:b/>
          <w:bCs/>
        </w:rPr>
        <w:t>abstraction point</w:t>
      </w:r>
      <w:r>
        <w:t xml:space="preserve"> is the location at which source water is abstracted for use in a drinking water supply (for example, the location at which water is abstracted from a river, stream, lake or aquifer). </w:t>
      </w:r>
    </w:p>
    <w:p w14:paraId="604FA503" w14:textId="77777777" w:rsidR="00E37218" w:rsidRDefault="00E37218" w:rsidP="00E37218"/>
    <w:p w14:paraId="6A7A4C17" w14:textId="51A8474F" w:rsidR="00E37218" w:rsidRDefault="00E37218" w:rsidP="00E37218">
      <w:r>
        <w:t xml:space="preserve">A </w:t>
      </w:r>
      <w:r w:rsidRPr="0093352E">
        <w:rPr>
          <w:b/>
          <w:bCs/>
        </w:rPr>
        <w:t>domestic self-supply</w:t>
      </w:r>
      <w:r>
        <w:t xml:space="preserve"> is a standalone </w:t>
      </w:r>
      <w:r w:rsidR="006D52F4">
        <w:t>home</w:t>
      </w:r>
      <w:r>
        <w:t xml:space="preserve"> that has its own supply of drinking water.</w:t>
      </w:r>
    </w:p>
    <w:p w14:paraId="70C5ECB0" w14:textId="77777777" w:rsidR="00E37218" w:rsidRDefault="00E37218" w:rsidP="00E37218"/>
    <w:p w14:paraId="74161013" w14:textId="25E267AE" w:rsidR="00E37218" w:rsidRDefault="00E37218" w:rsidP="00E37218">
      <w:r>
        <w:t xml:space="preserve">A </w:t>
      </w:r>
      <w:r w:rsidRPr="0093352E">
        <w:rPr>
          <w:b/>
          <w:bCs/>
        </w:rPr>
        <w:t>source</w:t>
      </w:r>
      <w:r>
        <w:t xml:space="preserve">, </w:t>
      </w:r>
      <w:r w:rsidRPr="0093352E">
        <w:rPr>
          <w:b/>
          <w:bCs/>
        </w:rPr>
        <w:t>source water</w:t>
      </w:r>
      <w:r>
        <w:t xml:space="preserve"> and </w:t>
      </w:r>
      <w:r w:rsidRPr="0093352E">
        <w:rPr>
          <w:b/>
          <w:bCs/>
        </w:rPr>
        <w:t>source of a drinking water supply</w:t>
      </w:r>
      <w:r>
        <w:t xml:space="preserve"> </w:t>
      </w:r>
      <w:r w:rsidR="00E6537C">
        <w:t xml:space="preserve">all </w:t>
      </w:r>
      <w:r>
        <w:t>mean the water body from which water is abstracted for use in a drinking water supply (for example, a river, stream, lake or aquifer) and rainwater. Flowing surface watercourses include rivers, streams and creeks.</w:t>
      </w:r>
    </w:p>
    <w:p w14:paraId="0D7397BA" w14:textId="77777777" w:rsidR="00E37218" w:rsidRDefault="00E37218" w:rsidP="00E37218"/>
    <w:p w14:paraId="26906090" w14:textId="79466966" w:rsidR="00E37218" w:rsidRDefault="00E37218" w:rsidP="00E37218">
      <w:r>
        <w:t>The</w:t>
      </w:r>
      <w:r w:rsidRPr="0093352E">
        <w:rPr>
          <w:b/>
          <w:bCs/>
        </w:rPr>
        <w:t xml:space="preserve"> provisional maximum acceptable value (PMAV)</w:t>
      </w:r>
      <w:r>
        <w:t xml:space="preserve"> in the </w:t>
      </w:r>
      <w:r w:rsidRPr="0093352E">
        <w:rPr>
          <w:i/>
          <w:iCs/>
        </w:rPr>
        <w:t>Drinking-water Standards for New Zealand</w:t>
      </w:r>
      <w:r>
        <w:t xml:space="preserve"> (Ministry of Health 2018) represents the concentration of sodium fluoroacetate (1080) in water that is not considered to cause any significant risk to the health of the consumer over their lifetime of consumption of that water. Fifty percent of the PMAV is a 1080 concentration of 1.75 parts per billion. T</w:t>
      </w:r>
      <w:r w:rsidR="000330BE">
        <w:t>o access the</w:t>
      </w:r>
      <w:r>
        <w:t xml:space="preserve"> </w:t>
      </w:r>
      <w:r w:rsidRPr="0093352E">
        <w:rPr>
          <w:i/>
          <w:iCs/>
        </w:rPr>
        <w:t>Drinking-water Standards for New Zealand</w:t>
      </w:r>
      <w:r w:rsidR="000330BE">
        <w:t>, go to</w:t>
      </w:r>
      <w:r>
        <w:t xml:space="preserve"> </w:t>
      </w:r>
      <w:hyperlink r:id="rId72" w:history="1">
        <w:r w:rsidRPr="00E37218">
          <w:rPr>
            <w:rStyle w:val="Hyperlink"/>
          </w:rPr>
          <w:t>https://www.taumataarowai.govt.nz/for-water-suppliers/current-drinking-water-standards/</w:t>
        </w:r>
      </w:hyperlink>
    </w:p>
    <w:p w14:paraId="0BEB5BFB" w14:textId="77777777" w:rsidR="00E37218" w:rsidRDefault="00E37218" w:rsidP="00E37218">
      <w:pPr>
        <w:pStyle w:val="Heading2"/>
      </w:pPr>
      <w:bookmarkStart w:id="161" w:name="_Toc109793312"/>
      <w:r>
        <w:t>Notification</w:t>
      </w:r>
      <w:bookmarkEnd w:id="161"/>
    </w:p>
    <w:p w14:paraId="5F345D56" w14:textId="0148A352" w:rsidR="00E37218" w:rsidRDefault="00E37218" w:rsidP="00E37218">
      <w:r>
        <w:t xml:space="preserve">VTA operators </w:t>
      </w:r>
      <w:r w:rsidR="00594FA4">
        <w:t xml:space="preserve">should consider notifying </w:t>
      </w:r>
      <w:r>
        <w:t xml:space="preserve">relevant people (households and/or community drinking water supply operators) who draw water from within or near operational areas, so that they are aware of the proposed operation. </w:t>
      </w:r>
    </w:p>
    <w:p w14:paraId="76ED8C13" w14:textId="77777777" w:rsidR="00E37218" w:rsidRDefault="00E37218" w:rsidP="00E37218"/>
    <w:p w14:paraId="12239AF5" w14:textId="2E51F87B" w:rsidR="00E37218" w:rsidRDefault="00E37218" w:rsidP="00E37218">
      <w:r>
        <w:t xml:space="preserve">VTA operators </w:t>
      </w:r>
      <w:r w:rsidR="00594FA4">
        <w:t xml:space="preserve">should consider notifying </w:t>
      </w:r>
      <w:r>
        <w:t>the intended operation to everyone who sources their household or community water supply from a water abstraction point:</w:t>
      </w:r>
    </w:p>
    <w:p w14:paraId="7AFC6BC3" w14:textId="3A0F4135" w:rsidR="00E37218" w:rsidRDefault="00E37218" w:rsidP="00E37218">
      <w:pPr>
        <w:pStyle w:val="Bullet"/>
      </w:pPr>
      <w:r>
        <w:t>within the operational area, or</w:t>
      </w:r>
    </w:p>
    <w:p w14:paraId="40BF11F9" w14:textId="3CAFE9B3" w:rsidR="00E37218" w:rsidRDefault="00E37218" w:rsidP="00E37218">
      <w:pPr>
        <w:pStyle w:val="Bullet"/>
      </w:pPr>
      <w:r>
        <w:t>within 200 m downstream of the operational area for ground</w:t>
      </w:r>
      <w:r w:rsidR="000330BE">
        <w:t>-based</w:t>
      </w:r>
      <w:r>
        <w:t xml:space="preserve"> applications where the water source is a surface waterway that flows through or rises within the operational area, or</w:t>
      </w:r>
    </w:p>
    <w:p w14:paraId="7D215A4A" w14:textId="310ED2E4" w:rsidR="00E37218" w:rsidRDefault="00E37218" w:rsidP="00E37218">
      <w:pPr>
        <w:pStyle w:val="Bullet"/>
      </w:pPr>
      <w:r>
        <w:t xml:space="preserve">within 400 m downstream of the operational area for aerial applications where the water source is a surface waterway that flows through or rises within the operational area. </w:t>
      </w:r>
    </w:p>
    <w:p w14:paraId="0391CB1D" w14:textId="77777777" w:rsidR="00E37218" w:rsidRDefault="00E37218" w:rsidP="00E37218"/>
    <w:p w14:paraId="0B29BF53" w14:textId="1D465648" w:rsidR="00E37218" w:rsidRDefault="00E37218" w:rsidP="00E37218">
      <w:r>
        <w:t xml:space="preserve">The notice may be given sufficiently prior to, but within two months of, the proposed operation. If requested by the person notified, notification may be repeated </w:t>
      </w:r>
      <w:r w:rsidR="00674BF6">
        <w:t xml:space="preserve">closer to the start of </w:t>
      </w:r>
      <w:r>
        <w:t>the proposed operation.</w:t>
      </w:r>
    </w:p>
    <w:p w14:paraId="47DAA249" w14:textId="77777777" w:rsidR="00E37218" w:rsidRDefault="00E37218" w:rsidP="00E37218">
      <w:pPr>
        <w:pStyle w:val="Heading2"/>
      </w:pPr>
      <w:bookmarkStart w:id="162" w:name="_Toc109793313"/>
      <w:r>
        <w:t>Location</w:t>
      </w:r>
      <w:bookmarkEnd w:id="162"/>
    </w:p>
    <w:p w14:paraId="04DC5562" w14:textId="06C45B8E" w:rsidR="00E37218" w:rsidRDefault="00E37218" w:rsidP="00E37218">
      <w:r>
        <w:t xml:space="preserve">VTA operators </w:t>
      </w:r>
      <w:r w:rsidR="00B92D4E">
        <w:t>will need to locate</w:t>
      </w:r>
      <w:r>
        <w:t xml:space="preserve"> abstraction points within and near the operational area</w:t>
      </w:r>
      <w:r w:rsidR="00B92D4E">
        <w:t xml:space="preserve"> to be able to</w:t>
      </w:r>
      <w:r>
        <w:t xml:space="preserve"> apply </w:t>
      </w:r>
      <w:r w:rsidR="00B92D4E">
        <w:t xml:space="preserve">any </w:t>
      </w:r>
      <w:r>
        <w:t>mitigation measures to at-risk water intakes.</w:t>
      </w:r>
      <w:r w:rsidR="00B92D4E">
        <w:t xml:space="preserve"> Individual households and/or community drinking water supply operators can </w:t>
      </w:r>
      <w:r w:rsidR="00674BF6">
        <w:t xml:space="preserve">help </w:t>
      </w:r>
      <w:r w:rsidR="00B92D4E">
        <w:t xml:space="preserve">the </w:t>
      </w:r>
      <w:r>
        <w:t xml:space="preserve">VTA operators </w:t>
      </w:r>
      <w:r w:rsidR="00B92D4E">
        <w:t>to</w:t>
      </w:r>
      <w:r>
        <w:t xml:space="preserve"> verify the location of abstraction points:</w:t>
      </w:r>
    </w:p>
    <w:p w14:paraId="13C43372" w14:textId="168EA9AE" w:rsidR="00E37218" w:rsidRDefault="00E37218" w:rsidP="00E37218">
      <w:pPr>
        <w:pStyle w:val="Bullet"/>
      </w:pPr>
      <w:r>
        <w:t>within the operational area, or</w:t>
      </w:r>
    </w:p>
    <w:p w14:paraId="68F661A5" w14:textId="5A2C47D0" w:rsidR="00E37218" w:rsidRDefault="00E37218" w:rsidP="00E37218">
      <w:pPr>
        <w:pStyle w:val="Bullet"/>
      </w:pPr>
      <w:r>
        <w:t>within 200 m downstream of the operational area for ground applications where the water source is a surface waterway that flows through or rises within the operational area, or</w:t>
      </w:r>
    </w:p>
    <w:p w14:paraId="4F0CF0D9" w14:textId="7CFAA390" w:rsidR="00E37218" w:rsidRDefault="00E37218" w:rsidP="00E37218">
      <w:pPr>
        <w:pStyle w:val="Bullet"/>
      </w:pPr>
      <w:r>
        <w:t>within 400 m downstream of the operational area for aerial applications where the water source is a surface waterway that flows through or rises within the operational area.</w:t>
      </w:r>
    </w:p>
    <w:p w14:paraId="3E80A2FA" w14:textId="77777777" w:rsidR="00E37218" w:rsidRDefault="00E37218" w:rsidP="00E37218"/>
    <w:p w14:paraId="67F92B1B" w14:textId="6A31B569" w:rsidR="00E37218" w:rsidRDefault="00375656" w:rsidP="00E37218">
      <w:r>
        <w:t>It is useful to r</w:t>
      </w:r>
      <w:r w:rsidR="003D2E58">
        <w:t>ecord the</w:t>
      </w:r>
      <w:r w:rsidR="00E37218">
        <w:t xml:space="preserve"> GPS waypoint file of water supply intakes </w:t>
      </w:r>
      <w:r>
        <w:t xml:space="preserve">so that </w:t>
      </w:r>
      <w:r w:rsidR="003D2E58">
        <w:t xml:space="preserve">this information can be </w:t>
      </w:r>
      <w:r w:rsidR="00E37218">
        <w:t>made available to enforcement agencies on request.</w:t>
      </w:r>
    </w:p>
    <w:p w14:paraId="23B34BE9" w14:textId="77777777" w:rsidR="00E37218" w:rsidRDefault="00E37218" w:rsidP="00E37218">
      <w:pPr>
        <w:pStyle w:val="Heading2"/>
      </w:pPr>
      <w:bookmarkStart w:id="163" w:name="_Toc109793314"/>
      <w:r>
        <w:t>Exclusions</w:t>
      </w:r>
      <w:bookmarkEnd w:id="163"/>
    </w:p>
    <w:p w14:paraId="3073FA1E" w14:textId="77777777" w:rsidR="00E37218" w:rsidRDefault="00E37218" w:rsidP="00E37218">
      <w:r>
        <w:t xml:space="preserve">VTA operators should ensure that VTAs cannot enter drinking water supplies. </w:t>
      </w:r>
    </w:p>
    <w:p w14:paraId="6C4F2DE2" w14:textId="77777777" w:rsidR="00E37218" w:rsidRDefault="00E37218" w:rsidP="00E37218"/>
    <w:p w14:paraId="78A4C3AB" w14:textId="020BB47F" w:rsidR="00E37218" w:rsidRDefault="00C37E3D" w:rsidP="00E37218">
      <w:r>
        <w:t>Where</w:t>
      </w:r>
      <w:r w:rsidRPr="00C37E3D">
        <w:t xml:space="preserve"> </w:t>
      </w:r>
      <w:r>
        <w:t>abstraction points are within the operational area, n</w:t>
      </w:r>
      <w:r w:rsidR="00E37218">
        <w:t xml:space="preserve">o VTAs should be ground-laid or aerially applied within the distances </w:t>
      </w:r>
      <w:r>
        <w:t xml:space="preserve">from </w:t>
      </w:r>
      <w:r w:rsidR="00E37218">
        <w:t xml:space="preserve">abstraction points </w:t>
      </w:r>
      <w:r>
        <w:t>set out in Table A.4</w:t>
      </w:r>
      <w:r w:rsidR="00E37218">
        <w:t>.</w:t>
      </w:r>
    </w:p>
    <w:p w14:paraId="4FB9539D" w14:textId="778CBCC4" w:rsidR="00E37218" w:rsidRDefault="00E37218" w:rsidP="00E37218"/>
    <w:p w14:paraId="6D32B4D8" w14:textId="74841718" w:rsidR="009E03B1" w:rsidRDefault="009E03B1" w:rsidP="0093352E">
      <w:pPr>
        <w:pStyle w:val="Caption"/>
      </w:pPr>
      <w:r>
        <w:t>Table A.</w:t>
      </w:r>
      <w:r w:rsidR="00CB212C">
        <w:fldChar w:fldCharType="begin"/>
      </w:r>
      <w:r w:rsidR="00CB212C">
        <w:instrText xml:space="preserve"> SEQ Table_A. \* ARABIC </w:instrText>
      </w:r>
      <w:r w:rsidR="00CB212C">
        <w:fldChar w:fldCharType="separate"/>
      </w:r>
      <w:r w:rsidR="001F6003">
        <w:rPr>
          <w:noProof/>
        </w:rPr>
        <w:t>4</w:t>
      </w:r>
      <w:r w:rsidR="00CB212C">
        <w:rPr>
          <w:noProof/>
        </w:rPr>
        <w:fldChar w:fldCharType="end"/>
      </w:r>
      <w:r w:rsidR="00C37E3D">
        <w:t>: Minimum distances from abstraction points for applying VTAs</w:t>
      </w:r>
    </w:p>
    <w:tbl>
      <w:tblPr>
        <w:tblW w:w="849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2117"/>
        <w:gridCol w:w="3313"/>
        <w:gridCol w:w="3065"/>
      </w:tblGrid>
      <w:tr w:rsidR="00E37218" w:rsidRPr="00E37218" w14:paraId="6A4C3689" w14:textId="77777777" w:rsidTr="00153568">
        <w:tc>
          <w:tcPr>
            <w:tcW w:w="2117" w:type="dxa"/>
            <w:tcBorders>
              <w:top w:val="nil"/>
              <w:bottom w:val="nil"/>
              <w:right w:val="nil"/>
            </w:tcBorders>
            <w:shd w:val="clear" w:color="auto" w:fill="D9D9D9" w:themeFill="background1" w:themeFillShade="D9"/>
            <w:tcMar>
              <w:top w:w="0" w:type="dxa"/>
              <w:left w:w="108" w:type="dxa"/>
              <w:bottom w:w="0" w:type="dxa"/>
              <w:right w:w="108" w:type="dxa"/>
            </w:tcMar>
          </w:tcPr>
          <w:p w14:paraId="63F36D22" w14:textId="77777777" w:rsidR="00E37218" w:rsidRPr="00E37218" w:rsidRDefault="00E37218" w:rsidP="00E37218">
            <w:pPr>
              <w:pStyle w:val="TableText"/>
              <w:rPr>
                <w:b/>
                <w:bCs/>
              </w:rPr>
            </w:pPr>
            <w:r w:rsidRPr="00E37218">
              <w:rPr>
                <w:b/>
                <w:bCs/>
              </w:rPr>
              <w:t>Distance from abstraction point</w:t>
            </w:r>
          </w:p>
        </w:tc>
        <w:tc>
          <w:tcPr>
            <w:tcW w:w="3313" w:type="dxa"/>
            <w:tcBorders>
              <w:top w:val="nil"/>
              <w:left w:val="nil"/>
              <w:bottom w:val="nil"/>
              <w:right w:val="nil"/>
            </w:tcBorders>
            <w:shd w:val="clear" w:color="auto" w:fill="D9D9D9" w:themeFill="background1" w:themeFillShade="D9"/>
            <w:tcMar>
              <w:top w:w="0" w:type="dxa"/>
              <w:left w:w="108" w:type="dxa"/>
              <w:bottom w:w="0" w:type="dxa"/>
              <w:right w:w="108" w:type="dxa"/>
            </w:tcMar>
            <w:hideMark/>
          </w:tcPr>
          <w:p w14:paraId="0CAE8E7E" w14:textId="77777777" w:rsidR="00E37218" w:rsidRPr="00E37218" w:rsidRDefault="00E37218" w:rsidP="00E37218">
            <w:pPr>
              <w:pStyle w:val="TableText"/>
              <w:rPr>
                <w:b/>
                <w:bCs/>
              </w:rPr>
            </w:pPr>
            <w:r w:rsidRPr="00E37218">
              <w:rPr>
                <w:b/>
                <w:bCs/>
              </w:rPr>
              <w:t xml:space="preserve">Domestic supplies </w:t>
            </w:r>
          </w:p>
        </w:tc>
        <w:tc>
          <w:tcPr>
            <w:tcW w:w="3065" w:type="dxa"/>
            <w:tcBorders>
              <w:top w:val="nil"/>
              <w:left w:val="nil"/>
              <w:bottom w:val="nil"/>
            </w:tcBorders>
            <w:shd w:val="clear" w:color="auto" w:fill="D9D9D9" w:themeFill="background1" w:themeFillShade="D9"/>
            <w:tcMar>
              <w:top w:w="0" w:type="dxa"/>
              <w:left w:w="108" w:type="dxa"/>
              <w:bottom w:w="0" w:type="dxa"/>
              <w:right w:w="108" w:type="dxa"/>
            </w:tcMar>
            <w:hideMark/>
          </w:tcPr>
          <w:p w14:paraId="1F9D22C9" w14:textId="77777777" w:rsidR="00E37218" w:rsidRPr="00E37218" w:rsidRDefault="00E37218" w:rsidP="00E37218">
            <w:pPr>
              <w:pStyle w:val="TableText"/>
              <w:rPr>
                <w:b/>
                <w:bCs/>
              </w:rPr>
            </w:pPr>
            <w:r w:rsidRPr="00E37218">
              <w:rPr>
                <w:b/>
                <w:bCs/>
              </w:rPr>
              <w:t xml:space="preserve">Public supplies </w:t>
            </w:r>
          </w:p>
        </w:tc>
      </w:tr>
      <w:tr w:rsidR="00E37218" w:rsidRPr="00347F9D" w14:paraId="3DFC76FA" w14:textId="77777777" w:rsidTr="00153568">
        <w:tc>
          <w:tcPr>
            <w:tcW w:w="2117" w:type="dxa"/>
            <w:tcBorders>
              <w:top w:val="nil"/>
            </w:tcBorders>
            <w:tcMar>
              <w:top w:w="0" w:type="dxa"/>
              <w:left w:w="108" w:type="dxa"/>
              <w:bottom w:w="0" w:type="dxa"/>
              <w:right w:w="108" w:type="dxa"/>
            </w:tcMar>
            <w:hideMark/>
          </w:tcPr>
          <w:p w14:paraId="08D5047C" w14:textId="77777777" w:rsidR="00E37218" w:rsidRPr="00476B49" w:rsidRDefault="00E37218" w:rsidP="00E37218">
            <w:pPr>
              <w:pStyle w:val="TableText"/>
            </w:pPr>
            <w:r w:rsidRPr="00476B49">
              <w:t>Ground</w:t>
            </w:r>
            <w:r>
              <w:t>-</w:t>
            </w:r>
            <w:r w:rsidRPr="00476B49">
              <w:t xml:space="preserve">based application </w:t>
            </w:r>
          </w:p>
        </w:tc>
        <w:tc>
          <w:tcPr>
            <w:tcW w:w="3313" w:type="dxa"/>
            <w:tcBorders>
              <w:top w:val="nil"/>
            </w:tcBorders>
            <w:tcMar>
              <w:top w:w="0" w:type="dxa"/>
              <w:left w:w="108" w:type="dxa"/>
              <w:bottom w:w="0" w:type="dxa"/>
              <w:right w:w="108" w:type="dxa"/>
            </w:tcMar>
            <w:hideMark/>
          </w:tcPr>
          <w:p w14:paraId="6F19ACEF" w14:textId="77777777" w:rsidR="00E37218" w:rsidRPr="00476B49" w:rsidRDefault="00E37218" w:rsidP="00E37218">
            <w:pPr>
              <w:pStyle w:val="TableText"/>
            </w:pPr>
            <w:r w:rsidRPr="00476B49">
              <w:t>20</w:t>
            </w:r>
            <w:r>
              <w:t xml:space="preserve"> </w:t>
            </w:r>
            <w:r w:rsidRPr="00476B49">
              <w:t>m (extending 50</w:t>
            </w:r>
            <w:r>
              <w:t xml:space="preserve"> </w:t>
            </w:r>
            <w:r w:rsidRPr="00476B49">
              <w:t xml:space="preserve">m upstream for flowing surface watercourses) </w:t>
            </w:r>
          </w:p>
        </w:tc>
        <w:tc>
          <w:tcPr>
            <w:tcW w:w="3065" w:type="dxa"/>
            <w:tcBorders>
              <w:top w:val="nil"/>
            </w:tcBorders>
            <w:tcMar>
              <w:top w:w="0" w:type="dxa"/>
              <w:left w:w="108" w:type="dxa"/>
              <w:bottom w:w="0" w:type="dxa"/>
              <w:right w:w="108" w:type="dxa"/>
            </w:tcMar>
            <w:hideMark/>
          </w:tcPr>
          <w:p w14:paraId="470C4D40" w14:textId="77777777" w:rsidR="00E37218" w:rsidRPr="00476B49" w:rsidRDefault="00E37218" w:rsidP="00E37218">
            <w:pPr>
              <w:pStyle w:val="TableText"/>
            </w:pPr>
            <w:r w:rsidRPr="00476B49">
              <w:t>50</w:t>
            </w:r>
            <w:r>
              <w:t xml:space="preserve"> </w:t>
            </w:r>
            <w:r w:rsidRPr="00476B49">
              <w:t>m (extending 100</w:t>
            </w:r>
            <w:r>
              <w:t xml:space="preserve"> </w:t>
            </w:r>
            <w:r w:rsidRPr="00476B49">
              <w:t xml:space="preserve">m upstream for flowing surface watercourses) </w:t>
            </w:r>
          </w:p>
        </w:tc>
      </w:tr>
      <w:tr w:rsidR="00E37218" w:rsidRPr="00347F9D" w14:paraId="3486DFF2" w14:textId="77777777" w:rsidTr="00E37218">
        <w:trPr>
          <w:trHeight w:val="623"/>
        </w:trPr>
        <w:tc>
          <w:tcPr>
            <w:tcW w:w="2117" w:type="dxa"/>
            <w:tcMar>
              <w:top w:w="0" w:type="dxa"/>
              <w:left w:w="108" w:type="dxa"/>
              <w:bottom w:w="0" w:type="dxa"/>
              <w:right w:w="108" w:type="dxa"/>
            </w:tcMar>
            <w:hideMark/>
          </w:tcPr>
          <w:p w14:paraId="196D2FC9" w14:textId="77777777" w:rsidR="00E37218" w:rsidRPr="00476B49" w:rsidRDefault="00E37218" w:rsidP="00E37218">
            <w:pPr>
              <w:pStyle w:val="TableText"/>
            </w:pPr>
            <w:r w:rsidRPr="00476B49">
              <w:t>Aerial applications</w:t>
            </w:r>
          </w:p>
        </w:tc>
        <w:tc>
          <w:tcPr>
            <w:tcW w:w="3313" w:type="dxa"/>
            <w:tcMar>
              <w:top w:w="0" w:type="dxa"/>
              <w:left w:w="108" w:type="dxa"/>
              <w:bottom w:w="0" w:type="dxa"/>
              <w:right w:w="108" w:type="dxa"/>
            </w:tcMar>
            <w:hideMark/>
          </w:tcPr>
          <w:p w14:paraId="0CCEF921" w14:textId="77777777" w:rsidR="00E37218" w:rsidRPr="00476B49" w:rsidRDefault="00E37218" w:rsidP="00E37218">
            <w:pPr>
              <w:pStyle w:val="TableText"/>
            </w:pPr>
            <w:r w:rsidRPr="00476B49">
              <w:t>50</w:t>
            </w:r>
            <w:r>
              <w:t xml:space="preserve"> </w:t>
            </w:r>
            <w:r w:rsidRPr="00476B49">
              <w:t>m (extending 200</w:t>
            </w:r>
            <w:r>
              <w:t xml:space="preserve"> </w:t>
            </w:r>
            <w:r w:rsidRPr="00476B49">
              <w:t xml:space="preserve">m upstream for flowing surface watercourses) </w:t>
            </w:r>
          </w:p>
        </w:tc>
        <w:tc>
          <w:tcPr>
            <w:tcW w:w="3065" w:type="dxa"/>
            <w:tcMar>
              <w:top w:w="0" w:type="dxa"/>
              <w:left w:w="108" w:type="dxa"/>
              <w:bottom w:w="0" w:type="dxa"/>
              <w:right w:w="108" w:type="dxa"/>
            </w:tcMar>
            <w:hideMark/>
          </w:tcPr>
          <w:p w14:paraId="7B3828EC" w14:textId="77777777" w:rsidR="00E37218" w:rsidRPr="00476B49" w:rsidRDefault="00E37218" w:rsidP="00E37218">
            <w:pPr>
              <w:pStyle w:val="TableText"/>
            </w:pPr>
            <w:r w:rsidRPr="00476B49">
              <w:t>200</w:t>
            </w:r>
            <w:r>
              <w:t xml:space="preserve"> </w:t>
            </w:r>
            <w:r w:rsidRPr="00476B49">
              <w:t>m (extending 400</w:t>
            </w:r>
            <w:r>
              <w:t xml:space="preserve"> </w:t>
            </w:r>
            <w:r w:rsidRPr="00476B49">
              <w:t xml:space="preserve">m upstream for flowing surface watercourses) </w:t>
            </w:r>
          </w:p>
        </w:tc>
      </w:tr>
    </w:tbl>
    <w:p w14:paraId="284C22C8" w14:textId="77777777" w:rsidR="00153568" w:rsidRDefault="00153568" w:rsidP="00E37218"/>
    <w:p w14:paraId="2F381CCA" w14:textId="6B8D56E9" w:rsidR="00E37218" w:rsidRDefault="00E37218" w:rsidP="00E37218">
      <w:r>
        <w:t xml:space="preserve">In steep areas, the exclusion area may need to be increased to </w:t>
      </w:r>
      <w:r w:rsidR="00794FFF">
        <w:t>prevent</w:t>
      </w:r>
      <w:r>
        <w:t xml:space="preserve"> bait </w:t>
      </w:r>
      <w:r w:rsidR="00794FFF">
        <w:t xml:space="preserve">from </w:t>
      </w:r>
      <w:r>
        <w:t xml:space="preserve">falling into the waterway. For other operations (eg, along farm streams), bait may be applied closer to the water edge as long as the bait can be applied in such a way as to </w:t>
      </w:r>
      <w:r w:rsidR="007C1BD3">
        <w:t>prevent any from</w:t>
      </w:r>
      <w:r>
        <w:t xml:space="preserve"> fall</w:t>
      </w:r>
      <w:r w:rsidR="007C1BD3">
        <w:t>ing</w:t>
      </w:r>
      <w:r>
        <w:t xml:space="preserve"> into the water (eg, using trickle feeding). </w:t>
      </w:r>
    </w:p>
    <w:p w14:paraId="16B54A07" w14:textId="77777777" w:rsidR="00E37218" w:rsidRDefault="00E37218" w:rsidP="00E37218"/>
    <w:p w14:paraId="43E59D73" w14:textId="76C7E0D6" w:rsidR="00E37218" w:rsidRDefault="00E37218" w:rsidP="00E37218">
      <w:r>
        <w:t>Where the risk of the VTA or poisoned carcasses entering into waterways</w:t>
      </w:r>
      <w:r w:rsidR="007C1BD3">
        <w:t xml:space="preserve"> is higher</w:t>
      </w:r>
      <w:r>
        <w:t xml:space="preserve"> (eg, sloping ground toward the waterway; heavy vegetation overhanging the waterway), the exclusion distances may be increased. In flat areas with low possum numbers, the exclusion distance could be decreased, if this does not increase potential public health risks. This will depend on local conditions, including rainfall, the gradient of the terrain, vegetation and soil type.</w:t>
      </w:r>
    </w:p>
    <w:p w14:paraId="61B23878" w14:textId="77777777" w:rsidR="00E37218" w:rsidRDefault="00E37218" w:rsidP="00E37218">
      <w:pPr>
        <w:pStyle w:val="Heading2"/>
      </w:pPr>
      <w:bookmarkStart w:id="164" w:name="_Toc109793315"/>
      <w:r>
        <w:t>Additional measures for aerial 1080 applications</w:t>
      </w:r>
      <w:bookmarkEnd w:id="164"/>
    </w:p>
    <w:p w14:paraId="0D2D3155" w14:textId="1D28F0E4" w:rsidR="00E37218" w:rsidRDefault="00E37218" w:rsidP="00E37218">
      <w:r>
        <w:t xml:space="preserve">Following 1080 aerial operations, the VTA operator </w:t>
      </w:r>
      <w:r w:rsidR="008C24EE">
        <w:t>is likely to</w:t>
      </w:r>
      <w:r>
        <w:t xml:space="preserve"> test the water if there are insufficient historical records demonstrating that the water supply will not be contaminated</w:t>
      </w:r>
      <w:r w:rsidR="003D2E58">
        <w:t>,</w:t>
      </w:r>
      <w:r>
        <w:t xml:space="preserve"> or to </w:t>
      </w:r>
      <w:r w:rsidR="004F1AD7">
        <w:t xml:space="preserve">reassure the </w:t>
      </w:r>
      <w:r>
        <w:t xml:space="preserve">public that the water supply is safe. </w:t>
      </w:r>
    </w:p>
    <w:p w14:paraId="19CA4646" w14:textId="77777777" w:rsidR="00E37218" w:rsidRDefault="00E37218" w:rsidP="00E37218"/>
    <w:p w14:paraId="7FF6AE56" w14:textId="6AF7225A" w:rsidR="00E37218" w:rsidRDefault="00E37218" w:rsidP="00E37218">
      <w:r>
        <w:t xml:space="preserve">If undertaking water testing, the VTA operator should follow the current </w:t>
      </w:r>
      <w:r w:rsidR="003A4E63">
        <w:t>‘</w:t>
      </w:r>
      <w:r w:rsidRPr="0093352E">
        <w:t>Guideline for sampling and testing water associated with monitoring of aerial 1080 baiting operations</w:t>
      </w:r>
      <w:r w:rsidR="003A4E63">
        <w:t>’</w:t>
      </w:r>
      <w:r>
        <w:t xml:space="preserve"> (Manaaki Whenua 2019).</w:t>
      </w:r>
    </w:p>
    <w:p w14:paraId="358B2150" w14:textId="77777777" w:rsidR="00E37218" w:rsidRDefault="00E37218" w:rsidP="00E37218"/>
    <w:p w14:paraId="3589CE82" w14:textId="46AE0DDB" w:rsidR="00E37218" w:rsidRDefault="004F2FAE" w:rsidP="00E37218">
      <w:r>
        <w:t xml:space="preserve">When water testing is undertaken, the </w:t>
      </w:r>
      <w:r w:rsidR="00E37218">
        <w:t xml:space="preserve">water supply </w:t>
      </w:r>
      <w:r>
        <w:t xml:space="preserve">should </w:t>
      </w:r>
      <w:r w:rsidR="00E37218">
        <w:t xml:space="preserve">be temporarily disconnected until such time as water testing finds no 1080 present above 50 percent of the PMAV for 1080 in the </w:t>
      </w:r>
      <w:r w:rsidR="00E37218" w:rsidRPr="0093352E">
        <w:rPr>
          <w:i/>
          <w:iCs/>
        </w:rPr>
        <w:t>Drinking-water Standards for New Zealand</w:t>
      </w:r>
      <w:r w:rsidR="00E37218">
        <w:t xml:space="preserve"> (</w:t>
      </w:r>
      <w:r w:rsidR="00054787">
        <w:t xml:space="preserve">Ministry of Health 2018; </w:t>
      </w:r>
      <w:r w:rsidR="00014D0E">
        <w:t xml:space="preserve">see </w:t>
      </w:r>
      <w:hyperlink r:id="rId73" w:history="1">
        <w:r w:rsidR="00054787" w:rsidRPr="00A858DF">
          <w:rPr>
            <w:rStyle w:val="Hyperlink"/>
          </w:rPr>
          <w:t>https://www.taumataarowai.govt.nz/for-water-suppliers/current-drinking-water-standards/</w:t>
        </w:r>
      </w:hyperlink>
      <w:r w:rsidR="00E37218">
        <w:t xml:space="preserve">). If no alternative water source is available, an adequate alternative potable water supply (to be used for drinking and cooking) </w:t>
      </w:r>
      <w:r>
        <w:t>should</w:t>
      </w:r>
      <w:r w:rsidR="00E37218">
        <w:t xml:space="preserve"> be provided to affected households until testing is completed. </w:t>
      </w:r>
    </w:p>
    <w:p w14:paraId="02C41FE8" w14:textId="77777777" w:rsidR="00E37218" w:rsidRDefault="00E37218" w:rsidP="00E37218"/>
    <w:p w14:paraId="28235804" w14:textId="48C970E8" w:rsidR="009A42D5" w:rsidRDefault="00E37218" w:rsidP="00BF0FA0">
      <w:r>
        <w:t>When water testing reveals 1080 contamination</w:t>
      </w:r>
      <w:r w:rsidR="004B741B">
        <w:t xml:space="preserve"> is</w:t>
      </w:r>
      <w:r>
        <w:t xml:space="preserve"> over 50 percent of the PMAV, the alternative potable water supply should be maintained until testing confirms 1080 is below 50 percent of the PMAV.</w:t>
      </w:r>
    </w:p>
    <w:sectPr w:rsidR="009A42D5" w:rsidSect="00587C48">
      <w:headerReference w:type="even" r:id="rId74"/>
      <w:headerReference w:type="default" r:id="rId75"/>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F58CB" w14:textId="77777777" w:rsidR="00CB212C" w:rsidRDefault="00CB212C">
      <w:r>
        <w:separator/>
      </w:r>
    </w:p>
    <w:p w14:paraId="62AE4E38" w14:textId="77777777" w:rsidR="00CB212C" w:rsidRDefault="00CB212C"/>
  </w:endnote>
  <w:endnote w:type="continuationSeparator" w:id="0">
    <w:p w14:paraId="7617593E" w14:textId="77777777" w:rsidR="00CB212C" w:rsidRDefault="00CB212C">
      <w:r>
        <w:continuationSeparator/>
      </w:r>
    </w:p>
    <w:p w14:paraId="78C7966E" w14:textId="77777777" w:rsidR="00CB212C" w:rsidRDefault="00CB2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8357" w14:textId="118A638E" w:rsidR="00F4433C" w:rsidRPr="00581136" w:rsidRDefault="00F4433C" w:rsidP="005A79E5">
    <w:pPr>
      <w:pStyle w:val="Footer"/>
      <w:pBdr>
        <w:bottom w:val="single" w:sz="4" w:space="1" w:color="auto"/>
      </w:pBdr>
      <w:tabs>
        <w:tab w:val="right" w:pos="9639"/>
      </w:tabs>
      <w:rPr>
        <w:b/>
      </w:rPr>
    </w:pPr>
    <w:r w:rsidRPr="00581136">
      <w:rPr>
        <w:b/>
      </w:rPr>
      <w:t>Released 20</w:t>
    </w:r>
    <w:r>
      <w:rPr>
        <w:b/>
      </w:rPr>
      <w:t>22</w:t>
    </w:r>
    <w:r w:rsidRPr="00581136">
      <w:rPr>
        <w:b/>
      </w:rPr>
      <w:tab/>
      <w:t>health.govt.nz</w:t>
    </w:r>
  </w:p>
  <w:p w14:paraId="524869F6" w14:textId="77777777" w:rsidR="00F4433C" w:rsidRPr="005A79E5" w:rsidRDefault="00F4433C">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DDA70" w14:textId="77777777" w:rsidR="00F4433C" w:rsidRDefault="00F4433C"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0E96" w14:textId="77777777" w:rsidR="00F4433C" w:rsidRDefault="00F443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F4433C" w14:paraId="41B9FD17" w14:textId="77777777" w:rsidTr="00571223">
      <w:tc>
        <w:tcPr>
          <w:tcW w:w="1146" w:type="dxa"/>
          <w:vAlign w:val="center"/>
        </w:tcPr>
        <w:p w14:paraId="392E5685" w14:textId="77777777" w:rsidR="00F4433C" w:rsidRPr="00931466" w:rsidRDefault="00F4433C" w:rsidP="00571223">
          <w:pPr>
            <w:pStyle w:val="Footer"/>
            <w:rPr>
              <w:sz w:val="15"/>
              <w:szCs w:val="15"/>
            </w:rPr>
          </w:pPr>
          <w:r w:rsidRPr="00931466">
            <w:rPr>
              <w:rFonts w:eastAsia="Arial Unicode MS"/>
              <w:noProof/>
              <w:sz w:val="15"/>
              <w:szCs w:val="15"/>
              <w:lang w:eastAsia="en-NZ"/>
            </w:rPr>
            <w:drawing>
              <wp:inline distT="0" distB="0" distL="0" distR="0" wp14:anchorId="075272BC" wp14:editId="04F82C53">
                <wp:extent cx="582612" cy="117475"/>
                <wp:effectExtent l="0" t="0" r="8255" b="0"/>
                <wp:docPr id="4" name="Picture 2" descr="Map of Cape Foulwi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Map of Cape Foulwind area"/>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F4433C" w:rsidRPr="00571223" w:rsidRDefault="00F4433C"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4433C" w14:paraId="71F3685B" w14:textId="77777777" w:rsidTr="00D662F8">
      <w:trPr>
        <w:cantSplit/>
      </w:trPr>
      <w:tc>
        <w:tcPr>
          <w:tcW w:w="8080" w:type="dxa"/>
          <w:vAlign w:val="center"/>
        </w:tcPr>
        <w:p w14:paraId="5784B1D8" w14:textId="71C33E7A" w:rsidR="00F4433C" w:rsidRDefault="00F4433C" w:rsidP="00926083">
          <w:pPr>
            <w:pStyle w:val="RectoFooter"/>
          </w:pPr>
          <w:r w:rsidRPr="004E06D0">
            <w:t>GUIDELINES FOR ISSUING PERMISSIONS FOR THE USE OF VERTEBRATE TOXIC AGENTS: REVISED 202</w:t>
          </w:r>
          <w:r>
            <w:t>2</w:t>
          </w:r>
        </w:p>
      </w:tc>
      <w:tc>
        <w:tcPr>
          <w:tcW w:w="709" w:type="dxa"/>
          <w:vAlign w:val="center"/>
        </w:tcPr>
        <w:p w14:paraId="18A7A1B5" w14:textId="77777777" w:rsidR="00F4433C" w:rsidRPr="00931466" w:rsidRDefault="00F4433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F4433C" w:rsidRPr="00581EB8" w:rsidRDefault="00F4433C"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F4433C" w14:paraId="7E34FA6B" w14:textId="77777777" w:rsidTr="00D662F8">
      <w:trPr>
        <w:cantSplit/>
      </w:trPr>
      <w:tc>
        <w:tcPr>
          <w:tcW w:w="675" w:type="dxa"/>
          <w:vAlign w:val="center"/>
        </w:tcPr>
        <w:p w14:paraId="6281C317" w14:textId="77777777" w:rsidR="00F4433C" w:rsidRPr="00931466" w:rsidRDefault="00F4433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0AD1B90B" w:rsidR="00F4433C" w:rsidRDefault="00F4433C" w:rsidP="000D58DD">
          <w:pPr>
            <w:pStyle w:val="RectoFooter"/>
            <w:jc w:val="left"/>
          </w:pPr>
          <w:r w:rsidRPr="004E06D0">
            <w:t>GUIDELINES FOR ISSUING PERMISSIONS FOR THE USE OF VERTEBRATE TOXIC AGENTS: REVISED 202</w:t>
          </w:r>
          <w:r>
            <w:t>2</w:t>
          </w:r>
        </w:p>
      </w:tc>
    </w:tr>
  </w:tbl>
  <w:p w14:paraId="5177CEA2" w14:textId="77777777" w:rsidR="00F4433C" w:rsidRPr="00571223" w:rsidRDefault="00F4433C"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4433C" w14:paraId="47337729" w14:textId="77777777" w:rsidTr="00D662F8">
      <w:trPr>
        <w:cantSplit/>
      </w:trPr>
      <w:tc>
        <w:tcPr>
          <w:tcW w:w="8080" w:type="dxa"/>
          <w:vAlign w:val="center"/>
        </w:tcPr>
        <w:p w14:paraId="1A33CBD1" w14:textId="47AAF891" w:rsidR="00F4433C" w:rsidRDefault="00F4433C" w:rsidP="00931466">
          <w:pPr>
            <w:pStyle w:val="RectoFooter"/>
          </w:pPr>
          <w:r w:rsidRPr="004E06D0">
            <w:t>GUIDELINES FOR ISSUING PERMISSIONS FOR THE USE OF VERTEBRATE TOXIC AGENTS: REVISED 202</w:t>
          </w:r>
          <w:r>
            <w:t>2</w:t>
          </w:r>
        </w:p>
      </w:tc>
      <w:tc>
        <w:tcPr>
          <w:tcW w:w="709" w:type="dxa"/>
          <w:vAlign w:val="center"/>
        </w:tcPr>
        <w:p w14:paraId="501EC334" w14:textId="77777777" w:rsidR="00F4433C" w:rsidRPr="00931466" w:rsidRDefault="00F4433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w:t>
          </w:r>
          <w:r w:rsidRPr="00931466">
            <w:rPr>
              <w:rStyle w:val="PageNumber"/>
            </w:rPr>
            <w:fldChar w:fldCharType="end"/>
          </w:r>
        </w:p>
      </w:tc>
    </w:tr>
  </w:tbl>
  <w:p w14:paraId="1C6F2E7F" w14:textId="77777777" w:rsidR="00F4433C" w:rsidRPr="00581EB8" w:rsidRDefault="00F4433C"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F4433C" w14:paraId="38F15F48" w14:textId="77777777" w:rsidTr="00D662F8">
      <w:trPr>
        <w:cantSplit/>
      </w:trPr>
      <w:tc>
        <w:tcPr>
          <w:tcW w:w="675" w:type="dxa"/>
          <w:vAlign w:val="center"/>
        </w:tcPr>
        <w:p w14:paraId="57D21012" w14:textId="77777777" w:rsidR="00F4433C" w:rsidRPr="00931466" w:rsidRDefault="00F4433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30BF60CD" w14:textId="1CC9DF74" w:rsidR="00F4433C" w:rsidRDefault="00F4433C" w:rsidP="000D58DD">
          <w:pPr>
            <w:pStyle w:val="RectoFooter"/>
            <w:jc w:val="left"/>
          </w:pPr>
          <w:r w:rsidRPr="004E06D0">
            <w:t>GUIDELINES FOR ISSUING PERMISSIONS FOR THE USE OF VERTEBRATE TOXIC AGENTS: REVISED 202</w:t>
          </w:r>
          <w:r>
            <w:t>2</w:t>
          </w:r>
        </w:p>
      </w:tc>
    </w:tr>
  </w:tbl>
  <w:p w14:paraId="1EE11996" w14:textId="77777777" w:rsidR="00F4433C" w:rsidRPr="00571223" w:rsidRDefault="00F4433C"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gridCol w:w="1134"/>
    </w:tblGrid>
    <w:tr w:rsidR="00F4433C" w14:paraId="742D3744" w14:textId="77777777" w:rsidTr="00587C48">
      <w:trPr>
        <w:cantSplit/>
      </w:trPr>
      <w:tc>
        <w:tcPr>
          <w:tcW w:w="7797" w:type="dxa"/>
          <w:vAlign w:val="center"/>
        </w:tcPr>
        <w:p w14:paraId="4F5B8891" w14:textId="14C80487" w:rsidR="00F4433C" w:rsidRDefault="00F4433C" w:rsidP="00931466">
          <w:pPr>
            <w:pStyle w:val="RectoFooter"/>
          </w:pPr>
          <w:r w:rsidRPr="004E06D0">
            <w:t>GUIDELINES FOR ISSUING PERMISSIONS FOR THE USE OF VERTEBRATE TOXIC AGENTS: REVISED 202</w:t>
          </w:r>
          <w:r>
            <w:t>2</w:t>
          </w:r>
        </w:p>
      </w:tc>
      <w:tc>
        <w:tcPr>
          <w:tcW w:w="1134" w:type="dxa"/>
          <w:vAlign w:val="center"/>
        </w:tcPr>
        <w:p w14:paraId="059304D6" w14:textId="77777777" w:rsidR="00F4433C" w:rsidRPr="00931466" w:rsidRDefault="00F4433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w:t>
          </w:r>
          <w:r w:rsidRPr="00931466">
            <w:rPr>
              <w:rStyle w:val="PageNumber"/>
            </w:rPr>
            <w:fldChar w:fldCharType="end"/>
          </w:r>
        </w:p>
      </w:tc>
    </w:tr>
  </w:tbl>
  <w:p w14:paraId="05AE2E62" w14:textId="77777777" w:rsidR="00F4433C" w:rsidRPr="00581EB8" w:rsidRDefault="00F4433C"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5596A" w14:textId="77777777" w:rsidR="00CB212C" w:rsidRPr="00A26E6B" w:rsidRDefault="00CB212C" w:rsidP="00A26E6B"/>
  </w:footnote>
  <w:footnote w:type="continuationSeparator" w:id="0">
    <w:p w14:paraId="442E6DF3" w14:textId="77777777" w:rsidR="00CB212C" w:rsidRDefault="00CB212C">
      <w:r>
        <w:continuationSeparator/>
      </w:r>
    </w:p>
    <w:p w14:paraId="443CCBBC" w14:textId="77777777" w:rsidR="00CB212C" w:rsidRDefault="00CB21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F4433C" w14:paraId="4516ABAD" w14:textId="77777777" w:rsidTr="00F4433C">
      <w:trPr>
        <w:cantSplit/>
      </w:trPr>
      <w:tc>
        <w:tcPr>
          <w:tcW w:w="5210" w:type="dxa"/>
          <w:vAlign w:val="center"/>
        </w:tcPr>
        <w:p w14:paraId="774CF5B8" w14:textId="77777777" w:rsidR="00F4433C" w:rsidRDefault="00F4433C" w:rsidP="00F4433C">
          <w:pPr>
            <w:pStyle w:val="Header"/>
          </w:pPr>
          <w:r>
            <w:rPr>
              <w:noProof/>
              <w:lang w:eastAsia="en-NZ"/>
            </w:rPr>
            <w:drawing>
              <wp:inline distT="0" distB="0" distL="0" distR="0" wp14:anchorId="11C4EA43" wp14:editId="4A5BBAB8">
                <wp:extent cx="2294626" cy="54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5E7B8E80" w14:textId="77777777" w:rsidR="00F4433C" w:rsidRDefault="00F4433C" w:rsidP="00F4433C">
          <w:pPr>
            <w:pStyle w:val="Header"/>
            <w:jc w:val="right"/>
          </w:pPr>
          <w:r>
            <w:rPr>
              <w:noProof/>
            </w:rPr>
            <w:drawing>
              <wp:anchor distT="0" distB="0" distL="114300" distR="114300" simplePos="0" relativeHeight="251659264" behindDoc="0" locked="0" layoutInCell="1" allowOverlap="1" wp14:anchorId="3C170F64" wp14:editId="5BB65468">
                <wp:simplePos x="0" y="0"/>
                <wp:positionH relativeFrom="column">
                  <wp:posOffset>1362710</wp:posOffset>
                </wp:positionH>
                <wp:positionV relativeFrom="paragraph">
                  <wp:posOffset>-1905</wp:posOffset>
                </wp:positionV>
                <wp:extent cx="1519555" cy="718185"/>
                <wp:effectExtent l="0" t="0" r="444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9B5473A" w14:textId="7637A7B9" w:rsidR="00F4433C" w:rsidRDefault="00F44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B5B58" w14:textId="77777777" w:rsidR="00F4433C" w:rsidRDefault="00F4433C"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F34B1" w14:textId="77777777" w:rsidR="00F4433C" w:rsidRDefault="00F4433C"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3EC00" w14:textId="77777777" w:rsidR="00F4433C" w:rsidRDefault="00F4433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B224A" w14:textId="77777777" w:rsidR="00F4433C" w:rsidRDefault="00F4433C" w:rsidP="00533B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7FDD8" w14:textId="77777777" w:rsidR="00F4433C" w:rsidRPr="00627D29" w:rsidRDefault="00F4433C" w:rsidP="00E37218">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1F729" w14:textId="77777777" w:rsidR="00F4433C" w:rsidRPr="00476FB8" w:rsidRDefault="00F4433C" w:rsidP="00E37218">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946AE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pStyle w:val="ERandDecisionNumberedParagraphChar"/>
      <w:lvlText w:val="*"/>
      <w:lvlJc w:val="left"/>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B0C7AA1"/>
    <w:multiLevelType w:val="hybridMultilevel"/>
    <w:tmpl w:val="90708F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2B264B0"/>
    <w:multiLevelType w:val="hybridMultilevel"/>
    <w:tmpl w:val="CDE685E4"/>
    <w:lvl w:ilvl="0" w:tplc="B44C56EA">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B01274"/>
    <w:multiLevelType w:val="multilevel"/>
    <w:tmpl w:val="98740244"/>
    <w:lvl w:ilvl="0">
      <w:start w:val="1"/>
      <w:numFmt w:val="bullet"/>
      <w:pStyle w:val="EPABulletedList"/>
      <w:lvlText w:val=""/>
      <w:lvlJc w:val="left"/>
      <w:pPr>
        <w:ind w:left="397" w:hanging="397"/>
      </w:pPr>
      <w:rPr>
        <w:rFonts w:ascii="Symbol" w:hAnsi="Symbol" w:hint="default"/>
        <w:spacing w:val="0"/>
        <w:sz w:val="20"/>
        <w:u w:val="none"/>
      </w:rPr>
    </w:lvl>
    <w:lvl w:ilvl="1">
      <w:start w:val="1"/>
      <w:numFmt w:val="bullet"/>
      <w:lvlText w:val=""/>
      <w:lvlJc w:val="left"/>
      <w:pPr>
        <w:ind w:left="5760" w:hanging="360"/>
      </w:pPr>
      <w:rPr>
        <w:rFonts w:ascii="Symbol" w:hAnsi="Symbol" w:hint="default"/>
      </w:rPr>
    </w:lvl>
    <w:lvl w:ilvl="2">
      <w:start w:val="1"/>
      <w:numFmt w:val="bullet"/>
      <w:lvlText w:val=""/>
      <w:lvlJc w:val="left"/>
      <w:pPr>
        <w:ind w:left="6480" w:hanging="360"/>
      </w:pPr>
      <w:rPr>
        <w:rFonts w:ascii="Wingdings" w:hAnsi="Wingdings" w:hint="default"/>
      </w:rPr>
    </w:lvl>
    <w:lvl w:ilvl="3">
      <w:start w:val="1"/>
      <w:numFmt w:val="bullet"/>
      <w:lvlText w:val=""/>
      <w:lvlJc w:val="left"/>
      <w:pPr>
        <w:ind w:left="7200" w:hanging="360"/>
      </w:pPr>
      <w:rPr>
        <w:rFonts w:ascii="Symbol" w:hAnsi="Symbol" w:hint="default"/>
      </w:rPr>
    </w:lvl>
    <w:lvl w:ilvl="4">
      <w:start w:val="1"/>
      <w:numFmt w:val="bullet"/>
      <w:lvlText w:val="o"/>
      <w:lvlJc w:val="left"/>
      <w:pPr>
        <w:ind w:left="7920" w:hanging="360"/>
      </w:pPr>
      <w:rPr>
        <w:rFonts w:ascii="Courier New" w:hAnsi="Courier New" w:cs="Courier New" w:hint="default"/>
      </w:rPr>
    </w:lvl>
    <w:lvl w:ilvl="5">
      <w:start w:val="1"/>
      <w:numFmt w:val="bullet"/>
      <w:lvlText w:val=""/>
      <w:lvlJc w:val="left"/>
      <w:pPr>
        <w:ind w:left="8640" w:hanging="360"/>
      </w:pPr>
      <w:rPr>
        <w:rFonts w:ascii="Wingdings" w:hAnsi="Wingdings" w:hint="default"/>
      </w:rPr>
    </w:lvl>
    <w:lvl w:ilvl="6">
      <w:start w:val="1"/>
      <w:numFmt w:val="bullet"/>
      <w:lvlText w:val=""/>
      <w:lvlJc w:val="left"/>
      <w:pPr>
        <w:ind w:left="9360" w:hanging="360"/>
      </w:pPr>
      <w:rPr>
        <w:rFonts w:ascii="Symbol" w:hAnsi="Symbol" w:hint="default"/>
      </w:rPr>
    </w:lvl>
    <w:lvl w:ilvl="7">
      <w:start w:val="1"/>
      <w:numFmt w:val="bullet"/>
      <w:lvlText w:val="o"/>
      <w:lvlJc w:val="left"/>
      <w:pPr>
        <w:ind w:left="10080" w:hanging="360"/>
      </w:pPr>
      <w:rPr>
        <w:rFonts w:ascii="Courier New" w:hAnsi="Courier New" w:cs="Courier New" w:hint="default"/>
      </w:rPr>
    </w:lvl>
    <w:lvl w:ilvl="8">
      <w:start w:val="1"/>
      <w:numFmt w:val="bullet"/>
      <w:lvlText w:val=""/>
      <w:lvlJc w:val="left"/>
      <w:pPr>
        <w:ind w:left="10800" w:hanging="360"/>
      </w:pPr>
      <w:rPr>
        <w:rFonts w:ascii="Wingdings" w:hAnsi="Wingdings" w:hint="default"/>
      </w:rPr>
    </w:lvl>
  </w:abstractNum>
  <w:abstractNum w:abstractNumId="6" w15:restartNumberingAfterBreak="0">
    <w:nsid w:val="184E1669"/>
    <w:multiLevelType w:val="hybridMultilevel"/>
    <w:tmpl w:val="F7DA2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774D7F"/>
    <w:multiLevelType w:val="hybridMultilevel"/>
    <w:tmpl w:val="6F988EB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7DE7124"/>
    <w:multiLevelType w:val="hybridMultilevel"/>
    <w:tmpl w:val="5FF46C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293706"/>
    <w:multiLevelType w:val="hybridMultilevel"/>
    <w:tmpl w:val="338E2D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488F50D4"/>
    <w:multiLevelType w:val="hybridMultilevel"/>
    <w:tmpl w:val="3C222D78"/>
    <w:lvl w:ilvl="0" w:tplc="4DAE7790">
      <w:numFmt w:val="bullet"/>
      <w:lvlText w:val="-"/>
      <w:lvlJc w:val="left"/>
      <w:pPr>
        <w:ind w:left="360" w:hanging="360"/>
      </w:pPr>
      <w:rPr>
        <w:rFonts w:ascii="Segoe UI" w:eastAsia="Times New Roman" w:hAnsi="Segoe UI" w:cs="Segoe U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AF018C6"/>
    <w:multiLevelType w:val="hybridMultilevel"/>
    <w:tmpl w:val="44E434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E7B196A"/>
    <w:multiLevelType w:val="hybridMultilevel"/>
    <w:tmpl w:val="4F82A6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4F1113C5"/>
    <w:multiLevelType w:val="hybridMultilevel"/>
    <w:tmpl w:val="60BA13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5DDF1132"/>
    <w:multiLevelType w:val="hybridMultilevel"/>
    <w:tmpl w:val="BF3046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19" w15:restartNumberingAfterBreak="0">
    <w:nsid w:val="6A503EDC"/>
    <w:multiLevelType w:val="multilevel"/>
    <w:tmpl w:val="85186D2A"/>
    <w:lvl w:ilvl="0">
      <w:start w:val="1"/>
      <w:numFmt w:val="decimal"/>
      <w:pStyle w:val="ERandDecisionNumberedHeading"/>
      <w:lvlText w:val="%1"/>
      <w:lvlJc w:val="left"/>
      <w:pPr>
        <w:tabs>
          <w:tab w:val="num" w:pos="425"/>
        </w:tabs>
        <w:ind w:left="425" w:hanging="425"/>
      </w:pPr>
      <w:rPr>
        <w:rFonts w:ascii="Times New Roman" w:hAnsi="Times New Roman" w:cs="Times New Roman" w:hint="default"/>
        <w:b/>
        <w:i w:val="0"/>
        <w:sz w:val="36"/>
        <w:szCs w:val="36"/>
      </w:rPr>
    </w:lvl>
    <w:lvl w:ilvl="1">
      <w:start w:val="1"/>
      <w:numFmt w:val="decimal"/>
      <w:pStyle w:val="Level2Paragraphs"/>
      <w:lvlText w:val="%1.%2"/>
      <w:lvlJc w:val="left"/>
      <w:pPr>
        <w:tabs>
          <w:tab w:val="num" w:pos="1276"/>
        </w:tabs>
        <w:ind w:left="1276" w:hanging="851"/>
      </w:pPr>
      <w:rPr>
        <w:rFonts w:ascii="Garamond" w:hAnsi="Garamond" w:hint="default"/>
        <w:b w:val="0"/>
        <w:i w:val="0"/>
        <w:sz w:val="24"/>
        <w:szCs w:val="24"/>
      </w:rPr>
    </w:lvl>
    <w:lvl w:ilvl="2">
      <w:start w:val="1"/>
      <w:numFmt w:val="decimal"/>
      <w:lvlText w:val="%1.%2.%3"/>
      <w:lvlJc w:val="left"/>
      <w:pPr>
        <w:tabs>
          <w:tab w:val="num" w:pos="2126"/>
        </w:tabs>
        <w:ind w:left="2126" w:hanging="85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15:restartNumberingAfterBreak="0">
    <w:nsid w:val="6C9554CB"/>
    <w:multiLevelType w:val="multilevel"/>
    <w:tmpl w:val="7108E19E"/>
    <w:lvl w:ilvl="0">
      <w:start w:val="1"/>
      <w:numFmt w:val="lowerLett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07E6127"/>
    <w:multiLevelType w:val="hybridMultilevel"/>
    <w:tmpl w:val="E488B5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72561986"/>
    <w:multiLevelType w:val="hybridMultilevel"/>
    <w:tmpl w:val="A782CC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7525CE9"/>
    <w:multiLevelType w:val="hybridMultilevel"/>
    <w:tmpl w:val="28D25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9D640A"/>
    <w:multiLevelType w:val="hybridMultilevel"/>
    <w:tmpl w:val="1D9C57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A974B3E"/>
    <w:multiLevelType w:val="hybridMultilevel"/>
    <w:tmpl w:val="A36009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6"/>
  </w:num>
  <w:num w:numId="2">
    <w:abstractNumId w:val="18"/>
  </w:num>
  <w:num w:numId="3">
    <w:abstractNumId w:val="10"/>
  </w:num>
  <w:num w:numId="4">
    <w:abstractNumId w:val="11"/>
  </w:num>
  <w:num w:numId="5">
    <w:abstractNumId w:val="2"/>
  </w:num>
  <w:num w:numId="6">
    <w:abstractNumId w:val="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
    <w:lvlOverride w:ilvl="0">
      <w:lvl w:ilvl="0">
        <w:start w:val="1"/>
        <w:numFmt w:val="bullet"/>
        <w:pStyle w:val="ERandDecisionNumberedParagraphChar"/>
        <w:lvlText w:val="–"/>
        <w:legacy w:legacy="1" w:legacySpace="0" w:legacyIndent="567"/>
        <w:lvlJc w:val="left"/>
        <w:pPr>
          <w:ind w:left="1134" w:hanging="567"/>
        </w:pPr>
        <w:rPr>
          <w:rFonts w:ascii="Times New Roman" w:hAnsi="Times New Roman" w:hint="default"/>
          <w:sz w:val="20"/>
        </w:rPr>
      </w:lvl>
    </w:lvlOverride>
  </w:num>
  <w:num w:numId="10">
    <w:abstractNumId w:val="5"/>
  </w:num>
  <w:num w:numId="11">
    <w:abstractNumId w:val="0"/>
  </w:num>
  <w:num w:numId="12">
    <w:abstractNumId w:val="23"/>
  </w:num>
  <w:num w:numId="13">
    <w:abstractNumId w:val="12"/>
  </w:num>
  <w:num w:numId="14">
    <w:abstractNumId w:val="14"/>
  </w:num>
  <w:num w:numId="15">
    <w:abstractNumId w:val="21"/>
  </w:num>
  <w:num w:numId="16">
    <w:abstractNumId w:val="15"/>
  </w:num>
  <w:num w:numId="17">
    <w:abstractNumId w:val="16"/>
  </w:num>
  <w:num w:numId="18">
    <w:abstractNumId w:val="3"/>
  </w:num>
  <w:num w:numId="19">
    <w:abstractNumId w:val="22"/>
  </w:num>
  <w:num w:numId="20">
    <w:abstractNumId w:val="17"/>
  </w:num>
  <w:num w:numId="21">
    <w:abstractNumId w:val="6"/>
  </w:num>
  <w:num w:numId="22">
    <w:abstractNumId w:val="13"/>
  </w:num>
  <w:num w:numId="23">
    <w:abstractNumId w:val="25"/>
  </w:num>
  <w:num w:numId="24">
    <w:abstractNumId w:val="9"/>
  </w:num>
  <w:num w:numId="25">
    <w:abstractNumId w:val="24"/>
  </w:num>
  <w:num w:numId="26">
    <w:abstractNumId w:val="7"/>
  </w:num>
  <w:num w:numId="27">
    <w:abstractNumId w:val="4"/>
  </w:num>
  <w:num w:numId="2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1BBF"/>
    <w:rsid w:val="00001CDC"/>
    <w:rsid w:val="000025B8"/>
    <w:rsid w:val="00002833"/>
    <w:rsid w:val="00005A48"/>
    <w:rsid w:val="00005BB5"/>
    <w:rsid w:val="00010E4A"/>
    <w:rsid w:val="00014D0E"/>
    <w:rsid w:val="00017775"/>
    <w:rsid w:val="000216A4"/>
    <w:rsid w:val="00025A6F"/>
    <w:rsid w:val="0002618D"/>
    <w:rsid w:val="00027E4A"/>
    <w:rsid w:val="00030B26"/>
    <w:rsid w:val="00030E84"/>
    <w:rsid w:val="00032C0A"/>
    <w:rsid w:val="000330BE"/>
    <w:rsid w:val="00035257"/>
    <w:rsid w:val="00035D68"/>
    <w:rsid w:val="00037F72"/>
    <w:rsid w:val="00043C7F"/>
    <w:rsid w:val="00054787"/>
    <w:rsid w:val="00054B44"/>
    <w:rsid w:val="000614FD"/>
    <w:rsid w:val="0006228D"/>
    <w:rsid w:val="00066159"/>
    <w:rsid w:val="00067751"/>
    <w:rsid w:val="00072BD6"/>
    <w:rsid w:val="00073CD6"/>
    <w:rsid w:val="00075B78"/>
    <w:rsid w:val="00076293"/>
    <w:rsid w:val="000763E9"/>
    <w:rsid w:val="00076A9F"/>
    <w:rsid w:val="000772A0"/>
    <w:rsid w:val="00082CD6"/>
    <w:rsid w:val="0008437D"/>
    <w:rsid w:val="00085ACA"/>
    <w:rsid w:val="00085AFE"/>
    <w:rsid w:val="00085D56"/>
    <w:rsid w:val="00087832"/>
    <w:rsid w:val="00094800"/>
    <w:rsid w:val="000A0371"/>
    <w:rsid w:val="000A41ED"/>
    <w:rsid w:val="000A4AEC"/>
    <w:rsid w:val="000B0730"/>
    <w:rsid w:val="000B35CC"/>
    <w:rsid w:val="000B3723"/>
    <w:rsid w:val="000B5BCE"/>
    <w:rsid w:val="000B677A"/>
    <w:rsid w:val="000B74DF"/>
    <w:rsid w:val="000C0740"/>
    <w:rsid w:val="000C0F96"/>
    <w:rsid w:val="000C18E0"/>
    <w:rsid w:val="000C330C"/>
    <w:rsid w:val="000C38F3"/>
    <w:rsid w:val="000D1636"/>
    <w:rsid w:val="000D19F4"/>
    <w:rsid w:val="000D2CB3"/>
    <w:rsid w:val="000D58DD"/>
    <w:rsid w:val="000D7464"/>
    <w:rsid w:val="000E039F"/>
    <w:rsid w:val="000E4334"/>
    <w:rsid w:val="000E564F"/>
    <w:rsid w:val="000F2942"/>
    <w:rsid w:val="000F2AE2"/>
    <w:rsid w:val="000F2BFF"/>
    <w:rsid w:val="000F6F2A"/>
    <w:rsid w:val="00101E18"/>
    <w:rsid w:val="00102063"/>
    <w:rsid w:val="0010541C"/>
    <w:rsid w:val="0010544A"/>
    <w:rsid w:val="001066D8"/>
    <w:rsid w:val="00106F93"/>
    <w:rsid w:val="00111D50"/>
    <w:rsid w:val="00113B8E"/>
    <w:rsid w:val="00114D08"/>
    <w:rsid w:val="0012053C"/>
    <w:rsid w:val="00122363"/>
    <w:rsid w:val="00123F3F"/>
    <w:rsid w:val="00125532"/>
    <w:rsid w:val="00131D40"/>
    <w:rsid w:val="00133CCD"/>
    <w:rsid w:val="001342C7"/>
    <w:rsid w:val="0013585C"/>
    <w:rsid w:val="001358C0"/>
    <w:rsid w:val="00142261"/>
    <w:rsid w:val="00142954"/>
    <w:rsid w:val="00145814"/>
    <w:rsid w:val="001460BC"/>
    <w:rsid w:val="001460E0"/>
    <w:rsid w:val="001472F0"/>
    <w:rsid w:val="00147F71"/>
    <w:rsid w:val="0015072D"/>
    <w:rsid w:val="00150A6E"/>
    <w:rsid w:val="00153568"/>
    <w:rsid w:val="00157037"/>
    <w:rsid w:val="00160C43"/>
    <w:rsid w:val="00160F7F"/>
    <w:rsid w:val="0016304B"/>
    <w:rsid w:val="0016468A"/>
    <w:rsid w:val="001673DA"/>
    <w:rsid w:val="001844CD"/>
    <w:rsid w:val="00185D9B"/>
    <w:rsid w:val="0018662D"/>
    <w:rsid w:val="00186673"/>
    <w:rsid w:val="001877A3"/>
    <w:rsid w:val="00197353"/>
    <w:rsid w:val="00197427"/>
    <w:rsid w:val="001A0A14"/>
    <w:rsid w:val="001A1FE3"/>
    <w:rsid w:val="001A21B4"/>
    <w:rsid w:val="001A5CF5"/>
    <w:rsid w:val="001A7659"/>
    <w:rsid w:val="001B39D2"/>
    <w:rsid w:val="001B4BF8"/>
    <w:rsid w:val="001C17E3"/>
    <w:rsid w:val="001C4326"/>
    <w:rsid w:val="001C665E"/>
    <w:rsid w:val="001C66E8"/>
    <w:rsid w:val="001C72E0"/>
    <w:rsid w:val="001D19E5"/>
    <w:rsid w:val="001D3541"/>
    <w:rsid w:val="001D3E4E"/>
    <w:rsid w:val="001D4568"/>
    <w:rsid w:val="001D735F"/>
    <w:rsid w:val="001E05EB"/>
    <w:rsid w:val="001E254A"/>
    <w:rsid w:val="001E7386"/>
    <w:rsid w:val="001F45A7"/>
    <w:rsid w:val="001F6003"/>
    <w:rsid w:val="00201A01"/>
    <w:rsid w:val="0020573A"/>
    <w:rsid w:val="0020754B"/>
    <w:rsid w:val="002104D3"/>
    <w:rsid w:val="0021196C"/>
    <w:rsid w:val="00211DB2"/>
    <w:rsid w:val="00213A33"/>
    <w:rsid w:val="00213A5B"/>
    <w:rsid w:val="00213DF4"/>
    <w:rsid w:val="00214946"/>
    <w:rsid w:val="00216D58"/>
    <w:rsid w:val="0021763B"/>
    <w:rsid w:val="00224E1E"/>
    <w:rsid w:val="00227E48"/>
    <w:rsid w:val="00235603"/>
    <w:rsid w:val="002366AD"/>
    <w:rsid w:val="00240A92"/>
    <w:rsid w:val="00240FF3"/>
    <w:rsid w:val="00242593"/>
    <w:rsid w:val="00244CB3"/>
    <w:rsid w:val="00244D07"/>
    <w:rsid w:val="00245D93"/>
    <w:rsid w:val="00246DB1"/>
    <w:rsid w:val="002476B5"/>
    <w:rsid w:val="00247A22"/>
    <w:rsid w:val="002520CC"/>
    <w:rsid w:val="00253ECF"/>
    <w:rsid w:val="002546A1"/>
    <w:rsid w:val="0026003E"/>
    <w:rsid w:val="002628F4"/>
    <w:rsid w:val="00264FD0"/>
    <w:rsid w:val="0026761A"/>
    <w:rsid w:val="002717F0"/>
    <w:rsid w:val="002747DA"/>
    <w:rsid w:val="00275D08"/>
    <w:rsid w:val="002858E3"/>
    <w:rsid w:val="00286A2A"/>
    <w:rsid w:val="0029190A"/>
    <w:rsid w:val="00292C5A"/>
    <w:rsid w:val="00294046"/>
    <w:rsid w:val="00294F58"/>
    <w:rsid w:val="00295241"/>
    <w:rsid w:val="00295A2B"/>
    <w:rsid w:val="002961FE"/>
    <w:rsid w:val="00296486"/>
    <w:rsid w:val="002A4DFC"/>
    <w:rsid w:val="002A700E"/>
    <w:rsid w:val="002B047D"/>
    <w:rsid w:val="002B693C"/>
    <w:rsid w:val="002B732B"/>
    <w:rsid w:val="002B76A7"/>
    <w:rsid w:val="002B797C"/>
    <w:rsid w:val="002C18B9"/>
    <w:rsid w:val="002C2219"/>
    <w:rsid w:val="002C2552"/>
    <w:rsid w:val="002C380A"/>
    <w:rsid w:val="002D0DF2"/>
    <w:rsid w:val="002D23BD"/>
    <w:rsid w:val="002E0294"/>
    <w:rsid w:val="002E0B47"/>
    <w:rsid w:val="002E12FB"/>
    <w:rsid w:val="002E4A45"/>
    <w:rsid w:val="002F40BC"/>
    <w:rsid w:val="002F4685"/>
    <w:rsid w:val="002F7213"/>
    <w:rsid w:val="0030382F"/>
    <w:rsid w:val="0030408D"/>
    <w:rsid w:val="003060E4"/>
    <w:rsid w:val="003064F5"/>
    <w:rsid w:val="00310494"/>
    <w:rsid w:val="003160E7"/>
    <w:rsid w:val="0031739E"/>
    <w:rsid w:val="003309CA"/>
    <w:rsid w:val="003325AB"/>
    <w:rsid w:val="003332D1"/>
    <w:rsid w:val="003338E5"/>
    <w:rsid w:val="0033412B"/>
    <w:rsid w:val="0033432C"/>
    <w:rsid w:val="00334C09"/>
    <w:rsid w:val="00341161"/>
    <w:rsid w:val="00343365"/>
    <w:rsid w:val="003445F4"/>
    <w:rsid w:val="00346BE6"/>
    <w:rsid w:val="00353501"/>
    <w:rsid w:val="00353734"/>
    <w:rsid w:val="00357E36"/>
    <w:rsid w:val="003606F8"/>
    <w:rsid w:val="00360C2B"/>
    <w:rsid w:val="00362593"/>
    <w:rsid w:val="003648EF"/>
    <w:rsid w:val="00364F1B"/>
    <w:rsid w:val="003673E6"/>
    <w:rsid w:val="00375656"/>
    <w:rsid w:val="00376346"/>
    <w:rsid w:val="00377264"/>
    <w:rsid w:val="003779D2"/>
    <w:rsid w:val="00381129"/>
    <w:rsid w:val="00381989"/>
    <w:rsid w:val="00383F86"/>
    <w:rsid w:val="00385E38"/>
    <w:rsid w:val="003A26A5"/>
    <w:rsid w:val="003A3761"/>
    <w:rsid w:val="003A39BC"/>
    <w:rsid w:val="003A4E63"/>
    <w:rsid w:val="003A512D"/>
    <w:rsid w:val="003A5FEA"/>
    <w:rsid w:val="003B0B82"/>
    <w:rsid w:val="003B1380"/>
    <w:rsid w:val="003B1D10"/>
    <w:rsid w:val="003B294C"/>
    <w:rsid w:val="003B7150"/>
    <w:rsid w:val="003C1ACF"/>
    <w:rsid w:val="003C76D4"/>
    <w:rsid w:val="003D0335"/>
    <w:rsid w:val="003D0468"/>
    <w:rsid w:val="003D137D"/>
    <w:rsid w:val="003D2CC5"/>
    <w:rsid w:val="003D2E58"/>
    <w:rsid w:val="003D65CF"/>
    <w:rsid w:val="003D7A0B"/>
    <w:rsid w:val="003E04C1"/>
    <w:rsid w:val="003E0887"/>
    <w:rsid w:val="003E6671"/>
    <w:rsid w:val="003E74C8"/>
    <w:rsid w:val="003E767A"/>
    <w:rsid w:val="003E7C46"/>
    <w:rsid w:val="003F2106"/>
    <w:rsid w:val="003F480E"/>
    <w:rsid w:val="003F52A7"/>
    <w:rsid w:val="003F7013"/>
    <w:rsid w:val="0040240C"/>
    <w:rsid w:val="00413021"/>
    <w:rsid w:val="0041797B"/>
    <w:rsid w:val="0042659F"/>
    <w:rsid w:val="004301C6"/>
    <w:rsid w:val="00430440"/>
    <w:rsid w:val="00431440"/>
    <w:rsid w:val="0043478F"/>
    <w:rsid w:val="0043501D"/>
    <w:rsid w:val="00435E92"/>
    <w:rsid w:val="0043602B"/>
    <w:rsid w:val="00440BE0"/>
    <w:rsid w:val="00442B5C"/>
    <w:rsid w:val="00442C1C"/>
    <w:rsid w:val="0044584B"/>
    <w:rsid w:val="00445D9D"/>
    <w:rsid w:val="00447CB7"/>
    <w:rsid w:val="00452D33"/>
    <w:rsid w:val="00454297"/>
    <w:rsid w:val="00455CC9"/>
    <w:rsid w:val="00455FDF"/>
    <w:rsid w:val="00460826"/>
    <w:rsid w:val="00460EA7"/>
    <w:rsid w:val="0046195B"/>
    <w:rsid w:val="0046362D"/>
    <w:rsid w:val="004637D7"/>
    <w:rsid w:val="0046596D"/>
    <w:rsid w:val="00466E6A"/>
    <w:rsid w:val="00473A8D"/>
    <w:rsid w:val="00474BFD"/>
    <w:rsid w:val="0047514E"/>
    <w:rsid w:val="004835FE"/>
    <w:rsid w:val="00486C49"/>
    <w:rsid w:val="00487C04"/>
    <w:rsid w:val="004907E1"/>
    <w:rsid w:val="00493F38"/>
    <w:rsid w:val="0049562A"/>
    <w:rsid w:val="004A035B"/>
    <w:rsid w:val="004A2108"/>
    <w:rsid w:val="004A38D7"/>
    <w:rsid w:val="004A778C"/>
    <w:rsid w:val="004B0155"/>
    <w:rsid w:val="004B186D"/>
    <w:rsid w:val="004B314D"/>
    <w:rsid w:val="004B48C7"/>
    <w:rsid w:val="004B741B"/>
    <w:rsid w:val="004B7A3D"/>
    <w:rsid w:val="004C07AA"/>
    <w:rsid w:val="004C2E6A"/>
    <w:rsid w:val="004C64B8"/>
    <w:rsid w:val="004D2A2D"/>
    <w:rsid w:val="004D2B00"/>
    <w:rsid w:val="004D479F"/>
    <w:rsid w:val="004D6689"/>
    <w:rsid w:val="004D6D45"/>
    <w:rsid w:val="004E031B"/>
    <w:rsid w:val="004E06D0"/>
    <w:rsid w:val="004E1D1D"/>
    <w:rsid w:val="004E3308"/>
    <w:rsid w:val="004E4188"/>
    <w:rsid w:val="004E4360"/>
    <w:rsid w:val="004E4C64"/>
    <w:rsid w:val="004E7AC8"/>
    <w:rsid w:val="004F0191"/>
    <w:rsid w:val="004F0C94"/>
    <w:rsid w:val="004F1AD7"/>
    <w:rsid w:val="004F2FAE"/>
    <w:rsid w:val="004F53CC"/>
    <w:rsid w:val="004F5D66"/>
    <w:rsid w:val="005017D8"/>
    <w:rsid w:val="00501832"/>
    <w:rsid w:val="005019AE"/>
    <w:rsid w:val="00503749"/>
    <w:rsid w:val="00504CF4"/>
    <w:rsid w:val="0050635B"/>
    <w:rsid w:val="00512297"/>
    <w:rsid w:val="005151C2"/>
    <w:rsid w:val="00515C3D"/>
    <w:rsid w:val="00516ED5"/>
    <w:rsid w:val="00525BB1"/>
    <w:rsid w:val="0053199F"/>
    <w:rsid w:val="00531E12"/>
    <w:rsid w:val="00533B90"/>
    <w:rsid w:val="00537023"/>
    <w:rsid w:val="005410F8"/>
    <w:rsid w:val="005441FD"/>
    <w:rsid w:val="005448EC"/>
    <w:rsid w:val="00545963"/>
    <w:rsid w:val="00546644"/>
    <w:rsid w:val="00550256"/>
    <w:rsid w:val="005506AD"/>
    <w:rsid w:val="00553165"/>
    <w:rsid w:val="00553958"/>
    <w:rsid w:val="00554100"/>
    <w:rsid w:val="00555A03"/>
    <w:rsid w:val="00556BB7"/>
    <w:rsid w:val="0055763D"/>
    <w:rsid w:val="00561516"/>
    <w:rsid w:val="00561521"/>
    <w:rsid w:val="005621F2"/>
    <w:rsid w:val="005625FA"/>
    <w:rsid w:val="00562BD3"/>
    <w:rsid w:val="00564DE0"/>
    <w:rsid w:val="00567231"/>
    <w:rsid w:val="00567B58"/>
    <w:rsid w:val="00571223"/>
    <w:rsid w:val="005723D1"/>
    <w:rsid w:val="005763E0"/>
    <w:rsid w:val="00581136"/>
    <w:rsid w:val="00581EB8"/>
    <w:rsid w:val="0058430C"/>
    <w:rsid w:val="0058618E"/>
    <w:rsid w:val="00587C48"/>
    <w:rsid w:val="0059028B"/>
    <w:rsid w:val="0059357A"/>
    <w:rsid w:val="00594FA4"/>
    <w:rsid w:val="005A27CA"/>
    <w:rsid w:val="005A43BD"/>
    <w:rsid w:val="005A68CC"/>
    <w:rsid w:val="005A6E94"/>
    <w:rsid w:val="005A79E5"/>
    <w:rsid w:val="005B4072"/>
    <w:rsid w:val="005C75F6"/>
    <w:rsid w:val="005C7B9C"/>
    <w:rsid w:val="005D034C"/>
    <w:rsid w:val="005D5D3D"/>
    <w:rsid w:val="005D716F"/>
    <w:rsid w:val="005E0936"/>
    <w:rsid w:val="005E226E"/>
    <w:rsid w:val="005E25A9"/>
    <w:rsid w:val="005E2636"/>
    <w:rsid w:val="005E7348"/>
    <w:rsid w:val="005E7594"/>
    <w:rsid w:val="005F1FCC"/>
    <w:rsid w:val="005F6AD9"/>
    <w:rsid w:val="005F77FC"/>
    <w:rsid w:val="006015D7"/>
    <w:rsid w:val="00601964"/>
    <w:rsid w:val="00601B21"/>
    <w:rsid w:val="006032BE"/>
    <w:rsid w:val="00603819"/>
    <w:rsid w:val="006041F0"/>
    <w:rsid w:val="00605C6D"/>
    <w:rsid w:val="0060623B"/>
    <w:rsid w:val="00610482"/>
    <w:rsid w:val="006120CA"/>
    <w:rsid w:val="006138A1"/>
    <w:rsid w:val="00624174"/>
    <w:rsid w:val="00626CF8"/>
    <w:rsid w:val="006314AF"/>
    <w:rsid w:val="00631D90"/>
    <w:rsid w:val="00633F3B"/>
    <w:rsid w:val="00633FC5"/>
    <w:rsid w:val="00634ED8"/>
    <w:rsid w:val="00636D7D"/>
    <w:rsid w:val="00637408"/>
    <w:rsid w:val="006409D8"/>
    <w:rsid w:val="00640EBC"/>
    <w:rsid w:val="00642868"/>
    <w:rsid w:val="00646A2B"/>
    <w:rsid w:val="00647AFE"/>
    <w:rsid w:val="006512BC"/>
    <w:rsid w:val="00653A5A"/>
    <w:rsid w:val="00654B9A"/>
    <w:rsid w:val="006554AC"/>
    <w:rsid w:val="006575F4"/>
    <w:rsid w:val="006579E6"/>
    <w:rsid w:val="00660682"/>
    <w:rsid w:val="00660F74"/>
    <w:rsid w:val="00663EDC"/>
    <w:rsid w:val="00667351"/>
    <w:rsid w:val="00671078"/>
    <w:rsid w:val="00674BF6"/>
    <w:rsid w:val="006758CA"/>
    <w:rsid w:val="00680A04"/>
    <w:rsid w:val="00682CE3"/>
    <w:rsid w:val="00684BC8"/>
    <w:rsid w:val="00686D80"/>
    <w:rsid w:val="00686F45"/>
    <w:rsid w:val="00690C3E"/>
    <w:rsid w:val="006923A1"/>
    <w:rsid w:val="006933FF"/>
    <w:rsid w:val="00693BB9"/>
    <w:rsid w:val="00694895"/>
    <w:rsid w:val="00694D29"/>
    <w:rsid w:val="00697BDD"/>
    <w:rsid w:val="00697E2E"/>
    <w:rsid w:val="006A25A2"/>
    <w:rsid w:val="006A3B87"/>
    <w:rsid w:val="006A558F"/>
    <w:rsid w:val="006B0E73"/>
    <w:rsid w:val="006B1E3D"/>
    <w:rsid w:val="006B35A6"/>
    <w:rsid w:val="006B4A4D"/>
    <w:rsid w:val="006B5695"/>
    <w:rsid w:val="006B7B2E"/>
    <w:rsid w:val="006C27F8"/>
    <w:rsid w:val="006C78EB"/>
    <w:rsid w:val="006C7F43"/>
    <w:rsid w:val="006D1660"/>
    <w:rsid w:val="006D37CF"/>
    <w:rsid w:val="006D3E19"/>
    <w:rsid w:val="006D52F4"/>
    <w:rsid w:val="006D63E5"/>
    <w:rsid w:val="006E1753"/>
    <w:rsid w:val="006E2A03"/>
    <w:rsid w:val="006E3911"/>
    <w:rsid w:val="006E3E4F"/>
    <w:rsid w:val="006F12D2"/>
    <w:rsid w:val="006F1B67"/>
    <w:rsid w:val="006F4D9C"/>
    <w:rsid w:val="006F6699"/>
    <w:rsid w:val="006F79D1"/>
    <w:rsid w:val="0070091D"/>
    <w:rsid w:val="00702854"/>
    <w:rsid w:val="00706F59"/>
    <w:rsid w:val="0071410D"/>
    <w:rsid w:val="0071741C"/>
    <w:rsid w:val="00717EAD"/>
    <w:rsid w:val="00733913"/>
    <w:rsid w:val="00742B90"/>
    <w:rsid w:val="007432C2"/>
    <w:rsid w:val="0074434D"/>
    <w:rsid w:val="00745B1B"/>
    <w:rsid w:val="007503A5"/>
    <w:rsid w:val="007570C4"/>
    <w:rsid w:val="007605B8"/>
    <w:rsid w:val="00766EAA"/>
    <w:rsid w:val="00771B1E"/>
    <w:rsid w:val="00773C95"/>
    <w:rsid w:val="0077496B"/>
    <w:rsid w:val="00780F89"/>
    <w:rsid w:val="0078171E"/>
    <w:rsid w:val="0078658E"/>
    <w:rsid w:val="007920E2"/>
    <w:rsid w:val="00794FFF"/>
    <w:rsid w:val="0079566E"/>
    <w:rsid w:val="00795B34"/>
    <w:rsid w:val="007A067F"/>
    <w:rsid w:val="007B1770"/>
    <w:rsid w:val="007B4D3E"/>
    <w:rsid w:val="007B67CB"/>
    <w:rsid w:val="007B7C70"/>
    <w:rsid w:val="007B7DEB"/>
    <w:rsid w:val="007C0449"/>
    <w:rsid w:val="007C18AF"/>
    <w:rsid w:val="007C1BD3"/>
    <w:rsid w:val="007C41F4"/>
    <w:rsid w:val="007C6417"/>
    <w:rsid w:val="007D1E81"/>
    <w:rsid w:val="007D2151"/>
    <w:rsid w:val="007D3614"/>
    <w:rsid w:val="007D3B90"/>
    <w:rsid w:val="007D4003"/>
    <w:rsid w:val="007D42CC"/>
    <w:rsid w:val="007D57B9"/>
    <w:rsid w:val="007D5DE4"/>
    <w:rsid w:val="007D5FA7"/>
    <w:rsid w:val="007D7C3A"/>
    <w:rsid w:val="007E0777"/>
    <w:rsid w:val="007E1341"/>
    <w:rsid w:val="007E1B41"/>
    <w:rsid w:val="007E1EC4"/>
    <w:rsid w:val="007E30B9"/>
    <w:rsid w:val="007E6DF5"/>
    <w:rsid w:val="007E74F1"/>
    <w:rsid w:val="007F09FE"/>
    <w:rsid w:val="007F0F0C"/>
    <w:rsid w:val="007F1288"/>
    <w:rsid w:val="007F685F"/>
    <w:rsid w:val="007F706E"/>
    <w:rsid w:val="00800430"/>
    <w:rsid w:val="00800A8A"/>
    <w:rsid w:val="0080155C"/>
    <w:rsid w:val="00801D2C"/>
    <w:rsid w:val="008052E1"/>
    <w:rsid w:val="008069CF"/>
    <w:rsid w:val="00816A4C"/>
    <w:rsid w:val="00822F2C"/>
    <w:rsid w:val="00823DEE"/>
    <w:rsid w:val="008305E8"/>
    <w:rsid w:val="0083122A"/>
    <w:rsid w:val="00836165"/>
    <w:rsid w:val="00840844"/>
    <w:rsid w:val="00841CC7"/>
    <w:rsid w:val="008423F5"/>
    <w:rsid w:val="0084640C"/>
    <w:rsid w:val="00852FA7"/>
    <w:rsid w:val="00853882"/>
    <w:rsid w:val="00856088"/>
    <w:rsid w:val="00860826"/>
    <w:rsid w:val="00860E21"/>
    <w:rsid w:val="00863117"/>
    <w:rsid w:val="008637CC"/>
    <w:rsid w:val="0086388B"/>
    <w:rsid w:val="00863A6E"/>
    <w:rsid w:val="008642E5"/>
    <w:rsid w:val="00864488"/>
    <w:rsid w:val="00870A36"/>
    <w:rsid w:val="00872D93"/>
    <w:rsid w:val="0087371F"/>
    <w:rsid w:val="008772DD"/>
    <w:rsid w:val="00880470"/>
    <w:rsid w:val="00880D94"/>
    <w:rsid w:val="00882CA0"/>
    <w:rsid w:val="00886F64"/>
    <w:rsid w:val="008902C8"/>
    <w:rsid w:val="008924DE"/>
    <w:rsid w:val="00893A94"/>
    <w:rsid w:val="00897212"/>
    <w:rsid w:val="008A16AF"/>
    <w:rsid w:val="008A3699"/>
    <w:rsid w:val="008A3755"/>
    <w:rsid w:val="008A5039"/>
    <w:rsid w:val="008B112A"/>
    <w:rsid w:val="008B19DC"/>
    <w:rsid w:val="008B264F"/>
    <w:rsid w:val="008B5478"/>
    <w:rsid w:val="008B6F83"/>
    <w:rsid w:val="008B7FD8"/>
    <w:rsid w:val="008C24EE"/>
    <w:rsid w:val="008C2973"/>
    <w:rsid w:val="008C6324"/>
    <w:rsid w:val="008C64C4"/>
    <w:rsid w:val="008D2CDD"/>
    <w:rsid w:val="008D5614"/>
    <w:rsid w:val="008D74D5"/>
    <w:rsid w:val="008E0C09"/>
    <w:rsid w:val="008E0ED1"/>
    <w:rsid w:val="008E1CE0"/>
    <w:rsid w:val="008E27F0"/>
    <w:rsid w:val="008E3A07"/>
    <w:rsid w:val="008E537B"/>
    <w:rsid w:val="008F0198"/>
    <w:rsid w:val="008F29BE"/>
    <w:rsid w:val="008F4AE5"/>
    <w:rsid w:val="008F51EB"/>
    <w:rsid w:val="008F7394"/>
    <w:rsid w:val="00900197"/>
    <w:rsid w:val="009017B5"/>
    <w:rsid w:val="00902F55"/>
    <w:rsid w:val="00903CC9"/>
    <w:rsid w:val="0090582B"/>
    <w:rsid w:val="009060C0"/>
    <w:rsid w:val="009105F2"/>
    <w:rsid w:val="00912779"/>
    <w:rsid w:val="00912F1A"/>
    <w:rsid w:val="009133F5"/>
    <w:rsid w:val="009154F6"/>
    <w:rsid w:val="0091756F"/>
    <w:rsid w:val="00920A27"/>
    <w:rsid w:val="00921216"/>
    <w:rsid w:val="009216CC"/>
    <w:rsid w:val="00925E13"/>
    <w:rsid w:val="00926083"/>
    <w:rsid w:val="00930D08"/>
    <w:rsid w:val="00931466"/>
    <w:rsid w:val="00932D69"/>
    <w:rsid w:val="0093352E"/>
    <w:rsid w:val="00935589"/>
    <w:rsid w:val="009370A9"/>
    <w:rsid w:val="00944647"/>
    <w:rsid w:val="00945498"/>
    <w:rsid w:val="00950B4C"/>
    <w:rsid w:val="0095152B"/>
    <w:rsid w:val="0095466D"/>
    <w:rsid w:val="00954E74"/>
    <w:rsid w:val="0095565C"/>
    <w:rsid w:val="00964AB6"/>
    <w:rsid w:val="0096628A"/>
    <w:rsid w:val="00966F9A"/>
    <w:rsid w:val="00973DC1"/>
    <w:rsid w:val="0097747F"/>
    <w:rsid w:val="00977B8A"/>
    <w:rsid w:val="00980153"/>
    <w:rsid w:val="009802C3"/>
    <w:rsid w:val="00982971"/>
    <w:rsid w:val="009845AD"/>
    <w:rsid w:val="00984835"/>
    <w:rsid w:val="00984EE7"/>
    <w:rsid w:val="00985DAE"/>
    <w:rsid w:val="009933EF"/>
    <w:rsid w:val="00995BA0"/>
    <w:rsid w:val="00997653"/>
    <w:rsid w:val="009A05B2"/>
    <w:rsid w:val="009A1F31"/>
    <w:rsid w:val="009A418B"/>
    <w:rsid w:val="009A426F"/>
    <w:rsid w:val="009A42D5"/>
    <w:rsid w:val="009A4473"/>
    <w:rsid w:val="009A48B0"/>
    <w:rsid w:val="009A5647"/>
    <w:rsid w:val="009A680F"/>
    <w:rsid w:val="009B05C9"/>
    <w:rsid w:val="009B113C"/>
    <w:rsid w:val="009B286C"/>
    <w:rsid w:val="009B2B35"/>
    <w:rsid w:val="009B3A37"/>
    <w:rsid w:val="009B7584"/>
    <w:rsid w:val="009C0599"/>
    <w:rsid w:val="009C151C"/>
    <w:rsid w:val="009C440A"/>
    <w:rsid w:val="009C519B"/>
    <w:rsid w:val="009C5CF2"/>
    <w:rsid w:val="009D5125"/>
    <w:rsid w:val="009D60B8"/>
    <w:rsid w:val="009D7D4B"/>
    <w:rsid w:val="009E03B1"/>
    <w:rsid w:val="009E31A2"/>
    <w:rsid w:val="009E36ED"/>
    <w:rsid w:val="009E3B1F"/>
    <w:rsid w:val="009E3C8C"/>
    <w:rsid w:val="009E6B77"/>
    <w:rsid w:val="009E7136"/>
    <w:rsid w:val="009E7C79"/>
    <w:rsid w:val="009F22FF"/>
    <w:rsid w:val="009F460A"/>
    <w:rsid w:val="009F63C0"/>
    <w:rsid w:val="009F7445"/>
    <w:rsid w:val="00A008F9"/>
    <w:rsid w:val="00A012F6"/>
    <w:rsid w:val="00A0191F"/>
    <w:rsid w:val="00A04384"/>
    <w:rsid w:val="00A043FB"/>
    <w:rsid w:val="00A06BE4"/>
    <w:rsid w:val="00A0729C"/>
    <w:rsid w:val="00A07779"/>
    <w:rsid w:val="00A1166A"/>
    <w:rsid w:val="00A12D58"/>
    <w:rsid w:val="00A20B2E"/>
    <w:rsid w:val="00A24445"/>
    <w:rsid w:val="00A248BD"/>
    <w:rsid w:val="00A24F33"/>
    <w:rsid w:val="00A25069"/>
    <w:rsid w:val="00A26E6B"/>
    <w:rsid w:val="00A3068F"/>
    <w:rsid w:val="00A3145B"/>
    <w:rsid w:val="00A339D0"/>
    <w:rsid w:val="00A37DBA"/>
    <w:rsid w:val="00A41002"/>
    <w:rsid w:val="00A4201A"/>
    <w:rsid w:val="00A42341"/>
    <w:rsid w:val="00A45053"/>
    <w:rsid w:val="00A454D7"/>
    <w:rsid w:val="00A5203C"/>
    <w:rsid w:val="00A5461D"/>
    <w:rsid w:val="00A5465D"/>
    <w:rsid w:val="00A54AC8"/>
    <w:rsid w:val="00A553CE"/>
    <w:rsid w:val="00A5677A"/>
    <w:rsid w:val="00A56DCC"/>
    <w:rsid w:val="00A625E8"/>
    <w:rsid w:val="00A636E7"/>
    <w:rsid w:val="00A63DFF"/>
    <w:rsid w:val="00A6490D"/>
    <w:rsid w:val="00A651D9"/>
    <w:rsid w:val="00A66566"/>
    <w:rsid w:val="00A73E51"/>
    <w:rsid w:val="00A7415D"/>
    <w:rsid w:val="00A80363"/>
    <w:rsid w:val="00A80939"/>
    <w:rsid w:val="00A815E8"/>
    <w:rsid w:val="00A82002"/>
    <w:rsid w:val="00A83CCF"/>
    <w:rsid w:val="00A83E9D"/>
    <w:rsid w:val="00A87C05"/>
    <w:rsid w:val="00A9169D"/>
    <w:rsid w:val="00A92A29"/>
    <w:rsid w:val="00A95354"/>
    <w:rsid w:val="00A979A4"/>
    <w:rsid w:val="00AA1781"/>
    <w:rsid w:val="00AA193B"/>
    <w:rsid w:val="00AA240C"/>
    <w:rsid w:val="00AA6EE8"/>
    <w:rsid w:val="00AB0559"/>
    <w:rsid w:val="00AB2E98"/>
    <w:rsid w:val="00AB7C09"/>
    <w:rsid w:val="00AC101C"/>
    <w:rsid w:val="00AC1634"/>
    <w:rsid w:val="00AD16E7"/>
    <w:rsid w:val="00AD342E"/>
    <w:rsid w:val="00AD4CF1"/>
    <w:rsid w:val="00AD5988"/>
    <w:rsid w:val="00AD6293"/>
    <w:rsid w:val="00AD6977"/>
    <w:rsid w:val="00AD76EB"/>
    <w:rsid w:val="00AE5640"/>
    <w:rsid w:val="00AE6371"/>
    <w:rsid w:val="00AF0D14"/>
    <w:rsid w:val="00AF329E"/>
    <w:rsid w:val="00AF5227"/>
    <w:rsid w:val="00AF7800"/>
    <w:rsid w:val="00B00CF5"/>
    <w:rsid w:val="00B01F8F"/>
    <w:rsid w:val="00B072E0"/>
    <w:rsid w:val="00B07CC2"/>
    <w:rsid w:val="00B1007E"/>
    <w:rsid w:val="00B253F6"/>
    <w:rsid w:val="00B26675"/>
    <w:rsid w:val="00B305DB"/>
    <w:rsid w:val="00B314EE"/>
    <w:rsid w:val="00B32F95"/>
    <w:rsid w:val="00B332F8"/>
    <w:rsid w:val="00B33EA0"/>
    <w:rsid w:val="00B3492B"/>
    <w:rsid w:val="00B35E8E"/>
    <w:rsid w:val="00B4646F"/>
    <w:rsid w:val="00B5054A"/>
    <w:rsid w:val="00B513FA"/>
    <w:rsid w:val="00B515C6"/>
    <w:rsid w:val="00B55C7D"/>
    <w:rsid w:val="00B6219D"/>
    <w:rsid w:val="00B63038"/>
    <w:rsid w:val="00B64BD8"/>
    <w:rsid w:val="00B701D1"/>
    <w:rsid w:val="00B720F1"/>
    <w:rsid w:val="00B72E75"/>
    <w:rsid w:val="00B73AF2"/>
    <w:rsid w:val="00B74D64"/>
    <w:rsid w:val="00B7551A"/>
    <w:rsid w:val="00B764E2"/>
    <w:rsid w:val="00B773F1"/>
    <w:rsid w:val="00B77847"/>
    <w:rsid w:val="00B858AA"/>
    <w:rsid w:val="00B862E1"/>
    <w:rsid w:val="00B86AB1"/>
    <w:rsid w:val="00B92D4E"/>
    <w:rsid w:val="00B93DCB"/>
    <w:rsid w:val="00B959BF"/>
    <w:rsid w:val="00BA4A67"/>
    <w:rsid w:val="00BA4C37"/>
    <w:rsid w:val="00BA7EBA"/>
    <w:rsid w:val="00BB0E4F"/>
    <w:rsid w:val="00BB2A06"/>
    <w:rsid w:val="00BB2CBB"/>
    <w:rsid w:val="00BB404F"/>
    <w:rsid w:val="00BB4198"/>
    <w:rsid w:val="00BB66C3"/>
    <w:rsid w:val="00BC03EE"/>
    <w:rsid w:val="00BC2629"/>
    <w:rsid w:val="00BC3970"/>
    <w:rsid w:val="00BC59F1"/>
    <w:rsid w:val="00BE4EE3"/>
    <w:rsid w:val="00BF0FA0"/>
    <w:rsid w:val="00BF135F"/>
    <w:rsid w:val="00BF2392"/>
    <w:rsid w:val="00BF390A"/>
    <w:rsid w:val="00BF3DE1"/>
    <w:rsid w:val="00BF4843"/>
    <w:rsid w:val="00BF5205"/>
    <w:rsid w:val="00C05132"/>
    <w:rsid w:val="00C07E8C"/>
    <w:rsid w:val="00C12508"/>
    <w:rsid w:val="00C23728"/>
    <w:rsid w:val="00C3026C"/>
    <w:rsid w:val="00C313A9"/>
    <w:rsid w:val="00C37B70"/>
    <w:rsid w:val="00C37E3D"/>
    <w:rsid w:val="00C43F48"/>
    <w:rsid w:val="00C441CF"/>
    <w:rsid w:val="00C45AA2"/>
    <w:rsid w:val="00C4792C"/>
    <w:rsid w:val="00C528F9"/>
    <w:rsid w:val="00C5410F"/>
    <w:rsid w:val="00C54DF5"/>
    <w:rsid w:val="00C55BEF"/>
    <w:rsid w:val="00C601AF"/>
    <w:rsid w:val="00C61A08"/>
    <w:rsid w:val="00C61A63"/>
    <w:rsid w:val="00C66296"/>
    <w:rsid w:val="00C67FEF"/>
    <w:rsid w:val="00C70098"/>
    <w:rsid w:val="00C7394D"/>
    <w:rsid w:val="00C77282"/>
    <w:rsid w:val="00C84368"/>
    <w:rsid w:val="00C84DE5"/>
    <w:rsid w:val="00C86248"/>
    <w:rsid w:val="00C90B31"/>
    <w:rsid w:val="00C9154E"/>
    <w:rsid w:val="00C91D61"/>
    <w:rsid w:val="00C93127"/>
    <w:rsid w:val="00C947CD"/>
    <w:rsid w:val="00C95A73"/>
    <w:rsid w:val="00CA0BDB"/>
    <w:rsid w:val="00CA0D6F"/>
    <w:rsid w:val="00CA4C33"/>
    <w:rsid w:val="00CA6F4A"/>
    <w:rsid w:val="00CB19CA"/>
    <w:rsid w:val="00CB1C8D"/>
    <w:rsid w:val="00CB212C"/>
    <w:rsid w:val="00CB3576"/>
    <w:rsid w:val="00CB48A3"/>
    <w:rsid w:val="00CB6427"/>
    <w:rsid w:val="00CB659E"/>
    <w:rsid w:val="00CC0FBE"/>
    <w:rsid w:val="00CC3034"/>
    <w:rsid w:val="00CD2119"/>
    <w:rsid w:val="00CD237A"/>
    <w:rsid w:val="00CD36AC"/>
    <w:rsid w:val="00CD4660"/>
    <w:rsid w:val="00CD4D21"/>
    <w:rsid w:val="00CD6F7A"/>
    <w:rsid w:val="00CD7502"/>
    <w:rsid w:val="00CE01C7"/>
    <w:rsid w:val="00CE13A3"/>
    <w:rsid w:val="00CE36BC"/>
    <w:rsid w:val="00CF1747"/>
    <w:rsid w:val="00CF60ED"/>
    <w:rsid w:val="00CF7716"/>
    <w:rsid w:val="00D0161E"/>
    <w:rsid w:val="00D05D74"/>
    <w:rsid w:val="00D10192"/>
    <w:rsid w:val="00D131D5"/>
    <w:rsid w:val="00D150A2"/>
    <w:rsid w:val="00D20B35"/>
    <w:rsid w:val="00D20C59"/>
    <w:rsid w:val="00D2146D"/>
    <w:rsid w:val="00D22029"/>
    <w:rsid w:val="00D23323"/>
    <w:rsid w:val="00D2392A"/>
    <w:rsid w:val="00D25FFE"/>
    <w:rsid w:val="00D26D22"/>
    <w:rsid w:val="00D37D80"/>
    <w:rsid w:val="00D42C0D"/>
    <w:rsid w:val="00D4476F"/>
    <w:rsid w:val="00D44DA1"/>
    <w:rsid w:val="00D45B4E"/>
    <w:rsid w:val="00D479B5"/>
    <w:rsid w:val="00D50573"/>
    <w:rsid w:val="00D51B6F"/>
    <w:rsid w:val="00D5386F"/>
    <w:rsid w:val="00D54D50"/>
    <w:rsid w:val="00D560B4"/>
    <w:rsid w:val="00D6419F"/>
    <w:rsid w:val="00D647E0"/>
    <w:rsid w:val="00D654FA"/>
    <w:rsid w:val="00D662F8"/>
    <w:rsid w:val="00D66797"/>
    <w:rsid w:val="00D703F8"/>
    <w:rsid w:val="00D7074B"/>
    <w:rsid w:val="00D7087C"/>
    <w:rsid w:val="00D70A3E"/>
    <w:rsid w:val="00D70C3C"/>
    <w:rsid w:val="00D71DF7"/>
    <w:rsid w:val="00D72BE5"/>
    <w:rsid w:val="00D81462"/>
    <w:rsid w:val="00D82F26"/>
    <w:rsid w:val="00D83EC8"/>
    <w:rsid w:val="00D863D0"/>
    <w:rsid w:val="00D86B00"/>
    <w:rsid w:val="00D86FB9"/>
    <w:rsid w:val="00D87C87"/>
    <w:rsid w:val="00D90BB4"/>
    <w:rsid w:val="00D90E07"/>
    <w:rsid w:val="00D932C2"/>
    <w:rsid w:val="00D953B8"/>
    <w:rsid w:val="00DA3631"/>
    <w:rsid w:val="00DB39CF"/>
    <w:rsid w:val="00DB3BE2"/>
    <w:rsid w:val="00DB3F60"/>
    <w:rsid w:val="00DB7256"/>
    <w:rsid w:val="00DC0401"/>
    <w:rsid w:val="00DC20BD"/>
    <w:rsid w:val="00DC3565"/>
    <w:rsid w:val="00DC4532"/>
    <w:rsid w:val="00DC466C"/>
    <w:rsid w:val="00DD0BCD"/>
    <w:rsid w:val="00DD447A"/>
    <w:rsid w:val="00DE3B20"/>
    <w:rsid w:val="00DE6258"/>
    <w:rsid w:val="00DE6C94"/>
    <w:rsid w:val="00DE6FD7"/>
    <w:rsid w:val="00DF272E"/>
    <w:rsid w:val="00DF2E49"/>
    <w:rsid w:val="00DF3D49"/>
    <w:rsid w:val="00E00254"/>
    <w:rsid w:val="00E11975"/>
    <w:rsid w:val="00E13A1C"/>
    <w:rsid w:val="00E13AF9"/>
    <w:rsid w:val="00E14B36"/>
    <w:rsid w:val="00E17337"/>
    <w:rsid w:val="00E23271"/>
    <w:rsid w:val="00E24F80"/>
    <w:rsid w:val="00E259F3"/>
    <w:rsid w:val="00E30985"/>
    <w:rsid w:val="00E314FA"/>
    <w:rsid w:val="00E33238"/>
    <w:rsid w:val="00E33E1C"/>
    <w:rsid w:val="00E37218"/>
    <w:rsid w:val="00E376B7"/>
    <w:rsid w:val="00E42F5D"/>
    <w:rsid w:val="00E4486C"/>
    <w:rsid w:val="00E459EA"/>
    <w:rsid w:val="00E460B6"/>
    <w:rsid w:val="00E50D7A"/>
    <w:rsid w:val="00E511D5"/>
    <w:rsid w:val="00E53A9F"/>
    <w:rsid w:val="00E55490"/>
    <w:rsid w:val="00E60249"/>
    <w:rsid w:val="00E60E7A"/>
    <w:rsid w:val="00E65269"/>
    <w:rsid w:val="00E6537C"/>
    <w:rsid w:val="00E75529"/>
    <w:rsid w:val="00E759A5"/>
    <w:rsid w:val="00E76D66"/>
    <w:rsid w:val="00E806C8"/>
    <w:rsid w:val="00E82333"/>
    <w:rsid w:val="00E9723C"/>
    <w:rsid w:val="00EA1308"/>
    <w:rsid w:val="00EA2649"/>
    <w:rsid w:val="00EA796A"/>
    <w:rsid w:val="00EB0324"/>
    <w:rsid w:val="00EB0511"/>
    <w:rsid w:val="00EB1856"/>
    <w:rsid w:val="00EB3390"/>
    <w:rsid w:val="00EB4640"/>
    <w:rsid w:val="00EB7763"/>
    <w:rsid w:val="00EC05FE"/>
    <w:rsid w:val="00EC1777"/>
    <w:rsid w:val="00EC2400"/>
    <w:rsid w:val="00EC50CE"/>
    <w:rsid w:val="00EC5889"/>
    <w:rsid w:val="00EC5B34"/>
    <w:rsid w:val="00EC60AE"/>
    <w:rsid w:val="00EC6714"/>
    <w:rsid w:val="00EC6B80"/>
    <w:rsid w:val="00ED021E"/>
    <w:rsid w:val="00ED1727"/>
    <w:rsid w:val="00ED1EB0"/>
    <w:rsid w:val="00ED323C"/>
    <w:rsid w:val="00ED45C4"/>
    <w:rsid w:val="00EE0BAB"/>
    <w:rsid w:val="00EE1EBB"/>
    <w:rsid w:val="00EE2D5C"/>
    <w:rsid w:val="00EE4ADE"/>
    <w:rsid w:val="00EE4DE8"/>
    <w:rsid w:val="00EE5CB7"/>
    <w:rsid w:val="00EF3D71"/>
    <w:rsid w:val="00F024FE"/>
    <w:rsid w:val="00F05AD4"/>
    <w:rsid w:val="00F07D65"/>
    <w:rsid w:val="00F10EB6"/>
    <w:rsid w:val="00F13F07"/>
    <w:rsid w:val="00F140B2"/>
    <w:rsid w:val="00F1746D"/>
    <w:rsid w:val="00F25970"/>
    <w:rsid w:val="00F311A9"/>
    <w:rsid w:val="00F33B83"/>
    <w:rsid w:val="00F4433C"/>
    <w:rsid w:val="00F46C88"/>
    <w:rsid w:val="00F46EBD"/>
    <w:rsid w:val="00F5180D"/>
    <w:rsid w:val="00F62440"/>
    <w:rsid w:val="00F63781"/>
    <w:rsid w:val="00F64022"/>
    <w:rsid w:val="00F64FDF"/>
    <w:rsid w:val="00F67496"/>
    <w:rsid w:val="00F70E41"/>
    <w:rsid w:val="00F74F6B"/>
    <w:rsid w:val="00F801BA"/>
    <w:rsid w:val="00F80D31"/>
    <w:rsid w:val="00F824B8"/>
    <w:rsid w:val="00F82665"/>
    <w:rsid w:val="00F82DA9"/>
    <w:rsid w:val="00F9132B"/>
    <w:rsid w:val="00F91393"/>
    <w:rsid w:val="00F91AF2"/>
    <w:rsid w:val="00F928CE"/>
    <w:rsid w:val="00F9366A"/>
    <w:rsid w:val="00F946C9"/>
    <w:rsid w:val="00F950C0"/>
    <w:rsid w:val="00F97835"/>
    <w:rsid w:val="00F97CA3"/>
    <w:rsid w:val="00FA0E9D"/>
    <w:rsid w:val="00FA0EA5"/>
    <w:rsid w:val="00FA48C7"/>
    <w:rsid w:val="00FA74EE"/>
    <w:rsid w:val="00FB1926"/>
    <w:rsid w:val="00FC1E90"/>
    <w:rsid w:val="00FC3449"/>
    <w:rsid w:val="00FC3711"/>
    <w:rsid w:val="00FC46E7"/>
    <w:rsid w:val="00FC5189"/>
    <w:rsid w:val="00FC5D25"/>
    <w:rsid w:val="00FC6059"/>
    <w:rsid w:val="00FC6A8C"/>
    <w:rsid w:val="00FD0D7E"/>
    <w:rsid w:val="00FD4FFB"/>
    <w:rsid w:val="00FD78FB"/>
    <w:rsid w:val="00FE3AF5"/>
    <w:rsid w:val="00FE6E13"/>
    <w:rsid w:val="00FF1042"/>
    <w:rsid w:val="00FF15F6"/>
    <w:rsid w:val="00FF1F99"/>
    <w:rsid w:val="00FF3228"/>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EEEB9C"/>
  <w15:docId w15:val="{D84A42F7-19CC-42B4-8933-388CE71C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aliases w:val="ALTS FOOTNOTE,EPA 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aliases w:val="ALTS FOOTNOTE Char,EPA Footnote Text Char"/>
    <w:link w:val="FootnoteText"/>
    <w:uiPriority w:val="99"/>
    <w:rsid w:val="00A7415D"/>
    <w:rPr>
      <w:rFonts w:ascii="Segoe UI" w:hAnsi="Segoe UI"/>
      <w:sz w:val="17"/>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6"/>
      </w:numPr>
      <w:spacing w:before="180"/>
    </w:pPr>
    <w:rPr>
      <w:szCs w:val="24"/>
    </w:rPr>
  </w:style>
  <w:style w:type="paragraph" w:customStyle="1" w:styleId="Letter">
    <w:name w:val="Letter"/>
    <w:basedOn w:val="Normal"/>
    <w:qFormat/>
    <w:rsid w:val="00F140B2"/>
    <w:pPr>
      <w:numPr>
        <w:ilvl w:val="1"/>
        <w:numId w:val="6"/>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6"/>
      </w:numPr>
      <w:spacing w:before="90"/>
    </w:pPr>
    <w:rPr>
      <w:rFonts w:eastAsia="Arial Unicode MS"/>
    </w:rPr>
  </w:style>
  <w:style w:type="paragraph" w:customStyle="1" w:styleId="ERandDecisionNumberedHeading">
    <w:name w:val="E&amp;R and Decision Numbered Heading"/>
    <w:basedOn w:val="Normal"/>
    <w:rsid w:val="004E06D0"/>
    <w:pPr>
      <w:numPr>
        <w:numId w:val="7"/>
      </w:numPr>
      <w:spacing w:before="240" w:after="240"/>
    </w:pPr>
    <w:rPr>
      <w:rFonts w:ascii="Arial" w:hAnsi="Arial" w:cs="Arial"/>
      <w:b/>
      <w:sz w:val="32"/>
      <w:lang w:val="en-GB" w:eastAsia="en-US"/>
    </w:rPr>
  </w:style>
  <w:style w:type="character" w:customStyle="1" w:styleId="Level2ParagraphsCharChar">
    <w:name w:val="Level 2 Paragraphs Char Char"/>
    <w:link w:val="Level2Paragraphs"/>
    <w:locked/>
    <w:rsid w:val="004E06D0"/>
    <w:rPr>
      <w:color w:val="000000"/>
      <w:lang w:val="en-GB"/>
    </w:rPr>
  </w:style>
  <w:style w:type="paragraph" w:customStyle="1" w:styleId="Level2Paragraphs">
    <w:name w:val="Level 2 Paragraphs"/>
    <w:basedOn w:val="Normal"/>
    <w:link w:val="Level2ParagraphsCharChar"/>
    <w:qFormat/>
    <w:rsid w:val="004E06D0"/>
    <w:pPr>
      <w:numPr>
        <w:ilvl w:val="1"/>
        <w:numId w:val="7"/>
      </w:numPr>
    </w:pPr>
    <w:rPr>
      <w:rFonts w:ascii="Times New Roman" w:hAnsi="Times New Roman"/>
      <w:color w:val="000000"/>
      <w:sz w:val="20"/>
      <w:lang w:val="en-GB" w:eastAsia="en-NZ"/>
    </w:rPr>
  </w:style>
  <w:style w:type="paragraph" w:styleId="NoSpacing">
    <w:name w:val="No Spacing"/>
    <w:link w:val="NoSpacingChar"/>
    <w:uiPriority w:val="1"/>
    <w:qFormat/>
    <w:rsid w:val="004E06D0"/>
    <w:rPr>
      <w:rFonts w:ascii="Arial" w:eastAsia="Calibri" w:hAnsi="Arial"/>
      <w:sz w:val="22"/>
      <w:szCs w:val="22"/>
      <w:lang w:eastAsia="en-US"/>
    </w:rPr>
  </w:style>
  <w:style w:type="character" w:customStyle="1" w:styleId="NoSpacingChar">
    <w:name w:val="No Spacing Char"/>
    <w:link w:val="NoSpacing"/>
    <w:uiPriority w:val="1"/>
    <w:rsid w:val="004E06D0"/>
    <w:rPr>
      <w:rFonts w:ascii="Arial" w:eastAsia="Calibri" w:hAnsi="Arial"/>
      <w:sz w:val="22"/>
      <w:szCs w:val="22"/>
      <w:lang w:eastAsia="en-US"/>
    </w:rPr>
  </w:style>
  <w:style w:type="character" w:customStyle="1" w:styleId="accordion-tabbedtab-mobile">
    <w:name w:val="accordion-tabbed__tab-mobile"/>
    <w:basedOn w:val="DefaultParagraphFont"/>
    <w:rsid w:val="004E06D0"/>
  </w:style>
  <w:style w:type="character" w:customStyle="1" w:styleId="comma-separator">
    <w:name w:val="comma-separator"/>
    <w:basedOn w:val="DefaultParagraphFont"/>
    <w:rsid w:val="004E06D0"/>
  </w:style>
  <w:style w:type="character" w:styleId="UnresolvedMention">
    <w:name w:val="Unresolved Mention"/>
    <w:basedOn w:val="DefaultParagraphFont"/>
    <w:uiPriority w:val="99"/>
    <w:semiHidden/>
    <w:unhideWhenUsed/>
    <w:rsid w:val="003B0B82"/>
    <w:rPr>
      <w:color w:val="605E5C"/>
      <w:shd w:val="clear" w:color="auto" w:fill="E1DFDD"/>
    </w:rPr>
  </w:style>
  <w:style w:type="paragraph" w:styleId="Caption">
    <w:name w:val="caption"/>
    <w:basedOn w:val="Normal"/>
    <w:next w:val="Normal"/>
    <w:unhideWhenUsed/>
    <w:qFormat/>
    <w:rsid w:val="003B0B82"/>
    <w:pPr>
      <w:spacing w:after="200"/>
    </w:pPr>
    <w:rPr>
      <w:b/>
      <w:iCs/>
      <w:sz w:val="18"/>
      <w:szCs w:val="18"/>
    </w:rPr>
  </w:style>
  <w:style w:type="paragraph" w:styleId="BalloonText">
    <w:name w:val="Balloon Text"/>
    <w:basedOn w:val="Normal"/>
    <w:link w:val="BalloonTextChar"/>
    <w:semiHidden/>
    <w:unhideWhenUsed/>
    <w:rsid w:val="00587C48"/>
    <w:rPr>
      <w:rFonts w:ascii="Tahoma" w:hAnsi="Tahoma" w:cs="Tahoma"/>
      <w:sz w:val="16"/>
      <w:szCs w:val="16"/>
    </w:rPr>
  </w:style>
  <w:style w:type="character" w:customStyle="1" w:styleId="BalloonTextChar">
    <w:name w:val="Balloon Text Char"/>
    <w:basedOn w:val="DefaultParagraphFont"/>
    <w:link w:val="BalloonText"/>
    <w:semiHidden/>
    <w:rsid w:val="00587C48"/>
    <w:rPr>
      <w:rFonts w:ascii="Tahoma" w:hAnsi="Tahoma" w:cs="Tahoma"/>
      <w:sz w:val="16"/>
      <w:szCs w:val="16"/>
      <w:lang w:eastAsia="en-GB"/>
    </w:rPr>
  </w:style>
  <w:style w:type="character" w:styleId="FollowedHyperlink">
    <w:name w:val="FollowedHyperlink"/>
    <w:semiHidden/>
    <w:unhideWhenUsed/>
    <w:rsid w:val="00587C48"/>
    <w:rPr>
      <w:color w:val="800080"/>
      <w:u w:val="single"/>
    </w:rPr>
  </w:style>
  <w:style w:type="character" w:styleId="Emphasis">
    <w:name w:val="Emphasis"/>
    <w:uiPriority w:val="20"/>
    <w:qFormat/>
    <w:rsid w:val="00587C48"/>
    <w:rPr>
      <w:i/>
      <w:iCs/>
    </w:rPr>
  </w:style>
  <w:style w:type="paragraph" w:customStyle="1" w:styleId="level2paragraphs1">
    <w:name w:val="level2paragraphs1"/>
    <w:basedOn w:val="Normal"/>
    <w:rsid w:val="00587C48"/>
    <w:pPr>
      <w:spacing w:before="75" w:after="150" w:line="360" w:lineRule="atLeast"/>
    </w:pPr>
    <w:rPr>
      <w:rFonts w:ascii="Times New Roman" w:hAnsi="Times New Roman"/>
      <w:color w:val="565656"/>
      <w:sz w:val="26"/>
      <w:szCs w:val="26"/>
      <w:lang w:eastAsia="en-NZ"/>
    </w:rPr>
  </w:style>
  <w:style w:type="paragraph" w:customStyle="1" w:styleId="ERandDecisionNumberedParagraph">
    <w:name w:val="E&amp;R and Decision Numbered Paragraph"/>
    <w:basedOn w:val="Normal"/>
    <w:rsid w:val="00587C48"/>
    <w:pPr>
      <w:tabs>
        <w:tab w:val="num" w:pos="851"/>
      </w:tabs>
      <w:ind w:left="851" w:hanging="851"/>
    </w:pPr>
    <w:rPr>
      <w:rFonts w:ascii="Times New Roman" w:hAnsi="Times New Roman"/>
      <w:sz w:val="24"/>
      <w:lang w:val="en-GB" w:eastAsia="en-US"/>
    </w:rPr>
  </w:style>
  <w:style w:type="paragraph" w:styleId="ListParagraph">
    <w:name w:val="List Paragraph"/>
    <w:basedOn w:val="Normal"/>
    <w:uiPriority w:val="34"/>
    <w:qFormat/>
    <w:rsid w:val="00587C48"/>
    <w:pPr>
      <w:ind w:left="720"/>
    </w:pPr>
    <w:rPr>
      <w:rFonts w:ascii="Times New Roman" w:hAnsi="Times New Roman"/>
      <w:sz w:val="24"/>
      <w:szCs w:val="24"/>
      <w:lang w:eastAsia="en-AU"/>
    </w:rPr>
  </w:style>
  <w:style w:type="paragraph" w:customStyle="1" w:styleId="ERandDecisionNumberedParagraphChar">
    <w:name w:val="E&amp;R and Decision Numbered Paragraph Char"/>
    <w:basedOn w:val="Normal"/>
    <w:link w:val="ERandDecisionNumberedParagraphCharChar2"/>
    <w:rsid w:val="00587C48"/>
    <w:pPr>
      <w:numPr>
        <w:numId w:val="9"/>
      </w:numPr>
    </w:pPr>
    <w:rPr>
      <w:rFonts w:ascii="Times New Roman" w:hAnsi="Times New Roman"/>
      <w:sz w:val="24"/>
      <w:lang w:val="en-GB" w:eastAsia="en-US"/>
    </w:rPr>
  </w:style>
  <w:style w:type="character" w:customStyle="1" w:styleId="ERandDecisionNumberedParagraphCharChar2">
    <w:name w:val="E&amp;R and Decision Numbered Paragraph Char Char2"/>
    <w:link w:val="ERandDecisionNumberedParagraphChar"/>
    <w:locked/>
    <w:rsid w:val="00587C48"/>
    <w:rPr>
      <w:sz w:val="24"/>
      <w:lang w:val="en-GB" w:eastAsia="en-US"/>
    </w:rPr>
  </w:style>
  <w:style w:type="paragraph" w:customStyle="1" w:styleId="EPAParagraph">
    <w:name w:val="EPA Paragraph"/>
    <w:basedOn w:val="Normal"/>
    <w:link w:val="EPAParagraphChar"/>
    <w:qFormat/>
    <w:rsid w:val="00587C48"/>
    <w:pPr>
      <w:spacing w:after="120" w:line="340" w:lineRule="exact"/>
    </w:pPr>
    <w:rPr>
      <w:rFonts w:ascii="Arial" w:eastAsia="Calibri" w:hAnsi="Arial" w:cs="Arial"/>
      <w:sz w:val="20"/>
      <w:lang w:eastAsia="en-US"/>
    </w:rPr>
  </w:style>
  <w:style w:type="character" w:customStyle="1" w:styleId="EPAParagraphChar">
    <w:name w:val="EPA Paragraph Char"/>
    <w:link w:val="EPAParagraph"/>
    <w:rsid w:val="00587C48"/>
    <w:rPr>
      <w:rFonts w:ascii="Arial" w:eastAsia="Calibri" w:hAnsi="Arial" w:cs="Arial"/>
      <w:lang w:eastAsia="en-US"/>
    </w:rPr>
  </w:style>
  <w:style w:type="paragraph" w:customStyle="1" w:styleId="Default">
    <w:name w:val="Default"/>
    <w:rsid w:val="00587C48"/>
    <w:pPr>
      <w:autoSpaceDE w:val="0"/>
      <w:autoSpaceDN w:val="0"/>
      <w:adjustRightInd w:val="0"/>
    </w:pPr>
    <w:rPr>
      <w:color w:val="000000"/>
      <w:sz w:val="24"/>
      <w:szCs w:val="24"/>
    </w:rPr>
  </w:style>
  <w:style w:type="character" w:styleId="CommentReference">
    <w:name w:val="annotation reference"/>
    <w:semiHidden/>
    <w:unhideWhenUsed/>
    <w:rsid w:val="00587C48"/>
    <w:rPr>
      <w:sz w:val="16"/>
      <w:szCs w:val="16"/>
    </w:rPr>
  </w:style>
  <w:style w:type="paragraph" w:styleId="CommentText">
    <w:name w:val="annotation text"/>
    <w:basedOn w:val="Normal"/>
    <w:link w:val="CommentTextChar"/>
    <w:unhideWhenUsed/>
    <w:rsid w:val="00587C48"/>
    <w:pPr>
      <w:spacing w:line="264" w:lineRule="auto"/>
    </w:pPr>
    <w:rPr>
      <w:rFonts w:ascii="Georgia" w:hAnsi="Georgia"/>
      <w:sz w:val="20"/>
    </w:rPr>
  </w:style>
  <w:style w:type="character" w:customStyle="1" w:styleId="CommentTextChar">
    <w:name w:val="Comment Text Char"/>
    <w:basedOn w:val="DefaultParagraphFont"/>
    <w:link w:val="CommentText"/>
    <w:rsid w:val="00587C48"/>
    <w:rPr>
      <w:rFonts w:ascii="Georgia" w:hAnsi="Georgia"/>
      <w:lang w:eastAsia="en-GB"/>
    </w:rPr>
  </w:style>
  <w:style w:type="paragraph" w:styleId="CommentSubject">
    <w:name w:val="annotation subject"/>
    <w:basedOn w:val="CommentText"/>
    <w:next w:val="CommentText"/>
    <w:link w:val="CommentSubjectChar"/>
    <w:semiHidden/>
    <w:unhideWhenUsed/>
    <w:rsid w:val="00587C48"/>
    <w:rPr>
      <w:b/>
      <w:bCs/>
    </w:rPr>
  </w:style>
  <w:style w:type="character" w:customStyle="1" w:styleId="CommentSubjectChar">
    <w:name w:val="Comment Subject Char"/>
    <w:basedOn w:val="CommentTextChar"/>
    <w:link w:val="CommentSubject"/>
    <w:semiHidden/>
    <w:rsid w:val="00587C48"/>
    <w:rPr>
      <w:rFonts w:ascii="Georgia" w:hAnsi="Georgia"/>
      <w:b/>
      <w:bCs/>
      <w:lang w:eastAsia="en-GB"/>
    </w:rPr>
  </w:style>
  <w:style w:type="character" w:styleId="HTMLCite">
    <w:name w:val="HTML Cite"/>
    <w:uiPriority w:val="99"/>
    <w:semiHidden/>
    <w:unhideWhenUsed/>
    <w:rsid w:val="00587C48"/>
    <w:rPr>
      <w:i/>
      <w:iCs/>
    </w:rPr>
  </w:style>
  <w:style w:type="character" w:customStyle="1" w:styleId="UnresolvedMention1">
    <w:name w:val="Unresolved Mention1"/>
    <w:basedOn w:val="DefaultParagraphFont"/>
    <w:uiPriority w:val="99"/>
    <w:semiHidden/>
    <w:unhideWhenUsed/>
    <w:rsid w:val="00587C48"/>
    <w:rPr>
      <w:color w:val="605E5C"/>
      <w:shd w:val="clear" w:color="auto" w:fill="E1DFDD"/>
    </w:rPr>
  </w:style>
  <w:style w:type="character" w:styleId="HTMLDefinition">
    <w:name w:val="HTML Definition"/>
    <w:basedOn w:val="DefaultParagraphFont"/>
    <w:uiPriority w:val="99"/>
    <w:semiHidden/>
    <w:unhideWhenUsed/>
    <w:rsid w:val="00587C48"/>
    <w:rPr>
      <w:i/>
      <w:iCs/>
    </w:rPr>
  </w:style>
  <w:style w:type="paragraph" w:customStyle="1" w:styleId="text">
    <w:name w:val="text"/>
    <w:basedOn w:val="Normal"/>
    <w:rsid w:val="00587C48"/>
    <w:pPr>
      <w:spacing w:before="100" w:beforeAutospacing="1" w:after="100" w:afterAutospacing="1"/>
    </w:pPr>
    <w:rPr>
      <w:rFonts w:ascii="Times New Roman" w:hAnsi="Times New Roman"/>
      <w:sz w:val="24"/>
      <w:szCs w:val="24"/>
      <w:lang w:eastAsia="en-NZ"/>
    </w:rPr>
  </w:style>
  <w:style w:type="character" w:customStyle="1" w:styleId="label">
    <w:name w:val="label"/>
    <w:basedOn w:val="DefaultParagraphFont"/>
    <w:rsid w:val="00587C48"/>
  </w:style>
  <w:style w:type="paragraph" w:customStyle="1" w:styleId="EPANormal">
    <w:name w:val="EPA Normal"/>
    <w:basedOn w:val="Normal"/>
    <w:link w:val="EPANormalChar"/>
    <w:qFormat/>
    <w:rsid w:val="00587C48"/>
    <w:pPr>
      <w:spacing w:before="120" w:after="120" w:line="280" w:lineRule="atLeast"/>
    </w:pPr>
    <w:rPr>
      <w:rFonts w:ascii="Arial" w:eastAsia="Calibri" w:hAnsi="Arial"/>
      <w:sz w:val="20"/>
      <w:lang w:eastAsia="en-NZ"/>
    </w:rPr>
  </w:style>
  <w:style w:type="character" w:customStyle="1" w:styleId="EPANormalChar">
    <w:name w:val="EPA Normal Char"/>
    <w:link w:val="EPANormal"/>
    <w:rsid w:val="00587C48"/>
    <w:rPr>
      <w:rFonts w:ascii="Arial" w:eastAsia="Calibri" w:hAnsi="Arial"/>
    </w:rPr>
  </w:style>
  <w:style w:type="paragraph" w:customStyle="1" w:styleId="EPABulletedList">
    <w:name w:val="EPA Bulleted List"/>
    <w:basedOn w:val="EPANormal"/>
    <w:link w:val="EPABulletedListChar"/>
    <w:qFormat/>
    <w:rsid w:val="00587C48"/>
    <w:pPr>
      <w:numPr>
        <w:numId w:val="10"/>
      </w:numPr>
      <w:spacing w:before="0" w:after="60"/>
    </w:pPr>
  </w:style>
  <w:style w:type="character" w:customStyle="1" w:styleId="EPABulletedListChar">
    <w:name w:val="EPA Bulleted List Char"/>
    <w:link w:val="EPABulletedList"/>
    <w:rsid w:val="00587C48"/>
    <w:rPr>
      <w:rFonts w:ascii="Arial" w:eastAsia="Calibri" w:hAnsi="Arial"/>
    </w:rPr>
  </w:style>
  <w:style w:type="paragraph" w:styleId="Date">
    <w:name w:val="Date"/>
    <w:basedOn w:val="Normal"/>
    <w:next w:val="Normal"/>
    <w:link w:val="DateChar"/>
    <w:uiPriority w:val="99"/>
    <w:rsid w:val="00587C48"/>
    <w:pPr>
      <w:spacing w:after="240" w:line="220" w:lineRule="atLeast"/>
      <w:ind w:left="4536"/>
    </w:pPr>
    <w:rPr>
      <w:rFonts w:ascii="Arial" w:hAnsi="Arial"/>
      <w:caps/>
      <w:color w:val="FFFFFF"/>
      <w:sz w:val="18"/>
      <w:szCs w:val="18"/>
      <w:lang w:eastAsia="en-NZ"/>
    </w:rPr>
  </w:style>
  <w:style w:type="character" w:customStyle="1" w:styleId="DateChar">
    <w:name w:val="Date Char"/>
    <w:basedOn w:val="DefaultParagraphFont"/>
    <w:link w:val="Date"/>
    <w:uiPriority w:val="99"/>
    <w:rsid w:val="00587C48"/>
    <w:rPr>
      <w:rFonts w:ascii="Arial" w:hAnsi="Arial"/>
      <w:caps/>
      <w:color w:val="FFFFFF"/>
      <w:sz w:val="18"/>
      <w:szCs w:val="18"/>
    </w:rPr>
  </w:style>
  <w:style w:type="paragraph" w:customStyle="1" w:styleId="subprov">
    <w:name w:val="subprov"/>
    <w:basedOn w:val="Normal"/>
    <w:rsid w:val="00587C48"/>
    <w:pPr>
      <w:spacing w:before="100" w:beforeAutospacing="1" w:after="100" w:afterAutospacing="1"/>
    </w:pPr>
    <w:rPr>
      <w:rFonts w:ascii="Times New Roman" w:hAnsi="Times New Roman"/>
      <w:sz w:val="24"/>
      <w:szCs w:val="24"/>
      <w:lang w:eastAsia="en-NZ"/>
    </w:rPr>
  </w:style>
  <w:style w:type="character" w:customStyle="1" w:styleId="insertwords">
    <w:name w:val="insertwords"/>
    <w:basedOn w:val="DefaultParagraphFont"/>
    <w:rsid w:val="00587C48"/>
  </w:style>
  <w:style w:type="paragraph" w:styleId="ListBullet">
    <w:name w:val="List Bullet"/>
    <w:basedOn w:val="Normal"/>
    <w:uiPriority w:val="99"/>
    <w:unhideWhenUsed/>
    <w:rsid w:val="00587C48"/>
    <w:pPr>
      <w:numPr>
        <w:numId w:val="11"/>
      </w:numPr>
      <w:spacing w:after="200" w:line="276" w:lineRule="auto"/>
      <w:contextualSpacing/>
    </w:pPr>
    <w:rPr>
      <w:rFonts w:ascii="Arial" w:eastAsiaTheme="minorHAnsi" w:hAnsi="Arial" w:cstheme="minorBidi"/>
      <w:sz w:val="24"/>
      <w:szCs w:val="22"/>
      <w:lang w:eastAsia="en-US"/>
    </w:rPr>
  </w:style>
  <w:style w:type="paragraph" w:styleId="TableofFigures">
    <w:name w:val="table of figures"/>
    <w:basedOn w:val="Normal"/>
    <w:next w:val="Normal"/>
    <w:uiPriority w:val="99"/>
    <w:unhideWhenUsed/>
    <w:rsid w:val="00E37218"/>
  </w:style>
  <w:style w:type="paragraph" w:styleId="NormalIndent">
    <w:name w:val="Normal Indent"/>
    <w:basedOn w:val="Normal"/>
    <w:uiPriority w:val="99"/>
    <w:unhideWhenUsed/>
    <w:rsid w:val="005A68CC"/>
    <w:pPr>
      <w:ind w:left="720"/>
    </w:pPr>
  </w:style>
  <w:style w:type="paragraph" w:styleId="TOC4">
    <w:name w:val="toc 4"/>
    <w:basedOn w:val="Normal"/>
    <w:next w:val="Normal"/>
    <w:autoRedefine/>
    <w:uiPriority w:val="39"/>
    <w:unhideWhenUsed/>
    <w:rsid w:val="00E50D7A"/>
    <w:pPr>
      <w:spacing w:after="100"/>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54078">
      <w:bodyDiv w:val="1"/>
      <w:marLeft w:val="0"/>
      <w:marRight w:val="0"/>
      <w:marTop w:val="0"/>
      <w:marBottom w:val="0"/>
      <w:divBdr>
        <w:top w:val="none" w:sz="0" w:space="0" w:color="auto"/>
        <w:left w:val="none" w:sz="0" w:space="0" w:color="auto"/>
        <w:bottom w:val="none" w:sz="0" w:space="0" w:color="auto"/>
        <w:right w:val="none" w:sz="0" w:space="0" w:color="auto"/>
      </w:divBdr>
    </w:div>
    <w:div w:id="334918078">
      <w:bodyDiv w:val="1"/>
      <w:marLeft w:val="0"/>
      <w:marRight w:val="0"/>
      <w:marTop w:val="0"/>
      <w:marBottom w:val="0"/>
      <w:divBdr>
        <w:top w:val="none" w:sz="0" w:space="0" w:color="auto"/>
        <w:left w:val="none" w:sz="0" w:space="0" w:color="auto"/>
        <w:bottom w:val="none" w:sz="0" w:space="0" w:color="auto"/>
        <w:right w:val="none" w:sz="0" w:space="0" w:color="auto"/>
      </w:divBdr>
    </w:div>
    <w:div w:id="526215287">
      <w:bodyDiv w:val="1"/>
      <w:marLeft w:val="0"/>
      <w:marRight w:val="0"/>
      <w:marTop w:val="0"/>
      <w:marBottom w:val="0"/>
      <w:divBdr>
        <w:top w:val="none" w:sz="0" w:space="0" w:color="auto"/>
        <w:left w:val="none" w:sz="0" w:space="0" w:color="auto"/>
        <w:bottom w:val="none" w:sz="0" w:space="0" w:color="auto"/>
        <w:right w:val="none" w:sz="0" w:space="0" w:color="auto"/>
      </w:divBdr>
    </w:div>
    <w:div w:id="1498375686">
      <w:bodyDiv w:val="1"/>
      <w:marLeft w:val="0"/>
      <w:marRight w:val="0"/>
      <w:marTop w:val="0"/>
      <w:marBottom w:val="0"/>
      <w:divBdr>
        <w:top w:val="none" w:sz="0" w:space="0" w:color="auto"/>
        <w:left w:val="none" w:sz="0" w:space="0" w:color="auto"/>
        <w:bottom w:val="none" w:sz="0" w:space="0" w:color="auto"/>
        <w:right w:val="none" w:sz="0" w:space="0" w:color="auto"/>
      </w:divBdr>
    </w:div>
    <w:div w:id="181590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epa.govt.nz/database-search/chemical-classification-and-information-database-ccid/" TargetMode="External"/><Relationship Id="rId39" Type="http://schemas.openxmlformats.org/officeDocument/2006/relationships/hyperlink" Target="https://www.epa.govt.nz/assets/FileAPI/hsno-ar/HSR06133/fa0cfb3282/HSR06133.doc" TargetMode="External"/><Relationship Id="rId21" Type="http://schemas.openxmlformats.org/officeDocument/2006/relationships/header" Target="header4.xml"/><Relationship Id="rId34" Type="http://schemas.openxmlformats.org/officeDocument/2006/relationships/hyperlink" Target="http://www.epa.gov/nscep/" TargetMode="External"/><Relationship Id="rId42" Type="http://schemas.openxmlformats.org/officeDocument/2006/relationships/hyperlink" Target="mailto:info@taumataarowai.govt.nz" TargetMode="External"/><Relationship Id="rId47" Type="http://schemas.openxmlformats.org/officeDocument/2006/relationships/hyperlink" Target="mailto:permissions@epa.govt.nz" TargetMode="External"/><Relationship Id="rId50" Type="http://schemas.openxmlformats.org/officeDocument/2006/relationships/header" Target="header5.xml"/><Relationship Id="rId55" Type="http://schemas.openxmlformats.org/officeDocument/2006/relationships/image" Target="media/image7.jpeg"/><Relationship Id="rId63" Type="http://schemas.openxmlformats.org/officeDocument/2006/relationships/hyperlink" Target="https://www.epa.govt.nz/assets/FileAPI/hsno-ar/HSR09013/7f691f0fd6/HSR09013-HSR09013-Decision-amended.pdf" TargetMode="External"/><Relationship Id="rId68" Type="http://schemas.openxmlformats.org/officeDocument/2006/relationships/hyperlink" Target="https://www.health.govt.nz/publication/investigation-and-surveillance-poisoning-and-hazardous-substance-injuries-guidelines-public-health"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epa.govt.nz/assets/FileAPI/hsno-ar/HRE05002/HRE05002-044.pdf" TargetMode="External"/><Relationship Id="rId11" Type="http://schemas.openxmlformats.org/officeDocument/2006/relationships/header" Target="header1.xml"/><Relationship Id="rId24" Type="http://schemas.openxmlformats.org/officeDocument/2006/relationships/hyperlink" Target="mailto:notifications@taumataarowai.govt.nz" TargetMode="External"/><Relationship Id="rId32" Type="http://schemas.openxmlformats.org/officeDocument/2006/relationships/hyperlink" Target="http://www.doc.govt.nz/documents/science-and-technical/docts23.pdf" TargetMode="External"/><Relationship Id="rId37" Type="http://schemas.openxmlformats.org/officeDocument/2006/relationships/hyperlink" Target="https://www.epa.govt.nz/database-search/hsno-application-register/view/HSR06132" TargetMode="External"/><Relationship Id="rId40" Type="http://schemas.openxmlformats.org/officeDocument/2006/relationships/hyperlink" Target="https://www.epa.govt.nz/assets/RecordsAPI/Campaign_ant_bait_HSR007881.pdf" TargetMode="External"/><Relationship Id="rId45" Type="http://schemas.openxmlformats.org/officeDocument/2006/relationships/hyperlink" Target="https://www.health.govt.nz/publication/issuing-permissions-vertebrate-toxic-agents-vtas-guidelines-public-health-units" TargetMode="External"/><Relationship Id="rId53" Type="http://schemas.openxmlformats.org/officeDocument/2006/relationships/hyperlink" Target="https://www.legislation.govt.nz/regulation/public/2017/0131/latest/DLM7366722.html" TargetMode="External"/><Relationship Id="rId58" Type="http://schemas.openxmlformats.org/officeDocument/2006/relationships/hyperlink" Target="http://www.epa.govt.nz/assets/FileAPI/hsno-ar/HRE05002/HRE05002-044.pdf" TargetMode="External"/><Relationship Id="rId66" Type="http://schemas.openxmlformats.org/officeDocument/2006/relationships/hyperlink" Target="https://www.epa.govt.nz/assets/RecordsAPI/Advion_fire_ant_bait_HSR007905.pdf" TargetMode="External"/><Relationship Id="rId7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www.epa.govt.nz/assets/FileAPI/hsno-ar/HRE05002/HRE05002-065.doc" TargetMode="External"/><Relationship Id="rId36" Type="http://schemas.openxmlformats.org/officeDocument/2006/relationships/hyperlink" Target="https://www.epa.govt.nz/assets/FileAPI/hsno-ar/HSR09013/7f691f0fd6/HSR09013-HSR09013-Decision-amended.pdf" TargetMode="External"/><Relationship Id="rId49" Type="http://schemas.openxmlformats.org/officeDocument/2006/relationships/hyperlink" Target="mailto:hsincidents@epa.govt.nz" TargetMode="External"/><Relationship Id="rId57" Type="http://schemas.openxmlformats.org/officeDocument/2006/relationships/hyperlink" Target="http://www.doc.govt.nz/upload/documents/science-and-technical/docts23.pdf%20" TargetMode="External"/><Relationship Id="rId61" Type="http://schemas.openxmlformats.org/officeDocument/2006/relationships/hyperlink" Target="http://www.epa.govt.nz/assets/Uploads/Documents/Hazardous-Substances/Guidance/1080-Communications-Guidelines.pdf"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epa.govt.nz/database-search/chemical-classification-and-information-database-ccid/view/B594DD80-95F9-462B-86FA-B5E010A949B6" TargetMode="External"/><Relationship Id="rId44" Type="http://schemas.openxmlformats.org/officeDocument/2006/relationships/hyperlink" Target="http://www.epa.govt.nz/database-search/hsno-application-register/view/HRE05002" TargetMode="External"/><Relationship Id="rId52" Type="http://schemas.openxmlformats.org/officeDocument/2006/relationships/footer" Target="footer9.xml"/><Relationship Id="rId60" Type="http://schemas.openxmlformats.org/officeDocument/2006/relationships/hyperlink" Target="https://www.epa.govt.nz/database-search/hsno-application-register/view/HSR06132" TargetMode="External"/><Relationship Id="rId65" Type="http://schemas.openxmlformats.org/officeDocument/2006/relationships/hyperlink" Target="https://www.epa.govt.nz/assets/RecordsAPI/Amdro_Fire_Ant_Bait_HSR007882.pdf" TargetMode="External"/><Relationship Id="rId73" Type="http://schemas.openxmlformats.org/officeDocument/2006/relationships/hyperlink" Target="https://www.taumataarowai.govt.nz/for-water-suppliers/current-drinking-water-stand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hyperlink" Target="https://www.epa.govt.nz/assets/Uploads/Documents/Hazardous-Substances/GHS2/Individual-Hazardous-Substance-Approvals.pdf" TargetMode="External"/><Relationship Id="rId30" Type="http://schemas.openxmlformats.org/officeDocument/2006/relationships/hyperlink" Target="https://www.epa.govt.nz/assets/FileAPI/hsno-ar/HRE05002/475377593c/HRE05002-044.pdf" TargetMode="External"/><Relationship Id="rId35" Type="http://schemas.openxmlformats.org/officeDocument/2006/relationships/hyperlink" Target="https://www.epa.govt.nz/assets/FileAPI/hsno-ar/HSR09013/bbd9a1178d/HSR09013-HSR09013-Evaluation-and-Review-Report.pdf" TargetMode="External"/><Relationship Id="rId43" Type="http://schemas.openxmlformats.org/officeDocument/2006/relationships/hyperlink" Target="http://www.epa.govt.nz/assets/Uploads/Documents/Hazardous-Substances/Guidance/1080-Communications-Guidelines.pdf" TargetMode="External"/><Relationship Id="rId48" Type="http://schemas.openxmlformats.org/officeDocument/2006/relationships/hyperlink" Target="mailto:permissions@epa.govt.nz" TargetMode="External"/><Relationship Id="rId56" Type="http://schemas.openxmlformats.org/officeDocument/2006/relationships/hyperlink" Target="https://www.pestoff.co.nz/assets/sdsdrc1339.pdf" TargetMode="External"/><Relationship Id="rId64" Type="http://schemas.openxmlformats.org/officeDocument/2006/relationships/hyperlink" Target="https://www.epa.govt.nz/assets/RecordsAPI/Campaign_ant_bait_HSR007881.pdf" TargetMode="External"/><Relationship Id="rId69" Type="http://schemas.openxmlformats.org/officeDocument/2006/relationships/hyperlink" Target="https://www.taumataarowai.govt.nz/for-water-suppliers/current-drinking-water-standard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hyperlink" Target="https://www.taumataarowai.govt.nz/for-water-suppliers/current-drinking-water-standard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mailto:info@mpi.govt.nz" TargetMode="External"/><Relationship Id="rId33" Type="http://schemas.openxmlformats.org/officeDocument/2006/relationships/hyperlink" Target="https://pestoff.co.nz/wp-content/uploads/2021/03/DRC1339.pdf" TargetMode="External"/><Relationship Id="rId38" Type="http://schemas.openxmlformats.org/officeDocument/2006/relationships/hyperlink" Target="https://www.epa.govt.nz/assets/RecordsAPI/Advion_fire_ant_bait_HSR007905.pdf" TargetMode="External"/><Relationship Id="rId46" Type="http://schemas.openxmlformats.org/officeDocument/2006/relationships/hyperlink" Target="https://www.health.govt.nz/publication/issuing-permissions-vertebrate-toxic-agents-vtas-guidelines-public-health-units" TargetMode="External"/><Relationship Id="rId59" Type="http://schemas.openxmlformats.org/officeDocument/2006/relationships/hyperlink" Target="https://www.epa.govt.nz/assets/FileAPI/hsno-ar/HSR06133/fa0cfb3282/HSR06133.doc" TargetMode="External"/><Relationship Id="rId67" Type="http://schemas.openxmlformats.org/officeDocument/2006/relationships/hyperlink" Target="https://www.landcareresearch.co.nz/partner-with-us/laboratories-and-diagnostics/toxicology-laboratory/sampling-protocols/guideline-for-sampling-and-testing-water-associated-with-monitoring-of-aerial-1080-baiting-operations/" TargetMode="External"/><Relationship Id="rId20" Type="http://schemas.openxmlformats.org/officeDocument/2006/relationships/footer" Target="footer5.xml"/><Relationship Id="rId41" Type="http://schemas.openxmlformats.org/officeDocument/2006/relationships/hyperlink" Target="https://www.epa.govt.nz/assets/RecordsAPI/Amdro_Fire_Ant_Bait_HSR007882.pdf" TargetMode="External"/><Relationship Id="rId54" Type="http://schemas.openxmlformats.org/officeDocument/2006/relationships/image" Target="media/image6.png"/><Relationship Id="rId62" Type="http://schemas.openxmlformats.org/officeDocument/2006/relationships/hyperlink" Target="https://www.epa.govt.nz/assets/FileAPI/hsno-ar/HSR09013/bbd9a1178d/HSR09013-HSR09013-Evaluation-and-Review-Report.pdf" TargetMode="External"/><Relationship Id="rId70" Type="http://schemas.openxmlformats.org/officeDocument/2006/relationships/hyperlink" Target="https://www.health.govt.nz/system/files/documents/publications/investigation-surveillance-poisoning-hazardous-substance-injuries-guidelines-public-health-units-mar2019.pdf"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09013-6D20-4706-A0C0-8179866C693D}">
  <ds:schemaRefs>
    <ds:schemaRef ds:uri="http://schemas.openxmlformats.org/officeDocument/2006/bibliography"/>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TotalTime>
  <Pages>8</Pages>
  <Words>14595</Words>
  <Characters>84652</Characters>
  <Application>Microsoft Office Word</Application>
  <DocSecurity>0</DocSecurity>
  <Lines>1923</Lines>
  <Paragraphs>894</Paragraphs>
  <ScaleCrop>false</ScaleCrop>
  <HeadingPairs>
    <vt:vector size="2" baseType="variant">
      <vt:variant>
        <vt:lpstr>Title</vt:lpstr>
      </vt:variant>
      <vt:variant>
        <vt:i4>1</vt:i4>
      </vt:variant>
    </vt:vector>
  </HeadingPairs>
  <TitlesOfParts>
    <vt:vector size="1" baseType="lpstr">
      <vt:lpstr>Guidelines for Issuing Permissions for the Use of Vertebrate Toxic Agents: Revised 2021</vt:lpstr>
    </vt:vector>
  </TitlesOfParts>
  <Company>Microsoft</Company>
  <LinksUpToDate>false</LinksUpToDate>
  <CharactersWithSpaces>98353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Issuing Permissions for the Use of Vertebrate Toxic Agents: Revised 2021</dc:title>
  <dc:creator>Ministry of Health</dc:creator>
  <cp:lastModifiedBy>Ministry of Health</cp:lastModifiedBy>
  <cp:revision>6</cp:revision>
  <cp:lastPrinted>2022-05-16T05:00:00Z</cp:lastPrinted>
  <dcterms:created xsi:type="dcterms:W3CDTF">2022-07-28T05:43:00Z</dcterms:created>
  <dcterms:modified xsi:type="dcterms:W3CDTF">2022-07-28T05:55:00Z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y fmtid="{D5CDD505-2E9C-101B-9397-08002B2CF9AE}" pid="3" name="MSIP_Label_bd9e4d68-54d0-40a5-8c9a-85a36c87352c_Enabled">
    <vt:lpwstr>true</vt:lpwstr>
  </property>
  <property fmtid="{D5CDD505-2E9C-101B-9397-08002B2CF9AE}" pid="4" name="MSIP_Label_bd9e4d68-54d0-40a5-8c9a-85a36c87352c_SetDate">
    <vt:lpwstr>2022-02-02T22:24:58Z</vt:lpwstr>
  </property>
  <property fmtid="{D5CDD505-2E9C-101B-9397-08002B2CF9AE}" pid="5" name="MSIP_Label_bd9e4d68-54d0-40a5-8c9a-85a36c87352c_Method">
    <vt:lpwstr>Privileged</vt:lpwstr>
  </property>
  <property fmtid="{D5CDD505-2E9C-101B-9397-08002B2CF9AE}" pid="6" name="MSIP_Label_bd9e4d68-54d0-40a5-8c9a-85a36c87352c_Name">
    <vt:lpwstr>Unclassified</vt:lpwstr>
  </property>
  <property fmtid="{D5CDD505-2E9C-101B-9397-08002B2CF9AE}" pid="7" name="MSIP_Label_bd9e4d68-54d0-40a5-8c9a-85a36c87352c_SiteId">
    <vt:lpwstr>388728e1-bbd0-4378-98dc-f8682e644300</vt:lpwstr>
  </property>
  <property fmtid="{D5CDD505-2E9C-101B-9397-08002B2CF9AE}" pid="8" name="MSIP_Label_bd9e4d68-54d0-40a5-8c9a-85a36c87352c_ActionId">
    <vt:lpwstr>553a7ca9-1f21-46f5-a9f8-c9fd75beb510</vt:lpwstr>
  </property>
  <property fmtid="{D5CDD505-2E9C-101B-9397-08002B2CF9AE}" pid="9" name="MSIP_Label_bd9e4d68-54d0-40a5-8c9a-85a36c87352c_ContentBits">
    <vt:lpwstr>0</vt:lpwstr>
  </property>
</Properties>
</file>