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6248" w:rsidRPr="009E1E57" w:rsidRDefault="00EF595D" w:rsidP="00D54D50">
      <w:pPr>
        <w:pStyle w:val="Title"/>
      </w:pPr>
      <w:r w:rsidRPr="009E1E57">
        <w:t>’A</w:t>
      </w:r>
      <w:r w:rsidR="001D02E3" w:rsidRPr="009E1E57">
        <w:t>la Mo</w:t>
      </w:r>
      <w:r w:rsidRPr="009E1E57">
        <w:t>’u</w:t>
      </w:r>
      <w:r w:rsidR="001D02E3" w:rsidRPr="009E1E57">
        <w:t>i</w:t>
      </w:r>
    </w:p>
    <w:p w:rsidR="00343365" w:rsidRPr="009E1E57" w:rsidRDefault="001D02E3" w:rsidP="00343365">
      <w:pPr>
        <w:pStyle w:val="Year"/>
      </w:pPr>
      <w:r w:rsidRPr="009E1E57">
        <w:t>Pathways to Pacific Health and Wellbeing</w:t>
      </w:r>
    </w:p>
    <w:p w:rsidR="00C86248" w:rsidRPr="009E1E57" w:rsidRDefault="001D02E3" w:rsidP="00343365">
      <w:pPr>
        <w:pStyle w:val="Subhead"/>
      </w:pPr>
      <w:r w:rsidRPr="009E1E57">
        <w:t>2014–2018</w:t>
      </w:r>
    </w:p>
    <w:p w:rsidR="00142954" w:rsidRPr="009E1E57" w:rsidRDefault="00142954" w:rsidP="00142954">
      <w:pPr>
        <w:sectPr w:rsidR="00142954" w:rsidRPr="009E1E57" w:rsidSect="000F2AE2">
          <w:headerReference w:type="default" r:id="rId7"/>
          <w:footerReference w:type="default" r:id="rId8"/>
          <w:pgSz w:w="11907" w:h="16834" w:code="9"/>
          <w:pgMar w:top="3969" w:right="851" w:bottom="851" w:left="2552" w:header="851" w:footer="851" w:gutter="0"/>
          <w:cols w:space="720"/>
        </w:sectPr>
      </w:pPr>
    </w:p>
    <w:p w:rsidR="001D02E3" w:rsidRPr="009E1E57" w:rsidRDefault="001D02E3" w:rsidP="001D02E3">
      <w:pPr>
        <w:pStyle w:val="Imprint"/>
      </w:pPr>
      <w:r w:rsidRPr="009E1E57">
        <w:lastRenderedPageBreak/>
        <w:t xml:space="preserve">Citation: Ministry of Health. 2014. </w:t>
      </w:r>
      <w:r w:rsidR="00EF595D" w:rsidRPr="009E1E57">
        <w:rPr>
          <w:i/>
        </w:rPr>
        <w:t>’A</w:t>
      </w:r>
      <w:r w:rsidRPr="009E1E57">
        <w:rPr>
          <w:i/>
        </w:rPr>
        <w:t>la Mo</w:t>
      </w:r>
      <w:r w:rsidR="00EF595D" w:rsidRPr="009E1E57">
        <w:rPr>
          <w:i/>
        </w:rPr>
        <w:t>’u</w:t>
      </w:r>
      <w:r w:rsidRPr="009E1E57">
        <w:rPr>
          <w:i/>
        </w:rPr>
        <w:t>i: Pathways to Pacific Health</w:t>
      </w:r>
      <w:r w:rsidRPr="009E1E57">
        <w:rPr>
          <w:i/>
        </w:rPr>
        <w:br/>
        <w:t>and Wellbeing 2014–2018</w:t>
      </w:r>
      <w:r w:rsidRPr="009E1E57">
        <w:t>. Wellington: Ministry of Health.</w:t>
      </w:r>
    </w:p>
    <w:p w:rsidR="001D02E3" w:rsidRPr="009E1E57" w:rsidRDefault="001D02E3" w:rsidP="001D02E3">
      <w:pPr>
        <w:pStyle w:val="Imprint"/>
      </w:pPr>
      <w:r w:rsidRPr="009E1E57">
        <w:t>Published in June 2014</w:t>
      </w:r>
      <w:r w:rsidRPr="009E1E57">
        <w:br/>
        <w:t>by the</w:t>
      </w:r>
      <w:r w:rsidR="009345D0">
        <w:t xml:space="preserve"> </w:t>
      </w:r>
      <w:r w:rsidRPr="009E1E57">
        <w:t>Ministry of Health</w:t>
      </w:r>
      <w:r w:rsidRPr="009E1E57">
        <w:br/>
        <w:t>PO Box 5013, Wellington 6145, New Zealand</w:t>
      </w:r>
    </w:p>
    <w:p w:rsidR="001D02E3" w:rsidRPr="009E1E57" w:rsidRDefault="001D02E3" w:rsidP="001D02E3">
      <w:pPr>
        <w:pStyle w:val="Imprint"/>
      </w:pPr>
      <w:r w:rsidRPr="009E1E57">
        <w:t>ISBN 978-0-478-42837-7 (print)</w:t>
      </w:r>
      <w:r w:rsidRPr="009E1E57">
        <w:br/>
        <w:t>ISBN 978-0-478-42838-4 (online)</w:t>
      </w:r>
      <w:r w:rsidRPr="009E1E57">
        <w:br/>
        <w:t>HP</w:t>
      </w:r>
      <w:r w:rsidR="00EF595D" w:rsidRPr="009E1E57">
        <w:t xml:space="preserve"> 5913</w:t>
      </w:r>
    </w:p>
    <w:p w:rsidR="001D02E3" w:rsidRPr="009E1E57" w:rsidRDefault="001D02E3" w:rsidP="001D02E3">
      <w:pPr>
        <w:pStyle w:val="Imprint"/>
      </w:pPr>
      <w:r w:rsidRPr="009E1E57">
        <w:t>This document is available at www.health.govt.nz</w:t>
      </w:r>
    </w:p>
    <w:p w:rsidR="00C86248" w:rsidRPr="009E1E57" w:rsidRDefault="008C64C4">
      <w:pPr>
        <w:jc w:val="center"/>
      </w:pPr>
      <w:r w:rsidRPr="009E1E57">
        <w:rPr>
          <w:noProof/>
          <w:lang w:eastAsia="en-NZ"/>
        </w:rPr>
        <w:drawing>
          <wp:inline distT="0" distB="0" distL="0" distR="0" wp14:anchorId="7420FF6F" wp14:editId="30F44B4C">
            <wp:extent cx="1670685" cy="681355"/>
            <wp:effectExtent l="0" t="0" r="571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grayscl/>
                      <a:extLst>
                        <a:ext uri="{28A0092B-C50C-407E-A947-70E740481C1C}">
                          <a14:useLocalDpi xmlns:a14="http://schemas.microsoft.com/office/drawing/2010/main" val="0"/>
                        </a:ext>
                      </a:extLst>
                    </a:blip>
                    <a:srcRect/>
                    <a:stretch>
                      <a:fillRect/>
                    </a:stretch>
                  </pic:blipFill>
                  <pic:spPr bwMode="auto">
                    <a:xfrm>
                      <a:off x="0" y="0"/>
                      <a:ext cx="1670685" cy="681355"/>
                    </a:xfrm>
                    <a:prstGeom prst="rect">
                      <a:avLst/>
                    </a:prstGeom>
                    <a:noFill/>
                    <a:ln>
                      <a:noFill/>
                    </a:ln>
                  </pic:spPr>
                </pic:pic>
              </a:graphicData>
            </a:graphic>
          </wp:inline>
        </w:drawing>
      </w:r>
    </w:p>
    <w:p w:rsidR="00FE7A07" w:rsidRPr="00D535D0" w:rsidRDefault="00FE7A07" w:rsidP="00FE7A07">
      <w:pPr>
        <w:pStyle w:val="Heading3"/>
        <w:shd w:val="clear" w:color="auto" w:fill="FFFFFF"/>
        <w:ind w:right="-851"/>
        <w:rPr>
          <w:b w:val="0"/>
          <w:sz w:val="22"/>
          <w:szCs w:val="22"/>
        </w:rPr>
      </w:pPr>
      <w:r>
        <w:rPr>
          <w:rStyle w:val="A4"/>
          <w:b w:val="0"/>
          <w:noProof/>
          <w:sz w:val="22"/>
          <w:szCs w:val="22"/>
          <w:lang w:eastAsia="en-NZ"/>
        </w:rPr>
        <w:drawing>
          <wp:inline distT="0" distB="0" distL="0" distR="0">
            <wp:extent cx="809625" cy="285750"/>
            <wp:effectExtent l="0" t="0" r="9525" b="0"/>
            <wp:docPr id="3" name="Picture 3" descr="CC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BY"/>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a:noFill/>
                    </a:ln>
                  </pic:spPr>
                </pic:pic>
              </a:graphicData>
            </a:graphic>
          </wp:inline>
        </w:drawing>
      </w:r>
      <w:r>
        <w:rPr>
          <w:rStyle w:val="A4"/>
          <w:b w:val="0"/>
          <w:sz w:val="22"/>
          <w:szCs w:val="22"/>
        </w:rPr>
        <w:t xml:space="preserve"> </w:t>
      </w:r>
      <w:r w:rsidRPr="00D535D0">
        <w:rPr>
          <w:rStyle w:val="A4"/>
          <w:b w:val="0"/>
          <w:sz w:val="18"/>
          <w:szCs w:val="18"/>
        </w:rPr>
        <w:t>This work is licensed under the Creative Commons Attribution 4.0 Interna</w:t>
      </w:r>
      <w:r>
        <w:rPr>
          <w:rStyle w:val="A4"/>
          <w:b w:val="0"/>
          <w:sz w:val="18"/>
          <w:szCs w:val="18"/>
        </w:rPr>
        <w:t>tional</w:t>
      </w:r>
      <w:r w:rsidRPr="00D535D0">
        <w:rPr>
          <w:rStyle w:val="A4"/>
          <w:b w:val="0"/>
          <w:sz w:val="18"/>
          <w:szCs w:val="18"/>
        </w:rPr>
        <w:t xml:space="preserve"> licence. In essence, </w:t>
      </w:r>
      <w:r w:rsidRPr="00D535D0">
        <w:rPr>
          <w:rFonts w:cs="Arial"/>
          <w:b w:val="0"/>
          <w:bCs/>
          <w:sz w:val="18"/>
          <w:szCs w:val="18"/>
        </w:rPr>
        <w:t xml:space="preserve">you are free to: </w:t>
      </w:r>
      <w:r w:rsidRPr="00D535D0">
        <w:rPr>
          <w:rFonts w:cs="Arial"/>
          <w:b w:val="0"/>
          <w:sz w:val="18"/>
          <w:szCs w:val="18"/>
        </w:rPr>
        <w:t xml:space="preserve">share ie, copy and redistribute the material in any medium or format; adapt ie, remix, transform and build upon the material. </w:t>
      </w:r>
      <w:r w:rsidRPr="00D535D0">
        <w:rPr>
          <w:rFonts w:cs="Arial"/>
          <w:b w:val="0"/>
          <w:bCs/>
          <w:sz w:val="18"/>
          <w:szCs w:val="18"/>
        </w:rPr>
        <w:t>You must give appropriate credit, provide a link to the licence and indicate if changes were made.</w:t>
      </w:r>
    </w:p>
    <w:p w:rsidR="00C86248" w:rsidRPr="009E1E57" w:rsidRDefault="00C86248">
      <w:pPr>
        <w:jc w:val="center"/>
        <w:sectPr w:rsidR="00C86248" w:rsidRPr="009E1E57" w:rsidSect="0016468A">
          <w:footerReference w:type="even" r:id="rId11"/>
          <w:footerReference w:type="default" r:id="rId12"/>
          <w:pgSz w:w="11907" w:h="16834" w:code="9"/>
          <w:pgMar w:top="1701" w:right="1134" w:bottom="1134" w:left="1985" w:header="0" w:footer="0" w:gutter="0"/>
          <w:cols w:space="720"/>
          <w:vAlign w:val="bottom"/>
        </w:sectPr>
      </w:pPr>
      <w:bookmarkStart w:id="0" w:name="_GoBack"/>
      <w:bookmarkEnd w:id="0"/>
    </w:p>
    <w:p w:rsidR="0021763B" w:rsidRPr="009E1E57" w:rsidRDefault="0021763B" w:rsidP="0021763B">
      <w:pPr>
        <w:pStyle w:val="Heading1"/>
      </w:pPr>
      <w:bookmarkStart w:id="1" w:name="_Toc391539849"/>
      <w:bookmarkStart w:id="2" w:name="_Toc405792991"/>
      <w:bookmarkStart w:id="3" w:name="_Toc405793224"/>
      <w:r w:rsidRPr="009E1E57">
        <w:lastRenderedPageBreak/>
        <w:t>Foreword</w:t>
      </w:r>
      <w:bookmarkEnd w:id="1"/>
    </w:p>
    <w:p w:rsidR="00EF595D" w:rsidRPr="009E1E57" w:rsidRDefault="00EF595D" w:rsidP="003D42A4">
      <w:r w:rsidRPr="009E1E57">
        <w:rPr>
          <w:i/>
        </w:rPr>
        <w:t xml:space="preserve">’Ala Mo’ui: Pathways to Pacific Health and Wellbeing 2014–2018 </w:t>
      </w:r>
      <w:r w:rsidRPr="009E1E57">
        <w:t xml:space="preserve">is the Government’s national plan for improving health outcomes for Pacific peoples. It is driven by the vision of achieving health equity for all Pacific peoples in New Zealand. I believe that the very essence of health equity comes from realising that something as precious as health is a citizenship right to which all should be entitled. </w:t>
      </w:r>
      <w:r w:rsidRPr="009E1E57">
        <w:rPr>
          <w:i/>
        </w:rPr>
        <w:t xml:space="preserve">’Ala Mo’ui 2014–2018 </w:t>
      </w:r>
      <w:r w:rsidRPr="009E1E57">
        <w:t>sets</w:t>
      </w:r>
      <w:r w:rsidR="00085832">
        <w:t xml:space="preserve"> </w:t>
      </w:r>
      <w:r w:rsidRPr="009E1E57">
        <w:t>out</w:t>
      </w:r>
      <w:r w:rsidR="00085832">
        <w:t xml:space="preserve"> </w:t>
      </w:r>
      <w:r w:rsidRPr="009E1E57">
        <w:t>the</w:t>
      </w:r>
      <w:r w:rsidR="003D42A4">
        <w:t xml:space="preserve"> </w:t>
      </w:r>
      <w:r w:rsidRPr="009E1E57">
        <w:t>priority outcomes and accompanying actions for the next four</w:t>
      </w:r>
      <w:r w:rsidR="00085832">
        <w:t xml:space="preserve"> </w:t>
      </w:r>
      <w:r w:rsidRPr="009E1E57">
        <w:t>years that will contribute to achieving this vision. It brings together sector-wide initiatives</w:t>
      </w:r>
      <w:r w:rsidR="003D42A4">
        <w:t xml:space="preserve"> </w:t>
      </w:r>
      <w:r w:rsidRPr="009E1E57">
        <w:t>and builds on the progress that has</w:t>
      </w:r>
      <w:r w:rsidR="00085832">
        <w:t xml:space="preserve"> </w:t>
      </w:r>
      <w:r w:rsidRPr="009E1E57">
        <w:t xml:space="preserve">been made with the implementation of the first plan, </w:t>
      </w:r>
      <w:r w:rsidRPr="009E1E57">
        <w:rPr>
          <w:i/>
        </w:rPr>
        <w:t>’Ala Mo’ui</w:t>
      </w:r>
      <w:r w:rsidR="003D42A4">
        <w:rPr>
          <w:i/>
        </w:rPr>
        <w:t xml:space="preserve"> </w:t>
      </w:r>
      <w:r w:rsidRPr="009E1E57">
        <w:rPr>
          <w:i/>
        </w:rPr>
        <w:t>2010–2014</w:t>
      </w:r>
      <w:r w:rsidRPr="009E1E57">
        <w:t>. My ardent belief is that we should be working towards the compliance of district health boards in achieving Pacific health outcomes as a universal expectation from Government. It is about all of us stepping up to deliver.</w:t>
      </w:r>
    </w:p>
    <w:p w:rsidR="00EF595D" w:rsidRPr="009E1E57" w:rsidRDefault="00EF595D" w:rsidP="003D42A4"/>
    <w:p w:rsidR="00EF595D" w:rsidRPr="009E1E57" w:rsidRDefault="00EF595D" w:rsidP="003D42A4">
      <w:r w:rsidRPr="009E1E57">
        <w:t>I am proud of what has</w:t>
      </w:r>
      <w:r w:rsidR="00085832">
        <w:t xml:space="preserve"> </w:t>
      </w:r>
      <w:r w:rsidRPr="009E1E57">
        <w:t xml:space="preserve">been achieved to date with </w:t>
      </w:r>
      <w:r w:rsidRPr="009E1E57">
        <w:rPr>
          <w:i/>
        </w:rPr>
        <w:t>’Ala Mo’ui 2010–2014</w:t>
      </w:r>
      <w:r w:rsidRPr="009E1E57">
        <w:t>. We have increased</w:t>
      </w:r>
      <w:r w:rsidR="003D42A4">
        <w:t xml:space="preserve"> </w:t>
      </w:r>
      <w:r w:rsidRPr="009E1E57">
        <w:t>breast screening coverage for Pacific women to a level that now exceeds the Government’s target of</w:t>
      </w:r>
      <w:r w:rsidR="003D42A4">
        <w:t xml:space="preserve"> </w:t>
      </w:r>
      <w:r w:rsidRPr="009E1E57">
        <w:t>70</w:t>
      </w:r>
      <w:r w:rsidR="003D42A4">
        <w:t> </w:t>
      </w:r>
      <w:r w:rsidRPr="009E1E57">
        <w:t>percent. We have developed some innovative initiatives, such as the Aniva programmes, which support the career development of participating Pacific nurses; and Tapuaki, the first-ever smartphone app for Pacific expectant mothers. We have also successfully established four</w:t>
      </w:r>
      <w:r w:rsidR="00085832">
        <w:t xml:space="preserve"> </w:t>
      </w:r>
      <w:r w:rsidRPr="009E1E57">
        <w:t>Pacific health provider collectives, which will be instrumental in providing a collaborative service approach that strives to address the multiple, layered health needs of Pacific families and communities. These, along with many other successes, provide a springboard for our</w:t>
      </w:r>
      <w:r w:rsidR="00085832">
        <w:t xml:space="preserve"> </w:t>
      </w:r>
      <w:r w:rsidRPr="009E1E57">
        <w:t>efforts over</w:t>
      </w:r>
      <w:r w:rsidR="00085832">
        <w:t xml:space="preserve"> </w:t>
      </w:r>
      <w:r w:rsidRPr="009E1E57">
        <w:t>the next four</w:t>
      </w:r>
      <w:r w:rsidR="00085832">
        <w:t xml:space="preserve"> </w:t>
      </w:r>
      <w:r w:rsidRPr="009E1E57">
        <w:t>years.</w:t>
      </w:r>
    </w:p>
    <w:p w:rsidR="00EF595D" w:rsidRPr="009E1E57" w:rsidRDefault="00EF595D" w:rsidP="003D42A4"/>
    <w:p w:rsidR="00EF595D" w:rsidRPr="009E1E57" w:rsidRDefault="00EF595D" w:rsidP="003D42A4">
      <w:r w:rsidRPr="009E1E57">
        <w:t>Despite the progress being made, there is still much work</w:t>
      </w:r>
      <w:r w:rsidR="00085832">
        <w:t xml:space="preserve"> </w:t>
      </w:r>
      <w:r w:rsidRPr="009E1E57">
        <w:t>to be done. The diversity and unique characteristics of Pacific peoples, coupled with the effects of social and economic issues on the</w:t>
      </w:r>
      <w:r w:rsidR="003D42A4">
        <w:t xml:space="preserve"> </w:t>
      </w:r>
      <w:r w:rsidRPr="009E1E57">
        <w:t>health disparities many Pacific individuals and families experience, continue to pose a real challenge for Government.</w:t>
      </w:r>
    </w:p>
    <w:p w:rsidR="00EF595D" w:rsidRPr="009E1E57" w:rsidRDefault="00EF595D" w:rsidP="003D42A4"/>
    <w:p w:rsidR="00EF595D" w:rsidRPr="009E1E57" w:rsidRDefault="00EF595D" w:rsidP="003D42A4">
      <w:r w:rsidRPr="009E1E57">
        <w:rPr>
          <w:i/>
        </w:rPr>
        <w:t xml:space="preserve">’Ala Mo’ui 2014–2018 </w:t>
      </w:r>
      <w:r w:rsidRPr="009E1E57">
        <w:t>aims to not only keep up the momentum we have achieved to date but also hasten the pace by reinforcing the responsibility and accountability of everyone in the health and disability sector. A collaborative effort and leadership from a strong and trusted workforce are critical as we shift our</w:t>
      </w:r>
      <w:r w:rsidR="00085832">
        <w:t xml:space="preserve"> </w:t>
      </w:r>
      <w:r w:rsidRPr="009E1E57">
        <w:t>health system from a traditional sickness model of health care to a wellness model</w:t>
      </w:r>
      <w:r w:rsidR="003D42A4">
        <w:t xml:space="preserve"> </w:t>
      </w:r>
      <w:r w:rsidRPr="009E1E57">
        <w:t>that is responsive to the specific needs of our</w:t>
      </w:r>
      <w:r w:rsidR="00085832">
        <w:t xml:space="preserve"> </w:t>
      </w:r>
      <w:r w:rsidRPr="009E1E57">
        <w:t>Pacific families. For this reason, workforce and provider development will continue to be a priority. Reflecting this priority, the Pacific Provider Workforce Development Fund has</w:t>
      </w:r>
      <w:r w:rsidR="00085832">
        <w:t xml:space="preserve"> </w:t>
      </w:r>
      <w:r w:rsidRPr="009E1E57">
        <w:t>been incorporated into this refreshed plan.</w:t>
      </w:r>
    </w:p>
    <w:p w:rsidR="00EF595D" w:rsidRPr="009E1E57" w:rsidRDefault="00EF595D" w:rsidP="003D42A4"/>
    <w:p w:rsidR="00EF595D" w:rsidRPr="009E1E57" w:rsidRDefault="00EF595D" w:rsidP="003D42A4">
      <w:r w:rsidRPr="009E1E57">
        <w:t xml:space="preserve">I consider that </w:t>
      </w:r>
      <w:r w:rsidRPr="009E1E57">
        <w:rPr>
          <w:i/>
        </w:rPr>
        <w:t>Nga Vaka o K</w:t>
      </w:r>
      <w:r w:rsidR="003D42A4">
        <w:rPr>
          <w:i/>
        </w:rPr>
        <w:t>ā</w:t>
      </w:r>
      <w:r w:rsidRPr="009E1E57">
        <w:rPr>
          <w:i/>
        </w:rPr>
        <w:t xml:space="preserve">iga Tapu </w:t>
      </w:r>
      <w:r w:rsidRPr="009E1E57">
        <w:t>(Ministry of Social</w:t>
      </w:r>
      <w:r w:rsidR="00085832">
        <w:t xml:space="preserve"> </w:t>
      </w:r>
      <w:r w:rsidRPr="009E1E57">
        <w:t xml:space="preserve">Development 2012a) will be an essential platform for informing the plan. My vision is that the focus on family we see in </w:t>
      </w:r>
      <w:r w:rsidRPr="009E1E57">
        <w:rPr>
          <w:i/>
        </w:rPr>
        <w:t xml:space="preserve">’Ala Mo’ui </w:t>
      </w:r>
      <w:r w:rsidRPr="009E1E57">
        <w:t xml:space="preserve">will be supported by the complementary emphasis in both </w:t>
      </w:r>
      <w:r w:rsidRPr="009E1E57">
        <w:rPr>
          <w:i/>
        </w:rPr>
        <w:t>Nga Vaka o K</w:t>
      </w:r>
      <w:r w:rsidR="003D42A4">
        <w:rPr>
          <w:i/>
        </w:rPr>
        <w:t>ā</w:t>
      </w:r>
      <w:r w:rsidRPr="009E1E57">
        <w:rPr>
          <w:i/>
        </w:rPr>
        <w:t xml:space="preserve">iga Tapu </w:t>
      </w:r>
      <w:r w:rsidRPr="009E1E57">
        <w:t>and whānau ora.</w:t>
      </w:r>
    </w:p>
    <w:p w:rsidR="00EF595D" w:rsidRPr="009E1E57" w:rsidRDefault="00EF595D" w:rsidP="003D42A4"/>
    <w:p w:rsidR="00EF595D" w:rsidRPr="009E1E57" w:rsidRDefault="00EF595D" w:rsidP="003D42A4">
      <w:r w:rsidRPr="009E1E57">
        <w:t>New Zealand’s Pacific population is growing about three times faster than the rest of the New Zealand population. Pacific communities bring youth and vigour into an ageing New Zealand population. The contributions that Pacific peoples make to New Zealand’s society, economy and identity will form an increasingly important part of the future New Zealand. To realise the full potential of this contribution, we need to ensure our</w:t>
      </w:r>
      <w:r w:rsidR="00085832">
        <w:t xml:space="preserve"> </w:t>
      </w:r>
      <w:r w:rsidRPr="009E1E57">
        <w:t>Pacific peoples are able</w:t>
      </w:r>
      <w:r w:rsidR="00085832">
        <w:t xml:space="preserve"> </w:t>
      </w:r>
      <w:r w:rsidRPr="009E1E57">
        <w:t>to lead longer, healthier and more independent lives.</w:t>
      </w:r>
    </w:p>
    <w:p w:rsidR="003D42A4" w:rsidRDefault="003D42A4" w:rsidP="003D42A4"/>
    <w:p w:rsidR="003D42A4" w:rsidRPr="009E1E57" w:rsidRDefault="00EF595D" w:rsidP="003D42A4">
      <w:pPr>
        <w:keepNext/>
      </w:pPr>
      <w:r w:rsidRPr="009E1E57">
        <w:lastRenderedPageBreak/>
        <w:t>We need to ensure that Pacific peoples realise their right to health equity. This</w:t>
      </w:r>
      <w:r w:rsidR="00085832">
        <w:t xml:space="preserve"> </w:t>
      </w:r>
      <w:r w:rsidRPr="009E1E57">
        <w:t>is the challenge that lies</w:t>
      </w:r>
      <w:r w:rsidR="003D42A4">
        <w:t xml:space="preserve"> </w:t>
      </w:r>
      <w:r w:rsidR="003D42A4" w:rsidRPr="009E1E57">
        <w:t>ahead, and it will take the Government, health services and communities working together in new</w:t>
      </w:r>
      <w:r w:rsidR="003D42A4">
        <w:t xml:space="preserve"> </w:t>
      </w:r>
      <w:r w:rsidR="003D42A4" w:rsidRPr="009E1E57">
        <w:t xml:space="preserve">and different ways to make this vision a reality. </w:t>
      </w:r>
      <w:r w:rsidR="003D42A4" w:rsidRPr="009E1E57">
        <w:rPr>
          <w:i/>
        </w:rPr>
        <w:t xml:space="preserve">’Ala Mo’ui 2014–2018 </w:t>
      </w:r>
      <w:r w:rsidR="003D42A4" w:rsidRPr="009E1E57">
        <w:t>and the actions identified within it will help guide us over</w:t>
      </w:r>
      <w:r w:rsidR="003D42A4">
        <w:t xml:space="preserve"> </w:t>
      </w:r>
      <w:r w:rsidR="003D42A4" w:rsidRPr="009E1E57">
        <w:t>the next four</w:t>
      </w:r>
      <w:r w:rsidR="003D42A4">
        <w:t xml:space="preserve"> </w:t>
      </w:r>
      <w:r w:rsidR="003D42A4" w:rsidRPr="009E1E57">
        <w:t>years of this journey.</w:t>
      </w:r>
    </w:p>
    <w:p w:rsidR="003D42A4" w:rsidRPr="009E1E57" w:rsidRDefault="003D42A4" w:rsidP="003D42A4"/>
    <w:p w:rsidR="003D42A4" w:rsidRPr="009E1E57" w:rsidRDefault="003D42A4" w:rsidP="003D42A4">
      <w:r w:rsidRPr="009E1E57">
        <w:t xml:space="preserve">I look forward to seeing a significant lift in the health outcomes for Pacific peoples with the implementation of </w:t>
      </w:r>
      <w:r w:rsidRPr="009E1E57">
        <w:rPr>
          <w:i/>
        </w:rPr>
        <w:t xml:space="preserve">’Ala Mo’ui 2014–2018 </w:t>
      </w:r>
      <w:r w:rsidRPr="009E1E57">
        <w:t>and thank all those who</w:t>
      </w:r>
      <w:r>
        <w:t xml:space="preserve"> </w:t>
      </w:r>
      <w:r w:rsidRPr="009E1E57">
        <w:t>have contributed to this refreshed plan.</w:t>
      </w:r>
    </w:p>
    <w:p w:rsidR="003D42A4" w:rsidRPr="009E1E57" w:rsidRDefault="003D42A4" w:rsidP="003D42A4"/>
    <w:p w:rsidR="003D42A4" w:rsidRPr="009E1E57" w:rsidRDefault="003D42A4" w:rsidP="003D42A4">
      <w:r w:rsidRPr="009E1E57">
        <w:t>Hon Tariana Turia</w:t>
      </w:r>
    </w:p>
    <w:p w:rsidR="003D42A4" w:rsidRPr="009E1E57" w:rsidRDefault="003D42A4" w:rsidP="003D42A4">
      <w:r w:rsidRPr="009E1E57">
        <w:t>Associate Minister of Health</w:t>
      </w:r>
    </w:p>
    <w:p w:rsidR="003D42A4" w:rsidRPr="009E1E57" w:rsidRDefault="003D42A4" w:rsidP="003D42A4"/>
    <w:p w:rsidR="003D42A4" w:rsidRDefault="003D42A4" w:rsidP="003D42A4">
      <w:r>
        <w:br w:type="page"/>
      </w:r>
    </w:p>
    <w:p w:rsidR="00C86248" w:rsidRPr="009E1E57" w:rsidRDefault="00C86248">
      <w:pPr>
        <w:pStyle w:val="IntroHead"/>
      </w:pPr>
      <w:r w:rsidRPr="009E1E57">
        <w:lastRenderedPageBreak/>
        <w:t>Contents</w:t>
      </w:r>
      <w:bookmarkEnd w:id="2"/>
      <w:bookmarkEnd w:id="3"/>
    </w:p>
    <w:p w:rsidR="00BF7069" w:rsidRDefault="00C86248">
      <w:pPr>
        <w:pStyle w:val="TOC1"/>
        <w:rPr>
          <w:rFonts w:asciiTheme="minorHAnsi" w:eastAsiaTheme="minorEastAsia" w:hAnsiTheme="minorHAnsi" w:cstheme="minorBidi"/>
          <w:b w:val="0"/>
          <w:noProof/>
          <w:szCs w:val="22"/>
          <w:lang w:eastAsia="en-NZ"/>
        </w:rPr>
      </w:pPr>
      <w:r w:rsidRPr="009E1E57">
        <w:rPr>
          <w:b w:val="0"/>
        </w:rPr>
        <w:fldChar w:fldCharType="begin"/>
      </w:r>
      <w:r w:rsidRPr="009E1E57">
        <w:instrText xml:space="preserve"> TOC \o "1-2" </w:instrText>
      </w:r>
      <w:r w:rsidRPr="009E1E57">
        <w:rPr>
          <w:b w:val="0"/>
        </w:rPr>
        <w:fldChar w:fldCharType="separate"/>
      </w:r>
      <w:r w:rsidR="00BF7069">
        <w:rPr>
          <w:noProof/>
        </w:rPr>
        <w:t>Foreword</w:t>
      </w:r>
      <w:r w:rsidR="00BF7069">
        <w:rPr>
          <w:noProof/>
        </w:rPr>
        <w:tab/>
      </w:r>
      <w:r w:rsidR="00BF7069">
        <w:rPr>
          <w:noProof/>
        </w:rPr>
        <w:fldChar w:fldCharType="begin"/>
      </w:r>
      <w:r w:rsidR="00BF7069">
        <w:rPr>
          <w:noProof/>
        </w:rPr>
        <w:instrText xml:space="preserve"> PAGEREF _Toc391539849 \h </w:instrText>
      </w:r>
      <w:r w:rsidR="00BF7069">
        <w:rPr>
          <w:noProof/>
        </w:rPr>
      </w:r>
      <w:r w:rsidR="00BF7069">
        <w:rPr>
          <w:noProof/>
        </w:rPr>
        <w:fldChar w:fldCharType="separate"/>
      </w:r>
      <w:r w:rsidR="000D09E8">
        <w:rPr>
          <w:noProof/>
        </w:rPr>
        <w:t>iii</w:t>
      </w:r>
      <w:r w:rsidR="00BF7069">
        <w:rPr>
          <w:noProof/>
        </w:rPr>
        <w:fldChar w:fldCharType="end"/>
      </w:r>
    </w:p>
    <w:p w:rsidR="00BF7069" w:rsidRDefault="00BF7069">
      <w:pPr>
        <w:pStyle w:val="TOC1"/>
        <w:rPr>
          <w:rFonts w:asciiTheme="minorHAnsi" w:eastAsiaTheme="minorEastAsia" w:hAnsiTheme="minorHAnsi" w:cstheme="minorBidi"/>
          <w:b w:val="0"/>
          <w:noProof/>
          <w:szCs w:val="22"/>
          <w:lang w:eastAsia="en-NZ"/>
        </w:rPr>
      </w:pPr>
      <w:r>
        <w:rPr>
          <w:noProof/>
        </w:rPr>
        <w:t>Introduction from the Chief Advisor, Pacific Health</w:t>
      </w:r>
      <w:r>
        <w:rPr>
          <w:noProof/>
        </w:rPr>
        <w:tab/>
      </w:r>
      <w:r>
        <w:rPr>
          <w:noProof/>
        </w:rPr>
        <w:fldChar w:fldCharType="begin"/>
      </w:r>
      <w:r>
        <w:rPr>
          <w:noProof/>
        </w:rPr>
        <w:instrText xml:space="preserve"> PAGEREF _Toc391539850 \h </w:instrText>
      </w:r>
      <w:r>
        <w:rPr>
          <w:noProof/>
        </w:rPr>
      </w:r>
      <w:r>
        <w:rPr>
          <w:noProof/>
        </w:rPr>
        <w:fldChar w:fldCharType="separate"/>
      </w:r>
      <w:r w:rsidR="000D09E8">
        <w:rPr>
          <w:noProof/>
        </w:rPr>
        <w:t>1</w:t>
      </w:r>
      <w:r>
        <w:rPr>
          <w:noProof/>
        </w:rPr>
        <w:fldChar w:fldCharType="end"/>
      </w:r>
    </w:p>
    <w:p w:rsidR="00BF7069" w:rsidRDefault="00BF7069">
      <w:pPr>
        <w:pStyle w:val="TOC1"/>
        <w:rPr>
          <w:rFonts w:asciiTheme="minorHAnsi" w:eastAsiaTheme="minorEastAsia" w:hAnsiTheme="minorHAnsi" w:cstheme="minorBidi"/>
          <w:b w:val="0"/>
          <w:noProof/>
          <w:szCs w:val="22"/>
          <w:lang w:eastAsia="en-NZ"/>
        </w:rPr>
      </w:pPr>
      <w:r>
        <w:rPr>
          <w:noProof/>
        </w:rPr>
        <w:t>Purpose</w:t>
      </w:r>
      <w:r>
        <w:rPr>
          <w:noProof/>
        </w:rPr>
        <w:tab/>
      </w:r>
      <w:r>
        <w:rPr>
          <w:noProof/>
        </w:rPr>
        <w:fldChar w:fldCharType="begin"/>
      </w:r>
      <w:r>
        <w:rPr>
          <w:noProof/>
        </w:rPr>
        <w:instrText xml:space="preserve"> PAGEREF _Toc391539851 \h </w:instrText>
      </w:r>
      <w:r>
        <w:rPr>
          <w:noProof/>
        </w:rPr>
      </w:r>
      <w:r>
        <w:rPr>
          <w:noProof/>
        </w:rPr>
        <w:fldChar w:fldCharType="separate"/>
      </w:r>
      <w:r w:rsidR="000D09E8">
        <w:rPr>
          <w:noProof/>
        </w:rPr>
        <w:t>2</w:t>
      </w:r>
      <w:r>
        <w:rPr>
          <w:noProof/>
        </w:rPr>
        <w:fldChar w:fldCharType="end"/>
      </w:r>
    </w:p>
    <w:p w:rsidR="00BF7069" w:rsidRDefault="00BF7069">
      <w:pPr>
        <w:pStyle w:val="TOC1"/>
        <w:rPr>
          <w:rFonts w:asciiTheme="minorHAnsi" w:eastAsiaTheme="minorEastAsia" w:hAnsiTheme="minorHAnsi" w:cstheme="minorBidi"/>
          <w:b w:val="0"/>
          <w:noProof/>
          <w:szCs w:val="22"/>
          <w:lang w:eastAsia="en-NZ"/>
        </w:rPr>
      </w:pPr>
      <w:r>
        <w:rPr>
          <w:noProof/>
        </w:rPr>
        <w:t xml:space="preserve">Who should use </w:t>
      </w:r>
      <w:r w:rsidRPr="00253972">
        <w:rPr>
          <w:i/>
          <w:noProof/>
        </w:rPr>
        <w:t>’Ala Mo’ui</w:t>
      </w:r>
      <w:r>
        <w:rPr>
          <w:noProof/>
        </w:rPr>
        <w:t>?</w:t>
      </w:r>
      <w:r>
        <w:rPr>
          <w:noProof/>
        </w:rPr>
        <w:tab/>
      </w:r>
      <w:r>
        <w:rPr>
          <w:noProof/>
        </w:rPr>
        <w:fldChar w:fldCharType="begin"/>
      </w:r>
      <w:r>
        <w:rPr>
          <w:noProof/>
        </w:rPr>
        <w:instrText xml:space="preserve"> PAGEREF _Toc391539852 \h </w:instrText>
      </w:r>
      <w:r>
        <w:rPr>
          <w:noProof/>
        </w:rPr>
      </w:r>
      <w:r>
        <w:rPr>
          <w:noProof/>
        </w:rPr>
        <w:fldChar w:fldCharType="separate"/>
      </w:r>
      <w:r w:rsidR="000D09E8">
        <w:rPr>
          <w:noProof/>
        </w:rPr>
        <w:t>3</w:t>
      </w:r>
      <w:r>
        <w:rPr>
          <w:noProof/>
        </w:rPr>
        <w:fldChar w:fldCharType="end"/>
      </w:r>
    </w:p>
    <w:p w:rsidR="00BF7069" w:rsidRDefault="00BF7069">
      <w:pPr>
        <w:pStyle w:val="TOC1"/>
        <w:rPr>
          <w:rFonts w:asciiTheme="minorHAnsi" w:eastAsiaTheme="minorEastAsia" w:hAnsiTheme="minorHAnsi" w:cstheme="minorBidi"/>
          <w:b w:val="0"/>
          <w:noProof/>
          <w:szCs w:val="22"/>
          <w:lang w:eastAsia="en-NZ"/>
        </w:rPr>
      </w:pPr>
      <w:r>
        <w:rPr>
          <w:noProof/>
        </w:rPr>
        <w:t>Focus of this plan</w:t>
      </w:r>
      <w:r>
        <w:rPr>
          <w:noProof/>
        </w:rPr>
        <w:tab/>
      </w:r>
      <w:r>
        <w:rPr>
          <w:noProof/>
        </w:rPr>
        <w:fldChar w:fldCharType="begin"/>
      </w:r>
      <w:r>
        <w:rPr>
          <w:noProof/>
        </w:rPr>
        <w:instrText xml:space="preserve"> PAGEREF _Toc391539853 \h </w:instrText>
      </w:r>
      <w:r>
        <w:rPr>
          <w:noProof/>
        </w:rPr>
      </w:r>
      <w:r>
        <w:rPr>
          <w:noProof/>
        </w:rPr>
        <w:fldChar w:fldCharType="separate"/>
      </w:r>
      <w:r w:rsidR="000D09E8">
        <w:rPr>
          <w:noProof/>
        </w:rPr>
        <w:t>4</w:t>
      </w:r>
      <w:r>
        <w:rPr>
          <w:noProof/>
        </w:rPr>
        <w:fldChar w:fldCharType="end"/>
      </w:r>
    </w:p>
    <w:p w:rsidR="00BF7069" w:rsidRDefault="00BF7069">
      <w:pPr>
        <w:pStyle w:val="TOC1"/>
        <w:rPr>
          <w:rFonts w:asciiTheme="minorHAnsi" w:eastAsiaTheme="minorEastAsia" w:hAnsiTheme="minorHAnsi" w:cstheme="minorBidi"/>
          <w:b w:val="0"/>
          <w:noProof/>
          <w:szCs w:val="22"/>
          <w:lang w:eastAsia="en-NZ"/>
        </w:rPr>
      </w:pPr>
      <w:r>
        <w:rPr>
          <w:noProof/>
        </w:rPr>
        <w:t>Government goals</w:t>
      </w:r>
      <w:r>
        <w:rPr>
          <w:noProof/>
        </w:rPr>
        <w:tab/>
      </w:r>
      <w:r>
        <w:rPr>
          <w:noProof/>
        </w:rPr>
        <w:fldChar w:fldCharType="begin"/>
      </w:r>
      <w:r>
        <w:rPr>
          <w:noProof/>
        </w:rPr>
        <w:instrText xml:space="preserve"> PAGEREF _Toc391539854 \h </w:instrText>
      </w:r>
      <w:r>
        <w:rPr>
          <w:noProof/>
        </w:rPr>
      </w:r>
      <w:r>
        <w:rPr>
          <w:noProof/>
        </w:rPr>
        <w:fldChar w:fldCharType="separate"/>
      </w:r>
      <w:r w:rsidR="000D09E8">
        <w:rPr>
          <w:noProof/>
        </w:rPr>
        <w:t>5</w:t>
      </w:r>
      <w:r>
        <w:rPr>
          <w:noProof/>
        </w:rPr>
        <w:fldChar w:fldCharType="end"/>
      </w:r>
    </w:p>
    <w:p w:rsidR="00BF7069" w:rsidRDefault="00BF7069">
      <w:pPr>
        <w:pStyle w:val="TOC2"/>
        <w:rPr>
          <w:rFonts w:asciiTheme="minorHAnsi" w:eastAsiaTheme="minorEastAsia" w:hAnsiTheme="minorHAnsi" w:cstheme="minorBidi"/>
          <w:noProof/>
          <w:szCs w:val="22"/>
          <w:lang w:eastAsia="en-NZ"/>
        </w:rPr>
      </w:pPr>
      <w:r>
        <w:rPr>
          <w:noProof/>
        </w:rPr>
        <w:t>Whānau ora and integrated service delivery</w:t>
      </w:r>
      <w:r>
        <w:rPr>
          <w:noProof/>
        </w:rPr>
        <w:tab/>
      </w:r>
      <w:r>
        <w:rPr>
          <w:noProof/>
        </w:rPr>
        <w:fldChar w:fldCharType="begin"/>
      </w:r>
      <w:r>
        <w:rPr>
          <w:noProof/>
        </w:rPr>
        <w:instrText xml:space="preserve"> PAGEREF _Toc391539855 \h </w:instrText>
      </w:r>
      <w:r>
        <w:rPr>
          <w:noProof/>
        </w:rPr>
      </w:r>
      <w:r>
        <w:rPr>
          <w:noProof/>
        </w:rPr>
        <w:fldChar w:fldCharType="separate"/>
      </w:r>
      <w:r w:rsidR="000D09E8">
        <w:rPr>
          <w:noProof/>
        </w:rPr>
        <w:t>5</w:t>
      </w:r>
      <w:r>
        <w:rPr>
          <w:noProof/>
        </w:rPr>
        <w:fldChar w:fldCharType="end"/>
      </w:r>
    </w:p>
    <w:p w:rsidR="00BF7069" w:rsidRDefault="00BF7069">
      <w:pPr>
        <w:pStyle w:val="TOC1"/>
        <w:rPr>
          <w:rFonts w:asciiTheme="minorHAnsi" w:eastAsiaTheme="minorEastAsia" w:hAnsiTheme="minorHAnsi" w:cstheme="minorBidi"/>
          <w:b w:val="0"/>
          <w:noProof/>
          <w:szCs w:val="22"/>
          <w:lang w:eastAsia="en-NZ"/>
        </w:rPr>
      </w:pPr>
      <w:r>
        <w:rPr>
          <w:noProof/>
        </w:rPr>
        <w:t>Pacific principles</w:t>
      </w:r>
      <w:r>
        <w:rPr>
          <w:noProof/>
        </w:rPr>
        <w:tab/>
      </w:r>
      <w:r>
        <w:rPr>
          <w:noProof/>
        </w:rPr>
        <w:fldChar w:fldCharType="begin"/>
      </w:r>
      <w:r>
        <w:rPr>
          <w:noProof/>
        </w:rPr>
        <w:instrText xml:space="preserve"> PAGEREF _Toc391539856 \h </w:instrText>
      </w:r>
      <w:r>
        <w:rPr>
          <w:noProof/>
        </w:rPr>
      </w:r>
      <w:r>
        <w:rPr>
          <w:noProof/>
        </w:rPr>
        <w:fldChar w:fldCharType="separate"/>
      </w:r>
      <w:r w:rsidR="000D09E8">
        <w:rPr>
          <w:noProof/>
        </w:rPr>
        <w:t>6</w:t>
      </w:r>
      <w:r>
        <w:rPr>
          <w:noProof/>
        </w:rPr>
        <w:fldChar w:fldCharType="end"/>
      </w:r>
    </w:p>
    <w:p w:rsidR="00BF7069" w:rsidRDefault="00BF7069">
      <w:pPr>
        <w:pStyle w:val="TOC2"/>
        <w:rPr>
          <w:rFonts w:asciiTheme="minorHAnsi" w:eastAsiaTheme="minorEastAsia" w:hAnsiTheme="minorHAnsi" w:cstheme="minorBidi"/>
          <w:noProof/>
          <w:szCs w:val="22"/>
          <w:lang w:eastAsia="en-NZ"/>
        </w:rPr>
      </w:pPr>
      <w:r>
        <w:rPr>
          <w:noProof/>
        </w:rPr>
        <w:t>Respecting Pacific culture</w:t>
      </w:r>
      <w:r>
        <w:rPr>
          <w:noProof/>
        </w:rPr>
        <w:tab/>
      </w:r>
      <w:r>
        <w:rPr>
          <w:noProof/>
        </w:rPr>
        <w:fldChar w:fldCharType="begin"/>
      </w:r>
      <w:r>
        <w:rPr>
          <w:noProof/>
        </w:rPr>
        <w:instrText xml:space="preserve"> PAGEREF _Toc391539857 \h </w:instrText>
      </w:r>
      <w:r>
        <w:rPr>
          <w:noProof/>
        </w:rPr>
      </w:r>
      <w:r>
        <w:rPr>
          <w:noProof/>
        </w:rPr>
        <w:fldChar w:fldCharType="separate"/>
      </w:r>
      <w:r w:rsidR="000D09E8">
        <w:rPr>
          <w:noProof/>
        </w:rPr>
        <w:t>6</w:t>
      </w:r>
      <w:r>
        <w:rPr>
          <w:noProof/>
        </w:rPr>
        <w:fldChar w:fldCharType="end"/>
      </w:r>
    </w:p>
    <w:p w:rsidR="00BF7069" w:rsidRDefault="00BF7069">
      <w:pPr>
        <w:pStyle w:val="TOC2"/>
        <w:rPr>
          <w:rFonts w:asciiTheme="minorHAnsi" w:eastAsiaTheme="minorEastAsia" w:hAnsiTheme="minorHAnsi" w:cstheme="minorBidi"/>
          <w:noProof/>
          <w:szCs w:val="22"/>
          <w:lang w:eastAsia="en-NZ"/>
        </w:rPr>
      </w:pPr>
      <w:r>
        <w:rPr>
          <w:noProof/>
        </w:rPr>
        <w:t>Valuing ’āiga, kāiga, magafaoa, kōpū tangata, vuvale, fāmili (family) and communities</w:t>
      </w:r>
      <w:r>
        <w:rPr>
          <w:noProof/>
        </w:rPr>
        <w:tab/>
      </w:r>
      <w:r>
        <w:rPr>
          <w:noProof/>
        </w:rPr>
        <w:fldChar w:fldCharType="begin"/>
      </w:r>
      <w:r>
        <w:rPr>
          <w:noProof/>
        </w:rPr>
        <w:instrText xml:space="preserve"> PAGEREF _Toc391539858 \h </w:instrText>
      </w:r>
      <w:r>
        <w:rPr>
          <w:noProof/>
        </w:rPr>
      </w:r>
      <w:r>
        <w:rPr>
          <w:noProof/>
        </w:rPr>
        <w:fldChar w:fldCharType="separate"/>
      </w:r>
      <w:r w:rsidR="000D09E8">
        <w:rPr>
          <w:noProof/>
        </w:rPr>
        <w:t>6</w:t>
      </w:r>
      <w:r>
        <w:rPr>
          <w:noProof/>
        </w:rPr>
        <w:fldChar w:fldCharType="end"/>
      </w:r>
    </w:p>
    <w:p w:rsidR="00BF7069" w:rsidRDefault="00BF7069">
      <w:pPr>
        <w:pStyle w:val="TOC2"/>
        <w:rPr>
          <w:rFonts w:asciiTheme="minorHAnsi" w:eastAsiaTheme="minorEastAsia" w:hAnsiTheme="minorHAnsi" w:cstheme="minorBidi"/>
          <w:noProof/>
          <w:szCs w:val="22"/>
          <w:lang w:eastAsia="en-NZ"/>
        </w:rPr>
      </w:pPr>
      <w:r>
        <w:rPr>
          <w:noProof/>
        </w:rPr>
        <w:t>Quality health care</w:t>
      </w:r>
      <w:r>
        <w:rPr>
          <w:noProof/>
        </w:rPr>
        <w:tab/>
      </w:r>
      <w:r>
        <w:rPr>
          <w:noProof/>
        </w:rPr>
        <w:fldChar w:fldCharType="begin"/>
      </w:r>
      <w:r>
        <w:rPr>
          <w:noProof/>
        </w:rPr>
        <w:instrText xml:space="preserve"> PAGEREF _Toc391539859 \h </w:instrText>
      </w:r>
      <w:r>
        <w:rPr>
          <w:noProof/>
        </w:rPr>
      </w:r>
      <w:r>
        <w:rPr>
          <w:noProof/>
        </w:rPr>
        <w:fldChar w:fldCharType="separate"/>
      </w:r>
      <w:r w:rsidR="000D09E8">
        <w:rPr>
          <w:noProof/>
        </w:rPr>
        <w:t>6</w:t>
      </w:r>
      <w:r>
        <w:rPr>
          <w:noProof/>
        </w:rPr>
        <w:fldChar w:fldCharType="end"/>
      </w:r>
    </w:p>
    <w:p w:rsidR="00BF7069" w:rsidRDefault="00BF7069">
      <w:pPr>
        <w:pStyle w:val="TOC2"/>
        <w:rPr>
          <w:rFonts w:asciiTheme="minorHAnsi" w:eastAsiaTheme="minorEastAsia" w:hAnsiTheme="minorHAnsi" w:cstheme="minorBidi"/>
          <w:noProof/>
          <w:szCs w:val="22"/>
          <w:lang w:eastAsia="en-NZ"/>
        </w:rPr>
      </w:pPr>
      <w:r>
        <w:rPr>
          <w:noProof/>
        </w:rPr>
        <w:t>Working together – integration</w:t>
      </w:r>
      <w:r>
        <w:rPr>
          <w:noProof/>
        </w:rPr>
        <w:tab/>
      </w:r>
      <w:r>
        <w:rPr>
          <w:noProof/>
        </w:rPr>
        <w:fldChar w:fldCharType="begin"/>
      </w:r>
      <w:r>
        <w:rPr>
          <w:noProof/>
        </w:rPr>
        <w:instrText xml:space="preserve"> PAGEREF _Toc391539860 \h </w:instrText>
      </w:r>
      <w:r>
        <w:rPr>
          <w:noProof/>
        </w:rPr>
      </w:r>
      <w:r>
        <w:rPr>
          <w:noProof/>
        </w:rPr>
        <w:fldChar w:fldCharType="separate"/>
      </w:r>
      <w:r w:rsidR="000D09E8">
        <w:rPr>
          <w:noProof/>
        </w:rPr>
        <w:t>7</w:t>
      </w:r>
      <w:r>
        <w:rPr>
          <w:noProof/>
        </w:rPr>
        <w:fldChar w:fldCharType="end"/>
      </w:r>
    </w:p>
    <w:p w:rsidR="00BF7069" w:rsidRDefault="00BF7069">
      <w:pPr>
        <w:pStyle w:val="TOC1"/>
        <w:rPr>
          <w:rFonts w:asciiTheme="minorHAnsi" w:eastAsiaTheme="minorEastAsia" w:hAnsiTheme="minorHAnsi" w:cstheme="minorBidi"/>
          <w:b w:val="0"/>
          <w:noProof/>
          <w:szCs w:val="22"/>
          <w:lang w:eastAsia="en-NZ"/>
        </w:rPr>
      </w:pPr>
      <w:r>
        <w:rPr>
          <w:noProof/>
        </w:rPr>
        <w:t>Enablers of outcomes</w:t>
      </w:r>
      <w:r>
        <w:rPr>
          <w:noProof/>
        </w:rPr>
        <w:tab/>
      </w:r>
      <w:r>
        <w:rPr>
          <w:noProof/>
        </w:rPr>
        <w:fldChar w:fldCharType="begin"/>
      </w:r>
      <w:r>
        <w:rPr>
          <w:noProof/>
        </w:rPr>
        <w:instrText xml:space="preserve"> PAGEREF _Toc391539861 \h </w:instrText>
      </w:r>
      <w:r>
        <w:rPr>
          <w:noProof/>
        </w:rPr>
      </w:r>
      <w:r>
        <w:rPr>
          <w:noProof/>
        </w:rPr>
        <w:fldChar w:fldCharType="separate"/>
      </w:r>
      <w:r w:rsidR="000D09E8">
        <w:rPr>
          <w:noProof/>
        </w:rPr>
        <w:t>8</w:t>
      </w:r>
      <w:r>
        <w:rPr>
          <w:noProof/>
        </w:rPr>
        <w:fldChar w:fldCharType="end"/>
      </w:r>
    </w:p>
    <w:p w:rsidR="00BF7069" w:rsidRDefault="00BF7069">
      <w:pPr>
        <w:pStyle w:val="TOC2"/>
        <w:rPr>
          <w:rFonts w:asciiTheme="minorHAnsi" w:eastAsiaTheme="minorEastAsia" w:hAnsiTheme="minorHAnsi" w:cstheme="minorBidi"/>
          <w:noProof/>
          <w:szCs w:val="22"/>
          <w:lang w:eastAsia="en-NZ"/>
        </w:rPr>
      </w:pPr>
      <w:r>
        <w:rPr>
          <w:noProof/>
        </w:rPr>
        <w:t>Increased Pacific responsiveness of the general New Zealand health and disability workforce</w:t>
      </w:r>
      <w:r>
        <w:rPr>
          <w:noProof/>
        </w:rPr>
        <w:tab/>
      </w:r>
      <w:r>
        <w:rPr>
          <w:noProof/>
        </w:rPr>
        <w:fldChar w:fldCharType="begin"/>
      </w:r>
      <w:r>
        <w:rPr>
          <w:noProof/>
        </w:rPr>
        <w:instrText xml:space="preserve"> PAGEREF _Toc391539862 \h </w:instrText>
      </w:r>
      <w:r>
        <w:rPr>
          <w:noProof/>
        </w:rPr>
      </w:r>
      <w:r>
        <w:rPr>
          <w:noProof/>
        </w:rPr>
        <w:fldChar w:fldCharType="separate"/>
      </w:r>
      <w:r w:rsidR="000D09E8">
        <w:rPr>
          <w:noProof/>
        </w:rPr>
        <w:t>8</w:t>
      </w:r>
      <w:r>
        <w:rPr>
          <w:noProof/>
        </w:rPr>
        <w:fldChar w:fldCharType="end"/>
      </w:r>
    </w:p>
    <w:p w:rsidR="00BF7069" w:rsidRDefault="00BF7069">
      <w:pPr>
        <w:pStyle w:val="TOC1"/>
        <w:rPr>
          <w:rFonts w:asciiTheme="minorHAnsi" w:eastAsiaTheme="minorEastAsia" w:hAnsiTheme="minorHAnsi" w:cstheme="minorBidi"/>
          <w:b w:val="0"/>
          <w:noProof/>
          <w:szCs w:val="22"/>
          <w:lang w:eastAsia="en-NZ"/>
        </w:rPr>
      </w:pPr>
      <w:r>
        <w:rPr>
          <w:noProof/>
        </w:rPr>
        <w:t>Priority outcomes and actions</w:t>
      </w:r>
      <w:r>
        <w:rPr>
          <w:noProof/>
        </w:rPr>
        <w:tab/>
      </w:r>
      <w:r>
        <w:rPr>
          <w:noProof/>
        </w:rPr>
        <w:fldChar w:fldCharType="begin"/>
      </w:r>
      <w:r>
        <w:rPr>
          <w:noProof/>
        </w:rPr>
        <w:instrText xml:space="preserve"> PAGEREF _Toc391539863 \h </w:instrText>
      </w:r>
      <w:r>
        <w:rPr>
          <w:noProof/>
        </w:rPr>
      </w:r>
      <w:r>
        <w:rPr>
          <w:noProof/>
        </w:rPr>
        <w:fldChar w:fldCharType="separate"/>
      </w:r>
      <w:r w:rsidR="000D09E8">
        <w:rPr>
          <w:noProof/>
        </w:rPr>
        <w:t>12</w:t>
      </w:r>
      <w:r>
        <w:rPr>
          <w:noProof/>
        </w:rPr>
        <w:fldChar w:fldCharType="end"/>
      </w:r>
    </w:p>
    <w:p w:rsidR="00BF7069" w:rsidRDefault="00BF7069">
      <w:pPr>
        <w:pStyle w:val="TOC2"/>
        <w:rPr>
          <w:rFonts w:asciiTheme="minorHAnsi" w:eastAsiaTheme="minorEastAsia" w:hAnsiTheme="minorHAnsi" w:cstheme="minorBidi"/>
          <w:noProof/>
          <w:szCs w:val="22"/>
          <w:lang w:eastAsia="en-NZ"/>
        </w:rPr>
      </w:pPr>
      <w:r>
        <w:rPr>
          <w:noProof/>
        </w:rPr>
        <w:t>Outcomes framework</w:t>
      </w:r>
      <w:r>
        <w:rPr>
          <w:noProof/>
        </w:rPr>
        <w:tab/>
      </w:r>
      <w:r>
        <w:rPr>
          <w:noProof/>
        </w:rPr>
        <w:fldChar w:fldCharType="begin"/>
      </w:r>
      <w:r>
        <w:rPr>
          <w:noProof/>
        </w:rPr>
        <w:instrText xml:space="preserve"> PAGEREF _Toc391539864 \h </w:instrText>
      </w:r>
      <w:r>
        <w:rPr>
          <w:noProof/>
        </w:rPr>
      </w:r>
      <w:r>
        <w:rPr>
          <w:noProof/>
        </w:rPr>
        <w:fldChar w:fldCharType="separate"/>
      </w:r>
      <w:r w:rsidR="000D09E8">
        <w:rPr>
          <w:noProof/>
        </w:rPr>
        <w:t>13</w:t>
      </w:r>
      <w:r>
        <w:rPr>
          <w:noProof/>
        </w:rPr>
        <w:fldChar w:fldCharType="end"/>
      </w:r>
    </w:p>
    <w:p w:rsidR="00BF7069" w:rsidRDefault="00BF7069">
      <w:pPr>
        <w:pStyle w:val="TOC2"/>
        <w:rPr>
          <w:rFonts w:asciiTheme="minorHAnsi" w:eastAsiaTheme="minorEastAsia" w:hAnsiTheme="minorHAnsi" w:cstheme="minorBidi"/>
          <w:noProof/>
          <w:szCs w:val="22"/>
          <w:lang w:eastAsia="en-NZ"/>
        </w:rPr>
      </w:pPr>
      <w:r>
        <w:rPr>
          <w:noProof/>
        </w:rPr>
        <w:t>Whole of system measures</w:t>
      </w:r>
      <w:r>
        <w:rPr>
          <w:noProof/>
        </w:rPr>
        <w:tab/>
      </w:r>
      <w:r>
        <w:rPr>
          <w:noProof/>
        </w:rPr>
        <w:fldChar w:fldCharType="begin"/>
      </w:r>
      <w:r>
        <w:rPr>
          <w:noProof/>
        </w:rPr>
        <w:instrText xml:space="preserve"> PAGEREF _Toc391539865 \h </w:instrText>
      </w:r>
      <w:r>
        <w:rPr>
          <w:noProof/>
        </w:rPr>
      </w:r>
      <w:r>
        <w:rPr>
          <w:noProof/>
        </w:rPr>
        <w:fldChar w:fldCharType="separate"/>
      </w:r>
      <w:r w:rsidR="000D09E8">
        <w:rPr>
          <w:noProof/>
        </w:rPr>
        <w:t>14</w:t>
      </w:r>
      <w:r>
        <w:rPr>
          <w:noProof/>
        </w:rPr>
        <w:fldChar w:fldCharType="end"/>
      </w:r>
    </w:p>
    <w:p w:rsidR="00BF7069" w:rsidRDefault="00BF7069" w:rsidP="00A47EF8">
      <w:pPr>
        <w:pStyle w:val="TOC2"/>
        <w:tabs>
          <w:tab w:val="left" w:pos="1276"/>
        </w:tabs>
        <w:ind w:left="851" w:hanging="567"/>
        <w:rPr>
          <w:rFonts w:asciiTheme="minorHAnsi" w:eastAsiaTheme="minorEastAsia" w:hAnsiTheme="minorHAnsi" w:cstheme="minorBidi"/>
          <w:noProof/>
          <w:szCs w:val="22"/>
          <w:lang w:eastAsia="en-NZ"/>
        </w:rPr>
      </w:pPr>
      <w:r>
        <w:rPr>
          <w:noProof/>
        </w:rPr>
        <w:t>1</w:t>
      </w:r>
      <w:r>
        <w:rPr>
          <w:rFonts w:asciiTheme="minorHAnsi" w:eastAsiaTheme="minorEastAsia" w:hAnsiTheme="minorHAnsi" w:cstheme="minorBidi"/>
          <w:noProof/>
          <w:szCs w:val="22"/>
          <w:lang w:eastAsia="en-NZ"/>
        </w:rPr>
        <w:tab/>
      </w:r>
      <w:r>
        <w:rPr>
          <w:noProof/>
        </w:rPr>
        <w:t>Systems and services meet the needs of Pacific peoples</w:t>
      </w:r>
      <w:r>
        <w:rPr>
          <w:noProof/>
        </w:rPr>
        <w:tab/>
      </w:r>
      <w:r>
        <w:rPr>
          <w:noProof/>
        </w:rPr>
        <w:fldChar w:fldCharType="begin"/>
      </w:r>
      <w:r>
        <w:rPr>
          <w:noProof/>
        </w:rPr>
        <w:instrText xml:space="preserve"> PAGEREF _Toc391539866 \h </w:instrText>
      </w:r>
      <w:r>
        <w:rPr>
          <w:noProof/>
        </w:rPr>
      </w:r>
      <w:r>
        <w:rPr>
          <w:noProof/>
        </w:rPr>
        <w:fldChar w:fldCharType="separate"/>
      </w:r>
      <w:r w:rsidR="000D09E8">
        <w:rPr>
          <w:noProof/>
        </w:rPr>
        <w:t>15</w:t>
      </w:r>
      <w:r>
        <w:rPr>
          <w:noProof/>
        </w:rPr>
        <w:fldChar w:fldCharType="end"/>
      </w:r>
    </w:p>
    <w:p w:rsidR="00BF7069" w:rsidRDefault="00BF7069" w:rsidP="00A47EF8">
      <w:pPr>
        <w:pStyle w:val="TOC2"/>
        <w:tabs>
          <w:tab w:val="left" w:pos="1276"/>
        </w:tabs>
        <w:ind w:left="851" w:hanging="567"/>
        <w:rPr>
          <w:rFonts w:asciiTheme="minorHAnsi" w:eastAsiaTheme="minorEastAsia" w:hAnsiTheme="minorHAnsi" w:cstheme="minorBidi"/>
          <w:noProof/>
          <w:szCs w:val="22"/>
          <w:lang w:eastAsia="en-NZ"/>
        </w:rPr>
      </w:pPr>
      <w:r>
        <w:rPr>
          <w:noProof/>
        </w:rPr>
        <w:t>2</w:t>
      </w:r>
      <w:r>
        <w:rPr>
          <w:rFonts w:asciiTheme="minorHAnsi" w:eastAsiaTheme="minorEastAsia" w:hAnsiTheme="minorHAnsi" w:cstheme="minorBidi"/>
          <w:noProof/>
          <w:szCs w:val="22"/>
          <w:lang w:eastAsia="en-NZ"/>
        </w:rPr>
        <w:tab/>
      </w:r>
      <w:r>
        <w:rPr>
          <w:noProof/>
        </w:rPr>
        <w:t>More services are delivered locally in the community and in primary care</w:t>
      </w:r>
      <w:r>
        <w:rPr>
          <w:noProof/>
        </w:rPr>
        <w:tab/>
      </w:r>
      <w:r>
        <w:rPr>
          <w:noProof/>
        </w:rPr>
        <w:fldChar w:fldCharType="begin"/>
      </w:r>
      <w:r>
        <w:rPr>
          <w:noProof/>
        </w:rPr>
        <w:instrText xml:space="preserve"> PAGEREF _Toc391539867 \h </w:instrText>
      </w:r>
      <w:r>
        <w:rPr>
          <w:noProof/>
        </w:rPr>
      </w:r>
      <w:r>
        <w:rPr>
          <w:noProof/>
        </w:rPr>
        <w:fldChar w:fldCharType="separate"/>
      </w:r>
      <w:r w:rsidR="000D09E8">
        <w:rPr>
          <w:noProof/>
        </w:rPr>
        <w:t>18</w:t>
      </w:r>
      <w:r>
        <w:rPr>
          <w:noProof/>
        </w:rPr>
        <w:fldChar w:fldCharType="end"/>
      </w:r>
    </w:p>
    <w:p w:rsidR="00BF7069" w:rsidRDefault="00BF7069" w:rsidP="00A47EF8">
      <w:pPr>
        <w:pStyle w:val="TOC2"/>
        <w:tabs>
          <w:tab w:val="left" w:pos="1276"/>
        </w:tabs>
        <w:ind w:left="851" w:hanging="567"/>
        <w:rPr>
          <w:rFonts w:asciiTheme="minorHAnsi" w:eastAsiaTheme="minorEastAsia" w:hAnsiTheme="minorHAnsi" w:cstheme="minorBidi"/>
          <w:noProof/>
          <w:szCs w:val="22"/>
          <w:lang w:eastAsia="en-NZ"/>
        </w:rPr>
      </w:pPr>
      <w:r>
        <w:rPr>
          <w:noProof/>
        </w:rPr>
        <w:t>3</w:t>
      </w:r>
      <w:r>
        <w:rPr>
          <w:rFonts w:asciiTheme="minorHAnsi" w:eastAsiaTheme="minorEastAsia" w:hAnsiTheme="minorHAnsi" w:cstheme="minorBidi"/>
          <w:noProof/>
          <w:szCs w:val="22"/>
          <w:lang w:eastAsia="en-NZ"/>
        </w:rPr>
        <w:tab/>
      </w:r>
      <w:r>
        <w:rPr>
          <w:noProof/>
        </w:rPr>
        <w:t>Pacific peoples are better supported to be healthy</w:t>
      </w:r>
      <w:r>
        <w:rPr>
          <w:noProof/>
        </w:rPr>
        <w:tab/>
      </w:r>
      <w:r>
        <w:rPr>
          <w:noProof/>
        </w:rPr>
        <w:fldChar w:fldCharType="begin"/>
      </w:r>
      <w:r>
        <w:rPr>
          <w:noProof/>
        </w:rPr>
        <w:instrText xml:space="preserve"> PAGEREF _Toc391539868 \h </w:instrText>
      </w:r>
      <w:r>
        <w:rPr>
          <w:noProof/>
        </w:rPr>
      </w:r>
      <w:r>
        <w:rPr>
          <w:noProof/>
        </w:rPr>
        <w:fldChar w:fldCharType="separate"/>
      </w:r>
      <w:r w:rsidR="000D09E8">
        <w:rPr>
          <w:noProof/>
        </w:rPr>
        <w:t>20</w:t>
      </w:r>
      <w:r>
        <w:rPr>
          <w:noProof/>
        </w:rPr>
        <w:fldChar w:fldCharType="end"/>
      </w:r>
    </w:p>
    <w:p w:rsidR="00BF7069" w:rsidRDefault="00BF7069" w:rsidP="00A47EF8">
      <w:pPr>
        <w:pStyle w:val="TOC2"/>
        <w:ind w:left="851" w:hanging="567"/>
        <w:rPr>
          <w:rFonts w:asciiTheme="minorHAnsi" w:eastAsiaTheme="minorEastAsia" w:hAnsiTheme="minorHAnsi" w:cstheme="minorBidi"/>
          <w:noProof/>
          <w:szCs w:val="22"/>
          <w:lang w:eastAsia="en-NZ"/>
        </w:rPr>
      </w:pPr>
      <w:r>
        <w:rPr>
          <w:noProof/>
        </w:rPr>
        <w:t>4</w:t>
      </w:r>
      <w:r>
        <w:rPr>
          <w:rFonts w:asciiTheme="minorHAnsi" w:eastAsiaTheme="minorEastAsia" w:hAnsiTheme="minorHAnsi" w:cstheme="minorBidi"/>
          <w:noProof/>
          <w:szCs w:val="22"/>
          <w:lang w:eastAsia="en-NZ"/>
        </w:rPr>
        <w:tab/>
      </w:r>
      <w:r>
        <w:rPr>
          <w:noProof/>
        </w:rPr>
        <w:t>Pacific ’āiga, kāiga, magafaoa, kōpū tangata, vuvale, fāmili experience improved broader determinants of health</w:t>
      </w:r>
      <w:r>
        <w:rPr>
          <w:noProof/>
        </w:rPr>
        <w:tab/>
      </w:r>
      <w:r>
        <w:rPr>
          <w:noProof/>
        </w:rPr>
        <w:fldChar w:fldCharType="begin"/>
      </w:r>
      <w:r>
        <w:rPr>
          <w:noProof/>
        </w:rPr>
        <w:instrText xml:space="preserve"> PAGEREF _Toc391539869 \h </w:instrText>
      </w:r>
      <w:r>
        <w:rPr>
          <w:noProof/>
        </w:rPr>
      </w:r>
      <w:r>
        <w:rPr>
          <w:noProof/>
        </w:rPr>
        <w:fldChar w:fldCharType="separate"/>
      </w:r>
      <w:r w:rsidR="000D09E8">
        <w:rPr>
          <w:noProof/>
        </w:rPr>
        <w:t>22</w:t>
      </w:r>
      <w:r>
        <w:rPr>
          <w:noProof/>
        </w:rPr>
        <w:fldChar w:fldCharType="end"/>
      </w:r>
    </w:p>
    <w:p w:rsidR="00BF7069" w:rsidRDefault="00BF7069">
      <w:pPr>
        <w:pStyle w:val="TOC1"/>
        <w:rPr>
          <w:rFonts w:asciiTheme="minorHAnsi" w:eastAsiaTheme="minorEastAsia" w:hAnsiTheme="minorHAnsi" w:cstheme="minorBidi"/>
          <w:b w:val="0"/>
          <w:noProof/>
          <w:szCs w:val="22"/>
          <w:lang w:eastAsia="en-NZ"/>
        </w:rPr>
      </w:pPr>
      <w:r>
        <w:rPr>
          <w:noProof/>
        </w:rPr>
        <w:t>References</w:t>
      </w:r>
      <w:r>
        <w:rPr>
          <w:noProof/>
        </w:rPr>
        <w:tab/>
      </w:r>
      <w:r>
        <w:rPr>
          <w:noProof/>
        </w:rPr>
        <w:fldChar w:fldCharType="begin"/>
      </w:r>
      <w:r>
        <w:rPr>
          <w:noProof/>
        </w:rPr>
        <w:instrText xml:space="preserve"> PAGEREF _Toc391539870 \h </w:instrText>
      </w:r>
      <w:r>
        <w:rPr>
          <w:noProof/>
        </w:rPr>
      </w:r>
      <w:r>
        <w:rPr>
          <w:noProof/>
        </w:rPr>
        <w:fldChar w:fldCharType="separate"/>
      </w:r>
      <w:r w:rsidR="000D09E8">
        <w:rPr>
          <w:noProof/>
        </w:rPr>
        <w:t>24</w:t>
      </w:r>
      <w:r>
        <w:rPr>
          <w:noProof/>
        </w:rPr>
        <w:fldChar w:fldCharType="end"/>
      </w:r>
    </w:p>
    <w:p w:rsidR="00BF7069" w:rsidRDefault="00BF7069">
      <w:pPr>
        <w:pStyle w:val="TOC1"/>
        <w:rPr>
          <w:noProof/>
        </w:rPr>
      </w:pPr>
      <w:r>
        <w:rPr>
          <w:noProof/>
        </w:rPr>
        <w:t>Appendices</w:t>
      </w:r>
    </w:p>
    <w:p w:rsidR="00BF7069" w:rsidRDefault="00BF7069" w:rsidP="00BF7069">
      <w:pPr>
        <w:pStyle w:val="TOC2"/>
        <w:tabs>
          <w:tab w:val="left" w:pos="1701"/>
        </w:tabs>
        <w:rPr>
          <w:rFonts w:asciiTheme="minorHAnsi" w:eastAsiaTheme="minorEastAsia" w:hAnsiTheme="minorHAnsi" w:cstheme="minorBidi"/>
          <w:b/>
          <w:noProof/>
          <w:szCs w:val="22"/>
          <w:lang w:eastAsia="en-NZ"/>
        </w:rPr>
      </w:pPr>
      <w:r>
        <w:rPr>
          <w:noProof/>
        </w:rPr>
        <w:t>Appendix 1:</w:t>
      </w:r>
      <w:r>
        <w:rPr>
          <w:noProof/>
        </w:rPr>
        <w:tab/>
        <w:t>Workforce tables</w:t>
      </w:r>
      <w:r>
        <w:rPr>
          <w:noProof/>
        </w:rPr>
        <w:tab/>
      </w:r>
      <w:r>
        <w:rPr>
          <w:noProof/>
        </w:rPr>
        <w:fldChar w:fldCharType="begin"/>
      </w:r>
      <w:r>
        <w:rPr>
          <w:noProof/>
        </w:rPr>
        <w:instrText xml:space="preserve"> PAGEREF _Toc391539871 \h </w:instrText>
      </w:r>
      <w:r>
        <w:rPr>
          <w:noProof/>
        </w:rPr>
      </w:r>
      <w:r>
        <w:rPr>
          <w:noProof/>
        </w:rPr>
        <w:fldChar w:fldCharType="separate"/>
      </w:r>
      <w:r w:rsidR="000D09E8">
        <w:rPr>
          <w:noProof/>
        </w:rPr>
        <w:t>27</w:t>
      </w:r>
      <w:r>
        <w:rPr>
          <w:noProof/>
        </w:rPr>
        <w:fldChar w:fldCharType="end"/>
      </w:r>
    </w:p>
    <w:p w:rsidR="00BF7069" w:rsidRDefault="00BF7069" w:rsidP="00BF7069">
      <w:pPr>
        <w:pStyle w:val="TOC2"/>
        <w:tabs>
          <w:tab w:val="left" w:pos="1701"/>
        </w:tabs>
        <w:rPr>
          <w:rFonts w:asciiTheme="minorHAnsi" w:eastAsiaTheme="minorEastAsia" w:hAnsiTheme="minorHAnsi" w:cstheme="minorBidi"/>
          <w:b/>
          <w:noProof/>
          <w:szCs w:val="22"/>
          <w:lang w:eastAsia="en-NZ"/>
        </w:rPr>
      </w:pPr>
      <w:r>
        <w:rPr>
          <w:noProof/>
        </w:rPr>
        <w:t>Appendix 2:</w:t>
      </w:r>
      <w:r>
        <w:rPr>
          <w:noProof/>
        </w:rPr>
        <w:tab/>
        <w:t xml:space="preserve">Refreshing </w:t>
      </w:r>
      <w:r w:rsidRPr="00253972">
        <w:rPr>
          <w:i/>
          <w:noProof/>
        </w:rPr>
        <w:t>’Ala Mo’ui</w:t>
      </w:r>
      <w:r>
        <w:rPr>
          <w:noProof/>
        </w:rPr>
        <w:tab/>
      </w:r>
      <w:r>
        <w:rPr>
          <w:noProof/>
        </w:rPr>
        <w:fldChar w:fldCharType="begin"/>
      </w:r>
      <w:r>
        <w:rPr>
          <w:noProof/>
        </w:rPr>
        <w:instrText xml:space="preserve"> PAGEREF _Toc391539872 \h </w:instrText>
      </w:r>
      <w:r>
        <w:rPr>
          <w:noProof/>
        </w:rPr>
      </w:r>
      <w:r>
        <w:rPr>
          <w:noProof/>
        </w:rPr>
        <w:fldChar w:fldCharType="separate"/>
      </w:r>
      <w:r w:rsidR="000D09E8">
        <w:rPr>
          <w:noProof/>
        </w:rPr>
        <w:t>29</w:t>
      </w:r>
      <w:r>
        <w:rPr>
          <w:noProof/>
        </w:rPr>
        <w:fldChar w:fldCharType="end"/>
      </w:r>
    </w:p>
    <w:p w:rsidR="00C86248" w:rsidRPr="009E1E57" w:rsidRDefault="00C86248">
      <w:r w:rsidRPr="009E1E57">
        <w:rPr>
          <w:b/>
        </w:rPr>
        <w:fldChar w:fldCharType="end"/>
      </w:r>
    </w:p>
    <w:p w:rsidR="00C86248" w:rsidRPr="009E1E57" w:rsidRDefault="00C86248" w:rsidP="003B1D10">
      <w:pPr>
        <w:pStyle w:val="TOC1"/>
        <w:keepNext/>
      </w:pPr>
      <w:r w:rsidRPr="009E1E57">
        <w:t>List of Tables</w:t>
      </w:r>
    </w:p>
    <w:p w:rsidR="00BF7069" w:rsidRDefault="00C86248" w:rsidP="00BF7069">
      <w:pPr>
        <w:pStyle w:val="TOC3"/>
        <w:keepNext/>
        <w:rPr>
          <w:rFonts w:asciiTheme="minorHAnsi" w:eastAsiaTheme="minorEastAsia" w:hAnsiTheme="minorHAnsi" w:cstheme="minorBidi"/>
          <w:noProof/>
          <w:szCs w:val="22"/>
          <w:lang w:eastAsia="en-NZ"/>
        </w:rPr>
      </w:pPr>
      <w:r w:rsidRPr="009E1E57">
        <w:rPr>
          <w:sz w:val="20"/>
        </w:rPr>
        <w:fldChar w:fldCharType="begin"/>
      </w:r>
      <w:r w:rsidRPr="009E1E57">
        <w:instrText xml:space="preserve"> TOC \t "Table,3" </w:instrText>
      </w:r>
      <w:r w:rsidRPr="009E1E57">
        <w:rPr>
          <w:sz w:val="20"/>
        </w:rPr>
        <w:fldChar w:fldCharType="separate"/>
      </w:r>
      <w:r w:rsidR="00BF7069">
        <w:rPr>
          <w:noProof/>
        </w:rPr>
        <w:t>Table 1:</w:t>
      </w:r>
      <w:r w:rsidR="00BF7069">
        <w:rPr>
          <w:noProof/>
        </w:rPr>
        <w:tab/>
        <w:t>Funded activities to increase the Pacific health workforce</w:t>
      </w:r>
      <w:r w:rsidR="00BF7069">
        <w:rPr>
          <w:noProof/>
        </w:rPr>
        <w:tab/>
      </w:r>
      <w:r w:rsidR="00BF7069">
        <w:rPr>
          <w:noProof/>
        </w:rPr>
        <w:fldChar w:fldCharType="begin"/>
      </w:r>
      <w:r w:rsidR="00BF7069">
        <w:rPr>
          <w:noProof/>
        </w:rPr>
        <w:instrText xml:space="preserve"> PAGEREF _Toc391539873 \h </w:instrText>
      </w:r>
      <w:r w:rsidR="00BF7069">
        <w:rPr>
          <w:noProof/>
        </w:rPr>
      </w:r>
      <w:r w:rsidR="00BF7069">
        <w:rPr>
          <w:noProof/>
        </w:rPr>
        <w:fldChar w:fldCharType="separate"/>
      </w:r>
      <w:r w:rsidR="000D09E8">
        <w:rPr>
          <w:noProof/>
        </w:rPr>
        <w:t>10</w:t>
      </w:r>
      <w:r w:rsidR="00BF7069">
        <w:rPr>
          <w:noProof/>
        </w:rPr>
        <w:fldChar w:fldCharType="end"/>
      </w:r>
    </w:p>
    <w:p w:rsidR="00BF7069" w:rsidRDefault="00BF7069" w:rsidP="00BF7069">
      <w:pPr>
        <w:pStyle w:val="TOC3"/>
        <w:keepNext/>
        <w:rPr>
          <w:rFonts w:asciiTheme="minorHAnsi" w:eastAsiaTheme="minorEastAsia" w:hAnsiTheme="minorHAnsi" w:cstheme="minorBidi"/>
          <w:noProof/>
          <w:szCs w:val="22"/>
          <w:lang w:eastAsia="en-NZ"/>
        </w:rPr>
      </w:pPr>
      <w:r>
        <w:rPr>
          <w:noProof/>
        </w:rPr>
        <w:t>Table 2:</w:t>
      </w:r>
      <w:r>
        <w:rPr>
          <w:noProof/>
        </w:rPr>
        <w:tab/>
        <w:t>Pacific and total ASH rates (per 100,000) for the 2012/2013 period</w:t>
      </w:r>
      <w:r>
        <w:rPr>
          <w:noProof/>
        </w:rPr>
        <w:tab/>
      </w:r>
      <w:r>
        <w:rPr>
          <w:noProof/>
        </w:rPr>
        <w:fldChar w:fldCharType="begin"/>
      </w:r>
      <w:r>
        <w:rPr>
          <w:noProof/>
        </w:rPr>
        <w:instrText xml:space="preserve"> PAGEREF _Toc391539874 \h </w:instrText>
      </w:r>
      <w:r>
        <w:rPr>
          <w:noProof/>
        </w:rPr>
      </w:r>
      <w:r>
        <w:rPr>
          <w:noProof/>
        </w:rPr>
        <w:fldChar w:fldCharType="separate"/>
      </w:r>
      <w:r w:rsidR="000D09E8">
        <w:rPr>
          <w:noProof/>
        </w:rPr>
        <w:t>14</w:t>
      </w:r>
      <w:r>
        <w:rPr>
          <w:noProof/>
        </w:rPr>
        <w:fldChar w:fldCharType="end"/>
      </w:r>
    </w:p>
    <w:p w:rsidR="00BF7069" w:rsidRDefault="00BF7069" w:rsidP="00BF7069">
      <w:pPr>
        <w:pStyle w:val="TOC3"/>
        <w:keepNext/>
        <w:rPr>
          <w:rFonts w:asciiTheme="minorHAnsi" w:eastAsiaTheme="minorEastAsia" w:hAnsiTheme="minorHAnsi" w:cstheme="minorBidi"/>
          <w:noProof/>
          <w:szCs w:val="22"/>
          <w:lang w:eastAsia="en-NZ"/>
        </w:rPr>
      </w:pPr>
      <w:r>
        <w:rPr>
          <w:noProof/>
        </w:rPr>
        <w:t>Table A1:</w:t>
      </w:r>
      <w:r>
        <w:rPr>
          <w:noProof/>
        </w:rPr>
        <w:tab/>
        <w:t>Distribution of Pa</w:t>
      </w:r>
      <w:r w:rsidR="00DB75AA">
        <w:rPr>
          <w:noProof/>
        </w:rPr>
        <w:t>cific in the medical workforce,</w:t>
      </w:r>
      <w:r>
        <w:rPr>
          <w:noProof/>
        </w:rPr>
        <w:t xml:space="preserve"> 2012</w:t>
      </w:r>
      <w:r>
        <w:rPr>
          <w:noProof/>
        </w:rPr>
        <w:tab/>
      </w:r>
      <w:r>
        <w:rPr>
          <w:noProof/>
        </w:rPr>
        <w:fldChar w:fldCharType="begin"/>
      </w:r>
      <w:r>
        <w:rPr>
          <w:noProof/>
        </w:rPr>
        <w:instrText xml:space="preserve"> PAGEREF _Toc391539875 \h </w:instrText>
      </w:r>
      <w:r>
        <w:rPr>
          <w:noProof/>
        </w:rPr>
      </w:r>
      <w:r>
        <w:rPr>
          <w:noProof/>
        </w:rPr>
        <w:fldChar w:fldCharType="separate"/>
      </w:r>
      <w:r w:rsidR="000D09E8">
        <w:rPr>
          <w:noProof/>
        </w:rPr>
        <w:t>27</w:t>
      </w:r>
      <w:r>
        <w:rPr>
          <w:noProof/>
        </w:rPr>
        <w:fldChar w:fldCharType="end"/>
      </w:r>
    </w:p>
    <w:p w:rsidR="00BF7069" w:rsidRDefault="00BF7069">
      <w:pPr>
        <w:pStyle w:val="TOC3"/>
        <w:rPr>
          <w:rFonts w:asciiTheme="minorHAnsi" w:eastAsiaTheme="minorEastAsia" w:hAnsiTheme="minorHAnsi" w:cstheme="minorBidi"/>
          <w:noProof/>
          <w:szCs w:val="22"/>
          <w:lang w:eastAsia="en-NZ"/>
        </w:rPr>
      </w:pPr>
      <w:r>
        <w:rPr>
          <w:noProof/>
        </w:rPr>
        <w:t>Table A2:</w:t>
      </w:r>
      <w:r>
        <w:rPr>
          <w:noProof/>
        </w:rPr>
        <w:tab/>
        <w:t>Gender breakdown of Pacific medical workforce</w:t>
      </w:r>
      <w:r>
        <w:rPr>
          <w:noProof/>
        </w:rPr>
        <w:tab/>
      </w:r>
      <w:r>
        <w:rPr>
          <w:noProof/>
        </w:rPr>
        <w:fldChar w:fldCharType="begin"/>
      </w:r>
      <w:r>
        <w:rPr>
          <w:noProof/>
        </w:rPr>
        <w:instrText xml:space="preserve"> PAGEREF _Toc391539876 \h </w:instrText>
      </w:r>
      <w:r>
        <w:rPr>
          <w:noProof/>
        </w:rPr>
      </w:r>
      <w:r>
        <w:rPr>
          <w:noProof/>
        </w:rPr>
        <w:fldChar w:fldCharType="separate"/>
      </w:r>
      <w:r w:rsidR="000D09E8">
        <w:rPr>
          <w:noProof/>
        </w:rPr>
        <w:t>27</w:t>
      </w:r>
      <w:r>
        <w:rPr>
          <w:noProof/>
        </w:rPr>
        <w:fldChar w:fldCharType="end"/>
      </w:r>
    </w:p>
    <w:p w:rsidR="00BF7069" w:rsidRDefault="00BF7069">
      <w:pPr>
        <w:pStyle w:val="TOC3"/>
        <w:rPr>
          <w:rFonts w:asciiTheme="minorHAnsi" w:eastAsiaTheme="minorEastAsia" w:hAnsiTheme="minorHAnsi" w:cstheme="minorBidi"/>
          <w:noProof/>
          <w:szCs w:val="22"/>
          <w:lang w:eastAsia="en-NZ"/>
        </w:rPr>
      </w:pPr>
      <w:r>
        <w:rPr>
          <w:noProof/>
        </w:rPr>
        <w:t>Table A3:</w:t>
      </w:r>
      <w:r>
        <w:rPr>
          <w:noProof/>
        </w:rPr>
        <w:tab/>
        <w:t>Distribution of Pacific in the medical workforce, 2012</w:t>
      </w:r>
      <w:r>
        <w:rPr>
          <w:noProof/>
        </w:rPr>
        <w:tab/>
      </w:r>
      <w:r>
        <w:rPr>
          <w:noProof/>
        </w:rPr>
        <w:fldChar w:fldCharType="begin"/>
      </w:r>
      <w:r>
        <w:rPr>
          <w:noProof/>
        </w:rPr>
        <w:instrText xml:space="preserve"> PAGEREF _Toc391539877 \h </w:instrText>
      </w:r>
      <w:r>
        <w:rPr>
          <w:noProof/>
        </w:rPr>
      </w:r>
      <w:r>
        <w:rPr>
          <w:noProof/>
        </w:rPr>
        <w:fldChar w:fldCharType="separate"/>
      </w:r>
      <w:r w:rsidR="000D09E8">
        <w:rPr>
          <w:noProof/>
        </w:rPr>
        <w:t>27</w:t>
      </w:r>
      <w:r>
        <w:rPr>
          <w:noProof/>
        </w:rPr>
        <w:fldChar w:fldCharType="end"/>
      </w:r>
    </w:p>
    <w:p w:rsidR="00BF7069" w:rsidRDefault="00BF7069">
      <w:pPr>
        <w:pStyle w:val="TOC3"/>
        <w:rPr>
          <w:rFonts w:asciiTheme="minorHAnsi" w:eastAsiaTheme="minorEastAsia" w:hAnsiTheme="minorHAnsi" w:cstheme="minorBidi"/>
          <w:noProof/>
          <w:szCs w:val="22"/>
          <w:lang w:eastAsia="en-NZ"/>
        </w:rPr>
      </w:pPr>
      <w:r>
        <w:rPr>
          <w:noProof/>
        </w:rPr>
        <w:t>Table A4:</w:t>
      </w:r>
      <w:r>
        <w:rPr>
          <w:noProof/>
        </w:rPr>
        <w:tab/>
        <w:t>Distribution of Pacific workforce in health and disability sector</w:t>
      </w:r>
      <w:r>
        <w:rPr>
          <w:noProof/>
        </w:rPr>
        <w:tab/>
      </w:r>
      <w:r>
        <w:rPr>
          <w:noProof/>
        </w:rPr>
        <w:fldChar w:fldCharType="begin"/>
      </w:r>
      <w:r>
        <w:rPr>
          <w:noProof/>
        </w:rPr>
        <w:instrText xml:space="preserve"> PAGEREF _Toc391539878 \h </w:instrText>
      </w:r>
      <w:r>
        <w:rPr>
          <w:noProof/>
        </w:rPr>
      </w:r>
      <w:r>
        <w:rPr>
          <w:noProof/>
        </w:rPr>
        <w:fldChar w:fldCharType="separate"/>
      </w:r>
      <w:r w:rsidR="000D09E8">
        <w:rPr>
          <w:noProof/>
        </w:rPr>
        <w:t>28</w:t>
      </w:r>
      <w:r>
        <w:rPr>
          <w:noProof/>
        </w:rPr>
        <w:fldChar w:fldCharType="end"/>
      </w:r>
    </w:p>
    <w:p w:rsidR="00C86248" w:rsidRDefault="00C86248" w:rsidP="001D02E3">
      <w:r w:rsidRPr="009E1E57">
        <w:fldChar w:fldCharType="end"/>
      </w:r>
    </w:p>
    <w:p w:rsidR="006F1571" w:rsidRPr="009E1E57" w:rsidRDefault="006F1571" w:rsidP="001D02E3"/>
    <w:p w:rsidR="00C86248" w:rsidRPr="009E1E57" w:rsidRDefault="00C86248">
      <w:pPr>
        <w:sectPr w:rsidR="00C86248" w:rsidRPr="009E1E57" w:rsidSect="009D5125">
          <w:headerReference w:type="even" r:id="rId13"/>
          <w:headerReference w:type="default" r:id="rId14"/>
          <w:footerReference w:type="even" r:id="rId15"/>
          <w:footerReference w:type="default" r:id="rId16"/>
          <w:pgSz w:w="11907" w:h="16840" w:code="9"/>
          <w:pgMar w:top="851" w:right="1134" w:bottom="1134" w:left="1134" w:header="284" w:footer="567" w:gutter="284"/>
          <w:pgNumType w:fmt="lowerRoman"/>
          <w:cols w:space="720"/>
        </w:sectPr>
      </w:pPr>
    </w:p>
    <w:p w:rsidR="001D02E3" w:rsidRPr="009E1E57" w:rsidRDefault="001D02E3" w:rsidP="001D02E3">
      <w:pPr>
        <w:pStyle w:val="Heading1"/>
      </w:pPr>
      <w:bookmarkStart w:id="4" w:name="_Toc390365311"/>
      <w:bookmarkStart w:id="5" w:name="_Toc391539850"/>
      <w:r w:rsidRPr="009E1E57">
        <w:t>Introduction from the Chief Advisor, Pacific Health</w:t>
      </w:r>
      <w:bookmarkEnd w:id="4"/>
      <w:bookmarkEnd w:id="5"/>
    </w:p>
    <w:p w:rsidR="00EF595D" w:rsidRPr="009E1E57" w:rsidRDefault="00EF595D" w:rsidP="003D42A4">
      <w:r w:rsidRPr="009E1E57">
        <w:t>Ni sa bula vinaka, Talofa lava,</w:t>
      </w:r>
      <w:r w:rsidR="00085832">
        <w:t xml:space="preserve"> </w:t>
      </w:r>
      <w:r w:rsidRPr="009E1E57">
        <w:t>Kia orana, Taloha ni, Malo e lelei,</w:t>
      </w:r>
      <w:r w:rsidR="00085832">
        <w:t xml:space="preserve"> </w:t>
      </w:r>
      <w:r w:rsidRPr="009E1E57">
        <w:t>Fakaalofa lahi</w:t>
      </w:r>
      <w:r w:rsidR="00085832">
        <w:t xml:space="preserve"> </w:t>
      </w:r>
      <w:r w:rsidRPr="009E1E57">
        <w:t>atu, Talofa, Tēnā koutou and warm Pacific greetings.</w:t>
      </w:r>
    </w:p>
    <w:p w:rsidR="00EF595D" w:rsidRPr="009E1E57" w:rsidRDefault="00EF595D" w:rsidP="003D42A4"/>
    <w:p w:rsidR="00EF595D" w:rsidRPr="009E1E57" w:rsidRDefault="00EF595D" w:rsidP="003D42A4">
      <w:r w:rsidRPr="009E1E57">
        <w:t>On a population basis, Pacific communities experience poor health outcomes in New Zealand/</w:t>
      </w:r>
      <w:r w:rsidR="003D42A4">
        <w:t xml:space="preserve"> </w:t>
      </w:r>
      <w:r w:rsidRPr="009E1E57">
        <w:t>Aotearoa. For example, the life expectancy of Pacific men was 71.3 years (6.7 years less than for total men) and Pacific women’s life expectancy was 76.1 years (6.1 years less than for total women) in New Zealand. We know that poor health outcomes are related to social determinants, such as income, employment, housing quality and education (Tukuitonga 2012).</w:t>
      </w:r>
    </w:p>
    <w:p w:rsidR="00EF595D" w:rsidRPr="009E1E57" w:rsidRDefault="00EF595D" w:rsidP="003D42A4"/>
    <w:p w:rsidR="00EF595D" w:rsidRPr="009E1E57" w:rsidRDefault="00EF595D" w:rsidP="003D42A4">
      <w:r w:rsidRPr="009E1E57">
        <w:t>To address these inequities, the health, education and social development (including housing) sectors need to address existing barriers and lift performance across the board.</w:t>
      </w:r>
    </w:p>
    <w:p w:rsidR="00EF595D" w:rsidRPr="009E1E57" w:rsidRDefault="00EF595D" w:rsidP="003D42A4"/>
    <w:p w:rsidR="00EF595D" w:rsidRPr="009E1E57" w:rsidRDefault="00EF595D" w:rsidP="003D42A4">
      <w:r w:rsidRPr="009E1E57">
        <w:t>To facilitate the delivery of high-quality health services that meet the needs of Pacific peoples,</w:t>
      </w:r>
      <w:r w:rsidR="003D42A4">
        <w:t xml:space="preserve"> </w:t>
      </w:r>
      <w:r w:rsidRPr="009E1E57">
        <w:rPr>
          <w:i/>
        </w:rPr>
        <w:t xml:space="preserve">’Ala Mo’ui </w:t>
      </w:r>
      <w:r w:rsidRPr="009E1E57">
        <w:t>has</w:t>
      </w:r>
      <w:r w:rsidR="00085832">
        <w:t xml:space="preserve"> </w:t>
      </w:r>
      <w:r w:rsidRPr="009E1E57">
        <w:t>been developed. This</w:t>
      </w:r>
      <w:r w:rsidR="00085832">
        <w:t xml:space="preserve"> </w:t>
      </w:r>
      <w:r w:rsidRPr="009E1E57">
        <w:t xml:space="preserve">edition, </w:t>
      </w:r>
      <w:r w:rsidRPr="009E1E57">
        <w:rPr>
          <w:i/>
        </w:rPr>
        <w:t>’Ala Mo’ui: Pathways to Pacific Health and Wellbeing</w:t>
      </w:r>
      <w:r w:rsidR="003D42A4">
        <w:rPr>
          <w:i/>
        </w:rPr>
        <w:t xml:space="preserve"> </w:t>
      </w:r>
      <w:r w:rsidRPr="009E1E57">
        <w:rPr>
          <w:i/>
        </w:rPr>
        <w:t>2014–2018</w:t>
      </w:r>
      <w:r w:rsidRPr="009E1E57">
        <w:t xml:space="preserve">, builds on the successes of the former plan, </w:t>
      </w:r>
      <w:r w:rsidRPr="009E1E57">
        <w:rPr>
          <w:i/>
        </w:rPr>
        <w:t>’Ala Mo’ui 2010–2014</w:t>
      </w:r>
      <w:r w:rsidRPr="009E1E57">
        <w:t>. It sets</w:t>
      </w:r>
      <w:r w:rsidR="00085832">
        <w:t xml:space="preserve"> </w:t>
      </w:r>
      <w:r w:rsidRPr="009E1E57">
        <w:t>out</w:t>
      </w:r>
      <w:r w:rsidR="00085832">
        <w:t xml:space="preserve"> </w:t>
      </w:r>
      <w:r w:rsidRPr="009E1E57">
        <w:t>a strategic direction to address the health needs of Pacific peoples and outlines some new</w:t>
      </w:r>
      <w:r w:rsidR="00085832">
        <w:t xml:space="preserve"> </w:t>
      </w:r>
      <w:r w:rsidRPr="009E1E57">
        <w:t>actions, which will be delivered over</w:t>
      </w:r>
      <w:r w:rsidR="00085832">
        <w:t xml:space="preserve"> </w:t>
      </w:r>
      <w:r w:rsidRPr="009E1E57">
        <w:t>the next four</w:t>
      </w:r>
      <w:r w:rsidR="00085832">
        <w:t xml:space="preserve"> </w:t>
      </w:r>
      <w:r w:rsidRPr="009E1E57">
        <w:t>years. Our new</w:t>
      </w:r>
      <w:r w:rsidR="00085832">
        <w:t xml:space="preserve"> </w:t>
      </w:r>
      <w:r w:rsidRPr="009E1E57">
        <w:t>long-term vision is:</w:t>
      </w:r>
    </w:p>
    <w:p w:rsidR="00EF595D" w:rsidRPr="009E1E57" w:rsidRDefault="00EF595D" w:rsidP="003D42A4">
      <w:pPr>
        <w:pStyle w:val="Quote"/>
      </w:pPr>
      <w:r w:rsidRPr="009E1E57">
        <w:t xml:space="preserve">Pacific </w:t>
      </w:r>
      <w:r w:rsidR="005F5B6B">
        <w:t>’ā</w:t>
      </w:r>
      <w:r w:rsidRPr="009E1E57">
        <w:t>iga, kāiga, magafaoa, kōpū tangata, vuvale and fāmili experience equitable health outcomes and lead independent lives.</w:t>
      </w:r>
    </w:p>
    <w:p w:rsidR="00EF595D" w:rsidRPr="009E1E57" w:rsidRDefault="00EF595D" w:rsidP="003D42A4"/>
    <w:p w:rsidR="00EF595D" w:rsidRPr="009E1E57" w:rsidRDefault="00EF595D" w:rsidP="003D42A4">
      <w:r w:rsidRPr="009E1E57">
        <w:t>Our vision of equity is achievable. Critical to achieving our</w:t>
      </w:r>
      <w:r w:rsidR="00085832">
        <w:t xml:space="preserve"> </w:t>
      </w:r>
      <w:r w:rsidRPr="009E1E57">
        <w:t>vision is the fundamental relationship that government-funded services have with Pacific communities. In partnership, we can</w:t>
      </w:r>
      <w:r w:rsidR="00085832">
        <w:t xml:space="preserve"> </w:t>
      </w:r>
      <w:r w:rsidRPr="009E1E57">
        <w:t>work</w:t>
      </w:r>
      <w:r w:rsidR="00085832">
        <w:t xml:space="preserve"> </w:t>
      </w:r>
      <w:r w:rsidRPr="009E1E57">
        <w:t>together to ensure all Pacific families lead healthy and independent lives.</w:t>
      </w:r>
    </w:p>
    <w:p w:rsidR="00EF595D" w:rsidRPr="009E1E57" w:rsidRDefault="00EF595D" w:rsidP="003D42A4"/>
    <w:p w:rsidR="00EF595D" w:rsidRPr="009E1E57" w:rsidRDefault="00EF595D" w:rsidP="003D42A4">
      <w:r w:rsidRPr="009E1E57">
        <w:t xml:space="preserve">I hope that the refreshed </w:t>
      </w:r>
      <w:r w:rsidRPr="009E1E57">
        <w:rPr>
          <w:i/>
        </w:rPr>
        <w:t xml:space="preserve">’Ala Mo’ui 2014–2018 </w:t>
      </w:r>
      <w:r w:rsidRPr="009E1E57">
        <w:t>will guide and assist you in your planning, funding and delivery of responsive health services for Pacific families and communities.</w:t>
      </w:r>
    </w:p>
    <w:p w:rsidR="00EF595D" w:rsidRPr="009E1E57" w:rsidRDefault="00EF595D" w:rsidP="003D42A4"/>
    <w:p w:rsidR="00EF595D" w:rsidRPr="009E1E57" w:rsidRDefault="00EF595D" w:rsidP="003D42A4">
      <w:r w:rsidRPr="009E1E57">
        <w:t>I would like to acknowledge and thank all those of you who</w:t>
      </w:r>
      <w:r w:rsidR="00085832">
        <w:t xml:space="preserve"> </w:t>
      </w:r>
      <w:r w:rsidRPr="009E1E57">
        <w:t xml:space="preserve">contributed to this refreshed </w:t>
      </w:r>
      <w:r w:rsidRPr="009E1E57">
        <w:rPr>
          <w:i/>
        </w:rPr>
        <w:t>’Ala Mo’ui</w:t>
      </w:r>
      <w:r w:rsidR="003D42A4">
        <w:rPr>
          <w:i/>
        </w:rPr>
        <w:t xml:space="preserve"> </w:t>
      </w:r>
      <w:r w:rsidRPr="009E1E57">
        <w:rPr>
          <w:i/>
        </w:rPr>
        <w:t>2014–2018</w:t>
      </w:r>
      <w:r w:rsidRPr="009E1E57">
        <w:t>; your wisdom, leadership, service and commitment to improving Pacific health outcomes form the cornerstone to achieving the vision of this plan.</w:t>
      </w:r>
    </w:p>
    <w:p w:rsidR="00EF595D" w:rsidRPr="009E1E57" w:rsidRDefault="00EF595D" w:rsidP="003D42A4"/>
    <w:p w:rsidR="00EF595D" w:rsidRPr="009E1E57" w:rsidRDefault="00EF595D" w:rsidP="003D42A4">
      <w:r w:rsidRPr="009E1E57">
        <w:t>Soifua</w:t>
      </w:r>
    </w:p>
    <w:p w:rsidR="00EF595D" w:rsidRPr="009E1E57" w:rsidRDefault="00EF595D" w:rsidP="003D42A4"/>
    <w:p w:rsidR="00EF595D" w:rsidRPr="009E1E57" w:rsidRDefault="00EF595D" w:rsidP="003D42A4">
      <w:r w:rsidRPr="009E1E57">
        <w:t>Hilda Fa</w:t>
      </w:r>
      <w:r w:rsidR="003D42A4">
        <w:t>’a</w:t>
      </w:r>
      <w:r w:rsidRPr="009E1E57">
        <w:t>salele</w:t>
      </w:r>
    </w:p>
    <w:p w:rsidR="00EF595D" w:rsidRPr="009E1E57" w:rsidRDefault="00EF595D" w:rsidP="003D42A4">
      <w:r w:rsidRPr="009E1E57">
        <w:t>Chief</w:t>
      </w:r>
      <w:r w:rsidR="00085832">
        <w:t xml:space="preserve"> </w:t>
      </w:r>
      <w:r w:rsidRPr="009E1E57">
        <w:t>Advisor – Pacific Health</w:t>
      </w:r>
    </w:p>
    <w:p w:rsidR="00EF595D" w:rsidRPr="009E1E57" w:rsidRDefault="00EF595D" w:rsidP="003D42A4"/>
    <w:p w:rsidR="003D42A4" w:rsidRDefault="003D42A4" w:rsidP="003D42A4">
      <w:r>
        <w:br w:type="page"/>
      </w:r>
    </w:p>
    <w:p w:rsidR="00EF595D" w:rsidRPr="009E1E57" w:rsidRDefault="00EF595D" w:rsidP="003D42A4">
      <w:pPr>
        <w:pStyle w:val="Heading1"/>
      </w:pPr>
      <w:bookmarkStart w:id="6" w:name="_Toc391539851"/>
      <w:r w:rsidRPr="009E1E57">
        <w:t>Purpose</w:t>
      </w:r>
      <w:bookmarkEnd w:id="6"/>
    </w:p>
    <w:p w:rsidR="00EF595D" w:rsidRPr="009E1E57" w:rsidRDefault="00EF595D" w:rsidP="003D42A4">
      <w:r w:rsidRPr="009E1E57">
        <w:rPr>
          <w:i/>
        </w:rPr>
        <w:t>’Ala Mo’ui:</w:t>
      </w:r>
      <w:r w:rsidR="003D42A4">
        <w:rPr>
          <w:rStyle w:val="FootnoteReference"/>
          <w:i/>
        </w:rPr>
        <w:footnoteReference w:id="1"/>
      </w:r>
      <w:r w:rsidRPr="009E1E57">
        <w:rPr>
          <w:i/>
        </w:rPr>
        <w:t xml:space="preserve"> Pathways to Pacific Health and Wellbeing 2014–2018 </w:t>
      </w:r>
      <w:r w:rsidRPr="009E1E57">
        <w:t>sets</w:t>
      </w:r>
      <w:r w:rsidR="00085832">
        <w:t xml:space="preserve"> </w:t>
      </w:r>
      <w:r w:rsidRPr="009E1E57">
        <w:t>out</w:t>
      </w:r>
      <w:r w:rsidR="00085832">
        <w:t xml:space="preserve"> </w:t>
      </w:r>
      <w:r w:rsidRPr="009E1E57">
        <w:t>the priority outcomes and actions for the next four</w:t>
      </w:r>
      <w:r w:rsidR="00085832">
        <w:t xml:space="preserve"> </w:t>
      </w:r>
      <w:r w:rsidRPr="009E1E57">
        <w:t>years that will contribute to achieving the Government’s long-term outcomes for health. That is, all New Zealanders, including Pacific peoples, will lead healthier and more independent lives; high-quality health services will be delivered in a timely and accessible manner; and the future sustainability of the health and disability sector will be assured.</w:t>
      </w:r>
    </w:p>
    <w:p w:rsidR="00EF595D" w:rsidRPr="009E1E57" w:rsidRDefault="00EF595D" w:rsidP="003D42A4"/>
    <w:p w:rsidR="00EF595D" w:rsidRPr="009E1E57" w:rsidRDefault="00EF595D" w:rsidP="003D42A4">
      <w:r w:rsidRPr="009E1E57">
        <w:rPr>
          <w:i/>
        </w:rPr>
        <w:t xml:space="preserve">’Ala Mo’ui 2014–2018 </w:t>
      </w:r>
      <w:r w:rsidRPr="009E1E57">
        <w:t xml:space="preserve">is an update of the Ministry of Health’s </w:t>
      </w:r>
      <w:r w:rsidRPr="009E1E57">
        <w:rPr>
          <w:i/>
        </w:rPr>
        <w:t xml:space="preserve">’Ala Mo’ui 2010–2014 </w:t>
      </w:r>
      <w:r w:rsidRPr="009E1E57">
        <w:t>as the key overarching document for improving the health outcomes of Pacific peoples. This</w:t>
      </w:r>
      <w:r w:rsidR="00085832">
        <w:t xml:space="preserve"> </w:t>
      </w:r>
      <w:r w:rsidRPr="009E1E57">
        <w:t>publication replaces the Ministry of Health’s Pacific Health and Disability Action Plan (2002), the Pacific Health and Disability Workforce Development Plan (2004) and the Joint Action Plan for the Ministries of Health and Pacific Island Affairs</w:t>
      </w:r>
      <w:r w:rsidR="00085832">
        <w:t xml:space="preserve"> </w:t>
      </w:r>
      <w:r w:rsidRPr="009E1E57">
        <w:t>(2008).</w:t>
      </w:r>
    </w:p>
    <w:p w:rsidR="00EF595D" w:rsidRPr="009E1E57" w:rsidRDefault="00EF595D" w:rsidP="003D42A4">
      <w:pPr>
        <w:rPr>
          <w:sz w:val="17"/>
          <w:szCs w:val="17"/>
        </w:rPr>
      </w:pPr>
    </w:p>
    <w:p w:rsidR="00EF595D" w:rsidRPr="009E1E57" w:rsidRDefault="00EF595D" w:rsidP="003D42A4">
      <w:r w:rsidRPr="009E1E57">
        <w:rPr>
          <w:i/>
        </w:rPr>
        <w:t xml:space="preserve">’Ala Mo’ui </w:t>
      </w:r>
      <w:r w:rsidRPr="009E1E57">
        <w:t>does not offer a comprehensive list of all activities that contribute to improving the health of Pacific peoples. Instead, it sets</w:t>
      </w:r>
      <w:r w:rsidR="00085832">
        <w:t xml:space="preserve"> </w:t>
      </w:r>
      <w:r w:rsidRPr="009E1E57">
        <w:t>out</w:t>
      </w:r>
      <w:r w:rsidR="00085832">
        <w:t xml:space="preserve"> </w:t>
      </w:r>
      <w:r w:rsidRPr="009E1E57">
        <w:t>the Government’s priority focus areas for Pacific health in the next four</w:t>
      </w:r>
      <w:r w:rsidR="00085832">
        <w:t xml:space="preserve"> </w:t>
      </w:r>
      <w:r w:rsidRPr="009E1E57">
        <w:t xml:space="preserve">years. The vision of </w:t>
      </w:r>
      <w:r w:rsidRPr="009E1E57">
        <w:rPr>
          <w:i/>
        </w:rPr>
        <w:t xml:space="preserve">’Ala Mo’ui </w:t>
      </w:r>
      <w:r w:rsidRPr="009E1E57">
        <w:t>is that:</w:t>
      </w:r>
    </w:p>
    <w:p w:rsidR="00EF595D" w:rsidRPr="009E1E57" w:rsidRDefault="00EF595D" w:rsidP="003D42A4"/>
    <w:p w:rsidR="00EF595D" w:rsidRPr="009E1E57" w:rsidRDefault="00EF595D" w:rsidP="003D42A4">
      <w:pPr>
        <w:pStyle w:val="Box"/>
      </w:pPr>
      <w:r w:rsidRPr="009E1E57">
        <w:t xml:space="preserve">Pacific </w:t>
      </w:r>
      <w:r w:rsidR="003D42A4">
        <w:t>’ā</w:t>
      </w:r>
      <w:r w:rsidRPr="009E1E57">
        <w:t>iga, kāiga, magafaoa, kōpū tangata, vuvale and fāmili</w:t>
      </w:r>
      <w:r w:rsidR="003D42A4">
        <w:rPr>
          <w:rStyle w:val="FootnoteReference"/>
        </w:rPr>
        <w:footnoteReference w:id="2"/>
      </w:r>
      <w:r w:rsidR="003D42A4">
        <w:t xml:space="preserve"> </w:t>
      </w:r>
      <w:r w:rsidRPr="009E1E57">
        <w:t>experience equitable health</w:t>
      </w:r>
      <w:r w:rsidR="003D42A4">
        <w:t xml:space="preserve"> </w:t>
      </w:r>
      <w:r w:rsidRPr="009E1E57">
        <w:t>outcomes and lead independent lives.</w:t>
      </w:r>
    </w:p>
    <w:p w:rsidR="00EF595D" w:rsidRPr="009E1E57" w:rsidRDefault="00EF595D" w:rsidP="003D42A4"/>
    <w:p w:rsidR="003D42A4" w:rsidRDefault="003D42A4" w:rsidP="003D42A4">
      <w:r>
        <w:br w:type="page"/>
      </w:r>
    </w:p>
    <w:p w:rsidR="003D42A4" w:rsidRDefault="00EF595D" w:rsidP="003D42A4">
      <w:pPr>
        <w:pStyle w:val="Heading1"/>
      </w:pPr>
      <w:bookmarkStart w:id="7" w:name="_Toc391539852"/>
      <w:r w:rsidRPr="009E1E57">
        <w:t xml:space="preserve">Who should use </w:t>
      </w:r>
      <w:r w:rsidRPr="009E1E57">
        <w:rPr>
          <w:i/>
        </w:rPr>
        <w:t>’Ala Mo’ui</w:t>
      </w:r>
      <w:r w:rsidRPr="009E1E57">
        <w:t>?</w:t>
      </w:r>
      <w:bookmarkEnd w:id="7"/>
    </w:p>
    <w:p w:rsidR="00EF595D" w:rsidRPr="009E1E57" w:rsidRDefault="00EF595D" w:rsidP="003D42A4">
      <w:r w:rsidRPr="009E1E57">
        <w:t>Achieving better health outcomes for Pacific peoples requires action by the entire health and disability sector. The Ministry of Health, district health boards (DHBs), primary health organisations (PHOs), public health units, and Pacific and non-Pacific health and disability providers all have a role to play. Cross-sector government responsibility is also recognised.</w:t>
      </w:r>
    </w:p>
    <w:p w:rsidR="00EF595D" w:rsidRPr="009E1E57" w:rsidRDefault="00EF595D" w:rsidP="003D42A4"/>
    <w:p w:rsidR="00EF595D" w:rsidRPr="009E1E57" w:rsidRDefault="00EF595D" w:rsidP="003D42A4">
      <w:r w:rsidRPr="009E1E57">
        <w:rPr>
          <w:i/>
        </w:rPr>
        <w:t xml:space="preserve">’Ala Mo’ui </w:t>
      </w:r>
      <w:r w:rsidRPr="009E1E57">
        <w:t>sets</w:t>
      </w:r>
      <w:r w:rsidR="00085832">
        <w:t xml:space="preserve"> </w:t>
      </w:r>
      <w:r w:rsidRPr="009E1E57">
        <w:t>out</w:t>
      </w:r>
      <w:r w:rsidR="00085832">
        <w:t xml:space="preserve"> </w:t>
      </w:r>
      <w:r w:rsidRPr="009E1E57">
        <w:t>actions that will contribute most effectively to achieving the Government’s health goals. It is also a guidance tool for planning and prioritising actions and developing new</w:t>
      </w:r>
      <w:r w:rsidR="00085832">
        <w:t xml:space="preserve"> </w:t>
      </w:r>
      <w:r w:rsidRPr="009E1E57">
        <w:t>and innovative methods of delivering results and value for money. The Ministry of Health will use it to monitor and evaluate how the health and disability sector performs against performance measures (indicators) in order to improve Pacific health outcomes in New Zealand.</w:t>
      </w:r>
    </w:p>
    <w:p w:rsidR="00EF595D" w:rsidRPr="009E1E57" w:rsidRDefault="00EF595D" w:rsidP="00777DEE"/>
    <w:p w:rsidR="00777DEE" w:rsidRDefault="00777DEE" w:rsidP="00777DEE">
      <w:r>
        <w:br w:type="page"/>
      </w:r>
    </w:p>
    <w:p w:rsidR="00EF595D" w:rsidRPr="009E1E57" w:rsidRDefault="00EF595D" w:rsidP="00777DEE">
      <w:pPr>
        <w:pStyle w:val="Heading1"/>
      </w:pPr>
      <w:bookmarkStart w:id="8" w:name="_Toc391539853"/>
      <w:r w:rsidRPr="009E1E57">
        <w:t>Focus of this plan</w:t>
      </w:r>
      <w:bookmarkEnd w:id="8"/>
    </w:p>
    <w:p w:rsidR="00EF595D" w:rsidRPr="009E1E57" w:rsidRDefault="00EF595D" w:rsidP="00777DEE">
      <w:r w:rsidRPr="009E1E57">
        <w:rPr>
          <w:i/>
        </w:rPr>
        <w:t xml:space="preserve">’Ala Mo’ui </w:t>
      </w:r>
      <w:r w:rsidRPr="009E1E57">
        <w:t>addresses priority outcomes and actions in terms of:</w:t>
      </w:r>
    </w:p>
    <w:p w:rsidR="00EF595D" w:rsidRPr="009E1E57" w:rsidRDefault="00EF595D" w:rsidP="00777DEE">
      <w:pPr>
        <w:pStyle w:val="Bullet"/>
      </w:pPr>
      <w:r w:rsidRPr="009E1E57">
        <w:t>what we are seeking to achieve: Government goals</w:t>
      </w:r>
    </w:p>
    <w:p w:rsidR="00EF595D" w:rsidRPr="009E1E57" w:rsidRDefault="00EF595D" w:rsidP="00777DEE">
      <w:pPr>
        <w:pStyle w:val="Bullet"/>
      </w:pPr>
      <w:r w:rsidRPr="009E1E57">
        <w:t>what the health and disability sector will do: actions</w:t>
      </w:r>
    </w:p>
    <w:p w:rsidR="00EF595D" w:rsidRPr="009E1E57" w:rsidRDefault="00EF595D" w:rsidP="00777DEE">
      <w:pPr>
        <w:pStyle w:val="Bullet"/>
      </w:pPr>
      <w:r w:rsidRPr="009E1E57">
        <w:t>how we will measure success: indicators.</w:t>
      </w:r>
    </w:p>
    <w:p w:rsidR="00EF595D" w:rsidRPr="009E1E57" w:rsidRDefault="00EF595D" w:rsidP="00777DEE"/>
    <w:p w:rsidR="00EF595D" w:rsidRPr="009E1E57" w:rsidRDefault="00EF595D" w:rsidP="00777DEE">
      <w:r w:rsidRPr="009E1E57">
        <w:t>The diagram below sets</w:t>
      </w:r>
      <w:r w:rsidR="00085832">
        <w:t xml:space="preserve"> </w:t>
      </w:r>
      <w:r w:rsidRPr="009E1E57">
        <w:t>out</w:t>
      </w:r>
      <w:r w:rsidR="00085832">
        <w:t xml:space="preserve"> </w:t>
      </w:r>
      <w:r w:rsidRPr="009E1E57">
        <w:t xml:space="preserve">the different components of </w:t>
      </w:r>
      <w:r w:rsidRPr="009E1E57">
        <w:rPr>
          <w:i/>
        </w:rPr>
        <w:t xml:space="preserve">’Ala Mo’ui </w:t>
      </w:r>
      <w:r w:rsidRPr="009E1E57">
        <w:t>in more detail.</w:t>
      </w:r>
    </w:p>
    <w:p w:rsidR="00EF595D" w:rsidRPr="009E1E57" w:rsidRDefault="00EF595D" w:rsidP="00777DEE"/>
    <w:p w:rsidR="00EF595D" w:rsidRPr="00085832" w:rsidRDefault="00FC6FA6" w:rsidP="00085832">
      <w:r w:rsidRPr="00FC6FA6">
        <w:rPr>
          <w:noProof/>
          <w:lang w:eastAsia="en-NZ"/>
        </w:rPr>
        <w:drawing>
          <wp:inline distT="0" distB="0" distL="0" distR="0" wp14:anchorId="56AC41F7" wp14:editId="296B84C3">
            <wp:extent cx="4829695" cy="6698752"/>
            <wp:effectExtent l="0" t="0" r="9525" b="698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7">
                      <a:grayscl/>
                    </a:blip>
                    <a:srcRect t="595" b="834"/>
                    <a:stretch/>
                  </pic:blipFill>
                  <pic:spPr bwMode="auto">
                    <a:xfrm>
                      <a:off x="0" y="0"/>
                      <a:ext cx="4832801" cy="6703060"/>
                    </a:xfrm>
                    <a:prstGeom prst="rect">
                      <a:avLst/>
                    </a:prstGeom>
                    <a:ln>
                      <a:noFill/>
                    </a:ln>
                    <a:extLst>
                      <a:ext uri="{53640926-AAD7-44D8-BBD7-CCE9431645EC}">
                        <a14:shadowObscured xmlns:a14="http://schemas.microsoft.com/office/drawing/2010/main"/>
                      </a:ext>
                    </a:extLst>
                  </pic:spPr>
                </pic:pic>
              </a:graphicData>
            </a:graphic>
          </wp:inline>
        </w:drawing>
      </w:r>
    </w:p>
    <w:p w:rsidR="00777DEE" w:rsidRDefault="00777DEE" w:rsidP="00777DEE">
      <w:r>
        <w:br w:type="page"/>
      </w:r>
    </w:p>
    <w:p w:rsidR="00EF595D" w:rsidRPr="009E1E57" w:rsidRDefault="00EF595D" w:rsidP="00777DEE">
      <w:pPr>
        <w:pStyle w:val="Heading1"/>
      </w:pPr>
      <w:bookmarkStart w:id="9" w:name="_Toc391539854"/>
      <w:r w:rsidRPr="009E1E57">
        <w:t>Government goals</w:t>
      </w:r>
      <w:bookmarkEnd w:id="9"/>
    </w:p>
    <w:p w:rsidR="00EF595D" w:rsidRPr="009E1E57" w:rsidRDefault="00EF595D" w:rsidP="00777DEE">
      <w:r w:rsidRPr="009E1E57">
        <w:rPr>
          <w:i/>
        </w:rPr>
        <w:t xml:space="preserve">’Ala Mo’ui </w:t>
      </w:r>
      <w:r w:rsidRPr="009E1E57">
        <w:t>contributes to the Government’s goal of Better, Sooner, More Convenient health care, whānau ora and integrated service delivery. The Ministry of Health’s three outcomes for the health and disability sector are that:</w:t>
      </w:r>
    </w:p>
    <w:p w:rsidR="00EF595D" w:rsidRPr="009E1E57" w:rsidRDefault="00EF595D" w:rsidP="00777DEE">
      <w:pPr>
        <w:spacing w:before="60"/>
        <w:ind w:left="567" w:hanging="567"/>
      </w:pPr>
      <w:r w:rsidRPr="009E1E57">
        <w:t>1.</w:t>
      </w:r>
      <w:r w:rsidR="00777DEE">
        <w:tab/>
      </w:r>
      <w:r w:rsidRPr="009E1E57">
        <w:t>New Zealanders are healthier and more independent</w:t>
      </w:r>
    </w:p>
    <w:p w:rsidR="00EF595D" w:rsidRPr="009E1E57" w:rsidRDefault="00EF595D" w:rsidP="00777DEE">
      <w:pPr>
        <w:spacing w:before="60"/>
        <w:ind w:left="567" w:hanging="567"/>
      </w:pPr>
      <w:r w:rsidRPr="009E1E57">
        <w:t>2.</w:t>
      </w:r>
      <w:r w:rsidR="00777DEE">
        <w:tab/>
      </w:r>
      <w:r w:rsidRPr="009E1E57">
        <w:t>high-quality health services are delivered in a timely and accessible manner</w:t>
      </w:r>
    </w:p>
    <w:p w:rsidR="00EF595D" w:rsidRPr="009E1E57" w:rsidRDefault="00EF595D" w:rsidP="00777DEE">
      <w:pPr>
        <w:spacing w:before="60"/>
        <w:ind w:left="567" w:hanging="567"/>
      </w:pPr>
      <w:r w:rsidRPr="009E1E57">
        <w:t>3.</w:t>
      </w:r>
      <w:r w:rsidR="00777DEE">
        <w:tab/>
      </w:r>
      <w:r w:rsidRPr="009E1E57">
        <w:t>the future sustainability of the health and disability sector is assured.</w:t>
      </w:r>
    </w:p>
    <w:p w:rsidR="00EF595D" w:rsidRPr="009E1E57" w:rsidRDefault="00EF595D" w:rsidP="00777DEE"/>
    <w:p w:rsidR="00EF595D" w:rsidRPr="009E1E57" w:rsidRDefault="00EF595D" w:rsidP="00777DEE">
      <w:r w:rsidRPr="009E1E57">
        <w:t>The Ministry of Health measures the health and disability sector’s progress against the set of targets, known as the ‘health targets’.</w:t>
      </w:r>
    </w:p>
    <w:p w:rsidR="00EF595D" w:rsidRPr="009E1E57" w:rsidRDefault="00EF595D" w:rsidP="00777DEE"/>
    <w:p w:rsidR="00777DEE" w:rsidRDefault="00EF595D" w:rsidP="00777DEE">
      <w:pPr>
        <w:pStyle w:val="Heading2"/>
      </w:pPr>
      <w:bookmarkStart w:id="10" w:name="_Toc391539855"/>
      <w:r w:rsidRPr="009E1E57">
        <w:t>Whānau ora and integrated service delivery</w:t>
      </w:r>
      <w:bookmarkEnd w:id="10"/>
    </w:p>
    <w:p w:rsidR="00EF595D" w:rsidRPr="009E1E57" w:rsidRDefault="00EF595D" w:rsidP="00777DEE">
      <w:r w:rsidRPr="009E1E57">
        <w:t>The whānau ora vision for Pacific families is ‘Prosperity for all Pacific families in Aotearoa/New Zealand by supporting and building ’āiga, kāiga, magafaoa, kōpū tangata, vuvale, fāmili, family capability’ (Whānau Ora Commissioning Agency for Pacific Families 2013). The aims are that Pacific families:</w:t>
      </w:r>
    </w:p>
    <w:p w:rsidR="00EF595D" w:rsidRPr="009E1E57" w:rsidRDefault="00EF595D" w:rsidP="00777DEE">
      <w:pPr>
        <w:pStyle w:val="Bullet"/>
      </w:pPr>
      <w:r w:rsidRPr="009E1E57">
        <w:t>are prosperous in Aotearoa/New Zealand (for a definition of social and economic prosperity, see Ministry of Pacific Island Affairs</w:t>
      </w:r>
      <w:r w:rsidR="00085832">
        <w:t xml:space="preserve"> </w:t>
      </w:r>
      <w:r w:rsidRPr="009E1E57">
        <w:t>1999)</w:t>
      </w:r>
    </w:p>
    <w:p w:rsidR="00EF595D" w:rsidRPr="009E1E57" w:rsidRDefault="00EF595D" w:rsidP="00777DEE">
      <w:pPr>
        <w:pStyle w:val="Bullet"/>
      </w:pPr>
      <w:r w:rsidRPr="009E1E57">
        <w:t>are strong and confident in their Pacific identity</w:t>
      </w:r>
    </w:p>
    <w:p w:rsidR="00EF595D" w:rsidRPr="009E1E57" w:rsidRDefault="00EF595D" w:rsidP="00777DEE">
      <w:pPr>
        <w:pStyle w:val="Bullet"/>
      </w:pPr>
      <w:r w:rsidRPr="009E1E57">
        <w:t>self-determine what they need in their lives to be successful</w:t>
      </w:r>
    </w:p>
    <w:p w:rsidR="00EF595D" w:rsidRPr="009E1E57" w:rsidRDefault="00EF595D" w:rsidP="00777DEE">
      <w:pPr>
        <w:pStyle w:val="Bullet"/>
      </w:pPr>
      <w:r w:rsidRPr="009E1E57">
        <w:t>influence decision-making on matters that affect Pacific peoples at all levels.</w:t>
      </w:r>
    </w:p>
    <w:p w:rsidR="00EF595D" w:rsidRPr="009E1E57" w:rsidRDefault="00EF595D" w:rsidP="00777DEE"/>
    <w:p w:rsidR="00EF595D" w:rsidRPr="009E1E57" w:rsidRDefault="00EF595D" w:rsidP="00777DEE">
      <w:r w:rsidRPr="009E1E57">
        <w:t>Whānau ora promotes integrated service delivery and a seamless and coordinated approach to meeting multiple needs (Ministry of Health 2010c). The health and disability sector continues to promote a whānau-centred and holistic approach to quality service delivery.</w:t>
      </w:r>
    </w:p>
    <w:p w:rsidR="00EF595D" w:rsidRPr="009E1E57" w:rsidRDefault="00EF595D" w:rsidP="00777DEE"/>
    <w:p w:rsidR="00777DEE" w:rsidRDefault="00777DEE" w:rsidP="00777DEE">
      <w:r>
        <w:br w:type="page"/>
      </w:r>
    </w:p>
    <w:p w:rsidR="00EF595D" w:rsidRPr="009E1E57" w:rsidRDefault="00EF595D" w:rsidP="00777DEE">
      <w:pPr>
        <w:pStyle w:val="Heading1"/>
      </w:pPr>
      <w:bookmarkStart w:id="11" w:name="_Toc391539856"/>
      <w:r w:rsidRPr="009E1E57">
        <w:t>Pacific principles</w:t>
      </w:r>
      <w:bookmarkEnd w:id="11"/>
    </w:p>
    <w:p w:rsidR="00EF595D" w:rsidRPr="009E1E57" w:rsidRDefault="00EF595D" w:rsidP="00777DEE">
      <w:pPr>
        <w:pStyle w:val="Heading2"/>
      </w:pPr>
      <w:bookmarkStart w:id="12" w:name="_Toc391539857"/>
      <w:r w:rsidRPr="009E1E57">
        <w:t>Respecting Pacific culture</w:t>
      </w:r>
      <w:bookmarkEnd w:id="12"/>
    </w:p>
    <w:p w:rsidR="00EF595D" w:rsidRPr="009E1E57" w:rsidRDefault="00EF595D" w:rsidP="00777DEE">
      <w:r w:rsidRPr="009E1E57">
        <w:t>Individuals and organisations in the health and disability sector recognise that Pacific families’</w:t>
      </w:r>
      <w:r w:rsidR="00777DEE">
        <w:t xml:space="preserve"> </w:t>
      </w:r>
      <w:r w:rsidRPr="009E1E57">
        <w:t>experience of health care is influenced by Pacific world views, cultural beliefs and values (Taumoefolau</w:t>
      </w:r>
      <w:r w:rsidR="00777DEE">
        <w:t xml:space="preserve"> </w:t>
      </w:r>
      <w:r w:rsidRPr="009E1E57">
        <w:t>2012). Culture has</w:t>
      </w:r>
      <w:r w:rsidR="00085832">
        <w:t xml:space="preserve"> </w:t>
      </w:r>
      <w:r w:rsidRPr="009E1E57">
        <w:t>been identified as ‘expressions of knowledge, beliefs, customs, morals, arts and personality’ (Ministry of Social</w:t>
      </w:r>
      <w:r w:rsidR="00085832">
        <w:t xml:space="preserve"> </w:t>
      </w:r>
      <w:r w:rsidRPr="009E1E57">
        <w:t xml:space="preserve">Development 2012a). Moreover, as </w:t>
      </w:r>
      <w:r w:rsidRPr="009E1E57">
        <w:rPr>
          <w:i/>
        </w:rPr>
        <w:t>Nga Vaka o K</w:t>
      </w:r>
      <w:r w:rsidR="00777DEE">
        <w:rPr>
          <w:i/>
        </w:rPr>
        <w:t>ā</w:t>
      </w:r>
      <w:r w:rsidRPr="009E1E57">
        <w:rPr>
          <w:i/>
        </w:rPr>
        <w:t xml:space="preserve">iga Tapu </w:t>
      </w:r>
      <w:r w:rsidRPr="009E1E57">
        <w:t>(Ministry of Social</w:t>
      </w:r>
      <w:r w:rsidR="00085832">
        <w:t xml:space="preserve"> </w:t>
      </w:r>
      <w:r w:rsidRPr="009E1E57">
        <w:t>Development 2012a) recognises, while Pacific ‘cultures’ share some similarities in principles and concepts, they each have specific and independent world views. Culture is reflected in the following terms: akono’ang Māori (Cook Islands), tovo vaka</w:t>
      </w:r>
      <w:r w:rsidR="00085832">
        <w:t xml:space="preserve"> </w:t>
      </w:r>
      <w:r w:rsidRPr="009E1E57">
        <w:t>Viti (Fiji), aga fakaNiue (Niue), agan</w:t>
      </w:r>
      <w:r w:rsidR="00777DEE">
        <w:t>u’</w:t>
      </w:r>
      <w:r w:rsidRPr="009E1E57">
        <w:t>u Sāmoa (Samoa), tū ma aganuku o Tokelau (Tokelau), anga fakaTonga (Tonga), tu mo faifaiga faka</w:t>
      </w:r>
      <w:r w:rsidR="00085832">
        <w:t xml:space="preserve"> </w:t>
      </w:r>
      <w:r w:rsidRPr="009E1E57">
        <w:t>Tuvalu (Tuvalu) (Ministry of Social</w:t>
      </w:r>
      <w:r w:rsidR="00085832">
        <w:t xml:space="preserve"> </w:t>
      </w:r>
      <w:r w:rsidRPr="009E1E57">
        <w:t>Development 2012a).</w:t>
      </w:r>
    </w:p>
    <w:p w:rsidR="00EF595D" w:rsidRPr="009E1E57" w:rsidRDefault="00EF595D" w:rsidP="00777DEE"/>
    <w:p w:rsidR="00EF595D" w:rsidRPr="009E1E57" w:rsidRDefault="00EF595D" w:rsidP="00777DEE">
      <w:r w:rsidRPr="009E1E57">
        <w:t>Given the dynamic nature of the Pacific population in New Zealand, these cultural world views, beliefs and values are diverse and evolving. In general, Pacific peoples in New Zealand maintain strong links with the Pacific Islands through family, culture, history and language (Health Research Council of</w:t>
      </w:r>
      <w:r w:rsidR="00777DEE">
        <w:t xml:space="preserve"> </w:t>
      </w:r>
      <w:r w:rsidRPr="009E1E57">
        <w:t>New Zealand 2012).</w:t>
      </w:r>
    </w:p>
    <w:p w:rsidR="00EF595D" w:rsidRPr="009E1E57" w:rsidRDefault="00EF595D" w:rsidP="00777DEE"/>
    <w:p w:rsidR="00EF595D" w:rsidRPr="009E1E57" w:rsidRDefault="00EF595D" w:rsidP="00777DEE">
      <w:pPr>
        <w:pStyle w:val="Heading2"/>
      </w:pPr>
      <w:bookmarkStart w:id="13" w:name="_Toc391539858"/>
      <w:r w:rsidRPr="009E1E57">
        <w:t>Valuing ’āiga, kāiga, magafaoa, kōpū tangata, vuvale, fāmili (family) and communities</w:t>
      </w:r>
      <w:bookmarkEnd w:id="13"/>
    </w:p>
    <w:p w:rsidR="00EF595D" w:rsidRPr="009E1E57" w:rsidRDefault="00EF595D" w:rsidP="00777DEE">
      <w:r w:rsidRPr="009E1E57">
        <w:t xml:space="preserve">Workers in the health and disability sector are aware that, for most Pacific peoples, </w:t>
      </w:r>
      <w:r w:rsidR="00777DEE">
        <w:t>’ā</w:t>
      </w:r>
      <w:r w:rsidRPr="009E1E57">
        <w:t>iga, kāiga, magafaoa, kōpū tangata, vuvale, fāmili (family) is the centre of the community and way of life. Family provides identity, status, honour, prescribed roles, care and support (Tiatia and Foliaki 2005). Care for family members with disabilities or for older family members is often informally provided within the family (Huakau and Bray 2000). Pacific peoples have a holistic view of health and wellbeing (Ministry of Social</w:t>
      </w:r>
      <w:r w:rsidR="00085832">
        <w:t xml:space="preserve"> </w:t>
      </w:r>
      <w:r w:rsidRPr="009E1E57">
        <w:t>Development 2012a,</w:t>
      </w:r>
      <w:r w:rsidR="00900C1A">
        <w:t xml:space="preserve"> </w:t>
      </w:r>
      <w:r w:rsidRPr="009E1E57">
        <w:t>b).</w:t>
      </w:r>
    </w:p>
    <w:p w:rsidR="00EF595D" w:rsidRPr="009E1E57" w:rsidRDefault="00EF595D" w:rsidP="00777DEE"/>
    <w:p w:rsidR="00EF595D" w:rsidRPr="009E1E57" w:rsidRDefault="00EF595D" w:rsidP="00777DEE">
      <w:r w:rsidRPr="009E1E57">
        <w:t>Whānau ora is a holistic and strengths-based approach to developing and maintaining strong and vibrant families. The initiative supports Pacific families through the development of ‘navigators’, who facilitate increased access to existing systems and services.</w:t>
      </w:r>
    </w:p>
    <w:p w:rsidR="00EF595D" w:rsidRPr="009E1E57" w:rsidRDefault="00EF595D" w:rsidP="00777DEE"/>
    <w:p w:rsidR="00EF595D" w:rsidRPr="009E1E57" w:rsidRDefault="00EF595D" w:rsidP="00777DEE">
      <w:pPr>
        <w:pStyle w:val="Heading2"/>
      </w:pPr>
      <w:bookmarkStart w:id="14" w:name="_Toc391539859"/>
      <w:r w:rsidRPr="009E1E57">
        <w:t>Quality health care</w:t>
      </w:r>
      <w:bookmarkEnd w:id="14"/>
    </w:p>
    <w:p w:rsidR="00EF595D" w:rsidRPr="009E1E57" w:rsidRDefault="00EF595D" w:rsidP="00777DEE">
      <w:r w:rsidRPr="009E1E57">
        <w:t>The key dimensions of quality – access, equity, cultural competence, safety, effectiveness, efficiency and patient-centredness – are implicit in the delivery of health and disability services to Pacific peoples (Minister of Health 2003). Quality health care is delivered from a strengths-based approach and is apparent at individual, family, community, organisation and overall system levels.</w:t>
      </w:r>
    </w:p>
    <w:p w:rsidR="00EF595D" w:rsidRPr="009E1E57" w:rsidRDefault="00EF595D" w:rsidP="00777DEE"/>
    <w:p w:rsidR="00EF595D" w:rsidRPr="009E1E57" w:rsidRDefault="00EF595D" w:rsidP="00777DEE">
      <w:pPr>
        <w:pStyle w:val="Heading2"/>
      </w:pPr>
      <w:bookmarkStart w:id="15" w:name="_Toc391539860"/>
      <w:r w:rsidRPr="009E1E57">
        <w:t>Working together – integration</w:t>
      </w:r>
      <w:bookmarkEnd w:id="15"/>
    </w:p>
    <w:p w:rsidR="00EF595D" w:rsidRPr="009E1E57" w:rsidRDefault="00EF595D" w:rsidP="00777DEE">
      <w:pPr>
        <w:keepLines/>
      </w:pPr>
      <w:r w:rsidRPr="009E1E57">
        <w:t>The health and disability sector works together to provide seamless and integrated quality care to Pacific peoples. The sector focuses on the social, environmental, economic and cultural factors that impact on Pacific health outcomes. The health and disability sector partners with education, housing and social development to prioritise and focus on Better Public Service targets.</w:t>
      </w:r>
    </w:p>
    <w:p w:rsidR="00EF595D" w:rsidRPr="009E1E57" w:rsidRDefault="00EF595D" w:rsidP="00777DEE"/>
    <w:p w:rsidR="00EF595D" w:rsidRPr="009E1E57" w:rsidRDefault="00EF595D" w:rsidP="00777DEE">
      <w:r w:rsidRPr="009E1E57">
        <w:t>The health and disability sector specifically focuses on the vulnerable children targets, which are:</w:t>
      </w:r>
    </w:p>
    <w:p w:rsidR="00EF595D" w:rsidRPr="009E1E57" w:rsidRDefault="00EF595D" w:rsidP="00777DEE">
      <w:pPr>
        <w:spacing w:before="60"/>
        <w:ind w:left="567" w:hanging="567"/>
      </w:pPr>
      <w:r w:rsidRPr="009E1E57">
        <w:t>1.</w:t>
      </w:r>
      <w:r w:rsidR="00777DEE">
        <w:tab/>
      </w:r>
      <w:r w:rsidRPr="009E1E57">
        <w:t>increase participation in early childhood education</w:t>
      </w:r>
    </w:p>
    <w:p w:rsidR="00EF595D" w:rsidRPr="009E1E57" w:rsidRDefault="00EF595D" w:rsidP="00777DEE">
      <w:pPr>
        <w:spacing w:before="60"/>
        <w:ind w:left="567" w:hanging="567"/>
      </w:pPr>
      <w:r w:rsidRPr="009E1E57">
        <w:t>2.</w:t>
      </w:r>
      <w:r w:rsidR="00777DEE">
        <w:tab/>
      </w:r>
      <w:r w:rsidRPr="009E1E57">
        <w:t>increase infant immunisation rates</w:t>
      </w:r>
    </w:p>
    <w:p w:rsidR="00EF595D" w:rsidRPr="009E1E57" w:rsidRDefault="00EF595D" w:rsidP="00777DEE">
      <w:pPr>
        <w:spacing w:before="60"/>
        <w:ind w:left="567" w:hanging="567"/>
      </w:pPr>
      <w:r w:rsidRPr="009E1E57">
        <w:t>3.</w:t>
      </w:r>
      <w:r w:rsidR="00777DEE">
        <w:tab/>
      </w:r>
      <w:r w:rsidRPr="009E1E57">
        <w:t>reduce the incidence of rheumatic fever</w:t>
      </w:r>
    </w:p>
    <w:p w:rsidR="00EF595D" w:rsidRPr="009E1E57" w:rsidRDefault="00EF595D" w:rsidP="00777DEE">
      <w:pPr>
        <w:spacing w:before="60"/>
        <w:ind w:left="567" w:hanging="567"/>
      </w:pPr>
      <w:r w:rsidRPr="009E1E57">
        <w:t>4.</w:t>
      </w:r>
      <w:r w:rsidR="00777DEE">
        <w:tab/>
      </w:r>
      <w:r w:rsidRPr="009E1E57">
        <w:t>reduce the number of assaults on children.</w:t>
      </w:r>
    </w:p>
    <w:p w:rsidR="00EF595D" w:rsidRPr="009E1E57" w:rsidRDefault="00EF595D" w:rsidP="00777DEE"/>
    <w:p w:rsidR="00777DEE" w:rsidRDefault="00777DEE" w:rsidP="00777DEE">
      <w:r>
        <w:br w:type="page"/>
      </w:r>
    </w:p>
    <w:p w:rsidR="00EF595D" w:rsidRPr="009E1E57" w:rsidRDefault="00EF595D" w:rsidP="00777DEE">
      <w:pPr>
        <w:pStyle w:val="Heading1"/>
      </w:pPr>
      <w:bookmarkStart w:id="16" w:name="_Toc391539861"/>
      <w:r w:rsidRPr="009E1E57">
        <w:t>Enablers of outcomes</w:t>
      </w:r>
      <w:bookmarkEnd w:id="16"/>
    </w:p>
    <w:p w:rsidR="00EF595D" w:rsidRPr="009E1E57" w:rsidRDefault="00EF595D" w:rsidP="00777DEE">
      <w:r w:rsidRPr="009E1E57">
        <w:t>Two enablers in the health and disability sector are reflected in the new</w:t>
      </w:r>
      <w:r w:rsidR="00085832">
        <w:t xml:space="preserve"> </w:t>
      </w:r>
      <w:r w:rsidRPr="009E1E57">
        <w:rPr>
          <w:i/>
        </w:rPr>
        <w:t xml:space="preserve">’Ala Mo’ui </w:t>
      </w:r>
      <w:r w:rsidRPr="009E1E57">
        <w:t>outcomes framework.</w:t>
      </w:r>
    </w:p>
    <w:p w:rsidR="00EF595D" w:rsidRPr="009E1E57" w:rsidRDefault="00EF595D" w:rsidP="00777DEE">
      <w:pPr>
        <w:spacing w:before="60"/>
        <w:ind w:left="567" w:hanging="567"/>
      </w:pPr>
      <w:r w:rsidRPr="009E1E57">
        <w:t>1.</w:t>
      </w:r>
      <w:r w:rsidR="00777DEE">
        <w:tab/>
      </w:r>
      <w:r w:rsidRPr="009E1E57">
        <w:t>Pacific workforce supply meets service demand.</w:t>
      </w:r>
    </w:p>
    <w:p w:rsidR="00EF595D" w:rsidRPr="009E1E57" w:rsidRDefault="00EF595D" w:rsidP="00777DEE">
      <w:pPr>
        <w:spacing w:before="60"/>
        <w:ind w:left="567" w:hanging="567"/>
      </w:pPr>
      <w:r w:rsidRPr="009E1E57">
        <w:t>2.</w:t>
      </w:r>
      <w:r w:rsidR="00777DEE">
        <w:tab/>
      </w:r>
      <w:r w:rsidRPr="009E1E57">
        <w:t>Every dollar is spent in the best way to improve health outcomes.</w:t>
      </w:r>
    </w:p>
    <w:p w:rsidR="00EF595D" w:rsidRPr="009E1E57" w:rsidRDefault="00EF595D" w:rsidP="00777DEE"/>
    <w:p w:rsidR="00EF595D" w:rsidRPr="009E1E57" w:rsidRDefault="00EF595D" w:rsidP="00777DEE">
      <w:pPr>
        <w:pStyle w:val="Heading2"/>
      </w:pPr>
      <w:bookmarkStart w:id="17" w:name="_Toc391539862"/>
      <w:r w:rsidRPr="009E1E57">
        <w:t>Increased Pacific responsiveness of the general</w:t>
      </w:r>
      <w:r w:rsidR="00777DEE">
        <w:t xml:space="preserve"> </w:t>
      </w:r>
      <w:r w:rsidRPr="009E1E57">
        <w:t>New Zealand health and disability workforce</w:t>
      </w:r>
      <w:bookmarkEnd w:id="17"/>
    </w:p>
    <w:p w:rsidR="00EF595D" w:rsidRPr="009E1E57" w:rsidRDefault="00EF595D" w:rsidP="00777DEE">
      <w:r w:rsidRPr="009E1E57">
        <w:t>If we are to improve and gain equitable health outcomes for all Pacific peoples in New Zealand, it is essential to not only build the capacity and capability of the Pacific health and disability workforce but to also increase the responsiveness of the non-Pacific health workforce to Pacific health needs.</w:t>
      </w:r>
    </w:p>
    <w:p w:rsidR="00EF595D" w:rsidRPr="009E1E57" w:rsidRDefault="00EF595D" w:rsidP="00777DEE"/>
    <w:p w:rsidR="00EF595D" w:rsidRPr="009E1E57" w:rsidRDefault="00EF595D" w:rsidP="00777DEE">
      <w:r w:rsidRPr="009E1E57">
        <w:t>The Public Health Workforce Development Plan 2007–2016 recognises this and has</w:t>
      </w:r>
      <w:r w:rsidR="00085832">
        <w:t xml:space="preserve"> </w:t>
      </w:r>
      <w:r w:rsidRPr="009E1E57">
        <w:t>a two pronged approach to supporting this matter, which is to ‘strengthen the Pacific public health workforce and to increase the capability of the non-Pacific workforce to improve Pacific health and reduce inequalities’.</w:t>
      </w:r>
    </w:p>
    <w:p w:rsidR="00EF595D" w:rsidRPr="009E1E57" w:rsidRDefault="00EF595D" w:rsidP="00777DEE"/>
    <w:p w:rsidR="00EF595D" w:rsidRPr="009E1E57" w:rsidRDefault="00EF595D" w:rsidP="00777DEE">
      <w:r w:rsidRPr="009E1E57">
        <w:t>Cultural competence of the health workforce is a recognised component of health service quality. Pacific cultural competency may be defined as the ability to understand and appropriately apply cultural values and practices that underpin Pacific peoples’ world views and perspectives on health (Ministry of Health 2008). A greater appreciation of diversity and the differences between patient’s and providers world views and lived reality, will lead to improved communication, diagnosis and adherence to treatment regimes (Southwick et al 2012).</w:t>
      </w:r>
    </w:p>
    <w:p w:rsidR="00EF595D" w:rsidRPr="009E1E57" w:rsidRDefault="00EF595D" w:rsidP="00777DEE"/>
    <w:p w:rsidR="00EF595D" w:rsidRPr="009E1E57" w:rsidRDefault="00EF595D" w:rsidP="00777DEE">
      <w:r w:rsidRPr="009E1E57">
        <w:t>Increasing the responsiveness of the New Zealand health and disability workforce requires leadership at all levels of the health system. This</w:t>
      </w:r>
      <w:r w:rsidR="00085832">
        <w:t xml:space="preserve"> </w:t>
      </w:r>
      <w:r w:rsidRPr="009E1E57">
        <w:t>is a fundamental requirement if we are to gain our</w:t>
      </w:r>
      <w:r w:rsidR="00085832">
        <w:t xml:space="preserve"> </w:t>
      </w:r>
      <w:r w:rsidRPr="009E1E57">
        <w:t>aim</w:t>
      </w:r>
      <w:r w:rsidR="00085832">
        <w:t xml:space="preserve"> </w:t>
      </w:r>
      <w:r w:rsidRPr="009E1E57">
        <w:t>of health equity for Pacific peoples in New Zealand.</w:t>
      </w:r>
    </w:p>
    <w:p w:rsidR="00EF595D" w:rsidRPr="009E1E57" w:rsidRDefault="00EF595D" w:rsidP="00777DEE"/>
    <w:p w:rsidR="00EF595D" w:rsidRPr="009E1E57" w:rsidRDefault="00EF595D" w:rsidP="00777DEE">
      <w:r w:rsidRPr="009E1E57">
        <w:t>One of the workforce priorities that fall out</w:t>
      </w:r>
      <w:r w:rsidR="00085832">
        <w:t xml:space="preserve"> </w:t>
      </w:r>
      <w:r w:rsidRPr="009E1E57">
        <w:t>of the Health Workforce New Zealand’s regional service plan 2014/15 requires DHBs to work</w:t>
      </w:r>
      <w:r w:rsidR="00085832">
        <w:t xml:space="preserve"> </w:t>
      </w:r>
      <w:r w:rsidRPr="009E1E57">
        <w:t>with their regional training hub to increase participation Pacific FTEs in the workforce through initiatives such as scholarship programmes and supporting high-school based programmes.</w:t>
      </w:r>
    </w:p>
    <w:p w:rsidR="00EF595D" w:rsidRPr="009E1E57" w:rsidRDefault="00EF595D" w:rsidP="00777DEE"/>
    <w:p w:rsidR="00EF595D" w:rsidRPr="009E1E57" w:rsidRDefault="00EF595D" w:rsidP="00777DEE">
      <w:r w:rsidRPr="009E1E57">
        <w:t>Each of these enablers is described opposite.</w:t>
      </w:r>
    </w:p>
    <w:p w:rsidR="00EF595D" w:rsidRPr="009E1E57" w:rsidRDefault="00EF595D" w:rsidP="00777DEE"/>
    <w:p w:rsidR="00777DEE" w:rsidRDefault="00EF595D" w:rsidP="00777DEE">
      <w:pPr>
        <w:pStyle w:val="BoxHeading"/>
      </w:pPr>
      <w:r w:rsidRPr="009E1E57">
        <w:t>1.</w:t>
      </w:r>
      <w:r w:rsidR="00777DEE">
        <w:tab/>
      </w:r>
      <w:r w:rsidRPr="009E1E57">
        <w:t>Pacific workforce supply meets service demand</w:t>
      </w:r>
    </w:p>
    <w:p w:rsidR="00EF595D" w:rsidRPr="009E1E57" w:rsidRDefault="00EF595D" w:rsidP="00777DEE">
      <w:pPr>
        <w:pStyle w:val="Box"/>
        <w:keepLines/>
      </w:pPr>
      <w:r w:rsidRPr="009E1E57">
        <w:t>Developing the Pacific health and disability workforce is a priority because ethnic and linguistic diversity among health professionals is associated with better access to and quality of care for disadvantaged populations (Barwick 2000; United States Department of Health and Human Services 2006). Pacific health and disability workers bring connections with Pacific</w:t>
      </w:r>
      <w:r w:rsidR="00777DEE">
        <w:t xml:space="preserve"> </w:t>
      </w:r>
      <w:r w:rsidRPr="009E1E57">
        <w:t>communities, personal understanding of Pacific issues, and Pacific cultural and language skills</w:t>
      </w:r>
      <w:r w:rsidR="00777DEE">
        <w:t xml:space="preserve"> </w:t>
      </w:r>
      <w:r w:rsidRPr="009E1E57">
        <w:t>(Pacific Perspectives 2012). The Pacific health workforce can</w:t>
      </w:r>
      <w:r w:rsidR="00085832">
        <w:t xml:space="preserve"> </w:t>
      </w:r>
      <w:r w:rsidRPr="009E1E57">
        <w:t>positively influence Pacific equity in health outcomes by ‘integrating cultural practices, concepts and diverse world views into</w:t>
      </w:r>
      <w:r w:rsidR="00777DEE">
        <w:t xml:space="preserve"> </w:t>
      </w:r>
      <w:r w:rsidRPr="009E1E57">
        <w:t>high-quality, evidence informed health services’ (Pacific Perspectives 2012).</w:t>
      </w:r>
    </w:p>
    <w:p w:rsidR="00EF595D" w:rsidRPr="009E1E57" w:rsidRDefault="00EF595D" w:rsidP="00777DEE">
      <w:pPr>
        <w:pStyle w:val="Box"/>
      </w:pPr>
      <w:r w:rsidRPr="009E1E57">
        <w:t>Pacific health workers have made an important contribution to the care of New Zealanders, particularly as nurses (Zurn and Dumont 2008) and non-regulated workers, such as community health workers, health care assistants and caregivers (Samu et al 2009). Developing the Pacific health and disability workforce therefore also contributes to the health and wellbeing of the wider New Zealand public.</w:t>
      </w:r>
    </w:p>
    <w:p w:rsidR="00EF595D" w:rsidRPr="009E1E57" w:rsidRDefault="00EF595D" w:rsidP="00777DEE">
      <w:pPr>
        <w:pStyle w:val="Box"/>
      </w:pPr>
      <w:r w:rsidRPr="009E1E57">
        <w:t>Workforce development (including job creation and skill development) also has</w:t>
      </w:r>
      <w:r w:rsidR="00085832">
        <w:t xml:space="preserve"> </w:t>
      </w:r>
      <w:r w:rsidRPr="009E1E57">
        <w:t>economic benefits for Pacific individuals, families and communities. Increasing the size of the Pacific health and disability workforce will also improve community health literacy and the cultural competency of the health and disability sector. Health literacy, socioeconomic determinants, collective world views and cultural beliefs impact on inequities experienced by Pacific peoples. Inequities are indicative of poor system responsiveness and quality of care experience (Pacific Perspectives 2012).</w:t>
      </w:r>
    </w:p>
    <w:p w:rsidR="00EF595D" w:rsidRPr="009E1E57" w:rsidRDefault="00EF595D" w:rsidP="00777DEE">
      <w:pPr>
        <w:pStyle w:val="Box"/>
      </w:pPr>
      <w:r w:rsidRPr="009E1E57">
        <w:t>We want to improve our</w:t>
      </w:r>
      <w:r w:rsidR="00085832">
        <w:t xml:space="preserve"> </w:t>
      </w:r>
      <w:r w:rsidRPr="009E1E57">
        <w:t>ability to attract, train and retain Pacific health and disability workers in priority areas where there are shortages, such as primary health care, child health, mental health, disability, youth sexual health and oral health. We also want to do better at recruiting and retaining qualified Pacific workers for Pacific providers and Pacific-focused services in mainstream organisations.</w:t>
      </w:r>
    </w:p>
    <w:p w:rsidR="00EF595D" w:rsidRPr="009E1E57" w:rsidRDefault="00EF595D" w:rsidP="00777DEE">
      <w:pPr>
        <w:pStyle w:val="Box"/>
      </w:pPr>
      <w:r w:rsidRPr="009E1E57">
        <w:t>The youthful, urbanised and growing Pacific working age population is and will continue to be</w:t>
      </w:r>
      <w:r w:rsidR="00777DEE">
        <w:t xml:space="preserve"> </w:t>
      </w:r>
      <w:r w:rsidRPr="009E1E57">
        <w:t>an important resource for the New Zealand health workforce (Pacific Perspectives 2012). We want to make best use of this resource by providing opportunities and support for Pacific peoples to become health and disability workers.</w:t>
      </w:r>
    </w:p>
    <w:p w:rsidR="00EF595D" w:rsidRPr="009E1E57" w:rsidRDefault="00EF595D" w:rsidP="00777DEE">
      <w:pPr>
        <w:pStyle w:val="Box"/>
      </w:pPr>
      <w:r w:rsidRPr="009E1E57">
        <w:t>To this end, we also need to focus on increasing the number of Pacific students enrolling in health-related subjects at secondary school. In 2013, there were</w:t>
      </w:r>
      <w:r w:rsidR="00085832">
        <w:t xml:space="preserve"> </w:t>
      </w:r>
      <w:r w:rsidRPr="009E1E57">
        <w:t>low numbers of Pacific students fully</w:t>
      </w:r>
      <w:r w:rsidR="00085832">
        <w:t xml:space="preserve"> </w:t>
      </w:r>
      <w:r w:rsidRPr="009E1E57">
        <w:t>engaged in key science subjects at secondary school (such as chemistry, biology and physics), which are critical requirements for entry into many health workforce training courses (New Zealand Qualifications Authority 2014).</w:t>
      </w:r>
    </w:p>
    <w:p w:rsidR="00EF595D" w:rsidRPr="009E1E57" w:rsidRDefault="00EF595D" w:rsidP="00777DEE"/>
    <w:p w:rsidR="00EF595D" w:rsidRPr="009E1E57" w:rsidRDefault="00EF595D" w:rsidP="00AF4E0B">
      <w:pPr>
        <w:pStyle w:val="Heading3"/>
      </w:pPr>
      <w:r w:rsidRPr="009E1E57">
        <w:t>Pacific Provider Workforce Development Fund and Pacific</w:t>
      </w:r>
      <w:r w:rsidR="00AF4E0B">
        <w:t> </w:t>
      </w:r>
      <w:r w:rsidRPr="009E1E57">
        <w:t>Innovation Fund</w:t>
      </w:r>
    </w:p>
    <w:p w:rsidR="00EF595D" w:rsidRPr="009E1E57" w:rsidRDefault="00EF595D" w:rsidP="00AF4E0B">
      <w:r w:rsidRPr="009E1E57">
        <w:t>The Ministry of Health allocates funding to Pacific providers via the Pacific Provider Workforce</w:t>
      </w:r>
      <w:r w:rsidR="00AF4E0B">
        <w:t xml:space="preserve"> </w:t>
      </w:r>
      <w:r w:rsidRPr="009E1E57">
        <w:t>Development Fund. The focus areas for this funding are described in further detail below.</w:t>
      </w:r>
    </w:p>
    <w:p w:rsidR="00EF595D" w:rsidRPr="009E1E57" w:rsidRDefault="00EF595D" w:rsidP="00AF4E0B"/>
    <w:p w:rsidR="00EF595D" w:rsidRPr="009E1E57" w:rsidRDefault="00EF595D" w:rsidP="00AF4E0B">
      <w:pPr>
        <w:pStyle w:val="Heading4"/>
      </w:pPr>
      <w:r w:rsidRPr="009E1E57">
        <w:t>a.</w:t>
      </w:r>
      <w:r w:rsidR="00AF4E0B">
        <w:tab/>
      </w:r>
      <w:r w:rsidRPr="009E1E57">
        <w:t>Increase the Pacific health workforce</w:t>
      </w:r>
    </w:p>
    <w:p w:rsidR="00EF595D" w:rsidRPr="009E1E57" w:rsidRDefault="00EF595D" w:rsidP="00AF4E0B">
      <w:r w:rsidRPr="009E1E57">
        <w:t>The focus is on increasing the Pacific health workforce through a pipeline approach, as outlined in</w:t>
      </w:r>
      <w:r w:rsidR="00AF4E0B">
        <w:t xml:space="preserve"> </w:t>
      </w:r>
      <w:r w:rsidRPr="009E1E57">
        <w:t>Table 1 below.</w:t>
      </w:r>
    </w:p>
    <w:p w:rsidR="00EF595D" w:rsidRPr="009E1E57" w:rsidRDefault="00EF595D" w:rsidP="00AF4E0B"/>
    <w:p w:rsidR="00EF595D" w:rsidRDefault="00EF595D" w:rsidP="00AF4E0B">
      <w:pPr>
        <w:pStyle w:val="Table"/>
      </w:pPr>
      <w:bookmarkStart w:id="18" w:name="_Toc391539873"/>
      <w:r w:rsidRPr="009E1E57">
        <w:t>Table 1: Funded activities to increase the Pacific health workforce</w:t>
      </w:r>
      <w:bookmarkEnd w:id="18"/>
    </w:p>
    <w:tbl>
      <w:tblPr>
        <w:tblW w:w="9356" w:type="dxa"/>
        <w:tblInd w:w="57" w:type="dxa"/>
        <w:tblBorders>
          <w:top w:val="single" w:sz="4" w:space="0" w:color="auto"/>
          <w:bottom w:val="single" w:sz="4" w:space="0" w:color="auto"/>
        </w:tblBorders>
        <w:tblLayout w:type="fixed"/>
        <w:tblCellMar>
          <w:left w:w="57" w:type="dxa"/>
          <w:right w:w="57" w:type="dxa"/>
        </w:tblCellMar>
        <w:tblLook w:val="01E0" w:firstRow="1" w:lastRow="1" w:firstColumn="1" w:lastColumn="1" w:noHBand="0" w:noVBand="0"/>
      </w:tblPr>
      <w:tblGrid>
        <w:gridCol w:w="1293"/>
        <w:gridCol w:w="2676"/>
        <w:gridCol w:w="5387"/>
      </w:tblGrid>
      <w:tr w:rsidR="00AF4E0B" w:rsidRPr="00BE30C5" w:rsidTr="006E73C7">
        <w:trPr>
          <w:cantSplit/>
        </w:trPr>
        <w:tc>
          <w:tcPr>
            <w:tcW w:w="1293" w:type="dxa"/>
            <w:tcBorders>
              <w:top w:val="single" w:sz="4" w:space="0" w:color="auto"/>
              <w:bottom w:val="single" w:sz="4" w:space="0" w:color="auto"/>
            </w:tcBorders>
            <w:shd w:val="clear" w:color="auto" w:fill="auto"/>
          </w:tcPr>
          <w:p w:rsidR="00AF4E0B" w:rsidRPr="00BE30C5" w:rsidRDefault="00AF4E0B" w:rsidP="006E73C7">
            <w:pPr>
              <w:pStyle w:val="TableText"/>
              <w:rPr>
                <w:rFonts w:eastAsia="Arial"/>
                <w:b/>
              </w:rPr>
            </w:pPr>
            <w:r w:rsidRPr="00BE30C5">
              <w:rPr>
                <w:rFonts w:eastAsia="Arial"/>
                <w:b/>
              </w:rPr>
              <w:t>Priorities</w:t>
            </w:r>
          </w:p>
        </w:tc>
        <w:tc>
          <w:tcPr>
            <w:tcW w:w="2676" w:type="dxa"/>
            <w:tcBorders>
              <w:top w:val="single" w:sz="4" w:space="0" w:color="auto"/>
              <w:bottom w:val="single" w:sz="4" w:space="0" w:color="auto"/>
            </w:tcBorders>
            <w:shd w:val="clear" w:color="auto" w:fill="auto"/>
          </w:tcPr>
          <w:p w:rsidR="00AF4E0B" w:rsidRPr="00BE30C5" w:rsidRDefault="00AF4E0B" w:rsidP="006E73C7">
            <w:pPr>
              <w:pStyle w:val="TableText"/>
              <w:rPr>
                <w:rFonts w:eastAsia="Arial"/>
                <w:b/>
              </w:rPr>
            </w:pPr>
            <w:r w:rsidRPr="00BE30C5">
              <w:rPr>
                <w:rFonts w:eastAsia="Arial"/>
                <w:b/>
              </w:rPr>
              <w:t>Goals</w:t>
            </w:r>
          </w:p>
        </w:tc>
        <w:tc>
          <w:tcPr>
            <w:tcW w:w="5387" w:type="dxa"/>
            <w:tcBorders>
              <w:top w:val="single" w:sz="4" w:space="0" w:color="auto"/>
              <w:bottom w:val="single" w:sz="4" w:space="0" w:color="auto"/>
            </w:tcBorders>
            <w:shd w:val="clear" w:color="auto" w:fill="auto"/>
          </w:tcPr>
          <w:p w:rsidR="00AF4E0B" w:rsidRPr="00BE30C5" w:rsidRDefault="00AF4E0B" w:rsidP="006E73C7">
            <w:pPr>
              <w:pStyle w:val="TableText"/>
              <w:rPr>
                <w:rFonts w:eastAsia="Arial"/>
                <w:b/>
              </w:rPr>
            </w:pPr>
            <w:r w:rsidRPr="00BE30C5">
              <w:rPr>
                <w:rFonts w:eastAsia="Arial"/>
                <w:b/>
              </w:rPr>
              <w:t>Funded activities</w:t>
            </w:r>
          </w:p>
        </w:tc>
      </w:tr>
      <w:tr w:rsidR="00AF4E0B" w:rsidRPr="00794AA8" w:rsidTr="006E73C7">
        <w:trPr>
          <w:cantSplit/>
        </w:trPr>
        <w:tc>
          <w:tcPr>
            <w:tcW w:w="1293" w:type="dxa"/>
            <w:tcBorders>
              <w:top w:val="single" w:sz="4" w:space="0" w:color="auto"/>
              <w:bottom w:val="single" w:sz="4" w:space="0" w:color="A6A6A6" w:themeColor="background1" w:themeShade="A6"/>
            </w:tcBorders>
            <w:shd w:val="clear" w:color="auto" w:fill="auto"/>
          </w:tcPr>
          <w:p w:rsidR="00AF4E0B" w:rsidRPr="00794AA8" w:rsidRDefault="00AF4E0B" w:rsidP="006E73C7">
            <w:pPr>
              <w:pStyle w:val="TableText"/>
              <w:rPr>
                <w:rFonts w:eastAsia="Arial"/>
              </w:rPr>
            </w:pPr>
            <w:r w:rsidRPr="00794AA8">
              <w:rPr>
                <w:rFonts w:eastAsia="Arial"/>
              </w:rPr>
              <w:t>Attract</w:t>
            </w:r>
          </w:p>
        </w:tc>
        <w:tc>
          <w:tcPr>
            <w:tcW w:w="2676" w:type="dxa"/>
            <w:tcBorders>
              <w:top w:val="single" w:sz="4" w:space="0" w:color="auto"/>
              <w:bottom w:val="single" w:sz="4" w:space="0" w:color="A6A6A6" w:themeColor="background1" w:themeShade="A6"/>
            </w:tcBorders>
            <w:shd w:val="clear" w:color="auto" w:fill="auto"/>
          </w:tcPr>
          <w:p w:rsidR="00AF4E0B" w:rsidRPr="00794AA8" w:rsidRDefault="00AF4E0B" w:rsidP="006E73C7">
            <w:pPr>
              <w:pStyle w:val="TableText"/>
            </w:pPr>
            <w:r w:rsidRPr="00794AA8">
              <w:t>Increased number of Pacific students taking science subjects in years</w:t>
            </w:r>
            <w:r>
              <w:t xml:space="preserve"> </w:t>
            </w:r>
            <w:r w:rsidRPr="00794AA8">
              <w:t>11, 12 and</w:t>
            </w:r>
            <w:r>
              <w:t xml:space="preserve"> </w:t>
            </w:r>
            <w:r w:rsidRPr="00794AA8">
              <w:t>13</w:t>
            </w:r>
          </w:p>
        </w:tc>
        <w:tc>
          <w:tcPr>
            <w:tcW w:w="5387" w:type="dxa"/>
            <w:vMerge w:val="restart"/>
            <w:tcBorders>
              <w:top w:val="single" w:sz="4" w:space="0" w:color="auto"/>
            </w:tcBorders>
            <w:shd w:val="clear" w:color="auto" w:fill="auto"/>
          </w:tcPr>
          <w:p w:rsidR="00AF4E0B" w:rsidRDefault="00AF4E0B" w:rsidP="006E73C7">
            <w:pPr>
              <w:pStyle w:val="TableText"/>
            </w:pPr>
            <w:r>
              <w:t>Health Science Academies in Auckland</w:t>
            </w:r>
          </w:p>
          <w:p w:rsidR="00AF4E0B" w:rsidRDefault="00AF4E0B" w:rsidP="006E73C7">
            <w:pPr>
              <w:pStyle w:val="TableText"/>
            </w:pPr>
            <w:r w:rsidRPr="00794AA8">
              <w:t>Mentoring</w:t>
            </w:r>
            <w:r>
              <w:t xml:space="preserve"> </w:t>
            </w:r>
            <w:r w:rsidRPr="00794AA8">
              <w:t>for students studying health-related subjects (ie, Pacific Orientation Programme at Otago</w:t>
            </w:r>
            <w:r>
              <w:t xml:space="preserve"> </w:t>
            </w:r>
            <w:r w:rsidRPr="00794AA8">
              <w:t>(POPO) mentoring – University of Otago;</w:t>
            </w:r>
            <w:r>
              <w:t xml:space="preserve"> </w:t>
            </w:r>
            <w:r w:rsidRPr="00794AA8">
              <w:t>mentoring – Auckland tertiary institutions)</w:t>
            </w:r>
          </w:p>
          <w:p w:rsidR="00AF4E0B" w:rsidRPr="00794AA8" w:rsidRDefault="00AF4E0B" w:rsidP="006E73C7">
            <w:pPr>
              <w:pStyle w:val="TableText"/>
            </w:pPr>
            <w:r>
              <w:t>Pacific Health and Disability Workforce Awards (scholarships)</w:t>
            </w:r>
          </w:p>
        </w:tc>
      </w:tr>
      <w:tr w:rsidR="00AF4E0B" w:rsidRPr="00794AA8" w:rsidTr="006E73C7">
        <w:trPr>
          <w:cantSplit/>
        </w:trPr>
        <w:tc>
          <w:tcPr>
            <w:tcW w:w="1293" w:type="dxa"/>
            <w:tcBorders>
              <w:top w:val="single" w:sz="4" w:space="0" w:color="A6A6A6" w:themeColor="background1" w:themeShade="A6"/>
              <w:bottom w:val="single" w:sz="4" w:space="0" w:color="A6A6A6" w:themeColor="background1" w:themeShade="A6"/>
            </w:tcBorders>
            <w:shd w:val="clear" w:color="auto" w:fill="auto"/>
          </w:tcPr>
          <w:p w:rsidR="00AF4E0B" w:rsidRPr="00794AA8" w:rsidRDefault="00AF4E0B" w:rsidP="006E73C7">
            <w:pPr>
              <w:pStyle w:val="TableText"/>
              <w:rPr>
                <w:rFonts w:eastAsia="Arial"/>
              </w:rPr>
            </w:pPr>
            <w:r w:rsidRPr="00794AA8">
              <w:rPr>
                <w:rFonts w:eastAsia="Arial"/>
              </w:rPr>
              <w:t>Train</w:t>
            </w:r>
          </w:p>
        </w:tc>
        <w:tc>
          <w:tcPr>
            <w:tcW w:w="2676" w:type="dxa"/>
            <w:tcBorders>
              <w:top w:val="single" w:sz="4" w:space="0" w:color="A6A6A6" w:themeColor="background1" w:themeShade="A6"/>
              <w:bottom w:val="single" w:sz="4" w:space="0" w:color="A6A6A6" w:themeColor="background1" w:themeShade="A6"/>
            </w:tcBorders>
            <w:shd w:val="clear" w:color="auto" w:fill="auto"/>
          </w:tcPr>
          <w:p w:rsidR="00AF4E0B" w:rsidRPr="00794AA8" w:rsidRDefault="00AF4E0B" w:rsidP="006E73C7">
            <w:pPr>
              <w:pStyle w:val="TableText"/>
            </w:pPr>
            <w:r w:rsidRPr="00794AA8">
              <w:t>Increased number of Pacific students enrolled</w:t>
            </w:r>
            <w:r>
              <w:t xml:space="preserve"> </w:t>
            </w:r>
            <w:r w:rsidRPr="00794AA8">
              <w:t>in a health</w:t>
            </w:r>
            <w:r>
              <w:t xml:space="preserve"> </w:t>
            </w:r>
            <w:r w:rsidRPr="00794AA8">
              <w:t>qualification at a tertiary institution</w:t>
            </w:r>
          </w:p>
        </w:tc>
        <w:tc>
          <w:tcPr>
            <w:tcW w:w="5387" w:type="dxa"/>
            <w:vMerge/>
            <w:tcBorders>
              <w:bottom w:val="single" w:sz="4" w:space="0" w:color="A6A6A6" w:themeColor="background1" w:themeShade="A6"/>
            </w:tcBorders>
            <w:shd w:val="clear" w:color="auto" w:fill="auto"/>
          </w:tcPr>
          <w:p w:rsidR="00AF4E0B" w:rsidRPr="00794AA8" w:rsidRDefault="00AF4E0B" w:rsidP="006E73C7">
            <w:pPr>
              <w:pStyle w:val="TableText"/>
            </w:pPr>
          </w:p>
        </w:tc>
      </w:tr>
      <w:tr w:rsidR="00AF4E0B" w:rsidRPr="00794AA8" w:rsidTr="006E73C7">
        <w:trPr>
          <w:cantSplit/>
        </w:trPr>
        <w:tc>
          <w:tcPr>
            <w:tcW w:w="1293" w:type="dxa"/>
            <w:tcBorders>
              <w:top w:val="single" w:sz="4" w:space="0" w:color="A6A6A6" w:themeColor="background1" w:themeShade="A6"/>
              <w:bottom w:val="single" w:sz="4" w:space="0" w:color="A6A6A6" w:themeColor="background1" w:themeShade="A6"/>
            </w:tcBorders>
            <w:shd w:val="clear" w:color="auto" w:fill="auto"/>
          </w:tcPr>
          <w:p w:rsidR="00AF4E0B" w:rsidRPr="00794AA8" w:rsidRDefault="00AF4E0B" w:rsidP="006E73C7">
            <w:pPr>
              <w:pStyle w:val="TableText"/>
              <w:rPr>
                <w:rFonts w:eastAsia="Arial"/>
              </w:rPr>
            </w:pPr>
            <w:r w:rsidRPr="00794AA8">
              <w:rPr>
                <w:rFonts w:eastAsia="Arial"/>
              </w:rPr>
              <w:t>Strengthen</w:t>
            </w:r>
          </w:p>
        </w:tc>
        <w:tc>
          <w:tcPr>
            <w:tcW w:w="2676" w:type="dxa"/>
            <w:tcBorders>
              <w:top w:val="single" w:sz="4" w:space="0" w:color="A6A6A6" w:themeColor="background1" w:themeShade="A6"/>
              <w:bottom w:val="single" w:sz="4" w:space="0" w:color="A6A6A6" w:themeColor="background1" w:themeShade="A6"/>
            </w:tcBorders>
            <w:shd w:val="clear" w:color="auto" w:fill="auto"/>
          </w:tcPr>
          <w:p w:rsidR="00AF4E0B" w:rsidRPr="00794AA8" w:rsidRDefault="00AF4E0B" w:rsidP="006E73C7">
            <w:pPr>
              <w:pStyle w:val="TableText"/>
            </w:pPr>
            <w:r w:rsidRPr="00794AA8">
              <w:t>Increased number of Pacific workers in the health</w:t>
            </w:r>
            <w:r>
              <w:t xml:space="preserve"> </w:t>
            </w:r>
            <w:r w:rsidRPr="00794AA8">
              <w:t>and</w:t>
            </w:r>
            <w:r>
              <w:t xml:space="preserve"> </w:t>
            </w:r>
            <w:r w:rsidRPr="00794AA8">
              <w:t>disability workforce</w:t>
            </w:r>
          </w:p>
        </w:tc>
        <w:tc>
          <w:tcPr>
            <w:tcW w:w="5387" w:type="dxa"/>
            <w:vMerge w:val="restart"/>
            <w:tcBorders>
              <w:top w:val="single" w:sz="4" w:space="0" w:color="A6A6A6" w:themeColor="background1" w:themeShade="A6"/>
              <w:bottom w:val="nil"/>
            </w:tcBorders>
            <w:shd w:val="clear" w:color="auto" w:fill="auto"/>
          </w:tcPr>
          <w:p w:rsidR="00AF4E0B" w:rsidRDefault="00AF4E0B" w:rsidP="006E73C7">
            <w:pPr>
              <w:pStyle w:val="TableText"/>
            </w:pPr>
            <w:r>
              <w:t>Aniva programmes:</w:t>
            </w:r>
          </w:p>
          <w:p w:rsidR="00AF4E0B" w:rsidRDefault="00AF4E0B" w:rsidP="006E73C7">
            <w:pPr>
              <w:pStyle w:val="TableText"/>
            </w:pPr>
            <w:r w:rsidRPr="00794AA8">
              <w:t>Pacific nurses – Master of Nursing</w:t>
            </w:r>
            <w:r>
              <w:t xml:space="preserve"> in Pacific health, m</w:t>
            </w:r>
            <w:r w:rsidRPr="00794AA8">
              <w:t>aster class seminar to Pacific nurses in postgraduate study</w:t>
            </w:r>
          </w:p>
          <w:p w:rsidR="00AF4E0B" w:rsidRDefault="00AF4E0B" w:rsidP="006E73C7">
            <w:pPr>
              <w:pStyle w:val="TableText"/>
            </w:pPr>
            <w:r w:rsidRPr="00794AA8">
              <w:t>Auckland</w:t>
            </w:r>
            <w:r>
              <w:t xml:space="preserve"> </w:t>
            </w:r>
            <w:r w:rsidRPr="00794AA8">
              <w:t>University of Technology – return</w:t>
            </w:r>
            <w:r>
              <w:t xml:space="preserve"> </w:t>
            </w:r>
            <w:r w:rsidRPr="00794AA8">
              <w:t>to midwifery programme</w:t>
            </w:r>
          </w:p>
          <w:p w:rsidR="00AF4E0B" w:rsidRDefault="00AF4E0B" w:rsidP="006E73C7">
            <w:pPr>
              <w:pStyle w:val="TableText"/>
            </w:pPr>
            <w:r w:rsidRPr="00794AA8">
              <w:t>Pacific community health</w:t>
            </w:r>
            <w:r>
              <w:t xml:space="preserve"> </w:t>
            </w:r>
            <w:r w:rsidRPr="00794AA8">
              <w:t>worker support</w:t>
            </w:r>
          </w:p>
          <w:p w:rsidR="00AF4E0B" w:rsidRPr="00794AA8" w:rsidRDefault="00AF4E0B" w:rsidP="006E73C7">
            <w:pPr>
              <w:pStyle w:val="TableText"/>
            </w:pPr>
            <w:r w:rsidRPr="00086471">
              <w:t>Professional health organisation support for: Pasifika Medical Association; Aotearoa Tongan Health Workers Association; Cook Islands Health Network; Tongan Nurses Association of New Zealand; Samoan Nurses Association of New Zealand; Pasifikology;</w:t>
            </w:r>
            <w:r w:rsidRPr="00794AA8">
              <w:t xml:space="preserve"> </w:t>
            </w:r>
            <w:r>
              <w:t>Fiji Nurses Association</w:t>
            </w:r>
          </w:p>
        </w:tc>
      </w:tr>
      <w:tr w:rsidR="00AF4E0B" w:rsidRPr="00794AA8" w:rsidTr="006E73C7">
        <w:trPr>
          <w:cantSplit/>
        </w:trPr>
        <w:tc>
          <w:tcPr>
            <w:tcW w:w="1293" w:type="dxa"/>
            <w:tcBorders>
              <w:top w:val="single" w:sz="4" w:space="0" w:color="A6A6A6" w:themeColor="background1" w:themeShade="A6"/>
              <w:bottom w:val="single" w:sz="4" w:space="0" w:color="auto"/>
            </w:tcBorders>
            <w:shd w:val="clear" w:color="auto" w:fill="auto"/>
          </w:tcPr>
          <w:p w:rsidR="00AF4E0B" w:rsidRPr="00794AA8" w:rsidRDefault="00AF4E0B" w:rsidP="006E73C7">
            <w:pPr>
              <w:pStyle w:val="TableText"/>
              <w:rPr>
                <w:rFonts w:eastAsia="Arial"/>
              </w:rPr>
            </w:pPr>
            <w:r w:rsidRPr="00794AA8">
              <w:rPr>
                <w:rFonts w:eastAsia="Arial"/>
              </w:rPr>
              <w:t>Upskill and retain</w:t>
            </w:r>
          </w:p>
        </w:tc>
        <w:tc>
          <w:tcPr>
            <w:tcW w:w="2676" w:type="dxa"/>
            <w:tcBorders>
              <w:top w:val="single" w:sz="4" w:space="0" w:color="A6A6A6" w:themeColor="background1" w:themeShade="A6"/>
              <w:bottom w:val="single" w:sz="4" w:space="0" w:color="auto"/>
            </w:tcBorders>
            <w:shd w:val="clear" w:color="auto" w:fill="auto"/>
          </w:tcPr>
          <w:p w:rsidR="00AF4E0B" w:rsidRPr="00794AA8" w:rsidRDefault="00AF4E0B" w:rsidP="006E73C7">
            <w:pPr>
              <w:pStyle w:val="TableText"/>
            </w:pPr>
            <w:r w:rsidRPr="00794AA8">
              <w:t>Incr</w:t>
            </w:r>
            <w:r w:rsidRPr="00BE30C5">
              <w:t>e</w:t>
            </w:r>
            <w:r w:rsidRPr="00794AA8">
              <w:t>ased number of Pacific health professionals advancing in professional and/or clinical development</w:t>
            </w:r>
          </w:p>
        </w:tc>
        <w:tc>
          <w:tcPr>
            <w:tcW w:w="5387" w:type="dxa"/>
            <w:vMerge/>
            <w:tcBorders>
              <w:top w:val="nil"/>
            </w:tcBorders>
            <w:shd w:val="clear" w:color="auto" w:fill="auto"/>
          </w:tcPr>
          <w:p w:rsidR="00AF4E0B" w:rsidRPr="00794AA8" w:rsidRDefault="00AF4E0B" w:rsidP="006E73C7">
            <w:pPr>
              <w:pStyle w:val="TableText"/>
            </w:pPr>
          </w:p>
        </w:tc>
      </w:tr>
    </w:tbl>
    <w:p w:rsidR="00AF4E0B" w:rsidRPr="009E1E57" w:rsidRDefault="00AF4E0B" w:rsidP="00AF4E0B"/>
    <w:p w:rsidR="00EF595D" w:rsidRDefault="00EF595D" w:rsidP="00AF4E0B">
      <w:pPr>
        <w:pStyle w:val="Heading4"/>
      </w:pPr>
      <w:r w:rsidRPr="009E1E57">
        <w:t>b.</w:t>
      </w:r>
      <w:r w:rsidR="00AF4E0B">
        <w:tab/>
      </w:r>
      <w:r w:rsidRPr="009E1E57">
        <w:t>Strengthen Pacific providers to deliver quality health services</w:t>
      </w:r>
    </w:p>
    <w:p w:rsidR="00AF4E0B" w:rsidRPr="00AF4E0B" w:rsidRDefault="00FC6FA6" w:rsidP="00AF4E0B">
      <w:r w:rsidRPr="00FC6FA6">
        <w:rPr>
          <w:noProof/>
          <w:lang w:eastAsia="en-NZ"/>
        </w:rPr>
        <w:drawing>
          <wp:inline distT="0" distB="0" distL="0" distR="0" wp14:anchorId="258FACDB" wp14:editId="13E71591">
            <wp:extent cx="5885715" cy="5076191"/>
            <wp:effectExtent l="0" t="0" r="127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grayscl/>
                    </a:blip>
                    <a:stretch>
                      <a:fillRect/>
                    </a:stretch>
                  </pic:blipFill>
                  <pic:spPr>
                    <a:xfrm>
                      <a:off x="0" y="0"/>
                      <a:ext cx="5885715" cy="5076191"/>
                    </a:xfrm>
                    <a:prstGeom prst="rect">
                      <a:avLst/>
                    </a:prstGeom>
                  </pic:spPr>
                </pic:pic>
              </a:graphicData>
            </a:graphic>
          </wp:inline>
        </w:drawing>
      </w:r>
    </w:p>
    <w:p w:rsidR="00EF595D" w:rsidRPr="009E1E57" w:rsidRDefault="00EF595D" w:rsidP="00AF4E0B"/>
    <w:p w:rsidR="00EF595D" w:rsidRPr="009E1E57" w:rsidRDefault="00EF595D" w:rsidP="00AF4E0B">
      <w:pPr>
        <w:pStyle w:val="Heading4"/>
      </w:pPr>
      <w:r w:rsidRPr="009E1E57">
        <w:t>c.</w:t>
      </w:r>
      <w:r w:rsidR="00AF4E0B">
        <w:tab/>
      </w:r>
      <w:r w:rsidRPr="009E1E57">
        <w:t>Innovation leads to transformation</w:t>
      </w:r>
    </w:p>
    <w:p w:rsidR="00EF595D" w:rsidRPr="009E1E57" w:rsidRDefault="00EF595D" w:rsidP="00AF4E0B">
      <w:pPr>
        <w:keepLines/>
      </w:pPr>
      <w:r w:rsidRPr="009E1E57">
        <w:t>The Pacific Innovation Fund will invest in Pacific health initiatives that demonstrate innovation through the application of new</w:t>
      </w:r>
      <w:r w:rsidR="00085832">
        <w:t xml:space="preserve"> </w:t>
      </w:r>
      <w:r w:rsidRPr="009E1E57">
        <w:t>strategies, models and methods of service delivery. The focus of the</w:t>
      </w:r>
      <w:r w:rsidR="00AF4E0B">
        <w:t xml:space="preserve"> </w:t>
      </w:r>
      <w:r w:rsidRPr="009E1E57">
        <w:t>2014–2018 funding will be strengths-based innovation projects that seek</w:t>
      </w:r>
      <w:r w:rsidR="00085832">
        <w:t xml:space="preserve"> </w:t>
      </w:r>
      <w:r w:rsidRPr="009E1E57">
        <w:t>to prevent the causes of disease and injury to the Pacific population. Priorities within this focus include:</w:t>
      </w:r>
    </w:p>
    <w:p w:rsidR="00EF595D" w:rsidRPr="009E1E57" w:rsidRDefault="00EF595D" w:rsidP="00AF4E0B">
      <w:pPr>
        <w:pStyle w:val="Bullet"/>
      </w:pPr>
      <w:r w:rsidRPr="009E1E57">
        <w:t>strengthening Pacific child and youth protective factors</w:t>
      </w:r>
    </w:p>
    <w:p w:rsidR="00EF595D" w:rsidRPr="009E1E57" w:rsidRDefault="00EF595D" w:rsidP="00AF4E0B">
      <w:pPr>
        <w:pStyle w:val="Bullet"/>
      </w:pPr>
      <w:r w:rsidRPr="009E1E57">
        <w:t>reducing the prevalence of risk factors affecting Pacific health (eg, obesity and smoking).</w:t>
      </w:r>
    </w:p>
    <w:p w:rsidR="00EF595D" w:rsidRPr="009E1E57" w:rsidRDefault="00EF595D" w:rsidP="00AF4E0B"/>
    <w:p w:rsidR="00EF595D" w:rsidRPr="009E1E57" w:rsidRDefault="00EF595D" w:rsidP="00AF4E0B">
      <w:r w:rsidRPr="009E1E57">
        <w:t>Currently, there is a significant shortage of New Zealand health and disability workers with an understanding of Pacific health perspectives and Pacific culture in general (National Health Board</w:t>
      </w:r>
      <w:r w:rsidR="00AF4E0B">
        <w:t xml:space="preserve"> </w:t>
      </w:r>
      <w:r w:rsidRPr="009E1E57">
        <w:t>2010; Pacific Perspectives 2012). Although Pacific peoples make up 7.4 percent of the total New Zealand population (Statistics New Zealand 2013), the proportion in the health workforce is lower (1.8 percent). See appendix 1 for the breakdown of the percentages of the Pacific health workforce in different health professional roles.</w:t>
      </w:r>
    </w:p>
    <w:p w:rsidR="00EF595D" w:rsidRPr="009E1E57" w:rsidRDefault="00EF595D" w:rsidP="00AF4E0B"/>
    <w:p w:rsidR="00EF595D" w:rsidRPr="009E1E57" w:rsidRDefault="00EF595D" w:rsidP="00AF4E0B">
      <w:pPr>
        <w:pStyle w:val="BoxHeading"/>
      </w:pPr>
      <w:r w:rsidRPr="009E1E57">
        <w:t>2.</w:t>
      </w:r>
      <w:r w:rsidR="00AF4E0B">
        <w:tab/>
      </w:r>
      <w:r w:rsidRPr="009E1E57">
        <w:t>Every dollar is spent in the best way to improve health outcomes</w:t>
      </w:r>
    </w:p>
    <w:p w:rsidR="00EF595D" w:rsidRPr="009E1E57" w:rsidRDefault="00EF595D" w:rsidP="00AF4E0B">
      <w:pPr>
        <w:pStyle w:val="Box"/>
      </w:pPr>
      <w:r w:rsidRPr="009E1E57">
        <w:t>Getting the best health value for every dollar spent is critical. Population ageing will place increasing demands on the health and disability sector in the future. There will also be ever higher expectations that the system should deliver a wider range of services and treatments. In parallel, funding increases for health and disability services are likely to be more constrained than they have been over</w:t>
      </w:r>
      <w:r w:rsidR="00085832">
        <w:t xml:space="preserve"> </w:t>
      </w:r>
      <w:r w:rsidRPr="009E1E57">
        <w:t>most of the past decade.</w:t>
      </w:r>
    </w:p>
    <w:p w:rsidR="00EF595D" w:rsidRPr="009E1E57" w:rsidRDefault="00EF595D" w:rsidP="00AF4E0B">
      <w:pPr>
        <w:pStyle w:val="Box"/>
      </w:pPr>
      <w:r w:rsidRPr="009E1E57">
        <w:t>Pacific peoples have a high prevalence of non-communicable diseases such as diabetes, heart disease, cancer and chronic respiratory disease. These conditions are causing a significant negative impact on the economic and social wellbeing of our</w:t>
      </w:r>
      <w:r w:rsidR="00085832">
        <w:t xml:space="preserve"> </w:t>
      </w:r>
      <w:r w:rsidRPr="009E1E57">
        <w:t>Pacific communities and are associated with a number of modifiable risk factors such as smoking, unhealthy diets and physical inactivity.</w:t>
      </w:r>
    </w:p>
    <w:p w:rsidR="00EF595D" w:rsidRPr="009E1E57" w:rsidRDefault="00EF595D" w:rsidP="00AF4E0B">
      <w:pPr>
        <w:pStyle w:val="Box"/>
      </w:pPr>
      <w:r w:rsidRPr="009E1E57">
        <w:t>Preventing chronic conditions is important for the future sustainability of the health and disability sector, both in capacity requirements and in terms of overall costs. Care for Pacific peoples in Auckland city alone costs in excess of $93 million a year, of which $35</w:t>
      </w:r>
      <w:r w:rsidR="00AF4E0B">
        <w:t> </w:t>
      </w:r>
      <w:r w:rsidRPr="009E1E57">
        <w:t>million relates to costs associated with higher diabetes prevalence (Health Partners Consulting Group 2012).</w:t>
      </w:r>
    </w:p>
    <w:p w:rsidR="00EF595D" w:rsidRPr="009E1E57" w:rsidRDefault="00EF595D" w:rsidP="00AF4E0B">
      <w:pPr>
        <w:pStyle w:val="Box"/>
      </w:pPr>
      <w:r w:rsidRPr="009E1E57">
        <w:t>We require urgent and sustained preventive public health interventions at all stages of the life cycle, beginning at antenatal care and continuing through to elderly care and support. A more sustained focus on priorities such as immunisation and effective support and management of long-term conditions within primary care is necessary.</w:t>
      </w:r>
    </w:p>
    <w:p w:rsidR="00EF595D" w:rsidRPr="009E1E57" w:rsidRDefault="00EF595D" w:rsidP="00AF4E0B"/>
    <w:p w:rsidR="00AF4E0B" w:rsidRDefault="00AF4E0B" w:rsidP="00496C2E">
      <w:r>
        <w:br w:type="page"/>
      </w:r>
    </w:p>
    <w:p w:rsidR="00EF595D" w:rsidRPr="009E1E57" w:rsidRDefault="00EF595D" w:rsidP="00AF4E0B">
      <w:pPr>
        <w:pStyle w:val="Heading1"/>
      </w:pPr>
      <w:bookmarkStart w:id="19" w:name="_Toc391539863"/>
      <w:r w:rsidRPr="009E1E57">
        <w:t>Priority outcomes and actions</w:t>
      </w:r>
      <w:bookmarkEnd w:id="19"/>
    </w:p>
    <w:p w:rsidR="00EF595D" w:rsidRPr="009E1E57" w:rsidRDefault="00EF595D" w:rsidP="00496C2E">
      <w:r w:rsidRPr="009E1E57">
        <w:rPr>
          <w:i/>
        </w:rPr>
        <w:t xml:space="preserve">’Ala Mo’ui </w:t>
      </w:r>
      <w:r w:rsidRPr="009E1E57">
        <w:t>seeks to achieve the following four</w:t>
      </w:r>
      <w:r w:rsidR="00085832">
        <w:t xml:space="preserve"> </w:t>
      </w:r>
      <w:r w:rsidRPr="009E1E57">
        <w:t>priority outcomes, as outlined in the outcomes framework (see page 1</w:t>
      </w:r>
      <w:r w:rsidR="00CB2CFC">
        <w:t>3</w:t>
      </w:r>
      <w:r w:rsidRPr="009E1E57">
        <w:t>).</w:t>
      </w:r>
    </w:p>
    <w:p w:rsidR="00EF595D" w:rsidRPr="009E1E57" w:rsidRDefault="00EF595D" w:rsidP="00496C2E">
      <w:pPr>
        <w:pStyle w:val="Bullet"/>
      </w:pPr>
      <w:r w:rsidRPr="009E1E57">
        <w:t>Systems and services meet the needs of Pacific peoples.</w:t>
      </w:r>
    </w:p>
    <w:p w:rsidR="00EF595D" w:rsidRPr="009E1E57" w:rsidRDefault="00EF595D" w:rsidP="00496C2E">
      <w:pPr>
        <w:pStyle w:val="Bullet"/>
      </w:pPr>
      <w:r w:rsidRPr="009E1E57">
        <w:t>More services are delivered locally in the community and in primary care.</w:t>
      </w:r>
    </w:p>
    <w:p w:rsidR="00EF595D" w:rsidRPr="009E1E57" w:rsidRDefault="00EF595D" w:rsidP="00496C2E">
      <w:pPr>
        <w:pStyle w:val="Bullet"/>
      </w:pPr>
      <w:r w:rsidRPr="009E1E57">
        <w:t>Pacific peoples are better supported to be healthy.</w:t>
      </w:r>
    </w:p>
    <w:p w:rsidR="00EF595D" w:rsidRPr="009E1E57" w:rsidRDefault="00EF595D" w:rsidP="00496C2E">
      <w:pPr>
        <w:pStyle w:val="Bullet"/>
      </w:pPr>
      <w:r w:rsidRPr="009E1E57">
        <w:t>Pacific peoples experience improved broader determinants of health.</w:t>
      </w:r>
    </w:p>
    <w:p w:rsidR="00EF595D" w:rsidRPr="009E1E57" w:rsidRDefault="00EF595D" w:rsidP="00496C2E"/>
    <w:p w:rsidR="00EF595D" w:rsidRPr="009E1E57" w:rsidRDefault="00EF595D" w:rsidP="00496C2E">
      <w:r w:rsidRPr="009E1E57">
        <w:t>The four</w:t>
      </w:r>
      <w:r w:rsidR="00085832">
        <w:t xml:space="preserve"> </w:t>
      </w:r>
      <w:r w:rsidRPr="009E1E57">
        <w:t xml:space="preserve">priority outcomes of </w:t>
      </w:r>
      <w:r w:rsidRPr="009E1E57">
        <w:rPr>
          <w:i/>
        </w:rPr>
        <w:t xml:space="preserve">’Ala Mo’ui </w:t>
      </w:r>
      <w:r w:rsidRPr="009E1E57">
        <w:t>are not ranked in order of preference. Instead, they are interrelated and together provide a holistic view of Pacific health that recognises the impact of complex factors at the levels of: the individual; ‘āiga, kāiga, magafaoa, kōpū tangata, vuvale, fāmili; community; health and disability sector; and wider society.</w:t>
      </w:r>
    </w:p>
    <w:p w:rsidR="00EF595D" w:rsidRPr="009E1E57" w:rsidRDefault="00EF595D" w:rsidP="00496C2E"/>
    <w:p w:rsidR="00EF595D" w:rsidRPr="009E1E57" w:rsidRDefault="00EF595D" w:rsidP="00496C2E">
      <w:r w:rsidRPr="009E1E57">
        <w:t>Accompanying each priority outcome are specific actions to be undertaken by the Ministry of Health, DHBs, PHOs and Pacific and non-Pacific health and disability providers. Each action has</w:t>
      </w:r>
      <w:r w:rsidR="00085832">
        <w:t xml:space="preserve"> </w:t>
      </w:r>
      <w:r w:rsidRPr="009E1E57">
        <w:t>one</w:t>
      </w:r>
      <w:r w:rsidR="00085832">
        <w:t xml:space="preserve"> </w:t>
      </w:r>
      <w:r w:rsidRPr="009E1E57">
        <w:t>or more correlating indicators, which will support the Ministry to measure progress.</w:t>
      </w:r>
    </w:p>
    <w:p w:rsidR="00EF595D" w:rsidRDefault="00EF595D" w:rsidP="00496C2E"/>
    <w:p w:rsidR="00496C2E" w:rsidRPr="009E1E57" w:rsidRDefault="00496C2E" w:rsidP="00496C2E">
      <w:pPr>
        <w:pStyle w:val="Heading2"/>
      </w:pPr>
      <w:bookmarkStart w:id="20" w:name="_Toc391539864"/>
      <w:r>
        <w:t>Outcomes framework</w:t>
      </w:r>
      <w:bookmarkEnd w:id="20"/>
    </w:p>
    <w:p w:rsidR="00EF595D" w:rsidRPr="009E1E57" w:rsidRDefault="00FC6FA6" w:rsidP="00FC6FA6">
      <w:r w:rsidRPr="00FC6FA6">
        <w:rPr>
          <w:noProof/>
          <w:lang w:eastAsia="en-NZ"/>
        </w:rPr>
        <w:drawing>
          <wp:inline distT="0" distB="0" distL="0" distR="0" wp14:anchorId="5057F524" wp14:editId="5964361A">
            <wp:extent cx="5940425" cy="7958012"/>
            <wp:effectExtent l="0" t="0" r="3175"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grayscl/>
                    </a:blip>
                    <a:stretch>
                      <a:fillRect/>
                    </a:stretch>
                  </pic:blipFill>
                  <pic:spPr>
                    <a:xfrm>
                      <a:off x="0" y="0"/>
                      <a:ext cx="5940425" cy="7958012"/>
                    </a:xfrm>
                    <a:prstGeom prst="rect">
                      <a:avLst/>
                    </a:prstGeom>
                  </pic:spPr>
                </pic:pic>
              </a:graphicData>
            </a:graphic>
          </wp:inline>
        </w:drawing>
      </w:r>
    </w:p>
    <w:p w:rsidR="00EF595D" w:rsidRPr="009E1E57" w:rsidRDefault="00EF595D" w:rsidP="006E73C7"/>
    <w:p w:rsidR="00EF595D" w:rsidRPr="009E1E57" w:rsidRDefault="00EF595D" w:rsidP="006E73C7">
      <w:pPr>
        <w:pStyle w:val="Heading2"/>
      </w:pPr>
      <w:bookmarkStart w:id="21" w:name="_Toc391539865"/>
      <w:r w:rsidRPr="009E1E57">
        <w:t>Whole of system measures</w:t>
      </w:r>
      <w:bookmarkEnd w:id="21"/>
    </w:p>
    <w:p w:rsidR="00EF595D" w:rsidRPr="009E1E57" w:rsidRDefault="00EF595D" w:rsidP="006E73C7">
      <w:r w:rsidRPr="009E1E57">
        <w:t>There are measures and indicators that the health and disability system uses to assess its overall performance. These key indicators are; (1) life expectancy; (2) health expectancy and (3) ambulatory sensitive hospital admission rates.</w:t>
      </w:r>
    </w:p>
    <w:p w:rsidR="00EF595D" w:rsidRPr="009E1E57" w:rsidRDefault="00EF595D" w:rsidP="006E73C7"/>
    <w:p w:rsidR="00EF595D" w:rsidRPr="009E1E57" w:rsidRDefault="00EF595D" w:rsidP="006E73C7">
      <w:pPr>
        <w:pStyle w:val="Heading3"/>
      </w:pPr>
      <w:r w:rsidRPr="009E1E57">
        <w:t>Life expectancy</w:t>
      </w:r>
    </w:p>
    <w:p w:rsidR="00EF595D" w:rsidRPr="009E1E57" w:rsidRDefault="00EF595D" w:rsidP="006E73C7">
      <w:r w:rsidRPr="009E1E57">
        <w:t>Life expectancy is the total number of years a person can</w:t>
      </w:r>
      <w:r w:rsidR="00085832">
        <w:t xml:space="preserve"> </w:t>
      </w:r>
      <w:r w:rsidRPr="009E1E57">
        <w:t>expect to live, based on the mortality rates of the population at each age in the given year</w:t>
      </w:r>
      <w:r w:rsidR="00085832">
        <w:t xml:space="preserve"> </w:t>
      </w:r>
      <w:r w:rsidRPr="009E1E57">
        <w:t>or period (Ministry of Health 2012b). This</w:t>
      </w:r>
      <w:r w:rsidR="00085832">
        <w:t xml:space="preserve"> </w:t>
      </w:r>
      <w:r w:rsidRPr="009E1E57">
        <w:t>indicator measures the quantity of life and is a health status indicator.</w:t>
      </w:r>
    </w:p>
    <w:p w:rsidR="00EF595D" w:rsidRPr="009E1E57" w:rsidRDefault="00EF595D" w:rsidP="006E73C7"/>
    <w:p w:rsidR="00EF595D" w:rsidRPr="009E1E57" w:rsidRDefault="00EF595D" w:rsidP="006E73C7">
      <w:r w:rsidRPr="009E1E57">
        <w:t>In 2006, Pacific male life expectancy was 71.3 years (6.7 years less than total male population) and Pacific female life expectancy was 76.1 years (6.1 years less than the total female population) in New Zealand (Ministry of Health 2012b).</w:t>
      </w:r>
    </w:p>
    <w:p w:rsidR="00EF595D" w:rsidRPr="009E1E57" w:rsidRDefault="00EF595D" w:rsidP="006E73C7"/>
    <w:p w:rsidR="00EF595D" w:rsidRPr="009E1E57" w:rsidRDefault="00EF595D" w:rsidP="006E73C7">
      <w:pPr>
        <w:pStyle w:val="Heading3"/>
      </w:pPr>
      <w:r w:rsidRPr="009E1E57">
        <w:t>Health expectancy</w:t>
      </w:r>
    </w:p>
    <w:p w:rsidR="00EF595D" w:rsidRPr="009E1E57" w:rsidRDefault="00EF595D" w:rsidP="006E73C7">
      <w:r w:rsidRPr="009E1E57">
        <w:t>Health expectancy is the number of years a person can</w:t>
      </w:r>
      <w:r w:rsidR="00085832">
        <w:t xml:space="preserve"> </w:t>
      </w:r>
      <w:r w:rsidRPr="009E1E57">
        <w:t>be expected to live free of functional limitation needing assistance (Ministry of Health 2012b). This</w:t>
      </w:r>
      <w:r w:rsidR="00085832">
        <w:t xml:space="preserve"> </w:t>
      </w:r>
      <w:r w:rsidRPr="009E1E57">
        <w:t>indicator measures quality of life and is a health status indicator.</w:t>
      </w:r>
    </w:p>
    <w:p w:rsidR="00EF595D" w:rsidRPr="009E1E57" w:rsidRDefault="00EF595D" w:rsidP="006E73C7"/>
    <w:p w:rsidR="00EF595D" w:rsidRPr="009E1E57" w:rsidRDefault="00EF595D" w:rsidP="006E73C7">
      <w:r w:rsidRPr="009E1E57">
        <w:t>In 2006, the gap in independent life expectancy for Pacific males compared with males in the total population was 4.4 years. The gap for Pacific females compared with females in the total population was 5.3 years.</w:t>
      </w:r>
    </w:p>
    <w:p w:rsidR="00EF595D" w:rsidRPr="009E1E57" w:rsidRDefault="00EF595D" w:rsidP="006E73C7"/>
    <w:p w:rsidR="00EF595D" w:rsidRPr="009E1E57" w:rsidRDefault="00EF595D" w:rsidP="006E73C7">
      <w:pPr>
        <w:pStyle w:val="Heading3"/>
      </w:pPr>
      <w:r w:rsidRPr="009E1E57">
        <w:t>Ambulatory sensitive hospital admissions</w:t>
      </w:r>
    </w:p>
    <w:p w:rsidR="00EF595D" w:rsidRPr="009E1E57" w:rsidRDefault="00EF595D" w:rsidP="006E73C7">
      <w:r w:rsidRPr="009E1E57">
        <w:t>Ambulatory-sensitive hospitalisations (ASH) refers to hospitalisations due to those medical conditions that could be avoided by the provision of adequate primary health care (Ministry of Health 2012b). ASH rates are a health system indicator.</w:t>
      </w:r>
    </w:p>
    <w:p w:rsidR="00EF595D" w:rsidRPr="009E1E57" w:rsidRDefault="00EF595D" w:rsidP="006E73C7"/>
    <w:p w:rsidR="00EF595D" w:rsidRPr="009E1E57" w:rsidRDefault="00EF595D" w:rsidP="006E73C7">
      <w:pPr>
        <w:pStyle w:val="Table"/>
      </w:pPr>
      <w:bookmarkStart w:id="22" w:name="_Toc391539874"/>
      <w:r w:rsidRPr="009E1E57">
        <w:t>Table 2: Pacific and total ASH rates (per 100,000) for the 2012/2013 period</w:t>
      </w:r>
      <w:bookmarkEnd w:id="22"/>
    </w:p>
    <w:tbl>
      <w:tblPr>
        <w:tblW w:w="0" w:type="auto"/>
        <w:tblInd w:w="57" w:type="dxa"/>
        <w:tblBorders>
          <w:top w:val="single" w:sz="4" w:space="0" w:color="auto"/>
          <w:bottom w:val="single" w:sz="4" w:space="0" w:color="auto"/>
        </w:tblBorders>
        <w:tblLayout w:type="fixed"/>
        <w:tblCellMar>
          <w:left w:w="57" w:type="dxa"/>
          <w:right w:w="57" w:type="dxa"/>
        </w:tblCellMar>
        <w:tblLook w:val="01E0" w:firstRow="1" w:lastRow="1" w:firstColumn="1" w:lastColumn="1" w:noHBand="0" w:noVBand="0"/>
      </w:tblPr>
      <w:tblGrid>
        <w:gridCol w:w="1985"/>
        <w:gridCol w:w="1984"/>
        <w:gridCol w:w="2552"/>
      </w:tblGrid>
      <w:tr w:rsidR="00EF595D" w:rsidRPr="006E73C7" w:rsidTr="006E73C7">
        <w:trPr>
          <w:cantSplit/>
        </w:trPr>
        <w:tc>
          <w:tcPr>
            <w:tcW w:w="1985" w:type="dxa"/>
            <w:tcBorders>
              <w:top w:val="single" w:sz="4" w:space="0" w:color="auto"/>
              <w:bottom w:val="single" w:sz="4" w:space="0" w:color="auto"/>
            </w:tcBorders>
            <w:shd w:val="clear" w:color="auto" w:fill="auto"/>
          </w:tcPr>
          <w:p w:rsidR="00EF595D" w:rsidRPr="006E73C7" w:rsidRDefault="00EF595D" w:rsidP="006E73C7">
            <w:pPr>
              <w:pStyle w:val="TableText"/>
              <w:rPr>
                <w:rFonts w:eastAsia="Arial"/>
                <w:b/>
              </w:rPr>
            </w:pPr>
            <w:r w:rsidRPr="006E73C7">
              <w:rPr>
                <w:rFonts w:eastAsia="Arial"/>
                <w:b/>
              </w:rPr>
              <w:t>Priority DHBs</w:t>
            </w:r>
          </w:p>
        </w:tc>
        <w:tc>
          <w:tcPr>
            <w:tcW w:w="1984" w:type="dxa"/>
            <w:tcBorders>
              <w:top w:val="single" w:sz="4" w:space="0" w:color="auto"/>
              <w:bottom w:val="single" w:sz="4" w:space="0" w:color="auto"/>
            </w:tcBorders>
            <w:shd w:val="clear" w:color="auto" w:fill="auto"/>
          </w:tcPr>
          <w:p w:rsidR="00EF595D" w:rsidRPr="006E73C7" w:rsidRDefault="00EF595D" w:rsidP="006E73C7">
            <w:pPr>
              <w:pStyle w:val="TableText"/>
              <w:jc w:val="center"/>
              <w:rPr>
                <w:rFonts w:eastAsia="Arial"/>
                <w:b/>
              </w:rPr>
            </w:pPr>
            <w:r w:rsidRPr="006E73C7">
              <w:rPr>
                <w:b/>
              </w:rPr>
              <w:t xml:space="preserve">Pacific ASH </w:t>
            </w:r>
            <w:r w:rsidR="006E73C7" w:rsidRPr="006E73C7">
              <w:rPr>
                <w:b/>
              </w:rPr>
              <w:t>r</w:t>
            </w:r>
            <w:r w:rsidRPr="006E73C7">
              <w:rPr>
                <w:b/>
              </w:rPr>
              <w:t>ate</w:t>
            </w:r>
            <w:r w:rsidR="006E73C7">
              <w:rPr>
                <w:b/>
              </w:rPr>
              <w:br/>
            </w:r>
            <w:r w:rsidRPr="006E73C7">
              <w:rPr>
                <w:rFonts w:eastAsia="Arial"/>
                <w:b/>
              </w:rPr>
              <w:t>(per 100,000)</w:t>
            </w:r>
          </w:p>
        </w:tc>
        <w:tc>
          <w:tcPr>
            <w:tcW w:w="2552" w:type="dxa"/>
            <w:tcBorders>
              <w:top w:val="single" w:sz="4" w:space="0" w:color="auto"/>
              <w:bottom w:val="single" w:sz="4" w:space="0" w:color="auto"/>
            </w:tcBorders>
            <w:shd w:val="clear" w:color="auto" w:fill="auto"/>
          </w:tcPr>
          <w:p w:rsidR="00EF595D" w:rsidRPr="006E73C7" w:rsidRDefault="00EF595D" w:rsidP="006E73C7">
            <w:pPr>
              <w:pStyle w:val="TableText"/>
              <w:jc w:val="center"/>
              <w:rPr>
                <w:rFonts w:eastAsia="Arial"/>
                <w:b/>
              </w:rPr>
            </w:pPr>
            <w:r w:rsidRPr="006E73C7">
              <w:rPr>
                <w:rFonts w:eastAsia="Arial"/>
                <w:b/>
              </w:rPr>
              <w:t xml:space="preserve">Total </w:t>
            </w:r>
            <w:r w:rsidR="006E73C7" w:rsidRPr="006E73C7">
              <w:rPr>
                <w:rFonts w:eastAsia="Arial"/>
                <w:b/>
              </w:rPr>
              <w:t>p</w:t>
            </w:r>
            <w:r w:rsidRPr="006E73C7">
              <w:rPr>
                <w:rFonts w:eastAsia="Arial"/>
                <w:b/>
              </w:rPr>
              <w:t xml:space="preserve">opulation </w:t>
            </w:r>
            <w:r w:rsidRPr="006E73C7">
              <w:rPr>
                <w:b/>
              </w:rPr>
              <w:t xml:space="preserve">ASH </w:t>
            </w:r>
            <w:r w:rsidR="006E73C7" w:rsidRPr="006E73C7">
              <w:rPr>
                <w:b/>
              </w:rPr>
              <w:t>r</w:t>
            </w:r>
            <w:r w:rsidRPr="006E73C7">
              <w:rPr>
                <w:b/>
              </w:rPr>
              <w:t>ate</w:t>
            </w:r>
            <w:r w:rsidR="006E73C7">
              <w:rPr>
                <w:b/>
              </w:rPr>
              <w:br/>
            </w:r>
            <w:r w:rsidRPr="006E73C7">
              <w:rPr>
                <w:rFonts w:eastAsia="Arial"/>
                <w:b/>
              </w:rPr>
              <w:t>(per 100,000)</w:t>
            </w:r>
          </w:p>
        </w:tc>
      </w:tr>
      <w:tr w:rsidR="00EF595D" w:rsidRPr="009E1E57" w:rsidTr="006E73C7">
        <w:trPr>
          <w:cantSplit/>
        </w:trPr>
        <w:tc>
          <w:tcPr>
            <w:tcW w:w="1985" w:type="dxa"/>
            <w:tcBorders>
              <w:top w:val="single" w:sz="4" w:space="0" w:color="auto"/>
              <w:bottom w:val="nil"/>
            </w:tcBorders>
            <w:shd w:val="clear" w:color="auto" w:fill="F2F2F2" w:themeFill="background1" w:themeFillShade="F2"/>
          </w:tcPr>
          <w:p w:rsidR="00EF595D" w:rsidRPr="009E1E57" w:rsidRDefault="00EF595D" w:rsidP="006E73C7">
            <w:pPr>
              <w:pStyle w:val="TableText"/>
            </w:pPr>
            <w:r w:rsidRPr="009E1E57">
              <w:t>Auckland</w:t>
            </w:r>
          </w:p>
        </w:tc>
        <w:tc>
          <w:tcPr>
            <w:tcW w:w="1984" w:type="dxa"/>
            <w:tcBorders>
              <w:top w:val="single" w:sz="4" w:space="0" w:color="auto"/>
              <w:bottom w:val="nil"/>
            </w:tcBorders>
            <w:shd w:val="clear" w:color="auto" w:fill="F2F2F2" w:themeFill="background1" w:themeFillShade="F2"/>
          </w:tcPr>
          <w:p w:rsidR="00EF595D" w:rsidRPr="009E1E57" w:rsidRDefault="00EF595D" w:rsidP="006E73C7">
            <w:pPr>
              <w:pStyle w:val="TableText"/>
              <w:jc w:val="center"/>
            </w:pPr>
            <w:r w:rsidRPr="009E1E57">
              <w:t>3543</w:t>
            </w:r>
          </w:p>
        </w:tc>
        <w:tc>
          <w:tcPr>
            <w:tcW w:w="2552" w:type="dxa"/>
            <w:tcBorders>
              <w:top w:val="single" w:sz="4" w:space="0" w:color="auto"/>
              <w:bottom w:val="nil"/>
            </w:tcBorders>
            <w:shd w:val="clear" w:color="auto" w:fill="F2F2F2" w:themeFill="background1" w:themeFillShade="F2"/>
          </w:tcPr>
          <w:p w:rsidR="00EF595D" w:rsidRPr="009E1E57" w:rsidRDefault="00EF595D" w:rsidP="006E73C7">
            <w:pPr>
              <w:pStyle w:val="TableText"/>
              <w:jc w:val="center"/>
            </w:pPr>
            <w:r w:rsidRPr="009E1E57">
              <w:t>1877</w:t>
            </w:r>
          </w:p>
        </w:tc>
      </w:tr>
      <w:tr w:rsidR="00EF595D" w:rsidRPr="009E1E57" w:rsidTr="006E73C7">
        <w:trPr>
          <w:cantSplit/>
        </w:trPr>
        <w:tc>
          <w:tcPr>
            <w:tcW w:w="1985" w:type="dxa"/>
            <w:tcBorders>
              <w:top w:val="nil"/>
              <w:bottom w:val="nil"/>
            </w:tcBorders>
            <w:shd w:val="clear" w:color="auto" w:fill="auto"/>
          </w:tcPr>
          <w:p w:rsidR="00EF595D" w:rsidRPr="009E1E57" w:rsidRDefault="00EF595D" w:rsidP="006E73C7">
            <w:pPr>
              <w:pStyle w:val="TableText"/>
            </w:pPr>
            <w:r w:rsidRPr="009E1E57">
              <w:t>Canterbury</w:t>
            </w:r>
          </w:p>
        </w:tc>
        <w:tc>
          <w:tcPr>
            <w:tcW w:w="1984" w:type="dxa"/>
            <w:tcBorders>
              <w:top w:val="nil"/>
              <w:bottom w:val="nil"/>
            </w:tcBorders>
            <w:shd w:val="clear" w:color="auto" w:fill="auto"/>
          </w:tcPr>
          <w:p w:rsidR="00EF595D" w:rsidRPr="009E1E57" w:rsidRDefault="00EF595D" w:rsidP="006E73C7">
            <w:pPr>
              <w:pStyle w:val="TableText"/>
              <w:jc w:val="center"/>
            </w:pPr>
            <w:r w:rsidRPr="009E1E57">
              <w:t>4019</w:t>
            </w:r>
          </w:p>
        </w:tc>
        <w:tc>
          <w:tcPr>
            <w:tcW w:w="2552" w:type="dxa"/>
            <w:tcBorders>
              <w:top w:val="nil"/>
              <w:bottom w:val="nil"/>
            </w:tcBorders>
            <w:shd w:val="clear" w:color="auto" w:fill="auto"/>
          </w:tcPr>
          <w:p w:rsidR="00EF595D" w:rsidRPr="009E1E57" w:rsidRDefault="00EF595D" w:rsidP="006E73C7">
            <w:pPr>
              <w:pStyle w:val="TableText"/>
              <w:jc w:val="center"/>
            </w:pPr>
            <w:r w:rsidRPr="009E1E57">
              <w:t>1724</w:t>
            </w:r>
          </w:p>
        </w:tc>
      </w:tr>
      <w:tr w:rsidR="00EF595D" w:rsidRPr="009E1E57" w:rsidTr="006E73C7">
        <w:trPr>
          <w:cantSplit/>
        </w:trPr>
        <w:tc>
          <w:tcPr>
            <w:tcW w:w="1985" w:type="dxa"/>
            <w:tcBorders>
              <w:top w:val="nil"/>
              <w:bottom w:val="nil"/>
            </w:tcBorders>
            <w:shd w:val="clear" w:color="auto" w:fill="F2F2F2" w:themeFill="background1" w:themeFillShade="F2"/>
          </w:tcPr>
          <w:p w:rsidR="00EF595D" w:rsidRPr="009E1E57" w:rsidRDefault="00EF595D" w:rsidP="006E73C7">
            <w:pPr>
              <w:pStyle w:val="TableText"/>
            </w:pPr>
            <w:r w:rsidRPr="009E1E57">
              <w:t>Capital</w:t>
            </w:r>
            <w:r w:rsidR="00085832">
              <w:t xml:space="preserve"> </w:t>
            </w:r>
            <w:r w:rsidRPr="009E1E57">
              <w:t>&amp; Coast</w:t>
            </w:r>
          </w:p>
        </w:tc>
        <w:tc>
          <w:tcPr>
            <w:tcW w:w="1984" w:type="dxa"/>
            <w:tcBorders>
              <w:top w:val="nil"/>
              <w:bottom w:val="nil"/>
            </w:tcBorders>
            <w:shd w:val="clear" w:color="auto" w:fill="F2F2F2" w:themeFill="background1" w:themeFillShade="F2"/>
          </w:tcPr>
          <w:p w:rsidR="00EF595D" w:rsidRPr="009E1E57" w:rsidRDefault="00EF595D" w:rsidP="006E73C7">
            <w:pPr>
              <w:pStyle w:val="TableText"/>
              <w:jc w:val="center"/>
            </w:pPr>
            <w:r w:rsidRPr="009E1E57">
              <w:t>3835</w:t>
            </w:r>
          </w:p>
        </w:tc>
        <w:tc>
          <w:tcPr>
            <w:tcW w:w="2552" w:type="dxa"/>
            <w:tcBorders>
              <w:top w:val="nil"/>
              <w:bottom w:val="nil"/>
            </w:tcBorders>
            <w:shd w:val="clear" w:color="auto" w:fill="F2F2F2" w:themeFill="background1" w:themeFillShade="F2"/>
          </w:tcPr>
          <w:p w:rsidR="00EF595D" w:rsidRPr="009E1E57" w:rsidRDefault="00EF595D" w:rsidP="006E73C7">
            <w:pPr>
              <w:pStyle w:val="TableText"/>
              <w:jc w:val="center"/>
            </w:pPr>
            <w:r w:rsidRPr="009E1E57">
              <w:t>1750</w:t>
            </w:r>
          </w:p>
        </w:tc>
      </w:tr>
      <w:tr w:rsidR="00EF595D" w:rsidRPr="009E1E57" w:rsidTr="006E73C7">
        <w:trPr>
          <w:cantSplit/>
        </w:trPr>
        <w:tc>
          <w:tcPr>
            <w:tcW w:w="1985" w:type="dxa"/>
            <w:tcBorders>
              <w:top w:val="nil"/>
              <w:bottom w:val="nil"/>
            </w:tcBorders>
            <w:shd w:val="clear" w:color="auto" w:fill="auto"/>
          </w:tcPr>
          <w:p w:rsidR="00EF595D" w:rsidRPr="009E1E57" w:rsidRDefault="00EF595D" w:rsidP="006E73C7">
            <w:pPr>
              <w:pStyle w:val="TableText"/>
            </w:pPr>
            <w:r w:rsidRPr="009E1E57">
              <w:t>Counties Manukau</w:t>
            </w:r>
          </w:p>
        </w:tc>
        <w:tc>
          <w:tcPr>
            <w:tcW w:w="1984" w:type="dxa"/>
            <w:tcBorders>
              <w:top w:val="nil"/>
              <w:bottom w:val="nil"/>
            </w:tcBorders>
            <w:shd w:val="clear" w:color="auto" w:fill="auto"/>
          </w:tcPr>
          <w:p w:rsidR="00EF595D" w:rsidRPr="009E1E57" w:rsidRDefault="00EF595D" w:rsidP="006E73C7">
            <w:pPr>
              <w:pStyle w:val="TableText"/>
              <w:jc w:val="center"/>
            </w:pPr>
            <w:r w:rsidRPr="009E1E57">
              <w:t>3696</w:t>
            </w:r>
          </w:p>
        </w:tc>
        <w:tc>
          <w:tcPr>
            <w:tcW w:w="2552" w:type="dxa"/>
            <w:tcBorders>
              <w:top w:val="nil"/>
              <w:bottom w:val="nil"/>
            </w:tcBorders>
            <w:shd w:val="clear" w:color="auto" w:fill="auto"/>
          </w:tcPr>
          <w:p w:rsidR="00EF595D" w:rsidRPr="009E1E57" w:rsidRDefault="00EF595D" w:rsidP="006E73C7">
            <w:pPr>
              <w:pStyle w:val="TableText"/>
              <w:jc w:val="center"/>
            </w:pPr>
            <w:r w:rsidRPr="009E1E57">
              <w:t>2408</w:t>
            </w:r>
          </w:p>
        </w:tc>
      </w:tr>
      <w:tr w:rsidR="00EF595D" w:rsidRPr="009E1E57" w:rsidTr="006E73C7">
        <w:trPr>
          <w:cantSplit/>
        </w:trPr>
        <w:tc>
          <w:tcPr>
            <w:tcW w:w="1985" w:type="dxa"/>
            <w:tcBorders>
              <w:top w:val="nil"/>
              <w:bottom w:val="nil"/>
            </w:tcBorders>
            <w:shd w:val="clear" w:color="auto" w:fill="F2F2F2" w:themeFill="background1" w:themeFillShade="F2"/>
          </w:tcPr>
          <w:p w:rsidR="00EF595D" w:rsidRPr="009E1E57" w:rsidRDefault="00EF595D" w:rsidP="006E73C7">
            <w:pPr>
              <w:pStyle w:val="TableText"/>
            </w:pPr>
            <w:r w:rsidRPr="009E1E57">
              <w:t>Hutt Valley</w:t>
            </w:r>
          </w:p>
        </w:tc>
        <w:tc>
          <w:tcPr>
            <w:tcW w:w="1984" w:type="dxa"/>
            <w:tcBorders>
              <w:top w:val="nil"/>
              <w:bottom w:val="nil"/>
            </w:tcBorders>
            <w:shd w:val="clear" w:color="auto" w:fill="F2F2F2" w:themeFill="background1" w:themeFillShade="F2"/>
          </w:tcPr>
          <w:p w:rsidR="00EF595D" w:rsidRPr="009E1E57" w:rsidRDefault="00EF595D" w:rsidP="006E73C7">
            <w:pPr>
              <w:pStyle w:val="TableText"/>
              <w:jc w:val="center"/>
            </w:pPr>
            <w:r w:rsidRPr="009E1E57">
              <w:t>4149</w:t>
            </w:r>
          </w:p>
        </w:tc>
        <w:tc>
          <w:tcPr>
            <w:tcW w:w="2552" w:type="dxa"/>
            <w:tcBorders>
              <w:top w:val="nil"/>
              <w:bottom w:val="nil"/>
            </w:tcBorders>
            <w:shd w:val="clear" w:color="auto" w:fill="F2F2F2" w:themeFill="background1" w:themeFillShade="F2"/>
          </w:tcPr>
          <w:p w:rsidR="00EF595D" w:rsidRPr="009E1E57" w:rsidRDefault="00EF595D" w:rsidP="006E73C7">
            <w:pPr>
              <w:pStyle w:val="TableText"/>
              <w:jc w:val="center"/>
            </w:pPr>
            <w:r w:rsidRPr="009E1E57">
              <w:t>2437</w:t>
            </w:r>
          </w:p>
        </w:tc>
      </w:tr>
      <w:tr w:rsidR="00EF595D" w:rsidRPr="009E1E57" w:rsidTr="006E73C7">
        <w:trPr>
          <w:cantSplit/>
        </w:trPr>
        <w:tc>
          <w:tcPr>
            <w:tcW w:w="1985" w:type="dxa"/>
            <w:tcBorders>
              <w:top w:val="nil"/>
              <w:bottom w:val="nil"/>
            </w:tcBorders>
            <w:shd w:val="clear" w:color="auto" w:fill="auto"/>
          </w:tcPr>
          <w:p w:rsidR="00EF595D" w:rsidRPr="009E1E57" w:rsidRDefault="00EF595D" w:rsidP="006E73C7">
            <w:pPr>
              <w:pStyle w:val="TableText"/>
            </w:pPr>
            <w:r w:rsidRPr="009E1E57">
              <w:t>Waikato</w:t>
            </w:r>
          </w:p>
        </w:tc>
        <w:tc>
          <w:tcPr>
            <w:tcW w:w="1984" w:type="dxa"/>
            <w:tcBorders>
              <w:top w:val="nil"/>
              <w:bottom w:val="nil"/>
            </w:tcBorders>
            <w:shd w:val="clear" w:color="auto" w:fill="auto"/>
          </w:tcPr>
          <w:p w:rsidR="00EF595D" w:rsidRPr="009E1E57" w:rsidRDefault="00EF595D" w:rsidP="006E73C7">
            <w:pPr>
              <w:pStyle w:val="TableText"/>
              <w:jc w:val="center"/>
            </w:pPr>
            <w:r w:rsidRPr="009E1E57">
              <w:t>3133</w:t>
            </w:r>
          </w:p>
        </w:tc>
        <w:tc>
          <w:tcPr>
            <w:tcW w:w="2552" w:type="dxa"/>
            <w:tcBorders>
              <w:top w:val="nil"/>
              <w:bottom w:val="nil"/>
            </w:tcBorders>
            <w:shd w:val="clear" w:color="auto" w:fill="auto"/>
          </w:tcPr>
          <w:p w:rsidR="00EF595D" w:rsidRPr="009E1E57" w:rsidRDefault="00EF595D" w:rsidP="006E73C7">
            <w:pPr>
              <w:pStyle w:val="TableText"/>
              <w:jc w:val="center"/>
            </w:pPr>
            <w:r w:rsidRPr="009E1E57">
              <w:t>1956</w:t>
            </w:r>
          </w:p>
        </w:tc>
      </w:tr>
      <w:tr w:rsidR="00EF595D" w:rsidRPr="009E1E57" w:rsidTr="006E73C7">
        <w:trPr>
          <w:cantSplit/>
        </w:trPr>
        <w:tc>
          <w:tcPr>
            <w:tcW w:w="1985" w:type="dxa"/>
            <w:tcBorders>
              <w:top w:val="nil"/>
              <w:bottom w:val="single" w:sz="4" w:space="0" w:color="auto"/>
            </w:tcBorders>
            <w:shd w:val="clear" w:color="auto" w:fill="F2F2F2" w:themeFill="background1" w:themeFillShade="F2"/>
          </w:tcPr>
          <w:p w:rsidR="00EF595D" w:rsidRPr="009E1E57" w:rsidRDefault="00EF595D" w:rsidP="006E73C7">
            <w:pPr>
              <w:pStyle w:val="TableText"/>
            </w:pPr>
            <w:r w:rsidRPr="009E1E57">
              <w:t>Waitemata</w:t>
            </w:r>
          </w:p>
        </w:tc>
        <w:tc>
          <w:tcPr>
            <w:tcW w:w="1984" w:type="dxa"/>
            <w:tcBorders>
              <w:top w:val="nil"/>
              <w:bottom w:val="single" w:sz="4" w:space="0" w:color="auto"/>
            </w:tcBorders>
            <w:shd w:val="clear" w:color="auto" w:fill="F2F2F2" w:themeFill="background1" w:themeFillShade="F2"/>
          </w:tcPr>
          <w:p w:rsidR="00EF595D" w:rsidRPr="009E1E57" w:rsidRDefault="00EF595D" w:rsidP="006E73C7">
            <w:pPr>
              <w:pStyle w:val="TableText"/>
              <w:jc w:val="center"/>
            </w:pPr>
            <w:r w:rsidRPr="009E1E57">
              <w:t>3670</w:t>
            </w:r>
          </w:p>
        </w:tc>
        <w:tc>
          <w:tcPr>
            <w:tcW w:w="2552" w:type="dxa"/>
            <w:tcBorders>
              <w:top w:val="nil"/>
              <w:bottom w:val="single" w:sz="4" w:space="0" w:color="auto"/>
            </w:tcBorders>
            <w:shd w:val="clear" w:color="auto" w:fill="F2F2F2" w:themeFill="background1" w:themeFillShade="F2"/>
          </w:tcPr>
          <w:p w:rsidR="00EF595D" w:rsidRPr="009E1E57" w:rsidRDefault="00EF595D" w:rsidP="006E73C7">
            <w:pPr>
              <w:pStyle w:val="TableText"/>
              <w:jc w:val="center"/>
            </w:pPr>
            <w:r w:rsidRPr="009E1E57">
              <w:t>1937</w:t>
            </w:r>
          </w:p>
        </w:tc>
      </w:tr>
    </w:tbl>
    <w:p w:rsidR="00EF595D" w:rsidRPr="009E1E57" w:rsidRDefault="00EF595D" w:rsidP="006E73C7"/>
    <w:p w:rsidR="00EF595D" w:rsidRPr="009E1E57" w:rsidRDefault="00EF595D" w:rsidP="006E73C7">
      <w:pPr>
        <w:pStyle w:val="Heading3"/>
      </w:pPr>
      <w:r w:rsidRPr="009E1E57">
        <w:t>’Ala Mo’ui</w:t>
      </w:r>
    </w:p>
    <w:p w:rsidR="00EF595D" w:rsidRPr="009E1E57" w:rsidRDefault="00EF595D" w:rsidP="006E73C7">
      <w:r w:rsidRPr="009E1E57">
        <w:t>The aim</w:t>
      </w:r>
      <w:r w:rsidR="00085832">
        <w:t xml:space="preserve"> </w:t>
      </w:r>
      <w:r w:rsidRPr="009E1E57">
        <w:t>of this refreshed plan is to positively influence these three key indicators and in particular, see a reduction in ASH rates for Pacific, and increases in life expectancy and health expectancy. These key health system and health status indicators are long-term measures but in order to reach health equity, all three indicators need to reflect positive health trends for Pacific families and communities.</w:t>
      </w:r>
    </w:p>
    <w:p w:rsidR="00EF595D" w:rsidRPr="009E1E57" w:rsidRDefault="00EF595D" w:rsidP="006E73C7"/>
    <w:p w:rsidR="00EF595D" w:rsidRPr="009E1E57" w:rsidRDefault="00EF595D" w:rsidP="006E73C7">
      <w:pPr>
        <w:pStyle w:val="Heading2"/>
        <w:ind w:left="567" w:hanging="567"/>
      </w:pPr>
      <w:bookmarkStart w:id="23" w:name="_Toc391539866"/>
      <w:r w:rsidRPr="009E1E57">
        <w:t>1</w:t>
      </w:r>
      <w:r w:rsidRPr="009E1E57">
        <w:tab/>
        <w:t>Systems and services meet the needs of</w:t>
      </w:r>
      <w:r w:rsidR="006E73C7">
        <w:t xml:space="preserve"> </w:t>
      </w:r>
      <w:r w:rsidRPr="009E1E57">
        <w:t>Pacific peoples</w:t>
      </w:r>
      <w:bookmarkEnd w:id="23"/>
    </w:p>
    <w:p w:rsidR="00EF595D" w:rsidRPr="009E1E57" w:rsidRDefault="00EF595D" w:rsidP="006E73C7">
      <w:pPr>
        <w:pStyle w:val="Heading3"/>
      </w:pPr>
      <w:r w:rsidRPr="009E1E57">
        <w:t>Why is this outcome a priority?</w:t>
      </w:r>
    </w:p>
    <w:p w:rsidR="00EF595D" w:rsidRPr="009E1E57" w:rsidRDefault="00EF595D" w:rsidP="006E73C7">
      <w:r w:rsidRPr="009E1E57">
        <w:t>Like all users of the health care system, Pacific peoples want services that meet their needs and expectations in primary health (National Health Board 2010; Southwick et al 2012). Pacific peoples</w:t>
      </w:r>
      <w:r w:rsidR="006E73C7">
        <w:t xml:space="preserve"> </w:t>
      </w:r>
      <w:r w:rsidRPr="009E1E57">
        <w:t>also want seamless service delivery, with effective information flow and patient management between primary care and other parts of the health and disability sector, including hospitals, specialist care, mental health and disability support services.</w:t>
      </w:r>
    </w:p>
    <w:p w:rsidR="00EF595D" w:rsidRPr="009E1E57" w:rsidRDefault="00EF595D" w:rsidP="006E73C7"/>
    <w:p w:rsidR="00EF595D" w:rsidRPr="009E1E57" w:rsidRDefault="00EF595D" w:rsidP="006E73C7">
      <w:r w:rsidRPr="009E1E57">
        <w:t>Research shows that Pacific peoples can</w:t>
      </w:r>
      <w:r w:rsidR="00085832">
        <w:t xml:space="preserve"> </w:t>
      </w:r>
      <w:r w:rsidRPr="009E1E57">
        <w:t>experience financial, cultural, logistical, physical or linguistic barriers to their access to and use of services across the health and disability sector (Pacific Perspectives 2010; Ministry of Health 2013). These barriers are key reasons why Pacific peoples are not benefiting from health services as much as other groups (Tobias and Yeh 2009).</w:t>
      </w:r>
    </w:p>
    <w:p w:rsidR="00EF595D" w:rsidRPr="009E1E57" w:rsidRDefault="00EF595D" w:rsidP="006E73C7"/>
    <w:p w:rsidR="00EF595D" w:rsidRPr="009E1E57" w:rsidRDefault="00EF595D" w:rsidP="006E73C7">
      <w:pPr>
        <w:pStyle w:val="Heading3"/>
      </w:pPr>
      <w:r w:rsidRPr="009E1E57">
        <w:t>What are we seeking to achieve?</w:t>
      </w:r>
    </w:p>
    <w:p w:rsidR="00EF595D" w:rsidRPr="009E1E57" w:rsidRDefault="00EF595D" w:rsidP="006E73C7">
      <w:r w:rsidRPr="009E1E57">
        <w:t>Health and disability systems and services need to focus on what works for Pacific peoples and communities. While</w:t>
      </w:r>
      <w:r w:rsidR="00085832">
        <w:t xml:space="preserve"> </w:t>
      </w:r>
      <w:r w:rsidRPr="009E1E57">
        <w:t>strengthening the Pacific workforce and providers in the health and disability sector is important (Ministry of Health 2010b), we also want to ensure that non-Pacific services effectively meet the needs of Pacific peoples, because most Pacific patients receive their health care from non-Pacific providers.</w:t>
      </w:r>
    </w:p>
    <w:p w:rsidR="00EF595D" w:rsidRPr="009E1E57" w:rsidRDefault="00EF595D" w:rsidP="006E73C7"/>
    <w:p w:rsidR="00EF595D" w:rsidRDefault="00EF595D" w:rsidP="006E73C7">
      <w:r w:rsidRPr="009E1E57">
        <w:t>Improving cultural competence in service delivery is a key component of achieving this goal for</w:t>
      </w:r>
      <w:r w:rsidR="006E73C7">
        <w:t xml:space="preserve"> </w:t>
      </w:r>
      <w:r w:rsidRPr="009E1E57">
        <w:t>non-Pacific services. Cultural competence improves health care by making services more acceptable</w:t>
      </w:r>
      <w:r w:rsidR="006E73C7">
        <w:t xml:space="preserve"> </w:t>
      </w:r>
      <w:r w:rsidRPr="009E1E57">
        <w:t>to a wider spectrum of individuals and families, thereby increasing access and use of services by those who</w:t>
      </w:r>
      <w:r w:rsidR="00085832">
        <w:t xml:space="preserve"> </w:t>
      </w:r>
      <w:r w:rsidRPr="009E1E57">
        <w:t>experience barriers (Tiatia 2008).</w:t>
      </w:r>
    </w:p>
    <w:p w:rsidR="006E73C7" w:rsidRPr="009E1E57" w:rsidRDefault="006E73C7" w:rsidP="006E73C7"/>
    <w:p w:rsidR="00EF595D" w:rsidRPr="009E1E57" w:rsidRDefault="00EF595D" w:rsidP="006E73C7">
      <w:pPr>
        <w:pStyle w:val="Box"/>
      </w:pPr>
      <w:r w:rsidRPr="009E1E57">
        <w:t>The Ministry of Health will support:</w:t>
      </w:r>
    </w:p>
    <w:p w:rsidR="00EF595D" w:rsidRPr="009E1E57" w:rsidRDefault="00EF595D" w:rsidP="006E73C7">
      <w:pPr>
        <w:pStyle w:val="BoxBullet"/>
      </w:pPr>
      <w:r w:rsidRPr="009E1E57">
        <w:t>DHBs to improve performance against achieving targets for Pacific peoples</w:t>
      </w:r>
    </w:p>
    <w:p w:rsidR="00EF595D" w:rsidRPr="009E1E57" w:rsidRDefault="00EF595D" w:rsidP="006E73C7">
      <w:pPr>
        <w:pStyle w:val="BoxBullet"/>
      </w:pPr>
      <w:r w:rsidRPr="009E1E57">
        <w:t>DHBs to support the Pacific Whānau Ora Commissioning Agency</w:t>
      </w:r>
    </w:p>
    <w:p w:rsidR="00EF595D" w:rsidRPr="009E1E57" w:rsidRDefault="00EF595D" w:rsidP="006E73C7">
      <w:pPr>
        <w:pStyle w:val="BoxBullet"/>
      </w:pPr>
      <w:r w:rsidRPr="009E1E57">
        <w:t>DHBs, PHOs and other providers to maximise coverage and participation of Pacific women in the National Cervical Screening Programme</w:t>
      </w:r>
    </w:p>
    <w:p w:rsidR="00EF595D" w:rsidRPr="009E1E57" w:rsidRDefault="00EF595D" w:rsidP="006E73C7">
      <w:pPr>
        <w:pStyle w:val="BoxBullet"/>
      </w:pPr>
      <w:r w:rsidRPr="009E1E57">
        <w:t>universal maternity and child health services to engage in a more timely manner with Pacific women and their families</w:t>
      </w:r>
    </w:p>
    <w:p w:rsidR="00EF595D" w:rsidRPr="009E1E57" w:rsidRDefault="00EF595D" w:rsidP="006E73C7">
      <w:pPr>
        <w:pStyle w:val="BoxBullet"/>
      </w:pPr>
      <w:r w:rsidRPr="009E1E57">
        <w:t xml:space="preserve">DHBs to implement the actions focused on Pacific peoples in the </w:t>
      </w:r>
      <w:r w:rsidRPr="009E1E57">
        <w:rPr>
          <w:i/>
        </w:rPr>
        <w:t>Rising to the Challenge: The Mental Health and Addiction Service Development Plan 2012–2017</w:t>
      </w:r>
      <w:r w:rsidR="00085832">
        <w:rPr>
          <w:i/>
        </w:rPr>
        <w:t xml:space="preserve"> </w:t>
      </w:r>
      <w:r w:rsidRPr="009E1E57">
        <w:t>(Ministry of Health 2012a) in order to build more responsive services for Pacific people who</w:t>
      </w:r>
      <w:r w:rsidR="00085832">
        <w:t xml:space="preserve"> </w:t>
      </w:r>
      <w:r w:rsidRPr="009E1E57">
        <w:t>are severely affected by mental illness or addiction.</w:t>
      </w:r>
    </w:p>
    <w:p w:rsidR="00EF595D" w:rsidRPr="009E1E57" w:rsidRDefault="00EF595D" w:rsidP="006E73C7"/>
    <w:p w:rsidR="00EF595D" w:rsidRPr="009E1E57" w:rsidRDefault="00EF595D" w:rsidP="006E73C7">
      <w:pPr>
        <w:pStyle w:val="Heading3"/>
      </w:pPr>
      <w:r w:rsidRPr="009E1E57">
        <w:rPr>
          <w:rFonts w:asciiTheme="minorHAnsi" w:eastAsiaTheme="minorHAnsi" w:hAnsiTheme="minorHAnsi" w:cstheme="minorBidi"/>
          <w:noProof/>
          <w:szCs w:val="22"/>
          <w:lang w:eastAsia="en-NZ"/>
        </w:rPr>
        <mc:AlternateContent>
          <mc:Choice Requires="wpg">
            <w:drawing>
              <wp:anchor distT="0" distB="0" distL="114300" distR="114300" simplePos="0" relativeHeight="251688960" behindDoc="1" locked="0" layoutInCell="1" allowOverlap="1" wp14:anchorId="18BDCC9D" wp14:editId="445F65F2">
                <wp:simplePos x="0" y="0"/>
                <wp:positionH relativeFrom="page">
                  <wp:posOffset>5229225</wp:posOffset>
                </wp:positionH>
                <wp:positionV relativeFrom="page">
                  <wp:posOffset>3880485</wp:posOffset>
                </wp:positionV>
                <wp:extent cx="1270" cy="210185"/>
                <wp:effectExtent l="0" t="3810" r="8255" b="0"/>
                <wp:wrapNone/>
                <wp:docPr id="256" name="Group 2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210185"/>
                          <a:chOff x="8235" y="6111"/>
                          <a:chExt cx="2" cy="331"/>
                        </a:xfrm>
                      </wpg:grpSpPr>
                      <wps:wsp>
                        <wps:cNvPr id="257" name="Freeform 253"/>
                        <wps:cNvSpPr>
                          <a:spLocks/>
                        </wps:cNvSpPr>
                        <wps:spPr bwMode="auto">
                          <a:xfrm>
                            <a:off x="8235" y="6111"/>
                            <a:ext cx="2" cy="331"/>
                          </a:xfrm>
                          <a:custGeom>
                            <a:avLst/>
                            <a:gdLst>
                              <a:gd name="T0" fmla="+- 0 6111 6111"/>
                              <a:gd name="T1" fmla="*/ 6111 h 331"/>
                              <a:gd name="T2" fmla="+- 0 6443 6111"/>
                              <a:gd name="T3" fmla="*/ 6443 h 331"/>
                              <a:gd name="T4" fmla="+- 0 6111 6111"/>
                              <a:gd name="T5" fmla="*/ 6111 h 331"/>
                            </a:gdLst>
                            <a:ahLst/>
                            <a:cxnLst>
                              <a:cxn ang="0">
                                <a:pos x="0" y="T1"/>
                              </a:cxn>
                              <a:cxn ang="0">
                                <a:pos x="0" y="T3"/>
                              </a:cxn>
                              <a:cxn ang="0">
                                <a:pos x="0" y="T5"/>
                              </a:cxn>
                            </a:cxnLst>
                            <a:rect l="0" t="0" r="r" b="b"/>
                            <a:pathLst>
                              <a:path h="331">
                                <a:moveTo>
                                  <a:pt x="0" y="0"/>
                                </a:moveTo>
                                <a:lnTo>
                                  <a:pt x="0" y="332"/>
                                </a:lnTo>
                                <a:lnTo>
                                  <a:pt x="0" y="0"/>
                                </a:lnTo>
                              </a:path>
                            </a:pathLst>
                          </a:custGeom>
                          <a:solidFill>
                            <a:srgbClr val="EDE9F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FC718C" id="Group 256" o:spid="_x0000_s1026" style="position:absolute;margin-left:411.75pt;margin-top:305.55pt;width:.1pt;height:16.55pt;z-index:-251627520;mso-position-horizontal-relative:page;mso-position-vertical-relative:page" coordorigin="8235,6111" coordsize="2,3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">
                <v:shape id="Freeform 253" o:spid="_x0000_s1027" style="position:absolute;left:8235;top:6111;width:2;height:331;visibility:visible;mso-wrap-style:square;v-text-anchor:top" coordsize="2,3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mpE8UA&#10;AADcAAAADwAAAGRycy9kb3ducmV2LnhtbESPQWsCMRSE7wX/Q3iFXopmXa3KahQRCqX00tWDx2fy&#10;3CzdvKybVNd/3xQKPQ4z8w2z2vSuEVfqQu1ZwXiUgSDW3tRcKTjsX4cLECEiG2w8k4I7BdisBw8r&#10;LIy/8Sddy1iJBOFQoAIbY1tIGbQlh2HkW+LknX3nMCbZVdJ0eEtw18g8y2bSYc1pwWJLO0v6q/x2&#10;Cpox5s/luz3MopyeNF+OHxM9Verpsd8uQUTq43/4r/1mFOQvc/g9k46AX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yakTxQAAANwAAAAPAAAAAAAAAAAAAAAAAJgCAABkcnMv&#10;ZG93bnJldi54bWxQSwUGAAAAAAQABAD1AAAAigMAAAAA&#10;" path="m,l,332,,e" fillcolor="#ede9f4" stroked="f">
                  <v:path arrowok="t" o:connecttype="custom" o:connectlocs="0,6111;0,6443;0,6111" o:connectangles="0,0,0"/>
                </v:shape>
                <w10:wrap anchorx="page" anchory="page"/>
              </v:group>
            </w:pict>
          </mc:Fallback>
        </mc:AlternateContent>
      </w:r>
      <w:r w:rsidRPr="009E1E57">
        <w:rPr>
          <w:rFonts w:asciiTheme="minorHAnsi" w:eastAsiaTheme="minorHAnsi" w:hAnsiTheme="minorHAnsi" w:cstheme="minorBidi"/>
          <w:noProof/>
          <w:szCs w:val="22"/>
          <w:lang w:eastAsia="en-NZ"/>
        </w:rPr>
        <mc:AlternateContent>
          <mc:Choice Requires="wpg">
            <w:drawing>
              <wp:anchor distT="0" distB="0" distL="114300" distR="114300" simplePos="0" relativeHeight="251689984" behindDoc="1" locked="0" layoutInCell="1" allowOverlap="1" wp14:anchorId="1AD6D6A0" wp14:editId="3EF46635">
                <wp:simplePos x="0" y="0"/>
                <wp:positionH relativeFrom="page">
                  <wp:posOffset>5229225</wp:posOffset>
                </wp:positionH>
                <wp:positionV relativeFrom="page">
                  <wp:posOffset>6797040</wp:posOffset>
                </wp:positionV>
                <wp:extent cx="1270" cy="210185"/>
                <wp:effectExtent l="0" t="0" r="8255" b="3175"/>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210185"/>
                          <a:chOff x="8235" y="10704"/>
                          <a:chExt cx="2" cy="331"/>
                        </a:xfrm>
                      </wpg:grpSpPr>
                      <wps:wsp>
                        <wps:cNvPr id="31" name="Freeform 255"/>
                        <wps:cNvSpPr>
                          <a:spLocks/>
                        </wps:cNvSpPr>
                        <wps:spPr bwMode="auto">
                          <a:xfrm>
                            <a:off x="8235" y="10704"/>
                            <a:ext cx="2" cy="331"/>
                          </a:xfrm>
                          <a:custGeom>
                            <a:avLst/>
                            <a:gdLst>
                              <a:gd name="T0" fmla="+- 0 10704 10704"/>
                              <a:gd name="T1" fmla="*/ 10704 h 331"/>
                              <a:gd name="T2" fmla="+- 0 11035 10704"/>
                              <a:gd name="T3" fmla="*/ 11035 h 331"/>
                              <a:gd name="T4" fmla="+- 0 10704 10704"/>
                              <a:gd name="T5" fmla="*/ 10704 h 331"/>
                            </a:gdLst>
                            <a:ahLst/>
                            <a:cxnLst>
                              <a:cxn ang="0">
                                <a:pos x="0" y="T1"/>
                              </a:cxn>
                              <a:cxn ang="0">
                                <a:pos x="0" y="T3"/>
                              </a:cxn>
                              <a:cxn ang="0">
                                <a:pos x="0" y="T5"/>
                              </a:cxn>
                            </a:cxnLst>
                            <a:rect l="0" t="0" r="r" b="b"/>
                            <a:pathLst>
                              <a:path h="331">
                                <a:moveTo>
                                  <a:pt x="0" y="0"/>
                                </a:moveTo>
                                <a:lnTo>
                                  <a:pt x="0" y="331"/>
                                </a:lnTo>
                                <a:lnTo>
                                  <a:pt x="0" y="0"/>
                                </a:lnTo>
                              </a:path>
                            </a:pathLst>
                          </a:custGeom>
                          <a:solidFill>
                            <a:srgbClr val="EDE9F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BDE671" id="Group 30" o:spid="_x0000_s1026" style="position:absolute;margin-left:411.75pt;margin-top:535.2pt;width:.1pt;height:16.55pt;z-index:-251626496;mso-position-horizontal-relative:page;mso-position-vertical-relative:page" coordorigin="8235,10704" coordsize="2,3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">
                <v:shape id="Freeform 255" o:spid="_x0000_s1027" style="position:absolute;left:8235;top:10704;width:2;height:331;visibility:visible;mso-wrap-style:square;v-text-anchor:top" coordsize="2,3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CWAcMA&#10;AADbAAAADwAAAGRycy9kb3ducmV2LnhtbESPQWsCMRSE7wX/Q3iCl6LZVRFZjSIFQUovXT14fCbP&#10;zeLmZbuJuv33TaHQ4zAz3zDrbe8a8aAu1J4V5JMMBLH2puZKwem4Hy9BhIhssPFMCr4pwHYzeFlj&#10;YfyTP+lRxkokCIcCFdgY20LKoC05DBPfEifv6juHMcmukqbDZ4K7Rk6zbCEd1pwWLLb0ZknfyrtT&#10;0OQ4fS3f7WkR5fyi+ev8MdNzpUbDfrcCEamP/+G/9sEomOXw+yX9ALn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0CWAcMAAADbAAAADwAAAAAAAAAAAAAAAACYAgAAZHJzL2Rv&#10;d25yZXYueG1sUEsFBgAAAAAEAAQA9QAAAIgDAAAAAA==&#10;" path="m,l,331,,e" fillcolor="#ede9f4" stroked="f">
                  <v:path arrowok="t" o:connecttype="custom" o:connectlocs="0,10704;0,11035;0,10704" o:connectangles="0,0,0"/>
                </v:shape>
                <w10:wrap anchorx="page" anchory="page"/>
              </v:group>
            </w:pict>
          </mc:Fallback>
        </mc:AlternateContent>
      </w:r>
      <w:r w:rsidRPr="009E1E57">
        <w:t>How are we going to measure this?</w:t>
      </w:r>
    </w:p>
    <w:p w:rsidR="00EF595D" w:rsidRPr="009E1E57" w:rsidRDefault="00EF595D" w:rsidP="006E73C7">
      <w:pPr>
        <w:keepNext/>
      </w:pPr>
      <w:r w:rsidRPr="009E1E57">
        <w:t>The Ministry of Health will use the following indicators to measure whether the actions identified above achieve the intended outcomes.</w:t>
      </w:r>
    </w:p>
    <w:p w:rsidR="00EF595D" w:rsidRPr="009E1E57" w:rsidRDefault="00EF595D" w:rsidP="006E73C7">
      <w:pPr>
        <w:keepNext/>
      </w:pPr>
    </w:p>
    <w:tbl>
      <w:tblPr>
        <w:tblW w:w="0" w:type="auto"/>
        <w:tblInd w:w="57" w:type="dxa"/>
        <w:tblLayout w:type="fixed"/>
        <w:tblCellMar>
          <w:left w:w="57" w:type="dxa"/>
          <w:right w:w="57" w:type="dxa"/>
        </w:tblCellMar>
        <w:tblLook w:val="01E0" w:firstRow="1" w:lastRow="1" w:firstColumn="1" w:lastColumn="1" w:noHBand="0" w:noVBand="0"/>
      </w:tblPr>
      <w:tblGrid>
        <w:gridCol w:w="2410"/>
        <w:gridCol w:w="1701"/>
        <w:gridCol w:w="2410"/>
        <w:gridCol w:w="1417"/>
        <w:gridCol w:w="1418"/>
      </w:tblGrid>
      <w:tr w:rsidR="00EF595D" w:rsidRPr="006E73C7" w:rsidTr="00F87F93">
        <w:trPr>
          <w:cantSplit/>
        </w:trPr>
        <w:tc>
          <w:tcPr>
            <w:tcW w:w="2410" w:type="dxa"/>
            <w:tcBorders>
              <w:top w:val="single" w:sz="4" w:space="0" w:color="auto"/>
              <w:left w:val="nil"/>
              <w:bottom w:val="single" w:sz="4" w:space="0" w:color="auto"/>
            </w:tcBorders>
            <w:shd w:val="clear" w:color="auto" w:fill="auto"/>
          </w:tcPr>
          <w:p w:rsidR="00EF595D" w:rsidRPr="006E73C7" w:rsidRDefault="00EF595D" w:rsidP="006E73C7">
            <w:pPr>
              <w:pStyle w:val="TableText"/>
              <w:keepNext/>
              <w:rPr>
                <w:rFonts w:eastAsia="Arial"/>
                <w:b/>
              </w:rPr>
            </w:pPr>
            <w:r w:rsidRPr="006E73C7">
              <w:rPr>
                <w:rFonts w:eastAsia="Arial"/>
                <w:b/>
              </w:rPr>
              <w:t>Action</w:t>
            </w:r>
          </w:p>
        </w:tc>
        <w:tc>
          <w:tcPr>
            <w:tcW w:w="1701" w:type="dxa"/>
            <w:tcBorders>
              <w:top w:val="single" w:sz="4" w:space="0" w:color="auto"/>
              <w:bottom w:val="single" w:sz="4" w:space="0" w:color="auto"/>
            </w:tcBorders>
            <w:shd w:val="clear" w:color="auto" w:fill="auto"/>
          </w:tcPr>
          <w:p w:rsidR="00EF595D" w:rsidRPr="006E73C7" w:rsidRDefault="00EF595D" w:rsidP="006E73C7">
            <w:pPr>
              <w:pStyle w:val="TableText"/>
              <w:keepNext/>
              <w:rPr>
                <w:rFonts w:eastAsia="Arial"/>
                <w:b/>
              </w:rPr>
            </w:pPr>
            <w:r w:rsidRPr="006E73C7">
              <w:rPr>
                <w:rFonts w:eastAsia="Arial"/>
                <w:b/>
              </w:rPr>
              <w:t>Indicator</w:t>
            </w:r>
          </w:p>
        </w:tc>
        <w:tc>
          <w:tcPr>
            <w:tcW w:w="5245" w:type="dxa"/>
            <w:gridSpan w:val="3"/>
            <w:tcBorders>
              <w:top w:val="single" w:sz="4" w:space="0" w:color="auto"/>
              <w:bottom w:val="single" w:sz="4" w:space="0" w:color="auto"/>
              <w:right w:val="nil"/>
            </w:tcBorders>
            <w:shd w:val="clear" w:color="auto" w:fill="auto"/>
          </w:tcPr>
          <w:p w:rsidR="00EF595D" w:rsidRPr="006E73C7" w:rsidRDefault="00EF595D" w:rsidP="006E73C7">
            <w:pPr>
              <w:pStyle w:val="TableText"/>
              <w:keepNext/>
              <w:rPr>
                <w:b/>
              </w:rPr>
            </w:pPr>
            <w:r w:rsidRPr="006E73C7">
              <w:rPr>
                <w:b/>
              </w:rPr>
              <w:t>Pacific performance (at 1 May 2014)</w:t>
            </w:r>
          </w:p>
        </w:tc>
      </w:tr>
      <w:tr w:rsidR="00EF595D" w:rsidRPr="009E1E57" w:rsidTr="00F87F93">
        <w:trPr>
          <w:cantSplit/>
        </w:trPr>
        <w:tc>
          <w:tcPr>
            <w:tcW w:w="2410" w:type="dxa"/>
            <w:vMerge w:val="restart"/>
            <w:tcBorders>
              <w:top w:val="single" w:sz="4" w:space="0" w:color="auto"/>
              <w:left w:val="nil"/>
            </w:tcBorders>
            <w:shd w:val="clear" w:color="auto" w:fill="auto"/>
          </w:tcPr>
          <w:p w:rsidR="00EF595D" w:rsidRPr="009E1E57" w:rsidRDefault="00EF595D" w:rsidP="006E73C7">
            <w:pPr>
              <w:pStyle w:val="TableText"/>
              <w:rPr>
                <w:rFonts w:ascii="Times New Roman" w:hAnsi="Times New Roman"/>
              </w:rPr>
            </w:pPr>
            <w:r w:rsidRPr="006E73C7">
              <w:t xml:space="preserve">1. DHBs will implement the actions focused on Pacific </w:t>
            </w:r>
            <w:r w:rsidRPr="006E73C7">
              <w:rPr>
                <w:rFonts w:eastAsia="Arial"/>
              </w:rPr>
              <w:t xml:space="preserve">peoples in </w:t>
            </w:r>
            <w:r w:rsidRPr="00F87F93">
              <w:rPr>
                <w:rFonts w:eastAsia="Arial"/>
                <w:i/>
              </w:rPr>
              <w:t xml:space="preserve">Rising </w:t>
            </w:r>
            <w:r w:rsidRPr="009E1E57">
              <w:rPr>
                <w:rFonts w:eastAsia="Arial"/>
                <w:i/>
              </w:rPr>
              <w:t>to the Challenge: The Mental Health and</w:t>
            </w:r>
            <w:r w:rsidR="006E73C7">
              <w:rPr>
                <w:rFonts w:eastAsia="Arial"/>
                <w:i/>
              </w:rPr>
              <w:t xml:space="preserve"> </w:t>
            </w:r>
            <w:r w:rsidRPr="009E1E57">
              <w:rPr>
                <w:rFonts w:eastAsia="Arial"/>
                <w:i/>
              </w:rPr>
              <w:t>Addiction Service</w:t>
            </w:r>
            <w:r w:rsidR="006E73C7">
              <w:rPr>
                <w:rFonts w:eastAsia="Arial"/>
                <w:i/>
              </w:rPr>
              <w:t xml:space="preserve"> </w:t>
            </w:r>
            <w:r w:rsidRPr="009E1E57">
              <w:rPr>
                <w:rFonts w:eastAsia="Arial"/>
                <w:i/>
              </w:rPr>
              <w:t>Development Plan 2012–201</w:t>
            </w:r>
            <w:r w:rsidRPr="006E73C7">
              <w:rPr>
                <w:rFonts w:eastAsia="Arial"/>
              </w:rPr>
              <w:t xml:space="preserve">7 </w:t>
            </w:r>
            <w:r w:rsidRPr="006E73C7">
              <w:t>in order</w:t>
            </w:r>
            <w:r w:rsidR="00085832" w:rsidRPr="006E73C7">
              <w:t xml:space="preserve"> </w:t>
            </w:r>
            <w:r w:rsidRPr="006E73C7">
              <w:t>to build more</w:t>
            </w:r>
            <w:r w:rsidR="00085832" w:rsidRPr="006E73C7">
              <w:t xml:space="preserve"> </w:t>
            </w:r>
            <w:r w:rsidRPr="006E73C7">
              <w:t>responsive services for Pacific people who are severely affected by mental</w:t>
            </w:r>
            <w:r w:rsidR="00085832" w:rsidRPr="006E73C7">
              <w:t xml:space="preserve"> </w:t>
            </w:r>
            <w:r w:rsidRPr="006E73C7">
              <w:t>illness or addiction.</w:t>
            </w:r>
          </w:p>
        </w:tc>
        <w:tc>
          <w:tcPr>
            <w:tcW w:w="1701" w:type="dxa"/>
            <w:vMerge w:val="restart"/>
            <w:tcBorders>
              <w:top w:val="single" w:sz="4" w:space="0" w:color="auto"/>
            </w:tcBorders>
            <w:shd w:val="clear" w:color="auto" w:fill="auto"/>
          </w:tcPr>
          <w:p w:rsidR="00EF595D" w:rsidRPr="009E1E57" w:rsidRDefault="00EF595D" w:rsidP="006E73C7">
            <w:pPr>
              <w:pStyle w:val="TableText"/>
            </w:pPr>
            <w:r w:rsidRPr="009E1E57">
              <w:t>Improving the health</w:t>
            </w:r>
            <w:r w:rsidR="00085832">
              <w:t xml:space="preserve"> </w:t>
            </w:r>
            <w:r w:rsidRPr="009E1E57">
              <w:t>status of people with severe mental</w:t>
            </w:r>
            <w:r w:rsidR="006E73C7">
              <w:t xml:space="preserve"> </w:t>
            </w:r>
            <w:r w:rsidRPr="009E1E57">
              <w:t>illness through improved access rates.</w:t>
            </w:r>
          </w:p>
        </w:tc>
        <w:tc>
          <w:tcPr>
            <w:tcW w:w="5245" w:type="dxa"/>
            <w:gridSpan w:val="3"/>
            <w:tcBorders>
              <w:top w:val="single" w:sz="4" w:space="0" w:color="auto"/>
              <w:bottom w:val="single" w:sz="4" w:space="0" w:color="A6A6A6" w:themeColor="background1" w:themeShade="A6"/>
              <w:right w:val="nil"/>
            </w:tcBorders>
            <w:shd w:val="clear" w:color="auto" w:fill="auto"/>
          </w:tcPr>
          <w:p w:rsidR="00EF595D" w:rsidRPr="009E1E57" w:rsidRDefault="00EF595D" w:rsidP="006E73C7">
            <w:pPr>
              <w:pStyle w:val="TableText"/>
            </w:pPr>
            <w:r w:rsidRPr="009E1E57">
              <w:t>Nationally, 2.9%</w:t>
            </w:r>
            <w:r w:rsidR="00085832">
              <w:t xml:space="preserve"> </w:t>
            </w:r>
            <w:r w:rsidRPr="009E1E57">
              <w:t>of Pacific peoples currently</w:t>
            </w:r>
            <w:r w:rsidR="00085832">
              <w:t xml:space="preserve"> </w:t>
            </w:r>
            <w:r w:rsidRPr="009E1E57">
              <w:t>access specialist mental</w:t>
            </w:r>
            <w:r w:rsidR="00085832">
              <w:t xml:space="preserve"> </w:t>
            </w:r>
            <w:r w:rsidRPr="009E1E57">
              <w:t>health and</w:t>
            </w:r>
            <w:r w:rsidR="00085832">
              <w:t xml:space="preserve"> </w:t>
            </w:r>
            <w:r w:rsidRPr="009E1E57">
              <w:t>addiction services, compared to 3.4%</w:t>
            </w:r>
            <w:r w:rsidR="00085832">
              <w:t xml:space="preserve"> </w:t>
            </w:r>
            <w:r w:rsidRPr="009E1E57">
              <w:t>of the overall population.</w:t>
            </w:r>
          </w:p>
          <w:p w:rsidR="00EF595D" w:rsidRPr="00F87F93" w:rsidRDefault="00EF595D" w:rsidP="006E73C7">
            <w:pPr>
              <w:pStyle w:val="TableText"/>
              <w:rPr>
                <w:b/>
              </w:rPr>
            </w:pPr>
            <w:r w:rsidRPr="00F87F93">
              <w:rPr>
                <w:b/>
              </w:rPr>
              <w:t>Access to specialist mental</w:t>
            </w:r>
            <w:r w:rsidR="00085832" w:rsidRPr="00F87F93">
              <w:rPr>
                <w:b/>
              </w:rPr>
              <w:t xml:space="preserve"> </w:t>
            </w:r>
            <w:r w:rsidRPr="00F87F93">
              <w:rPr>
                <w:b/>
              </w:rPr>
              <w:t>health</w:t>
            </w:r>
            <w:r w:rsidR="00085832" w:rsidRPr="00F87F93">
              <w:rPr>
                <w:b/>
              </w:rPr>
              <w:t xml:space="preserve"> </w:t>
            </w:r>
            <w:r w:rsidRPr="00F87F93">
              <w:rPr>
                <w:b/>
              </w:rPr>
              <w:t>and</w:t>
            </w:r>
            <w:r w:rsidR="00085832" w:rsidRPr="00F87F93">
              <w:rPr>
                <w:b/>
              </w:rPr>
              <w:t xml:space="preserve"> </w:t>
            </w:r>
            <w:r w:rsidRPr="00F87F93">
              <w:rPr>
                <w:b/>
              </w:rPr>
              <w:t>addiction services (DHB and</w:t>
            </w:r>
            <w:r w:rsidR="00085832" w:rsidRPr="00F87F93">
              <w:rPr>
                <w:b/>
              </w:rPr>
              <w:t xml:space="preserve"> </w:t>
            </w:r>
            <w:r w:rsidRPr="00F87F93">
              <w:rPr>
                <w:b/>
              </w:rPr>
              <w:t>NGO</w:t>
            </w:r>
            <w:r w:rsidR="006E73C7" w:rsidRPr="00F87F93">
              <w:rPr>
                <w:b/>
              </w:rPr>
              <w:t xml:space="preserve"> </w:t>
            </w:r>
            <w:r w:rsidRPr="00F87F93">
              <w:rPr>
                <w:b/>
              </w:rPr>
              <w:t>services) by priority DHBs*</w:t>
            </w:r>
          </w:p>
        </w:tc>
      </w:tr>
      <w:tr w:rsidR="00EF595D" w:rsidRPr="009E1E57" w:rsidTr="00F87F93">
        <w:trPr>
          <w:cantSplit/>
        </w:trPr>
        <w:tc>
          <w:tcPr>
            <w:tcW w:w="2410" w:type="dxa"/>
            <w:vMerge/>
            <w:tcBorders>
              <w:left w:val="nil"/>
            </w:tcBorders>
            <w:shd w:val="clear" w:color="auto" w:fill="auto"/>
          </w:tcPr>
          <w:p w:rsidR="00EF595D" w:rsidRPr="009E1E57" w:rsidRDefault="00EF595D" w:rsidP="006E73C7">
            <w:pPr>
              <w:pStyle w:val="TableText"/>
            </w:pPr>
          </w:p>
        </w:tc>
        <w:tc>
          <w:tcPr>
            <w:tcW w:w="1701" w:type="dxa"/>
            <w:vMerge/>
            <w:shd w:val="clear" w:color="auto" w:fill="auto"/>
          </w:tcPr>
          <w:p w:rsidR="00EF595D" w:rsidRPr="009E1E57" w:rsidRDefault="00EF595D" w:rsidP="006E73C7">
            <w:pPr>
              <w:pStyle w:val="TableText"/>
            </w:pPr>
          </w:p>
        </w:tc>
        <w:tc>
          <w:tcPr>
            <w:tcW w:w="2410" w:type="dxa"/>
            <w:tcBorders>
              <w:top w:val="single" w:sz="4" w:space="0" w:color="A6A6A6" w:themeColor="background1" w:themeShade="A6"/>
              <w:bottom w:val="single" w:sz="4" w:space="0" w:color="A6A6A6" w:themeColor="background1" w:themeShade="A6"/>
            </w:tcBorders>
            <w:shd w:val="clear" w:color="auto" w:fill="auto"/>
          </w:tcPr>
          <w:p w:rsidR="00EF595D" w:rsidRPr="00F87F93" w:rsidRDefault="00EF595D" w:rsidP="006E73C7">
            <w:pPr>
              <w:pStyle w:val="TableText"/>
              <w:rPr>
                <w:rFonts w:eastAsia="Arial"/>
                <w:b/>
              </w:rPr>
            </w:pPr>
            <w:r w:rsidRPr="00F87F93">
              <w:rPr>
                <w:rFonts w:eastAsia="Arial"/>
                <w:b/>
              </w:rPr>
              <w:t>District health board</w:t>
            </w:r>
          </w:p>
        </w:tc>
        <w:tc>
          <w:tcPr>
            <w:tcW w:w="1417" w:type="dxa"/>
            <w:tcBorders>
              <w:top w:val="single" w:sz="4" w:space="0" w:color="A6A6A6" w:themeColor="background1" w:themeShade="A6"/>
              <w:bottom w:val="single" w:sz="4" w:space="0" w:color="A6A6A6" w:themeColor="background1" w:themeShade="A6"/>
            </w:tcBorders>
            <w:shd w:val="clear" w:color="auto" w:fill="auto"/>
          </w:tcPr>
          <w:p w:rsidR="00EF595D" w:rsidRPr="00F87F93" w:rsidRDefault="00EF595D" w:rsidP="00F87F93">
            <w:pPr>
              <w:pStyle w:val="TableText"/>
              <w:jc w:val="center"/>
              <w:rPr>
                <w:b/>
              </w:rPr>
            </w:pPr>
            <w:r w:rsidRPr="00F87F93">
              <w:rPr>
                <w:b/>
              </w:rPr>
              <w:t>Total percent</w:t>
            </w:r>
            <w:r w:rsidR="00F87F93">
              <w:rPr>
                <w:b/>
              </w:rPr>
              <w:br/>
            </w:r>
            <w:r w:rsidRPr="00F87F93">
              <w:rPr>
                <w:b/>
              </w:rPr>
              <w:t>Pacific</w:t>
            </w:r>
          </w:p>
        </w:tc>
        <w:tc>
          <w:tcPr>
            <w:tcW w:w="1418" w:type="dxa"/>
            <w:tcBorders>
              <w:top w:val="single" w:sz="4" w:space="0" w:color="A6A6A6" w:themeColor="background1" w:themeShade="A6"/>
              <w:left w:val="nil"/>
              <w:bottom w:val="single" w:sz="4" w:space="0" w:color="A6A6A6" w:themeColor="background1" w:themeShade="A6"/>
              <w:right w:val="nil"/>
            </w:tcBorders>
            <w:shd w:val="clear" w:color="auto" w:fill="auto"/>
          </w:tcPr>
          <w:p w:rsidR="00EF595D" w:rsidRPr="00F87F93" w:rsidRDefault="00EF595D" w:rsidP="00F87F93">
            <w:pPr>
              <w:pStyle w:val="TableText"/>
              <w:jc w:val="center"/>
              <w:rPr>
                <w:b/>
              </w:rPr>
            </w:pPr>
            <w:r w:rsidRPr="00F87F93">
              <w:rPr>
                <w:b/>
              </w:rPr>
              <w:t>Total percent</w:t>
            </w:r>
            <w:r w:rsidR="00F87F93">
              <w:rPr>
                <w:b/>
              </w:rPr>
              <w:br/>
            </w:r>
            <w:r w:rsidRPr="00F87F93">
              <w:rPr>
                <w:b/>
              </w:rPr>
              <w:t>New Zealand</w:t>
            </w:r>
          </w:p>
        </w:tc>
      </w:tr>
      <w:tr w:rsidR="00EF595D" w:rsidRPr="009E1E57" w:rsidTr="00F87F93">
        <w:trPr>
          <w:cantSplit/>
        </w:trPr>
        <w:tc>
          <w:tcPr>
            <w:tcW w:w="2410" w:type="dxa"/>
            <w:vMerge/>
            <w:tcBorders>
              <w:left w:val="nil"/>
            </w:tcBorders>
            <w:shd w:val="clear" w:color="auto" w:fill="auto"/>
          </w:tcPr>
          <w:p w:rsidR="00EF595D" w:rsidRPr="009E1E57" w:rsidRDefault="00EF595D" w:rsidP="006E73C7">
            <w:pPr>
              <w:pStyle w:val="TableText"/>
            </w:pPr>
          </w:p>
        </w:tc>
        <w:tc>
          <w:tcPr>
            <w:tcW w:w="1701" w:type="dxa"/>
            <w:vMerge/>
            <w:shd w:val="clear" w:color="auto" w:fill="auto"/>
          </w:tcPr>
          <w:p w:rsidR="00EF595D" w:rsidRPr="009E1E57" w:rsidRDefault="00EF595D" w:rsidP="006E73C7">
            <w:pPr>
              <w:pStyle w:val="TableText"/>
            </w:pPr>
          </w:p>
        </w:tc>
        <w:tc>
          <w:tcPr>
            <w:tcW w:w="2410" w:type="dxa"/>
            <w:tcBorders>
              <w:top w:val="single" w:sz="4" w:space="0" w:color="A6A6A6" w:themeColor="background1" w:themeShade="A6"/>
              <w:bottom w:val="single" w:sz="4" w:space="0" w:color="A6A6A6" w:themeColor="background1" w:themeShade="A6"/>
            </w:tcBorders>
            <w:shd w:val="clear" w:color="auto" w:fill="auto"/>
          </w:tcPr>
          <w:p w:rsidR="00EF595D" w:rsidRPr="009E1E57" w:rsidRDefault="00EF595D" w:rsidP="006E73C7">
            <w:pPr>
              <w:pStyle w:val="TableText"/>
            </w:pPr>
            <w:r w:rsidRPr="009E1E57">
              <w:t>Auckland</w:t>
            </w:r>
          </w:p>
        </w:tc>
        <w:tc>
          <w:tcPr>
            <w:tcW w:w="1417" w:type="dxa"/>
            <w:tcBorders>
              <w:top w:val="single" w:sz="4" w:space="0" w:color="A6A6A6" w:themeColor="background1" w:themeShade="A6"/>
              <w:bottom w:val="single" w:sz="4" w:space="0" w:color="A6A6A6" w:themeColor="background1" w:themeShade="A6"/>
            </w:tcBorders>
            <w:shd w:val="clear" w:color="auto" w:fill="auto"/>
          </w:tcPr>
          <w:p w:rsidR="00EF595D" w:rsidRPr="009E1E57" w:rsidRDefault="00EF595D" w:rsidP="00F87F93">
            <w:pPr>
              <w:pStyle w:val="TableText"/>
              <w:tabs>
                <w:tab w:val="decimal" w:pos="595"/>
              </w:tabs>
            </w:pPr>
            <w:r w:rsidRPr="009E1E57">
              <w:t>4.08</w:t>
            </w:r>
          </w:p>
        </w:tc>
        <w:tc>
          <w:tcPr>
            <w:tcW w:w="1418" w:type="dxa"/>
            <w:tcBorders>
              <w:top w:val="single" w:sz="4" w:space="0" w:color="A6A6A6" w:themeColor="background1" w:themeShade="A6"/>
              <w:left w:val="nil"/>
              <w:bottom w:val="single" w:sz="4" w:space="0" w:color="A6A6A6" w:themeColor="background1" w:themeShade="A6"/>
              <w:right w:val="nil"/>
            </w:tcBorders>
            <w:shd w:val="clear" w:color="auto" w:fill="auto"/>
          </w:tcPr>
          <w:p w:rsidR="00EF595D" w:rsidRPr="009E1E57" w:rsidRDefault="00EF595D" w:rsidP="00F87F93">
            <w:pPr>
              <w:pStyle w:val="TableText"/>
              <w:jc w:val="center"/>
            </w:pPr>
            <w:r w:rsidRPr="009E1E57">
              <w:t>3.67</w:t>
            </w:r>
          </w:p>
        </w:tc>
      </w:tr>
      <w:tr w:rsidR="00EF595D" w:rsidRPr="009E1E57" w:rsidTr="00F87F93">
        <w:trPr>
          <w:cantSplit/>
        </w:trPr>
        <w:tc>
          <w:tcPr>
            <w:tcW w:w="2410" w:type="dxa"/>
            <w:vMerge/>
            <w:tcBorders>
              <w:left w:val="nil"/>
            </w:tcBorders>
            <w:shd w:val="clear" w:color="auto" w:fill="auto"/>
          </w:tcPr>
          <w:p w:rsidR="00EF595D" w:rsidRPr="009E1E57" w:rsidRDefault="00EF595D" w:rsidP="006E73C7">
            <w:pPr>
              <w:pStyle w:val="TableText"/>
            </w:pPr>
          </w:p>
        </w:tc>
        <w:tc>
          <w:tcPr>
            <w:tcW w:w="1701" w:type="dxa"/>
            <w:vMerge/>
            <w:shd w:val="clear" w:color="auto" w:fill="auto"/>
          </w:tcPr>
          <w:p w:rsidR="00EF595D" w:rsidRPr="009E1E57" w:rsidRDefault="00EF595D" w:rsidP="006E73C7">
            <w:pPr>
              <w:pStyle w:val="TableText"/>
            </w:pPr>
          </w:p>
        </w:tc>
        <w:tc>
          <w:tcPr>
            <w:tcW w:w="2410" w:type="dxa"/>
            <w:tcBorders>
              <w:top w:val="single" w:sz="4" w:space="0" w:color="A6A6A6" w:themeColor="background1" w:themeShade="A6"/>
              <w:bottom w:val="single" w:sz="4" w:space="0" w:color="A6A6A6" w:themeColor="background1" w:themeShade="A6"/>
            </w:tcBorders>
            <w:shd w:val="clear" w:color="auto" w:fill="auto"/>
          </w:tcPr>
          <w:p w:rsidR="00EF595D" w:rsidRPr="009E1E57" w:rsidRDefault="00EF595D" w:rsidP="006E73C7">
            <w:pPr>
              <w:pStyle w:val="TableText"/>
            </w:pPr>
            <w:r w:rsidRPr="009E1E57">
              <w:t>Canterbury</w:t>
            </w:r>
          </w:p>
        </w:tc>
        <w:tc>
          <w:tcPr>
            <w:tcW w:w="1417" w:type="dxa"/>
            <w:tcBorders>
              <w:top w:val="single" w:sz="4" w:space="0" w:color="A6A6A6" w:themeColor="background1" w:themeShade="A6"/>
              <w:bottom w:val="single" w:sz="4" w:space="0" w:color="A6A6A6" w:themeColor="background1" w:themeShade="A6"/>
            </w:tcBorders>
            <w:shd w:val="clear" w:color="auto" w:fill="auto"/>
          </w:tcPr>
          <w:p w:rsidR="00EF595D" w:rsidRPr="009E1E57" w:rsidRDefault="00EF595D" w:rsidP="00F87F93">
            <w:pPr>
              <w:pStyle w:val="TableText"/>
              <w:tabs>
                <w:tab w:val="decimal" w:pos="595"/>
              </w:tabs>
            </w:pPr>
            <w:r w:rsidRPr="009E1E57">
              <w:t>2.55</w:t>
            </w:r>
          </w:p>
        </w:tc>
        <w:tc>
          <w:tcPr>
            <w:tcW w:w="1418" w:type="dxa"/>
            <w:tcBorders>
              <w:top w:val="single" w:sz="4" w:space="0" w:color="A6A6A6" w:themeColor="background1" w:themeShade="A6"/>
              <w:left w:val="nil"/>
              <w:bottom w:val="single" w:sz="4" w:space="0" w:color="A6A6A6" w:themeColor="background1" w:themeShade="A6"/>
              <w:right w:val="nil"/>
            </w:tcBorders>
            <w:shd w:val="clear" w:color="auto" w:fill="auto"/>
          </w:tcPr>
          <w:p w:rsidR="00EF595D" w:rsidRPr="009E1E57" w:rsidRDefault="00EF595D" w:rsidP="00F87F93">
            <w:pPr>
              <w:pStyle w:val="TableText"/>
              <w:jc w:val="center"/>
            </w:pPr>
            <w:r w:rsidRPr="009E1E57">
              <w:t>3.14</w:t>
            </w:r>
          </w:p>
        </w:tc>
      </w:tr>
      <w:tr w:rsidR="00EF595D" w:rsidRPr="009E1E57" w:rsidTr="00F87F93">
        <w:trPr>
          <w:cantSplit/>
        </w:trPr>
        <w:tc>
          <w:tcPr>
            <w:tcW w:w="2410" w:type="dxa"/>
            <w:vMerge/>
            <w:tcBorders>
              <w:left w:val="nil"/>
            </w:tcBorders>
            <w:shd w:val="clear" w:color="auto" w:fill="auto"/>
          </w:tcPr>
          <w:p w:rsidR="00EF595D" w:rsidRPr="009E1E57" w:rsidRDefault="00EF595D" w:rsidP="006E73C7">
            <w:pPr>
              <w:pStyle w:val="TableText"/>
            </w:pPr>
          </w:p>
        </w:tc>
        <w:tc>
          <w:tcPr>
            <w:tcW w:w="1701" w:type="dxa"/>
            <w:vMerge/>
            <w:shd w:val="clear" w:color="auto" w:fill="auto"/>
          </w:tcPr>
          <w:p w:rsidR="00EF595D" w:rsidRPr="009E1E57" w:rsidRDefault="00EF595D" w:rsidP="006E73C7">
            <w:pPr>
              <w:pStyle w:val="TableText"/>
            </w:pPr>
          </w:p>
        </w:tc>
        <w:tc>
          <w:tcPr>
            <w:tcW w:w="2410" w:type="dxa"/>
            <w:tcBorders>
              <w:top w:val="single" w:sz="4" w:space="0" w:color="A6A6A6" w:themeColor="background1" w:themeShade="A6"/>
              <w:bottom w:val="single" w:sz="4" w:space="0" w:color="A6A6A6" w:themeColor="background1" w:themeShade="A6"/>
            </w:tcBorders>
            <w:shd w:val="clear" w:color="auto" w:fill="auto"/>
          </w:tcPr>
          <w:p w:rsidR="00EF595D" w:rsidRPr="009E1E57" w:rsidRDefault="00EF595D" w:rsidP="006E73C7">
            <w:pPr>
              <w:pStyle w:val="TableText"/>
            </w:pPr>
            <w:r w:rsidRPr="009E1E57">
              <w:t>Capital</w:t>
            </w:r>
            <w:r w:rsidR="00085832">
              <w:t xml:space="preserve"> </w:t>
            </w:r>
            <w:r w:rsidRPr="009E1E57">
              <w:t>&amp; Coast</w:t>
            </w:r>
          </w:p>
        </w:tc>
        <w:tc>
          <w:tcPr>
            <w:tcW w:w="1417" w:type="dxa"/>
            <w:tcBorders>
              <w:top w:val="single" w:sz="4" w:space="0" w:color="A6A6A6" w:themeColor="background1" w:themeShade="A6"/>
              <w:bottom w:val="single" w:sz="4" w:space="0" w:color="A6A6A6" w:themeColor="background1" w:themeShade="A6"/>
            </w:tcBorders>
            <w:shd w:val="clear" w:color="auto" w:fill="auto"/>
          </w:tcPr>
          <w:p w:rsidR="00EF595D" w:rsidRPr="009E1E57" w:rsidRDefault="00EF595D" w:rsidP="00F87F93">
            <w:pPr>
              <w:pStyle w:val="TableText"/>
              <w:tabs>
                <w:tab w:val="decimal" w:pos="595"/>
              </w:tabs>
            </w:pPr>
            <w:r w:rsidRPr="009E1E57">
              <w:t>3.36</w:t>
            </w:r>
          </w:p>
        </w:tc>
        <w:tc>
          <w:tcPr>
            <w:tcW w:w="1418" w:type="dxa"/>
            <w:tcBorders>
              <w:top w:val="single" w:sz="4" w:space="0" w:color="A6A6A6" w:themeColor="background1" w:themeShade="A6"/>
              <w:left w:val="nil"/>
              <w:bottom w:val="single" w:sz="4" w:space="0" w:color="A6A6A6" w:themeColor="background1" w:themeShade="A6"/>
              <w:right w:val="nil"/>
            </w:tcBorders>
            <w:shd w:val="clear" w:color="auto" w:fill="auto"/>
          </w:tcPr>
          <w:p w:rsidR="00EF595D" w:rsidRPr="009E1E57" w:rsidRDefault="00EF595D" w:rsidP="00F87F93">
            <w:pPr>
              <w:pStyle w:val="TableText"/>
              <w:jc w:val="center"/>
            </w:pPr>
            <w:r w:rsidRPr="009E1E57">
              <w:t>3.25</w:t>
            </w:r>
          </w:p>
        </w:tc>
      </w:tr>
      <w:tr w:rsidR="00EF595D" w:rsidRPr="009E1E57" w:rsidTr="00F87F93">
        <w:trPr>
          <w:cantSplit/>
        </w:trPr>
        <w:tc>
          <w:tcPr>
            <w:tcW w:w="2410" w:type="dxa"/>
            <w:vMerge/>
            <w:tcBorders>
              <w:left w:val="nil"/>
            </w:tcBorders>
            <w:shd w:val="clear" w:color="auto" w:fill="auto"/>
          </w:tcPr>
          <w:p w:rsidR="00EF595D" w:rsidRPr="009E1E57" w:rsidRDefault="00EF595D" w:rsidP="006E73C7">
            <w:pPr>
              <w:pStyle w:val="TableText"/>
            </w:pPr>
          </w:p>
        </w:tc>
        <w:tc>
          <w:tcPr>
            <w:tcW w:w="1701" w:type="dxa"/>
            <w:vMerge/>
            <w:shd w:val="clear" w:color="auto" w:fill="auto"/>
          </w:tcPr>
          <w:p w:rsidR="00EF595D" w:rsidRPr="009E1E57" w:rsidRDefault="00EF595D" w:rsidP="006E73C7">
            <w:pPr>
              <w:pStyle w:val="TableText"/>
            </w:pPr>
          </w:p>
        </w:tc>
        <w:tc>
          <w:tcPr>
            <w:tcW w:w="2410" w:type="dxa"/>
            <w:tcBorders>
              <w:top w:val="single" w:sz="4" w:space="0" w:color="A6A6A6" w:themeColor="background1" w:themeShade="A6"/>
              <w:bottom w:val="single" w:sz="4" w:space="0" w:color="A6A6A6" w:themeColor="background1" w:themeShade="A6"/>
            </w:tcBorders>
            <w:shd w:val="clear" w:color="auto" w:fill="auto"/>
          </w:tcPr>
          <w:p w:rsidR="00EF595D" w:rsidRPr="009E1E57" w:rsidRDefault="00EF595D" w:rsidP="006E73C7">
            <w:pPr>
              <w:pStyle w:val="TableText"/>
            </w:pPr>
            <w:r w:rsidRPr="009E1E57">
              <w:t>Counties Manukau</w:t>
            </w:r>
          </w:p>
        </w:tc>
        <w:tc>
          <w:tcPr>
            <w:tcW w:w="1417" w:type="dxa"/>
            <w:tcBorders>
              <w:top w:val="single" w:sz="4" w:space="0" w:color="A6A6A6" w:themeColor="background1" w:themeShade="A6"/>
              <w:bottom w:val="single" w:sz="4" w:space="0" w:color="A6A6A6" w:themeColor="background1" w:themeShade="A6"/>
            </w:tcBorders>
            <w:shd w:val="clear" w:color="auto" w:fill="auto"/>
          </w:tcPr>
          <w:p w:rsidR="00EF595D" w:rsidRPr="009E1E57" w:rsidRDefault="00EF595D" w:rsidP="00F87F93">
            <w:pPr>
              <w:pStyle w:val="TableText"/>
              <w:tabs>
                <w:tab w:val="decimal" w:pos="595"/>
              </w:tabs>
            </w:pPr>
            <w:r w:rsidRPr="009E1E57">
              <w:t>2.7</w:t>
            </w:r>
            <w:r w:rsidR="00F87F93">
              <w:t>0</w:t>
            </w:r>
          </w:p>
        </w:tc>
        <w:tc>
          <w:tcPr>
            <w:tcW w:w="1418" w:type="dxa"/>
            <w:tcBorders>
              <w:top w:val="single" w:sz="4" w:space="0" w:color="A6A6A6" w:themeColor="background1" w:themeShade="A6"/>
              <w:left w:val="nil"/>
              <w:bottom w:val="single" w:sz="4" w:space="0" w:color="A6A6A6" w:themeColor="background1" w:themeShade="A6"/>
              <w:right w:val="nil"/>
            </w:tcBorders>
            <w:shd w:val="clear" w:color="auto" w:fill="auto"/>
          </w:tcPr>
          <w:p w:rsidR="00EF595D" w:rsidRPr="009E1E57" w:rsidRDefault="00EF595D" w:rsidP="00F87F93">
            <w:pPr>
              <w:pStyle w:val="TableText"/>
              <w:jc w:val="center"/>
            </w:pPr>
            <w:r w:rsidRPr="009E1E57">
              <w:t>3.44</w:t>
            </w:r>
          </w:p>
        </w:tc>
      </w:tr>
      <w:tr w:rsidR="00EF595D" w:rsidRPr="009E1E57" w:rsidTr="00F87F93">
        <w:trPr>
          <w:cantSplit/>
        </w:trPr>
        <w:tc>
          <w:tcPr>
            <w:tcW w:w="2410" w:type="dxa"/>
            <w:vMerge/>
            <w:tcBorders>
              <w:left w:val="nil"/>
            </w:tcBorders>
            <w:shd w:val="clear" w:color="auto" w:fill="auto"/>
          </w:tcPr>
          <w:p w:rsidR="00EF595D" w:rsidRPr="009E1E57" w:rsidRDefault="00EF595D" w:rsidP="006E73C7">
            <w:pPr>
              <w:pStyle w:val="TableText"/>
            </w:pPr>
          </w:p>
        </w:tc>
        <w:tc>
          <w:tcPr>
            <w:tcW w:w="1701" w:type="dxa"/>
            <w:vMerge/>
            <w:shd w:val="clear" w:color="auto" w:fill="auto"/>
          </w:tcPr>
          <w:p w:rsidR="00EF595D" w:rsidRPr="009E1E57" w:rsidRDefault="00EF595D" w:rsidP="006E73C7">
            <w:pPr>
              <w:pStyle w:val="TableText"/>
            </w:pPr>
          </w:p>
        </w:tc>
        <w:tc>
          <w:tcPr>
            <w:tcW w:w="2410" w:type="dxa"/>
            <w:tcBorders>
              <w:top w:val="single" w:sz="4" w:space="0" w:color="A6A6A6" w:themeColor="background1" w:themeShade="A6"/>
              <w:bottom w:val="single" w:sz="4" w:space="0" w:color="A6A6A6" w:themeColor="background1" w:themeShade="A6"/>
            </w:tcBorders>
            <w:shd w:val="clear" w:color="auto" w:fill="auto"/>
          </w:tcPr>
          <w:p w:rsidR="00EF595D" w:rsidRPr="009E1E57" w:rsidRDefault="00EF595D" w:rsidP="006E73C7">
            <w:pPr>
              <w:pStyle w:val="TableText"/>
            </w:pPr>
            <w:r w:rsidRPr="009E1E57">
              <w:t>Hutt Valley</w:t>
            </w:r>
          </w:p>
        </w:tc>
        <w:tc>
          <w:tcPr>
            <w:tcW w:w="1417" w:type="dxa"/>
            <w:tcBorders>
              <w:top w:val="single" w:sz="4" w:space="0" w:color="A6A6A6" w:themeColor="background1" w:themeShade="A6"/>
              <w:bottom w:val="single" w:sz="4" w:space="0" w:color="A6A6A6" w:themeColor="background1" w:themeShade="A6"/>
            </w:tcBorders>
            <w:shd w:val="clear" w:color="auto" w:fill="auto"/>
          </w:tcPr>
          <w:p w:rsidR="00EF595D" w:rsidRPr="009E1E57" w:rsidRDefault="00EF595D" w:rsidP="00F87F93">
            <w:pPr>
              <w:pStyle w:val="TableText"/>
              <w:tabs>
                <w:tab w:val="decimal" w:pos="595"/>
              </w:tabs>
            </w:pPr>
            <w:r w:rsidRPr="009E1E57">
              <w:t>2.89</w:t>
            </w:r>
          </w:p>
        </w:tc>
        <w:tc>
          <w:tcPr>
            <w:tcW w:w="1418" w:type="dxa"/>
            <w:tcBorders>
              <w:top w:val="single" w:sz="4" w:space="0" w:color="A6A6A6" w:themeColor="background1" w:themeShade="A6"/>
              <w:left w:val="nil"/>
              <w:bottom w:val="single" w:sz="4" w:space="0" w:color="A6A6A6" w:themeColor="background1" w:themeShade="A6"/>
              <w:right w:val="nil"/>
            </w:tcBorders>
            <w:shd w:val="clear" w:color="auto" w:fill="auto"/>
          </w:tcPr>
          <w:p w:rsidR="00EF595D" w:rsidRPr="009E1E57" w:rsidRDefault="00EF595D" w:rsidP="00F87F93">
            <w:pPr>
              <w:pStyle w:val="TableText"/>
              <w:jc w:val="center"/>
            </w:pPr>
            <w:r w:rsidRPr="009E1E57">
              <w:t>4.15</w:t>
            </w:r>
          </w:p>
        </w:tc>
      </w:tr>
      <w:tr w:rsidR="00EF595D" w:rsidRPr="009E1E57" w:rsidTr="00F87F93">
        <w:trPr>
          <w:cantSplit/>
        </w:trPr>
        <w:tc>
          <w:tcPr>
            <w:tcW w:w="2410" w:type="dxa"/>
            <w:vMerge/>
            <w:tcBorders>
              <w:left w:val="nil"/>
            </w:tcBorders>
            <w:shd w:val="clear" w:color="auto" w:fill="auto"/>
          </w:tcPr>
          <w:p w:rsidR="00EF595D" w:rsidRPr="009E1E57" w:rsidRDefault="00EF595D" w:rsidP="006E73C7">
            <w:pPr>
              <w:pStyle w:val="TableText"/>
            </w:pPr>
          </w:p>
        </w:tc>
        <w:tc>
          <w:tcPr>
            <w:tcW w:w="1701" w:type="dxa"/>
            <w:vMerge/>
            <w:shd w:val="clear" w:color="auto" w:fill="auto"/>
          </w:tcPr>
          <w:p w:rsidR="00EF595D" w:rsidRPr="009E1E57" w:rsidRDefault="00EF595D" w:rsidP="006E73C7">
            <w:pPr>
              <w:pStyle w:val="TableText"/>
            </w:pPr>
          </w:p>
        </w:tc>
        <w:tc>
          <w:tcPr>
            <w:tcW w:w="2410" w:type="dxa"/>
            <w:tcBorders>
              <w:top w:val="single" w:sz="4" w:space="0" w:color="A6A6A6" w:themeColor="background1" w:themeShade="A6"/>
              <w:bottom w:val="single" w:sz="4" w:space="0" w:color="A6A6A6" w:themeColor="background1" w:themeShade="A6"/>
            </w:tcBorders>
            <w:shd w:val="clear" w:color="auto" w:fill="auto"/>
          </w:tcPr>
          <w:p w:rsidR="00EF595D" w:rsidRPr="009E1E57" w:rsidRDefault="00EF595D" w:rsidP="006E73C7">
            <w:pPr>
              <w:pStyle w:val="TableText"/>
            </w:pPr>
            <w:r w:rsidRPr="009E1E57">
              <w:t>Waikato</w:t>
            </w:r>
          </w:p>
        </w:tc>
        <w:tc>
          <w:tcPr>
            <w:tcW w:w="1417" w:type="dxa"/>
            <w:tcBorders>
              <w:top w:val="single" w:sz="4" w:space="0" w:color="A6A6A6" w:themeColor="background1" w:themeShade="A6"/>
              <w:bottom w:val="single" w:sz="4" w:space="0" w:color="A6A6A6" w:themeColor="background1" w:themeShade="A6"/>
            </w:tcBorders>
            <w:shd w:val="clear" w:color="auto" w:fill="auto"/>
          </w:tcPr>
          <w:p w:rsidR="00EF595D" w:rsidRPr="009E1E57" w:rsidRDefault="00EF595D" w:rsidP="00F87F93">
            <w:pPr>
              <w:pStyle w:val="TableText"/>
              <w:tabs>
                <w:tab w:val="decimal" w:pos="595"/>
              </w:tabs>
            </w:pPr>
            <w:r w:rsidRPr="009E1E57">
              <w:t>3.18</w:t>
            </w:r>
          </w:p>
        </w:tc>
        <w:tc>
          <w:tcPr>
            <w:tcW w:w="1418" w:type="dxa"/>
            <w:tcBorders>
              <w:top w:val="single" w:sz="4" w:space="0" w:color="A6A6A6" w:themeColor="background1" w:themeShade="A6"/>
              <w:left w:val="nil"/>
              <w:bottom w:val="single" w:sz="4" w:space="0" w:color="A6A6A6" w:themeColor="background1" w:themeShade="A6"/>
              <w:right w:val="nil"/>
            </w:tcBorders>
            <w:shd w:val="clear" w:color="auto" w:fill="auto"/>
          </w:tcPr>
          <w:p w:rsidR="00EF595D" w:rsidRPr="009E1E57" w:rsidRDefault="00EF595D" w:rsidP="00F87F93">
            <w:pPr>
              <w:pStyle w:val="TableText"/>
              <w:jc w:val="center"/>
            </w:pPr>
            <w:r w:rsidRPr="009E1E57">
              <w:t>3.66</w:t>
            </w:r>
          </w:p>
        </w:tc>
      </w:tr>
      <w:tr w:rsidR="00EF595D" w:rsidRPr="009E1E57" w:rsidTr="00F87F93">
        <w:trPr>
          <w:cantSplit/>
        </w:trPr>
        <w:tc>
          <w:tcPr>
            <w:tcW w:w="2410" w:type="dxa"/>
            <w:vMerge/>
            <w:tcBorders>
              <w:left w:val="nil"/>
            </w:tcBorders>
            <w:shd w:val="clear" w:color="auto" w:fill="auto"/>
          </w:tcPr>
          <w:p w:rsidR="00EF595D" w:rsidRPr="009E1E57" w:rsidRDefault="00EF595D" w:rsidP="006E73C7">
            <w:pPr>
              <w:pStyle w:val="TableText"/>
            </w:pPr>
          </w:p>
        </w:tc>
        <w:tc>
          <w:tcPr>
            <w:tcW w:w="1701" w:type="dxa"/>
            <w:vMerge/>
            <w:shd w:val="clear" w:color="auto" w:fill="auto"/>
          </w:tcPr>
          <w:p w:rsidR="00EF595D" w:rsidRPr="009E1E57" w:rsidRDefault="00EF595D" w:rsidP="006E73C7">
            <w:pPr>
              <w:pStyle w:val="TableText"/>
            </w:pPr>
          </w:p>
        </w:tc>
        <w:tc>
          <w:tcPr>
            <w:tcW w:w="2410" w:type="dxa"/>
            <w:tcBorders>
              <w:top w:val="single" w:sz="4" w:space="0" w:color="A6A6A6" w:themeColor="background1" w:themeShade="A6"/>
              <w:bottom w:val="single" w:sz="4" w:space="0" w:color="A6A6A6" w:themeColor="background1" w:themeShade="A6"/>
            </w:tcBorders>
            <w:shd w:val="clear" w:color="auto" w:fill="auto"/>
          </w:tcPr>
          <w:p w:rsidR="00EF595D" w:rsidRPr="009E1E57" w:rsidRDefault="00EF595D" w:rsidP="006E73C7">
            <w:pPr>
              <w:pStyle w:val="TableText"/>
            </w:pPr>
            <w:r w:rsidRPr="009E1E57">
              <w:t>Waitemata</w:t>
            </w:r>
          </w:p>
        </w:tc>
        <w:tc>
          <w:tcPr>
            <w:tcW w:w="1417" w:type="dxa"/>
            <w:tcBorders>
              <w:top w:val="single" w:sz="4" w:space="0" w:color="A6A6A6" w:themeColor="background1" w:themeShade="A6"/>
              <w:bottom w:val="single" w:sz="4" w:space="0" w:color="A6A6A6" w:themeColor="background1" w:themeShade="A6"/>
            </w:tcBorders>
            <w:shd w:val="clear" w:color="auto" w:fill="auto"/>
          </w:tcPr>
          <w:p w:rsidR="00EF595D" w:rsidRPr="009E1E57" w:rsidRDefault="00EF595D" w:rsidP="00F87F93">
            <w:pPr>
              <w:pStyle w:val="TableText"/>
              <w:tabs>
                <w:tab w:val="decimal" w:pos="595"/>
              </w:tabs>
            </w:pPr>
            <w:r w:rsidRPr="009E1E57">
              <w:t>3.06</w:t>
            </w:r>
          </w:p>
        </w:tc>
        <w:tc>
          <w:tcPr>
            <w:tcW w:w="1418" w:type="dxa"/>
            <w:tcBorders>
              <w:top w:val="single" w:sz="4" w:space="0" w:color="A6A6A6" w:themeColor="background1" w:themeShade="A6"/>
              <w:left w:val="nil"/>
              <w:bottom w:val="single" w:sz="4" w:space="0" w:color="A6A6A6" w:themeColor="background1" w:themeShade="A6"/>
              <w:right w:val="nil"/>
            </w:tcBorders>
            <w:shd w:val="clear" w:color="auto" w:fill="auto"/>
          </w:tcPr>
          <w:p w:rsidR="00EF595D" w:rsidRPr="009E1E57" w:rsidRDefault="00EF595D" w:rsidP="00F87F93">
            <w:pPr>
              <w:pStyle w:val="TableText"/>
              <w:jc w:val="center"/>
            </w:pPr>
            <w:r w:rsidRPr="009E1E57">
              <w:t>3.1</w:t>
            </w:r>
            <w:r w:rsidR="00F87F93">
              <w:t>0</w:t>
            </w:r>
          </w:p>
        </w:tc>
      </w:tr>
      <w:tr w:rsidR="00F87F93" w:rsidRPr="009E1E57" w:rsidTr="00F87F93">
        <w:trPr>
          <w:cantSplit/>
        </w:trPr>
        <w:tc>
          <w:tcPr>
            <w:tcW w:w="2410" w:type="dxa"/>
            <w:vMerge/>
            <w:tcBorders>
              <w:left w:val="nil"/>
            </w:tcBorders>
            <w:shd w:val="clear" w:color="auto" w:fill="auto"/>
          </w:tcPr>
          <w:p w:rsidR="00EF595D" w:rsidRPr="009E1E57" w:rsidRDefault="00EF595D" w:rsidP="006E73C7">
            <w:pPr>
              <w:pStyle w:val="TableText"/>
            </w:pPr>
          </w:p>
        </w:tc>
        <w:tc>
          <w:tcPr>
            <w:tcW w:w="1701" w:type="dxa"/>
            <w:vMerge/>
            <w:shd w:val="clear" w:color="auto" w:fill="auto"/>
          </w:tcPr>
          <w:p w:rsidR="00EF595D" w:rsidRPr="009E1E57" w:rsidRDefault="00EF595D" w:rsidP="006E73C7">
            <w:pPr>
              <w:pStyle w:val="TableText"/>
            </w:pPr>
          </w:p>
        </w:tc>
        <w:tc>
          <w:tcPr>
            <w:tcW w:w="2410" w:type="dxa"/>
            <w:tcBorders>
              <w:top w:val="single" w:sz="4" w:space="0" w:color="A6A6A6" w:themeColor="background1" w:themeShade="A6"/>
              <w:bottom w:val="single" w:sz="4" w:space="0" w:color="A6A6A6" w:themeColor="background1" w:themeShade="A6"/>
            </w:tcBorders>
            <w:shd w:val="clear" w:color="auto" w:fill="F2F2F2" w:themeFill="background1" w:themeFillShade="F2"/>
          </w:tcPr>
          <w:p w:rsidR="00EF595D" w:rsidRPr="00F87F93" w:rsidRDefault="00EF595D" w:rsidP="006E73C7">
            <w:pPr>
              <w:pStyle w:val="TableText"/>
              <w:rPr>
                <w:rFonts w:eastAsia="Arial"/>
                <w:b/>
              </w:rPr>
            </w:pPr>
            <w:r w:rsidRPr="00F87F93">
              <w:rPr>
                <w:rFonts w:eastAsia="Arial"/>
                <w:b/>
              </w:rPr>
              <w:t>Total</w:t>
            </w:r>
          </w:p>
        </w:tc>
        <w:tc>
          <w:tcPr>
            <w:tcW w:w="1417" w:type="dxa"/>
            <w:tcBorders>
              <w:top w:val="single" w:sz="4" w:space="0" w:color="A6A6A6" w:themeColor="background1" w:themeShade="A6"/>
              <w:bottom w:val="single" w:sz="4" w:space="0" w:color="A6A6A6" w:themeColor="background1" w:themeShade="A6"/>
            </w:tcBorders>
            <w:shd w:val="clear" w:color="auto" w:fill="F2F2F2" w:themeFill="background1" w:themeFillShade="F2"/>
          </w:tcPr>
          <w:p w:rsidR="00EF595D" w:rsidRPr="00F87F93" w:rsidRDefault="00EF595D" w:rsidP="00F87F93">
            <w:pPr>
              <w:pStyle w:val="TableText"/>
              <w:tabs>
                <w:tab w:val="decimal" w:pos="595"/>
              </w:tabs>
              <w:rPr>
                <w:rFonts w:eastAsia="Arial"/>
                <w:b/>
                <w:sz w:val="10"/>
                <w:szCs w:val="10"/>
              </w:rPr>
            </w:pPr>
            <w:r w:rsidRPr="00F87F93">
              <w:rPr>
                <w:rFonts w:eastAsia="Arial"/>
                <w:b/>
              </w:rPr>
              <w:t>3.11</w:t>
            </w:r>
            <w:r w:rsidRPr="00F87F93">
              <w:rPr>
                <w:rFonts w:eastAsia="Arial"/>
                <w:vertAlign w:val="superscript"/>
              </w:rPr>
              <w:t>#</w:t>
            </w:r>
          </w:p>
        </w:tc>
        <w:tc>
          <w:tcPr>
            <w:tcW w:w="1418" w:type="dxa"/>
            <w:tcBorders>
              <w:top w:val="single" w:sz="4" w:space="0" w:color="A6A6A6" w:themeColor="background1" w:themeShade="A6"/>
              <w:left w:val="nil"/>
              <w:bottom w:val="single" w:sz="4" w:space="0" w:color="A6A6A6" w:themeColor="background1" w:themeShade="A6"/>
              <w:right w:val="nil"/>
            </w:tcBorders>
            <w:shd w:val="clear" w:color="auto" w:fill="F2F2F2" w:themeFill="background1" w:themeFillShade="F2"/>
          </w:tcPr>
          <w:p w:rsidR="00EF595D" w:rsidRPr="00F87F93" w:rsidRDefault="00EF595D" w:rsidP="00F87F93">
            <w:pPr>
              <w:pStyle w:val="TableText"/>
              <w:jc w:val="center"/>
              <w:rPr>
                <w:rFonts w:eastAsia="Arial"/>
                <w:b/>
              </w:rPr>
            </w:pPr>
            <w:r w:rsidRPr="00F87F93">
              <w:rPr>
                <w:rFonts w:eastAsia="Arial"/>
                <w:b/>
              </w:rPr>
              <w:t>3.46</w:t>
            </w:r>
          </w:p>
        </w:tc>
      </w:tr>
      <w:tr w:rsidR="00EF595D" w:rsidRPr="009E1E57" w:rsidTr="00F87F93">
        <w:trPr>
          <w:cantSplit/>
        </w:trPr>
        <w:tc>
          <w:tcPr>
            <w:tcW w:w="2410" w:type="dxa"/>
            <w:vMerge/>
            <w:tcBorders>
              <w:left w:val="nil"/>
            </w:tcBorders>
            <w:shd w:val="clear" w:color="auto" w:fill="auto"/>
          </w:tcPr>
          <w:p w:rsidR="00EF595D" w:rsidRPr="009E1E57" w:rsidRDefault="00EF595D" w:rsidP="006E73C7">
            <w:pPr>
              <w:pStyle w:val="TableText"/>
            </w:pPr>
          </w:p>
        </w:tc>
        <w:tc>
          <w:tcPr>
            <w:tcW w:w="1701" w:type="dxa"/>
            <w:vMerge/>
            <w:shd w:val="clear" w:color="auto" w:fill="auto"/>
          </w:tcPr>
          <w:p w:rsidR="00EF595D" w:rsidRPr="009E1E57" w:rsidRDefault="00EF595D" w:rsidP="006E73C7">
            <w:pPr>
              <w:pStyle w:val="TableText"/>
            </w:pPr>
          </w:p>
        </w:tc>
        <w:tc>
          <w:tcPr>
            <w:tcW w:w="5245" w:type="dxa"/>
            <w:gridSpan w:val="3"/>
            <w:tcBorders>
              <w:top w:val="single" w:sz="4" w:space="0" w:color="A6A6A6" w:themeColor="background1" w:themeShade="A6"/>
              <w:right w:val="nil"/>
            </w:tcBorders>
            <w:shd w:val="clear" w:color="auto" w:fill="auto"/>
          </w:tcPr>
          <w:p w:rsidR="00EF595D" w:rsidRPr="00F87F93" w:rsidRDefault="00EF595D" w:rsidP="00F87F93">
            <w:pPr>
              <w:pStyle w:val="TableText"/>
              <w:ind w:left="284" w:hanging="284"/>
              <w:rPr>
                <w:sz w:val="16"/>
                <w:szCs w:val="16"/>
              </w:rPr>
            </w:pPr>
            <w:r w:rsidRPr="00F87F93">
              <w:rPr>
                <w:sz w:val="16"/>
                <w:szCs w:val="16"/>
              </w:rPr>
              <w:t>*</w:t>
            </w:r>
            <w:r w:rsidR="00F87F93" w:rsidRPr="00F87F93">
              <w:rPr>
                <w:sz w:val="16"/>
                <w:szCs w:val="16"/>
              </w:rPr>
              <w:tab/>
            </w:r>
            <w:r w:rsidRPr="00F87F93">
              <w:rPr>
                <w:sz w:val="16"/>
                <w:szCs w:val="16"/>
              </w:rPr>
              <w:t>The Ministry of Health has</w:t>
            </w:r>
            <w:r w:rsidR="00085832" w:rsidRPr="00F87F93">
              <w:rPr>
                <w:sz w:val="16"/>
                <w:szCs w:val="16"/>
              </w:rPr>
              <w:t xml:space="preserve"> </w:t>
            </w:r>
            <w:r w:rsidRPr="00F87F93">
              <w:rPr>
                <w:sz w:val="16"/>
                <w:szCs w:val="16"/>
              </w:rPr>
              <w:t>prioritised seven DHBs with the largest Pacific populations (Auckland, Canterbury, Capital</w:t>
            </w:r>
            <w:r w:rsidR="00085832" w:rsidRPr="00F87F93">
              <w:rPr>
                <w:sz w:val="16"/>
                <w:szCs w:val="16"/>
              </w:rPr>
              <w:t xml:space="preserve"> </w:t>
            </w:r>
            <w:r w:rsidRPr="00F87F93">
              <w:rPr>
                <w:sz w:val="16"/>
                <w:szCs w:val="16"/>
              </w:rPr>
              <w:t>&amp; Coast, Counties Manukau, Hutt Valley, Waikato</w:t>
            </w:r>
            <w:r w:rsidR="00085832" w:rsidRPr="00F87F93">
              <w:rPr>
                <w:sz w:val="16"/>
                <w:szCs w:val="16"/>
              </w:rPr>
              <w:t xml:space="preserve"> </w:t>
            </w:r>
            <w:r w:rsidRPr="00F87F93">
              <w:rPr>
                <w:sz w:val="16"/>
                <w:szCs w:val="16"/>
              </w:rPr>
              <w:t>and</w:t>
            </w:r>
            <w:r w:rsidR="00085832" w:rsidRPr="00F87F93">
              <w:rPr>
                <w:sz w:val="16"/>
                <w:szCs w:val="16"/>
              </w:rPr>
              <w:t xml:space="preserve"> </w:t>
            </w:r>
            <w:r w:rsidRPr="00F87F93">
              <w:rPr>
                <w:sz w:val="16"/>
                <w:szCs w:val="16"/>
              </w:rPr>
              <w:t>Waitemata</w:t>
            </w:r>
            <w:r w:rsidR="00F87F93" w:rsidRPr="00F87F93">
              <w:rPr>
                <w:sz w:val="16"/>
                <w:szCs w:val="16"/>
              </w:rPr>
              <w:t>.</w:t>
            </w:r>
          </w:p>
          <w:p w:rsidR="00EF595D" w:rsidRPr="009E1E57" w:rsidRDefault="00EF595D" w:rsidP="00F87F93">
            <w:pPr>
              <w:pStyle w:val="TableText"/>
              <w:ind w:left="284" w:hanging="284"/>
            </w:pPr>
            <w:r w:rsidRPr="00F87F93">
              <w:rPr>
                <w:rFonts w:eastAsia="Arial"/>
                <w:sz w:val="16"/>
                <w:szCs w:val="16"/>
              </w:rPr>
              <w:t>#</w:t>
            </w:r>
            <w:r w:rsidR="00F87F93" w:rsidRPr="00F87F93">
              <w:rPr>
                <w:rFonts w:eastAsia="Arial"/>
                <w:sz w:val="16"/>
                <w:szCs w:val="16"/>
              </w:rPr>
              <w:tab/>
            </w:r>
            <w:r w:rsidRPr="00F87F93">
              <w:rPr>
                <w:sz w:val="16"/>
                <w:szCs w:val="16"/>
              </w:rPr>
              <w:t>The total percent Pacific is for the priority DHBs only and</w:t>
            </w:r>
            <w:r w:rsidR="00085832" w:rsidRPr="00F87F93">
              <w:rPr>
                <w:sz w:val="16"/>
                <w:szCs w:val="16"/>
              </w:rPr>
              <w:t xml:space="preserve"> </w:t>
            </w:r>
            <w:r w:rsidRPr="00F87F93">
              <w:rPr>
                <w:sz w:val="16"/>
                <w:szCs w:val="16"/>
              </w:rPr>
              <w:t>is not the national</w:t>
            </w:r>
            <w:r w:rsidR="00085832" w:rsidRPr="00F87F93">
              <w:rPr>
                <w:sz w:val="16"/>
                <w:szCs w:val="16"/>
              </w:rPr>
              <w:t xml:space="preserve"> </w:t>
            </w:r>
            <w:r w:rsidRPr="00F87F93">
              <w:rPr>
                <w:sz w:val="16"/>
                <w:szCs w:val="16"/>
              </w:rPr>
              <w:t>total.</w:t>
            </w:r>
          </w:p>
        </w:tc>
      </w:tr>
      <w:tr w:rsidR="00EF595D" w:rsidRPr="009E1E57" w:rsidTr="00F87F93">
        <w:trPr>
          <w:cantSplit/>
        </w:trPr>
        <w:tc>
          <w:tcPr>
            <w:tcW w:w="2410" w:type="dxa"/>
            <w:vMerge/>
            <w:tcBorders>
              <w:left w:val="nil"/>
            </w:tcBorders>
            <w:shd w:val="clear" w:color="auto" w:fill="auto"/>
          </w:tcPr>
          <w:p w:rsidR="00EF595D" w:rsidRPr="009E1E57" w:rsidRDefault="00EF595D" w:rsidP="006E73C7">
            <w:pPr>
              <w:pStyle w:val="TableText"/>
            </w:pPr>
          </w:p>
        </w:tc>
        <w:tc>
          <w:tcPr>
            <w:tcW w:w="1701" w:type="dxa"/>
            <w:vMerge/>
            <w:shd w:val="clear" w:color="auto" w:fill="auto"/>
          </w:tcPr>
          <w:p w:rsidR="00EF595D" w:rsidRPr="009E1E57" w:rsidRDefault="00EF595D" w:rsidP="006E73C7">
            <w:pPr>
              <w:pStyle w:val="TableText"/>
            </w:pPr>
          </w:p>
        </w:tc>
        <w:tc>
          <w:tcPr>
            <w:tcW w:w="5245" w:type="dxa"/>
            <w:gridSpan w:val="3"/>
            <w:tcBorders>
              <w:bottom w:val="single" w:sz="4" w:space="0" w:color="A6A6A6" w:themeColor="background1" w:themeShade="A6"/>
              <w:right w:val="nil"/>
            </w:tcBorders>
            <w:shd w:val="clear" w:color="auto" w:fill="auto"/>
          </w:tcPr>
          <w:p w:rsidR="00EF595D" w:rsidRPr="00F87F93" w:rsidRDefault="00EF595D" w:rsidP="00F87F93">
            <w:pPr>
              <w:pStyle w:val="TableText"/>
              <w:rPr>
                <w:b/>
              </w:rPr>
            </w:pPr>
            <w:r w:rsidRPr="00F87F93">
              <w:rPr>
                <w:b/>
              </w:rPr>
              <w:t>Access to alcohol</w:t>
            </w:r>
            <w:r w:rsidR="00085832" w:rsidRPr="00F87F93">
              <w:rPr>
                <w:b/>
              </w:rPr>
              <w:t xml:space="preserve"> </w:t>
            </w:r>
            <w:r w:rsidRPr="00F87F93">
              <w:rPr>
                <w:b/>
              </w:rPr>
              <w:t>and</w:t>
            </w:r>
            <w:r w:rsidR="00085832" w:rsidRPr="00F87F93">
              <w:rPr>
                <w:b/>
              </w:rPr>
              <w:t xml:space="preserve"> </w:t>
            </w:r>
            <w:r w:rsidRPr="00F87F93">
              <w:rPr>
                <w:b/>
              </w:rPr>
              <w:t>drug services (DHB and</w:t>
            </w:r>
            <w:r w:rsidR="00085832" w:rsidRPr="00F87F93">
              <w:rPr>
                <w:b/>
              </w:rPr>
              <w:t xml:space="preserve"> </w:t>
            </w:r>
            <w:r w:rsidRPr="00F87F93">
              <w:rPr>
                <w:b/>
              </w:rPr>
              <w:t>NGO services) by priority</w:t>
            </w:r>
            <w:r w:rsidR="00F87F93" w:rsidRPr="00F87F93">
              <w:rPr>
                <w:b/>
              </w:rPr>
              <w:t xml:space="preserve"> </w:t>
            </w:r>
            <w:r w:rsidRPr="00F87F93">
              <w:rPr>
                <w:b/>
              </w:rPr>
              <w:t>DHBs</w:t>
            </w:r>
          </w:p>
        </w:tc>
      </w:tr>
      <w:tr w:rsidR="00EF595D" w:rsidRPr="009E1E57" w:rsidTr="00F87F93">
        <w:trPr>
          <w:cantSplit/>
        </w:trPr>
        <w:tc>
          <w:tcPr>
            <w:tcW w:w="2410" w:type="dxa"/>
            <w:vMerge/>
            <w:tcBorders>
              <w:left w:val="nil"/>
            </w:tcBorders>
            <w:shd w:val="clear" w:color="auto" w:fill="auto"/>
          </w:tcPr>
          <w:p w:rsidR="00EF595D" w:rsidRPr="009E1E57" w:rsidRDefault="00EF595D" w:rsidP="006E73C7">
            <w:pPr>
              <w:pStyle w:val="TableText"/>
            </w:pPr>
          </w:p>
        </w:tc>
        <w:tc>
          <w:tcPr>
            <w:tcW w:w="1701" w:type="dxa"/>
            <w:vMerge/>
            <w:shd w:val="clear" w:color="auto" w:fill="auto"/>
          </w:tcPr>
          <w:p w:rsidR="00EF595D" w:rsidRPr="009E1E57" w:rsidRDefault="00EF595D" w:rsidP="006E73C7">
            <w:pPr>
              <w:pStyle w:val="TableText"/>
            </w:pPr>
          </w:p>
        </w:tc>
        <w:tc>
          <w:tcPr>
            <w:tcW w:w="2410" w:type="dxa"/>
            <w:tcBorders>
              <w:top w:val="single" w:sz="4" w:space="0" w:color="A6A6A6" w:themeColor="background1" w:themeShade="A6"/>
              <w:bottom w:val="single" w:sz="4" w:space="0" w:color="A6A6A6" w:themeColor="background1" w:themeShade="A6"/>
            </w:tcBorders>
            <w:shd w:val="clear" w:color="auto" w:fill="auto"/>
          </w:tcPr>
          <w:p w:rsidR="00EF595D" w:rsidRPr="00F87F93" w:rsidRDefault="00EF595D" w:rsidP="006E73C7">
            <w:pPr>
              <w:pStyle w:val="TableText"/>
              <w:rPr>
                <w:rFonts w:eastAsia="Arial"/>
                <w:b/>
              </w:rPr>
            </w:pPr>
            <w:r w:rsidRPr="00F87F93">
              <w:rPr>
                <w:rFonts w:eastAsia="Arial"/>
                <w:b/>
              </w:rPr>
              <w:t>District health board</w:t>
            </w:r>
          </w:p>
        </w:tc>
        <w:tc>
          <w:tcPr>
            <w:tcW w:w="1417" w:type="dxa"/>
            <w:tcBorders>
              <w:top w:val="single" w:sz="4" w:space="0" w:color="A6A6A6" w:themeColor="background1" w:themeShade="A6"/>
              <w:bottom w:val="single" w:sz="4" w:space="0" w:color="A6A6A6" w:themeColor="background1" w:themeShade="A6"/>
            </w:tcBorders>
            <w:shd w:val="clear" w:color="auto" w:fill="auto"/>
          </w:tcPr>
          <w:p w:rsidR="00EF595D" w:rsidRPr="00F87F93" w:rsidRDefault="00EF595D" w:rsidP="00F87F93">
            <w:pPr>
              <w:pStyle w:val="TableText"/>
              <w:jc w:val="center"/>
              <w:rPr>
                <w:b/>
              </w:rPr>
            </w:pPr>
            <w:r w:rsidRPr="00F87F93">
              <w:rPr>
                <w:b/>
              </w:rPr>
              <w:t>Total percent Pacific</w:t>
            </w:r>
          </w:p>
        </w:tc>
        <w:tc>
          <w:tcPr>
            <w:tcW w:w="1418" w:type="dxa"/>
            <w:tcBorders>
              <w:top w:val="single" w:sz="4" w:space="0" w:color="A6A6A6" w:themeColor="background1" w:themeShade="A6"/>
              <w:bottom w:val="single" w:sz="4" w:space="0" w:color="A6A6A6" w:themeColor="background1" w:themeShade="A6"/>
              <w:right w:val="nil"/>
            </w:tcBorders>
            <w:shd w:val="clear" w:color="auto" w:fill="auto"/>
          </w:tcPr>
          <w:p w:rsidR="00EF595D" w:rsidRPr="00F87F93" w:rsidRDefault="00EF595D" w:rsidP="00F87F93">
            <w:pPr>
              <w:pStyle w:val="TableText"/>
              <w:jc w:val="center"/>
              <w:rPr>
                <w:b/>
              </w:rPr>
            </w:pPr>
            <w:r w:rsidRPr="00F87F93">
              <w:rPr>
                <w:b/>
              </w:rPr>
              <w:t>Total percent New Zealand</w:t>
            </w:r>
          </w:p>
        </w:tc>
      </w:tr>
      <w:tr w:rsidR="00EF595D" w:rsidRPr="009E1E57" w:rsidTr="00F87F93">
        <w:trPr>
          <w:cantSplit/>
        </w:trPr>
        <w:tc>
          <w:tcPr>
            <w:tcW w:w="2410" w:type="dxa"/>
            <w:vMerge/>
            <w:tcBorders>
              <w:left w:val="nil"/>
            </w:tcBorders>
            <w:shd w:val="clear" w:color="auto" w:fill="auto"/>
          </w:tcPr>
          <w:p w:rsidR="00EF595D" w:rsidRPr="009E1E57" w:rsidRDefault="00EF595D" w:rsidP="006E73C7">
            <w:pPr>
              <w:pStyle w:val="TableText"/>
            </w:pPr>
          </w:p>
        </w:tc>
        <w:tc>
          <w:tcPr>
            <w:tcW w:w="1701" w:type="dxa"/>
            <w:vMerge/>
            <w:shd w:val="clear" w:color="auto" w:fill="auto"/>
          </w:tcPr>
          <w:p w:rsidR="00EF595D" w:rsidRPr="009E1E57" w:rsidRDefault="00EF595D" w:rsidP="006E73C7">
            <w:pPr>
              <w:pStyle w:val="TableText"/>
            </w:pPr>
          </w:p>
        </w:tc>
        <w:tc>
          <w:tcPr>
            <w:tcW w:w="2410" w:type="dxa"/>
            <w:tcBorders>
              <w:top w:val="single" w:sz="4" w:space="0" w:color="A6A6A6" w:themeColor="background1" w:themeShade="A6"/>
              <w:bottom w:val="single" w:sz="4" w:space="0" w:color="A6A6A6" w:themeColor="background1" w:themeShade="A6"/>
            </w:tcBorders>
            <w:shd w:val="clear" w:color="auto" w:fill="auto"/>
          </w:tcPr>
          <w:p w:rsidR="00EF595D" w:rsidRPr="009E1E57" w:rsidRDefault="00EF595D" w:rsidP="006E73C7">
            <w:pPr>
              <w:pStyle w:val="TableText"/>
            </w:pPr>
            <w:r w:rsidRPr="009E1E57">
              <w:t>Auckland</w:t>
            </w:r>
          </w:p>
        </w:tc>
        <w:tc>
          <w:tcPr>
            <w:tcW w:w="1417" w:type="dxa"/>
            <w:tcBorders>
              <w:top w:val="single" w:sz="4" w:space="0" w:color="A6A6A6" w:themeColor="background1" w:themeShade="A6"/>
              <w:bottom w:val="single" w:sz="4" w:space="0" w:color="A6A6A6" w:themeColor="background1" w:themeShade="A6"/>
            </w:tcBorders>
            <w:shd w:val="clear" w:color="auto" w:fill="auto"/>
          </w:tcPr>
          <w:p w:rsidR="00EF595D" w:rsidRPr="009E1E57" w:rsidRDefault="00EF595D" w:rsidP="00F87F93">
            <w:pPr>
              <w:pStyle w:val="TableText"/>
              <w:tabs>
                <w:tab w:val="decimal" w:pos="595"/>
              </w:tabs>
            </w:pPr>
            <w:r w:rsidRPr="009E1E57">
              <w:t>1.9</w:t>
            </w:r>
            <w:r w:rsidR="00F87F93">
              <w:t>0</w:t>
            </w:r>
          </w:p>
        </w:tc>
        <w:tc>
          <w:tcPr>
            <w:tcW w:w="1418" w:type="dxa"/>
            <w:tcBorders>
              <w:top w:val="single" w:sz="4" w:space="0" w:color="A6A6A6" w:themeColor="background1" w:themeShade="A6"/>
              <w:bottom w:val="single" w:sz="4" w:space="0" w:color="A6A6A6" w:themeColor="background1" w:themeShade="A6"/>
              <w:right w:val="nil"/>
            </w:tcBorders>
            <w:shd w:val="clear" w:color="auto" w:fill="auto"/>
          </w:tcPr>
          <w:p w:rsidR="00EF595D" w:rsidRPr="009E1E57" w:rsidRDefault="00EF595D" w:rsidP="00F87F93">
            <w:pPr>
              <w:pStyle w:val="TableText"/>
              <w:tabs>
                <w:tab w:val="decimal" w:pos="595"/>
              </w:tabs>
            </w:pPr>
            <w:r w:rsidRPr="009E1E57">
              <w:t>1.2</w:t>
            </w:r>
            <w:r w:rsidR="00F87F93">
              <w:t>0</w:t>
            </w:r>
          </w:p>
        </w:tc>
      </w:tr>
      <w:tr w:rsidR="00EF595D" w:rsidRPr="009E1E57" w:rsidTr="00F87F93">
        <w:trPr>
          <w:cantSplit/>
        </w:trPr>
        <w:tc>
          <w:tcPr>
            <w:tcW w:w="2410" w:type="dxa"/>
            <w:vMerge/>
            <w:tcBorders>
              <w:left w:val="nil"/>
            </w:tcBorders>
            <w:shd w:val="clear" w:color="auto" w:fill="auto"/>
          </w:tcPr>
          <w:p w:rsidR="00EF595D" w:rsidRPr="009E1E57" w:rsidRDefault="00EF595D" w:rsidP="006E73C7">
            <w:pPr>
              <w:pStyle w:val="TableText"/>
            </w:pPr>
          </w:p>
        </w:tc>
        <w:tc>
          <w:tcPr>
            <w:tcW w:w="1701" w:type="dxa"/>
            <w:vMerge/>
            <w:shd w:val="clear" w:color="auto" w:fill="auto"/>
          </w:tcPr>
          <w:p w:rsidR="00EF595D" w:rsidRPr="009E1E57" w:rsidRDefault="00EF595D" w:rsidP="006E73C7">
            <w:pPr>
              <w:pStyle w:val="TableText"/>
            </w:pPr>
          </w:p>
        </w:tc>
        <w:tc>
          <w:tcPr>
            <w:tcW w:w="2410" w:type="dxa"/>
            <w:tcBorders>
              <w:top w:val="single" w:sz="4" w:space="0" w:color="A6A6A6" w:themeColor="background1" w:themeShade="A6"/>
              <w:bottom w:val="single" w:sz="4" w:space="0" w:color="A6A6A6" w:themeColor="background1" w:themeShade="A6"/>
            </w:tcBorders>
            <w:shd w:val="clear" w:color="auto" w:fill="auto"/>
          </w:tcPr>
          <w:p w:rsidR="00EF595D" w:rsidRPr="009E1E57" w:rsidRDefault="00EF595D" w:rsidP="006E73C7">
            <w:pPr>
              <w:pStyle w:val="TableText"/>
            </w:pPr>
            <w:r w:rsidRPr="009E1E57">
              <w:t>Canterbury</w:t>
            </w:r>
          </w:p>
        </w:tc>
        <w:tc>
          <w:tcPr>
            <w:tcW w:w="1417" w:type="dxa"/>
            <w:tcBorders>
              <w:top w:val="single" w:sz="4" w:space="0" w:color="A6A6A6" w:themeColor="background1" w:themeShade="A6"/>
              <w:bottom w:val="single" w:sz="4" w:space="0" w:color="A6A6A6" w:themeColor="background1" w:themeShade="A6"/>
            </w:tcBorders>
            <w:shd w:val="clear" w:color="auto" w:fill="auto"/>
          </w:tcPr>
          <w:p w:rsidR="00EF595D" w:rsidRPr="009E1E57" w:rsidRDefault="00EF595D" w:rsidP="00F87F93">
            <w:pPr>
              <w:pStyle w:val="TableText"/>
              <w:tabs>
                <w:tab w:val="decimal" w:pos="595"/>
              </w:tabs>
            </w:pPr>
            <w:r w:rsidRPr="009E1E57">
              <w:t>0.72</w:t>
            </w:r>
          </w:p>
        </w:tc>
        <w:tc>
          <w:tcPr>
            <w:tcW w:w="1418" w:type="dxa"/>
            <w:tcBorders>
              <w:top w:val="single" w:sz="4" w:space="0" w:color="A6A6A6" w:themeColor="background1" w:themeShade="A6"/>
              <w:bottom w:val="single" w:sz="4" w:space="0" w:color="A6A6A6" w:themeColor="background1" w:themeShade="A6"/>
              <w:right w:val="nil"/>
            </w:tcBorders>
            <w:shd w:val="clear" w:color="auto" w:fill="auto"/>
          </w:tcPr>
          <w:p w:rsidR="00EF595D" w:rsidRPr="009E1E57" w:rsidRDefault="00EF595D" w:rsidP="00F87F93">
            <w:pPr>
              <w:pStyle w:val="TableText"/>
              <w:tabs>
                <w:tab w:val="decimal" w:pos="595"/>
              </w:tabs>
            </w:pPr>
            <w:r w:rsidRPr="009E1E57">
              <w:t>0.69</w:t>
            </w:r>
          </w:p>
        </w:tc>
      </w:tr>
      <w:tr w:rsidR="00EF595D" w:rsidRPr="009E1E57" w:rsidTr="00F87F93">
        <w:trPr>
          <w:cantSplit/>
        </w:trPr>
        <w:tc>
          <w:tcPr>
            <w:tcW w:w="2410" w:type="dxa"/>
            <w:vMerge/>
            <w:tcBorders>
              <w:left w:val="nil"/>
            </w:tcBorders>
            <w:shd w:val="clear" w:color="auto" w:fill="auto"/>
          </w:tcPr>
          <w:p w:rsidR="00EF595D" w:rsidRPr="009E1E57" w:rsidRDefault="00EF595D" w:rsidP="006E73C7">
            <w:pPr>
              <w:pStyle w:val="TableText"/>
            </w:pPr>
          </w:p>
        </w:tc>
        <w:tc>
          <w:tcPr>
            <w:tcW w:w="1701" w:type="dxa"/>
            <w:vMerge/>
            <w:shd w:val="clear" w:color="auto" w:fill="auto"/>
          </w:tcPr>
          <w:p w:rsidR="00EF595D" w:rsidRPr="009E1E57" w:rsidRDefault="00EF595D" w:rsidP="006E73C7">
            <w:pPr>
              <w:pStyle w:val="TableText"/>
            </w:pPr>
          </w:p>
        </w:tc>
        <w:tc>
          <w:tcPr>
            <w:tcW w:w="2410" w:type="dxa"/>
            <w:tcBorders>
              <w:top w:val="single" w:sz="4" w:space="0" w:color="A6A6A6" w:themeColor="background1" w:themeShade="A6"/>
              <w:bottom w:val="single" w:sz="4" w:space="0" w:color="A6A6A6" w:themeColor="background1" w:themeShade="A6"/>
            </w:tcBorders>
            <w:shd w:val="clear" w:color="auto" w:fill="auto"/>
          </w:tcPr>
          <w:p w:rsidR="00EF595D" w:rsidRPr="009E1E57" w:rsidRDefault="00EF595D" w:rsidP="006E73C7">
            <w:pPr>
              <w:pStyle w:val="TableText"/>
            </w:pPr>
            <w:r w:rsidRPr="009E1E57">
              <w:t>Capital</w:t>
            </w:r>
            <w:r w:rsidR="00085832">
              <w:t xml:space="preserve"> </w:t>
            </w:r>
            <w:r w:rsidRPr="009E1E57">
              <w:t>&amp; Coast</w:t>
            </w:r>
          </w:p>
        </w:tc>
        <w:tc>
          <w:tcPr>
            <w:tcW w:w="1417" w:type="dxa"/>
            <w:tcBorders>
              <w:top w:val="single" w:sz="4" w:space="0" w:color="A6A6A6" w:themeColor="background1" w:themeShade="A6"/>
              <w:bottom w:val="single" w:sz="4" w:space="0" w:color="A6A6A6" w:themeColor="background1" w:themeShade="A6"/>
            </w:tcBorders>
            <w:shd w:val="clear" w:color="auto" w:fill="auto"/>
          </w:tcPr>
          <w:p w:rsidR="00EF595D" w:rsidRPr="009E1E57" w:rsidRDefault="00EF595D" w:rsidP="00F87F93">
            <w:pPr>
              <w:pStyle w:val="TableText"/>
              <w:tabs>
                <w:tab w:val="decimal" w:pos="595"/>
              </w:tabs>
            </w:pPr>
            <w:r w:rsidRPr="009E1E57">
              <w:t>0.99</w:t>
            </w:r>
          </w:p>
        </w:tc>
        <w:tc>
          <w:tcPr>
            <w:tcW w:w="1418" w:type="dxa"/>
            <w:tcBorders>
              <w:top w:val="single" w:sz="4" w:space="0" w:color="A6A6A6" w:themeColor="background1" w:themeShade="A6"/>
              <w:bottom w:val="single" w:sz="4" w:space="0" w:color="A6A6A6" w:themeColor="background1" w:themeShade="A6"/>
              <w:right w:val="nil"/>
            </w:tcBorders>
            <w:shd w:val="clear" w:color="auto" w:fill="auto"/>
          </w:tcPr>
          <w:p w:rsidR="00EF595D" w:rsidRPr="009E1E57" w:rsidRDefault="00EF595D" w:rsidP="00F87F93">
            <w:pPr>
              <w:pStyle w:val="TableText"/>
              <w:tabs>
                <w:tab w:val="decimal" w:pos="595"/>
              </w:tabs>
            </w:pPr>
            <w:r w:rsidRPr="009E1E57">
              <w:t>0.7</w:t>
            </w:r>
            <w:r w:rsidR="00F87F93">
              <w:t>0</w:t>
            </w:r>
          </w:p>
        </w:tc>
      </w:tr>
      <w:tr w:rsidR="00EF595D" w:rsidRPr="009E1E57" w:rsidTr="00F87F93">
        <w:trPr>
          <w:cantSplit/>
        </w:trPr>
        <w:tc>
          <w:tcPr>
            <w:tcW w:w="2410" w:type="dxa"/>
            <w:vMerge/>
            <w:tcBorders>
              <w:left w:val="nil"/>
            </w:tcBorders>
            <w:shd w:val="clear" w:color="auto" w:fill="auto"/>
          </w:tcPr>
          <w:p w:rsidR="00EF595D" w:rsidRPr="009E1E57" w:rsidRDefault="00EF595D" w:rsidP="006E73C7">
            <w:pPr>
              <w:pStyle w:val="TableText"/>
            </w:pPr>
          </w:p>
        </w:tc>
        <w:tc>
          <w:tcPr>
            <w:tcW w:w="1701" w:type="dxa"/>
            <w:vMerge/>
            <w:shd w:val="clear" w:color="auto" w:fill="auto"/>
          </w:tcPr>
          <w:p w:rsidR="00EF595D" w:rsidRPr="009E1E57" w:rsidRDefault="00EF595D" w:rsidP="006E73C7">
            <w:pPr>
              <w:pStyle w:val="TableText"/>
            </w:pPr>
          </w:p>
        </w:tc>
        <w:tc>
          <w:tcPr>
            <w:tcW w:w="2410" w:type="dxa"/>
            <w:tcBorders>
              <w:top w:val="single" w:sz="4" w:space="0" w:color="A6A6A6" w:themeColor="background1" w:themeShade="A6"/>
              <w:bottom w:val="single" w:sz="4" w:space="0" w:color="A6A6A6" w:themeColor="background1" w:themeShade="A6"/>
            </w:tcBorders>
            <w:shd w:val="clear" w:color="auto" w:fill="auto"/>
          </w:tcPr>
          <w:p w:rsidR="00EF595D" w:rsidRPr="009E1E57" w:rsidRDefault="00EF595D" w:rsidP="006E73C7">
            <w:pPr>
              <w:pStyle w:val="TableText"/>
            </w:pPr>
            <w:r w:rsidRPr="009E1E57">
              <w:t>Counties Manukau</w:t>
            </w:r>
          </w:p>
        </w:tc>
        <w:tc>
          <w:tcPr>
            <w:tcW w:w="1417" w:type="dxa"/>
            <w:tcBorders>
              <w:top w:val="single" w:sz="4" w:space="0" w:color="A6A6A6" w:themeColor="background1" w:themeShade="A6"/>
              <w:bottom w:val="single" w:sz="4" w:space="0" w:color="A6A6A6" w:themeColor="background1" w:themeShade="A6"/>
            </w:tcBorders>
            <w:shd w:val="clear" w:color="auto" w:fill="auto"/>
          </w:tcPr>
          <w:p w:rsidR="00EF595D" w:rsidRPr="009E1E57" w:rsidRDefault="00EF595D" w:rsidP="00F87F93">
            <w:pPr>
              <w:pStyle w:val="TableText"/>
              <w:tabs>
                <w:tab w:val="decimal" w:pos="595"/>
              </w:tabs>
            </w:pPr>
            <w:r w:rsidRPr="009E1E57">
              <w:t>0.86</w:t>
            </w:r>
          </w:p>
        </w:tc>
        <w:tc>
          <w:tcPr>
            <w:tcW w:w="1418" w:type="dxa"/>
            <w:tcBorders>
              <w:top w:val="single" w:sz="4" w:space="0" w:color="A6A6A6" w:themeColor="background1" w:themeShade="A6"/>
              <w:bottom w:val="single" w:sz="4" w:space="0" w:color="A6A6A6" w:themeColor="background1" w:themeShade="A6"/>
              <w:right w:val="nil"/>
            </w:tcBorders>
            <w:shd w:val="clear" w:color="auto" w:fill="auto"/>
          </w:tcPr>
          <w:p w:rsidR="00EF595D" w:rsidRPr="009E1E57" w:rsidRDefault="00EF595D" w:rsidP="00F87F93">
            <w:pPr>
              <w:pStyle w:val="TableText"/>
              <w:tabs>
                <w:tab w:val="decimal" w:pos="595"/>
              </w:tabs>
            </w:pPr>
            <w:r w:rsidRPr="009E1E57">
              <w:t>1.05</w:t>
            </w:r>
          </w:p>
        </w:tc>
      </w:tr>
      <w:tr w:rsidR="00EF595D" w:rsidRPr="009E1E57" w:rsidTr="00F87F93">
        <w:trPr>
          <w:cantSplit/>
        </w:trPr>
        <w:tc>
          <w:tcPr>
            <w:tcW w:w="2410" w:type="dxa"/>
            <w:vMerge/>
            <w:tcBorders>
              <w:left w:val="nil"/>
            </w:tcBorders>
            <w:shd w:val="clear" w:color="auto" w:fill="auto"/>
          </w:tcPr>
          <w:p w:rsidR="00EF595D" w:rsidRPr="009E1E57" w:rsidRDefault="00EF595D" w:rsidP="006E73C7">
            <w:pPr>
              <w:pStyle w:val="TableText"/>
            </w:pPr>
          </w:p>
        </w:tc>
        <w:tc>
          <w:tcPr>
            <w:tcW w:w="1701" w:type="dxa"/>
            <w:vMerge/>
            <w:shd w:val="clear" w:color="auto" w:fill="auto"/>
          </w:tcPr>
          <w:p w:rsidR="00EF595D" w:rsidRPr="009E1E57" w:rsidRDefault="00EF595D" w:rsidP="006E73C7">
            <w:pPr>
              <w:pStyle w:val="TableText"/>
            </w:pPr>
          </w:p>
        </w:tc>
        <w:tc>
          <w:tcPr>
            <w:tcW w:w="2410" w:type="dxa"/>
            <w:tcBorders>
              <w:top w:val="single" w:sz="4" w:space="0" w:color="A6A6A6" w:themeColor="background1" w:themeShade="A6"/>
              <w:bottom w:val="single" w:sz="4" w:space="0" w:color="A6A6A6" w:themeColor="background1" w:themeShade="A6"/>
            </w:tcBorders>
            <w:shd w:val="clear" w:color="auto" w:fill="auto"/>
          </w:tcPr>
          <w:p w:rsidR="00EF595D" w:rsidRPr="009E1E57" w:rsidRDefault="00EF595D" w:rsidP="006E73C7">
            <w:pPr>
              <w:pStyle w:val="TableText"/>
            </w:pPr>
            <w:r w:rsidRPr="009E1E57">
              <w:t>Hutt Valley</w:t>
            </w:r>
          </w:p>
        </w:tc>
        <w:tc>
          <w:tcPr>
            <w:tcW w:w="1417" w:type="dxa"/>
            <w:tcBorders>
              <w:top w:val="single" w:sz="4" w:space="0" w:color="A6A6A6" w:themeColor="background1" w:themeShade="A6"/>
              <w:bottom w:val="single" w:sz="4" w:space="0" w:color="A6A6A6" w:themeColor="background1" w:themeShade="A6"/>
            </w:tcBorders>
            <w:shd w:val="clear" w:color="auto" w:fill="auto"/>
          </w:tcPr>
          <w:p w:rsidR="00EF595D" w:rsidRPr="009E1E57" w:rsidRDefault="00EF595D" w:rsidP="00F87F93">
            <w:pPr>
              <w:pStyle w:val="TableText"/>
              <w:tabs>
                <w:tab w:val="decimal" w:pos="595"/>
              </w:tabs>
            </w:pPr>
            <w:r w:rsidRPr="009E1E57">
              <w:t>0.62</w:t>
            </w:r>
          </w:p>
        </w:tc>
        <w:tc>
          <w:tcPr>
            <w:tcW w:w="1418" w:type="dxa"/>
            <w:tcBorders>
              <w:top w:val="single" w:sz="4" w:space="0" w:color="A6A6A6" w:themeColor="background1" w:themeShade="A6"/>
              <w:bottom w:val="single" w:sz="4" w:space="0" w:color="A6A6A6" w:themeColor="background1" w:themeShade="A6"/>
              <w:right w:val="nil"/>
            </w:tcBorders>
            <w:shd w:val="clear" w:color="auto" w:fill="auto"/>
          </w:tcPr>
          <w:p w:rsidR="00EF595D" w:rsidRPr="009E1E57" w:rsidRDefault="00EF595D" w:rsidP="00F87F93">
            <w:pPr>
              <w:pStyle w:val="TableText"/>
              <w:tabs>
                <w:tab w:val="decimal" w:pos="595"/>
              </w:tabs>
            </w:pPr>
            <w:r w:rsidRPr="009E1E57">
              <w:t>0.79</w:t>
            </w:r>
          </w:p>
        </w:tc>
      </w:tr>
      <w:tr w:rsidR="00EF595D" w:rsidRPr="009E1E57" w:rsidTr="00F87F93">
        <w:trPr>
          <w:cantSplit/>
        </w:trPr>
        <w:tc>
          <w:tcPr>
            <w:tcW w:w="2410" w:type="dxa"/>
            <w:vMerge/>
            <w:tcBorders>
              <w:left w:val="nil"/>
            </w:tcBorders>
            <w:shd w:val="clear" w:color="auto" w:fill="auto"/>
          </w:tcPr>
          <w:p w:rsidR="00EF595D" w:rsidRPr="009E1E57" w:rsidRDefault="00EF595D" w:rsidP="006E73C7">
            <w:pPr>
              <w:pStyle w:val="TableText"/>
            </w:pPr>
          </w:p>
        </w:tc>
        <w:tc>
          <w:tcPr>
            <w:tcW w:w="1701" w:type="dxa"/>
            <w:vMerge/>
            <w:shd w:val="clear" w:color="auto" w:fill="auto"/>
          </w:tcPr>
          <w:p w:rsidR="00EF595D" w:rsidRPr="009E1E57" w:rsidRDefault="00EF595D" w:rsidP="006E73C7">
            <w:pPr>
              <w:pStyle w:val="TableText"/>
            </w:pPr>
          </w:p>
        </w:tc>
        <w:tc>
          <w:tcPr>
            <w:tcW w:w="2410" w:type="dxa"/>
            <w:tcBorders>
              <w:top w:val="single" w:sz="4" w:space="0" w:color="A6A6A6" w:themeColor="background1" w:themeShade="A6"/>
              <w:bottom w:val="single" w:sz="4" w:space="0" w:color="A6A6A6" w:themeColor="background1" w:themeShade="A6"/>
            </w:tcBorders>
            <w:shd w:val="clear" w:color="auto" w:fill="auto"/>
          </w:tcPr>
          <w:p w:rsidR="00EF595D" w:rsidRPr="009E1E57" w:rsidRDefault="00EF595D" w:rsidP="006E73C7">
            <w:pPr>
              <w:pStyle w:val="TableText"/>
            </w:pPr>
            <w:r w:rsidRPr="009E1E57">
              <w:t>Waikato</w:t>
            </w:r>
          </w:p>
        </w:tc>
        <w:tc>
          <w:tcPr>
            <w:tcW w:w="1417" w:type="dxa"/>
            <w:tcBorders>
              <w:top w:val="single" w:sz="4" w:space="0" w:color="A6A6A6" w:themeColor="background1" w:themeShade="A6"/>
              <w:bottom w:val="single" w:sz="4" w:space="0" w:color="A6A6A6" w:themeColor="background1" w:themeShade="A6"/>
            </w:tcBorders>
            <w:shd w:val="clear" w:color="auto" w:fill="auto"/>
          </w:tcPr>
          <w:p w:rsidR="00EF595D" w:rsidRPr="009E1E57" w:rsidRDefault="00EF595D" w:rsidP="00F87F93">
            <w:pPr>
              <w:pStyle w:val="TableText"/>
              <w:tabs>
                <w:tab w:val="decimal" w:pos="595"/>
              </w:tabs>
            </w:pPr>
            <w:r w:rsidRPr="009E1E57">
              <w:t>1.02</w:t>
            </w:r>
          </w:p>
        </w:tc>
        <w:tc>
          <w:tcPr>
            <w:tcW w:w="1418" w:type="dxa"/>
            <w:tcBorders>
              <w:top w:val="single" w:sz="4" w:space="0" w:color="A6A6A6" w:themeColor="background1" w:themeShade="A6"/>
              <w:bottom w:val="single" w:sz="4" w:space="0" w:color="A6A6A6" w:themeColor="background1" w:themeShade="A6"/>
              <w:right w:val="nil"/>
            </w:tcBorders>
            <w:shd w:val="clear" w:color="auto" w:fill="auto"/>
          </w:tcPr>
          <w:p w:rsidR="00EF595D" w:rsidRPr="009E1E57" w:rsidRDefault="00EF595D" w:rsidP="00F87F93">
            <w:pPr>
              <w:pStyle w:val="TableText"/>
              <w:tabs>
                <w:tab w:val="decimal" w:pos="595"/>
              </w:tabs>
            </w:pPr>
            <w:r w:rsidRPr="009E1E57">
              <w:t>1.03</w:t>
            </w:r>
          </w:p>
        </w:tc>
      </w:tr>
      <w:tr w:rsidR="00EF595D" w:rsidRPr="009E1E57" w:rsidTr="00F87F93">
        <w:trPr>
          <w:cantSplit/>
        </w:trPr>
        <w:tc>
          <w:tcPr>
            <w:tcW w:w="2410" w:type="dxa"/>
            <w:vMerge/>
            <w:tcBorders>
              <w:left w:val="nil"/>
            </w:tcBorders>
            <w:shd w:val="clear" w:color="auto" w:fill="auto"/>
          </w:tcPr>
          <w:p w:rsidR="00EF595D" w:rsidRPr="009E1E57" w:rsidRDefault="00EF595D" w:rsidP="006E73C7">
            <w:pPr>
              <w:pStyle w:val="TableText"/>
            </w:pPr>
          </w:p>
        </w:tc>
        <w:tc>
          <w:tcPr>
            <w:tcW w:w="1701" w:type="dxa"/>
            <w:vMerge/>
            <w:shd w:val="clear" w:color="auto" w:fill="auto"/>
          </w:tcPr>
          <w:p w:rsidR="00EF595D" w:rsidRPr="009E1E57" w:rsidRDefault="00EF595D" w:rsidP="006E73C7">
            <w:pPr>
              <w:pStyle w:val="TableText"/>
            </w:pPr>
          </w:p>
        </w:tc>
        <w:tc>
          <w:tcPr>
            <w:tcW w:w="2410" w:type="dxa"/>
            <w:tcBorders>
              <w:top w:val="single" w:sz="4" w:space="0" w:color="A6A6A6" w:themeColor="background1" w:themeShade="A6"/>
              <w:bottom w:val="single" w:sz="4" w:space="0" w:color="A6A6A6" w:themeColor="background1" w:themeShade="A6"/>
            </w:tcBorders>
            <w:shd w:val="clear" w:color="auto" w:fill="auto"/>
          </w:tcPr>
          <w:p w:rsidR="00EF595D" w:rsidRPr="009E1E57" w:rsidRDefault="00EF595D" w:rsidP="006E73C7">
            <w:pPr>
              <w:pStyle w:val="TableText"/>
            </w:pPr>
            <w:r w:rsidRPr="009E1E57">
              <w:t>Waitemata</w:t>
            </w:r>
          </w:p>
        </w:tc>
        <w:tc>
          <w:tcPr>
            <w:tcW w:w="1417" w:type="dxa"/>
            <w:tcBorders>
              <w:top w:val="single" w:sz="4" w:space="0" w:color="A6A6A6" w:themeColor="background1" w:themeShade="A6"/>
              <w:bottom w:val="single" w:sz="4" w:space="0" w:color="A6A6A6" w:themeColor="background1" w:themeShade="A6"/>
            </w:tcBorders>
            <w:shd w:val="clear" w:color="auto" w:fill="auto"/>
          </w:tcPr>
          <w:p w:rsidR="00EF595D" w:rsidRPr="009E1E57" w:rsidRDefault="00EF595D" w:rsidP="00F87F93">
            <w:pPr>
              <w:pStyle w:val="TableText"/>
              <w:tabs>
                <w:tab w:val="decimal" w:pos="595"/>
              </w:tabs>
            </w:pPr>
            <w:r w:rsidRPr="009E1E57">
              <w:t>0.95</w:t>
            </w:r>
          </w:p>
        </w:tc>
        <w:tc>
          <w:tcPr>
            <w:tcW w:w="1418" w:type="dxa"/>
            <w:tcBorders>
              <w:top w:val="single" w:sz="4" w:space="0" w:color="A6A6A6" w:themeColor="background1" w:themeShade="A6"/>
              <w:bottom w:val="single" w:sz="4" w:space="0" w:color="A6A6A6" w:themeColor="background1" w:themeShade="A6"/>
              <w:right w:val="nil"/>
            </w:tcBorders>
            <w:shd w:val="clear" w:color="auto" w:fill="auto"/>
          </w:tcPr>
          <w:p w:rsidR="00EF595D" w:rsidRPr="009E1E57" w:rsidRDefault="00EF595D" w:rsidP="00F87F93">
            <w:pPr>
              <w:pStyle w:val="TableText"/>
              <w:tabs>
                <w:tab w:val="decimal" w:pos="595"/>
              </w:tabs>
            </w:pPr>
            <w:r w:rsidRPr="009E1E57">
              <w:t>1.04</w:t>
            </w:r>
          </w:p>
        </w:tc>
      </w:tr>
      <w:tr w:rsidR="00EF595D" w:rsidRPr="009E1E57" w:rsidTr="00F87F93">
        <w:trPr>
          <w:cantSplit/>
        </w:trPr>
        <w:tc>
          <w:tcPr>
            <w:tcW w:w="2410" w:type="dxa"/>
            <w:vMerge/>
            <w:tcBorders>
              <w:left w:val="nil"/>
              <w:bottom w:val="single" w:sz="4" w:space="0" w:color="auto"/>
            </w:tcBorders>
            <w:shd w:val="clear" w:color="auto" w:fill="auto"/>
          </w:tcPr>
          <w:p w:rsidR="00EF595D" w:rsidRPr="009E1E57" w:rsidRDefault="00EF595D" w:rsidP="006E73C7">
            <w:pPr>
              <w:pStyle w:val="TableText"/>
            </w:pPr>
          </w:p>
        </w:tc>
        <w:tc>
          <w:tcPr>
            <w:tcW w:w="1701" w:type="dxa"/>
            <w:vMerge/>
            <w:tcBorders>
              <w:bottom w:val="single" w:sz="4" w:space="0" w:color="auto"/>
            </w:tcBorders>
            <w:shd w:val="clear" w:color="auto" w:fill="auto"/>
          </w:tcPr>
          <w:p w:rsidR="00EF595D" w:rsidRPr="009E1E57" w:rsidRDefault="00EF595D" w:rsidP="006E73C7">
            <w:pPr>
              <w:pStyle w:val="TableText"/>
            </w:pPr>
          </w:p>
        </w:tc>
        <w:tc>
          <w:tcPr>
            <w:tcW w:w="2410" w:type="dxa"/>
            <w:tcBorders>
              <w:top w:val="single" w:sz="4" w:space="0" w:color="A6A6A6" w:themeColor="background1" w:themeShade="A6"/>
              <w:bottom w:val="single" w:sz="4" w:space="0" w:color="auto"/>
            </w:tcBorders>
            <w:shd w:val="clear" w:color="auto" w:fill="F2F2F2" w:themeFill="background1" w:themeFillShade="F2"/>
          </w:tcPr>
          <w:p w:rsidR="00EF595D" w:rsidRPr="00F87F93" w:rsidRDefault="00EF595D" w:rsidP="006E73C7">
            <w:pPr>
              <w:pStyle w:val="TableText"/>
              <w:rPr>
                <w:rFonts w:eastAsia="Arial"/>
                <w:b/>
              </w:rPr>
            </w:pPr>
            <w:r w:rsidRPr="00F87F93">
              <w:rPr>
                <w:rFonts w:eastAsia="Arial"/>
                <w:b/>
              </w:rPr>
              <w:t>Total</w:t>
            </w:r>
          </w:p>
        </w:tc>
        <w:tc>
          <w:tcPr>
            <w:tcW w:w="1417" w:type="dxa"/>
            <w:tcBorders>
              <w:top w:val="single" w:sz="4" w:space="0" w:color="A6A6A6" w:themeColor="background1" w:themeShade="A6"/>
              <w:bottom w:val="single" w:sz="4" w:space="0" w:color="auto"/>
            </w:tcBorders>
            <w:shd w:val="clear" w:color="auto" w:fill="F2F2F2" w:themeFill="background1" w:themeFillShade="F2"/>
          </w:tcPr>
          <w:p w:rsidR="00EF595D" w:rsidRPr="00F87F93" w:rsidRDefault="00EF595D" w:rsidP="00F87F93">
            <w:pPr>
              <w:pStyle w:val="TableText"/>
              <w:tabs>
                <w:tab w:val="decimal" w:pos="595"/>
              </w:tabs>
              <w:rPr>
                <w:rFonts w:eastAsia="Arial"/>
                <w:b/>
              </w:rPr>
            </w:pPr>
            <w:r w:rsidRPr="00F87F93">
              <w:rPr>
                <w:rFonts w:eastAsia="Arial"/>
                <w:b/>
              </w:rPr>
              <w:t>0.9</w:t>
            </w:r>
            <w:r w:rsidR="00F87F93">
              <w:rPr>
                <w:rFonts w:eastAsia="Arial"/>
                <w:b/>
              </w:rPr>
              <w:t>0</w:t>
            </w:r>
          </w:p>
        </w:tc>
        <w:tc>
          <w:tcPr>
            <w:tcW w:w="1418" w:type="dxa"/>
            <w:tcBorders>
              <w:top w:val="single" w:sz="4" w:space="0" w:color="A6A6A6" w:themeColor="background1" w:themeShade="A6"/>
              <w:bottom w:val="single" w:sz="4" w:space="0" w:color="auto"/>
              <w:right w:val="nil"/>
            </w:tcBorders>
            <w:shd w:val="clear" w:color="auto" w:fill="F2F2F2" w:themeFill="background1" w:themeFillShade="F2"/>
          </w:tcPr>
          <w:p w:rsidR="00EF595D" w:rsidRPr="00F87F93" w:rsidRDefault="00EF595D" w:rsidP="00F87F93">
            <w:pPr>
              <w:pStyle w:val="TableText"/>
              <w:tabs>
                <w:tab w:val="decimal" w:pos="595"/>
              </w:tabs>
              <w:rPr>
                <w:rFonts w:eastAsia="Arial"/>
                <w:b/>
              </w:rPr>
            </w:pPr>
            <w:r w:rsidRPr="00F87F93">
              <w:rPr>
                <w:rFonts w:eastAsia="Arial"/>
                <w:b/>
              </w:rPr>
              <w:t>1.03</w:t>
            </w:r>
          </w:p>
        </w:tc>
      </w:tr>
    </w:tbl>
    <w:p w:rsidR="00EF595D" w:rsidRPr="009E1E57" w:rsidRDefault="00EF595D" w:rsidP="00F87F93"/>
    <w:tbl>
      <w:tblPr>
        <w:tblW w:w="9356" w:type="dxa"/>
        <w:tblInd w:w="57" w:type="dxa"/>
        <w:tblLayout w:type="fixed"/>
        <w:tblCellMar>
          <w:left w:w="57" w:type="dxa"/>
          <w:right w:w="57" w:type="dxa"/>
        </w:tblCellMar>
        <w:tblLook w:val="01E0" w:firstRow="1" w:lastRow="1" w:firstColumn="1" w:lastColumn="1" w:noHBand="0" w:noVBand="0"/>
      </w:tblPr>
      <w:tblGrid>
        <w:gridCol w:w="1418"/>
        <w:gridCol w:w="1559"/>
        <w:gridCol w:w="1559"/>
        <w:gridCol w:w="62"/>
        <w:gridCol w:w="961"/>
        <w:gridCol w:w="962"/>
        <w:gridCol w:w="142"/>
        <w:gridCol w:w="141"/>
        <w:gridCol w:w="709"/>
        <w:gridCol w:w="127"/>
        <w:gridCol w:w="865"/>
        <w:gridCol w:w="851"/>
      </w:tblGrid>
      <w:tr w:rsidR="00EF595D" w:rsidRPr="00CA63A1" w:rsidTr="00A37B6C">
        <w:trPr>
          <w:cantSplit/>
        </w:trPr>
        <w:tc>
          <w:tcPr>
            <w:tcW w:w="1418" w:type="dxa"/>
            <w:tcBorders>
              <w:top w:val="single" w:sz="4" w:space="0" w:color="auto"/>
              <w:left w:val="nil"/>
              <w:bottom w:val="single" w:sz="4" w:space="0" w:color="auto"/>
            </w:tcBorders>
            <w:shd w:val="clear" w:color="auto" w:fill="auto"/>
          </w:tcPr>
          <w:p w:rsidR="00EF595D" w:rsidRPr="00CA63A1" w:rsidRDefault="00EF595D" w:rsidP="0084428E">
            <w:pPr>
              <w:pStyle w:val="TableText"/>
              <w:keepNext/>
              <w:rPr>
                <w:rFonts w:eastAsia="Arial"/>
                <w:b/>
              </w:rPr>
            </w:pPr>
            <w:r w:rsidRPr="00CA63A1">
              <w:rPr>
                <w:rFonts w:eastAsia="Arial"/>
                <w:b/>
              </w:rPr>
              <w:t>Action</w:t>
            </w:r>
          </w:p>
        </w:tc>
        <w:tc>
          <w:tcPr>
            <w:tcW w:w="5245" w:type="dxa"/>
            <w:gridSpan w:val="6"/>
            <w:tcBorders>
              <w:top w:val="single" w:sz="4" w:space="0" w:color="auto"/>
              <w:bottom w:val="single" w:sz="4" w:space="0" w:color="auto"/>
            </w:tcBorders>
            <w:shd w:val="clear" w:color="auto" w:fill="auto"/>
          </w:tcPr>
          <w:p w:rsidR="00EF595D" w:rsidRPr="00CA63A1" w:rsidRDefault="00EF595D" w:rsidP="0084428E">
            <w:pPr>
              <w:pStyle w:val="TableText"/>
              <w:keepNext/>
              <w:rPr>
                <w:rFonts w:eastAsia="Arial"/>
                <w:b/>
              </w:rPr>
            </w:pPr>
            <w:r w:rsidRPr="00CA63A1">
              <w:rPr>
                <w:rFonts w:eastAsia="Arial"/>
                <w:b/>
              </w:rPr>
              <w:t>Indicator</w:t>
            </w:r>
          </w:p>
        </w:tc>
        <w:tc>
          <w:tcPr>
            <w:tcW w:w="1842" w:type="dxa"/>
            <w:gridSpan w:val="4"/>
            <w:tcBorders>
              <w:top w:val="single" w:sz="4" w:space="0" w:color="auto"/>
              <w:bottom w:val="single" w:sz="4" w:space="0" w:color="auto"/>
            </w:tcBorders>
            <w:shd w:val="clear" w:color="auto" w:fill="auto"/>
          </w:tcPr>
          <w:p w:rsidR="00EF595D" w:rsidRPr="00CA63A1" w:rsidRDefault="00EF595D" w:rsidP="0084428E">
            <w:pPr>
              <w:pStyle w:val="TableText"/>
              <w:keepNext/>
              <w:jc w:val="center"/>
              <w:rPr>
                <w:b/>
              </w:rPr>
            </w:pPr>
            <w:r w:rsidRPr="00CA63A1">
              <w:rPr>
                <w:b/>
              </w:rPr>
              <w:t xml:space="preserve">Pacific </w:t>
            </w:r>
            <w:r w:rsidRPr="00CA63A1">
              <w:rPr>
                <w:rFonts w:eastAsia="Arial"/>
                <w:b/>
              </w:rPr>
              <w:t>performance</w:t>
            </w:r>
            <w:r w:rsidR="00CA63A1">
              <w:rPr>
                <w:rFonts w:eastAsia="Arial"/>
                <w:b/>
              </w:rPr>
              <w:br/>
            </w:r>
            <w:r w:rsidRPr="00CA63A1">
              <w:rPr>
                <w:b/>
              </w:rPr>
              <w:t>(at 1 May 2014)</w:t>
            </w:r>
          </w:p>
        </w:tc>
        <w:tc>
          <w:tcPr>
            <w:tcW w:w="851" w:type="dxa"/>
            <w:tcBorders>
              <w:top w:val="single" w:sz="4" w:space="0" w:color="auto"/>
              <w:bottom w:val="single" w:sz="4" w:space="0" w:color="auto"/>
              <w:right w:val="nil"/>
            </w:tcBorders>
            <w:shd w:val="clear" w:color="auto" w:fill="auto"/>
          </w:tcPr>
          <w:p w:rsidR="00EF595D" w:rsidRPr="00CA63A1" w:rsidRDefault="00EF595D" w:rsidP="0084428E">
            <w:pPr>
              <w:pStyle w:val="TableText"/>
              <w:keepNext/>
              <w:jc w:val="center"/>
              <w:rPr>
                <w:rFonts w:eastAsia="Arial"/>
                <w:b/>
              </w:rPr>
            </w:pPr>
            <w:r w:rsidRPr="00CA63A1">
              <w:rPr>
                <w:rFonts w:eastAsia="Arial"/>
                <w:b/>
              </w:rPr>
              <w:t>Targets</w:t>
            </w:r>
          </w:p>
        </w:tc>
      </w:tr>
      <w:tr w:rsidR="00EF595D" w:rsidRPr="009E1E57" w:rsidTr="00A37B6C">
        <w:trPr>
          <w:cantSplit/>
        </w:trPr>
        <w:tc>
          <w:tcPr>
            <w:tcW w:w="1418" w:type="dxa"/>
            <w:vMerge w:val="restart"/>
            <w:tcBorders>
              <w:top w:val="single" w:sz="4" w:space="0" w:color="auto"/>
              <w:left w:val="nil"/>
            </w:tcBorders>
            <w:shd w:val="clear" w:color="auto" w:fill="auto"/>
          </w:tcPr>
          <w:p w:rsidR="00EF595D" w:rsidRPr="009E1E57" w:rsidRDefault="00EF595D" w:rsidP="0084428E">
            <w:pPr>
              <w:pStyle w:val="TableText"/>
              <w:keepNext/>
            </w:pPr>
            <w:r w:rsidRPr="009E1E57">
              <w:t>2. Universal maternity and child health services will engage in a more</w:t>
            </w:r>
            <w:r w:rsidR="00085832">
              <w:t xml:space="preserve"> </w:t>
            </w:r>
            <w:r w:rsidRPr="009E1E57">
              <w:t xml:space="preserve">timely </w:t>
            </w:r>
            <w:r w:rsidRPr="009E1E57">
              <w:rPr>
                <w:rFonts w:eastAsia="Arial"/>
              </w:rPr>
              <w:t>manner</w:t>
            </w:r>
            <w:r w:rsidR="00CA63A1">
              <w:rPr>
                <w:rFonts w:eastAsia="Arial"/>
              </w:rPr>
              <w:t xml:space="preserve"> </w:t>
            </w:r>
            <w:r w:rsidRPr="009E1E57">
              <w:t>with Pacific families.</w:t>
            </w:r>
          </w:p>
        </w:tc>
        <w:tc>
          <w:tcPr>
            <w:tcW w:w="5245" w:type="dxa"/>
            <w:gridSpan w:val="6"/>
            <w:tcBorders>
              <w:top w:val="single" w:sz="4" w:space="0" w:color="auto"/>
              <w:bottom w:val="single" w:sz="4" w:space="0" w:color="A6A6A6" w:themeColor="background1" w:themeShade="A6"/>
            </w:tcBorders>
            <w:shd w:val="clear" w:color="auto" w:fill="auto"/>
          </w:tcPr>
          <w:p w:rsidR="00EF595D" w:rsidRPr="009E1E57" w:rsidRDefault="00EF595D" w:rsidP="0084428E">
            <w:pPr>
              <w:pStyle w:val="TableText"/>
              <w:keepNext/>
            </w:pPr>
            <w:r w:rsidRPr="009E1E57">
              <w:t>Increased percentage of Pacific infants</w:t>
            </w:r>
            <w:r w:rsidR="00085832">
              <w:t xml:space="preserve"> </w:t>
            </w:r>
            <w:r w:rsidRPr="009E1E57">
              <w:t>who are enrolled</w:t>
            </w:r>
            <w:r w:rsidR="00085832">
              <w:t xml:space="preserve"> </w:t>
            </w:r>
            <w:r w:rsidRPr="009E1E57">
              <w:t>with a general practice by three</w:t>
            </w:r>
            <w:r w:rsidR="00085832">
              <w:t xml:space="preserve"> </w:t>
            </w:r>
            <w:r w:rsidRPr="009E1E57">
              <w:t>months</w:t>
            </w:r>
          </w:p>
        </w:tc>
        <w:tc>
          <w:tcPr>
            <w:tcW w:w="1842" w:type="dxa"/>
            <w:gridSpan w:val="4"/>
            <w:tcBorders>
              <w:top w:val="single" w:sz="4" w:space="0" w:color="auto"/>
              <w:bottom w:val="single" w:sz="4" w:space="0" w:color="A6A6A6" w:themeColor="background1" w:themeShade="A6"/>
            </w:tcBorders>
            <w:shd w:val="clear" w:color="auto" w:fill="auto"/>
          </w:tcPr>
          <w:p w:rsidR="00EF595D" w:rsidRPr="009E1E57" w:rsidRDefault="00EF595D" w:rsidP="0084428E">
            <w:pPr>
              <w:pStyle w:val="TableText"/>
              <w:keepNext/>
              <w:jc w:val="center"/>
            </w:pPr>
            <w:r w:rsidRPr="009E1E57">
              <w:t>62%</w:t>
            </w:r>
          </w:p>
        </w:tc>
        <w:tc>
          <w:tcPr>
            <w:tcW w:w="851" w:type="dxa"/>
            <w:tcBorders>
              <w:top w:val="single" w:sz="4" w:space="0" w:color="auto"/>
              <w:bottom w:val="single" w:sz="4" w:space="0" w:color="A6A6A6" w:themeColor="background1" w:themeShade="A6"/>
              <w:right w:val="nil"/>
            </w:tcBorders>
            <w:shd w:val="clear" w:color="auto" w:fill="auto"/>
          </w:tcPr>
          <w:p w:rsidR="00EF595D" w:rsidRPr="009E1E57" w:rsidRDefault="00EF595D" w:rsidP="0084428E">
            <w:pPr>
              <w:pStyle w:val="TableText"/>
              <w:keepNext/>
              <w:jc w:val="center"/>
            </w:pPr>
            <w:r w:rsidRPr="009E1E57">
              <w:t>88%</w:t>
            </w:r>
          </w:p>
        </w:tc>
      </w:tr>
      <w:tr w:rsidR="00EF595D" w:rsidRPr="009E1E57" w:rsidTr="00A37B6C">
        <w:trPr>
          <w:cantSplit/>
        </w:trPr>
        <w:tc>
          <w:tcPr>
            <w:tcW w:w="1418" w:type="dxa"/>
            <w:vMerge/>
            <w:tcBorders>
              <w:left w:val="nil"/>
            </w:tcBorders>
            <w:shd w:val="clear" w:color="auto" w:fill="auto"/>
          </w:tcPr>
          <w:p w:rsidR="00EF595D" w:rsidRPr="009E1E57" w:rsidRDefault="00EF595D" w:rsidP="0084428E">
            <w:pPr>
              <w:pStyle w:val="TableText"/>
              <w:keepNext/>
            </w:pPr>
          </w:p>
        </w:tc>
        <w:tc>
          <w:tcPr>
            <w:tcW w:w="5245" w:type="dxa"/>
            <w:gridSpan w:val="6"/>
            <w:tcBorders>
              <w:top w:val="single" w:sz="4" w:space="0" w:color="A6A6A6" w:themeColor="background1" w:themeShade="A6"/>
              <w:bottom w:val="single" w:sz="4" w:space="0" w:color="A6A6A6" w:themeColor="background1" w:themeShade="A6"/>
            </w:tcBorders>
            <w:shd w:val="clear" w:color="auto" w:fill="auto"/>
          </w:tcPr>
          <w:p w:rsidR="00EF595D" w:rsidRPr="009E1E57" w:rsidRDefault="00EF595D" w:rsidP="0084428E">
            <w:pPr>
              <w:pStyle w:val="TableText"/>
              <w:keepNext/>
            </w:pPr>
            <w:r w:rsidRPr="009E1E57">
              <w:t>Increased percentage of Pacific infants</w:t>
            </w:r>
            <w:r w:rsidR="00085832">
              <w:t xml:space="preserve"> </w:t>
            </w:r>
            <w:r w:rsidRPr="009E1E57">
              <w:t>who receive all five Well Child / Tamariki Ora core</w:t>
            </w:r>
            <w:r w:rsidR="00085832">
              <w:t xml:space="preserve"> </w:t>
            </w:r>
            <w:r w:rsidRPr="009E1E57">
              <w:t>contacts in their first year of life</w:t>
            </w:r>
          </w:p>
        </w:tc>
        <w:tc>
          <w:tcPr>
            <w:tcW w:w="1842" w:type="dxa"/>
            <w:gridSpan w:val="4"/>
            <w:tcBorders>
              <w:top w:val="single" w:sz="4" w:space="0" w:color="A6A6A6" w:themeColor="background1" w:themeShade="A6"/>
              <w:bottom w:val="single" w:sz="4" w:space="0" w:color="A6A6A6" w:themeColor="background1" w:themeShade="A6"/>
            </w:tcBorders>
            <w:shd w:val="clear" w:color="auto" w:fill="auto"/>
          </w:tcPr>
          <w:p w:rsidR="00EF595D" w:rsidRPr="009E1E57" w:rsidRDefault="00EF595D" w:rsidP="0084428E">
            <w:pPr>
              <w:pStyle w:val="TableText"/>
              <w:keepNext/>
              <w:jc w:val="center"/>
            </w:pPr>
            <w:r w:rsidRPr="009E1E57">
              <w:t>65%</w:t>
            </w:r>
          </w:p>
        </w:tc>
        <w:tc>
          <w:tcPr>
            <w:tcW w:w="851" w:type="dxa"/>
            <w:tcBorders>
              <w:top w:val="single" w:sz="4" w:space="0" w:color="A6A6A6" w:themeColor="background1" w:themeShade="A6"/>
              <w:bottom w:val="single" w:sz="4" w:space="0" w:color="A6A6A6" w:themeColor="background1" w:themeShade="A6"/>
              <w:right w:val="nil"/>
            </w:tcBorders>
            <w:shd w:val="clear" w:color="auto" w:fill="auto"/>
          </w:tcPr>
          <w:p w:rsidR="00EF595D" w:rsidRPr="009E1E57" w:rsidRDefault="00EF595D" w:rsidP="0084428E">
            <w:pPr>
              <w:pStyle w:val="TableText"/>
              <w:keepNext/>
              <w:jc w:val="center"/>
            </w:pPr>
            <w:r w:rsidRPr="009E1E57">
              <w:t>86%</w:t>
            </w:r>
          </w:p>
        </w:tc>
      </w:tr>
      <w:tr w:rsidR="00EF595D" w:rsidRPr="009E1E57" w:rsidTr="00A37B6C">
        <w:trPr>
          <w:cantSplit/>
        </w:trPr>
        <w:tc>
          <w:tcPr>
            <w:tcW w:w="1418" w:type="dxa"/>
            <w:vMerge/>
            <w:tcBorders>
              <w:left w:val="nil"/>
            </w:tcBorders>
            <w:shd w:val="clear" w:color="auto" w:fill="auto"/>
          </w:tcPr>
          <w:p w:rsidR="00EF595D" w:rsidRPr="009E1E57" w:rsidRDefault="00EF595D" w:rsidP="0084428E">
            <w:pPr>
              <w:pStyle w:val="TableText"/>
              <w:keepNext/>
            </w:pPr>
          </w:p>
        </w:tc>
        <w:tc>
          <w:tcPr>
            <w:tcW w:w="5245" w:type="dxa"/>
            <w:gridSpan w:val="6"/>
            <w:tcBorders>
              <w:top w:val="single" w:sz="4" w:space="0" w:color="A6A6A6" w:themeColor="background1" w:themeShade="A6"/>
              <w:bottom w:val="single" w:sz="4" w:space="0" w:color="A6A6A6" w:themeColor="background1" w:themeShade="A6"/>
            </w:tcBorders>
            <w:shd w:val="clear" w:color="auto" w:fill="auto"/>
          </w:tcPr>
          <w:p w:rsidR="00EF595D" w:rsidRPr="009E1E57" w:rsidRDefault="00EF595D" w:rsidP="0084428E">
            <w:pPr>
              <w:pStyle w:val="TableText"/>
              <w:keepNext/>
            </w:pPr>
            <w:r w:rsidRPr="009E1E57">
              <w:t>Increased percentage of Pacific children</w:t>
            </w:r>
            <w:r w:rsidR="00085832">
              <w:t xml:space="preserve"> </w:t>
            </w:r>
            <w:r w:rsidRPr="009E1E57">
              <w:t>who receive B4 School Check</w:t>
            </w:r>
          </w:p>
        </w:tc>
        <w:tc>
          <w:tcPr>
            <w:tcW w:w="1842" w:type="dxa"/>
            <w:gridSpan w:val="4"/>
            <w:tcBorders>
              <w:top w:val="single" w:sz="4" w:space="0" w:color="A6A6A6" w:themeColor="background1" w:themeShade="A6"/>
              <w:bottom w:val="single" w:sz="4" w:space="0" w:color="A6A6A6" w:themeColor="background1" w:themeShade="A6"/>
            </w:tcBorders>
            <w:shd w:val="clear" w:color="auto" w:fill="auto"/>
          </w:tcPr>
          <w:p w:rsidR="00EF595D" w:rsidRPr="009E1E57" w:rsidRDefault="00EF595D" w:rsidP="0084428E">
            <w:pPr>
              <w:pStyle w:val="TableText"/>
              <w:keepNext/>
              <w:jc w:val="center"/>
            </w:pPr>
            <w:r w:rsidRPr="009E1E57">
              <w:t>74%</w:t>
            </w:r>
          </w:p>
        </w:tc>
        <w:tc>
          <w:tcPr>
            <w:tcW w:w="851" w:type="dxa"/>
            <w:tcBorders>
              <w:top w:val="single" w:sz="4" w:space="0" w:color="A6A6A6" w:themeColor="background1" w:themeShade="A6"/>
              <w:bottom w:val="single" w:sz="4" w:space="0" w:color="A6A6A6" w:themeColor="background1" w:themeShade="A6"/>
              <w:right w:val="nil"/>
            </w:tcBorders>
            <w:shd w:val="clear" w:color="auto" w:fill="auto"/>
          </w:tcPr>
          <w:p w:rsidR="00EF595D" w:rsidRPr="009E1E57" w:rsidRDefault="00EF595D" w:rsidP="0084428E">
            <w:pPr>
              <w:pStyle w:val="TableText"/>
              <w:keepNext/>
              <w:jc w:val="center"/>
            </w:pPr>
            <w:r w:rsidRPr="009E1E57">
              <w:t>90%</w:t>
            </w:r>
          </w:p>
        </w:tc>
      </w:tr>
      <w:tr w:rsidR="00EF595D" w:rsidRPr="009E1E57" w:rsidTr="00A37B6C">
        <w:trPr>
          <w:cantSplit/>
        </w:trPr>
        <w:tc>
          <w:tcPr>
            <w:tcW w:w="1418" w:type="dxa"/>
            <w:vMerge/>
            <w:tcBorders>
              <w:left w:val="nil"/>
            </w:tcBorders>
            <w:shd w:val="clear" w:color="auto" w:fill="auto"/>
          </w:tcPr>
          <w:p w:rsidR="00EF595D" w:rsidRPr="009E1E57" w:rsidRDefault="00EF595D" w:rsidP="0084428E">
            <w:pPr>
              <w:pStyle w:val="TableText"/>
              <w:keepNext/>
            </w:pPr>
          </w:p>
        </w:tc>
        <w:tc>
          <w:tcPr>
            <w:tcW w:w="5245" w:type="dxa"/>
            <w:gridSpan w:val="6"/>
            <w:tcBorders>
              <w:top w:val="single" w:sz="4" w:space="0" w:color="A6A6A6" w:themeColor="background1" w:themeShade="A6"/>
              <w:bottom w:val="single" w:sz="4" w:space="0" w:color="A6A6A6" w:themeColor="background1" w:themeShade="A6"/>
            </w:tcBorders>
            <w:shd w:val="clear" w:color="auto" w:fill="auto"/>
          </w:tcPr>
          <w:p w:rsidR="00EF595D" w:rsidRPr="009E1E57" w:rsidRDefault="00EF595D" w:rsidP="0084428E">
            <w:pPr>
              <w:pStyle w:val="TableText"/>
              <w:keepNext/>
            </w:pPr>
            <w:r w:rsidRPr="009E1E57">
              <w:t>Increased percentage of Pacific infants</w:t>
            </w:r>
            <w:r w:rsidR="00085832">
              <w:t xml:space="preserve"> </w:t>
            </w:r>
            <w:r w:rsidRPr="009E1E57">
              <w:t>who are exclusively</w:t>
            </w:r>
            <w:r w:rsidR="00085832">
              <w:t xml:space="preserve"> </w:t>
            </w:r>
            <w:r w:rsidRPr="009E1E57">
              <w:t>or fully breastfed up to three</w:t>
            </w:r>
            <w:r w:rsidR="00085832">
              <w:t xml:space="preserve"> </w:t>
            </w:r>
            <w:r w:rsidRPr="009E1E57">
              <w:t>months</w:t>
            </w:r>
          </w:p>
        </w:tc>
        <w:tc>
          <w:tcPr>
            <w:tcW w:w="1842" w:type="dxa"/>
            <w:gridSpan w:val="4"/>
            <w:tcBorders>
              <w:top w:val="single" w:sz="4" w:space="0" w:color="A6A6A6" w:themeColor="background1" w:themeShade="A6"/>
              <w:bottom w:val="single" w:sz="4" w:space="0" w:color="A6A6A6" w:themeColor="background1" w:themeShade="A6"/>
            </w:tcBorders>
            <w:shd w:val="clear" w:color="auto" w:fill="auto"/>
          </w:tcPr>
          <w:p w:rsidR="00EF595D" w:rsidRPr="009E1E57" w:rsidRDefault="00EF595D" w:rsidP="0084428E">
            <w:pPr>
              <w:pStyle w:val="TableText"/>
              <w:keepNext/>
              <w:jc w:val="center"/>
            </w:pPr>
            <w:r w:rsidRPr="009E1E57">
              <w:t>45%</w:t>
            </w:r>
          </w:p>
        </w:tc>
        <w:tc>
          <w:tcPr>
            <w:tcW w:w="851" w:type="dxa"/>
            <w:tcBorders>
              <w:top w:val="single" w:sz="4" w:space="0" w:color="A6A6A6" w:themeColor="background1" w:themeShade="A6"/>
              <w:bottom w:val="single" w:sz="4" w:space="0" w:color="A6A6A6" w:themeColor="background1" w:themeShade="A6"/>
              <w:right w:val="nil"/>
            </w:tcBorders>
            <w:shd w:val="clear" w:color="auto" w:fill="auto"/>
          </w:tcPr>
          <w:p w:rsidR="00EF595D" w:rsidRPr="009E1E57" w:rsidRDefault="00EF595D" w:rsidP="0084428E">
            <w:pPr>
              <w:pStyle w:val="TableText"/>
              <w:keepNext/>
              <w:jc w:val="center"/>
            </w:pPr>
            <w:r w:rsidRPr="009E1E57">
              <w:t>54%</w:t>
            </w:r>
          </w:p>
        </w:tc>
      </w:tr>
      <w:tr w:rsidR="00EF595D" w:rsidRPr="009E1E57" w:rsidTr="00A37B6C">
        <w:trPr>
          <w:cantSplit/>
        </w:trPr>
        <w:tc>
          <w:tcPr>
            <w:tcW w:w="1418" w:type="dxa"/>
            <w:vMerge/>
            <w:tcBorders>
              <w:left w:val="nil"/>
            </w:tcBorders>
            <w:shd w:val="clear" w:color="auto" w:fill="auto"/>
          </w:tcPr>
          <w:p w:rsidR="00EF595D" w:rsidRPr="009E1E57" w:rsidRDefault="00EF595D" w:rsidP="0084428E">
            <w:pPr>
              <w:pStyle w:val="TableText"/>
              <w:keepNext/>
            </w:pPr>
          </w:p>
        </w:tc>
        <w:tc>
          <w:tcPr>
            <w:tcW w:w="5245" w:type="dxa"/>
            <w:gridSpan w:val="6"/>
            <w:tcBorders>
              <w:top w:val="single" w:sz="4" w:space="0" w:color="A6A6A6" w:themeColor="background1" w:themeShade="A6"/>
              <w:bottom w:val="single" w:sz="4" w:space="0" w:color="A6A6A6" w:themeColor="background1" w:themeShade="A6"/>
            </w:tcBorders>
            <w:shd w:val="clear" w:color="auto" w:fill="auto"/>
          </w:tcPr>
          <w:p w:rsidR="00EF595D" w:rsidRPr="009E1E57" w:rsidRDefault="00EF595D" w:rsidP="0084428E">
            <w:pPr>
              <w:pStyle w:val="TableText"/>
              <w:keepNext/>
            </w:pPr>
            <w:r w:rsidRPr="009E1E57">
              <w:t>Increased percentage of Pacific children</w:t>
            </w:r>
            <w:r w:rsidR="00085832">
              <w:t xml:space="preserve"> </w:t>
            </w:r>
            <w:r w:rsidRPr="009E1E57">
              <w:t>with body</w:t>
            </w:r>
            <w:r w:rsidR="00085832">
              <w:t xml:space="preserve"> </w:t>
            </w:r>
            <w:r w:rsidRPr="009E1E57">
              <w:t>mass index &gt;</w:t>
            </w:r>
            <w:r w:rsidR="0084428E">
              <w:t> </w:t>
            </w:r>
            <w:r w:rsidRPr="009E1E57">
              <w:t>99.4th percentile are referred</w:t>
            </w:r>
          </w:p>
        </w:tc>
        <w:tc>
          <w:tcPr>
            <w:tcW w:w="1842" w:type="dxa"/>
            <w:gridSpan w:val="4"/>
            <w:tcBorders>
              <w:top w:val="single" w:sz="4" w:space="0" w:color="A6A6A6" w:themeColor="background1" w:themeShade="A6"/>
              <w:bottom w:val="single" w:sz="4" w:space="0" w:color="A6A6A6" w:themeColor="background1" w:themeShade="A6"/>
            </w:tcBorders>
            <w:shd w:val="clear" w:color="auto" w:fill="auto"/>
          </w:tcPr>
          <w:p w:rsidR="00EF595D" w:rsidRPr="009E1E57" w:rsidRDefault="00EF595D" w:rsidP="0084428E">
            <w:pPr>
              <w:pStyle w:val="TableText"/>
              <w:keepNext/>
              <w:jc w:val="center"/>
            </w:pPr>
            <w:r w:rsidRPr="009E1E57">
              <w:t>74%</w:t>
            </w:r>
          </w:p>
        </w:tc>
        <w:tc>
          <w:tcPr>
            <w:tcW w:w="851" w:type="dxa"/>
            <w:tcBorders>
              <w:top w:val="single" w:sz="4" w:space="0" w:color="A6A6A6" w:themeColor="background1" w:themeShade="A6"/>
              <w:bottom w:val="single" w:sz="4" w:space="0" w:color="A6A6A6" w:themeColor="background1" w:themeShade="A6"/>
              <w:right w:val="nil"/>
            </w:tcBorders>
            <w:shd w:val="clear" w:color="auto" w:fill="auto"/>
          </w:tcPr>
          <w:p w:rsidR="00EF595D" w:rsidRPr="009E1E57" w:rsidRDefault="00EF595D" w:rsidP="0084428E">
            <w:pPr>
              <w:pStyle w:val="TableText"/>
              <w:keepNext/>
              <w:jc w:val="center"/>
            </w:pPr>
            <w:r w:rsidRPr="009E1E57">
              <w:t>86%</w:t>
            </w:r>
          </w:p>
        </w:tc>
      </w:tr>
      <w:tr w:rsidR="00EF595D" w:rsidRPr="009E1E57" w:rsidTr="00A37B6C">
        <w:trPr>
          <w:cantSplit/>
        </w:trPr>
        <w:tc>
          <w:tcPr>
            <w:tcW w:w="1418" w:type="dxa"/>
            <w:vMerge/>
            <w:tcBorders>
              <w:left w:val="nil"/>
            </w:tcBorders>
            <w:shd w:val="clear" w:color="auto" w:fill="auto"/>
          </w:tcPr>
          <w:p w:rsidR="00EF595D" w:rsidRPr="009E1E57" w:rsidRDefault="00EF595D" w:rsidP="00CA63A1">
            <w:pPr>
              <w:pStyle w:val="TableText"/>
            </w:pPr>
          </w:p>
        </w:tc>
        <w:tc>
          <w:tcPr>
            <w:tcW w:w="5245" w:type="dxa"/>
            <w:gridSpan w:val="6"/>
            <w:tcBorders>
              <w:top w:val="single" w:sz="4" w:space="0" w:color="A6A6A6" w:themeColor="background1" w:themeShade="A6"/>
              <w:bottom w:val="single" w:sz="4" w:space="0" w:color="auto"/>
            </w:tcBorders>
            <w:shd w:val="clear" w:color="auto" w:fill="auto"/>
          </w:tcPr>
          <w:p w:rsidR="00EF595D" w:rsidRPr="009E1E57" w:rsidRDefault="00EF595D" w:rsidP="0084428E">
            <w:pPr>
              <w:pStyle w:val="TableText"/>
            </w:pPr>
            <w:r w:rsidRPr="009E1E57">
              <w:t>Increased number of Pacific children</w:t>
            </w:r>
            <w:r w:rsidR="00085832">
              <w:t xml:space="preserve"> </w:t>
            </w:r>
            <w:r w:rsidRPr="009E1E57">
              <w:t>in pre-school who are enrolled</w:t>
            </w:r>
            <w:r w:rsidR="00085832">
              <w:t xml:space="preserve"> </w:t>
            </w:r>
            <w:r w:rsidRPr="009E1E57">
              <w:t>with the Community Oral Health Service</w:t>
            </w:r>
            <w:r w:rsidR="00085832">
              <w:t xml:space="preserve"> </w:t>
            </w:r>
            <w:r w:rsidRPr="009E1E57">
              <w:t>(in order</w:t>
            </w:r>
            <w:r w:rsidR="00085832">
              <w:t xml:space="preserve"> </w:t>
            </w:r>
            <w:r w:rsidRPr="009E1E57">
              <w:t>to reach the national</w:t>
            </w:r>
            <w:r w:rsidR="00085832">
              <w:t xml:space="preserve"> </w:t>
            </w:r>
            <w:r w:rsidRPr="009E1E57">
              <w:t>target of 95% by June 2016)</w:t>
            </w:r>
          </w:p>
        </w:tc>
        <w:tc>
          <w:tcPr>
            <w:tcW w:w="1842" w:type="dxa"/>
            <w:gridSpan w:val="4"/>
            <w:tcBorders>
              <w:top w:val="single" w:sz="4" w:space="0" w:color="A6A6A6" w:themeColor="background1" w:themeShade="A6"/>
              <w:bottom w:val="single" w:sz="4" w:space="0" w:color="auto"/>
            </w:tcBorders>
            <w:shd w:val="clear" w:color="auto" w:fill="auto"/>
          </w:tcPr>
          <w:p w:rsidR="00EF595D" w:rsidRPr="009E1E57" w:rsidRDefault="00EF595D" w:rsidP="00CA63A1">
            <w:pPr>
              <w:pStyle w:val="TableText"/>
              <w:jc w:val="center"/>
            </w:pPr>
          </w:p>
        </w:tc>
        <w:tc>
          <w:tcPr>
            <w:tcW w:w="851" w:type="dxa"/>
            <w:tcBorders>
              <w:top w:val="single" w:sz="4" w:space="0" w:color="A6A6A6" w:themeColor="background1" w:themeShade="A6"/>
              <w:bottom w:val="single" w:sz="4" w:space="0" w:color="auto"/>
              <w:right w:val="nil"/>
            </w:tcBorders>
            <w:shd w:val="clear" w:color="auto" w:fill="auto"/>
          </w:tcPr>
          <w:p w:rsidR="00EF595D" w:rsidRPr="009E1E57" w:rsidRDefault="00EF595D" w:rsidP="00CA63A1">
            <w:pPr>
              <w:pStyle w:val="TableText"/>
              <w:jc w:val="center"/>
            </w:pPr>
          </w:p>
        </w:tc>
      </w:tr>
      <w:tr w:rsidR="00EF595D" w:rsidRPr="009E1E57" w:rsidTr="00A37B6C">
        <w:trPr>
          <w:cantSplit/>
        </w:trPr>
        <w:tc>
          <w:tcPr>
            <w:tcW w:w="1418" w:type="dxa"/>
            <w:vMerge/>
            <w:tcBorders>
              <w:left w:val="nil"/>
            </w:tcBorders>
            <w:shd w:val="clear" w:color="auto" w:fill="auto"/>
          </w:tcPr>
          <w:p w:rsidR="00EF595D" w:rsidRPr="009E1E57" w:rsidRDefault="00EF595D" w:rsidP="00CA63A1">
            <w:pPr>
              <w:pStyle w:val="TableText"/>
            </w:pPr>
          </w:p>
        </w:tc>
        <w:tc>
          <w:tcPr>
            <w:tcW w:w="3118" w:type="dxa"/>
            <w:gridSpan w:val="2"/>
            <w:vMerge w:val="restart"/>
            <w:tcBorders>
              <w:top w:val="single" w:sz="4" w:space="0" w:color="auto"/>
            </w:tcBorders>
            <w:shd w:val="clear" w:color="auto" w:fill="auto"/>
          </w:tcPr>
          <w:p w:rsidR="00EF595D" w:rsidRPr="009E1E57" w:rsidRDefault="00EF595D" w:rsidP="0084428E">
            <w:pPr>
              <w:pStyle w:val="TableText"/>
            </w:pPr>
            <w:r w:rsidRPr="009E1E57">
              <w:t>Increased percentage of Pacific children in pre-school who are enrolled</w:t>
            </w:r>
            <w:r w:rsidR="00085832">
              <w:t xml:space="preserve"> </w:t>
            </w:r>
            <w:r w:rsidRPr="009E1E57">
              <w:t>with the Community Oral Health Service</w:t>
            </w:r>
          </w:p>
        </w:tc>
        <w:tc>
          <w:tcPr>
            <w:tcW w:w="2268" w:type="dxa"/>
            <w:gridSpan w:val="5"/>
            <w:tcBorders>
              <w:top w:val="single" w:sz="4" w:space="0" w:color="auto"/>
              <w:bottom w:val="single" w:sz="4" w:space="0" w:color="A6A6A6" w:themeColor="background1" w:themeShade="A6"/>
            </w:tcBorders>
            <w:shd w:val="clear" w:color="auto" w:fill="auto"/>
          </w:tcPr>
          <w:p w:rsidR="00EF595D" w:rsidRPr="0084428E" w:rsidRDefault="00EF595D" w:rsidP="0084428E">
            <w:pPr>
              <w:pStyle w:val="TableText"/>
              <w:rPr>
                <w:b/>
              </w:rPr>
            </w:pPr>
            <w:r w:rsidRPr="0084428E">
              <w:rPr>
                <w:b/>
              </w:rPr>
              <w:t>December 2013 data</w:t>
            </w:r>
          </w:p>
        </w:tc>
        <w:tc>
          <w:tcPr>
            <w:tcW w:w="2552" w:type="dxa"/>
            <w:gridSpan w:val="4"/>
            <w:tcBorders>
              <w:top w:val="single" w:sz="4" w:space="0" w:color="auto"/>
              <w:bottom w:val="single" w:sz="4" w:space="0" w:color="A6A6A6" w:themeColor="background1" w:themeShade="A6"/>
              <w:right w:val="nil"/>
            </w:tcBorders>
            <w:shd w:val="clear" w:color="auto" w:fill="auto"/>
          </w:tcPr>
          <w:p w:rsidR="00EF595D" w:rsidRPr="0084428E" w:rsidRDefault="00EF595D" w:rsidP="0084428E">
            <w:pPr>
              <w:pStyle w:val="TableText"/>
              <w:jc w:val="center"/>
              <w:rPr>
                <w:b/>
              </w:rPr>
            </w:pPr>
            <w:r w:rsidRPr="0084428E">
              <w:rPr>
                <w:b/>
              </w:rPr>
              <w:t xml:space="preserve">Preschool </w:t>
            </w:r>
            <w:r w:rsidR="0084428E" w:rsidRPr="0084428E">
              <w:rPr>
                <w:b/>
              </w:rPr>
              <w:t>e</w:t>
            </w:r>
            <w:r w:rsidRPr="0084428E">
              <w:rPr>
                <w:b/>
              </w:rPr>
              <w:t>nrolment</w:t>
            </w:r>
            <w:r w:rsidR="0084428E" w:rsidRPr="0084428E">
              <w:rPr>
                <w:b/>
              </w:rPr>
              <w:t xml:space="preserve"> d</w:t>
            </w:r>
            <w:r w:rsidRPr="0084428E">
              <w:rPr>
                <w:b/>
              </w:rPr>
              <w:t>ata</w:t>
            </w:r>
          </w:p>
        </w:tc>
      </w:tr>
      <w:tr w:rsidR="0065065B" w:rsidRPr="009E1E57" w:rsidTr="00A37B6C">
        <w:trPr>
          <w:cantSplit/>
        </w:trPr>
        <w:tc>
          <w:tcPr>
            <w:tcW w:w="1418" w:type="dxa"/>
            <w:vMerge/>
            <w:tcBorders>
              <w:left w:val="nil"/>
            </w:tcBorders>
            <w:shd w:val="clear" w:color="auto" w:fill="auto"/>
          </w:tcPr>
          <w:p w:rsidR="00EF595D" w:rsidRPr="009E1E57" w:rsidRDefault="00EF595D" w:rsidP="00CA63A1">
            <w:pPr>
              <w:pStyle w:val="TableText"/>
            </w:pPr>
          </w:p>
        </w:tc>
        <w:tc>
          <w:tcPr>
            <w:tcW w:w="3118" w:type="dxa"/>
            <w:gridSpan w:val="2"/>
            <w:vMerge/>
            <w:shd w:val="clear" w:color="auto" w:fill="auto"/>
          </w:tcPr>
          <w:p w:rsidR="00EF595D" w:rsidRPr="009E1E57" w:rsidRDefault="00EF595D" w:rsidP="0084428E">
            <w:pPr>
              <w:pStyle w:val="TableText"/>
            </w:pPr>
          </w:p>
        </w:tc>
        <w:tc>
          <w:tcPr>
            <w:tcW w:w="2268" w:type="dxa"/>
            <w:gridSpan w:val="5"/>
            <w:tcBorders>
              <w:top w:val="single" w:sz="4" w:space="0" w:color="A6A6A6" w:themeColor="background1" w:themeShade="A6"/>
              <w:bottom w:val="single" w:sz="4" w:space="0" w:color="A6A6A6" w:themeColor="background1" w:themeShade="A6"/>
            </w:tcBorders>
            <w:shd w:val="clear" w:color="auto" w:fill="auto"/>
          </w:tcPr>
          <w:p w:rsidR="00EF595D" w:rsidRPr="0084428E" w:rsidRDefault="00EF595D" w:rsidP="0084428E">
            <w:pPr>
              <w:pStyle w:val="TableText"/>
              <w:rPr>
                <w:rFonts w:eastAsia="Arial"/>
                <w:b/>
              </w:rPr>
            </w:pPr>
            <w:r w:rsidRPr="0084428E">
              <w:rPr>
                <w:rFonts w:eastAsia="Arial"/>
                <w:b/>
              </w:rPr>
              <w:t>District health board</w:t>
            </w:r>
          </w:p>
        </w:tc>
        <w:tc>
          <w:tcPr>
            <w:tcW w:w="1701" w:type="dxa"/>
            <w:gridSpan w:val="3"/>
            <w:tcBorders>
              <w:top w:val="single" w:sz="4" w:space="0" w:color="A6A6A6" w:themeColor="background1" w:themeShade="A6"/>
              <w:bottom w:val="single" w:sz="4" w:space="0" w:color="A6A6A6" w:themeColor="background1" w:themeShade="A6"/>
            </w:tcBorders>
            <w:shd w:val="clear" w:color="auto" w:fill="auto"/>
          </w:tcPr>
          <w:p w:rsidR="00EF595D" w:rsidRPr="0084428E" w:rsidRDefault="00EF595D" w:rsidP="0084428E">
            <w:pPr>
              <w:pStyle w:val="TableText"/>
              <w:jc w:val="center"/>
              <w:rPr>
                <w:b/>
              </w:rPr>
            </w:pPr>
            <w:r w:rsidRPr="0084428E">
              <w:rPr>
                <w:b/>
              </w:rPr>
              <w:t>Pacific</w:t>
            </w:r>
          </w:p>
        </w:tc>
        <w:tc>
          <w:tcPr>
            <w:tcW w:w="851" w:type="dxa"/>
            <w:tcBorders>
              <w:top w:val="single" w:sz="4" w:space="0" w:color="A6A6A6" w:themeColor="background1" w:themeShade="A6"/>
              <w:left w:val="nil"/>
              <w:bottom w:val="single" w:sz="4" w:space="0" w:color="A6A6A6" w:themeColor="background1" w:themeShade="A6"/>
              <w:right w:val="nil"/>
            </w:tcBorders>
            <w:shd w:val="clear" w:color="auto" w:fill="auto"/>
          </w:tcPr>
          <w:p w:rsidR="00EF595D" w:rsidRPr="0084428E" w:rsidRDefault="00EF595D" w:rsidP="0084428E">
            <w:pPr>
              <w:pStyle w:val="TableText"/>
              <w:jc w:val="center"/>
              <w:rPr>
                <w:b/>
              </w:rPr>
            </w:pPr>
            <w:r w:rsidRPr="0084428E">
              <w:rPr>
                <w:b/>
              </w:rPr>
              <w:t>All</w:t>
            </w:r>
          </w:p>
        </w:tc>
      </w:tr>
      <w:tr w:rsidR="0065065B" w:rsidRPr="009E1E57" w:rsidTr="00A37B6C">
        <w:trPr>
          <w:cantSplit/>
        </w:trPr>
        <w:tc>
          <w:tcPr>
            <w:tcW w:w="1418" w:type="dxa"/>
            <w:vMerge/>
            <w:tcBorders>
              <w:left w:val="nil"/>
            </w:tcBorders>
            <w:shd w:val="clear" w:color="auto" w:fill="auto"/>
          </w:tcPr>
          <w:p w:rsidR="00EF595D" w:rsidRPr="009E1E57" w:rsidRDefault="00EF595D" w:rsidP="00CA63A1">
            <w:pPr>
              <w:pStyle w:val="TableText"/>
            </w:pPr>
          </w:p>
        </w:tc>
        <w:tc>
          <w:tcPr>
            <w:tcW w:w="3118" w:type="dxa"/>
            <w:gridSpan w:val="2"/>
            <w:vMerge/>
            <w:shd w:val="clear" w:color="auto" w:fill="auto"/>
          </w:tcPr>
          <w:p w:rsidR="00EF595D" w:rsidRPr="009E1E57" w:rsidRDefault="00EF595D" w:rsidP="0084428E">
            <w:pPr>
              <w:pStyle w:val="TableText"/>
            </w:pPr>
          </w:p>
        </w:tc>
        <w:tc>
          <w:tcPr>
            <w:tcW w:w="2268" w:type="dxa"/>
            <w:gridSpan w:val="5"/>
            <w:tcBorders>
              <w:top w:val="single" w:sz="4" w:space="0" w:color="A6A6A6" w:themeColor="background1" w:themeShade="A6"/>
              <w:bottom w:val="single" w:sz="4" w:space="0" w:color="A6A6A6" w:themeColor="background1" w:themeShade="A6"/>
            </w:tcBorders>
            <w:shd w:val="clear" w:color="auto" w:fill="auto"/>
          </w:tcPr>
          <w:p w:rsidR="00EF595D" w:rsidRPr="009E1E57" w:rsidRDefault="00EF595D" w:rsidP="0084428E">
            <w:pPr>
              <w:pStyle w:val="TableText"/>
            </w:pPr>
            <w:r w:rsidRPr="009E1E57">
              <w:t>Auckland</w:t>
            </w:r>
          </w:p>
        </w:tc>
        <w:tc>
          <w:tcPr>
            <w:tcW w:w="1701" w:type="dxa"/>
            <w:gridSpan w:val="3"/>
            <w:tcBorders>
              <w:top w:val="single" w:sz="4" w:space="0" w:color="A6A6A6" w:themeColor="background1" w:themeShade="A6"/>
              <w:bottom w:val="single" w:sz="4" w:space="0" w:color="A6A6A6" w:themeColor="background1" w:themeShade="A6"/>
            </w:tcBorders>
            <w:shd w:val="clear" w:color="auto" w:fill="auto"/>
          </w:tcPr>
          <w:p w:rsidR="00EF595D" w:rsidRPr="009E1E57" w:rsidRDefault="00EF595D" w:rsidP="0084428E">
            <w:pPr>
              <w:pStyle w:val="TableText"/>
              <w:jc w:val="center"/>
            </w:pPr>
            <w:r w:rsidRPr="009E1E57">
              <w:t>72.6%</w:t>
            </w:r>
          </w:p>
        </w:tc>
        <w:tc>
          <w:tcPr>
            <w:tcW w:w="851" w:type="dxa"/>
            <w:tcBorders>
              <w:top w:val="single" w:sz="4" w:space="0" w:color="A6A6A6" w:themeColor="background1" w:themeShade="A6"/>
              <w:left w:val="nil"/>
              <w:bottom w:val="single" w:sz="4" w:space="0" w:color="A6A6A6" w:themeColor="background1" w:themeShade="A6"/>
              <w:right w:val="nil"/>
            </w:tcBorders>
            <w:shd w:val="clear" w:color="auto" w:fill="auto"/>
          </w:tcPr>
          <w:p w:rsidR="00EF595D" w:rsidRPr="009E1E57" w:rsidRDefault="00EF595D" w:rsidP="0084428E">
            <w:pPr>
              <w:pStyle w:val="TableText"/>
              <w:jc w:val="center"/>
            </w:pPr>
            <w:r w:rsidRPr="009E1E57">
              <w:t>75.2%</w:t>
            </w:r>
          </w:p>
        </w:tc>
      </w:tr>
      <w:tr w:rsidR="0065065B" w:rsidRPr="009E1E57" w:rsidTr="00A37B6C">
        <w:trPr>
          <w:cantSplit/>
        </w:trPr>
        <w:tc>
          <w:tcPr>
            <w:tcW w:w="1418" w:type="dxa"/>
            <w:vMerge/>
            <w:tcBorders>
              <w:left w:val="nil"/>
            </w:tcBorders>
            <w:shd w:val="clear" w:color="auto" w:fill="auto"/>
          </w:tcPr>
          <w:p w:rsidR="00EF595D" w:rsidRPr="009E1E57" w:rsidRDefault="00EF595D" w:rsidP="00CA63A1">
            <w:pPr>
              <w:pStyle w:val="TableText"/>
            </w:pPr>
          </w:p>
        </w:tc>
        <w:tc>
          <w:tcPr>
            <w:tcW w:w="3118" w:type="dxa"/>
            <w:gridSpan w:val="2"/>
            <w:vMerge/>
            <w:shd w:val="clear" w:color="auto" w:fill="auto"/>
          </w:tcPr>
          <w:p w:rsidR="00EF595D" w:rsidRPr="009E1E57" w:rsidRDefault="00EF595D" w:rsidP="0084428E">
            <w:pPr>
              <w:pStyle w:val="TableText"/>
            </w:pPr>
          </w:p>
        </w:tc>
        <w:tc>
          <w:tcPr>
            <w:tcW w:w="2268" w:type="dxa"/>
            <w:gridSpan w:val="5"/>
            <w:tcBorders>
              <w:top w:val="single" w:sz="4" w:space="0" w:color="A6A6A6" w:themeColor="background1" w:themeShade="A6"/>
              <w:bottom w:val="single" w:sz="4" w:space="0" w:color="A6A6A6" w:themeColor="background1" w:themeShade="A6"/>
            </w:tcBorders>
            <w:shd w:val="clear" w:color="auto" w:fill="auto"/>
          </w:tcPr>
          <w:p w:rsidR="00EF595D" w:rsidRPr="009E1E57" w:rsidRDefault="00EF595D" w:rsidP="0084428E">
            <w:pPr>
              <w:pStyle w:val="TableText"/>
            </w:pPr>
            <w:r w:rsidRPr="009E1E57">
              <w:t>Canterbury</w:t>
            </w:r>
          </w:p>
        </w:tc>
        <w:tc>
          <w:tcPr>
            <w:tcW w:w="1701" w:type="dxa"/>
            <w:gridSpan w:val="3"/>
            <w:tcBorders>
              <w:top w:val="single" w:sz="4" w:space="0" w:color="A6A6A6" w:themeColor="background1" w:themeShade="A6"/>
              <w:bottom w:val="single" w:sz="4" w:space="0" w:color="A6A6A6" w:themeColor="background1" w:themeShade="A6"/>
            </w:tcBorders>
            <w:shd w:val="clear" w:color="auto" w:fill="auto"/>
          </w:tcPr>
          <w:p w:rsidR="00EF595D" w:rsidRPr="009E1E57" w:rsidRDefault="00EF595D" w:rsidP="0084428E">
            <w:pPr>
              <w:pStyle w:val="TableText"/>
              <w:jc w:val="center"/>
            </w:pPr>
            <w:r w:rsidRPr="009E1E57">
              <w:t>52.1%</w:t>
            </w:r>
          </w:p>
        </w:tc>
        <w:tc>
          <w:tcPr>
            <w:tcW w:w="851" w:type="dxa"/>
            <w:tcBorders>
              <w:top w:val="single" w:sz="4" w:space="0" w:color="A6A6A6" w:themeColor="background1" w:themeShade="A6"/>
              <w:left w:val="nil"/>
              <w:bottom w:val="single" w:sz="4" w:space="0" w:color="A6A6A6" w:themeColor="background1" w:themeShade="A6"/>
              <w:right w:val="nil"/>
            </w:tcBorders>
            <w:shd w:val="clear" w:color="auto" w:fill="auto"/>
          </w:tcPr>
          <w:p w:rsidR="00EF595D" w:rsidRPr="009E1E57" w:rsidRDefault="00EF595D" w:rsidP="0084428E">
            <w:pPr>
              <w:pStyle w:val="TableText"/>
              <w:jc w:val="center"/>
            </w:pPr>
            <w:r w:rsidRPr="009E1E57">
              <w:t>71.4%</w:t>
            </w:r>
          </w:p>
        </w:tc>
      </w:tr>
      <w:tr w:rsidR="0065065B" w:rsidRPr="009E1E57" w:rsidTr="00A37B6C">
        <w:trPr>
          <w:cantSplit/>
        </w:trPr>
        <w:tc>
          <w:tcPr>
            <w:tcW w:w="1418" w:type="dxa"/>
            <w:vMerge/>
            <w:tcBorders>
              <w:left w:val="nil"/>
            </w:tcBorders>
            <w:shd w:val="clear" w:color="auto" w:fill="auto"/>
          </w:tcPr>
          <w:p w:rsidR="00EF595D" w:rsidRPr="009E1E57" w:rsidRDefault="00EF595D" w:rsidP="00CA63A1">
            <w:pPr>
              <w:pStyle w:val="TableText"/>
            </w:pPr>
          </w:p>
        </w:tc>
        <w:tc>
          <w:tcPr>
            <w:tcW w:w="3118" w:type="dxa"/>
            <w:gridSpan w:val="2"/>
            <w:vMerge/>
            <w:shd w:val="clear" w:color="auto" w:fill="auto"/>
          </w:tcPr>
          <w:p w:rsidR="00EF595D" w:rsidRPr="009E1E57" w:rsidRDefault="00EF595D" w:rsidP="0084428E">
            <w:pPr>
              <w:pStyle w:val="TableText"/>
            </w:pPr>
          </w:p>
        </w:tc>
        <w:tc>
          <w:tcPr>
            <w:tcW w:w="2268" w:type="dxa"/>
            <w:gridSpan w:val="5"/>
            <w:tcBorders>
              <w:top w:val="single" w:sz="4" w:space="0" w:color="A6A6A6" w:themeColor="background1" w:themeShade="A6"/>
              <w:bottom w:val="single" w:sz="4" w:space="0" w:color="A6A6A6" w:themeColor="background1" w:themeShade="A6"/>
            </w:tcBorders>
            <w:shd w:val="clear" w:color="auto" w:fill="auto"/>
          </w:tcPr>
          <w:p w:rsidR="00EF595D" w:rsidRPr="009E1E57" w:rsidRDefault="00EF595D" w:rsidP="0084428E">
            <w:pPr>
              <w:pStyle w:val="TableText"/>
            </w:pPr>
            <w:r w:rsidRPr="009E1E57">
              <w:t>Capital</w:t>
            </w:r>
            <w:r w:rsidR="00085832">
              <w:t xml:space="preserve"> </w:t>
            </w:r>
            <w:r w:rsidRPr="009E1E57">
              <w:t>&amp; Coast</w:t>
            </w:r>
          </w:p>
        </w:tc>
        <w:tc>
          <w:tcPr>
            <w:tcW w:w="1701" w:type="dxa"/>
            <w:gridSpan w:val="3"/>
            <w:tcBorders>
              <w:top w:val="single" w:sz="4" w:space="0" w:color="A6A6A6" w:themeColor="background1" w:themeShade="A6"/>
              <w:bottom w:val="single" w:sz="4" w:space="0" w:color="A6A6A6" w:themeColor="background1" w:themeShade="A6"/>
            </w:tcBorders>
            <w:shd w:val="clear" w:color="auto" w:fill="auto"/>
          </w:tcPr>
          <w:p w:rsidR="00EF595D" w:rsidRPr="009E1E57" w:rsidRDefault="00EF595D" w:rsidP="0084428E">
            <w:pPr>
              <w:pStyle w:val="TableText"/>
              <w:jc w:val="center"/>
            </w:pPr>
            <w:r w:rsidRPr="009E1E57">
              <w:t>34.2%</w:t>
            </w:r>
          </w:p>
        </w:tc>
        <w:tc>
          <w:tcPr>
            <w:tcW w:w="851" w:type="dxa"/>
            <w:tcBorders>
              <w:top w:val="single" w:sz="4" w:space="0" w:color="A6A6A6" w:themeColor="background1" w:themeShade="A6"/>
              <w:left w:val="nil"/>
              <w:bottom w:val="single" w:sz="4" w:space="0" w:color="A6A6A6" w:themeColor="background1" w:themeShade="A6"/>
              <w:right w:val="nil"/>
            </w:tcBorders>
            <w:shd w:val="clear" w:color="auto" w:fill="auto"/>
          </w:tcPr>
          <w:p w:rsidR="00EF595D" w:rsidRPr="009E1E57" w:rsidRDefault="00EF595D" w:rsidP="0084428E">
            <w:pPr>
              <w:pStyle w:val="TableText"/>
              <w:jc w:val="center"/>
            </w:pPr>
            <w:r w:rsidRPr="009E1E57">
              <w:t>42.6%</w:t>
            </w:r>
          </w:p>
        </w:tc>
      </w:tr>
      <w:tr w:rsidR="0065065B" w:rsidRPr="009E1E57" w:rsidTr="00A37B6C">
        <w:trPr>
          <w:cantSplit/>
        </w:trPr>
        <w:tc>
          <w:tcPr>
            <w:tcW w:w="1418" w:type="dxa"/>
            <w:vMerge/>
            <w:tcBorders>
              <w:left w:val="nil"/>
            </w:tcBorders>
            <w:shd w:val="clear" w:color="auto" w:fill="auto"/>
          </w:tcPr>
          <w:p w:rsidR="00EF595D" w:rsidRPr="009E1E57" w:rsidRDefault="00EF595D" w:rsidP="00CA63A1">
            <w:pPr>
              <w:pStyle w:val="TableText"/>
            </w:pPr>
          </w:p>
        </w:tc>
        <w:tc>
          <w:tcPr>
            <w:tcW w:w="3118" w:type="dxa"/>
            <w:gridSpan w:val="2"/>
            <w:vMerge/>
            <w:shd w:val="clear" w:color="auto" w:fill="auto"/>
          </w:tcPr>
          <w:p w:rsidR="00EF595D" w:rsidRPr="009E1E57" w:rsidRDefault="00EF595D" w:rsidP="0084428E">
            <w:pPr>
              <w:pStyle w:val="TableText"/>
            </w:pPr>
          </w:p>
        </w:tc>
        <w:tc>
          <w:tcPr>
            <w:tcW w:w="2268" w:type="dxa"/>
            <w:gridSpan w:val="5"/>
            <w:tcBorders>
              <w:top w:val="single" w:sz="4" w:space="0" w:color="A6A6A6" w:themeColor="background1" w:themeShade="A6"/>
              <w:bottom w:val="single" w:sz="4" w:space="0" w:color="A6A6A6" w:themeColor="background1" w:themeShade="A6"/>
            </w:tcBorders>
            <w:shd w:val="clear" w:color="auto" w:fill="auto"/>
          </w:tcPr>
          <w:p w:rsidR="00EF595D" w:rsidRPr="009E1E57" w:rsidRDefault="00EF595D" w:rsidP="0084428E">
            <w:pPr>
              <w:pStyle w:val="TableText"/>
            </w:pPr>
            <w:r w:rsidRPr="009E1E57">
              <w:t>Counties Manukau</w:t>
            </w:r>
          </w:p>
        </w:tc>
        <w:tc>
          <w:tcPr>
            <w:tcW w:w="1701" w:type="dxa"/>
            <w:gridSpan w:val="3"/>
            <w:tcBorders>
              <w:top w:val="single" w:sz="4" w:space="0" w:color="A6A6A6" w:themeColor="background1" w:themeShade="A6"/>
              <w:bottom w:val="single" w:sz="4" w:space="0" w:color="A6A6A6" w:themeColor="background1" w:themeShade="A6"/>
            </w:tcBorders>
            <w:shd w:val="clear" w:color="auto" w:fill="auto"/>
          </w:tcPr>
          <w:p w:rsidR="00EF595D" w:rsidRPr="009E1E57" w:rsidRDefault="00EF595D" w:rsidP="0084428E">
            <w:pPr>
              <w:pStyle w:val="TableText"/>
              <w:jc w:val="center"/>
            </w:pPr>
            <w:r w:rsidRPr="009E1E57">
              <w:t>73.5%</w:t>
            </w:r>
          </w:p>
        </w:tc>
        <w:tc>
          <w:tcPr>
            <w:tcW w:w="851" w:type="dxa"/>
            <w:tcBorders>
              <w:top w:val="single" w:sz="4" w:space="0" w:color="A6A6A6" w:themeColor="background1" w:themeShade="A6"/>
              <w:left w:val="nil"/>
              <w:bottom w:val="single" w:sz="4" w:space="0" w:color="A6A6A6" w:themeColor="background1" w:themeShade="A6"/>
              <w:right w:val="nil"/>
            </w:tcBorders>
            <w:shd w:val="clear" w:color="auto" w:fill="auto"/>
          </w:tcPr>
          <w:p w:rsidR="00EF595D" w:rsidRPr="009E1E57" w:rsidRDefault="00EF595D" w:rsidP="0084428E">
            <w:pPr>
              <w:pStyle w:val="TableText"/>
              <w:jc w:val="center"/>
            </w:pPr>
            <w:r w:rsidRPr="009E1E57">
              <w:t>75.6%</w:t>
            </w:r>
          </w:p>
        </w:tc>
      </w:tr>
      <w:tr w:rsidR="0065065B" w:rsidRPr="009E1E57" w:rsidTr="00A37B6C">
        <w:trPr>
          <w:cantSplit/>
        </w:trPr>
        <w:tc>
          <w:tcPr>
            <w:tcW w:w="1418" w:type="dxa"/>
            <w:vMerge/>
            <w:tcBorders>
              <w:left w:val="nil"/>
            </w:tcBorders>
            <w:shd w:val="clear" w:color="auto" w:fill="auto"/>
          </w:tcPr>
          <w:p w:rsidR="00EF595D" w:rsidRPr="009E1E57" w:rsidRDefault="00EF595D" w:rsidP="00CA63A1">
            <w:pPr>
              <w:pStyle w:val="TableText"/>
            </w:pPr>
          </w:p>
        </w:tc>
        <w:tc>
          <w:tcPr>
            <w:tcW w:w="3118" w:type="dxa"/>
            <w:gridSpan w:val="2"/>
            <w:vMerge/>
            <w:shd w:val="clear" w:color="auto" w:fill="auto"/>
          </w:tcPr>
          <w:p w:rsidR="00EF595D" w:rsidRPr="009E1E57" w:rsidRDefault="00EF595D" w:rsidP="0084428E">
            <w:pPr>
              <w:pStyle w:val="TableText"/>
            </w:pPr>
          </w:p>
        </w:tc>
        <w:tc>
          <w:tcPr>
            <w:tcW w:w="2268" w:type="dxa"/>
            <w:gridSpan w:val="5"/>
            <w:tcBorders>
              <w:top w:val="single" w:sz="4" w:space="0" w:color="A6A6A6" w:themeColor="background1" w:themeShade="A6"/>
              <w:bottom w:val="single" w:sz="4" w:space="0" w:color="A6A6A6" w:themeColor="background1" w:themeShade="A6"/>
            </w:tcBorders>
            <w:shd w:val="clear" w:color="auto" w:fill="auto"/>
          </w:tcPr>
          <w:p w:rsidR="00EF595D" w:rsidRPr="009E1E57" w:rsidRDefault="00EF595D" w:rsidP="0084428E">
            <w:pPr>
              <w:pStyle w:val="TableText"/>
            </w:pPr>
            <w:r w:rsidRPr="009E1E57">
              <w:t>Hutt Valley</w:t>
            </w:r>
          </w:p>
        </w:tc>
        <w:tc>
          <w:tcPr>
            <w:tcW w:w="1701" w:type="dxa"/>
            <w:gridSpan w:val="3"/>
            <w:tcBorders>
              <w:top w:val="single" w:sz="4" w:space="0" w:color="A6A6A6" w:themeColor="background1" w:themeShade="A6"/>
              <w:bottom w:val="single" w:sz="4" w:space="0" w:color="A6A6A6" w:themeColor="background1" w:themeShade="A6"/>
            </w:tcBorders>
            <w:shd w:val="clear" w:color="auto" w:fill="auto"/>
          </w:tcPr>
          <w:p w:rsidR="00EF595D" w:rsidRPr="009E1E57" w:rsidRDefault="00EF595D" w:rsidP="0084428E">
            <w:pPr>
              <w:pStyle w:val="TableText"/>
              <w:jc w:val="center"/>
            </w:pPr>
            <w:r w:rsidRPr="009E1E57">
              <w:t>41.1%</w:t>
            </w:r>
          </w:p>
        </w:tc>
        <w:tc>
          <w:tcPr>
            <w:tcW w:w="851" w:type="dxa"/>
            <w:tcBorders>
              <w:top w:val="single" w:sz="4" w:space="0" w:color="A6A6A6" w:themeColor="background1" w:themeShade="A6"/>
              <w:left w:val="nil"/>
              <w:bottom w:val="single" w:sz="4" w:space="0" w:color="A6A6A6" w:themeColor="background1" w:themeShade="A6"/>
              <w:right w:val="nil"/>
            </w:tcBorders>
            <w:shd w:val="clear" w:color="auto" w:fill="auto"/>
          </w:tcPr>
          <w:p w:rsidR="00EF595D" w:rsidRPr="009E1E57" w:rsidRDefault="00EF595D" w:rsidP="0084428E">
            <w:pPr>
              <w:pStyle w:val="TableText"/>
              <w:jc w:val="center"/>
            </w:pPr>
            <w:r w:rsidRPr="009E1E57">
              <w:t>46.9%</w:t>
            </w:r>
          </w:p>
        </w:tc>
      </w:tr>
      <w:tr w:rsidR="0065065B" w:rsidRPr="009E1E57" w:rsidTr="00A37B6C">
        <w:trPr>
          <w:cantSplit/>
        </w:trPr>
        <w:tc>
          <w:tcPr>
            <w:tcW w:w="1418" w:type="dxa"/>
            <w:vMerge/>
            <w:tcBorders>
              <w:left w:val="nil"/>
            </w:tcBorders>
            <w:shd w:val="clear" w:color="auto" w:fill="auto"/>
          </w:tcPr>
          <w:p w:rsidR="00EF595D" w:rsidRPr="009E1E57" w:rsidRDefault="00EF595D" w:rsidP="00CA63A1">
            <w:pPr>
              <w:pStyle w:val="TableText"/>
            </w:pPr>
          </w:p>
        </w:tc>
        <w:tc>
          <w:tcPr>
            <w:tcW w:w="3118" w:type="dxa"/>
            <w:gridSpan w:val="2"/>
            <w:vMerge/>
            <w:shd w:val="clear" w:color="auto" w:fill="auto"/>
          </w:tcPr>
          <w:p w:rsidR="00EF595D" w:rsidRPr="009E1E57" w:rsidRDefault="00EF595D" w:rsidP="0084428E">
            <w:pPr>
              <w:pStyle w:val="TableText"/>
            </w:pPr>
          </w:p>
        </w:tc>
        <w:tc>
          <w:tcPr>
            <w:tcW w:w="2268" w:type="dxa"/>
            <w:gridSpan w:val="5"/>
            <w:tcBorders>
              <w:top w:val="single" w:sz="4" w:space="0" w:color="A6A6A6" w:themeColor="background1" w:themeShade="A6"/>
              <w:bottom w:val="single" w:sz="4" w:space="0" w:color="A6A6A6" w:themeColor="background1" w:themeShade="A6"/>
            </w:tcBorders>
            <w:shd w:val="clear" w:color="auto" w:fill="auto"/>
          </w:tcPr>
          <w:p w:rsidR="00EF595D" w:rsidRPr="009E1E57" w:rsidRDefault="00EF595D" w:rsidP="0084428E">
            <w:pPr>
              <w:pStyle w:val="TableText"/>
            </w:pPr>
            <w:r w:rsidRPr="009E1E57">
              <w:t>Waikato</w:t>
            </w:r>
          </w:p>
        </w:tc>
        <w:tc>
          <w:tcPr>
            <w:tcW w:w="1701" w:type="dxa"/>
            <w:gridSpan w:val="3"/>
            <w:tcBorders>
              <w:top w:val="single" w:sz="4" w:space="0" w:color="A6A6A6" w:themeColor="background1" w:themeShade="A6"/>
              <w:bottom w:val="single" w:sz="4" w:space="0" w:color="A6A6A6" w:themeColor="background1" w:themeShade="A6"/>
            </w:tcBorders>
            <w:shd w:val="clear" w:color="auto" w:fill="auto"/>
          </w:tcPr>
          <w:p w:rsidR="00EF595D" w:rsidRPr="009E1E57" w:rsidRDefault="00EF595D" w:rsidP="0084428E">
            <w:pPr>
              <w:pStyle w:val="TableText"/>
              <w:jc w:val="center"/>
            </w:pPr>
          </w:p>
        </w:tc>
        <w:tc>
          <w:tcPr>
            <w:tcW w:w="851" w:type="dxa"/>
            <w:tcBorders>
              <w:top w:val="single" w:sz="4" w:space="0" w:color="A6A6A6" w:themeColor="background1" w:themeShade="A6"/>
              <w:left w:val="nil"/>
              <w:bottom w:val="single" w:sz="4" w:space="0" w:color="A6A6A6" w:themeColor="background1" w:themeShade="A6"/>
              <w:right w:val="nil"/>
            </w:tcBorders>
            <w:shd w:val="clear" w:color="auto" w:fill="auto"/>
          </w:tcPr>
          <w:p w:rsidR="00EF595D" w:rsidRPr="009E1E57" w:rsidRDefault="00EF595D" w:rsidP="0084428E">
            <w:pPr>
              <w:pStyle w:val="TableText"/>
              <w:jc w:val="center"/>
            </w:pPr>
            <w:r w:rsidRPr="009E1E57">
              <w:t>67.5%</w:t>
            </w:r>
          </w:p>
        </w:tc>
      </w:tr>
      <w:tr w:rsidR="0065065B" w:rsidRPr="009E1E57" w:rsidTr="00A37B6C">
        <w:trPr>
          <w:cantSplit/>
        </w:trPr>
        <w:tc>
          <w:tcPr>
            <w:tcW w:w="1418" w:type="dxa"/>
            <w:vMerge/>
            <w:tcBorders>
              <w:left w:val="nil"/>
            </w:tcBorders>
            <w:shd w:val="clear" w:color="auto" w:fill="auto"/>
          </w:tcPr>
          <w:p w:rsidR="00EF595D" w:rsidRPr="009E1E57" w:rsidRDefault="00EF595D" w:rsidP="00CA63A1">
            <w:pPr>
              <w:pStyle w:val="TableText"/>
            </w:pPr>
          </w:p>
        </w:tc>
        <w:tc>
          <w:tcPr>
            <w:tcW w:w="3118" w:type="dxa"/>
            <w:gridSpan w:val="2"/>
            <w:vMerge/>
            <w:shd w:val="clear" w:color="auto" w:fill="auto"/>
          </w:tcPr>
          <w:p w:rsidR="00EF595D" w:rsidRPr="009E1E57" w:rsidRDefault="00EF595D" w:rsidP="0084428E">
            <w:pPr>
              <w:pStyle w:val="TableText"/>
            </w:pPr>
          </w:p>
        </w:tc>
        <w:tc>
          <w:tcPr>
            <w:tcW w:w="2268" w:type="dxa"/>
            <w:gridSpan w:val="5"/>
            <w:tcBorders>
              <w:top w:val="single" w:sz="4" w:space="0" w:color="A6A6A6" w:themeColor="background1" w:themeShade="A6"/>
              <w:bottom w:val="single" w:sz="4" w:space="0" w:color="A6A6A6" w:themeColor="background1" w:themeShade="A6"/>
            </w:tcBorders>
            <w:shd w:val="clear" w:color="auto" w:fill="auto"/>
          </w:tcPr>
          <w:p w:rsidR="00EF595D" w:rsidRPr="009E1E57" w:rsidRDefault="00EF595D" w:rsidP="0084428E">
            <w:pPr>
              <w:pStyle w:val="TableText"/>
            </w:pPr>
            <w:r w:rsidRPr="009E1E57">
              <w:t>Waitemata</w:t>
            </w:r>
          </w:p>
        </w:tc>
        <w:tc>
          <w:tcPr>
            <w:tcW w:w="1701" w:type="dxa"/>
            <w:gridSpan w:val="3"/>
            <w:tcBorders>
              <w:top w:val="single" w:sz="4" w:space="0" w:color="A6A6A6" w:themeColor="background1" w:themeShade="A6"/>
              <w:bottom w:val="single" w:sz="4" w:space="0" w:color="A6A6A6" w:themeColor="background1" w:themeShade="A6"/>
            </w:tcBorders>
            <w:shd w:val="clear" w:color="auto" w:fill="auto"/>
          </w:tcPr>
          <w:p w:rsidR="00EF595D" w:rsidRPr="009E1E57" w:rsidRDefault="00EF595D" w:rsidP="0084428E">
            <w:pPr>
              <w:pStyle w:val="TableText"/>
              <w:jc w:val="center"/>
            </w:pPr>
            <w:r w:rsidRPr="009E1E57">
              <w:t>66.6%</w:t>
            </w:r>
          </w:p>
        </w:tc>
        <w:tc>
          <w:tcPr>
            <w:tcW w:w="851" w:type="dxa"/>
            <w:tcBorders>
              <w:top w:val="single" w:sz="4" w:space="0" w:color="A6A6A6" w:themeColor="background1" w:themeShade="A6"/>
              <w:left w:val="nil"/>
              <w:bottom w:val="single" w:sz="4" w:space="0" w:color="A6A6A6" w:themeColor="background1" w:themeShade="A6"/>
              <w:right w:val="nil"/>
            </w:tcBorders>
            <w:shd w:val="clear" w:color="auto" w:fill="auto"/>
          </w:tcPr>
          <w:p w:rsidR="00EF595D" w:rsidRPr="009E1E57" w:rsidRDefault="00EF595D" w:rsidP="0084428E">
            <w:pPr>
              <w:pStyle w:val="TableText"/>
              <w:jc w:val="center"/>
            </w:pPr>
            <w:r w:rsidRPr="009E1E57">
              <w:t>81.1%</w:t>
            </w:r>
          </w:p>
        </w:tc>
      </w:tr>
      <w:tr w:rsidR="00EF595D" w:rsidRPr="009E1E57" w:rsidTr="00A37B6C">
        <w:trPr>
          <w:cantSplit/>
        </w:trPr>
        <w:tc>
          <w:tcPr>
            <w:tcW w:w="1418" w:type="dxa"/>
            <w:vMerge/>
            <w:tcBorders>
              <w:left w:val="nil"/>
            </w:tcBorders>
            <w:shd w:val="clear" w:color="auto" w:fill="auto"/>
          </w:tcPr>
          <w:p w:rsidR="00EF595D" w:rsidRPr="009E1E57" w:rsidRDefault="00EF595D" w:rsidP="00CA63A1">
            <w:pPr>
              <w:pStyle w:val="TableText"/>
            </w:pPr>
          </w:p>
        </w:tc>
        <w:tc>
          <w:tcPr>
            <w:tcW w:w="1559" w:type="dxa"/>
            <w:vMerge w:val="restart"/>
            <w:tcBorders>
              <w:top w:val="single" w:sz="4" w:space="0" w:color="A6A6A6" w:themeColor="background1" w:themeShade="A6"/>
            </w:tcBorders>
            <w:shd w:val="clear" w:color="auto" w:fill="auto"/>
          </w:tcPr>
          <w:p w:rsidR="00EF595D" w:rsidRPr="009E1E57" w:rsidRDefault="00EF595D" w:rsidP="00A37B6C">
            <w:pPr>
              <w:pStyle w:val="TableText"/>
              <w:ind w:right="113"/>
            </w:pPr>
            <w:r w:rsidRPr="009E1E57">
              <w:rPr>
                <w:rFonts w:eastAsia="Arial"/>
              </w:rPr>
              <w:t xml:space="preserve">Increased number </w:t>
            </w:r>
            <w:r w:rsidRPr="009E1E57">
              <w:t>of Pacific children caries-free, and DMFT</w:t>
            </w:r>
            <w:r w:rsidR="00A37B6C">
              <w:rPr>
                <w:rStyle w:val="FootnoteReference"/>
              </w:rPr>
              <w:footnoteReference w:id="3"/>
            </w:r>
            <w:r w:rsidR="0065065B">
              <w:t xml:space="preserve"> </w:t>
            </w:r>
            <w:r w:rsidRPr="009E1E57">
              <w:t>rates</w:t>
            </w:r>
            <w:r w:rsidR="0065065B">
              <w:t xml:space="preserve"> </w:t>
            </w:r>
            <w:r w:rsidRPr="009E1E57">
              <w:t>at age</w:t>
            </w:r>
            <w:r w:rsidR="00085832">
              <w:t xml:space="preserve"> </w:t>
            </w:r>
            <w:r w:rsidRPr="009E1E57">
              <w:t>5 and school year 8 at least</w:t>
            </w:r>
            <w:r w:rsidR="00085832">
              <w:t xml:space="preserve"> </w:t>
            </w:r>
            <w:r w:rsidRPr="009E1E57">
              <w:t>equal</w:t>
            </w:r>
            <w:r w:rsidR="00085832">
              <w:t xml:space="preserve"> </w:t>
            </w:r>
            <w:r w:rsidRPr="009E1E57">
              <w:t>to the equivalent</w:t>
            </w:r>
            <w:r w:rsidR="0065065B">
              <w:t xml:space="preserve"> </w:t>
            </w:r>
            <w:r w:rsidRPr="009E1E57">
              <w:t>rates for the total population</w:t>
            </w:r>
          </w:p>
        </w:tc>
        <w:tc>
          <w:tcPr>
            <w:tcW w:w="5528" w:type="dxa"/>
            <w:gridSpan w:val="9"/>
            <w:tcBorders>
              <w:top w:val="single" w:sz="4" w:space="0" w:color="A6A6A6" w:themeColor="background1" w:themeShade="A6"/>
              <w:bottom w:val="single" w:sz="4" w:space="0" w:color="A6A6A6" w:themeColor="background1" w:themeShade="A6"/>
            </w:tcBorders>
            <w:shd w:val="clear" w:color="auto" w:fill="auto"/>
          </w:tcPr>
          <w:p w:rsidR="00EF595D" w:rsidRPr="0065065B" w:rsidRDefault="00EF595D" w:rsidP="0065065B">
            <w:pPr>
              <w:pStyle w:val="TableText"/>
              <w:jc w:val="center"/>
              <w:rPr>
                <w:b/>
              </w:rPr>
            </w:pPr>
            <w:r w:rsidRPr="0065065B">
              <w:rPr>
                <w:b/>
              </w:rPr>
              <w:t>Dental</w:t>
            </w:r>
            <w:r w:rsidR="00085832" w:rsidRPr="0065065B">
              <w:rPr>
                <w:b/>
              </w:rPr>
              <w:t xml:space="preserve"> </w:t>
            </w:r>
            <w:r w:rsidRPr="0065065B">
              <w:rPr>
                <w:b/>
              </w:rPr>
              <w:t>health status of Year 8 Pacific children 2013</w:t>
            </w:r>
          </w:p>
        </w:tc>
        <w:tc>
          <w:tcPr>
            <w:tcW w:w="851" w:type="dxa"/>
            <w:vMerge w:val="restart"/>
            <w:tcBorders>
              <w:left w:val="nil"/>
              <w:right w:val="nil"/>
            </w:tcBorders>
            <w:shd w:val="clear" w:color="auto" w:fill="auto"/>
          </w:tcPr>
          <w:p w:rsidR="00EF595D" w:rsidRPr="009E1E57" w:rsidRDefault="00EF595D" w:rsidP="0084428E">
            <w:pPr>
              <w:pStyle w:val="TableText"/>
            </w:pPr>
          </w:p>
        </w:tc>
      </w:tr>
      <w:tr w:rsidR="0065065B" w:rsidRPr="009E1E57" w:rsidTr="00A37B6C">
        <w:trPr>
          <w:cantSplit/>
        </w:trPr>
        <w:tc>
          <w:tcPr>
            <w:tcW w:w="1418" w:type="dxa"/>
            <w:vMerge/>
            <w:tcBorders>
              <w:left w:val="nil"/>
            </w:tcBorders>
            <w:shd w:val="clear" w:color="auto" w:fill="auto"/>
          </w:tcPr>
          <w:p w:rsidR="0065065B" w:rsidRPr="009E1E57" w:rsidRDefault="0065065B" w:rsidP="00CA63A1">
            <w:pPr>
              <w:pStyle w:val="TableText"/>
            </w:pPr>
          </w:p>
        </w:tc>
        <w:tc>
          <w:tcPr>
            <w:tcW w:w="1559" w:type="dxa"/>
            <w:vMerge/>
            <w:shd w:val="clear" w:color="auto" w:fill="auto"/>
          </w:tcPr>
          <w:p w:rsidR="0065065B" w:rsidRPr="009E1E57" w:rsidRDefault="0065065B" w:rsidP="0084428E">
            <w:pPr>
              <w:pStyle w:val="TableText"/>
            </w:pPr>
          </w:p>
        </w:tc>
        <w:tc>
          <w:tcPr>
            <w:tcW w:w="1621" w:type="dxa"/>
            <w:gridSpan w:val="2"/>
            <w:vMerge w:val="restart"/>
            <w:tcBorders>
              <w:top w:val="single" w:sz="4" w:space="0" w:color="A6A6A6" w:themeColor="background1" w:themeShade="A6"/>
            </w:tcBorders>
            <w:shd w:val="clear" w:color="auto" w:fill="auto"/>
          </w:tcPr>
          <w:p w:rsidR="0065065B" w:rsidRPr="0065065B" w:rsidRDefault="0065065B" w:rsidP="0084428E">
            <w:pPr>
              <w:pStyle w:val="TableText"/>
              <w:rPr>
                <w:rFonts w:eastAsia="Arial"/>
                <w:b/>
              </w:rPr>
            </w:pPr>
            <w:r w:rsidRPr="0065065B">
              <w:rPr>
                <w:rFonts w:eastAsia="Arial"/>
                <w:b/>
              </w:rPr>
              <w:t>District health board</w:t>
            </w:r>
          </w:p>
        </w:tc>
        <w:tc>
          <w:tcPr>
            <w:tcW w:w="1923" w:type="dxa"/>
            <w:gridSpan w:val="2"/>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65065B" w:rsidRPr="0065065B" w:rsidRDefault="0065065B" w:rsidP="0065065B">
            <w:pPr>
              <w:pStyle w:val="TableText"/>
              <w:jc w:val="center"/>
              <w:rPr>
                <w:rFonts w:eastAsia="Arial"/>
                <w:b/>
              </w:rPr>
            </w:pPr>
            <w:r w:rsidRPr="0065065B">
              <w:rPr>
                <w:rFonts w:eastAsia="Arial"/>
                <w:b/>
              </w:rPr>
              <w:t>Percentage of caries free</w:t>
            </w:r>
          </w:p>
        </w:tc>
        <w:tc>
          <w:tcPr>
            <w:tcW w:w="1984" w:type="dxa"/>
            <w:gridSpan w:val="5"/>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rsidR="0065065B" w:rsidRPr="0065065B" w:rsidRDefault="0065065B" w:rsidP="0065065B">
            <w:pPr>
              <w:pStyle w:val="TableText"/>
              <w:jc w:val="center"/>
              <w:rPr>
                <w:b/>
              </w:rPr>
            </w:pPr>
            <w:r w:rsidRPr="0065065B">
              <w:rPr>
                <w:rFonts w:eastAsia="Arial"/>
                <w:b/>
              </w:rPr>
              <w:t xml:space="preserve">No. of decayed, </w:t>
            </w:r>
            <w:r w:rsidRPr="0065065B">
              <w:rPr>
                <w:b/>
              </w:rPr>
              <w:t>missing and filled teeth</w:t>
            </w:r>
          </w:p>
        </w:tc>
        <w:tc>
          <w:tcPr>
            <w:tcW w:w="851" w:type="dxa"/>
            <w:vMerge/>
            <w:tcBorders>
              <w:left w:val="nil"/>
              <w:right w:val="nil"/>
            </w:tcBorders>
            <w:shd w:val="clear" w:color="auto" w:fill="auto"/>
          </w:tcPr>
          <w:p w:rsidR="0065065B" w:rsidRPr="009E1E57" w:rsidRDefault="0065065B" w:rsidP="0084428E">
            <w:pPr>
              <w:pStyle w:val="TableText"/>
            </w:pPr>
          </w:p>
        </w:tc>
      </w:tr>
      <w:tr w:rsidR="0065065B" w:rsidRPr="009E1E57" w:rsidTr="00A37B6C">
        <w:trPr>
          <w:cantSplit/>
        </w:trPr>
        <w:tc>
          <w:tcPr>
            <w:tcW w:w="1418" w:type="dxa"/>
            <w:vMerge/>
            <w:tcBorders>
              <w:left w:val="nil"/>
            </w:tcBorders>
            <w:shd w:val="clear" w:color="auto" w:fill="auto"/>
          </w:tcPr>
          <w:p w:rsidR="0065065B" w:rsidRPr="009E1E57" w:rsidRDefault="0065065B" w:rsidP="00CA63A1">
            <w:pPr>
              <w:pStyle w:val="TableText"/>
            </w:pPr>
          </w:p>
        </w:tc>
        <w:tc>
          <w:tcPr>
            <w:tcW w:w="1559" w:type="dxa"/>
            <w:vMerge/>
            <w:shd w:val="clear" w:color="auto" w:fill="auto"/>
          </w:tcPr>
          <w:p w:rsidR="0065065B" w:rsidRPr="009E1E57" w:rsidRDefault="0065065B" w:rsidP="0084428E">
            <w:pPr>
              <w:pStyle w:val="TableText"/>
            </w:pPr>
          </w:p>
        </w:tc>
        <w:tc>
          <w:tcPr>
            <w:tcW w:w="1621" w:type="dxa"/>
            <w:gridSpan w:val="2"/>
            <w:vMerge/>
            <w:tcBorders>
              <w:bottom w:val="single" w:sz="4" w:space="0" w:color="A6A6A6" w:themeColor="background1" w:themeShade="A6"/>
            </w:tcBorders>
            <w:shd w:val="clear" w:color="auto" w:fill="auto"/>
          </w:tcPr>
          <w:p w:rsidR="0065065B" w:rsidRPr="009E1E57" w:rsidRDefault="0065065B" w:rsidP="0084428E">
            <w:pPr>
              <w:pStyle w:val="TableText"/>
            </w:pPr>
          </w:p>
        </w:tc>
        <w:tc>
          <w:tcPr>
            <w:tcW w:w="961" w:type="dxa"/>
            <w:tcBorders>
              <w:top w:val="single" w:sz="4" w:space="0" w:color="A6A6A6" w:themeColor="background1" w:themeShade="A6"/>
              <w:bottom w:val="single" w:sz="4" w:space="0" w:color="A6A6A6" w:themeColor="background1" w:themeShade="A6"/>
            </w:tcBorders>
            <w:shd w:val="clear" w:color="auto" w:fill="auto"/>
          </w:tcPr>
          <w:p w:rsidR="0065065B" w:rsidRPr="0065065B" w:rsidRDefault="0065065B" w:rsidP="0065065B">
            <w:pPr>
              <w:pStyle w:val="TableText"/>
              <w:jc w:val="center"/>
              <w:rPr>
                <w:b/>
              </w:rPr>
            </w:pPr>
            <w:r w:rsidRPr="0065065B">
              <w:rPr>
                <w:b/>
              </w:rPr>
              <w:t>Pacific</w:t>
            </w:r>
          </w:p>
        </w:tc>
        <w:tc>
          <w:tcPr>
            <w:tcW w:w="962"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65065B" w:rsidRPr="0065065B" w:rsidRDefault="0065065B" w:rsidP="0065065B">
            <w:pPr>
              <w:pStyle w:val="TableText"/>
              <w:jc w:val="center"/>
              <w:rPr>
                <w:rFonts w:eastAsia="Arial"/>
                <w:b/>
              </w:rPr>
            </w:pPr>
            <w:r w:rsidRPr="0065065B">
              <w:rPr>
                <w:rFonts w:eastAsia="Arial"/>
                <w:b/>
              </w:rPr>
              <w:t>Total</w:t>
            </w:r>
          </w:p>
        </w:tc>
        <w:tc>
          <w:tcPr>
            <w:tcW w:w="992"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65065B" w:rsidRPr="0065065B" w:rsidRDefault="0065065B" w:rsidP="0065065B">
            <w:pPr>
              <w:pStyle w:val="TableText"/>
              <w:jc w:val="center"/>
              <w:rPr>
                <w:b/>
              </w:rPr>
            </w:pPr>
            <w:r w:rsidRPr="0065065B">
              <w:rPr>
                <w:b/>
              </w:rPr>
              <w:t>Pacific</w:t>
            </w:r>
          </w:p>
        </w:tc>
        <w:tc>
          <w:tcPr>
            <w:tcW w:w="992" w:type="dxa"/>
            <w:gridSpan w:val="2"/>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rsidR="0065065B" w:rsidRPr="0065065B" w:rsidRDefault="0065065B" w:rsidP="0065065B">
            <w:pPr>
              <w:pStyle w:val="TableText"/>
              <w:jc w:val="center"/>
              <w:rPr>
                <w:rFonts w:eastAsia="Arial"/>
                <w:b/>
              </w:rPr>
            </w:pPr>
            <w:r w:rsidRPr="0065065B">
              <w:rPr>
                <w:rFonts w:eastAsia="Arial"/>
                <w:b/>
              </w:rPr>
              <w:t>Total</w:t>
            </w:r>
          </w:p>
        </w:tc>
        <w:tc>
          <w:tcPr>
            <w:tcW w:w="851" w:type="dxa"/>
            <w:vMerge/>
            <w:tcBorders>
              <w:left w:val="nil"/>
              <w:right w:val="nil"/>
            </w:tcBorders>
            <w:shd w:val="clear" w:color="auto" w:fill="auto"/>
          </w:tcPr>
          <w:p w:rsidR="0065065B" w:rsidRPr="009E1E57" w:rsidRDefault="0065065B" w:rsidP="0084428E">
            <w:pPr>
              <w:pStyle w:val="TableText"/>
            </w:pPr>
          </w:p>
        </w:tc>
      </w:tr>
      <w:tr w:rsidR="00A37B6C" w:rsidRPr="009E1E57" w:rsidTr="00A37B6C">
        <w:trPr>
          <w:cantSplit/>
        </w:trPr>
        <w:tc>
          <w:tcPr>
            <w:tcW w:w="1418" w:type="dxa"/>
            <w:vMerge/>
            <w:tcBorders>
              <w:left w:val="nil"/>
            </w:tcBorders>
            <w:shd w:val="clear" w:color="auto" w:fill="auto"/>
          </w:tcPr>
          <w:p w:rsidR="00EF595D" w:rsidRPr="009E1E57" w:rsidRDefault="00EF595D" w:rsidP="00CA63A1">
            <w:pPr>
              <w:pStyle w:val="TableText"/>
            </w:pPr>
          </w:p>
        </w:tc>
        <w:tc>
          <w:tcPr>
            <w:tcW w:w="1559" w:type="dxa"/>
            <w:vMerge/>
            <w:shd w:val="clear" w:color="auto" w:fill="auto"/>
          </w:tcPr>
          <w:p w:rsidR="00EF595D" w:rsidRPr="009E1E57" w:rsidRDefault="00EF595D" w:rsidP="0084428E">
            <w:pPr>
              <w:pStyle w:val="TableText"/>
            </w:pPr>
          </w:p>
        </w:tc>
        <w:tc>
          <w:tcPr>
            <w:tcW w:w="1621" w:type="dxa"/>
            <w:gridSpan w:val="2"/>
            <w:tcBorders>
              <w:top w:val="single" w:sz="4" w:space="0" w:color="A6A6A6" w:themeColor="background1" w:themeShade="A6"/>
              <w:bottom w:val="single" w:sz="4" w:space="0" w:color="A6A6A6" w:themeColor="background1" w:themeShade="A6"/>
            </w:tcBorders>
            <w:shd w:val="clear" w:color="auto" w:fill="auto"/>
          </w:tcPr>
          <w:p w:rsidR="00EF595D" w:rsidRPr="009E1E57" w:rsidRDefault="00EF595D" w:rsidP="0084428E">
            <w:pPr>
              <w:pStyle w:val="TableText"/>
            </w:pPr>
            <w:r w:rsidRPr="009E1E57">
              <w:t>Auckland</w:t>
            </w:r>
          </w:p>
        </w:tc>
        <w:tc>
          <w:tcPr>
            <w:tcW w:w="961" w:type="dxa"/>
            <w:tcBorders>
              <w:top w:val="single" w:sz="4" w:space="0" w:color="A6A6A6" w:themeColor="background1" w:themeShade="A6"/>
              <w:bottom w:val="single" w:sz="4" w:space="0" w:color="A6A6A6" w:themeColor="background1" w:themeShade="A6"/>
            </w:tcBorders>
            <w:shd w:val="clear" w:color="auto" w:fill="auto"/>
          </w:tcPr>
          <w:p w:rsidR="00EF595D" w:rsidRPr="009E1E57" w:rsidRDefault="00EF595D" w:rsidP="0065065B">
            <w:pPr>
              <w:pStyle w:val="TableText"/>
              <w:jc w:val="center"/>
            </w:pPr>
            <w:r w:rsidRPr="009E1E57">
              <w:t>39.98</w:t>
            </w:r>
          </w:p>
        </w:tc>
        <w:tc>
          <w:tcPr>
            <w:tcW w:w="962"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EF595D" w:rsidRPr="009E1E57" w:rsidRDefault="00EF595D" w:rsidP="0065065B">
            <w:pPr>
              <w:pStyle w:val="TableText"/>
              <w:jc w:val="center"/>
            </w:pPr>
            <w:r w:rsidRPr="009E1E57">
              <w:t>62.06</w:t>
            </w:r>
          </w:p>
        </w:tc>
        <w:tc>
          <w:tcPr>
            <w:tcW w:w="992"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EF595D" w:rsidRPr="009E1E57" w:rsidRDefault="00EF595D" w:rsidP="0065065B">
            <w:pPr>
              <w:pStyle w:val="TableText"/>
              <w:tabs>
                <w:tab w:val="decimal" w:pos="652"/>
              </w:tabs>
            </w:pPr>
            <w:r w:rsidRPr="009E1E57">
              <w:t>1640</w:t>
            </w:r>
          </w:p>
        </w:tc>
        <w:tc>
          <w:tcPr>
            <w:tcW w:w="992" w:type="dxa"/>
            <w:gridSpan w:val="2"/>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rsidR="00EF595D" w:rsidRPr="009E1E57" w:rsidRDefault="00EF595D" w:rsidP="0065065B">
            <w:pPr>
              <w:pStyle w:val="TableText"/>
              <w:tabs>
                <w:tab w:val="decimal" w:pos="652"/>
              </w:tabs>
            </w:pPr>
            <w:r w:rsidRPr="009E1E57">
              <w:t>6592</w:t>
            </w:r>
          </w:p>
        </w:tc>
        <w:tc>
          <w:tcPr>
            <w:tcW w:w="851" w:type="dxa"/>
            <w:vMerge/>
            <w:tcBorders>
              <w:left w:val="nil"/>
              <w:right w:val="nil"/>
            </w:tcBorders>
            <w:shd w:val="clear" w:color="auto" w:fill="auto"/>
          </w:tcPr>
          <w:p w:rsidR="00EF595D" w:rsidRPr="009E1E57" w:rsidRDefault="00EF595D" w:rsidP="0084428E">
            <w:pPr>
              <w:pStyle w:val="TableText"/>
            </w:pPr>
          </w:p>
        </w:tc>
      </w:tr>
      <w:tr w:rsidR="00A37B6C" w:rsidRPr="009E1E57" w:rsidTr="00A37B6C">
        <w:trPr>
          <w:cantSplit/>
        </w:trPr>
        <w:tc>
          <w:tcPr>
            <w:tcW w:w="1418" w:type="dxa"/>
            <w:vMerge/>
            <w:tcBorders>
              <w:left w:val="nil"/>
            </w:tcBorders>
            <w:shd w:val="clear" w:color="auto" w:fill="auto"/>
          </w:tcPr>
          <w:p w:rsidR="00EF595D" w:rsidRPr="009E1E57" w:rsidRDefault="00EF595D" w:rsidP="00CA63A1">
            <w:pPr>
              <w:pStyle w:val="TableText"/>
            </w:pPr>
          </w:p>
        </w:tc>
        <w:tc>
          <w:tcPr>
            <w:tcW w:w="1559" w:type="dxa"/>
            <w:vMerge/>
            <w:shd w:val="clear" w:color="auto" w:fill="auto"/>
          </w:tcPr>
          <w:p w:rsidR="00EF595D" w:rsidRPr="009E1E57" w:rsidRDefault="00EF595D" w:rsidP="0084428E">
            <w:pPr>
              <w:pStyle w:val="TableText"/>
            </w:pPr>
          </w:p>
        </w:tc>
        <w:tc>
          <w:tcPr>
            <w:tcW w:w="1621" w:type="dxa"/>
            <w:gridSpan w:val="2"/>
            <w:tcBorders>
              <w:top w:val="single" w:sz="4" w:space="0" w:color="A6A6A6" w:themeColor="background1" w:themeShade="A6"/>
              <w:bottom w:val="single" w:sz="4" w:space="0" w:color="A6A6A6" w:themeColor="background1" w:themeShade="A6"/>
            </w:tcBorders>
            <w:shd w:val="clear" w:color="auto" w:fill="auto"/>
          </w:tcPr>
          <w:p w:rsidR="00EF595D" w:rsidRPr="009E1E57" w:rsidRDefault="00EF595D" w:rsidP="0084428E">
            <w:pPr>
              <w:pStyle w:val="TableText"/>
            </w:pPr>
            <w:r w:rsidRPr="009E1E57">
              <w:t>Canterbury</w:t>
            </w:r>
          </w:p>
        </w:tc>
        <w:tc>
          <w:tcPr>
            <w:tcW w:w="961" w:type="dxa"/>
            <w:tcBorders>
              <w:top w:val="single" w:sz="4" w:space="0" w:color="A6A6A6" w:themeColor="background1" w:themeShade="A6"/>
              <w:bottom w:val="single" w:sz="4" w:space="0" w:color="A6A6A6" w:themeColor="background1" w:themeShade="A6"/>
            </w:tcBorders>
            <w:shd w:val="clear" w:color="auto" w:fill="auto"/>
          </w:tcPr>
          <w:p w:rsidR="00EF595D" w:rsidRPr="009E1E57" w:rsidRDefault="00EF595D" w:rsidP="0065065B">
            <w:pPr>
              <w:pStyle w:val="TableText"/>
              <w:jc w:val="center"/>
            </w:pPr>
            <w:r w:rsidRPr="009E1E57">
              <w:t>43.33</w:t>
            </w:r>
          </w:p>
        </w:tc>
        <w:tc>
          <w:tcPr>
            <w:tcW w:w="962"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EF595D" w:rsidRPr="009E1E57" w:rsidRDefault="00EF595D" w:rsidP="0065065B">
            <w:pPr>
              <w:pStyle w:val="TableText"/>
              <w:jc w:val="center"/>
            </w:pPr>
            <w:r w:rsidRPr="009E1E57">
              <w:t>62.37</w:t>
            </w:r>
          </w:p>
        </w:tc>
        <w:tc>
          <w:tcPr>
            <w:tcW w:w="992"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EF595D" w:rsidRPr="009E1E57" w:rsidRDefault="00EF595D" w:rsidP="0065065B">
            <w:pPr>
              <w:pStyle w:val="TableText"/>
              <w:tabs>
                <w:tab w:val="decimal" w:pos="652"/>
              </w:tabs>
            </w:pPr>
            <w:r w:rsidRPr="009E1E57">
              <w:t>251</w:t>
            </w:r>
          </w:p>
        </w:tc>
        <w:tc>
          <w:tcPr>
            <w:tcW w:w="992" w:type="dxa"/>
            <w:gridSpan w:val="2"/>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rsidR="00EF595D" w:rsidRPr="009E1E57" w:rsidRDefault="00EF595D" w:rsidP="0065065B">
            <w:pPr>
              <w:pStyle w:val="TableText"/>
              <w:tabs>
                <w:tab w:val="decimal" w:pos="652"/>
              </w:tabs>
            </w:pPr>
            <w:r w:rsidRPr="009E1E57">
              <w:t>10188</w:t>
            </w:r>
          </w:p>
        </w:tc>
        <w:tc>
          <w:tcPr>
            <w:tcW w:w="851" w:type="dxa"/>
            <w:vMerge/>
            <w:tcBorders>
              <w:left w:val="nil"/>
              <w:right w:val="nil"/>
            </w:tcBorders>
            <w:shd w:val="clear" w:color="auto" w:fill="auto"/>
          </w:tcPr>
          <w:p w:rsidR="00EF595D" w:rsidRPr="009E1E57" w:rsidRDefault="00EF595D" w:rsidP="0084428E">
            <w:pPr>
              <w:pStyle w:val="TableText"/>
            </w:pPr>
          </w:p>
        </w:tc>
      </w:tr>
      <w:tr w:rsidR="00A37B6C" w:rsidRPr="009E1E57" w:rsidTr="00A37B6C">
        <w:trPr>
          <w:cantSplit/>
        </w:trPr>
        <w:tc>
          <w:tcPr>
            <w:tcW w:w="1418" w:type="dxa"/>
            <w:vMerge/>
            <w:tcBorders>
              <w:left w:val="nil"/>
            </w:tcBorders>
            <w:shd w:val="clear" w:color="auto" w:fill="auto"/>
          </w:tcPr>
          <w:p w:rsidR="00EF595D" w:rsidRPr="009E1E57" w:rsidRDefault="00EF595D" w:rsidP="00CA63A1">
            <w:pPr>
              <w:pStyle w:val="TableText"/>
            </w:pPr>
          </w:p>
        </w:tc>
        <w:tc>
          <w:tcPr>
            <w:tcW w:w="1559" w:type="dxa"/>
            <w:vMerge/>
            <w:shd w:val="clear" w:color="auto" w:fill="auto"/>
          </w:tcPr>
          <w:p w:rsidR="00EF595D" w:rsidRPr="009E1E57" w:rsidRDefault="00EF595D" w:rsidP="0084428E">
            <w:pPr>
              <w:pStyle w:val="TableText"/>
            </w:pPr>
          </w:p>
        </w:tc>
        <w:tc>
          <w:tcPr>
            <w:tcW w:w="1621" w:type="dxa"/>
            <w:gridSpan w:val="2"/>
            <w:tcBorders>
              <w:top w:val="single" w:sz="4" w:space="0" w:color="A6A6A6" w:themeColor="background1" w:themeShade="A6"/>
              <w:bottom w:val="single" w:sz="4" w:space="0" w:color="A6A6A6" w:themeColor="background1" w:themeShade="A6"/>
            </w:tcBorders>
            <w:shd w:val="clear" w:color="auto" w:fill="auto"/>
          </w:tcPr>
          <w:p w:rsidR="00EF595D" w:rsidRPr="0065065B" w:rsidRDefault="00EF595D" w:rsidP="0065065B">
            <w:pPr>
              <w:pStyle w:val="TableText"/>
              <w:rPr>
                <w:rFonts w:eastAsia="Arial"/>
              </w:rPr>
            </w:pPr>
            <w:r w:rsidRPr="0065065B">
              <w:t>Capital</w:t>
            </w:r>
            <w:r w:rsidR="00085832" w:rsidRPr="0065065B">
              <w:t xml:space="preserve"> </w:t>
            </w:r>
            <w:r w:rsidRPr="0065065B">
              <w:t>&amp; Coast</w:t>
            </w:r>
            <w:r w:rsidRPr="0065065B">
              <w:rPr>
                <w:rFonts w:eastAsia="Arial"/>
                <w:vertAlign w:val="superscript"/>
              </w:rPr>
              <w:t>#</w:t>
            </w:r>
          </w:p>
        </w:tc>
        <w:tc>
          <w:tcPr>
            <w:tcW w:w="961" w:type="dxa"/>
            <w:tcBorders>
              <w:top w:val="single" w:sz="4" w:space="0" w:color="A6A6A6" w:themeColor="background1" w:themeShade="A6"/>
              <w:bottom w:val="single" w:sz="4" w:space="0" w:color="A6A6A6" w:themeColor="background1" w:themeShade="A6"/>
            </w:tcBorders>
            <w:shd w:val="clear" w:color="auto" w:fill="auto"/>
          </w:tcPr>
          <w:p w:rsidR="00EF595D" w:rsidRPr="009E1E57" w:rsidRDefault="00EF595D" w:rsidP="0065065B">
            <w:pPr>
              <w:pStyle w:val="TableText"/>
              <w:jc w:val="center"/>
            </w:pPr>
            <w:r w:rsidRPr="009E1E57">
              <w:t>45.52</w:t>
            </w:r>
          </w:p>
        </w:tc>
        <w:tc>
          <w:tcPr>
            <w:tcW w:w="962"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EF595D" w:rsidRPr="009E1E57" w:rsidRDefault="00EF595D" w:rsidP="0065065B">
            <w:pPr>
              <w:pStyle w:val="TableText"/>
              <w:jc w:val="center"/>
            </w:pPr>
            <w:r w:rsidRPr="009E1E57">
              <w:t>65.08</w:t>
            </w:r>
          </w:p>
        </w:tc>
        <w:tc>
          <w:tcPr>
            <w:tcW w:w="992"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EF595D" w:rsidRPr="009E1E57" w:rsidRDefault="00EF595D" w:rsidP="0065065B">
            <w:pPr>
              <w:pStyle w:val="TableText"/>
              <w:tabs>
                <w:tab w:val="decimal" w:pos="652"/>
              </w:tabs>
            </w:pPr>
            <w:r w:rsidRPr="009E1E57">
              <w:t>332</w:t>
            </w:r>
          </w:p>
        </w:tc>
        <w:tc>
          <w:tcPr>
            <w:tcW w:w="992" w:type="dxa"/>
            <w:gridSpan w:val="2"/>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rsidR="00EF595D" w:rsidRPr="009E1E57" w:rsidRDefault="00EF595D" w:rsidP="0065065B">
            <w:pPr>
              <w:pStyle w:val="TableText"/>
              <w:tabs>
                <w:tab w:val="decimal" w:pos="652"/>
              </w:tabs>
            </w:pPr>
            <w:r w:rsidRPr="009E1E57">
              <w:t>3910</w:t>
            </w:r>
          </w:p>
        </w:tc>
        <w:tc>
          <w:tcPr>
            <w:tcW w:w="851" w:type="dxa"/>
            <w:vMerge/>
            <w:tcBorders>
              <w:left w:val="nil"/>
              <w:right w:val="nil"/>
            </w:tcBorders>
            <w:shd w:val="clear" w:color="auto" w:fill="auto"/>
          </w:tcPr>
          <w:p w:rsidR="00EF595D" w:rsidRPr="009E1E57" w:rsidRDefault="00EF595D" w:rsidP="0084428E">
            <w:pPr>
              <w:pStyle w:val="TableText"/>
            </w:pPr>
          </w:p>
        </w:tc>
      </w:tr>
      <w:tr w:rsidR="00A37B6C" w:rsidRPr="009E1E57" w:rsidTr="00A37B6C">
        <w:trPr>
          <w:cantSplit/>
        </w:trPr>
        <w:tc>
          <w:tcPr>
            <w:tcW w:w="1418" w:type="dxa"/>
            <w:vMerge/>
            <w:tcBorders>
              <w:left w:val="nil"/>
            </w:tcBorders>
            <w:shd w:val="clear" w:color="auto" w:fill="auto"/>
          </w:tcPr>
          <w:p w:rsidR="00EF595D" w:rsidRPr="009E1E57" w:rsidRDefault="00EF595D" w:rsidP="00CA63A1">
            <w:pPr>
              <w:pStyle w:val="TableText"/>
            </w:pPr>
          </w:p>
        </w:tc>
        <w:tc>
          <w:tcPr>
            <w:tcW w:w="1559" w:type="dxa"/>
            <w:vMerge/>
            <w:shd w:val="clear" w:color="auto" w:fill="auto"/>
          </w:tcPr>
          <w:p w:rsidR="00EF595D" w:rsidRPr="009E1E57" w:rsidRDefault="00EF595D" w:rsidP="0084428E">
            <w:pPr>
              <w:pStyle w:val="TableText"/>
            </w:pPr>
          </w:p>
        </w:tc>
        <w:tc>
          <w:tcPr>
            <w:tcW w:w="1621" w:type="dxa"/>
            <w:gridSpan w:val="2"/>
            <w:tcBorders>
              <w:top w:val="single" w:sz="4" w:space="0" w:color="A6A6A6" w:themeColor="background1" w:themeShade="A6"/>
              <w:bottom w:val="single" w:sz="4" w:space="0" w:color="A6A6A6" w:themeColor="background1" w:themeShade="A6"/>
            </w:tcBorders>
            <w:shd w:val="clear" w:color="auto" w:fill="auto"/>
          </w:tcPr>
          <w:p w:rsidR="00EF595D" w:rsidRPr="009E1E57" w:rsidRDefault="00EF595D" w:rsidP="0084428E">
            <w:pPr>
              <w:pStyle w:val="TableText"/>
            </w:pPr>
            <w:r w:rsidRPr="009E1E57">
              <w:t>Counties Manukau</w:t>
            </w:r>
          </w:p>
        </w:tc>
        <w:tc>
          <w:tcPr>
            <w:tcW w:w="961" w:type="dxa"/>
            <w:tcBorders>
              <w:top w:val="single" w:sz="4" w:space="0" w:color="A6A6A6" w:themeColor="background1" w:themeShade="A6"/>
              <w:bottom w:val="single" w:sz="4" w:space="0" w:color="A6A6A6" w:themeColor="background1" w:themeShade="A6"/>
            </w:tcBorders>
            <w:shd w:val="clear" w:color="auto" w:fill="auto"/>
          </w:tcPr>
          <w:p w:rsidR="00EF595D" w:rsidRPr="009E1E57" w:rsidRDefault="00EF595D" w:rsidP="0065065B">
            <w:pPr>
              <w:pStyle w:val="TableText"/>
              <w:jc w:val="center"/>
            </w:pPr>
            <w:r w:rsidRPr="009E1E57">
              <w:t>36.25</w:t>
            </w:r>
          </w:p>
        </w:tc>
        <w:tc>
          <w:tcPr>
            <w:tcW w:w="962"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EF595D" w:rsidRPr="009E1E57" w:rsidRDefault="00EF595D" w:rsidP="0065065B">
            <w:pPr>
              <w:pStyle w:val="TableText"/>
              <w:jc w:val="center"/>
            </w:pPr>
            <w:r w:rsidRPr="009E1E57">
              <w:t>50.79</w:t>
            </w:r>
          </w:p>
        </w:tc>
        <w:tc>
          <w:tcPr>
            <w:tcW w:w="992"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EF595D" w:rsidRPr="009E1E57" w:rsidRDefault="00EF595D" w:rsidP="0065065B">
            <w:pPr>
              <w:pStyle w:val="TableText"/>
              <w:tabs>
                <w:tab w:val="decimal" w:pos="652"/>
              </w:tabs>
            </w:pPr>
            <w:r w:rsidRPr="009E1E57">
              <w:t>2697</w:t>
            </w:r>
          </w:p>
        </w:tc>
        <w:tc>
          <w:tcPr>
            <w:tcW w:w="992" w:type="dxa"/>
            <w:gridSpan w:val="2"/>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rsidR="00EF595D" w:rsidRPr="009E1E57" w:rsidRDefault="00EF595D" w:rsidP="0065065B">
            <w:pPr>
              <w:pStyle w:val="TableText"/>
              <w:tabs>
                <w:tab w:val="decimal" w:pos="652"/>
              </w:tabs>
            </w:pPr>
            <w:r w:rsidRPr="009E1E57">
              <w:t>14683</w:t>
            </w:r>
          </w:p>
        </w:tc>
        <w:tc>
          <w:tcPr>
            <w:tcW w:w="851" w:type="dxa"/>
            <w:vMerge/>
            <w:tcBorders>
              <w:left w:val="nil"/>
              <w:right w:val="nil"/>
            </w:tcBorders>
            <w:shd w:val="clear" w:color="auto" w:fill="auto"/>
          </w:tcPr>
          <w:p w:rsidR="00EF595D" w:rsidRPr="009E1E57" w:rsidRDefault="00EF595D" w:rsidP="0084428E">
            <w:pPr>
              <w:pStyle w:val="TableText"/>
            </w:pPr>
          </w:p>
        </w:tc>
      </w:tr>
      <w:tr w:rsidR="00A37B6C" w:rsidRPr="009E1E57" w:rsidTr="00A37B6C">
        <w:trPr>
          <w:cantSplit/>
        </w:trPr>
        <w:tc>
          <w:tcPr>
            <w:tcW w:w="1418" w:type="dxa"/>
            <w:vMerge/>
            <w:tcBorders>
              <w:left w:val="nil"/>
            </w:tcBorders>
            <w:shd w:val="clear" w:color="auto" w:fill="auto"/>
          </w:tcPr>
          <w:p w:rsidR="00EF595D" w:rsidRPr="009E1E57" w:rsidRDefault="00EF595D" w:rsidP="00CA63A1">
            <w:pPr>
              <w:pStyle w:val="TableText"/>
            </w:pPr>
          </w:p>
        </w:tc>
        <w:tc>
          <w:tcPr>
            <w:tcW w:w="1559" w:type="dxa"/>
            <w:vMerge/>
            <w:shd w:val="clear" w:color="auto" w:fill="auto"/>
          </w:tcPr>
          <w:p w:rsidR="00EF595D" w:rsidRPr="009E1E57" w:rsidRDefault="00EF595D" w:rsidP="0084428E">
            <w:pPr>
              <w:pStyle w:val="TableText"/>
            </w:pPr>
          </w:p>
        </w:tc>
        <w:tc>
          <w:tcPr>
            <w:tcW w:w="1621" w:type="dxa"/>
            <w:gridSpan w:val="2"/>
            <w:tcBorders>
              <w:top w:val="single" w:sz="4" w:space="0" w:color="A6A6A6" w:themeColor="background1" w:themeShade="A6"/>
              <w:bottom w:val="single" w:sz="4" w:space="0" w:color="A6A6A6" w:themeColor="background1" w:themeShade="A6"/>
            </w:tcBorders>
            <w:shd w:val="clear" w:color="auto" w:fill="auto"/>
          </w:tcPr>
          <w:p w:rsidR="00EF595D" w:rsidRPr="0065065B" w:rsidRDefault="00EF595D" w:rsidP="0065065B">
            <w:pPr>
              <w:pStyle w:val="TableText"/>
              <w:rPr>
                <w:rFonts w:eastAsia="Arial"/>
              </w:rPr>
            </w:pPr>
            <w:r w:rsidRPr="0065065B">
              <w:t>Hutt Valley</w:t>
            </w:r>
            <w:r w:rsidRPr="0065065B">
              <w:rPr>
                <w:rFonts w:eastAsia="Arial"/>
                <w:vertAlign w:val="superscript"/>
              </w:rPr>
              <w:t>#</w:t>
            </w:r>
          </w:p>
        </w:tc>
        <w:tc>
          <w:tcPr>
            <w:tcW w:w="961" w:type="dxa"/>
            <w:tcBorders>
              <w:top w:val="single" w:sz="4" w:space="0" w:color="A6A6A6" w:themeColor="background1" w:themeShade="A6"/>
              <w:bottom w:val="single" w:sz="4" w:space="0" w:color="A6A6A6" w:themeColor="background1" w:themeShade="A6"/>
            </w:tcBorders>
            <w:shd w:val="clear" w:color="auto" w:fill="auto"/>
          </w:tcPr>
          <w:p w:rsidR="00EF595D" w:rsidRPr="009E1E57" w:rsidRDefault="00EF595D" w:rsidP="0065065B">
            <w:pPr>
              <w:pStyle w:val="TableText"/>
              <w:jc w:val="center"/>
            </w:pPr>
            <w:r w:rsidRPr="009E1E57">
              <w:t>55.62</w:t>
            </w:r>
          </w:p>
        </w:tc>
        <w:tc>
          <w:tcPr>
            <w:tcW w:w="962"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EF595D" w:rsidRPr="009E1E57" w:rsidRDefault="00EF595D" w:rsidP="0065065B">
            <w:pPr>
              <w:pStyle w:val="TableText"/>
              <w:jc w:val="center"/>
            </w:pPr>
            <w:r w:rsidRPr="009E1E57">
              <w:t>63.23</w:t>
            </w:r>
          </w:p>
        </w:tc>
        <w:tc>
          <w:tcPr>
            <w:tcW w:w="992"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EF595D" w:rsidRPr="009E1E57" w:rsidRDefault="00EF595D" w:rsidP="0065065B">
            <w:pPr>
              <w:pStyle w:val="TableText"/>
              <w:tabs>
                <w:tab w:val="decimal" w:pos="652"/>
              </w:tabs>
            </w:pPr>
            <w:r w:rsidRPr="009E1E57">
              <w:t>167</w:t>
            </w:r>
          </w:p>
        </w:tc>
        <w:tc>
          <w:tcPr>
            <w:tcW w:w="992" w:type="dxa"/>
            <w:gridSpan w:val="2"/>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rsidR="00EF595D" w:rsidRPr="009E1E57" w:rsidRDefault="00EF595D" w:rsidP="0065065B">
            <w:pPr>
              <w:pStyle w:val="TableText"/>
              <w:tabs>
                <w:tab w:val="decimal" w:pos="652"/>
              </w:tabs>
            </w:pPr>
            <w:r w:rsidRPr="009E1E57">
              <w:t>2628</w:t>
            </w:r>
          </w:p>
        </w:tc>
        <w:tc>
          <w:tcPr>
            <w:tcW w:w="851" w:type="dxa"/>
            <w:vMerge/>
            <w:tcBorders>
              <w:left w:val="nil"/>
              <w:right w:val="nil"/>
            </w:tcBorders>
            <w:shd w:val="clear" w:color="auto" w:fill="auto"/>
          </w:tcPr>
          <w:p w:rsidR="00EF595D" w:rsidRPr="009E1E57" w:rsidRDefault="00EF595D" w:rsidP="0084428E">
            <w:pPr>
              <w:pStyle w:val="TableText"/>
            </w:pPr>
          </w:p>
        </w:tc>
      </w:tr>
      <w:tr w:rsidR="00A37B6C" w:rsidRPr="009E1E57" w:rsidTr="00A37B6C">
        <w:trPr>
          <w:cantSplit/>
        </w:trPr>
        <w:tc>
          <w:tcPr>
            <w:tcW w:w="1418" w:type="dxa"/>
            <w:vMerge/>
            <w:tcBorders>
              <w:left w:val="nil"/>
            </w:tcBorders>
            <w:shd w:val="clear" w:color="auto" w:fill="auto"/>
          </w:tcPr>
          <w:p w:rsidR="00EF595D" w:rsidRPr="009E1E57" w:rsidRDefault="00EF595D" w:rsidP="00CA63A1">
            <w:pPr>
              <w:pStyle w:val="TableText"/>
            </w:pPr>
          </w:p>
        </w:tc>
        <w:tc>
          <w:tcPr>
            <w:tcW w:w="1559" w:type="dxa"/>
            <w:vMerge/>
            <w:shd w:val="clear" w:color="auto" w:fill="auto"/>
          </w:tcPr>
          <w:p w:rsidR="00EF595D" w:rsidRPr="009E1E57" w:rsidRDefault="00EF595D" w:rsidP="0084428E">
            <w:pPr>
              <w:pStyle w:val="TableText"/>
            </w:pPr>
          </w:p>
        </w:tc>
        <w:tc>
          <w:tcPr>
            <w:tcW w:w="1621" w:type="dxa"/>
            <w:gridSpan w:val="2"/>
            <w:tcBorders>
              <w:top w:val="single" w:sz="4" w:space="0" w:color="A6A6A6" w:themeColor="background1" w:themeShade="A6"/>
              <w:bottom w:val="single" w:sz="4" w:space="0" w:color="A6A6A6" w:themeColor="background1" w:themeShade="A6"/>
            </w:tcBorders>
            <w:shd w:val="clear" w:color="auto" w:fill="auto"/>
          </w:tcPr>
          <w:p w:rsidR="00EF595D" w:rsidRPr="009E1E57" w:rsidRDefault="00EF595D" w:rsidP="0084428E">
            <w:pPr>
              <w:pStyle w:val="TableText"/>
            </w:pPr>
            <w:r w:rsidRPr="009E1E57">
              <w:t>Waikato</w:t>
            </w:r>
          </w:p>
        </w:tc>
        <w:tc>
          <w:tcPr>
            <w:tcW w:w="961" w:type="dxa"/>
            <w:tcBorders>
              <w:top w:val="single" w:sz="4" w:space="0" w:color="A6A6A6" w:themeColor="background1" w:themeShade="A6"/>
              <w:bottom w:val="single" w:sz="4" w:space="0" w:color="A6A6A6" w:themeColor="background1" w:themeShade="A6"/>
            </w:tcBorders>
            <w:shd w:val="clear" w:color="auto" w:fill="auto"/>
          </w:tcPr>
          <w:p w:rsidR="00EF595D" w:rsidRPr="009E1E57" w:rsidRDefault="00EF595D" w:rsidP="0065065B">
            <w:pPr>
              <w:pStyle w:val="TableText"/>
              <w:jc w:val="center"/>
            </w:pPr>
            <w:r w:rsidRPr="009E1E57">
              <w:t>42.99</w:t>
            </w:r>
          </w:p>
        </w:tc>
        <w:tc>
          <w:tcPr>
            <w:tcW w:w="962"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EF595D" w:rsidRPr="009E1E57" w:rsidRDefault="00EF595D" w:rsidP="0065065B">
            <w:pPr>
              <w:pStyle w:val="TableText"/>
              <w:jc w:val="center"/>
            </w:pPr>
            <w:r w:rsidRPr="009E1E57">
              <w:t>54.69</w:t>
            </w:r>
          </w:p>
        </w:tc>
        <w:tc>
          <w:tcPr>
            <w:tcW w:w="992"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EF595D" w:rsidRPr="009E1E57" w:rsidRDefault="00EF595D" w:rsidP="0065065B">
            <w:pPr>
              <w:pStyle w:val="TableText"/>
              <w:tabs>
                <w:tab w:val="decimal" w:pos="652"/>
              </w:tabs>
            </w:pPr>
            <w:r w:rsidRPr="009E1E57">
              <w:t>178</w:t>
            </w:r>
          </w:p>
        </w:tc>
        <w:tc>
          <w:tcPr>
            <w:tcW w:w="992" w:type="dxa"/>
            <w:gridSpan w:val="2"/>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rsidR="00EF595D" w:rsidRPr="009E1E57" w:rsidRDefault="00EF595D" w:rsidP="0065065B">
            <w:pPr>
              <w:pStyle w:val="TableText"/>
              <w:tabs>
                <w:tab w:val="decimal" w:pos="652"/>
              </w:tabs>
            </w:pPr>
            <w:r w:rsidRPr="009E1E57">
              <w:t>8929</w:t>
            </w:r>
          </w:p>
        </w:tc>
        <w:tc>
          <w:tcPr>
            <w:tcW w:w="851" w:type="dxa"/>
            <w:vMerge/>
            <w:tcBorders>
              <w:left w:val="nil"/>
              <w:right w:val="nil"/>
            </w:tcBorders>
            <w:shd w:val="clear" w:color="auto" w:fill="auto"/>
          </w:tcPr>
          <w:p w:rsidR="00EF595D" w:rsidRPr="009E1E57" w:rsidRDefault="00EF595D" w:rsidP="0084428E">
            <w:pPr>
              <w:pStyle w:val="TableText"/>
            </w:pPr>
          </w:p>
        </w:tc>
      </w:tr>
      <w:tr w:rsidR="00A37B6C" w:rsidRPr="009E1E57" w:rsidTr="00A37B6C">
        <w:trPr>
          <w:cantSplit/>
        </w:trPr>
        <w:tc>
          <w:tcPr>
            <w:tcW w:w="1418" w:type="dxa"/>
            <w:vMerge/>
            <w:tcBorders>
              <w:left w:val="nil"/>
            </w:tcBorders>
            <w:shd w:val="clear" w:color="auto" w:fill="auto"/>
          </w:tcPr>
          <w:p w:rsidR="00EF595D" w:rsidRPr="009E1E57" w:rsidRDefault="00EF595D" w:rsidP="00CA63A1">
            <w:pPr>
              <w:pStyle w:val="TableText"/>
            </w:pPr>
          </w:p>
        </w:tc>
        <w:tc>
          <w:tcPr>
            <w:tcW w:w="1559" w:type="dxa"/>
            <w:vMerge/>
            <w:shd w:val="clear" w:color="auto" w:fill="auto"/>
          </w:tcPr>
          <w:p w:rsidR="00EF595D" w:rsidRPr="009E1E57" w:rsidRDefault="00EF595D" w:rsidP="0084428E">
            <w:pPr>
              <w:pStyle w:val="TableText"/>
            </w:pPr>
          </w:p>
        </w:tc>
        <w:tc>
          <w:tcPr>
            <w:tcW w:w="1621" w:type="dxa"/>
            <w:gridSpan w:val="2"/>
            <w:tcBorders>
              <w:top w:val="single" w:sz="4" w:space="0" w:color="A6A6A6" w:themeColor="background1" w:themeShade="A6"/>
              <w:bottom w:val="single" w:sz="4" w:space="0" w:color="A6A6A6" w:themeColor="background1" w:themeShade="A6"/>
            </w:tcBorders>
            <w:shd w:val="clear" w:color="auto" w:fill="auto"/>
          </w:tcPr>
          <w:p w:rsidR="00EF595D" w:rsidRPr="009E1E57" w:rsidRDefault="00EF595D" w:rsidP="0084428E">
            <w:pPr>
              <w:pStyle w:val="TableText"/>
            </w:pPr>
            <w:r w:rsidRPr="009E1E57">
              <w:t>Waitemata</w:t>
            </w:r>
          </w:p>
        </w:tc>
        <w:tc>
          <w:tcPr>
            <w:tcW w:w="961" w:type="dxa"/>
            <w:tcBorders>
              <w:top w:val="single" w:sz="4" w:space="0" w:color="A6A6A6" w:themeColor="background1" w:themeShade="A6"/>
              <w:bottom w:val="single" w:sz="4" w:space="0" w:color="A6A6A6" w:themeColor="background1" w:themeShade="A6"/>
            </w:tcBorders>
            <w:shd w:val="clear" w:color="auto" w:fill="auto"/>
          </w:tcPr>
          <w:p w:rsidR="00EF595D" w:rsidRPr="009E1E57" w:rsidRDefault="00EF595D" w:rsidP="0065065B">
            <w:pPr>
              <w:pStyle w:val="TableText"/>
              <w:jc w:val="center"/>
            </w:pPr>
            <w:r w:rsidRPr="009E1E57">
              <w:t>44.11</w:t>
            </w:r>
          </w:p>
        </w:tc>
        <w:tc>
          <w:tcPr>
            <w:tcW w:w="962"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EF595D" w:rsidRPr="009E1E57" w:rsidRDefault="00EF595D" w:rsidP="0065065B">
            <w:pPr>
              <w:pStyle w:val="TableText"/>
              <w:jc w:val="center"/>
            </w:pPr>
            <w:r w:rsidRPr="009E1E57">
              <w:t>67.08</w:t>
            </w:r>
          </w:p>
        </w:tc>
        <w:tc>
          <w:tcPr>
            <w:tcW w:w="992"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EF595D" w:rsidRPr="009E1E57" w:rsidRDefault="00EF595D" w:rsidP="0065065B">
            <w:pPr>
              <w:pStyle w:val="TableText"/>
              <w:tabs>
                <w:tab w:val="decimal" w:pos="652"/>
              </w:tabs>
            </w:pPr>
            <w:r w:rsidRPr="009E1E57">
              <w:t>748</w:t>
            </w:r>
          </w:p>
        </w:tc>
        <w:tc>
          <w:tcPr>
            <w:tcW w:w="992" w:type="dxa"/>
            <w:gridSpan w:val="2"/>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rsidR="00EF595D" w:rsidRPr="009E1E57" w:rsidRDefault="00EF595D" w:rsidP="0065065B">
            <w:pPr>
              <w:pStyle w:val="TableText"/>
              <w:tabs>
                <w:tab w:val="decimal" w:pos="652"/>
              </w:tabs>
            </w:pPr>
            <w:r w:rsidRPr="009E1E57">
              <w:t>7933</w:t>
            </w:r>
          </w:p>
        </w:tc>
        <w:tc>
          <w:tcPr>
            <w:tcW w:w="851" w:type="dxa"/>
            <w:vMerge/>
            <w:tcBorders>
              <w:left w:val="nil"/>
              <w:right w:val="nil"/>
            </w:tcBorders>
            <w:shd w:val="clear" w:color="auto" w:fill="auto"/>
          </w:tcPr>
          <w:p w:rsidR="00EF595D" w:rsidRPr="009E1E57" w:rsidRDefault="00EF595D" w:rsidP="0084428E">
            <w:pPr>
              <w:pStyle w:val="TableText"/>
            </w:pPr>
          </w:p>
        </w:tc>
      </w:tr>
      <w:tr w:rsidR="0065065B" w:rsidRPr="009E1E57" w:rsidTr="00A37B6C">
        <w:trPr>
          <w:cantSplit/>
        </w:trPr>
        <w:tc>
          <w:tcPr>
            <w:tcW w:w="1418" w:type="dxa"/>
            <w:vMerge/>
            <w:tcBorders>
              <w:left w:val="nil"/>
            </w:tcBorders>
            <w:shd w:val="clear" w:color="auto" w:fill="auto"/>
          </w:tcPr>
          <w:p w:rsidR="00EF595D" w:rsidRPr="009E1E57" w:rsidRDefault="00EF595D" w:rsidP="00CA63A1">
            <w:pPr>
              <w:pStyle w:val="TableText"/>
            </w:pPr>
          </w:p>
        </w:tc>
        <w:tc>
          <w:tcPr>
            <w:tcW w:w="1559" w:type="dxa"/>
            <w:vMerge/>
            <w:shd w:val="clear" w:color="auto" w:fill="auto"/>
          </w:tcPr>
          <w:p w:rsidR="00EF595D" w:rsidRPr="009E1E57" w:rsidRDefault="00EF595D" w:rsidP="0084428E">
            <w:pPr>
              <w:pStyle w:val="TableText"/>
            </w:pPr>
          </w:p>
        </w:tc>
        <w:tc>
          <w:tcPr>
            <w:tcW w:w="1621" w:type="dxa"/>
            <w:gridSpan w:val="2"/>
            <w:tcBorders>
              <w:top w:val="single" w:sz="4" w:space="0" w:color="A6A6A6" w:themeColor="background1" w:themeShade="A6"/>
              <w:bottom w:val="single" w:sz="4" w:space="0" w:color="A6A6A6" w:themeColor="background1" w:themeShade="A6"/>
            </w:tcBorders>
            <w:shd w:val="clear" w:color="auto" w:fill="F2F2F2" w:themeFill="background1" w:themeFillShade="F2"/>
          </w:tcPr>
          <w:p w:rsidR="00EF595D" w:rsidRPr="0065065B" w:rsidRDefault="00EF595D" w:rsidP="0084428E">
            <w:pPr>
              <w:pStyle w:val="TableText"/>
              <w:rPr>
                <w:rFonts w:eastAsia="Arial"/>
                <w:b/>
              </w:rPr>
            </w:pPr>
            <w:r w:rsidRPr="0065065B">
              <w:rPr>
                <w:rFonts w:eastAsia="Arial"/>
                <w:b/>
              </w:rPr>
              <w:t>Total</w:t>
            </w:r>
          </w:p>
        </w:tc>
        <w:tc>
          <w:tcPr>
            <w:tcW w:w="961" w:type="dxa"/>
            <w:tcBorders>
              <w:top w:val="single" w:sz="4" w:space="0" w:color="A6A6A6" w:themeColor="background1" w:themeShade="A6"/>
              <w:bottom w:val="single" w:sz="4" w:space="0" w:color="A6A6A6" w:themeColor="background1" w:themeShade="A6"/>
            </w:tcBorders>
            <w:shd w:val="clear" w:color="auto" w:fill="F2F2F2" w:themeFill="background1" w:themeFillShade="F2"/>
          </w:tcPr>
          <w:p w:rsidR="00EF595D" w:rsidRPr="0065065B" w:rsidRDefault="00EF595D" w:rsidP="0065065B">
            <w:pPr>
              <w:pStyle w:val="TableText"/>
              <w:jc w:val="center"/>
              <w:rPr>
                <w:b/>
              </w:rPr>
            </w:pPr>
            <w:r w:rsidRPr="0065065B">
              <w:rPr>
                <w:b/>
              </w:rPr>
              <w:t>40.37</w:t>
            </w:r>
          </w:p>
        </w:tc>
        <w:tc>
          <w:tcPr>
            <w:tcW w:w="962"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EF595D" w:rsidRPr="0065065B" w:rsidRDefault="00EF595D" w:rsidP="0065065B">
            <w:pPr>
              <w:pStyle w:val="TableText"/>
              <w:jc w:val="center"/>
              <w:rPr>
                <w:b/>
              </w:rPr>
            </w:pPr>
            <w:r w:rsidRPr="0065065B">
              <w:rPr>
                <w:b/>
              </w:rPr>
              <w:t>60.75</w:t>
            </w:r>
          </w:p>
        </w:tc>
        <w:tc>
          <w:tcPr>
            <w:tcW w:w="992"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EF595D" w:rsidRPr="0065065B" w:rsidRDefault="00EF595D" w:rsidP="0065065B">
            <w:pPr>
              <w:pStyle w:val="TableText"/>
              <w:tabs>
                <w:tab w:val="decimal" w:pos="652"/>
              </w:tabs>
              <w:rPr>
                <w:b/>
              </w:rPr>
            </w:pPr>
            <w:r w:rsidRPr="0065065B">
              <w:rPr>
                <w:b/>
              </w:rPr>
              <w:t>6013</w:t>
            </w:r>
          </w:p>
        </w:tc>
        <w:tc>
          <w:tcPr>
            <w:tcW w:w="992" w:type="dxa"/>
            <w:gridSpan w:val="2"/>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F2F2F2" w:themeFill="background1" w:themeFillShade="F2"/>
          </w:tcPr>
          <w:p w:rsidR="00EF595D" w:rsidRPr="0065065B" w:rsidRDefault="00EF595D" w:rsidP="0065065B">
            <w:pPr>
              <w:pStyle w:val="TableText"/>
              <w:tabs>
                <w:tab w:val="decimal" w:pos="652"/>
              </w:tabs>
              <w:rPr>
                <w:b/>
              </w:rPr>
            </w:pPr>
            <w:r w:rsidRPr="0065065B">
              <w:rPr>
                <w:b/>
              </w:rPr>
              <w:t>54863</w:t>
            </w:r>
          </w:p>
        </w:tc>
        <w:tc>
          <w:tcPr>
            <w:tcW w:w="851" w:type="dxa"/>
            <w:tcBorders>
              <w:left w:val="nil"/>
              <w:right w:val="nil"/>
            </w:tcBorders>
            <w:shd w:val="clear" w:color="auto" w:fill="auto"/>
          </w:tcPr>
          <w:p w:rsidR="00EF595D" w:rsidRPr="009E1E57" w:rsidRDefault="00EF595D" w:rsidP="0084428E">
            <w:pPr>
              <w:pStyle w:val="TableText"/>
            </w:pPr>
          </w:p>
        </w:tc>
      </w:tr>
      <w:tr w:rsidR="00EF595D" w:rsidRPr="009E1E57" w:rsidTr="00A37B6C">
        <w:trPr>
          <w:cantSplit/>
        </w:trPr>
        <w:tc>
          <w:tcPr>
            <w:tcW w:w="1418" w:type="dxa"/>
            <w:vMerge/>
            <w:tcBorders>
              <w:left w:val="nil"/>
              <w:bottom w:val="single" w:sz="4" w:space="0" w:color="auto"/>
            </w:tcBorders>
            <w:shd w:val="clear" w:color="auto" w:fill="auto"/>
          </w:tcPr>
          <w:p w:rsidR="00EF595D" w:rsidRPr="009E1E57" w:rsidRDefault="00EF595D" w:rsidP="00CA63A1">
            <w:pPr>
              <w:pStyle w:val="TableText"/>
            </w:pPr>
          </w:p>
        </w:tc>
        <w:tc>
          <w:tcPr>
            <w:tcW w:w="1559" w:type="dxa"/>
            <w:vMerge/>
            <w:tcBorders>
              <w:bottom w:val="single" w:sz="4" w:space="0" w:color="auto"/>
            </w:tcBorders>
            <w:shd w:val="clear" w:color="auto" w:fill="auto"/>
          </w:tcPr>
          <w:p w:rsidR="00EF595D" w:rsidRPr="009E1E57" w:rsidRDefault="00EF595D" w:rsidP="0084428E">
            <w:pPr>
              <w:pStyle w:val="TableText"/>
            </w:pPr>
          </w:p>
        </w:tc>
        <w:tc>
          <w:tcPr>
            <w:tcW w:w="6379" w:type="dxa"/>
            <w:gridSpan w:val="10"/>
            <w:tcBorders>
              <w:top w:val="nil"/>
              <w:bottom w:val="single" w:sz="4" w:space="0" w:color="auto"/>
              <w:right w:val="nil"/>
            </w:tcBorders>
            <w:shd w:val="clear" w:color="auto" w:fill="auto"/>
          </w:tcPr>
          <w:p w:rsidR="00EF595D" w:rsidRPr="00A37B6C" w:rsidRDefault="00EF595D" w:rsidP="00A37B6C">
            <w:pPr>
              <w:pStyle w:val="TableText"/>
              <w:rPr>
                <w:sz w:val="16"/>
              </w:rPr>
            </w:pPr>
            <w:r w:rsidRPr="00A37B6C">
              <w:rPr>
                <w:sz w:val="16"/>
              </w:rPr>
              <w:t>Notes</w:t>
            </w:r>
          </w:p>
          <w:p w:rsidR="00EF595D" w:rsidRPr="00A37B6C" w:rsidRDefault="00EF595D" w:rsidP="00A37B6C">
            <w:pPr>
              <w:pStyle w:val="TableText"/>
              <w:ind w:left="284" w:hanging="284"/>
              <w:rPr>
                <w:sz w:val="16"/>
              </w:rPr>
            </w:pPr>
            <w:r w:rsidRPr="00A37B6C">
              <w:rPr>
                <w:sz w:val="16"/>
              </w:rPr>
              <w:t>*</w:t>
            </w:r>
            <w:r w:rsidR="00A37B6C">
              <w:rPr>
                <w:sz w:val="16"/>
              </w:rPr>
              <w:tab/>
            </w:r>
            <w:r w:rsidRPr="00A37B6C">
              <w:rPr>
                <w:sz w:val="16"/>
              </w:rPr>
              <w:t>Partial return</w:t>
            </w:r>
            <w:r w:rsidR="00085832" w:rsidRPr="00A37B6C">
              <w:rPr>
                <w:sz w:val="16"/>
              </w:rPr>
              <w:t xml:space="preserve"> </w:t>
            </w:r>
            <w:r w:rsidRPr="00A37B6C">
              <w:rPr>
                <w:sz w:val="16"/>
              </w:rPr>
              <w:t>(results</w:t>
            </w:r>
            <w:r w:rsidR="00085832" w:rsidRPr="00A37B6C">
              <w:rPr>
                <w:sz w:val="16"/>
              </w:rPr>
              <w:t xml:space="preserve"> </w:t>
            </w:r>
            <w:r w:rsidRPr="00A37B6C">
              <w:rPr>
                <w:sz w:val="16"/>
              </w:rPr>
              <w:t>not available</w:t>
            </w:r>
            <w:r w:rsidR="00085832" w:rsidRPr="00A37B6C">
              <w:rPr>
                <w:sz w:val="16"/>
              </w:rPr>
              <w:t xml:space="preserve"> </w:t>
            </w:r>
            <w:r w:rsidRPr="00A37B6C">
              <w:rPr>
                <w:sz w:val="16"/>
              </w:rPr>
              <w:t>for all children</w:t>
            </w:r>
            <w:r w:rsidR="00085832" w:rsidRPr="00A37B6C">
              <w:rPr>
                <w:sz w:val="16"/>
              </w:rPr>
              <w:t xml:space="preserve"> </w:t>
            </w:r>
            <w:r w:rsidRPr="00A37B6C">
              <w:rPr>
                <w:sz w:val="16"/>
              </w:rPr>
              <w:t>examined).</w:t>
            </w:r>
          </w:p>
          <w:p w:rsidR="00EF595D" w:rsidRPr="009E1E57" w:rsidRDefault="00EF595D" w:rsidP="00A37B6C">
            <w:pPr>
              <w:pStyle w:val="TableText"/>
              <w:ind w:left="284" w:hanging="284"/>
            </w:pPr>
            <w:r w:rsidRPr="00A37B6C">
              <w:rPr>
                <w:sz w:val="16"/>
              </w:rPr>
              <w:t>#</w:t>
            </w:r>
            <w:r w:rsidR="00A37B6C">
              <w:rPr>
                <w:sz w:val="16"/>
              </w:rPr>
              <w:tab/>
            </w:r>
            <w:r w:rsidRPr="00A37B6C">
              <w:rPr>
                <w:sz w:val="16"/>
              </w:rPr>
              <w:t>Excludes small numbers of children</w:t>
            </w:r>
            <w:r w:rsidR="00085832" w:rsidRPr="00A37B6C">
              <w:rPr>
                <w:sz w:val="16"/>
              </w:rPr>
              <w:t xml:space="preserve"> </w:t>
            </w:r>
            <w:r w:rsidRPr="00A37B6C">
              <w:rPr>
                <w:sz w:val="16"/>
              </w:rPr>
              <w:t>for whom fluoridation</w:t>
            </w:r>
            <w:r w:rsidR="00085832" w:rsidRPr="00A37B6C">
              <w:rPr>
                <w:sz w:val="16"/>
              </w:rPr>
              <w:t xml:space="preserve"> </w:t>
            </w:r>
            <w:r w:rsidRPr="00A37B6C">
              <w:rPr>
                <w:sz w:val="16"/>
              </w:rPr>
              <w:t>status was</w:t>
            </w:r>
            <w:r w:rsidR="00085832" w:rsidRPr="00A37B6C">
              <w:rPr>
                <w:sz w:val="16"/>
              </w:rPr>
              <w:t xml:space="preserve"> </w:t>
            </w:r>
            <w:r w:rsidRPr="00A37B6C">
              <w:rPr>
                <w:sz w:val="16"/>
              </w:rPr>
              <w:t>not recorded.</w:t>
            </w:r>
          </w:p>
        </w:tc>
      </w:tr>
      <w:tr w:rsidR="00EF595D" w:rsidRPr="009E1E57" w:rsidTr="00A37B6C">
        <w:trPr>
          <w:cantSplit/>
        </w:trPr>
        <w:tc>
          <w:tcPr>
            <w:tcW w:w="1418" w:type="dxa"/>
            <w:vMerge w:val="restart"/>
            <w:tcBorders>
              <w:top w:val="single" w:sz="4" w:space="0" w:color="auto"/>
              <w:left w:val="nil"/>
            </w:tcBorders>
            <w:shd w:val="clear" w:color="auto" w:fill="auto"/>
          </w:tcPr>
          <w:p w:rsidR="00EF595D" w:rsidRPr="009E1E57" w:rsidRDefault="00EF595D" w:rsidP="00A37B6C">
            <w:pPr>
              <w:pStyle w:val="TableText"/>
            </w:pPr>
            <w:r w:rsidRPr="009E1E57">
              <w:t>3. DHBs</w:t>
            </w:r>
            <w:r w:rsidR="00A37B6C">
              <w:t xml:space="preserve"> </w:t>
            </w:r>
            <w:r w:rsidRPr="009E1E57">
              <w:t xml:space="preserve">will improve </w:t>
            </w:r>
            <w:r w:rsidRPr="009E1E57">
              <w:rPr>
                <w:rFonts w:eastAsia="Arial"/>
              </w:rPr>
              <w:t xml:space="preserve">performance </w:t>
            </w:r>
            <w:r w:rsidRPr="009E1E57">
              <w:t>against achieving health</w:t>
            </w:r>
            <w:r w:rsidR="00085832">
              <w:t xml:space="preserve"> </w:t>
            </w:r>
            <w:r w:rsidRPr="009E1E57">
              <w:t>targets for Pacific peoples.</w:t>
            </w:r>
          </w:p>
        </w:tc>
        <w:tc>
          <w:tcPr>
            <w:tcW w:w="6222" w:type="dxa"/>
            <w:gridSpan w:val="9"/>
            <w:tcBorders>
              <w:top w:val="single" w:sz="4" w:space="0" w:color="auto"/>
              <w:bottom w:val="single" w:sz="4" w:space="0" w:color="A6A6A6" w:themeColor="background1" w:themeShade="A6"/>
            </w:tcBorders>
            <w:shd w:val="clear" w:color="auto" w:fill="auto"/>
          </w:tcPr>
          <w:p w:rsidR="00EF595D" w:rsidRPr="009E1E57" w:rsidRDefault="00EF595D" w:rsidP="0084428E">
            <w:pPr>
              <w:pStyle w:val="TableText"/>
            </w:pPr>
            <w:r w:rsidRPr="009E1E57">
              <w:t>Increased number of Pacific peoples who smoke are offered</w:t>
            </w:r>
            <w:r w:rsidR="00085832">
              <w:t xml:space="preserve"> </w:t>
            </w:r>
            <w:r w:rsidRPr="009E1E57">
              <w:t>brief advice and support to quit smoking in primary health</w:t>
            </w:r>
            <w:r w:rsidR="00085832">
              <w:t xml:space="preserve"> </w:t>
            </w:r>
            <w:r w:rsidRPr="009E1E57">
              <w:t>care</w:t>
            </w:r>
            <w:r w:rsidR="00A37B6C">
              <w:t>.</w:t>
            </w:r>
          </w:p>
        </w:tc>
        <w:tc>
          <w:tcPr>
            <w:tcW w:w="865" w:type="dxa"/>
            <w:tcBorders>
              <w:top w:val="single" w:sz="4" w:space="0" w:color="auto"/>
              <w:bottom w:val="single" w:sz="4" w:space="0" w:color="A6A6A6" w:themeColor="background1" w:themeShade="A6"/>
            </w:tcBorders>
            <w:shd w:val="clear" w:color="auto" w:fill="auto"/>
          </w:tcPr>
          <w:p w:rsidR="00EF595D" w:rsidRPr="009E1E57" w:rsidRDefault="00EF595D" w:rsidP="00A37B6C">
            <w:pPr>
              <w:pStyle w:val="TableText"/>
              <w:jc w:val="center"/>
            </w:pPr>
            <w:r w:rsidRPr="009E1E57">
              <w:t>68%</w:t>
            </w:r>
          </w:p>
        </w:tc>
        <w:tc>
          <w:tcPr>
            <w:tcW w:w="851" w:type="dxa"/>
            <w:tcBorders>
              <w:top w:val="single" w:sz="4" w:space="0" w:color="auto"/>
              <w:bottom w:val="single" w:sz="4" w:space="0" w:color="A6A6A6" w:themeColor="background1" w:themeShade="A6"/>
              <w:right w:val="nil"/>
            </w:tcBorders>
            <w:shd w:val="clear" w:color="auto" w:fill="auto"/>
          </w:tcPr>
          <w:p w:rsidR="00EF595D" w:rsidRPr="009E1E57" w:rsidRDefault="00EF595D" w:rsidP="00A37B6C">
            <w:pPr>
              <w:pStyle w:val="TableText"/>
              <w:jc w:val="center"/>
            </w:pPr>
            <w:r w:rsidRPr="009E1E57">
              <w:t>95%</w:t>
            </w:r>
          </w:p>
        </w:tc>
      </w:tr>
      <w:tr w:rsidR="00EF595D" w:rsidRPr="009E1E57" w:rsidTr="00A37B6C">
        <w:trPr>
          <w:cantSplit/>
        </w:trPr>
        <w:tc>
          <w:tcPr>
            <w:tcW w:w="1418" w:type="dxa"/>
            <w:vMerge/>
            <w:tcBorders>
              <w:left w:val="nil"/>
              <w:bottom w:val="single" w:sz="4" w:space="0" w:color="auto"/>
            </w:tcBorders>
            <w:shd w:val="clear" w:color="auto" w:fill="auto"/>
          </w:tcPr>
          <w:p w:rsidR="00EF595D" w:rsidRPr="009E1E57" w:rsidRDefault="00EF595D" w:rsidP="00CA63A1">
            <w:pPr>
              <w:pStyle w:val="TableText"/>
            </w:pPr>
          </w:p>
        </w:tc>
        <w:tc>
          <w:tcPr>
            <w:tcW w:w="6222" w:type="dxa"/>
            <w:gridSpan w:val="9"/>
            <w:tcBorders>
              <w:top w:val="single" w:sz="4" w:space="0" w:color="A6A6A6" w:themeColor="background1" w:themeShade="A6"/>
              <w:bottom w:val="single" w:sz="4" w:space="0" w:color="auto"/>
            </w:tcBorders>
            <w:shd w:val="clear" w:color="auto" w:fill="auto"/>
          </w:tcPr>
          <w:p w:rsidR="00EF595D" w:rsidRPr="009E1E57" w:rsidRDefault="00EF595D" w:rsidP="0084428E">
            <w:pPr>
              <w:pStyle w:val="TableText"/>
            </w:pPr>
            <w:r w:rsidRPr="009E1E57">
              <w:t>Improve</w:t>
            </w:r>
            <w:r w:rsidR="00085832">
              <w:t xml:space="preserve"> </w:t>
            </w:r>
            <w:r w:rsidRPr="009E1E57">
              <w:t>management of diabetes by increasing ‘More heart</w:t>
            </w:r>
            <w:r w:rsidR="00085832">
              <w:t xml:space="preserve"> </w:t>
            </w:r>
            <w:r w:rsidRPr="009E1E57">
              <w:t>and</w:t>
            </w:r>
            <w:r w:rsidR="00085832">
              <w:t xml:space="preserve"> </w:t>
            </w:r>
            <w:r w:rsidRPr="009E1E57">
              <w:t>diabetes checks’.</w:t>
            </w:r>
          </w:p>
          <w:p w:rsidR="00EF595D" w:rsidRPr="009E1E57" w:rsidRDefault="00EF595D" w:rsidP="0084428E">
            <w:pPr>
              <w:pStyle w:val="TableText"/>
            </w:pPr>
            <w:r w:rsidRPr="009E1E57">
              <w:t>The target is 90 percent of the eligible adult population will have</w:t>
            </w:r>
            <w:r w:rsidR="00085832">
              <w:t xml:space="preserve"> </w:t>
            </w:r>
            <w:r w:rsidRPr="009E1E57">
              <w:t>had</w:t>
            </w:r>
            <w:r w:rsidR="00085832">
              <w:t xml:space="preserve"> </w:t>
            </w:r>
            <w:r w:rsidRPr="009E1E57">
              <w:t>their cardiovascular disease (CVD) risk assessed in the last five years</w:t>
            </w:r>
            <w:r w:rsidR="00A37B6C">
              <w:t>.</w:t>
            </w:r>
          </w:p>
        </w:tc>
        <w:tc>
          <w:tcPr>
            <w:tcW w:w="865" w:type="dxa"/>
            <w:tcBorders>
              <w:top w:val="single" w:sz="4" w:space="0" w:color="A6A6A6" w:themeColor="background1" w:themeShade="A6"/>
              <w:bottom w:val="single" w:sz="4" w:space="0" w:color="auto"/>
            </w:tcBorders>
            <w:shd w:val="clear" w:color="auto" w:fill="auto"/>
          </w:tcPr>
          <w:p w:rsidR="00EF595D" w:rsidRPr="009E1E57" w:rsidRDefault="00EF595D" w:rsidP="0084428E">
            <w:pPr>
              <w:pStyle w:val="TableText"/>
            </w:pPr>
            <w:r w:rsidRPr="009E1E57">
              <w:t>Pacific</w:t>
            </w:r>
          </w:p>
          <w:p w:rsidR="00EF595D" w:rsidRPr="009E1E57" w:rsidRDefault="00EF595D" w:rsidP="0084428E">
            <w:pPr>
              <w:pStyle w:val="TableText"/>
            </w:pPr>
            <w:r w:rsidRPr="009E1E57">
              <w:t>Target</w:t>
            </w:r>
          </w:p>
        </w:tc>
        <w:tc>
          <w:tcPr>
            <w:tcW w:w="851" w:type="dxa"/>
            <w:tcBorders>
              <w:top w:val="single" w:sz="4" w:space="0" w:color="A6A6A6" w:themeColor="background1" w:themeShade="A6"/>
              <w:bottom w:val="single" w:sz="4" w:space="0" w:color="auto"/>
              <w:right w:val="nil"/>
            </w:tcBorders>
            <w:shd w:val="clear" w:color="auto" w:fill="auto"/>
          </w:tcPr>
          <w:p w:rsidR="00EF595D" w:rsidRPr="009E1E57" w:rsidRDefault="00EF595D" w:rsidP="00A37B6C">
            <w:pPr>
              <w:pStyle w:val="TableText"/>
              <w:jc w:val="center"/>
            </w:pPr>
            <w:r w:rsidRPr="009E1E57">
              <w:t>79%</w:t>
            </w:r>
          </w:p>
          <w:p w:rsidR="00EF595D" w:rsidRPr="009E1E57" w:rsidRDefault="00EF595D" w:rsidP="00A37B6C">
            <w:pPr>
              <w:pStyle w:val="TableText"/>
              <w:jc w:val="center"/>
            </w:pPr>
            <w:r w:rsidRPr="009E1E57">
              <w:t>90%</w:t>
            </w:r>
          </w:p>
        </w:tc>
      </w:tr>
    </w:tbl>
    <w:p w:rsidR="00EF595D" w:rsidRPr="009E1E57" w:rsidRDefault="00EF595D" w:rsidP="00A37B6C"/>
    <w:tbl>
      <w:tblPr>
        <w:tblW w:w="9666" w:type="dxa"/>
        <w:tblInd w:w="57" w:type="dxa"/>
        <w:tblLayout w:type="fixed"/>
        <w:tblCellMar>
          <w:left w:w="57" w:type="dxa"/>
          <w:right w:w="57" w:type="dxa"/>
        </w:tblCellMar>
        <w:tblLook w:val="01E0" w:firstRow="1" w:lastRow="1" w:firstColumn="1" w:lastColumn="1" w:noHBand="0" w:noVBand="0"/>
      </w:tblPr>
      <w:tblGrid>
        <w:gridCol w:w="2173"/>
        <w:gridCol w:w="4631"/>
        <w:gridCol w:w="2127"/>
        <w:gridCol w:w="141"/>
        <w:gridCol w:w="594"/>
      </w:tblGrid>
      <w:tr w:rsidR="00EF595D" w:rsidRPr="00A37B6C" w:rsidTr="00C54FF0">
        <w:trPr>
          <w:cantSplit/>
        </w:trPr>
        <w:tc>
          <w:tcPr>
            <w:tcW w:w="2173" w:type="dxa"/>
            <w:tcBorders>
              <w:top w:val="single" w:sz="4" w:space="0" w:color="auto"/>
              <w:left w:val="nil"/>
              <w:bottom w:val="single" w:sz="4" w:space="0" w:color="auto"/>
            </w:tcBorders>
            <w:shd w:val="clear" w:color="auto" w:fill="auto"/>
          </w:tcPr>
          <w:p w:rsidR="00EF595D" w:rsidRPr="00A37B6C" w:rsidRDefault="00EF595D" w:rsidP="00A37B6C">
            <w:pPr>
              <w:pStyle w:val="TableText"/>
              <w:keepNext/>
              <w:rPr>
                <w:rFonts w:eastAsia="Arial"/>
                <w:b/>
              </w:rPr>
            </w:pPr>
            <w:r w:rsidRPr="00A37B6C">
              <w:rPr>
                <w:rFonts w:eastAsia="Arial"/>
                <w:b/>
              </w:rPr>
              <w:t>Action</w:t>
            </w:r>
          </w:p>
        </w:tc>
        <w:tc>
          <w:tcPr>
            <w:tcW w:w="4631" w:type="dxa"/>
            <w:tcBorders>
              <w:top w:val="single" w:sz="4" w:space="0" w:color="auto"/>
              <w:bottom w:val="single" w:sz="4" w:space="0" w:color="auto"/>
            </w:tcBorders>
            <w:shd w:val="clear" w:color="auto" w:fill="auto"/>
          </w:tcPr>
          <w:p w:rsidR="00EF595D" w:rsidRPr="00A37B6C" w:rsidRDefault="00EF595D" w:rsidP="00A37B6C">
            <w:pPr>
              <w:pStyle w:val="TableText"/>
              <w:keepNext/>
              <w:rPr>
                <w:rFonts w:eastAsia="Arial"/>
                <w:b/>
              </w:rPr>
            </w:pPr>
            <w:r w:rsidRPr="00A37B6C">
              <w:rPr>
                <w:rFonts w:eastAsia="Arial"/>
                <w:b/>
              </w:rPr>
              <w:t>Indicator</w:t>
            </w:r>
          </w:p>
        </w:tc>
        <w:tc>
          <w:tcPr>
            <w:tcW w:w="2862" w:type="dxa"/>
            <w:gridSpan w:val="3"/>
            <w:tcBorders>
              <w:top w:val="single" w:sz="4" w:space="0" w:color="auto"/>
              <w:bottom w:val="single" w:sz="4" w:space="0" w:color="auto"/>
              <w:right w:val="nil"/>
            </w:tcBorders>
            <w:shd w:val="clear" w:color="auto" w:fill="auto"/>
          </w:tcPr>
          <w:p w:rsidR="00EF595D" w:rsidRPr="00A37B6C" w:rsidRDefault="00EF595D" w:rsidP="00A37B6C">
            <w:pPr>
              <w:pStyle w:val="TableText"/>
              <w:keepNext/>
              <w:rPr>
                <w:rFonts w:eastAsia="Arial"/>
                <w:b/>
              </w:rPr>
            </w:pPr>
            <w:r w:rsidRPr="00A37B6C">
              <w:rPr>
                <w:rFonts w:eastAsia="Arial"/>
                <w:b/>
              </w:rPr>
              <w:t>Targets</w:t>
            </w:r>
          </w:p>
        </w:tc>
      </w:tr>
      <w:tr w:rsidR="00EF595D" w:rsidRPr="009E1E57" w:rsidTr="00C54FF0">
        <w:trPr>
          <w:cantSplit/>
        </w:trPr>
        <w:tc>
          <w:tcPr>
            <w:tcW w:w="2173" w:type="dxa"/>
            <w:vMerge w:val="restart"/>
            <w:tcBorders>
              <w:top w:val="single" w:sz="4" w:space="0" w:color="auto"/>
              <w:left w:val="nil"/>
            </w:tcBorders>
            <w:shd w:val="clear" w:color="auto" w:fill="auto"/>
          </w:tcPr>
          <w:p w:rsidR="00EF595D" w:rsidRPr="009E1E57" w:rsidRDefault="00EF595D" w:rsidP="00A37B6C">
            <w:pPr>
              <w:pStyle w:val="TableText"/>
            </w:pPr>
            <w:r w:rsidRPr="009E1E57">
              <w:t>4. DHBs will support</w:t>
            </w:r>
            <w:r w:rsidR="00A37B6C">
              <w:t xml:space="preserve"> </w:t>
            </w:r>
            <w:r w:rsidRPr="009E1E57">
              <w:t>the Pacific Whānau Ora</w:t>
            </w:r>
            <w:r w:rsidR="00A37B6C">
              <w:t xml:space="preserve"> </w:t>
            </w:r>
            <w:r w:rsidRPr="009E1E57">
              <w:t>Commissioning Agency.</w:t>
            </w:r>
          </w:p>
        </w:tc>
        <w:tc>
          <w:tcPr>
            <w:tcW w:w="4631" w:type="dxa"/>
            <w:tcBorders>
              <w:top w:val="single" w:sz="4" w:space="0" w:color="auto"/>
              <w:bottom w:val="single" w:sz="4" w:space="0" w:color="A6A6A6" w:themeColor="background1" w:themeShade="A6"/>
            </w:tcBorders>
            <w:shd w:val="clear" w:color="auto" w:fill="auto"/>
          </w:tcPr>
          <w:p w:rsidR="00EF595D" w:rsidRPr="009E1E57" w:rsidRDefault="00EF595D" w:rsidP="00A37B6C">
            <w:pPr>
              <w:pStyle w:val="TableText"/>
            </w:pPr>
            <w:r w:rsidRPr="009E1E57">
              <w:t>Qualitative:</w:t>
            </w:r>
            <w:r w:rsidR="00085832">
              <w:t xml:space="preserve"> </w:t>
            </w:r>
            <w:r w:rsidRPr="009E1E57">
              <w:t>District annual</w:t>
            </w:r>
            <w:r w:rsidR="00085832">
              <w:t xml:space="preserve"> </w:t>
            </w:r>
            <w:r w:rsidRPr="009E1E57">
              <w:t>plans</w:t>
            </w:r>
            <w:r w:rsidR="00085832">
              <w:t xml:space="preserve"> </w:t>
            </w:r>
            <w:r w:rsidRPr="009E1E57">
              <w:t>report</w:t>
            </w:r>
            <w:r w:rsidR="00085832">
              <w:t xml:space="preserve"> </w:t>
            </w:r>
            <w:r w:rsidRPr="009E1E57">
              <w:t xml:space="preserve">on extent of support for the Pacific </w:t>
            </w:r>
            <w:r w:rsidR="00A37B6C">
              <w:t>Whānau Ora Commissioning Agency.</w:t>
            </w:r>
          </w:p>
        </w:tc>
        <w:tc>
          <w:tcPr>
            <w:tcW w:w="2127" w:type="dxa"/>
            <w:tcBorders>
              <w:top w:val="single" w:sz="4" w:space="0" w:color="auto"/>
              <w:bottom w:val="single" w:sz="4" w:space="0" w:color="A6A6A6" w:themeColor="background1" w:themeShade="A6"/>
            </w:tcBorders>
            <w:shd w:val="clear" w:color="auto" w:fill="auto"/>
          </w:tcPr>
          <w:p w:rsidR="00EF595D" w:rsidRPr="009E1E57" w:rsidRDefault="00EF595D" w:rsidP="00A37B6C">
            <w:pPr>
              <w:pStyle w:val="TableText"/>
            </w:pPr>
            <w:r w:rsidRPr="009E1E57">
              <w:t xml:space="preserve">District </w:t>
            </w:r>
            <w:r w:rsidRPr="009E1E57">
              <w:rPr>
                <w:rFonts w:eastAsia="Arial"/>
              </w:rPr>
              <w:t xml:space="preserve">annual plans </w:t>
            </w:r>
            <w:r w:rsidRPr="009E1E57">
              <w:t>for 2015,</w:t>
            </w:r>
            <w:r w:rsidR="00A37B6C">
              <w:t xml:space="preserve"> </w:t>
            </w:r>
            <w:r w:rsidRPr="009E1E57">
              <w:t>2016,</w:t>
            </w:r>
            <w:r w:rsidR="00085832">
              <w:t xml:space="preserve"> </w:t>
            </w:r>
            <w:r w:rsidRPr="009E1E57">
              <w:t>2017,</w:t>
            </w:r>
            <w:r w:rsidR="00A37B6C">
              <w:t xml:space="preserve"> </w:t>
            </w:r>
            <w:r w:rsidRPr="009E1E57">
              <w:t>2018</w:t>
            </w:r>
          </w:p>
        </w:tc>
        <w:tc>
          <w:tcPr>
            <w:tcW w:w="735" w:type="dxa"/>
            <w:gridSpan w:val="2"/>
            <w:tcBorders>
              <w:top w:val="single" w:sz="4" w:space="0" w:color="auto"/>
              <w:bottom w:val="single" w:sz="4" w:space="0" w:color="A6A6A6" w:themeColor="background1" w:themeShade="A6"/>
              <w:right w:val="nil"/>
            </w:tcBorders>
            <w:shd w:val="clear" w:color="auto" w:fill="auto"/>
          </w:tcPr>
          <w:p w:rsidR="00EF595D" w:rsidRPr="009E1E57" w:rsidRDefault="00EF595D" w:rsidP="00A37B6C">
            <w:pPr>
              <w:pStyle w:val="TableText"/>
            </w:pPr>
          </w:p>
        </w:tc>
      </w:tr>
      <w:tr w:rsidR="00EF595D" w:rsidRPr="009E1E57" w:rsidTr="00C54FF0">
        <w:trPr>
          <w:cantSplit/>
        </w:trPr>
        <w:tc>
          <w:tcPr>
            <w:tcW w:w="2173" w:type="dxa"/>
            <w:vMerge/>
            <w:tcBorders>
              <w:left w:val="nil"/>
            </w:tcBorders>
            <w:shd w:val="clear" w:color="auto" w:fill="auto"/>
          </w:tcPr>
          <w:p w:rsidR="00EF595D" w:rsidRPr="009E1E57" w:rsidRDefault="00EF595D" w:rsidP="00A37B6C">
            <w:pPr>
              <w:pStyle w:val="TableText"/>
            </w:pPr>
          </w:p>
        </w:tc>
        <w:tc>
          <w:tcPr>
            <w:tcW w:w="4631" w:type="dxa"/>
            <w:vMerge w:val="restart"/>
            <w:tcBorders>
              <w:top w:val="single" w:sz="4" w:space="0" w:color="A6A6A6" w:themeColor="background1" w:themeShade="A6"/>
            </w:tcBorders>
            <w:shd w:val="clear" w:color="auto" w:fill="auto"/>
          </w:tcPr>
          <w:p w:rsidR="00EF595D" w:rsidRPr="009E1E57" w:rsidRDefault="00EF595D" w:rsidP="00C54FF0">
            <w:pPr>
              <w:pStyle w:val="TableText"/>
              <w:rPr>
                <w:rFonts w:eastAsia="Arial"/>
              </w:rPr>
            </w:pPr>
            <w:r w:rsidRPr="009E1E57">
              <w:t>Decrease the number of Pacific children</w:t>
            </w:r>
            <w:r w:rsidR="00085832">
              <w:t xml:space="preserve"> </w:t>
            </w:r>
            <w:r w:rsidRPr="009E1E57">
              <w:t>aged</w:t>
            </w:r>
            <w:r w:rsidR="00C54FF0">
              <w:br/>
            </w:r>
            <w:r w:rsidRPr="009E1E57">
              <w:t>2–14 years</w:t>
            </w:r>
            <w:r w:rsidR="00085832">
              <w:t xml:space="preserve"> </w:t>
            </w:r>
            <w:r w:rsidRPr="009E1E57">
              <w:t>who</w:t>
            </w:r>
            <w:r w:rsidR="00A37B6C">
              <w:t xml:space="preserve"> </w:t>
            </w:r>
            <w:r w:rsidRPr="009E1E57">
              <w:rPr>
                <w:rFonts w:eastAsia="Arial"/>
              </w:rPr>
              <w:t>are obese</w:t>
            </w:r>
            <w:r w:rsidR="00A37B6C">
              <w:rPr>
                <w:rFonts w:eastAsia="Arial"/>
              </w:rPr>
              <w:t>.</w:t>
            </w:r>
          </w:p>
        </w:tc>
        <w:tc>
          <w:tcPr>
            <w:tcW w:w="2862" w:type="dxa"/>
            <w:gridSpan w:val="3"/>
            <w:tcBorders>
              <w:top w:val="single" w:sz="4" w:space="0" w:color="A6A6A6" w:themeColor="background1" w:themeShade="A6"/>
              <w:bottom w:val="single" w:sz="4" w:space="0" w:color="A6A6A6" w:themeColor="background1" w:themeShade="A6"/>
              <w:right w:val="nil"/>
            </w:tcBorders>
            <w:shd w:val="clear" w:color="auto" w:fill="auto"/>
          </w:tcPr>
          <w:p w:rsidR="00EF595D" w:rsidRPr="00A37B6C" w:rsidRDefault="00EF595D" w:rsidP="00C54FF0">
            <w:pPr>
              <w:pStyle w:val="TableText"/>
              <w:jc w:val="center"/>
            </w:pPr>
            <w:r w:rsidRPr="009E1E57">
              <w:rPr>
                <w:rFonts w:eastAsia="Arial"/>
              </w:rPr>
              <w:t>BMI&gt; = cole cut-offs</w:t>
            </w:r>
            <w:r w:rsidR="00C54FF0">
              <w:rPr>
                <w:rFonts w:eastAsia="Arial"/>
              </w:rPr>
              <w:t xml:space="preserve"> </w:t>
            </w:r>
            <w:r w:rsidRPr="009E1E57">
              <w:t>(2</w:t>
            </w:r>
            <w:r w:rsidR="00A37B6C">
              <w:t>–</w:t>
            </w:r>
            <w:r w:rsidRPr="009E1E57">
              <w:t>14 years)</w:t>
            </w:r>
          </w:p>
          <w:p w:rsidR="00EF595D" w:rsidRPr="009E1E57" w:rsidRDefault="00EF595D" w:rsidP="00C54FF0">
            <w:pPr>
              <w:pStyle w:val="TableText"/>
              <w:spacing w:before="0"/>
              <w:jc w:val="center"/>
            </w:pPr>
            <w:r w:rsidRPr="009E1E57">
              <w:rPr>
                <w:rFonts w:eastAsia="Arial"/>
              </w:rPr>
              <w:t>Performance as at</w:t>
            </w:r>
            <w:r w:rsidR="00A37B6C">
              <w:rPr>
                <w:rFonts w:eastAsia="Arial"/>
              </w:rPr>
              <w:t xml:space="preserve"> </w:t>
            </w:r>
            <w:r w:rsidRPr="009E1E57">
              <w:t>2012/13*</w:t>
            </w:r>
          </w:p>
        </w:tc>
      </w:tr>
      <w:tr w:rsidR="00EF595D" w:rsidRPr="009E1E57" w:rsidTr="00C54FF0">
        <w:trPr>
          <w:cantSplit/>
        </w:trPr>
        <w:tc>
          <w:tcPr>
            <w:tcW w:w="2173" w:type="dxa"/>
            <w:vMerge/>
            <w:tcBorders>
              <w:left w:val="nil"/>
            </w:tcBorders>
            <w:shd w:val="clear" w:color="auto" w:fill="auto"/>
          </w:tcPr>
          <w:p w:rsidR="00EF595D" w:rsidRPr="009E1E57" w:rsidRDefault="00EF595D" w:rsidP="00A37B6C">
            <w:pPr>
              <w:pStyle w:val="TableText"/>
            </w:pPr>
          </w:p>
        </w:tc>
        <w:tc>
          <w:tcPr>
            <w:tcW w:w="4631" w:type="dxa"/>
            <w:vMerge/>
            <w:shd w:val="clear" w:color="auto" w:fill="auto"/>
          </w:tcPr>
          <w:p w:rsidR="00EF595D" w:rsidRPr="009E1E57" w:rsidRDefault="00EF595D" w:rsidP="00A37B6C">
            <w:pPr>
              <w:pStyle w:val="TableText"/>
            </w:pPr>
          </w:p>
        </w:tc>
        <w:tc>
          <w:tcPr>
            <w:tcW w:w="2268" w:type="dxa"/>
            <w:gridSpan w:val="2"/>
            <w:tcBorders>
              <w:top w:val="single" w:sz="4" w:space="0" w:color="A6A6A6" w:themeColor="background1" w:themeShade="A6"/>
              <w:bottom w:val="single" w:sz="4" w:space="0" w:color="A6A6A6" w:themeColor="background1" w:themeShade="A6"/>
            </w:tcBorders>
            <w:shd w:val="clear" w:color="auto" w:fill="auto"/>
          </w:tcPr>
          <w:p w:rsidR="00EF595D" w:rsidRPr="009E1E57" w:rsidRDefault="00EF595D" w:rsidP="00A37B6C">
            <w:pPr>
              <w:pStyle w:val="TableText"/>
            </w:pPr>
            <w:r w:rsidRPr="009E1E57">
              <w:t>Pacific</w:t>
            </w:r>
          </w:p>
        </w:tc>
        <w:tc>
          <w:tcPr>
            <w:tcW w:w="594" w:type="dxa"/>
            <w:tcBorders>
              <w:top w:val="single" w:sz="4" w:space="0" w:color="A6A6A6" w:themeColor="background1" w:themeShade="A6"/>
              <w:bottom w:val="single" w:sz="4" w:space="0" w:color="A6A6A6" w:themeColor="background1" w:themeShade="A6"/>
              <w:right w:val="nil"/>
            </w:tcBorders>
            <w:shd w:val="clear" w:color="auto" w:fill="auto"/>
          </w:tcPr>
          <w:p w:rsidR="00EF595D" w:rsidRPr="009E1E57" w:rsidRDefault="00EF595D" w:rsidP="00C54FF0">
            <w:pPr>
              <w:pStyle w:val="TableText"/>
              <w:jc w:val="center"/>
            </w:pPr>
            <w:r w:rsidRPr="009E1E57">
              <w:t>27.1</w:t>
            </w:r>
          </w:p>
        </w:tc>
      </w:tr>
      <w:tr w:rsidR="00EF595D" w:rsidRPr="009E1E57" w:rsidTr="00C54FF0">
        <w:trPr>
          <w:cantSplit/>
        </w:trPr>
        <w:tc>
          <w:tcPr>
            <w:tcW w:w="2173" w:type="dxa"/>
            <w:vMerge/>
            <w:tcBorders>
              <w:left w:val="nil"/>
              <w:bottom w:val="single" w:sz="4" w:space="0" w:color="auto"/>
            </w:tcBorders>
            <w:shd w:val="clear" w:color="auto" w:fill="auto"/>
          </w:tcPr>
          <w:p w:rsidR="00EF595D" w:rsidRPr="009E1E57" w:rsidRDefault="00EF595D" w:rsidP="00A37B6C">
            <w:pPr>
              <w:pStyle w:val="TableText"/>
            </w:pPr>
          </w:p>
        </w:tc>
        <w:tc>
          <w:tcPr>
            <w:tcW w:w="4631" w:type="dxa"/>
            <w:vMerge/>
            <w:tcBorders>
              <w:bottom w:val="single" w:sz="4" w:space="0" w:color="auto"/>
            </w:tcBorders>
            <w:shd w:val="clear" w:color="auto" w:fill="auto"/>
          </w:tcPr>
          <w:p w:rsidR="00EF595D" w:rsidRPr="009E1E57" w:rsidRDefault="00EF595D" w:rsidP="00A37B6C">
            <w:pPr>
              <w:pStyle w:val="TableText"/>
            </w:pPr>
          </w:p>
        </w:tc>
        <w:tc>
          <w:tcPr>
            <w:tcW w:w="2268" w:type="dxa"/>
            <w:gridSpan w:val="2"/>
            <w:tcBorders>
              <w:top w:val="single" w:sz="4" w:space="0" w:color="A6A6A6" w:themeColor="background1" w:themeShade="A6"/>
              <w:bottom w:val="single" w:sz="4" w:space="0" w:color="auto"/>
            </w:tcBorders>
            <w:shd w:val="clear" w:color="auto" w:fill="auto"/>
          </w:tcPr>
          <w:p w:rsidR="00EF595D" w:rsidRPr="009E1E57" w:rsidRDefault="00EF595D" w:rsidP="00A37B6C">
            <w:pPr>
              <w:pStyle w:val="TableText"/>
            </w:pPr>
            <w:r w:rsidRPr="009E1E57">
              <w:t>Overall/total</w:t>
            </w:r>
          </w:p>
        </w:tc>
        <w:tc>
          <w:tcPr>
            <w:tcW w:w="594" w:type="dxa"/>
            <w:tcBorders>
              <w:top w:val="single" w:sz="4" w:space="0" w:color="A6A6A6" w:themeColor="background1" w:themeShade="A6"/>
              <w:bottom w:val="single" w:sz="4" w:space="0" w:color="auto"/>
              <w:right w:val="nil"/>
            </w:tcBorders>
            <w:shd w:val="clear" w:color="auto" w:fill="auto"/>
          </w:tcPr>
          <w:p w:rsidR="00EF595D" w:rsidRPr="009E1E57" w:rsidRDefault="00EF595D" w:rsidP="00C54FF0">
            <w:pPr>
              <w:pStyle w:val="TableText"/>
              <w:jc w:val="center"/>
            </w:pPr>
            <w:r w:rsidRPr="009E1E57">
              <w:t>11.1</w:t>
            </w:r>
          </w:p>
        </w:tc>
      </w:tr>
    </w:tbl>
    <w:p w:rsidR="00EF595D" w:rsidRPr="009E1E57" w:rsidRDefault="00EF595D" w:rsidP="00A37B6C">
      <w:pPr>
        <w:pStyle w:val="Note"/>
      </w:pPr>
      <w:r w:rsidRPr="009E1E57">
        <w:t>*</w:t>
      </w:r>
      <w:r w:rsidR="00A37B6C">
        <w:tab/>
      </w:r>
      <w:r w:rsidRPr="009E1E57">
        <w:t>The New Zealand Health Survey</w:t>
      </w:r>
      <w:r w:rsidR="00085832">
        <w:t xml:space="preserve"> </w:t>
      </w:r>
      <w:r w:rsidRPr="009E1E57">
        <w:t>results 2012/13</w:t>
      </w:r>
      <w:r w:rsidR="00A37B6C">
        <w:t>.</w:t>
      </w:r>
    </w:p>
    <w:p w:rsidR="00EF595D" w:rsidRPr="009E1E57" w:rsidRDefault="00EF595D" w:rsidP="00A37B6C"/>
    <w:tbl>
      <w:tblPr>
        <w:tblW w:w="9614" w:type="dxa"/>
        <w:tblInd w:w="57" w:type="dxa"/>
        <w:tblLayout w:type="fixed"/>
        <w:tblCellMar>
          <w:left w:w="57" w:type="dxa"/>
          <w:right w:w="57" w:type="dxa"/>
        </w:tblCellMar>
        <w:tblLook w:val="01E0" w:firstRow="1" w:lastRow="1" w:firstColumn="1" w:lastColumn="1" w:noHBand="0" w:noVBand="0"/>
      </w:tblPr>
      <w:tblGrid>
        <w:gridCol w:w="2127"/>
        <w:gridCol w:w="3685"/>
        <w:gridCol w:w="1861"/>
        <w:gridCol w:w="1941"/>
      </w:tblGrid>
      <w:tr w:rsidR="00EF595D" w:rsidRPr="009E1E57" w:rsidTr="00C54FF0">
        <w:trPr>
          <w:cantSplit/>
        </w:trPr>
        <w:tc>
          <w:tcPr>
            <w:tcW w:w="5812" w:type="dxa"/>
            <w:gridSpan w:val="2"/>
            <w:tcBorders>
              <w:top w:val="single" w:sz="4" w:space="0" w:color="auto"/>
              <w:left w:val="nil"/>
              <w:bottom w:val="single" w:sz="4" w:space="0" w:color="auto"/>
            </w:tcBorders>
          </w:tcPr>
          <w:p w:rsidR="00EF595D" w:rsidRPr="009E1E57" w:rsidRDefault="00EF595D" w:rsidP="00C54FF0">
            <w:pPr>
              <w:pStyle w:val="TableText"/>
            </w:pPr>
          </w:p>
        </w:tc>
        <w:tc>
          <w:tcPr>
            <w:tcW w:w="3802" w:type="dxa"/>
            <w:gridSpan w:val="2"/>
            <w:tcBorders>
              <w:top w:val="single" w:sz="4" w:space="0" w:color="auto"/>
              <w:bottom w:val="single" w:sz="4" w:space="0" w:color="auto"/>
              <w:right w:val="nil"/>
            </w:tcBorders>
          </w:tcPr>
          <w:p w:rsidR="00EF595D" w:rsidRPr="00C54FF0" w:rsidRDefault="00EF595D" w:rsidP="00C54FF0">
            <w:pPr>
              <w:pStyle w:val="TableText"/>
              <w:jc w:val="center"/>
              <w:rPr>
                <w:b/>
              </w:rPr>
            </w:pPr>
            <w:r w:rsidRPr="00C54FF0">
              <w:rPr>
                <w:b/>
              </w:rPr>
              <w:t xml:space="preserve">Total Pacific </w:t>
            </w:r>
            <w:r w:rsidR="00C54FF0" w:rsidRPr="00C54FF0">
              <w:rPr>
                <w:b/>
              </w:rPr>
              <w:t>c</w:t>
            </w:r>
            <w:r w:rsidRPr="00C54FF0">
              <w:rPr>
                <w:b/>
              </w:rPr>
              <w:t>overage – 63%</w:t>
            </w:r>
          </w:p>
        </w:tc>
      </w:tr>
      <w:tr w:rsidR="00EF595D" w:rsidRPr="009E1E57" w:rsidTr="00C54FF0">
        <w:trPr>
          <w:cantSplit/>
        </w:trPr>
        <w:tc>
          <w:tcPr>
            <w:tcW w:w="2127" w:type="dxa"/>
            <w:vMerge w:val="restart"/>
            <w:tcBorders>
              <w:top w:val="single" w:sz="4" w:space="0" w:color="auto"/>
              <w:left w:val="nil"/>
            </w:tcBorders>
          </w:tcPr>
          <w:p w:rsidR="00EF595D" w:rsidRPr="009E1E57" w:rsidRDefault="00EF595D" w:rsidP="00C54FF0">
            <w:pPr>
              <w:pStyle w:val="TableText"/>
            </w:pPr>
            <w:r w:rsidRPr="009E1E57">
              <w:t>5. DHBs, PHOs</w:t>
            </w:r>
            <w:r w:rsidR="00085832">
              <w:t xml:space="preserve"> </w:t>
            </w:r>
            <w:r w:rsidRPr="009E1E57">
              <w:t>and</w:t>
            </w:r>
            <w:r w:rsidR="00085832">
              <w:t xml:space="preserve"> </w:t>
            </w:r>
            <w:r w:rsidRPr="009E1E57">
              <w:t>other providers will maximise coverage and</w:t>
            </w:r>
            <w:r w:rsidR="00085832">
              <w:t xml:space="preserve"> </w:t>
            </w:r>
            <w:r w:rsidRPr="009E1E57">
              <w:t>participation of Pacific in the national screening programmes.</w:t>
            </w:r>
          </w:p>
        </w:tc>
        <w:tc>
          <w:tcPr>
            <w:tcW w:w="3685" w:type="dxa"/>
            <w:vMerge w:val="restart"/>
            <w:tcBorders>
              <w:top w:val="single" w:sz="4" w:space="0" w:color="auto"/>
            </w:tcBorders>
          </w:tcPr>
          <w:p w:rsidR="00EF595D" w:rsidRPr="009E1E57" w:rsidRDefault="00EF595D" w:rsidP="00C54FF0">
            <w:pPr>
              <w:pStyle w:val="TableText"/>
              <w:ind w:right="113"/>
            </w:pPr>
            <w:r w:rsidRPr="009E1E57">
              <w:t>Increased percentage of enrolled Pacific women aged 20–69 years old to receive a cervical</w:t>
            </w:r>
            <w:r w:rsidR="00085832">
              <w:t xml:space="preserve"> </w:t>
            </w:r>
            <w:r w:rsidRPr="009E1E57">
              <w:t>smear in the past three</w:t>
            </w:r>
            <w:r w:rsidR="00085832">
              <w:t xml:space="preserve"> </w:t>
            </w:r>
            <w:r w:rsidRPr="009E1E57">
              <w:t>years</w:t>
            </w:r>
            <w:r w:rsidR="00085832">
              <w:t xml:space="preserve"> </w:t>
            </w:r>
            <w:r w:rsidRPr="009E1E57">
              <w:t>(63%) to at least</w:t>
            </w:r>
            <w:r w:rsidR="00085832">
              <w:t xml:space="preserve"> </w:t>
            </w:r>
            <w:r w:rsidRPr="009E1E57">
              <w:t>equal</w:t>
            </w:r>
            <w:r w:rsidR="00085832">
              <w:t xml:space="preserve"> </w:t>
            </w:r>
            <w:r w:rsidRPr="009E1E57">
              <w:t>to the rate of the total population (77%).</w:t>
            </w:r>
          </w:p>
        </w:tc>
        <w:tc>
          <w:tcPr>
            <w:tcW w:w="1861" w:type="dxa"/>
            <w:tcBorders>
              <w:top w:val="single" w:sz="4" w:space="0" w:color="auto"/>
              <w:bottom w:val="single" w:sz="4" w:space="0" w:color="A6A6A6" w:themeColor="background1" w:themeShade="A6"/>
            </w:tcBorders>
          </w:tcPr>
          <w:p w:rsidR="00EF595D" w:rsidRPr="00C54FF0" w:rsidRDefault="00EF595D" w:rsidP="00C54FF0">
            <w:pPr>
              <w:pStyle w:val="TableText"/>
              <w:jc w:val="center"/>
              <w:rPr>
                <w:rFonts w:eastAsia="Arial"/>
                <w:b/>
              </w:rPr>
            </w:pPr>
            <w:r w:rsidRPr="00C54FF0">
              <w:rPr>
                <w:rFonts w:eastAsia="Arial"/>
                <w:b/>
              </w:rPr>
              <w:t>Priority district health boards</w:t>
            </w:r>
          </w:p>
        </w:tc>
        <w:tc>
          <w:tcPr>
            <w:tcW w:w="1941" w:type="dxa"/>
            <w:tcBorders>
              <w:top w:val="single" w:sz="4" w:space="0" w:color="auto"/>
              <w:bottom w:val="single" w:sz="4" w:space="0" w:color="A6A6A6" w:themeColor="background1" w:themeShade="A6"/>
              <w:right w:val="nil"/>
            </w:tcBorders>
          </w:tcPr>
          <w:p w:rsidR="00EF595D" w:rsidRPr="00C54FF0" w:rsidRDefault="00EF595D" w:rsidP="00C54FF0">
            <w:pPr>
              <w:pStyle w:val="TableText"/>
              <w:jc w:val="center"/>
              <w:rPr>
                <w:rFonts w:eastAsia="Arial"/>
                <w:b/>
              </w:rPr>
            </w:pPr>
            <w:r w:rsidRPr="00C54FF0">
              <w:rPr>
                <w:b/>
              </w:rPr>
              <w:t>Cervical</w:t>
            </w:r>
            <w:r w:rsidR="00085832" w:rsidRPr="00C54FF0">
              <w:rPr>
                <w:b/>
              </w:rPr>
              <w:t xml:space="preserve"> </w:t>
            </w:r>
            <w:r w:rsidRPr="00C54FF0">
              <w:rPr>
                <w:b/>
              </w:rPr>
              <w:t>screening</w:t>
            </w:r>
            <w:r w:rsidR="00C54FF0" w:rsidRPr="00C54FF0">
              <w:rPr>
                <w:b/>
              </w:rPr>
              <w:t xml:space="preserve"> </w:t>
            </w:r>
            <w:r w:rsidRPr="00C54FF0">
              <w:rPr>
                <w:rFonts w:eastAsia="Arial"/>
                <w:b/>
              </w:rPr>
              <w:t>coverage</w:t>
            </w:r>
          </w:p>
        </w:tc>
      </w:tr>
      <w:tr w:rsidR="00EF595D" w:rsidRPr="009E1E57" w:rsidTr="00C54FF0">
        <w:trPr>
          <w:cantSplit/>
        </w:trPr>
        <w:tc>
          <w:tcPr>
            <w:tcW w:w="2127" w:type="dxa"/>
            <w:vMerge/>
            <w:tcBorders>
              <w:left w:val="nil"/>
            </w:tcBorders>
          </w:tcPr>
          <w:p w:rsidR="00EF595D" w:rsidRPr="009E1E57" w:rsidRDefault="00EF595D" w:rsidP="00C54FF0">
            <w:pPr>
              <w:pStyle w:val="TableText"/>
            </w:pPr>
          </w:p>
        </w:tc>
        <w:tc>
          <w:tcPr>
            <w:tcW w:w="3685" w:type="dxa"/>
            <w:vMerge/>
          </w:tcPr>
          <w:p w:rsidR="00EF595D" w:rsidRPr="009E1E57" w:rsidRDefault="00EF595D" w:rsidP="00C54FF0">
            <w:pPr>
              <w:pStyle w:val="TableText"/>
            </w:pPr>
          </w:p>
        </w:tc>
        <w:tc>
          <w:tcPr>
            <w:tcW w:w="1861" w:type="dxa"/>
            <w:tcBorders>
              <w:top w:val="single" w:sz="4" w:space="0" w:color="A6A6A6" w:themeColor="background1" w:themeShade="A6"/>
              <w:bottom w:val="single" w:sz="4" w:space="0" w:color="A6A6A6" w:themeColor="background1" w:themeShade="A6"/>
            </w:tcBorders>
          </w:tcPr>
          <w:p w:rsidR="00EF595D" w:rsidRPr="009E1E57" w:rsidRDefault="00EF595D" w:rsidP="00C54FF0">
            <w:pPr>
              <w:pStyle w:val="TableText"/>
            </w:pPr>
            <w:r w:rsidRPr="009E1E57">
              <w:t>Auckland</w:t>
            </w:r>
          </w:p>
        </w:tc>
        <w:tc>
          <w:tcPr>
            <w:tcW w:w="1941" w:type="dxa"/>
            <w:tcBorders>
              <w:top w:val="single" w:sz="4" w:space="0" w:color="A6A6A6" w:themeColor="background1" w:themeShade="A6"/>
              <w:bottom w:val="single" w:sz="4" w:space="0" w:color="A6A6A6" w:themeColor="background1" w:themeShade="A6"/>
              <w:right w:val="nil"/>
            </w:tcBorders>
          </w:tcPr>
          <w:p w:rsidR="00EF595D" w:rsidRPr="009E1E57" w:rsidRDefault="00EF595D" w:rsidP="00C54FF0">
            <w:pPr>
              <w:pStyle w:val="TableText"/>
              <w:jc w:val="center"/>
            </w:pPr>
            <w:r w:rsidRPr="009E1E57">
              <w:t>64%</w:t>
            </w:r>
          </w:p>
        </w:tc>
      </w:tr>
      <w:tr w:rsidR="00EF595D" w:rsidRPr="009E1E57" w:rsidTr="00C54FF0">
        <w:trPr>
          <w:cantSplit/>
        </w:trPr>
        <w:tc>
          <w:tcPr>
            <w:tcW w:w="2127" w:type="dxa"/>
            <w:vMerge/>
            <w:tcBorders>
              <w:left w:val="nil"/>
            </w:tcBorders>
          </w:tcPr>
          <w:p w:rsidR="00EF595D" w:rsidRPr="009E1E57" w:rsidRDefault="00EF595D" w:rsidP="00C54FF0">
            <w:pPr>
              <w:pStyle w:val="TableText"/>
            </w:pPr>
          </w:p>
        </w:tc>
        <w:tc>
          <w:tcPr>
            <w:tcW w:w="3685" w:type="dxa"/>
            <w:vMerge/>
          </w:tcPr>
          <w:p w:rsidR="00EF595D" w:rsidRPr="009E1E57" w:rsidRDefault="00EF595D" w:rsidP="00C54FF0">
            <w:pPr>
              <w:pStyle w:val="TableText"/>
            </w:pPr>
          </w:p>
        </w:tc>
        <w:tc>
          <w:tcPr>
            <w:tcW w:w="1861" w:type="dxa"/>
            <w:tcBorders>
              <w:top w:val="single" w:sz="4" w:space="0" w:color="A6A6A6" w:themeColor="background1" w:themeShade="A6"/>
              <w:bottom w:val="single" w:sz="4" w:space="0" w:color="A6A6A6" w:themeColor="background1" w:themeShade="A6"/>
            </w:tcBorders>
          </w:tcPr>
          <w:p w:rsidR="00EF595D" w:rsidRPr="009E1E57" w:rsidRDefault="00EF595D" w:rsidP="00C54FF0">
            <w:pPr>
              <w:pStyle w:val="TableText"/>
            </w:pPr>
            <w:r w:rsidRPr="009E1E57">
              <w:t>Canterbury</w:t>
            </w:r>
          </w:p>
        </w:tc>
        <w:tc>
          <w:tcPr>
            <w:tcW w:w="1941" w:type="dxa"/>
            <w:tcBorders>
              <w:top w:val="single" w:sz="4" w:space="0" w:color="A6A6A6" w:themeColor="background1" w:themeShade="A6"/>
              <w:bottom w:val="single" w:sz="4" w:space="0" w:color="A6A6A6" w:themeColor="background1" w:themeShade="A6"/>
              <w:right w:val="nil"/>
            </w:tcBorders>
          </w:tcPr>
          <w:p w:rsidR="00EF595D" w:rsidRPr="009E1E57" w:rsidRDefault="00EF595D" w:rsidP="00C54FF0">
            <w:pPr>
              <w:pStyle w:val="TableText"/>
              <w:jc w:val="center"/>
            </w:pPr>
            <w:r w:rsidRPr="009E1E57">
              <w:t>61%</w:t>
            </w:r>
          </w:p>
        </w:tc>
      </w:tr>
      <w:tr w:rsidR="00EF595D" w:rsidRPr="009E1E57" w:rsidTr="00C54FF0">
        <w:trPr>
          <w:cantSplit/>
        </w:trPr>
        <w:tc>
          <w:tcPr>
            <w:tcW w:w="2127" w:type="dxa"/>
            <w:vMerge/>
            <w:tcBorders>
              <w:left w:val="nil"/>
            </w:tcBorders>
          </w:tcPr>
          <w:p w:rsidR="00EF595D" w:rsidRPr="009E1E57" w:rsidRDefault="00EF595D" w:rsidP="00C54FF0">
            <w:pPr>
              <w:pStyle w:val="TableText"/>
            </w:pPr>
          </w:p>
        </w:tc>
        <w:tc>
          <w:tcPr>
            <w:tcW w:w="3685" w:type="dxa"/>
            <w:vMerge/>
          </w:tcPr>
          <w:p w:rsidR="00EF595D" w:rsidRPr="009E1E57" w:rsidRDefault="00EF595D" w:rsidP="00C54FF0">
            <w:pPr>
              <w:pStyle w:val="TableText"/>
            </w:pPr>
          </w:p>
        </w:tc>
        <w:tc>
          <w:tcPr>
            <w:tcW w:w="1861" w:type="dxa"/>
            <w:tcBorders>
              <w:top w:val="single" w:sz="4" w:space="0" w:color="A6A6A6" w:themeColor="background1" w:themeShade="A6"/>
              <w:bottom w:val="single" w:sz="4" w:space="0" w:color="A6A6A6" w:themeColor="background1" w:themeShade="A6"/>
            </w:tcBorders>
          </w:tcPr>
          <w:p w:rsidR="00EF595D" w:rsidRPr="009E1E57" w:rsidRDefault="00EF595D" w:rsidP="00C54FF0">
            <w:pPr>
              <w:pStyle w:val="TableText"/>
            </w:pPr>
            <w:r w:rsidRPr="009E1E57">
              <w:t>Capital</w:t>
            </w:r>
            <w:r w:rsidR="00085832">
              <w:t xml:space="preserve"> </w:t>
            </w:r>
            <w:r w:rsidRPr="009E1E57">
              <w:t>&amp; Coast</w:t>
            </w:r>
          </w:p>
        </w:tc>
        <w:tc>
          <w:tcPr>
            <w:tcW w:w="1941" w:type="dxa"/>
            <w:tcBorders>
              <w:top w:val="single" w:sz="4" w:space="0" w:color="A6A6A6" w:themeColor="background1" w:themeShade="A6"/>
              <w:bottom w:val="single" w:sz="4" w:space="0" w:color="A6A6A6" w:themeColor="background1" w:themeShade="A6"/>
              <w:right w:val="nil"/>
            </w:tcBorders>
          </w:tcPr>
          <w:p w:rsidR="00EF595D" w:rsidRPr="009E1E57" w:rsidRDefault="00EF595D" w:rsidP="00C54FF0">
            <w:pPr>
              <w:pStyle w:val="TableText"/>
              <w:jc w:val="center"/>
            </w:pPr>
            <w:r w:rsidRPr="009E1E57">
              <w:t>63%</w:t>
            </w:r>
          </w:p>
        </w:tc>
      </w:tr>
      <w:tr w:rsidR="00EF595D" w:rsidRPr="009E1E57" w:rsidTr="00C54FF0">
        <w:trPr>
          <w:cantSplit/>
        </w:trPr>
        <w:tc>
          <w:tcPr>
            <w:tcW w:w="2127" w:type="dxa"/>
            <w:vMerge/>
            <w:tcBorders>
              <w:left w:val="nil"/>
            </w:tcBorders>
          </w:tcPr>
          <w:p w:rsidR="00EF595D" w:rsidRPr="009E1E57" w:rsidRDefault="00EF595D" w:rsidP="00C54FF0">
            <w:pPr>
              <w:pStyle w:val="TableText"/>
            </w:pPr>
          </w:p>
        </w:tc>
        <w:tc>
          <w:tcPr>
            <w:tcW w:w="3685" w:type="dxa"/>
            <w:vMerge/>
          </w:tcPr>
          <w:p w:rsidR="00EF595D" w:rsidRPr="009E1E57" w:rsidRDefault="00EF595D" w:rsidP="00C54FF0">
            <w:pPr>
              <w:pStyle w:val="TableText"/>
            </w:pPr>
          </w:p>
        </w:tc>
        <w:tc>
          <w:tcPr>
            <w:tcW w:w="1861" w:type="dxa"/>
            <w:tcBorders>
              <w:top w:val="single" w:sz="4" w:space="0" w:color="A6A6A6" w:themeColor="background1" w:themeShade="A6"/>
              <w:bottom w:val="single" w:sz="4" w:space="0" w:color="A6A6A6" w:themeColor="background1" w:themeShade="A6"/>
            </w:tcBorders>
          </w:tcPr>
          <w:p w:rsidR="00EF595D" w:rsidRPr="009E1E57" w:rsidRDefault="00EF595D" w:rsidP="00C54FF0">
            <w:pPr>
              <w:pStyle w:val="TableText"/>
            </w:pPr>
            <w:r w:rsidRPr="009E1E57">
              <w:t>Counties Manukau</w:t>
            </w:r>
          </w:p>
        </w:tc>
        <w:tc>
          <w:tcPr>
            <w:tcW w:w="1941" w:type="dxa"/>
            <w:tcBorders>
              <w:top w:val="single" w:sz="4" w:space="0" w:color="A6A6A6" w:themeColor="background1" w:themeShade="A6"/>
              <w:bottom w:val="single" w:sz="4" w:space="0" w:color="A6A6A6" w:themeColor="background1" w:themeShade="A6"/>
              <w:right w:val="nil"/>
            </w:tcBorders>
          </w:tcPr>
          <w:p w:rsidR="00EF595D" w:rsidRPr="009E1E57" w:rsidRDefault="00EF595D" w:rsidP="00C54FF0">
            <w:pPr>
              <w:pStyle w:val="TableText"/>
              <w:jc w:val="center"/>
            </w:pPr>
            <w:r w:rsidRPr="009E1E57">
              <w:t>60%</w:t>
            </w:r>
          </w:p>
        </w:tc>
      </w:tr>
      <w:tr w:rsidR="00EF595D" w:rsidRPr="009E1E57" w:rsidTr="00C54FF0">
        <w:trPr>
          <w:cantSplit/>
        </w:trPr>
        <w:tc>
          <w:tcPr>
            <w:tcW w:w="2127" w:type="dxa"/>
            <w:vMerge/>
            <w:tcBorders>
              <w:left w:val="nil"/>
            </w:tcBorders>
          </w:tcPr>
          <w:p w:rsidR="00EF595D" w:rsidRPr="009E1E57" w:rsidRDefault="00EF595D" w:rsidP="00C54FF0">
            <w:pPr>
              <w:pStyle w:val="TableText"/>
            </w:pPr>
          </w:p>
        </w:tc>
        <w:tc>
          <w:tcPr>
            <w:tcW w:w="3685" w:type="dxa"/>
            <w:vMerge/>
          </w:tcPr>
          <w:p w:rsidR="00EF595D" w:rsidRPr="009E1E57" w:rsidRDefault="00EF595D" w:rsidP="00C54FF0">
            <w:pPr>
              <w:pStyle w:val="TableText"/>
            </w:pPr>
          </w:p>
        </w:tc>
        <w:tc>
          <w:tcPr>
            <w:tcW w:w="1861" w:type="dxa"/>
            <w:tcBorders>
              <w:top w:val="single" w:sz="4" w:space="0" w:color="A6A6A6" w:themeColor="background1" w:themeShade="A6"/>
              <w:bottom w:val="single" w:sz="4" w:space="0" w:color="A6A6A6" w:themeColor="background1" w:themeShade="A6"/>
            </w:tcBorders>
          </w:tcPr>
          <w:p w:rsidR="00EF595D" w:rsidRPr="009E1E57" w:rsidRDefault="00EF595D" w:rsidP="00C54FF0">
            <w:pPr>
              <w:pStyle w:val="TableText"/>
            </w:pPr>
            <w:r w:rsidRPr="009E1E57">
              <w:t>Hutt Valley</w:t>
            </w:r>
          </w:p>
        </w:tc>
        <w:tc>
          <w:tcPr>
            <w:tcW w:w="1941" w:type="dxa"/>
            <w:tcBorders>
              <w:top w:val="single" w:sz="4" w:space="0" w:color="A6A6A6" w:themeColor="background1" w:themeShade="A6"/>
              <w:bottom w:val="single" w:sz="4" w:space="0" w:color="A6A6A6" w:themeColor="background1" w:themeShade="A6"/>
              <w:right w:val="nil"/>
            </w:tcBorders>
          </w:tcPr>
          <w:p w:rsidR="00EF595D" w:rsidRPr="009E1E57" w:rsidRDefault="00EF595D" w:rsidP="00C54FF0">
            <w:pPr>
              <w:pStyle w:val="TableText"/>
              <w:jc w:val="center"/>
            </w:pPr>
            <w:r w:rsidRPr="009E1E57">
              <w:t>63%</w:t>
            </w:r>
          </w:p>
        </w:tc>
      </w:tr>
      <w:tr w:rsidR="00EF595D" w:rsidRPr="009E1E57" w:rsidTr="00C54FF0">
        <w:trPr>
          <w:cantSplit/>
        </w:trPr>
        <w:tc>
          <w:tcPr>
            <w:tcW w:w="2127" w:type="dxa"/>
            <w:vMerge/>
            <w:tcBorders>
              <w:left w:val="nil"/>
            </w:tcBorders>
          </w:tcPr>
          <w:p w:rsidR="00EF595D" w:rsidRPr="009E1E57" w:rsidRDefault="00EF595D" w:rsidP="00C54FF0">
            <w:pPr>
              <w:pStyle w:val="TableText"/>
            </w:pPr>
          </w:p>
        </w:tc>
        <w:tc>
          <w:tcPr>
            <w:tcW w:w="3685" w:type="dxa"/>
            <w:vMerge/>
          </w:tcPr>
          <w:p w:rsidR="00EF595D" w:rsidRPr="009E1E57" w:rsidRDefault="00EF595D" w:rsidP="00C54FF0">
            <w:pPr>
              <w:pStyle w:val="TableText"/>
            </w:pPr>
          </w:p>
        </w:tc>
        <w:tc>
          <w:tcPr>
            <w:tcW w:w="1861" w:type="dxa"/>
            <w:tcBorders>
              <w:top w:val="single" w:sz="4" w:space="0" w:color="A6A6A6" w:themeColor="background1" w:themeShade="A6"/>
              <w:bottom w:val="single" w:sz="4" w:space="0" w:color="A6A6A6" w:themeColor="background1" w:themeShade="A6"/>
            </w:tcBorders>
          </w:tcPr>
          <w:p w:rsidR="00EF595D" w:rsidRPr="009E1E57" w:rsidRDefault="00EF595D" w:rsidP="00C54FF0">
            <w:pPr>
              <w:pStyle w:val="TableText"/>
            </w:pPr>
            <w:r w:rsidRPr="009E1E57">
              <w:t>Waikato</w:t>
            </w:r>
          </w:p>
        </w:tc>
        <w:tc>
          <w:tcPr>
            <w:tcW w:w="1941" w:type="dxa"/>
            <w:tcBorders>
              <w:top w:val="single" w:sz="4" w:space="0" w:color="A6A6A6" w:themeColor="background1" w:themeShade="A6"/>
              <w:bottom w:val="single" w:sz="4" w:space="0" w:color="A6A6A6" w:themeColor="background1" w:themeShade="A6"/>
              <w:right w:val="nil"/>
            </w:tcBorders>
          </w:tcPr>
          <w:p w:rsidR="00EF595D" w:rsidRPr="009E1E57" w:rsidRDefault="00EF595D" w:rsidP="00C54FF0">
            <w:pPr>
              <w:pStyle w:val="TableText"/>
              <w:jc w:val="center"/>
            </w:pPr>
            <w:r w:rsidRPr="009E1E57">
              <w:t>66%</w:t>
            </w:r>
          </w:p>
        </w:tc>
      </w:tr>
      <w:tr w:rsidR="00EF595D" w:rsidRPr="009E1E57" w:rsidTr="00C54FF0">
        <w:trPr>
          <w:cantSplit/>
        </w:trPr>
        <w:tc>
          <w:tcPr>
            <w:tcW w:w="2127" w:type="dxa"/>
            <w:vMerge/>
            <w:tcBorders>
              <w:left w:val="nil"/>
              <w:bottom w:val="single" w:sz="4" w:space="0" w:color="auto"/>
            </w:tcBorders>
          </w:tcPr>
          <w:p w:rsidR="00EF595D" w:rsidRPr="009E1E57" w:rsidRDefault="00EF595D" w:rsidP="00C54FF0">
            <w:pPr>
              <w:pStyle w:val="TableText"/>
            </w:pPr>
          </w:p>
        </w:tc>
        <w:tc>
          <w:tcPr>
            <w:tcW w:w="3685" w:type="dxa"/>
            <w:vMerge/>
            <w:tcBorders>
              <w:bottom w:val="single" w:sz="4" w:space="0" w:color="auto"/>
            </w:tcBorders>
          </w:tcPr>
          <w:p w:rsidR="00EF595D" w:rsidRPr="009E1E57" w:rsidRDefault="00EF595D" w:rsidP="00C54FF0">
            <w:pPr>
              <w:pStyle w:val="TableText"/>
            </w:pPr>
          </w:p>
        </w:tc>
        <w:tc>
          <w:tcPr>
            <w:tcW w:w="1861" w:type="dxa"/>
            <w:tcBorders>
              <w:top w:val="single" w:sz="4" w:space="0" w:color="A6A6A6" w:themeColor="background1" w:themeShade="A6"/>
              <w:bottom w:val="single" w:sz="4" w:space="0" w:color="auto"/>
            </w:tcBorders>
          </w:tcPr>
          <w:p w:rsidR="00EF595D" w:rsidRPr="009E1E57" w:rsidRDefault="00EF595D" w:rsidP="00C54FF0">
            <w:pPr>
              <w:pStyle w:val="TableText"/>
            </w:pPr>
            <w:r w:rsidRPr="009E1E57">
              <w:t>Waitemata</w:t>
            </w:r>
          </w:p>
        </w:tc>
        <w:tc>
          <w:tcPr>
            <w:tcW w:w="1941" w:type="dxa"/>
            <w:tcBorders>
              <w:top w:val="single" w:sz="4" w:space="0" w:color="A6A6A6" w:themeColor="background1" w:themeShade="A6"/>
              <w:bottom w:val="single" w:sz="4" w:space="0" w:color="auto"/>
              <w:right w:val="nil"/>
            </w:tcBorders>
          </w:tcPr>
          <w:p w:rsidR="00EF595D" w:rsidRPr="009E1E57" w:rsidRDefault="00EF595D" w:rsidP="00C54FF0">
            <w:pPr>
              <w:pStyle w:val="TableText"/>
              <w:jc w:val="center"/>
            </w:pPr>
            <w:r w:rsidRPr="009E1E57">
              <w:t>66%</w:t>
            </w:r>
          </w:p>
        </w:tc>
      </w:tr>
    </w:tbl>
    <w:p w:rsidR="00EF595D" w:rsidRPr="009E1E57" w:rsidRDefault="00EF595D" w:rsidP="00C54FF0"/>
    <w:p w:rsidR="00EF595D" w:rsidRPr="009E1E57" w:rsidRDefault="00EF595D" w:rsidP="00C54FF0">
      <w:pPr>
        <w:pStyle w:val="Heading2"/>
        <w:ind w:left="567" w:hanging="567"/>
      </w:pPr>
      <w:bookmarkStart w:id="24" w:name="_Toc391539867"/>
      <w:r w:rsidRPr="009E1E57">
        <w:t>2</w:t>
      </w:r>
      <w:r w:rsidRPr="009E1E57">
        <w:tab/>
        <w:t>More services are delivered locally in the community and in primary care</w:t>
      </w:r>
      <w:bookmarkEnd w:id="24"/>
    </w:p>
    <w:p w:rsidR="00EF595D" w:rsidRPr="009E1E57" w:rsidRDefault="00EF595D" w:rsidP="00C54FF0">
      <w:pPr>
        <w:pStyle w:val="Heading3"/>
      </w:pPr>
      <w:r w:rsidRPr="009E1E57">
        <w:t>Why is this outcome a priority?</w:t>
      </w:r>
    </w:p>
    <w:p w:rsidR="00EF595D" w:rsidRPr="009E1E57" w:rsidRDefault="00EF595D" w:rsidP="00C54FF0">
      <w:r w:rsidRPr="009E1E57">
        <w:t>Primary health care is one</w:t>
      </w:r>
      <w:r w:rsidR="00085832">
        <w:t xml:space="preserve"> </w:t>
      </w:r>
      <w:r w:rsidRPr="009E1E57">
        <w:t>of the most effective ways to promote healthy behaviour, protect against diseases through immunisation and prevent serious illness through screening, early detection and treatment. It is vital in managing care for Pacific patients with complex health needs and is the main channel into secondary care and other types of care.</w:t>
      </w:r>
    </w:p>
    <w:p w:rsidR="00EF595D" w:rsidRPr="009E1E57" w:rsidRDefault="00EF595D" w:rsidP="00C54FF0"/>
    <w:p w:rsidR="00EF595D" w:rsidRPr="009E1E57" w:rsidRDefault="00EF595D" w:rsidP="00C54FF0">
      <w:r w:rsidRPr="009E1E57">
        <w:t>Primary health care is often a patient’s first point of contact with health services and can</w:t>
      </w:r>
      <w:r w:rsidR="00085832">
        <w:t xml:space="preserve"> </w:t>
      </w:r>
      <w:r w:rsidRPr="009E1E57">
        <w:t>be an access point to other social services, such as financial assistance or housing/accommodation entitlements. This</w:t>
      </w:r>
      <w:r w:rsidR="00085832">
        <w:t xml:space="preserve"> </w:t>
      </w:r>
      <w:r w:rsidRPr="009E1E57">
        <w:t>is particularly important for Pacific peoples with disabilities (National Health Board, 2010) or with long-term debilitating conditions. Primary health care is better able</w:t>
      </w:r>
      <w:r w:rsidR="00085832">
        <w:t xml:space="preserve"> </w:t>
      </w:r>
      <w:r w:rsidRPr="009E1E57">
        <w:t>to reach and engage Pacific families through community nurses and other community health workers. The more that Pacific communities are actively involved in the design and delivery of services, the more accessible and effective such services will be.</w:t>
      </w:r>
    </w:p>
    <w:p w:rsidR="00EF595D" w:rsidRPr="009E1E57" w:rsidRDefault="00EF595D" w:rsidP="00C54FF0"/>
    <w:p w:rsidR="00EF595D" w:rsidRPr="009E1E57" w:rsidRDefault="00EF595D" w:rsidP="00C54FF0">
      <w:r w:rsidRPr="009E1E57">
        <w:t>Pacific peoples use both Pacific and non-Pacific primary health care services. Pacific primary care or community-based providers include general practitioner (GP) services, disability support services and mental health providers. They play</w:t>
      </w:r>
      <w:r w:rsidR="00085832">
        <w:t xml:space="preserve"> </w:t>
      </w:r>
      <w:r w:rsidRPr="009E1E57">
        <w:t>a key role in the delivery of culturally competent services to Pacific individuals and families, particularly where there would otherwise be cultural or language barriers to care. Pacific providers often facilitate access to social services for Pacific patients, acknowledging the Pacific notion of holistic health, which encompasses spiritual, mental, social and physical wellbeing. Pacific health and disability providers are often very effective at developing innovative and adaptive services to meet Pacific health needs.</w:t>
      </w:r>
    </w:p>
    <w:p w:rsidR="00EF595D" w:rsidRPr="009E1E57" w:rsidRDefault="00EF595D" w:rsidP="00C54FF0"/>
    <w:p w:rsidR="00EF595D" w:rsidRPr="009E1E57" w:rsidRDefault="00EF595D" w:rsidP="00C54FF0">
      <w:r w:rsidRPr="009E1E57">
        <w:t>As the majority of Pacific patients engage with non-Pacific providers for most of their health and disability needs, the importance of culturally competent primary health care providers cannot be overstated (Health Partners Consulting Group 2012).</w:t>
      </w:r>
    </w:p>
    <w:p w:rsidR="00EF595D" w:rsidRPr="009E1E57" w:rsidRDefault="00EF595D" w:rsidP="00C54FF0"/>
    <w:p w:rsidR="00EF595D" w:rsidRPr="009E1E57" w:rsidRDefault="00EF595D" w:rsidP="00C54FF0">
      <w:pPr>
        <w:pStyle w:val="Heading3"/>
      </w:pPr>
      <w:r w:rsidRPr="009E1E57">
        <w:t>What are we seeking to achieve?</w:t>
      </w:r>
    </w:p>
    <w:p w:rsidR="00EF595D" w:rsidRPr="009E1E57" w:rsidRDefault="00EF595D" w:rsidP="00C54FF0">
      <w:r w:rsidRPr="009E1E57">
        <w:t>Pacific peoples want high-quality and culturally competent primary health care services closer to home that are available whatever time of the day they are required (Southwick et al 2012). They also want to have effective and long-term relationships with their GPs (Southwick et al 2012).</w:t>
      </w:r>
    </w:p>
    <w:p w:rsidR="00EF595D" w:rsidRPr="009E1E57" w:rsidRDefault="00EF595D" w:rsidP="00C54FF0"/>
    <w:p w:rsidR="00EF595D" w:rsidRPr="009E1E57" w:rsidRDefault="00EF595D" w:rsidP="00C54FF0">
      <w:r w:rsidRPr="009E1E57">
        <w:t>The Government wants to build on the existing strengths of primary care and community-based services for Pacific peoples by supporting and working with DHBs, PHOs,</w:t>
      </w:r>
      <w:r w:rsidR="00085832">
        <w:t xml:space="preserve"> </w:t>
      </w:r>
      <w:r w:rsidRPr="009E1E57">
        <w:t>public health units and other providers to maximise the coverage and participation of Pacific women in the National Cervical Screening Programme. The Ministry of Health also supports increasing the cultural competence of primary care providers and innovative primary and community-based services for Pacific young people.</w:t>
      </w:r>
    </w:p>
    <w:p w:rsidR="00EF595D" w:rsidRPr="009E1E57" w:rsidRDefault="00EF595D" w:rsidP="00C54FF0"/>
    <w:p w:rsidR="00EF595D" w:rsidRPr="009E1E57" w:rsidRDefault="00EF595D" w:rsidP="00C54FF0">
      <w:pPr>
        <w:pStyle w:val="Box"/>
      </w:pPr>
      <w:r w:rsidRPr="009E1E57">
        <w:t>The Ministry will ensure:</w:t>
      </w:r>
    </w:p>
    <w:p w:rsidR="00EF595D" w:rsidRPr="009E1E57" w:rsidRDefault="00EF595D" w:rsidP="00C54FF0">
      <w:pPr>
        <w:pStyle w:val="BoxBullet"/>
      </w:pPr>
      <w:r w:rsidRPr="009E1E57">
        <w:t>the four</w:t>
      </w:r>
      <w:r w:rsidR="00085832">
        <w:t xml:space="preserve"> </w:t>
      </w:r>
      <w:r w:rsidRPr="009E1E57">
        <w:t>Pacific health collectives and networks are part of relevant DHB alliances</w:t>
      </w:r>
    </w:p>
    <w:p w:rsidR="00EF595D" w:rsidRPr="009E1E57" w:rsidRDefault="00EF595D" w:rsidP="00C54FF0">
      <w:pPr>
        <w:pStyle w:val="BoxBullet"/>
      </w:pPr>
      <w:r w:rsidRPr="009E1E57">
        <w:t>the new</w:t>
      </w:r>
      <w:r w:rsidR="00085832">
        <w:t xml:space="preserve"> </w:t>
      </w:r>
      <w:r w:rsidRPr="009E1E57">
        <w:t>Integrated Performance and Incentive Framework facilitates improved health outcomes for Pacific peoples.</w:t>
      </w:r>
    </w:p>
    <w:p w:rsidR="00EF595D" w:rsidRPr="009E1E57" w:rsidRDefault="00EF595D" w:rsidP="00C54FF0"/>
    <w:p w:rsidR="00EF595D" w:rsidRPr="009E1E57" w:rsidRDefault="00EF595D" w:rsidP="00C54FF0">
      <w:pPr>
        <w:pStyle w:val="Heading3"/>
      </w:pPr>
      <w:r w:rsidRPr="009E1E57">
        <w:t>How are we going to measure this?</w:t>
      </w:r>
    </w:p>
    <w:p w:rsidR="00EF595D" w:rsidRPr="009E1E57" w:rsidRDefault="00EF595D" w:rsidP="00C54FF0">
      <w:r w:rsidRPr="009E1E57">
        <w:t>The Ministry of Health will use the following indicators to measure whether the actions identified above achieve the intended outcomes.</w:t>
      </w:r>
    </w:p>
    <w:p w:rsidR="00EF595D" w:rsidRPr="009E1E57" w:rsidRDefault="00EF595D" w:rsidP="00C54FF0"/>
    <w:tbl>
      <w:tblPr>
        <w:tblW w:w="0" w:type="auto"/>
        <w:tblInd w:w="57" w:type="dxa"/>
        <w:tblLayout w:type="fixed"/>
        <w:tblCellMar>
          <w:left w:w="57" w:type="dxa"/>
          <w:right w:w="57" w:type="dxa"/>
        </w:tblCellMar>
        <w:tblLook w:val="01E0" w:firstRow="1" w:lastRow="1" w:firstColumn="1" w:lastColumn="1" w:noHBand="0" w:noVBand="0"/>
      </w:tblPr>
      <w:tblGrid>
        <w:gridCol w:w="1701"/>
        <w:gridCol w:w="1843"/>
        <w:gridCol w:w="1701"/>
        <w:gridCol w:w="1559"/>
        <w:gridCol w:w="1560"/>
        <w:gridCol w:w="992"/>
      </w:tblGrid>
      <w:tr w:rsidR="00EF595D" w:rsidRPr="005A6D96" w:rsidTr="00C8344F">
        <w:trPr>
          <w:cantSplit/>
        </w:trPr>
        <w:tc>
          <w:tcPr>
            <w:tcW w:w="1701" w:type="dxa"/>
            <w:tcBorders>
              <w:top w:val="single" w:sz="4" w:space="0" w:color="auto"/>
              <w:left w:val="nil"/>
              <w:bottom w:val="single" w:sz="4" w:space="0" w:color="auto"/>
            </w:tcBorders>
            <w:shd w:val="clear" w:color="auto" w:fill="auto"/>
          </w:tcPr>
          <w:p w:rsidR="00EF595D" w:rsidRPr="005A6D96" w:rsidRDefault="00EF595D" w:rsidP="005A6D96">
            <w:pPr>
              <w:pStyle w:val="TableText"/>
              <w:rPr>
                <w:rFonts w:eastAsia="Arial"/>
                <w:b/>
              </w:rPr>
            </w:pPr>
            <w:r w:rsidRPr="005A6D96">
              <w:rPr>
                <w:rFonts w:eastAsia="Arial"/>
                <w:b/>
              </w:rPr>
              <w:t>Action</w:t>
            </w:r>
          </w:p>
        </w:tc>
        <w:tc>
          <w:tcPr>
            <w:tcW w:w="1843" w:type="dxa"/>
            <w:tcBorders>
              <w:top w:val="single" w:sz="4" w:space="0" w:color="auto"/>
              <w:bottom w:val="single" w:sz="4" w:space="0" w:color="auto"/>
            </w:tcBorders>
            <w:shd w:val="clear" w:color="auto" w:fill="auto"/>
          </w:tcPr>
          <w:p w:rsidR="00EF595D" w:rsidRPr="005A6D96" w:rsidRDefault="00EF595D" w:rsidP="005A6D96">
            <w:pPr>
              <w:pStyle w:val="TableText"/>
              <w:rPr>
                <w:rFonts w:eastAsia="Arial"/>
                <w:b/>
              </w:rPr>
            </w:pPr>
            <w:r w:rsidRPr="005A6D96">
              <w:rPr>
                <w:rFonts w:eastAsia="Arial"/>
                <w:b/>
              </w:rPr>
              <w:t>Indicator</w:t>
            </w:r>
          </w:p>
        </w:tc>
        <w:tc>
          <w:tcPr>
            <w:tcW w:w="5812" w:type="dxa"/>
            <w:gridSpan w:val="4"/>
            <w:tcBorders>
              <w:top w:val="single" w:sz="4" w:space="0" w:color="auto"/>
              <w:bottom w:val="single" w:sz="4" w:space="0" w:color="auto"/>
              <w:right w:val="nil"/>
            </w:tcBorders>
            <w:shd w:val="clear" w:color="auto" w:fill="auto"/>
          </w:tcPr>
          <w:p w:rsidR="00EF595D" w:rsidRPr="005A6D96" w:rsidRDefault="00EF595D" w:rsidP="005A6D96">
            <w:pPr>
              <w:pStyle w:val="TableText"/>
              <w:rPr>
                <w:b/>
              </w:rPr>
            </w:pPr>
            <w:r w:rsidRPr="005A6D96">
              <w:rPr>
                <w:b/>
              </w:rPr>
              <w:t>Pacific performance (at 1 May 2014)</w:t>
            </w:r>
          </w:p>
        </w:tc>
      </w:tr>
      <w:tr w:rsidR="00EF595D" w:rsidRPr="009E1E57" w:rsidTr="00C8344F">
        <w:trPr>
          <w:cantSplit/>
        </w:trPr>
        <w:tc>
          <w:tcPr>
            <w:tcW w:w="1701" w:type="dxa"/>
            <w:tcBorders>
              <w:top w:val="single" w:sz="4" w:space="0" w:color="auto"/>
              <w:left w:val="nil"/>
              <w:bottom w:val="single" w:sz="4" w:space="0" w:color="auto"/>
            </w:tcBorders>
            <w:shd w:val="clear" w:color="auto" w:fill="auto"/>
          </w:tcPr>
          <w:p w:rsidR="00EF595D" w:rsidRPr="009E1E57" w:rsidRDefault="00EF595D" w:rsidP="005A6D96">
            <w:pPr>
              <w:pStyle w:val="TableText"/>
            </w:pPr>
            <w:r w:rsidRPr="009E1E57">
              <w:t>1. The four Pacific health collectives (Auckland, Midlands, Wellington, South Island) will be</w:t>
            </w:r>
            <w:r w:rsidR="00C54FF0">
              <w:t xml:space="preserve"> </w:t>
            </w:r>
            <w:r w:rsidRPr="009E1E57">
              <w:t>part of relevant</w:t>
            </w:r>
            <w:r w:rsidR="00C54FF0">
              <w:t xml:space="preserve"> </w:t>
            </w:r>
            <w:r w:rsidRPr="009E1E57">
              <w:t>DHB alliances.</w:t>
            </w:r>
          </w:p>
        </w:tc>
        <w:tc>
          <w:tcPr>
            <w:tcW w:w="1843" w:type="dxa"/>
            <w:tcBorders>
              <w:top w:val="single" w:sz="4" w:space="0" w:color="auto"/>
              <w:bottom w:val="single" w:sz="4" w:space="0" w:color="auto"/>
            </w:tcBorders>
            <w:shd w:val="clear" w:color="auto" w:fill="auto"/>
          </w:tcPr>
          <w:p w:rsidR="00EF595D" w:rsidRPr="009E1E57" w:rsidRDefault="00EF595D" w:rsidP="005A6D96">
            <w:pPr>
              <w:pStyle w:val="TableText"/>
            </w:pPr>
            <w:r w:rsidRPr="009E1E57">
              <w:t>Monitor the number of Pacific collectives/ networks</w:t>
            </w:r>
            <w:r w:rsidR="00C54FF0">
              <w:t xml:space="preserve"> </w:t>
            </w:r>
            <w:r w:rsidRPr="009E1E57">
              <w:t>involved in DHB alliances through collective and network monitoring</w:t>
            </w:r>
            <w:r w:rsidR="00C54FF0">
              <w:t xml:space="preserve"> </w:t>
            </w:r>
            <w:r w:rsidRPr="009E1E57">
              <w:t>reports</w:t>
            </w:r>
          </w:p>
        </w:tc>
        <w:tc>
          <w:tcPr>
            <w:tcW w:w="5812" w:type="dxa"/>
            <w:gridSpan w:val="4"/>
            <w:tcBorders>
              <w:top w:val="single" w:sz="4" w:space="0" w:color="auto"/>
              <w:bottom w:val="single" w:sz="4" w:space="0" w:color="auto"/>
              <w:right w:val="nil"/>
            </w:tcBorders>
            <w:shd w:val="clear" w:color="auto" w:fill="auto"/>
          </w:tcPr>
          <w:p w:rsidR="00EF595D" w:rsidRPr="009E1E57" w:rsidRDefault="00EF595D" w:rsidP="005A6D96">
            <w:pPr>
              <w:pStyle w:val="TableText"/>
            </w:pPr>
            <w:r w:rsidRPr="009E1E57">
              <w:t>Alliance Health Plus is part of Auckland</w:t>
            </w:r>
            <w:r w:rsidR="00085832">
              <w:t xml:space="preserve"> </w:t>
            </w:r>
            <w:r w:rsidRPr="009E1E57">
              <w:t>District Health Board’s PHO alliance.</w:t>
            </w:r>
          </w:p>
        </w:tc>
      </w:tr>
      <w:tr w:rsidR="00EF595D" w:rsidRPr="009E1E57" w:rsidTr="004F5FA0">
        <w:trPr>
          <w:cantSplit/>
        </w:trPr>
        <w:tc>
          <w:tcPr>
            <w:tcW w:w="1701" w:type="dxa"/>
            <w:vMerge w:val="restart"/>
            <w:tcBorders>
              <w:top w:val="single" w:sz="4" w:space="0" w:color="auto"/>
              <w:left w:val="nil"/>
            </w:tcBorders>
            <w:shd w:val="clear" w:color="auto" w:fill="auto"/>
          </w:tcPr>
          <w:p w:rsidR="00EF595D" w:rsidRPr="009E1E57" w:rsidRDefault="00EF595D" w:rsidP="005A6D96">
            <w:pPr>
              <w:pStyle w:val="TableText"/>
            </w:pPr>
            <w:r w:rsidRPr="009E1E57">
              <w:t xml:space="preserve">2. The new Integrated </w:t>
            </w:r>
            <w:r w:rsidRPr="009E1E57">
              <w:rPr>
                <w:rFonts w:eastAsia="Arial"/>
              </w:rPr>
              <w:t xml:space="preserve">Performance </w:t>
            </w:r>
            <w:r w:rsidRPr="009E1E57">
              <w:t>and</w:t>
            </w:r>
            <w:r w:rsidR="00085832">
              <w:t xml:space="preserve"> </w:t>
            </w:r>
            <w:r w:rsidRPr="009E1E57">
              <w:t>Incentive Framework will facilitate</w:t>
            </w:r>
            <w:r w:rsidR="00C54FF0">
              <w:t xml:space="preserve"> </w:t>
            </w:r>
            <w:r w:rsidRPr="009E1E57">
              <w:t>improved health outcomes for Pacific peoples.</w:t>
            </w:r>
          </w:p>
        </w:tc>
        <w:tc>
          <w:tcPr>
            <w:tcW w:w="7655" w:type="dxa"/>
            <w:gridSpan w:val="5"/>
            <w:tcBorders>
              <w:top w:val="single" w:sz="4" w:space="0" w:color="auto"/>
              <w:right w:val="nil"/>
            </w:tcBorders>
            <w:shd w:val="clear" w:color="auto" w:fill="auto"/>
          </w:tcPr>
          <w:p w:rsidR="00EF595D" w:rsidRPr="009E1E57" w:rsidRDefault="00EF595D" w:rsidP="005A6D96">
            <w:pPr>
              <w:pStyle w:val="TableText"/>
            </w:pPr>
            <w:r w:rsidRPr="009E1E57">
              <w:t>Equity in all system measures for Pacific peoples ie, health</w:t>
            </w:r>
            <w:r w:rsidR="00085832">
              <w:t xml:space="preserve"> </w:t>
            </w:r>
            <w:r w:rsidRPr="009E1E57">
              <w:t>start</w:t>
            </w:r>
            <w:r w:rsidR="00085832">
              <w:t xml:space="preserve"> </w:t>
            </w:r>
            <w:r w:rsidRPr="009E1E57">
              <w:t>measures, healthy</w:t>
            </w:r>
            <w:r w:rsidR="00085832">
              <w:t xml:space="preserve"> </w:t>
            </w:r>
            <w:r w:rsidRPr="009E1E57">
              <w:t>child measures and</w:t>
            </w:r>
            <w:r w:rsidR="00085832">
              <w:t xml:space="preserve"> </w:t>
            </w:r>
            <w:r w:rsidRPr="009E1E57">
              <w:t>healthy</w:t>
            </w:r>
            <w:r w:rsidR="00085832">
              <w:t xml:space="preserve"> </w:t>
            </w:r>
            <w:r w:rsidRPr="009E1E57">
              <w:t>adult measures.</w:t>
            </w:r>
          </w:p>
        </w:tc>
      </w:tr>
      <w:tr w:rsidR="00EF595D" w:rsidRPr="009E1E57" w:rsidTr="00C8344F">
        <w:trPr>
          <w:cantSplit/>
        </w:trPr>
        <w:tc>
          <w:tcPr>
            <w:tcW w:w="1701" w:type="dxa"/>
            <w:vMerge/>
            <w:tcBorders>
              <w:left w:val="nil"/>
            </w:tcBorders>
            <w:shd w:val="clear" w:color="auto" w:fill="auto"/>
          </w:tcPr>
          <w:p w:rsidR="00EF595D" w:rsidRPr="009E1E57" w:rsidRDefault="00EF595D" w:rsidP="005A6D96">
            <w:pPr>
              <w:pStyle w:val="TableText"/>
            </w:pPr>
          </w:p>
        </w:tc>
        <w:tc>
          <w:tcPr>
            <w:tcW w:w="1843" w:type="dxa"/>
            <w:vMerge w:val="restart"/>
            <w:shd w:val="clear" w:color="auto" w:fill="auto"/>
          </w:tcPr>
          <w:p w:rsidR="00EF595D" w:rsidRPr="009E1E57" w:rsidRDefault="00EF595D" w:rsidP="005A6D96">
            <w:pPr>
              <w:pStyle w:val="TableText"/>
            </w:pPr>
            <w:r w:rsidRPr="009E1E57">
              <w:t>Increased Pacific utilisation rates</w:t>
            </w:r>
            <w:r w:rsidR="00C54FF0">
              <w:t xml:space="preserve"> </w:t>
            </w:r>
            <w:r w:rsidRPr="009E1E57">
              <w:t>of primary health care</w:t>
            </w:r>
            <w:r w:rsidR="00085832">
              <w:t xml:space="preserve"> </w:t>
            </w:r>
            <w:r w:rsidRPr="009E1E57">
              <w:t>providers in the seven priority DHBs</w:t>
            </w:r>
          </w:p>
        </w:tc>
        <w:tc>
          <w:tcPr>
            <w:tcW w:w="5812" w:type="dxa"/>
            <w:gridSpan w:val="4"/>
            <w:tcBorders>
              <w:top w:val="single" w:sz="4" w:space="0" w:color="A6A6A6" w:themeColor="background1" w:themeShade="A6"/>
              <w:bottom w:val="single" w:sz="4" w:space="0" w:color="A6A6A6" w:themeColor="background1" w:themeShade="A6"/>
              <w:right w:val="nil"/>
            </w:tcBorders>
            <w:shd w:val="clear" w:color="auto" w:fill="auto"/>
          </w:tcPr>
          <w:p w:rsidR="00EF595D" w:rsidRPr="005A6D96" w:rsidRDefault="00EF595D" w:rsidP="00C8344F">
            <w:pPr>
              <w:pStyle w:val="TableText"/>
              <w:jc w:val="center"/>
              <w:rPr>
                <w:b/>
              </w:rPr>
            </w:pPr>
            <w:r w:rsidRPr="005A6D96">
              <w:rPr>
                <w:b/>
              </w:rPr>
              <w:t>GP and nurse</w:t>
            </w:r>
            <w:r w:rsidR="00085832" w:rsidRPr="005A6D96">
              <w:rPr>
                <w:b/>
              </w:rPr>
              <w:t xml:space="preserve"> </w:t>
            </w:r>
            <w:r w:rsidRPr="005A6D96">
              <w:rPr>
                <w:b/>
              </w:rPr>
              <w:t>consultations for Pacific peoples, 2013</w:t>
            </w:r>
          </w:p>
        </w:tc>
      </w:tr>
      <w:tr w:rsidR="00EF595D" w:rsidRPr="009E1E57" w:rsidTr="00C8344F">
        <w:trPr>
          <w:cantSplit/>
        </w:trPr>
        <w:tc>
          <w:tcPr>
            <w:tcW w:w="1701" w:type="dxa"/>
            <w:vMerge/>
            <w:tcBorders>
              <w:left w:val="nil"/>
            </w:tcBorders>
            <w:shd w:val="clear" w:color="auto" w:fill="auto"/>
          </w:tcPr>
          <w:p w:rsidR="00EF595D" w:rsidRPr="009E1E57" w:rsidRDefault="00EF595D" w:rsidP="005A6D96">
            <w:pPr>
              <w:pStyle w:val="TableText"/>
            </w:pPr>
          </w:p>
        </w:tc>
        <w:tc>
          <w:tcPr>
            <w:tcW w:w="1843" w:type="dxa"/>
            <w:vMerge/>
            <w:shd w:val="clear" w:color="auto" w:fill="auto"/>
          </w:tcPr>
          <w:p w:rsidR="00EF595D" w:rsidRPr="009E1E57" w:rsidRDefault="00EF595D" w:rsidP="005A6D96">
            <w:pPr>
              <w:pStyle w:val="TableText"/>
            </w:pPr>
          </w:p>
        </w:tc>
        <w:tc>
          <w:tcPr>
            <w:tcW w:w="1701" w:type="dxa"/>
            <w:tcBorders>
              <w:top w:val="single" w:sz="4" w:space="0" w:color="A6A6A6" w:themeColor="background1" w:themeShade="A6"/>
              <w:bottom w:val="single" w:sz="4" w:space="0" w:color="A6A6A6" w:themeColor="background1" w:themeShade="A6"/>
            </w:tcBorders>
            <w:shd w:val="clear" w:color="auto" w:fill="auto"/>
          </w:tcPr>
          <w:p w:rsidR="00EF595D" w:rsidRPr="005A6D96" w:rsidRDefault="00EF595D" w:rsidP="005A6D96">
            <w:pPr>
              <w:pStyle w:val="TableText"/>
              <w:rPr>
                <w:rFonts w:eastAsia="Arial"/>
                <w:b/>
              </w:rPr>
            </w:pPr>
            <w:r w:rsidRPr="005A6D96">
              <w:rPr>
                <w:rFonts w:eastAsia="Arial"/>
                <w:b/>
              </w:rPr>
              <w:t>Lead district health board</w:t>
            </w:r>
          </w:p>
        </w:tc>
        <w:tc>
          <w:tcPr>
            <w:tcW w:w="1559" w:type="dxa"/>
            <w:tcBorders>
              <w:top w:val="single" w:sz="4" w:space="0" w:color="A6A6A6" w:themeColor="background1" w:themeShade="A6"/>
              <w:bottom w:val="single" w:sz="4" w:space="0" w:color="A6A6A6" w:themeColor="background1" w:themeShade="A6"/>
            </w:tcBorders>
            <w:shd w:val="clear" w:color="auto" w:fill="auto"/>
          </w:tcPr>
          <w:p w:rsidR="00EF595D" w:rsidRPr="005A6D96" w:rsidRDefault="00EF595D" w:rsidP="005A6D96">
            <w:pPr>
              <w:pStyle w:val="TableText"/>
              <w:jc w:val="center"/>
              <w:rPr>
                <w:rFonts w:eastAsia="Arial"/>
                <w:b/>
              </w:rPr>
            </w:pPr>
            <w:r w:rsidRPr="005A6D96">
              <w:rPr>
                <w:rFonts w:eastAsia="Arial"/>
                <w:b/>
              </w:rPr>
              <w:t>Average number of GP visits per person</w:t>
            </w:r>
          </w:p>
        </w:tc>
        <w:tc>
          <w:tcPr>
            <w:tcW w:w="1560" w:type="dxa"/>
            <w:tcBorders>
              <w:top w:val="single" w:sz="4" w:space="0" w:color="A6A6A6" w:themeColor="background1" w:themeShade="A6"/>
              <w:bottom w:val="single" w:sz="4" w:space="0" w:color="A6A6A6" w:themeColor="background1" w:themeShade="A6"/>
            </w:tcBorders>
            <w:shd w:val="clear" w:color="auto" w:fill="auto"/>
          </w:tcPr>
          <w:p w:rsidR="00EF595D" w:rsidRPr="005A6D96" w:rsidRDefault="00EF595D" w:rsidP="005A6D96">
            <w:pPr>
              <w:pStyle w:val="TableText"/>
              <w:jc w:val="center"/>
              <w:rPr>
                <w:rFonts w:eastAsia="Arial"/>
                <w:b/>
              </w:rPr>
            </w:pPr>
            <w:r w:rsidRPr="005A6D96">
              <w:rPr>
                <w:rFonts w:eastAsia="Arial"/>
                <w:b/>
              </w:rPr>
              <w:t>Average number of nurse visits per person</w:t>
            </w:r>
          </w:p>
        </w:tc>
        <w:tc>
          <w:tcPr>
            <w:tcW w:w="992" w:type="dxa"/>
            <w:tcBorders>
              <w:top w:val="single" w:sz="4" w:space="0" w:color="A6A6A6" w:themeColor="background1" w:themeShade="A6"/>
              <w:bottom w:val="single" w:sz="4" w:space="0" w:color="A6A6A6" w:themeColor="background1" w:themeShade="A6"/>
              <w:right w:val="nil"/>
            </w:tcBorders>
            <w:shd w:val="clear" w:color="auto" w:fill="auto"/>
          </w:tcPr>
          <w:p w:rsidR="00EF595D" w:rsidRPr="005A6D96" w:rsidRDefault="00EF595D" w:rsidP="005A6D96">
            <w:pPr>
              <w:pStyle w:val="TableText"/>
              <w:jc w:val="center"/>
              <w:rPr>
                <w:rFonts w:eastAsia="Arial"/>
                <w:b/>
              </w:rPr>
            </w:pPr>
            <w:r w:rsidRPr="005A6D96">
              <w:rPr>
                <w:rFonts w:eastAsia="Arial"/>
                <w:b/>
              </w:rPr>
              <w:t>Total visits per person</w:t>
            </w:r>
          </w:p>
        </w:tc>
      </w:tr>
      <w:tr w:rsidR="00EF595D" w:rsidRPr="009E1E57" w:rsidTr="00C8344F">
        <w:trPr>
          <w:cantSplit/>
        </w:trPr>
        <w:tc>
          <w:tcPr>
            <w:tcW w:w="1701" w:type="dxa"/>
            <w:vMerge/>
            <w:tcBorders>
              <w:left w:val="nil"/>
            </w:tcBorders>
            <w:shd w:val="clear" w:color="auto" w:fill="auto"/>
          </w:tcPr>
          <w:p w:rsidR="00EF595D" w:rsidRPr="009E1E57" w:rsidRDefault="00EF595D" w:rsidP="005A6D96">
            <w:pPr>
              <w:pStyle w:val="TableText"/>
            </w:pPr>
          </w:p>
        </w:tc>
        <w:tc>
          <w:tcPr>
            <w:tcW w:w="1843" w:type="dxa"/>
            <w:vMerge/>
            <w:shd w:val="clear" w:color="auto" w:fill="auto"/>
          </w:tcPr>
          <w:p w:rsidR="00EF595D" w:rsidRPr="009E1E57" w:rsidRDefault="00EF595D" w:rsidP="005A6D96">
            <w:pPr>
              <w:pStyle w:val="TableText"/>
            </w:pPr>
          </w:p>
        </w:tc>
        <w:tc>
          <w:tcPr>
            <w:tcW w:w="1701" w:type="dxa"/>
            <w:tcBorders>
              <w:top w:val="single" w:sz="4" w:space="0" w:color="A6A6A6" w:themeColor="background1" w:themeShade="A6"/>
              <w:bottom w:val="single" w:sz="4" w:space="0" w:color="A6A6A6" w:themeColor="background1" w:themeShade="A6"/>
            </w:tcBorders>
            <w:shd w:val="clear" w:color="auto" w:fill="auto"/>
          </w:tcPr>
          <w:p w:rsidR="00EF595D" w:rsidRPr="009E1E57" w:rsidRDefault="00EF595D" w:rsidP="005A6D96">
            <w:pPr>
              <w:pStyle w:val="TableText"/>
            </w:pPr>
            <w:r w:rsidRPr="009E1E57">
              <w:t>Greater Auckland*</w:t>
            </w:r>
          </w:p>
        </w:tc>
        <w:tc>
          <w:tcPr>
            <w:tcW w:w="1559" w:type="dxa"/>
            <w:tcBorders>
              <w:top w:val="single" w:sz="4" w:space="0" w:color="A6A6A6" w:themeColor="background1" w:themeShade="A6"/>
              <w:bottom w:val="single" w:sz="4" w:space="0" w:color="A6A6A6" w:themeColor="background1" w:themeShade="A6"/>
            </w:tcBorders>
            <w:shd w:val="clear" w:color="auto" w:fill="auto"/>
          </w:tcPr>
          <w:p w:rsidR="00EF595D" w:rsidRPr="009E1E57" w:rsidRDefault="00EF595D" w:rsidP="005A6D96">
            <w:pPr>
              <w:pStyle w:val="TableText"/>
              <w:jc w:val="center"/>
            </w:pPr>
            <w:r w:rsidRPr="009E1E57">
              <w:t>3.1</w:t>
            </w:r>
          </w:p>
        </w:tc>
        <w:tc>
          <w:tcPr>
            <w:tcW w:w="1560" w:type="dxa"/>
            <w:tcBorders>
              <w:top w:val="single" w:sz="4" w:space="0" w:color="A6A6A6" w:themeColor="background1" w:themeShade="A6"/>
              <w:bottom w:val="single" w:sz="4" w:space="0" w:color="A6A6A6" w:themeColor="background1" w:themeShade="A6"/>
            </w:tcBorders>
            <w:shd w:val="clear" w:color="auto" w:fill="auto"/>
          </w:tcPr>
          <w:p w:rsidR="00EF595D" w:rsidRPr="009E1E57" w:rsidRDefault="00EF595D" w:rsidP="005A6D96">
            <w:pPr>
              <w:pStyle w:val="TableText"/>
              <w:jc w:val="center"/>
            </w:pPr>
            <w:r w:rsidRPr="009E1E57">
              <w:t>0.7</w:t>
            </w:r>
          </w:p>
        </w:tc>
        <w:tc>
          <w:tcPr>
            <w:tcW w:w="992" w:type="dxa"/>
            <w:tcBorders>
              <w:top w:val="single" w:sz="4" w:space="0" w:color="A6A6A6" w:themeColor="background1" w:themeShade="A6"/>
              <w:bottom w:val="single" w:sz="4" w:space="0" w:color="A6A6A6" w:themeColor="background1" w:themeShade="A6"/>
              <w:right w:val="nil"/>
            </w:tcBorders>
            <w:shd w:val="clear" w:color="auto" w:fill="auto"/>
          </w:tcPr>
          <w:p w:rsidR="00EF595D" w:rsidRPr="009E1E57" w:rsidRDefault="00EF595D" w:rsidP="005A6D96">
            <w:pPr>
              <w:pStyle w:val="TableText"/>
              <w:jc w:val="center"/>
            </w:pPr>
            <w:r w:rsidRPr="009E1E57">
              <w:t>3.7</w:t>
            </w:r>
          </w:p>
        </w:tc>
      </w:tr>
      <w:tr w:rsidR="00EF595D" w:rsidRPr="009E1E57" w:rsidTr="00C8344F">
        <w:trPr>
          <w:cantSplit/>
        </w:trPr>
        <w:tc>
          <w:tcPr>
            <w:tcW w:w="1701" w:type="dxa"/>
            <w:vMerge/>
            <w:tcBorders>
              <w:left w:val="nil"/>
            </w:tcBorders>
            <w:shd w:val="clear" w:color="auto" w:fill="auto"/>
          </w:tcPr>
          <w:p w:rsidR="00EF595D" w:rsidRPr="009E1E57" w:rsidRDefault="00EF595D" w:rsidP="005A6D96">
            <w:pPr>
              <w:pStyle w:val="TableText"/>
            </w:pPr>
          </w:p>
        </w:tc>
        <w:tc>
          <w:tcPr>
            <w:tcW w:w="1843" w:type="dxa"/>
            <w:vMerge/>
            <w:shd w:val="clear" w:color="auto" w:fill="auto"/>
          </w:tcPr>
          <w:p w:rsidR="00EF595D" w:rsidRPr="009E1E57" w:rsidRDefault="00EF595D" w:rsidP="005A6D96">
            <w:pPr>
              <w:pStyle w:val="TableText"/>
            </w:pPr>
          </w:p>
        </w:tc>
        <w:tc>
          <w:tcPr>
            <w:tcW w:w="1701" w:type="dxa"/>
            <w:tcBorders>
              <w:top w:val="single" w:sz="4" w:space="0" w:color="A6A6A6" w:themeColor="background1" w:themeShade="A6"/>
              <w:bottom w:val="single" w:sz="4" w:space="0" w:color="A6A6A6" w:themeColor="background1" w:themeShade="A6"/>
            </w:tcBorders>
            <w:shd w:val="clear" w:color="auto" w:fill="auto"/>
          </w:tcPr>
          <w:p w:rsidR="00EF595D" w:rsidRPr="009E1E57" w:rsidRDefault="00EF595D" w:rsidP="005A6D96">
            <w:pPr>
              <w:pStyle w:val="TableText"/>
            </w:pPr>
            <w:r w:rsidRPr="009E1E57">
              <w:t>Canterbury</w:t>
            </w:r>
          </w:p>
        </w:tc>
        <w:tc>
          <w:tcPr>
            <w:tcW w:w="1559" w:type="dxa"/>
            <w:tcBorders>
              <w:top w:val="single" w:sz="4" w:space="0" w:color="A6A6A6" w:themeColor="background1" w:themeShade="A6"/>
              <w:bottom w:val="single" w:sz="4" w:space="0" w:color="A6A6A6" w:themeColor="background1" w:themeShade="A6"/>
            </w:tcBorders>
            <w:shd w:val="clear" w:color="auto" w:fill="auto"/>
          </w:tcPr>
          <w:p w:rsidR="00EF595D" w:rsidRPr="009E1E57" w:rsidRDefault="00EF595D" w:rsidP="005A6D96">
            <w:pPr>
              <w:pStyle w:val="TableText"/>
              <w:jc w:val="center"/>
            </w:pPr>
            <w:r w:rsidRPr="009E1E57">
              <w:t>2.0</w:t>
            </w:r>
          </w:p>
        </w:tc>
        <w:tc>
          <w:tcPr>
            <w:tcW w:w="1560" w:type="dxa"/>
            <w:tcBorders>
              <w:top w:val="single" w:sz="4" w:space="0" w:color="A6A6A6" w:themeColor="background1" w:themeShade="A6"/>
              <w:bottom w:val="single" w:sz="4" w:space="0" w:color="A6A6A6" w:themeColor="background1" w:themeShade="A6"/>
            </w:tcBorders>
            <w:shd w:val="clear" w:color="auto" w:fill="auto"/>
          </w:tcPr>
          <w:p w:rsidR="00EF595D" w:rsidRPr="009E1E57" w:rsidRDefault="00EF595D" w:rsidP="005A6D96">
            <w:pPr>
              <w:pStyle w:val="TableText"/>
              <w:jc w:val="center"/>
            </w:pPr>
            <w:r w:rsidRPr="009E1E57">
              <w:t>0.1</w:t>
            </w:r>
          </w:p>
        </w:tc>
        <w:tc>
          <w:tcPr>
            <w:tcW w:w="992" w:type="dxa"/>
            <w:tcBorders>
              <w:top w:val="single" w:sz="4" w:space="0" w:color="A6A6A6" w:themeColor="background1" w:themeShade="A6"/>
              <w:bottom w:val="single" w:sz="4" w:space="0" w:color="A6A6A6" w:themeColor="background1" w:themeShade="A6"/>
              <w:right w:val="nil"/>
            </w:tcBorders>
            <w:shd w:val="clear" w:color="auto" w:fill="auto"/>
          </w:tcPr>
          <w:p w:rsidR="00EF595D" w:rsidRPr="009E1E57" w:rsidRDefault="00EF595D" w:rsidP="005A6D96">
            <w:pPr>
              <w:pStyle w:val="TableText"/>
              <w:jc w:val="center"/>
            </w:pPr>
            <w:r w:rsidRPr="009E1E57">
              <w:t>2.1</w:t>
            </w:r>
          </w:p>
        </w:tc>
      </w:tr>
      <w:tr w:rsidR="00EF595D" w:rsidRPr="009E1E57" w:rsidTr="00C8344F">
        <w:trPr>
          <w:cantSplit/>
        </w:trPr>
        <w:tc>
          <w:tcPr>
            <w:tcW w:w="1701" w:type="dxa"/>
            <w:vMerge/>
            <w:tcBorders>
              <w:left w:val="nil"/>
            </w:tcBorders>
            <w:shd w:val="clear" w:color="auto" w:fill="auto"/>
          </w:tcPr>
          <w:p w:rsidR="00EF595D" w:rsidRPr="009E1E57" w:rsidRDefault="00EF595D" w:rsidP="005A6D96">
            <w:pPr>
              <w:pStyle w:val="TableText"/>
            </w:pPr>
          </w:p>
        </w:tc>
        <w:tc>
          <w:tcPr>
            <w:tcW w:w="1843" w:type="dxa"/>
            <w:vMerge/>
            <w:shd w:val="clear" w:color="auto" w:fill="auto"/>
          </w:tcPr>
          <w:p w:rsidR="00EF595D" w:rsidRPr="009E1E57" w:rsidRDefault="00EF595D" w:rsidP="005A6D96">
            <w:pPr>
              <w:pStyle w:val="TableText"/>
            </w:pPr>
          </w:p>
        </w:tc>
        <w:tc>
          <w:tcPr>
            <w:tcW w:w="1701" w:type="dxa"/>
            <w:tcBorders>
              <w:top w:val="single" w:sz="4" w:space="0" w:color="A6A6A6" w:themeColor="background1" w:themeShade="A6"/>
              <w:bottom w:val="single" w:sz="4" w:space="0" w:color="A6A6A6" w:themeColor="background1" w:themeShade="A6"/>
            </w:tcBorders>
            <w:shd w:val="clear" w:color="auto" w:fill="auto"/>
          </w:tcPr>
          <w:p w:rsidR="00EF595D" w:rsidRPr="009E1E57" w:rsidRDefault="00EF595D" w:rsidP="005A6D96">
            <w:pPr>
              <w:pStyle w:val="TableText"/>
            </w:pPr>
            <w:r w:rsidRPr="009E1E57">
              <w:t>Capital</w:t>
            </w:r>
            <w:r w:rsidR="00085832">
              <w:t xml:space="preserve"> </w:t>
            </w:r>
            <w:r w:rsidRPr="009E1E57">
              <w:t>&amp; Coast</w:t>
            </w:r>
          </w:p>
        </w:tc>
        <w:tc>
          <w:tcPr>
            <w:tcW w:w="1559" w:type="dxa"/>
            <w:tcBorders>
              <w:top w:val="single" w:sz="4" w:space="0" w:color="A6A6A6" w:themeColor="background1" w:themeShade="A6"/>
              <w:bottom w:val="single" w:sz="4" w:space="0" w:color="A6A6A6" w:themeColor="background1" w:themeShade="A6"/>
            </w:tcBorders>
            <w:shd w:val="clear" w:color="auto" w:fill="auto"/>
          </w:tcPr>
          <w:p w:rsidR="00EF595D" w:rsidRPr="009E1E57" w:rsidRDefault="00EF595D" w:rsidP="005A6D96">
            <w:pPr>
              <w:pStyle w:val="TableText"/>
              <w:jc w:val="center"/>
            </w:pPr>
            <w:r w:rsidRPr="009E1E57">
              <w:t>2.8</w:t>
            </w:r>
          </w:p>
        </w:tc>
        <w:tc>
          <w:tcPr>
            <w:tcW w:w="1560" w:type="dxa"/>
            <w:tcBorders>
              <w:top w:val="single" w:sz="4" w:space="0" w:color="A6A6A6" w:themeColor="background1" w:themeShade="A6"/>
              <w:bottom w:val="single" w:sz="4" w:space="0" w:color="A6A6A6" w:themeColor="background1" w:themeShade="A6"/>
            </w:tcBorders>
            <w:shd w:val="clear" w:color="auto" w:fill="auto"/>
          </w:tcPr>
          <w:p w:rsidR="00EF595D" w:rsidRPr="009E1E57" w:rsidRDefault="00EF595D" w:rsidP="005A6D96">
            <w:pPr>
              <w:pStyle w:val="TableText"/>
              <w:jc w:val="center"/>
            </w:pPr>
            <w:r w:rsidRPr="009E1E57">
              <w:t>1.2</w:t>
            </w:r>
          </w:p>
        </w:tc>
        <w:tc>
          <w:tcPr>
            <w:tcW w:w="992" w:type="dxa"/>
            <w:tcBorders>
              <w:top w:val="single" w:sz="4" w:space="0" w:color="A6A6A6" w:themeColor="background1" w:themeShade="A6"/>
              <w:bottom w:val="single" w:sz="4" w:space="0" w:color="A6A6A6" w:themeColor="background1" w:themeShade="A6"/>
              <w:right w:val="nil"/>
            </w:tcBorders>
            <w:shd w:val="clear" w:color="auto" w:fill="auto"/>
          </w:tcPr>
          <w:p w:rsidR="00EF595D" w:rsidRPr="009E1E57" w:rsidRDefault="00EF595D" w:rsidP="005A6D96">
            <w:pPr>
              <w:pStyle w:val="TableText"/>
              <w:jc w:val="center"/>
            </w:pPr>
            <w:r w:rsidRPr="009E1E57">
              <w:t>4.0</w:t>
            </w:r>
          </w:p>
        </w:tc>
      </w:tr>
      <w:tr w:rsidR="00EF595D" w:rsidRPr="009E1E57" w:rsidTr="00C8344F">
        <w:trPr>
          <w:cantSplit/>
        </w:trPr>
        <w:tc>
          <w:tcPr>
            <w:tcW w:w="1701" w:type="dxa"/>
            <w:vMerge/>
            <w:tcBorders>
              <w:left w:val="nil"/>
            </w:tcBorders>
            <w:shd w:val="clear" w:color="auto" w:fill="auto"/>
          </w:tcPr>
          <w:p w:rsidR="00EF595D" w:rsidRPr="009E1E57" w:rsidRDefault="00EF595D" w:rsidP="005A6D96">
            <w:pPr>
              <w:pStyle w:val="TableText"/>
            </w:pPr>
          </w:p>
        </w:tc>
        <w:tc>
          <w:tcPr>
            <w:tcW w:w="1843" w:type="dxa"/>
            <w:vMerge/>
            <w:shd w:val="clear" w:color="auto" w:fill="auto"/>
          </w:tcPr>
          <w:p w:rsidR="00EF595D" w:rsidRPr="009E1E57" w:rsidRDefault="00EF595D" w:rsidP="005A6D96">
            <w:pPr>
              <w:pStyle w:val="TableText"/>
            </w:pPr>
          </w:p>
        </w:tc>
        <w:tc>
          <w:tcPr>
            <w:tcW w:w="1701" w:type="dxa"/>
            <w:tcBorders>
              <w:top w:val="single" w:sz="4" w:space="0" w:color="A6A6A6" w:themeColor="background1" w:themeShade="A6"/>
              <w:bottom w:val="single" w:sz="4" w:space="0" w:color="A6A6A6" w:themeColor="background1" w:themeShade="A6"/>
            </w:tcBorders>
            <w:shd w:val="clear" w:color="auto" w:fill="auto"/>
          </w:tcPr>
          <w:p w:rsidR="00EF595D" w:rsidRPr="009E1E57" w:rsidRDefault="00EF595D" w:rsidP="005A6D96">
            <w:pPr>
              <w:pStyle w:val="TableText"/>
            </w:pPr>
            <w:r w:rsidRPr="009E1E57">
              <w:t>Hutt Valley</w:t>
            </w:r>
          </w:p>
        </w:tc>
        <w:tc>
          <w:tcPr>
            <w:tcW w:w="1559" w:type="dxa"/>
            <w:tcBorders>
              <w:top w:val="single" w:sz="4" w:space="0" w:color="A6A6A6" w:themeColor="background1" w:themeShade="A6"/>
              <w:bottom w:val="single" w:sz="4" w:space="0" w:color="A6A6A6" w:themeColor="background1" w:themeShade="A6"/>
            </w:tcBorders>
            <w:shd w:val="clear" w:color="auto" w:fill="auto"/>
          </w:tcPr>
          <w:p w:rsidR="00EF595D" w:rsidRPr="009E1E57" w:rsidRDefault="00EF595D" w:rsidP="005A6D96">
            <w:pPr>
              <w:pStyle w:val="TableText"/>
              <w:jc w:val="center"/>
            </w:pPr>
            <w:r w:rsidRPr="009E1E57">
              <w:t>2.0</w:t>
            </w:r>
          </w:p>
        </w:tc>
        <w:tc>
          <w:tcPr>
            <w:tcW w:w="1560" w:type="dxa"/>
            <w:tcBorders>
              <w:top w:val="single" w:sz="4" w:space="0" w:color="A6A6A6" w:themeColor="background1" w:themeShade="A6"/>
              <w:bottom w:val="single" w:sz="4" w:space="0" w:color="A6A6A6" w:themeColor="background1" w:themeShade="A6"/>
            </w:tcBorders>
            <w:shd w:val="clear" w:color="auto" w:fill="auto"/>
          </w:tcPr>
          <w:p w:rsidR="00EF595D" w:rsidRPr="009E1E57" w:rsidRDefault="00EF595D" w:rsidP="005A6D96">
            <w:pPr>
              <w:pStyle w:val="TableText"/>
              <w:jc w:val="center"/>
            </w:pPr>
            <w:r w:rsidRPr="009E1E57">
              <w:t>0.8</w:t>
            </w:r>
          </w:p>
        </w:tc>
        <w:tc>
          <w:tcPr>
            <w:tcW w:w="992" w:type="dxa"/>
            <w:tcBorders>
              <w:top w:val="single" w:sz="4" w:space="0" w:color="A6A6A6" w:themeColor="background1" w:themeShade="A6"/>
              <w:bottom w:val="single" w:sz="4" w:space="0" w:color="A6A6A6" w:themeColor="background1" w:themeShade="A6"/>
              <w:right w:val="nil"/>
            </w:tcBorders>
            <w:shd w:val="clear" w:color="auto" w:fill="auto"/>
          </w:tcPr>
          <w:p w:rsidR="00EF595D" w:rsidRPr="009E1E57" w:rsidRDefault="00EF595D" w:rsidP="005A6D96">
            <w:pPr>
              <w:pStyle w:val="TableText"/>
              <w:jc w:val="center"/>
            </w:pPr>
            <w:r w:rsidRPr="009E1E57">
              <w:t>2.9</w:t>
            </w:r>
          </w:p>
        </w:tc>
      </w:tr>
      <w:tr w:rsidR="00EF595D" w:rsidRPr="009E1E57" w:rsidTr="00C8344F">
        <w:trPr>
          <w:cantSplit/>
        </w:trPr>
        <w:tc>
          <w:tcPr>
            <w:tcW w:w="1701" w:type="dxa"/>
            <w:vMerge/>
            <w:tcBorders>
              <w:left w:val="nil"/>
            </w:tcBorders>
            <w:shd w:val="clear" w:color="auto" w:fill="auto"/>
          </w:tcPr>
          <w:p w:rsidR="00EF595D" w:rsidRPr="009E1E57" w:rsidRDefault="00EF595D" w:rsidP="005A6D96">
            <w:pPr>
              <w:pStyle w:val="TableText"/>
            </w:pPr>
          </w:p>
        </w:tc>
        <w:tc>
          <w:tcPr>
            <w:tcW w:w="1843" w:type="dxa"/>
            <w:vMerge/>
            <w:shd w:val="clear" w:color="auto" w:fill="auto"/>
          </w:tcPr>
          <w:p w:rsidR="00EF595D" w:rsidRPr="009E1E57" w:rsidRDefault="00EF595D" w:rsidP="005A6D96">
            <w:pPr>
              <w:pStyle w:val="TableText"/>
            </w:pPr>
          </w:p>
        </w:tc>
        <w:tc>
          <w:tcPr>
            <w:tcW w:w="1701" w:type="dxa"/>
            <w:tcBorders>
              <w:top w:val="single" w:sz="4" w:space="0" w:color="A6A6A6" w:themeColor="background1" w:themeShade="A6"/>
              <w:bottom w:val="single" w:sz="4" w:space="0" w:color="A6A6A6" w:themeColor="background1" w:themeShade="A6"/>
            </w:tcBorders>
            <w:shd w:val="clear" w:color="auto" w:fill="auto"/>
          </w:tcPr>
          <w:p w:rsidR="00EF595D" w:rsidRPr="009E1E57" w:rsidRDefault="00EF595D" w:rsidP="005A6D96">
            <w:pPr>
              <w:pStyle w:val="TableText"/>
            </w:pPr>
            <w:r w:rsidRPr="009E1E57">
              <w:t>Waikato</w:t>
            </w:r>
          </w:p>
        </w:tc>
        <w:tc>
          <w:tcPr>
            <w:tcW w:w="1559" w:type="dxa"/>
            <w:tcBorders>
              <w:top w:val="single" w:sz="4" w:space="0" w:color="A6A6A6" w:themeColor="background1" w:themeShade="A6"/>
              <w:bottom w:val="single" w:sz="4" w:space="0" w:color="A6A6A6" w:themeColor="background1" w:themeShade="A6"/>
            </w:tcBorders>
            <w:shd w:val="clear" w:color="auto" w:fill="auto"/>
          </w:tcPr>
          <w:p w:rsidR="00EF595D" w:rsidRPr="009E1E57" w:rsidRDefault="00EF595D" w:rsidP="005A6D96">
            <w:pPr>
              <w:pStyle w:val="TableText"/>
              <w:jc w:val="center"/>
            </w:pPr>
            <w:r w:rsidRPr="009E1E57">
              <w:t>2.5</w:t>
            </w:r>
          </w:p>
        </w:tc>
        <w:tc>
          <w:tcPr>
            <w:tcW w:w="1560" w:type="dxa"/>
            <w:tcBorders>
              <w:top w:val="single" w:sz="4" w:space="0" w:color="A6A6A6" w:themeColor="background1" w:themeShade="A6"/>
              <w:bottom w:val="single" w:sz="4" w:space="0" w:color="A6A6A6" w:themeColor="background1" w:themeShade="A6"/>
            </w:tcBorders>
            <w:shd w:val="clear" w:color="auto" w:fill="auto"/>
          </w:tcPr>
          <w:p w:rsidR="00EF595D" w:rsidRPr="009E1E57" w:rsidRDefault="00EF595D" w:rsidP="005A6D96">
            <w:pPr>
              <w:pStyle w:val="TableText"/>
              <w:jc w:val="center"/>
            </w:pPr>
            <w:r w:rsidRPr="009E1E57">
              <w:t>0.7</w:t>
            </w:r>
          </w:p>
        </w:tc>
        <w:tc>
          <w:tcPr>
            <w:tcW w:w="992" w:type="dxa"/>
            <w:tcBorders>
              <w:top w:val="single" w:sz="4" w:space="0" w:color="A6A6A6" w:themeColor="background1" w:themeShade="A6"/>
              <w:bottom w:val="single" w:sz="4" w:space="0" w:color="A6A6A6" w:themeColor="background1" w:themeShade="A6"/>
              <w:right w:val="nil"/>
            </w:tcBorders>
            <w:shd w:val="clear" w:color="auto" w:fill="auto"/>
          </w:tcPr>
          <w:p w:rsidR="00EF595D" w:rsidRPr="009E1E57" w:rsidRDefault="00EF595D" w:rsidP="005A6D96">
            <w:pPr>
              <w:pStyle w:val="TableText"/>
              <w:jc w:val="center"/>
            </w:pPr>
            <w:r w:rsidRPr="009E1E57">
              <w:t>3.3</w:t>
            </w:r>
          </w:p>
        </w:tc>
      </w:tr>
      <w:tr w:rsidR="00EF595D" w:rsidRPr="009E1E57" w:rsidTr="00C8344F">
        <w:trPr>
          <w:cantSplit/>
        </w:trPr>
        <w:tc>
          <w:tcPr>
            <w:tcW w:w="1701" w:type="dxa"/>
            <w:vMerge/>
            <w:tcBorders>
              <w:left w:val="nil"/>
              <w:bottom w:val="single" w:sz="4" w:space="0" w:color="auto"/>
            </w:tcBorders>
            <w:shd w:val="clear" w:color="auto" w:fill="auto"/>
          </w:tcPr>
          <w:p w:rsidR="00EF595D" w:rsidRPr="009E1E57" w:rsidRDefault="00EF595D" w:rsidP="005A6D96">
            <w:pPr>
              <w:pStyle w:val="TableText"/>
            </w:pPr>
          </w:p>
        </w:tc>
        <w:tc>
          <w:tcPr>
            <w:tcW w:w="1843" w:type="dxa"/>
            <w:vMerge/>
            <w:tcBorders>
              <w:bottom w:val="single" w:sz="4" w:space="0" w:color="auto"/>
            </w:tcBorders>
            <w:shd w:val="clear" w:color="auto" w:fill="auto"/>
          </w:tcPr>
          <w:p w:rsidR="00EF595D" w:rsidRPr="009E1E57" w:rsidRDefault="00EF595D" w:rsidP="005A6D96">
            <w:pPr>
              <w:pStyle w:val="TableText"/>
            </w:pPr>
          </w:p>
        </w:tc>
        <w:tc>
          <w:tcPr>
            <w:tcW w:w="1701" w:type="dxa"/>
            <w:tcBorders>
              <w:top w:val="single" w:sz="4" w:space="0" w:color="A6A6A6" w:themeColor="background1" w:themeShade="A6"/>
              <w:bottom w:val="single" w:sz="4" w:space="0" w:color="auto"/>
            </w:tcBorders>
            <w:shd w:val="clear" w:color="auto" w:fill="F2F2F2" w:themeFill="background1" w:themeFillShade="F2"/>
          </w:tcPr>
          <w:p w:rsidR="00EF595D" w:rsidRPr="005A6D96" w:rsidRDefault="00EF595D" w:rsidP="005A6D96">
            <w:pPr>
              <w:pStyle w:val="TableText"/>
              <w:rPr>
                <w:rFonts w:eastAsia="Arial"/>
                <w:b/>
              </w:rPr>
            </w:pPr>
            <w:r w:rsidRPr="005A6D96">
              <w:rPr>
                <w:rFonts w:eastAsia="Arial"/>
                <w:b/>
              </w:rPr>
              <w:t>Total</w:t>
            </w:r>
          </w:p>
        </w:tc>
        <w:tc>
          <w:tcPr>
            <w:tcW w:w="1559" w:type="dxa"/>
            <w:tcBorders>
              <w:top w:val="single" w:sz="4" w:space="0" w:color="A6A6A6" w:themeColor="background1" w:themeShade="A6"/>
              <w:bottom w:val="single" w:sz="4" w:space="0" w:color="auto"/>
            </w:tcBorders>
            <w:shd w:val="clear" w:color="auto" w:fill="F2F2F2" w:themeFill="background1" w:themeFillShade="F2"/>
          </w:tcPr>
          <w:p w:rsidR="00EF595D" w:rsidRPr="005A6D96" w:rsidRDefault="00EF595D" w:rsidP="005A6D96">
            <w:pPr>
              <w:pStyle w:val="TableText"/>
              <w:jc w:val="center"/>
              <w:rPr>
                <w:b/>
              </w:rPr>
            </w:pPr>
            <w:r w:rsidRPr="005A6D96">
              <w:rPr>
                <w:b/>
              </w:rPr>
              <w:t>2.9</w:t>
            </w:r>
          </w:p>
        </w:tc>
        <w:tc>
          <w:tcPr>
            <w:tcW w:w="1560" w:type="dxa"/>
            <w:tcBorders>
              <w:top w:val="single" w:sz="4" w:space="0" w:color="A6A6A6" w:themeColor="background1" w:themeShade="A6"/>
              <w:bottom w:val="single" w:sz="4" w:space="0" w:color="auto"/>
            </w:tcBorders>
            <w:shd w:val="clear" w:color="auto" w:fill="F2F2F2" w:themeFill="background1" w:themeFillShade="F2"/>
          </w:tcPr>
          <w:p w:rsidR="00EF595D" w:rsidRPr="005A6D96" w:rsidRDefault="00EF595D" w:rsidP="005A6D96">
            <w:pPr>
              <w:pStyle w:val="TableText"/>
              <w:jc w:val="center"/>
              <w:rPr>
                <w:b/>
              </w:rPr>
            </w:pPr>
            <w:r w:rsidRPr="005A6D96">
              <w:rPr>
                <w:b/>
              </w:rPr>
              <w:t>0.7</w:t>
            </w:r>
          </w:p>
        </w:tc>
        <w:tc>
          <w:tcPr>
            <w:tcW w:w="992" w:type="dxa"/>
            <w:tcBorders>
              <w:top w:val="single" w:sz="4" w:space="0" w:color="A6A6A6" w:themeColor="background1" w:themeShade="A6"/>
              <w:bottom w:val="single" w:sz="4" w:space="0" w:color="auto"/>
              <w:right w:val="nil"/>
            </w:tcBorders>
            <w:shd w:val="clear" w:color="auto" w:fill="F2F2F2" w:themeFill="background1" w:themeFillShade="F2"/>
          </w:tcPr>
          <w:p w:rsidR="00EF595D" w:rsidRPr="005A6D96" w:rsidRDefault="00EF595D" w:rsidP="005A6D96">
            <w:pPr>
              <w:pStyle w:val="TableText"/>
              <w:jc w:val="center"/>
              <w:rPr>
                <w:b/>
              </w:rPr>
            </w:pPr>
            <w:r w:rsidRPr="005A6D96">
              <w:rPr>
                <w:b/>
              </w:rPr>
              <w:t>3.6</w:t>
            </w:r>
          </w:p>
        </w:tc>
      </w:tr>
    </w:tbl>
    <w:p w:rsidR="00EF595D" w:rsidRPr="009E1E57" w:rsidRDefault="00EF595D" w:rsidP="00C54FF0">
      <w:pPr>
        <w:pStyle w:val="Note"/>
      </w:pPr>
      <w:r w:rsidRPr="009E1E57">
        <w:rPr>
          <w:rFonts w:asciiTheme="minorHAnsi" w:eastAsiaTheme="minorHAnsi" w:hAnsiTheme="minorHAnsi" w:cstheme="minorBidi"/>
          <w:noProof/>
          <w:szCs w:val="22"/>
          <w:lang w:eastAsia="en-NZ"/>
        </w:rPr>
        <mc:AlternateContent>
          <mc:Choice Requires="wpg">
            <w:drawing>
              <wp:anchor distT="0" distB="0" distL="114300" distR="114300" simplePos="0" relativeHeight="251693056" behindDoc="1" locked="0" layoutInCell="1" allowOverlap="1" wp14:anchorId="744EEF19" wp14:editId="13378F97">
                <wp:simplePos x="0" y="0"/>
                <wp:positionH relativeFrom="page">
                  <wp:posOffset>3978275</wp:posOffset>
                </wp:positionH>
                <wp:positionV relativeFrom="paragraph">
                  <wp:posOffset>-219075</wp:posOffset>
                </wp:positionV>
                <wp:extent cx="1270" cy="213360"/>
                <wp:effectExtent l="0" t="0" r="11430" b="0"/>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213360"/>
                          <a:chOff x="6265" y="-345"/>
                          <a:chExt cx="2" cy="335"/>
                        </a:xfrm>
                      </wpg:grpSpPr>
                      <wps:wsp>
                        <wps:cNvPr id="25" name="Freeform 261"/>
                        <wps:cNvSpPr>
                          <a:spLocks/>
                        </wps:cNvSpPr>
                        <wps:spPr bwMode="auto">
                          <a:xfrm>
                            <a:off x="6265" y="-345"/>
                            <a:ext cx="2" cy="335"/>
                          </a:xfrm>
                          <a:custGeom>
                            <a:avLst/>
                            <a:gdLst>
                              <a:gd name="T0" fmla="+- 0 -345 -345"/>
                              <a:gd name="T1" fmla="*/ -345 h 335"/>
                              <a:gd name="T2" fmla="+- 0 -10 -345"/>
                              <a:gd name="T3" fmla="*/ -10 h 335"/>
                              <a:gd name="T4" fmla="+- 0 -345 -345"/>
                              <a:gd name="T5" fmla="*/ -345 h 335"/>
                            </a:gdLst>
                            <a:ahLst/>
                            <a:cxnLst>
                              <a:cxn ang="0">
                                <a:pos x="0" y="T1"/>
                              </a:cxn>
                              <a:cxn ang="0">
                                <a:pos x="0" y="T3"/>
                              </a:cxn>
                              <a:cxn ang="0">
                                <a:pos x="0" y="T5"/>
                              </a:cxn>
                            </a:cxnLst>
                            <a:rect l="0" t="0" r="r" b="b"/>
                            <a:pathLst>
                              <a:path h="335">
                                <a:moveTo>
                                  <a:pt x="0" y="0"/>
                                </a:moveTo>
                                <a:lnTo>
                                  <a:pt x="0" y="335"/>
                                </a:lnTo>
                                <a:lnTo>
                                  <a:pt x="0" y="0"/>
                                </a:lnTo>
                              </a:path>
                            </a:pathLst>
                          </a:custGeom>
                          <a:solidFill>
                            <a:srgbClr val="EDE9F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68B678" id="Group 24" o:spid="_x0000_s1026" style="position:absolute;margin-left:313.25pt;margin-top:-17.25pt;width:.1pt;height:16.8pt;z-index:-251623424;mso-position-horizontal-relative:page" coordorigin="6265,-345" coordsize="2,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">
                <v:shape id="Freeform 261" o:spid="_x0000_s1027" style="position:absolute;left:6265;top:-345;width:2;height:335;visibility:visible;mso-wrap-style:square;v-text-anchor:top" coordsize="2,3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eA98MA&#10;AADbAAAADwAAAGRycy9kb3ducmV2LnhtbESP0YrCMBRE3wX/IVzBN00VlKWayrIq+KAsq37Apblt&#10;qs1NaaLW/frNguDjMDNnmOWqs7W4U+srxwom4wQEce50xaWC82k7+gDhA7LG2jEpeJKHVdbvLTHV&#10;7sE/dD+GUkQI+xQVmBCaVEqfG7Lox64hjl7hWoshyraUusVHhNtaTpNkLi1WHBcMNvRlKL8eb1ZB&#10;KBLvz8/uaugyWe+/d7+Hzeai1HDQfS5ABOrCO/xq77SC6Qz+v8Qf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ceA98MAAADbAAAADwAAAAAAAAAAAAAAAACYAgAAZHJzL2Rv&#10;d25yZXYueG1sUEsFBgAAAAAEAAQA9QAAAIgDAAAAAA==&#10;" path="m,l,335,,e" fillcolor="#ede9f4" stroked="f">
                  <v:path arrowok="t" o:connecttype="custom" o:connectlocs="0,-345;0,-10;0,-345" o:connectangles="0,0,0"/>
                </v:shape>
                <w10:wrap anchorx="page"/>
              </v:group>
            </w:pict>
          </mc:Fallback>
        </mc:AlternateContent>
      </w:r>
      <w:r w:rsidRPr="009E1E57">
        <w:t>*</w:t>
      </w:r>
      <w:r w:rsidR="00C54FF0">
        <w:tab/>
      </w:r>
      <w:r w:rsidRPr="009E1E57">
        <w:t>The greater Auckland</w:t>
      </w:r>
      <w:r w:rsidR="00085832">
        <w:t xml:space="preserve"> </w:t>
      </w:r>
      <w:r w:rsidRPr="009E1E57">
        <w:t>area</w:t>
      </w:r>
      <w:r w:rsidR="00085832">
        <w:t xml:space="preserve"> </w:t>
      </w:r>
      <w:r w:rsidRPr="009E1E57">
        <w:t>includes Auckland,</w:t>
      </w:r>
      <w:r w:rsidR="00085832">
        <w:t xml:space="preserve"> </w:t>
      </w:r>
      <w:r w:rsidRPr="009E1E57">
        <w:t>Counties Manukau and</w:t>
      </w:r>
      <w:r w:rsidR="00085832">
        <w:t xml:space="preserve"> </w:t>
      </w:r>
      <w:r w:rsidRPr="009E1E57">
        <w:t>Waitemata DHBs. The data</w:t>
      </w:r>
      <w:r w:rsidR="00085832">
        <w:t xml:space="preserve"> </w:t>
      </w:r>
      <w:r w:rsidRPr="009E1E57">
        <w:t>are presented for one ‘greater</w:t>
      </w:r>
      <w:r w:rsidR="00C54FF0">
        <w:t xml:space="preserve"> </w:t>
      </w:r>
      <w:r w:rsidRPr="009E1E57">
        <w:t>Auckland’ region as PHOs</w:t>
      </w:r>
      <w:r w:rsidR="00085832">
        <w:t xml:space="preserve"> </w:t>
      </w:r>
      <w:r w:rsidRPr="009E1E57">
        <w:t>collect</w:t>
      </w:r>
      <w:r w:rsidR="00085832">
        <w:t xml:space="preserve"> </w:t>
      </w:r>
      <w:r w:rsidRPr="009E1E57">
        <w:t>the data</w:t>
      </w:r>
      <w:r w:rsidR="00085832">
        <w:t xml:space="preserve"> </w:t>
      </w:r>
      <w:r w:rsidRPr="009E1E57">
        <w:t>and</w:t>
      </w:r>
      <w:r w:rsidR="00085832">
        <w:t xml:space="preserve"> </w:t>
      </w:r>
      <w:r w:rsidRPr="009E1E57">
        <w:t>PHOs</w:t>
      </w:r>
      <w:r w:rsidR="00085832">
        <w:t xml:space="preserve"> </w:t>
      </w:r>
      <w:r w:rsidRPr="009E1E57">
        <w:t>deliver services across the three</w:t>
      </w:r>
      <w:r w:rsidR="00085832">
        <w:t xml:space="preserve"> </w:t>
      </w:r>
      <w:r w:rsidRPr="009E1E57">
        <w:t>Auckland</w:t>
      </w:r>
      <w:r w:rsidR="00085832">
        <w:t xml:space="preserve"> </w:t>
      </w:r>
      <w:r w:rsidRPr="009E1E57">
        <w:t>DHBs.</w:t>
      </w:r>
    </w:p>
    <w:p w:rsidR="00EF595D" w:rsidRPr="009E1E57" w:rsidRDefault="00EF595D" w:rsidP="00C8344F">
      <w:pPr>
        <w:pStyle w:val="Heading2"/>
        <w:spacing w:before="360"/>
        <w:ind w:left="567" w:hanging="567"/>
      </w:pPr>
      <w:bookmarkStart w:id="25" w:name="_Toc391539868"/>
      <w:r w:rsidRPr="009E1E57">
        <w:t>3</w:t>
      </w:r>
      <w:r w:rsidRPr="009E1E57">
        <w:tab/>
        <w:t>Pacific peoples are better supported to be healthy</w:t>
      </w:r>
      <w:bookmarkEnd w:id="25"/>
    </w:p>
    <w:p w:rsidR="00EF595D" w:rsidRPr="009E1E57" w:rsidRDefault="00EF595D" w:rsidP="00C54FF0">
      <w:pPr>
        <w:pStyle w:val="Heading3"/>
      </w:pPr>
      <w:r w:rsidRPr="009E1E57">
        <w:t>Why is this outcome a priority?</w:t>
      </w:r>
    </w:p>
    <w:p w:rsidR="00EF595D" w:rsidRPr="009E1E57" w:rsidRDefault="00EF595D" w:rsidP="00C54FF0">
      <w:r w:rsidRPr="009E1E57">
        <w:t>Like all New Zealanders, Pacific peoples desire good</w:t>
      </w:r>
      <w:r w:rsidR="00085832">
        <w:t xml:space="preserve"> </w:t>
      </w:r>
      <w:r w:rsidRPr="009E1E57">
        <w:t>health and wellbeing (Tamasese et al 2010).</w:t>
      </w:r>
      <w:r w:rsidR="00C54FF0">
        <w:t xml:space="preserve"> </w:t>
      </w:r>
      <w:r w:rsidRPr="009E1E57">
        <w:t>At the same time, many Pacific people have beliefs about individual health, family and community needs and realities that are different from those of other New Zealanders (Southwick et al 2012). These beliefs can</w:t>
      </w:r>
      <w:r w:rsidR="00085832">
        <w:t xml:space="preserve"> </w:t>
      </w:r>
      <w:r w:rsidRPr="009E1E57">
        <w:t>influence health choices and behaviours. For instance, the financial priorities of</w:t>
      </w:r>
      <w:r w:rsidR="00C54FF0">
        <w:t xml:space="preserve"> </w:t>
      </w:r>
      <w:r w:rsidRPr="009E1E57">
        <w:t>many Pacific individuals centre on maintaining relationships, meeting their immediate family needs, donating to church, and making contributions to family, both in New Zealand and in Pacific Island countries of origin (Tait 2009). Such financial obligations can</w:t>
      </w:r>
      <w:r w:rsidR="00085832">
        <w:t xml:space="preserve"> </w:t>
      </w:r>
      <w:r w:rsidRPr="009E1E57">
        <w:t>impact on families’ ability to pay for health services. Their use of traditional Pacific medicine and healing can</w:t>
      </w:r>
      <w:r w:rsidR="00085832">
        <w:t xml:space="preserve"> </w:t>
      </w:r>
      <w:r w:rsidRPr="009E1E57">
        <w:t>also influence the way that Pacific peoples use health care services in New Zealand (Ministry of Health 2008).</w:t>
      </w:r>
    </w:p>
    <w:p w:rsidR="00EF595D" w:rsidRPr="009E1E57" w:rsidRDefault="00EF595D" w:rsidP="00C54FF0"/>
    <w:p w:rsidR="00EF595D" w:rsidRPr="009E1E57" w:rsidRDefault="00EF595D" w:rsidP="00C54FF0">
      <w:r w:rsidRPr="009E1E57">
        <w:t>Pacific peoples appear to be more connected socially than many other population groups in</w:t>
      </w:r>
      <w:r w:rsidR="00C54FF0">
        <w:t xml:space="preserve"> </w:t>
      </w:r>
      <w:r w:rsidRPr="009E1E57">
        <w:t>New Zealand (Tait 2009). For example, many Pacific families are strong participants in church and community activities, which create and reinforce strong social connections and therefore resilience (Tait 2009). A number of recent health initiatives have successfully built on the strengths of Pacific communities, such as the immunisations campaigns for Pacific children, and Pacific church initiatives to promote physical activity and healthy eating.</w:t>
      </w:r>
    </w:p>
    <w:p w:rsidR="00EF595D" w:rsidRPr="009E1E57" w:rsidRDefault="00EF595D" w:rsidP="00C54FF0"/>
    <w:p w:rsidR="00EF595D" w:rsidRPr="009E1E57" w:rsidRDefault="00EF595D" w:rsidP="00C54FF0">
      <w:r w:rsidRPr="009E1E57">
        <w:t>Because of these unique Pacific factors and strengths, it is important that Pacific peoples are more strongly engaged in identifying and developing effective approaches that will work</w:t>
      </w:r>
      <w:r w:rsidR="00085832">
        <w:t xml:space="preserve"> </w:t>
      </w:r>
      <w:r w:rsidRPr="009E1E57">
        <w:t>for them. Pacific participation helps to spread knowledge, awareness and understanding of Pacific health issues and encourages collective ownership of and action on health issues.</w:t>
      </w:r>
    </w:p>
    <w:p w:rsidR="00EF595D" w:rsidRPr="009E1E57" w:rsidRDefault="00EF595D" w:rsidP="00C54FF0"/>
    <w:p w:rsidR="00EF595D" w:rsidRPr="009E1E57" w:rsidRDefault="00EF595D" w:rsidP="00C54FF0">
      <w:r w:rsidRPr="009E1E57">
        <w:t>While</w:t>
      </w:r>
      <w:r w:rsidR="00085832">
        <w:t xml:space="preserve"> </w:t>
      </w:r>
      <w:r w:rsidRPr="009E1E57">
        <w:t>there are complex barriers that impact on the health status of Pacific peoples, health professionals are in a position to better support them to be healthy. For instance, many Pacific people are unaware of the services available to them through government agencies (Koloto 2007), or from health professionals and providers (Pacific Health Research Centre 2003; Paterson et al 2004). Some groups of Pacific peoples face particularly complex barriers in accessing information and support. Many of these groups are among those most in need, including Pacific peoples with disabilities and Pacific informal caregivers (Goodhead and McDonald 2007;</w:t>
      </w:r>
      <w:r w:rsidR="00085832">
        <w:t xml:space="preserve"> </w:t>
      </w:r>
      <w:r w:rsidRPr="009E1E57">
        <w:t>National Health Board 2010).</w:t>
      </w:r>
    </w:p>
    <w:p w:rsidR="00EF595D" w:rsidRPr="009E1E57" w:rsidRDefault="00EF595D" w:rsidP="00C54FF0"/>
    <w:p w:rsidR="00EF595D" w:rsidRPr="009E1E57" w:rsidRDefault="00EF595D" w:rsidP="00C54FF0">
      <w:r w:rsidRPr="009E1E57">
        <w:t>Poor</w:t>
      </w:r>
      <w:r w:rsidR="00085832">
        <w:t xml:space="preserve"> </w:t>
      </w:r>
      <w:r w:rsidRPr="009E1E57">
        <w:t>health literacy is a significant barrier to accessing health care (Ministry of Health 2010a)</w:t>
      </w:r>
      <w:r w:rsidR="00085832">
        <w:t xml:space="preserve"> </w:t>
      </w:r>
      <w:r w:rsidRPr="009E1E57">
        <w:t>and results in poor health outcomes (Kickbusch et al 2005). Ethnic minorities, particularly people who speak English as a second language, tend to have lower health literacy (Zanchetta and Poureslami</w:t>
      </w:r>
      <w:r w:rsidR="00C54FF0">
        <w:t xml:space="preserve"> </w:t>
      </w:r>
      <w:r w:rsidRPr="009E1E57">
        <w:t>2006). Evidence suggests that having a workforce that reflects the population it serves improves the delivery of culturally competent care (Cohen et al 2002).</w:t>
      </w:r>
    </w:p>
    <w:p w:rsidR="00EF595D" w:rsidRPr="009E1E57" w:rsidRDefault="00EF595D" w:rsidP="00C54FF0"/>
    <w:p w:rsidR="00EF595D" w:rsidRPr="009E1E57" w:rsidRDefault="00EF595D" w:rsidP="00C54FF0">
      <w:pPr>
        <w:pStyle w:val="Heading3"/>
      </w:pPr>
      <w:r w:rsidRPr="009E1E57">
        <w:t>What are we seeking to achieve?</w:t>
      </w:r>
    </w:p>
    <w:p w:rsidR="00EF595D" w:rsidRPr="009E1E57" w:rsidRDefault="00EF595D" w:rsidP="00C8344F">
      <w:pPr>
        <w:pStyle w:val="Box"/>
        <w:keepNext/>
      </w:pPr>
      <w:r w:rsidRPr="009E1E57">
        <w:t>The Ministry of Health wants to enable Pacific peoples to get the most benefit from the health system, through:</w:t>
      </w:r>
    </w:p>
    <w:p w:rsidR="00EF595D" w:rsidRPr="009E1E57" w:rsidRDefault="00EF595D" w:rsidP="00C8344F">
      <w:pPr>
        <w:pStyle w:val="BoxBullet"/>
        <w:keepLines/>
      </w:pPr>
      <w:r w:rsidRPr="009E1E57">
        <w:t>improving the health literacy of Pacific peoples so that they can</w:t>
      </w:r>
      <w:r w:rsidR="00085832">
        <w:t xml:space="preserve"> </w:t>
      </w:r>
      <w:r w:rsidRPr="009E1E57">
        <w:t>make healthy choices and gain better access to the health and disability system – which we will achieve by supporting research on effective approaches to strengthen health literacy; ensuring that health programmes work</w:t>
      </w:r>
      <w:r w:rsidR="00085832">
        <w:t xml:space="preserve"> </w:t>
      </w:r>
      <w:r w:rsidRPr="009E1E57">
        <w:t>for people with low levels of health literacy and raising health literacy awareness; and strengthening the practice of health literacy in the health workforce through cultural competency education</w:t>
      </w:r>
    </w:p>
    <w:p w:rsidR="00EF595D" w:rsidRPr="009E1E57" w:rsidRDefault="00EF595D" w:rsidP="00C54FF0">
      <w:pPr>
        <w:pStyle w:val="BoxBullet"/>
      </w:pPr>
      <w:r w:rsidRPr="009E1E57">
        <w:t>working with lead providers of the Healthy Families New Zealand initiative to implement programmes that enable Pacific families and communities to live healthier lives.</w:t>
      </w:r>
    </w:p>
    <w:p w:rsidR="00EF595D" w:rsidRPr="009E1E57" w:rsidRDefault="00EF595D" w:rsidP="00C54FF0"/>
    <w:p w:rsidR="00EF595D" w:rsidRPr="009E1E57" w:rsidRDefault="00EF595D" w:rsidP="00C54FF0">
      <w:pPr>
        <w:pStyle w:val="Heading3"/>
      </w:pPr>
      <w:r w:rsidRPr="009E1E57">
        <w:t>How are we going to measure this?</w:t>
      </w:r>
    </w:p>
    <w:p w:rsidR="00EF595D" w:rsidRPr="009E1E57" w:rsidRDefault="00EF595D" w:rsidP="00C54FF0">
      <w:r w:rsidRPr="009E1E57">
        <w:t>The Ministry of Health will use the following indicators to measure whether the actions identified above achieve the intended outcomes.</w:t>
      </w:r>
    </w:p>
    <w:p w:rsidR="00EF595D" w:rsidRPr="009E1E57" w:rsidRDefault="00EF595D" w:rsidP="00C54FF0"/>
    <w:tbl>
      <w:tblPr>
        <w:tblW w:w="0" w:type="auto"/>
        <w:tblInd w:w="57" w:type="dxa"/>
        <w:tblLayout w:type="fixed"/>
        <w:tblCellMar>
          <w:left w:w="57" w:type="dxa"/>
          <w:right w:w="57" w:type="dxa"/>
        </w:tblCellMar>
        <w:tblLook w:val="01E0" w:firstRow="1" w:lastRow="1" w:firstColumn="1" w:lastColumn="1" w:noHBand="0" w:noVBand="0"/>
      </w:tblPr>
      <w:tblGrid>
        <w:gridCol w:w="3534"/>
        <w:gridCol w:w="2967"/>
        <w:gridCol w:w="1566"/>
        <w:gridCol w:w="1289"/>
      </w:tblGrid>
      <w:tr w:rsidR="00EF595D" w:rsidRPr="00C8344F" w:rsidTr="00C8344F">
        <w:trPr>
          <w:cantSplit/>
        </w:trPr>
        <w:tc>
          <w:tcPr>
            <w:tcW w:w="3534" w:type="dxa"/>
            <w:tcBorders>
              <w:top w:val="single" w:sz="4" w:space="0" w:color="auto"/>
              <w:left w:val="nil"/>
              <w:bottom w:val="single" w:sz="4" w:space="0" w:color="auto"/>
            </w:tcBorders>
          </w:tcPr>
          <w:p w:rsidR="00EF595D" w:rsidRPr="00C8344F" w:rsidRDefault="00EF595D" w:rsidP="00C8344F">
            <w:pPr>
              <w:pStyle w:val="TableText"/>
              <w:rPr>
                <w:rFonts w:eastAsia="Arial"/>
                <w:b/>
              </w:rPr>
            </w:pPr>
            <w:r w:rsidRPr="00C8344F">
              <w:rPr>
                <w:rFonts w:eastAsia="Arial"/>
                <w:b/>
              </w:rPr>
              <w:t>Action</w:t>
            </w:r>
          </w:p>
        </w:tc>
        <w:tc>
          <w:tcPr>
            <w:tcW w:w="2967" w:type="dxa"/>
            <w:tcBorders>
              <w:top w:val="single" w:sz="4" w:space="0" w:color="auto"/>
              <w:bottom w:val="single" w:sz="4" w:space="0" w:color="auto"/>
            </w:tcBorders>
          </w:tcPr>
          <w:p w:rsidR="00EF595D" w:rsidRPr="00C8344F" w:rsidRDefault="00EF595D" w:rsidP="00C8344F">
            <w:pPr>
              <w:pStyle w:val="TableText"/>
              <w:rPr>
                <w:rFonts w:eastAsia="Arial"/>
                <w:b/>
              </w:rPr>
            </w:pPr>
            <w:r w:rsidRPr="00C8344F">
              <w:rPr>
                <w:rFonts w:eastAsia="Arial"/>
                <w:b/>
              </w:rPr>
              <w:t>Indicator</w:t>
            </w:r>
          </w:p>
        </w:tc>
        <w:tc>
          <w:tcPr>
            <w:tcW w:w="2855" w:type="dxa"/>
            <w:gridSpan w:val="2"/>
            <w:vMerge w:val="restart"/>
            <w:tcBorders>
              <w:right w:val="nil"/>
            </w:tcBorders>
          </w:tcPr>
          <w:p w:rsidR="00EF595D" w:rsidRPr="00C8344F" w:rsidRDefault="00EF595D" w:rsidP="00C8344F">
            <w:pPr>
              <w:pStyle w:val="TableText"/>
              <w:rPr>
                <w:b/>
              </w:rPr>
            </w:pPr>
          </w:p>
        </w:tc>
      </w:tr>
      <w:tr w:rsidR="00EF595D" w:rsidRPr="009E1E57" w:rsidTr="00C8344F">
        <w:trPr>
          <w:cantSplit/>
        </w:trPr>
        <w:tc>
          <w:tcPr>
            <w:tcW w:w="3534" w:type="dxa"/>
            <w:tcBorders>
              <w:top w:val="single" w:sz="4" w:space="0" w:color="auto"/>
              <w:left w:val="nil"/>
              <w:bottom w:val="single" w:sz="4" w:space="0" w:color="A6A6A6" w:themeColor="background1" w:themeShade="A6"/>
            </w:tcBorders>
          </w:tcPr>
          <w:p w:rsidR="00EF595D" w:rsidRPr="009E1E57" w:rsidRDefault="00EF595D" w:rsidP="00C8344F">
            <w:pPr>
              <w:pStyle w:val="TableText"/>
            </w:pPr>
            <w:r w:rsidRPr="009E1E57">
              <w:t>1. Improve</w:t>
            </w:r>
            <w:r w:rsidR="00085832">
              <w:t xml:space="preserve"> </w:t>
            </w:r>
            <w:r w:rsidRPr="009E1E57">
              <w:t>the health</w:t>
            </w:r>
            <w:r w:rsidR="00085832">
              <w:t xml:space="preserve"> </w:t>
            </w:r>
            <w:r w:rsidRPr="009E1E57">
              <w:t>literacy of Pacific peoples so that they can</w:t>
            </w:r>
            <w:r w:rsidR="00085832">
              <w:t xml:space="preserve"> </w:t>
            </w:r>
            <w:r w:rsidRPr="009E1E57">
              <w:t>make</w:t>
            </w:r>
            <w:r w:rsidR="00085832">
              <w:t xml:space="preserve"> </w:t>
            </w:r>
            <w:r w:rsidRPr="009E1E57">
              <w:t>healthy choices and</w:t>
            </w:r>
            <w:r w:rsidR="00085832">
              <w:t xml:space="preserve"> </w:t>
            </w:r>
            <w:r w:rsidRPr="009E1E57">
              <w:t>gain better access to</w:t>
            </w:r>
            <w:r w:rsidR="00C8344F">
              <w:t xml:space="preserve"> </w:t>
            </w:r>
            <w:r w:rsidRPr="009E1E57">
              <w:t>the health</w:t>
            </w:r>
            <w:r w:rsidR="00085832">
              <w:t xml:space="preserve"> </w:t>
            </w:r>
            <w:r w:rsidRPr="009E1E57">
              <w:t>and</w:t>
            </w:r>
            <w:r w:rsidR="00085832">
              <w:t xml:space="preserve"> </w:t>
            </w:r>
            <w:r w:rsidRPr="009E1E57">
              <w:t>disability system, by supporting research on effective approaches to strengthen health</w:t>
            </w:r>
            <w:r w:rsidR="00085832">
              <w:t xml:space="preserve"> </w:t>
            </w:r>
            <w:r w:rsidRPr="009E1E57">
              <w:t>literacy.</w:t>
            </w:r>
          </w:p>
        </w:tc>
        <w:tc>
          <w:tcPr>
            <w:tcW w:w="2967" w:type="dxa"/>
            <w:vMerge w:val="restart"/>
            <w:tcBorders>
              <w:top w:val="single" w:sz="4" w:space="0" w:color="auto"/>
            </w:tcBorders>
          </w:tcPr>
          <w:p w:rsidR="00EF595D" w:rsidRPr="009E1E57" w:rsidRDefault="00EF595D" w:rsidP="00C8344F">
            <w:pPr>
              <w:pStyle w:val="TableText"/>
            </w:pPr>
            <w:r w:rsidRPr="009E1E57">
              <w:t>A qualitative</w:t>
            </w:r>
            <w:r w:rsidR="00085832">
              <w:t xml:space="preserve"> </w:t>
            </w:r>
            <w:r w:rsidRPr="009E1E57">
              <w:t>survey</w:t>
            </w:r>
            <w:r w:rsidR="00085832">
              <w:t xml:space="preserve"> </w:t>
            </w:r>
            <w:r w:rsidRPr="009E1E57">
              <w:t>to measure the health</w:t>
            </w:r>
            <w:r w:rsidR="00085832">
              <w:t xml:space="preserve"> </w:t>
            </w:r>
            <w:r w:rsidRPr="009E1E57">
              <w:t>literacy of Pacific peoples in New Zealand.</w:t>
            </w:r>
          </w:p>
        </w:tc>
        <w:tc>
          <w:tcPr>
            <w:tcW w:w="2855" w:type="dxa"/>
            <w:gridSpan w:val="2"/>
            <w:vMerge/>
            <w:tcBorders>
              <w:right w:val="nil"/>
            </w:tcBorders>
          </w:tcPr>
          <w:p w:rsidR="00EF595D" w:rsidRPr="009E1E57" w:rsidRDefault="00EF595D" w:rsidP="00C8344F">
            <w:pPr>
              <w:pStyle w:val="TableText"/>
            </w:pPr>
          </w:p>
        </w:tc>
      </w:tr>
      <w:tr w:rsidR="00EF595D" w:rsidRPr="009E1E57" w:rsidTr="00C8344F">
        <w:trPr>
          <w:cantSplit/>
        </w:trPr>
        <w:tc>
          <w:tcPr>
            <w:tcW w:w="3534" w:type="dxa"/>
            <w:tcBorders>
              <w:top w:val="single" w:sz="4" w:space="0" w:color="A6A6A6" w:themeColor="background1" w:themeShade="A6"/>
              <w:left w:val="nil"/>
              <w:bottom w:val="single" w:sz="4" w:space="0" w:color="A6A6A6" w:themeColor="background1" w:themeShade="A6"/>
            </w:tcBorders>
          </w:tcPr>
          <w:p w:rsidR="00EF595D" w:rsidRPr="009E1E57" w:rsidRDefault="00EF595D" w:rsidP="00C8344F">
            <w:pPr>
              <w:pStyle w:val="TableText"/>
            </w:pPr>
            <w:r w:rsidRPr="009E1E57">
              <w:t>2. Ensure</w:t>
            </w:r>
            <w:r w:rsidR="00085832">
              <w:t xml:space="preserve"> </w:t>
            </w:r>
            <w:r w:rsidRPr="009E1E57">
              <w:t>that health</w:t>
            </w:r>
            <w:r w:rsidR="00085832">
              <w:t xml:space="preserve"> </w:t>
            </w:r>
            <w:r w:rsidRPr="009E1E57">
              <w:t>programmes work for people with low levels of health</w:t>
            </w:r>
            <w:r w:rsidR="00085832">
              <w:t xml:space="preserve"> </w:t>
            </w:r>
            <w:r w:rsidRPr="009E1E57">
              <w:t>literacy and</w:t>
            </w:r>
            <w:r w:rsidR="00085832">
              <w:t xml:space="preserve"> </w:t>
            </w:r>
            <w:r w:rsidRPr="009E1E57">
              <w:t>raise</w:t>
            </w:r>
            <w:r w:rsidR="00085832">
              <w:t xml:space="preserve"> </w:t>
            </w:r>
            <w:r w:rsidRPr="009E1E57">
              <w:t>health</w:t>
            </w:r>
            <w:r w:rsidR="00085832">
              <w:t xml:space="preserve"> </w:t>
            </w:r>
            <w:r w:rsidRPr="009E1E57">
              <w:t>literacy awareness.</w:t>
            </w:r>
          </w:p>
        </w:tc>
        <w:tc>
          <w:tcPr>
            <w:tcW w:w="2967" w:type="dxa"/>
            <w:vMerge/>
          </w:tcPr>
          <w:p w:rsidR="00EF595D" w:rsidRPr="009E1E57" w:rsidRDefault="00EF595D" w:rsidP="00C8344F">
            <w:pPr>
              <w:pStyle w:val="TableText"/>
            </w:pPr>
          </w:p>
        </w:tc>
        <w:tc>
          <w:tcPr>
            <w:tcW w:w="2855" w:type="dxa"/>
            <w:gridSpan w:val="2"/>
            <w:vMerge/>
            <w:tcBorders>
              <w:right w:val="nil"/>
            </w:tcBorders>
          </w:tcPr>
          <w:p w:rsidR="00EF595D" w:rsidRPr="009E1E57" w:rsidRDefault="00EF595D" w:rsidP="00C8344F">
            <w:pPr>
              <w:pStyle w:val="TableText"/>
            </w:pPr>
          </w:p>
        </w:tc>
      </w:tr>
      <w:tr w:rsidR="00EF595D" w:rsidRPr="009E1E57" w:rsidTr="00C8344F">
        <w:trPr>
          <w:cantSplit/>
        </w:trPr>
        <w:tc>
          <w:tcPr>
            <w:tcW w:w="3534" w:type="dxa"/>
            <w:tcBorders>
              <w:top w:val="single" w:sz="4" w:space="0" w:color="A6A6A6" w:themeColor="background1" w:themeShade="A6"/>
              <w:left w:val="nil"/>
              <w:bottom w:val="single" w:sz="4" w:space="0" w:color="A6A6A6" w:themeColor="background1" w:themeShade="A6"/>
            </w:tcBorders>
          </w:tcPr>
          <w:p w:rsidR="00EF595D" w:rsidRPr="009E1E57" w:rsidRDefault="00EF595D" w:rsidP="00C8344F">
            <w:pPr>
              <w:pStyle w:val="TableText"/>
            </w:pPr>
            <w:r w:rsidRPr="009E1E57">
              <w:t>3. Strengthen the practice of health literacy in the health</w:t>
            </w:r>
            <w:r w:rsidR="00085832">
              <w:t xml:space="preserve"> </w:t>
            </w:r>
            <w:r w:rsidRPr="009E1E57">
              <w:t>workforce through cultural competency education (Pacific Analysis Framework Training, Ministry of Pacific Island Affairs).</w:t>
            </w:r>
          </w:p>
        </w:tc>
        <w:tc>
          <w:tcPr>
            <w:tcW w:w="2967" w:type="dxa"/>
            <w:vMerge/>
            <w:tcBorders>
              <w:bottom w:val="single" w:sz="4" w:space="0" w:color="A6A6A6" w:themeColor="background1" w:themeShade="A6"/>
            </w:tcBorders>
          </w:tcPr>
          <w:p w:rsidR="00EF595D" w:rsidRPr="009E1E57" w:rsidRDefault="00EF595D" w:rsidP="00C8344F">
            <w:pPr>
              <w:pStyle w:val="TableText"/>
            </w:pPr>
          </w:p>
        </w:tc>
        <w:tc>
          <w:tcPr>
            <w:tcW w:w="2855" w:type="dxa"/>
            <w:gridSpan w:val="2"/>
            <w:vMerge/>
            <w:tcBorders>
              <w:bottom w:val="single" w:sz="4" w:space="0" w:color="A6A6A6" w:themeColor="background1" w:themeShade="A6"/>
              <w:right w:val="nil"/>
            </w:tcBorders>
          </w:tcPr>
          <w:p w:rsidR="00EF595D" w:rsidRPr="009E1E57" w:rsidRDefault="00EF595D" w:rsidP="00C8344F">
            <w:pPr>
              <w:pStyle w:val="TableText"/>
            </w:pPr>
          </w:p>
        </w:tc>
      </w:tr>
      <w:tr w:rsidR="00EF595D" w:rsidRPr="009E1E57" w:rsidTr="00C8344F">
        <w:trPr>
          <w:cantSplit/>
        </w:trPr>
        <w:tc>
          <w:tcPr>
            <w:tcW w:w="3534" w:type="dxa"/>
            <w:vMerge w:val="restart"/>
            <w:tcBorders>
              <w:top w:val="single" w:sz="4" w:space="0" w:color="A6A6A6" w:themeColor="background1" w:themeShade="A6"/>
              <w:left w:val="nil"/>
            </w:tcBorders>
          </w:tcPr>
          <w:p w:rsidR="00EF595D" w:rsidRPr="009E1E57" w:rsidRDefault="00EF595D" w:rsidP="00C8344F">
            <w:pPr>
              <w:pStyle w:val="TableText"/>
            </w:pPr>
            <w:r w:rsidRPr="009E1E57">
              <w:t>4. Work with lead providers of the Healthy Families New Zealand initiative to implement programmes that enable Pacific families and</w:t>
            </w:r>
            <w:r w:rsidR="00085832">
              <w:t xml:space="preserve"> </w:t>
            </w:r>
            <w:r w:rsidRPr="009E1E57">
              <w:t>communities to live healthier lives.</w:t>
            </w:r>
          </w:p>
        </w:tc>
        <w:tc>
          <w:tcPr>
            <w:tcW w:w="2967" w:type="dxa"/>
            <w:vMerge w:val="restart"/>
            <w:tcBorders>
              <w:top w:val="single" w:sz="4" w:space="0" w:color="A6A6A6" w:themeColor="background1" w:themeShade="A6"/>
            </w:tcBorders>
          </w:tcPr>
          <w:p w:rsidR="00EF595D" w:rsidRPr="009E1E57" w:rsidRDefault="00EF595D" w:rsidP="00C8344F">
            <w:pPr>
              <w:pStyle w:val="TableText"/>
            </w:pPr>
            <w:r w:rsidRPr="009E1E57">
              <w:t>Decrease the number of Pacific children</w:t>
            </w:r>
            <w:r w:rsidR="00085832">
              <w:t xml:space="preserve"> </w:t>
            </w:r>
            <w:r w:rsidRPr="009E1E57">
              <w:t>aged 2–14 years</w:t>
            </w:r>
            <w:r w:rsidR="00085832">
              <w:t xml:space="preserve"> </w:t>
            </w:r>
            <w:r w:rsidRPr="009E1E57">
              <w:t>who are obese.</w:t>
            </w:r>
          </w:p>
        </w:tc>
        <w:tc>
          <w:tcPr>
            <w:tcW w:w="2855" w:type="dxa"/>
            <w:gridSpan w:val="2"/>
            <w:tcBorders>
              <w:top w:val="single" w:sz="4" w:space="0" w:color="A6A6A6" w:themeColor="background1" w:themeShade="A6"/>
              <w:bottom w:val="single" w:sz="4" w:space="0" w:color="A6A6A6" w:themeColor="background1" w:themeShade="A6"/>
              <w:right w:val="nil"/>
            </w:tcBorders>
          </w:tcPr>
          <w:p w:rsidR="00EF595D" w:rsidRPr="009E1E57" w:rsidRDefault="00EF595D" w:rsidP="00C8344F">
            <w:pPr>
              <w:pStyle w:val="TableText"/>
            </w:pPr>
            <w:r w:rsidRPr="009E1E57">
              <w:t>BMI&gt; = cole</w:t>
            </w:r>
            <w:r w:rsidR="00085832">
              <w:t xml:space="preserve"> </w:t>
            </w:r>
            <w:r w:rsidRPr="009E1E57">
              <w:t>cut-offs (2–14 years) Performance as at 1 May 2014</w:t>
            </w:r>
          </w:p>
        </w:tc>
      </w:tr>
      <w:tr w:rsidR="00EF595D" w:rsidRPr="009E1E57" w:rsidTr="00C8344F">
        <w:trPr>
          <w:cantSplit/>
        </w:trPr>
        <w:tc>
          <w:tcPr>
            <w:tcW w:w="3534" w:type="dxa"/>
            <w:vMerge/>
            <w:tcBorders>
              <w:left w:val="nil"/>
            </w:tcBorders>
          </w:tcPr>
          <w:p w:rsidR="00EF595D" w:rsidRPr="009E1E57" w:rsidRDefault="00EF595D" w:rsidP="00C8344F">
            <w:pPr>
              <w:pStyle w:val="TableText"/>
            </w:pPr>
          </w:p>
        </w:tc>
        <w:tc>
          <w:tcPr>
            <w:tcW w:w="2967" w:type="dxa"/>
            <w:vMerge/>
          </w:tcPr>
          <w:p w:rsidR="00EF595D" w:rsidRPr="009E1E57" w:rsidRDefault="00EF595D" w:rsidP="00C8344F">
            <w:pPr>
              <w:pStyle w:val="TableText"/>
            </w:pPr>
          </w:p>
        </w:tc>
        <w:tc>
          <w:tcPr>
            <w:tcW w:w="1566" w:type="dxa"/>
            <w:tcBorders>
              <w:top w:val="single" w:sz="4" w:space="0" w:color="A6A6A6" w:themeColor="background1" w:themeShade="A6"/>
              <w:bottom w:val="single" w:sz="4" w:space="0" w:color="A6A6A6" w:themeColor="background1" w:themeShade="A6"/>
            </w:tcBorders>
          </w:tcPr>
          <w:p w:rsidR="00EF595D" w:rsidRPr="009E1E57" w:rsidRDefault="00EF595D" w:rsidP="00C8344F">
            <w:pPr>
              <w:pStyle w:val="TableText"/>
            </w:pPr>
            <w:r w:rsidRPr="009E1E57">
              <w:t>Pacific</w:t>
            </w:r>
          </w:p>
        </w:tc>
        <w:tc>
          <w:tcPr>
            <w:tcW w:w="1289" w:type="dxa"/>
            <w:tcBorders>
              <w:top w:val="single" w:sz="4" w:space="0" w:color="A6A6A6" w:themeColor="background1" w:themeShade="A6"/>
              <w:bottom w:val="single" w:sz="4" w:space="0" w:color="A6A6A6" w:themeColor="background1" w:themeShade="A6"/>
              <w:right w:val="nil"/>
            </w:tcBorders>
          </w:tcPr>
          <w:p w:rsidR="00EF595D" w:rsidRPr="009E1E57" w:rsidRDefault="00EF595D" w:rsidP="00C8344F">
            <w:pPr>
              <w:pStyle w:val="TableText"/>
              <w:jc w:val="center"/>
            </w:pPr>
            <w:r w:rsidRPr="009E1E57">
              <w:t>27.1</w:t>
            </w:r>
          </w:p>
        </w:tc>
      </w:tr>
      <w:tr w:rsidR="00EF595D" w:rsidRPr="009E1E57" w:rsidTr="00C8344F">
        <w:trPr>
          <w:cantSplit/>
        </w:trPr>
        <w:tc>
          <w:tcPr>
            <w:tcW w:w="3534" w:type="dxa"/>
            <w:vMerge/>
            <w:tcBorders>
              <w:left w:val="nil"/>
            </w:tcBorders>
          </w:tcPr>
          <w:p w:rsidR="00EF595D" w:rsidRPr="009E1E57" w:rsidRDefault="00EF595D" w:rsidP="00C8344F">
            <w:pPr>
              <w:pStyle w:val="TableText"/>
            </w:pPr>
          </w:p>
        </w:tc>
        <w:tc>
          <w:tcPr>
            <w:tcW w:w="2967" w:type="dxa"/>
            <w:vMerge/>
          </w:tcPr>
          <w:p w:rsidR="00EF595D" w:rsidRPr="009E1E57" w:rsidRDefault="00EF595D" w:rsidP="00C8344F">
            <w:pPr>
              <w:pStyle w:val="TableText"/>
            </w:pPr>
          </w:p>
        </w:tc>
        <w:tc>
          <w:tcPr>
            <w:tcW w:w="1566" w:type="dxa"/>
            <w:tcBorders>
              <w:top w:val="single" w:sz="4" w:space="0" w:color="A6A6A6" w:themeColor="background1" w:themeShade="A6"/>
              <w:bottom w:val="single" w:sz="4" w:space="0" w:color="A6A6A6" w:themeColor="background1" w:themeShade="A6"/>
            </w:tcBorders>
          </w:tcPr>
          <w:p w:rsidR="00EF595D" w:rsidRPr="009E1E57" w:rsidRDefault="00EF595D" w:rsidP="00C8344F">
            <w:pPr>
              <w:pStyle w:val="TableText"/>
            </w:pPr>
            <w:r w:rsidRPr="009E1E57">
              <w:t>Overall/total</w:t>
            </w:r>
          </w:p>
        </w:tc>
        <w:tc>
          <w:tcPr>
            <w:tcW w:w="1289" w:type="dxa"/>
            <w:tcBorders>
              <w:top w:val="single" w:sz="4" w:space="0" w:color="A6A6A6" w:themeColor="background1" w:themeShade="A6"/>
              <w:bottom w:val="single" w:sz="4" w:space="0" w:color="A6A6A6" w:themeColor="background1" w:themeShade="A6"/>
              <w:right w:val="nil"/>
            </w:tcBorders>
          </w:tcPr>
          <w:p w:rsidR="00EF595D" w:rsidRPr="009E1E57" w:rsidRDefault="00EF595D" w:rsidP="00C8344F">
            <w:pPr>
              <w:pStyle w:val="TableText"/>
              <w:jc w:val="center"/>
            </w:pPr>
            <w:r w:rsidRPr="009E1E57">
              <w:t>11.1</w:t>
            </w:r>
          </w:p>
        </w:tc>
      </w:tr>
      <w:tr w:rsidR="00EF595D" w:rsidRPr="009E1E57" w:rsidTr="00C8344F">
        <w:trPr>
          <w:cantSplit/>
        </w:trPr>
        <w:tc>
          <w:tcPr>
            <w:tcW w:w="3534" w:type="dxa"/>
            <w:vMerge/>
            <w:tcBorders>
              <w:left w:val="nil"/>
              <w:bottom w:val="single" w:sz="4" w:space="0" w:color="auto"/>
            </w:tcBorders>
          </w:tcPr>
          <w:p w:rsidR="00EF595D" w:rsidRPr="009E1E57" w:rsidRDefault="00EF595D" w:rsidP="00C8344F">
            <w:pPr>
              <w:pStyle w:val="TableText"/>
            </w:pPr>
          </w:p>
        </w:tc>
        <w:tc>
          <w:tcPr>
            <w:tcW w:w="2967" w:type="dxa"/>
            <w:tcBorders>
              <w:bottom w:val="single" w:sz="4" w:space="0" w:color="auto"/>
            </w:tcBorders>
          </w:tcPr>
          <w:p w:rsidR="00EF595D" w:rsidRPr="009E1E57" w:rsidRDefault="00EF595D" w:rsidP="00C8344F">
            <w:pPr>
              <w:pStyle w:val="TableText"/>
            </w:pPr>
            <w:r w:rsidRPr="009E1E57">
              <w:t>Improve</w:t>
            </w:r>
            <w:r w:rsidR="00085832">
              <w:t xml:space="preserve"> </w:t>
            </w:r>
            <w:r w:rsidRPr="009E1E57">
              <w:t>management of diabetes by increasing ‘More heart</w:t>
            </w:r>
            <w:r w:rsidR="00085832">
              <w:t xml:space="preserve"> </w:t>
            </w:r>
            <w:r w:rsidRPr="009E1E57">
              <w:t>and diabetes checks’. The target is</w:t>
            </w:r>
            <w:r w:rsidR="00C8344F">
              <w:t xml:space="preserve"> </w:t>
            </w:r>
            <w:r w:rsidRPr="009E1E57">
              <w:t>that 90</w:t>
            </w:r>
            <w:r w:rsidR="00C8344F">
              <w:t> </w:t>
            </w:r>
            <w:r w:rsidRPr="009E1E57">
              <w:t>percent of the eligible adult population will have</w:t>
            </w:r>
            <w:r w:rsidR="00085832">
              <w:t xml:space="preserve"> </w:t>
            </w:r>
            <w:r w:rsidRPr="009E1E57">
              <w:t>had</w:t>
            </w:r>
            <w:r w:rsidR="00085832">
              <w:t xml:space="preserve"> </w:t>
            </w:r>
            <w:r w:rsidRPr="009E1E57">
              <w:t>their cardiovascular disease (CVD) risk assessed in the last five years.</w:t>
            </w:r>
          </w:p>
        </w:tc>
        <w:tc>
          <w:tcPr>
            <w:tcW w:w="2855" w:type="dxa"/>
            <w:gridSpan w:val="2"/>
            <w:tcBorders>
              <w:top w:val="single" w:sz="4" w:space="0" w:color="A6A6A6" w:themeColor="background1" w:themeShade="A6"/>
              <w:bottom w:val="single" w:sz="4" w:space="0" w:color="auto"/>
              <w:right w:val="nil"/>
            </w:tcBorders>
          </w:tcPr>
          <w:p w:rsidR="00EF595D" w:rsidRPr="009E1E57" w:rsidRDefault="00EF595D" w:rsidP="00C8344F">
            <w:pPr>
              <w:pStyle w:val="TableText"/>
            </w:pPr>
            <w:r w:rsidRPr="009E1E57">
              <w:t>As at December 2013,</w:t>
            </w:r>
            <w:r w:rsidR="00085832">
              <w:t xml:space="preserve"> </w:t>
            </w:r>
            <w:r w:rsidRPr="009E1E57">
              <w:t>over 28,000 or 9.0 percent of Pacific peoples are estimated to have</w:t>
            </w:r>
            <w:r w:rsidR="00085832">
              <w:t xml:space="preserve"> </w:t>
            </w:r>
            <w:r w:rsidRPr="009E1E57">
              <w:t>diabetes</w:t>
            </w:r>
            <w:r w:rsidR="00C8344F">
              <w:t xml:space="preserve"> </w:t>
            </w:r>
            <w:r w:rsidRPr="009E1E57">
              <w:t>compared to 5.7 percent of all New</w:t>
            </w:r>
            <w:r w:rsidR="00C8344F">
              <w:t xml:space="preserve"> </w:t>
            </w:r>
            <w:r w:rsidRPr="009E1E57">
              <w:t>Zealanders.</w:t>
            </w:r>
          </w:p>
        </w:tc>
      </w:tr>
    </w:tbl>
    <w:p w:rsidR="00EF595D" w:rsidRPr="009E1E57" w:rsidRDefault="00EF595D" w:rsidP="00C8344F"/>
    <w:p w:rsidR="00EF595D" w:rsidRPr="009E1E57" w:rsidRDefault="00EF595D" w:rsidP="00C54FF0">
      <w:pPr>
        <w:pStyle w:val="Heading2"/>
        <w:ind w:left="567" w:hanging="567"/>
      </w:pPr>
      <w:bookmarkStart w:id="26" w:name="_Toc391539869"/>
      <w:r w:rsidRPr="009E1E57">
        <w:t>4</w:t>
      </w:r>
      <w:r w:rsidR="00C54FF0">
        <w:tab/>
      </w:r>
      <w:r w:rsidRPr="009E1E57">
        <w:t>Pacific ’āiga, kāiga, magafaoa, kōpū tangata, vuvale, fāmili experience improved broader determinants of health</w:t>
      </w:r>
      <w:bookmarkEnd w:id="26"/>
    </w:p>
    <w:p w:rsidR="00EF595D" w:rsidRPr="009E1E57" w:rsidRDefault="00EF595D" w:rsidP="00C54FF0">
      <w:pPr>
        <w:pStyle w:val="Heading3"/>
      </w:pPr>
      <w:r w:rsidRPr="009E1E57">
        <w:t>Why is this outcome a priority?</w:t>
      </w:r>
    </w:p>
    <w:p w:rsidR="00EF595D" w:rsidRPr="009E1E57" w:rsidRDefault="00EF595D" w:rsidP="00C54FF0">
      <w:r w:rsidRPr="009E1E57">
        <w:t>There is strong evidence that biological factors, health-related behaviours, access to health care and environmental and socioeconomic factors all influence health (Commission on Social</w:t>
      </w:r>
      <w:r w:rsidR="00085832">
        <w:t xml:space="preserve"> </w:t>
      </w:r>
      <w:r w:rsidRPr="009E1E57">
        <w:t>Determinants of Health 2008). Environmental and socioeconomic factors – particularly income, education and employment – have the most significant impact on the health of populations.</w:t>
      </w:r>
    </w:p>
    <w:p w:rsidR="00EF595D" w:rsidRPr="009E1E57" w:rsidRDefault="00EF595D" w:rsidP="00C54FF0"/>
    <w:p w:rsidR="00EF595D" w:rsidRPr="009E1E57" w:rsidRDefault="00EF595D" w:rsidP="00C54FF0">
      <w:r w:rsidRPr="009E1E57">
        <w:t>The determinants of health do not operate independently: there are often complex interactions between individual risk factors and wider environmental influences in maintaining health or causing illness. However, many of the determinants of health can</w:t>
      </w:r>
      <w:r w:rsidR="00085832">
        <w:t xml:space="preserve"> </w:t>
      </w:r>
      <w:r w:rsidRPr="009E1E57">
        <w:t>be altered to improve health and wellbeing (Ministry of Health 2012b).</w:t>
      </w:r>
    </w:p>
    <w:p w:rsidR="00EF595D" w:rsidRPr="009E1E57" w:rsidRDefault="00EF595D" w:rsidP="00C54FF0"/>
    <w:p w:rsidR="00EF595D" w:rsidRPr="009E1E57" w:rsidRDefault="00EF595D" w:rsidP="00C54FF0">
      <w:r w:rsidRPr="009E1E57">
        <w:t>While</w:t>
      </w:r>
      <w:r w:rsidR="00085832">
        <w:t xml:space="preserve"> </w:t>
      </w:r>
      <w:r w:rsidRPr="009E1E57">
        <w:t>there have been some improvements, Pacific peoples are still worse off than other New Zealanders across a range of socioeconomic indicators (Ministry of Health 2012b). Improving the incomes, education, employment and housing of Pacific peoples is critical to improving their health outcomes.</w:t>
      </w:r>
    </w:p>
    <w:p w:rsidR="00EF595D" w:rsidRPr="009E1E57" w:rsidRDefault="00EF595D" w:rsidP="00C54FF0"/>
    <w:p w:rsidR="00EF595D" w:rsidRPr="009E1E57" w:rsidRDefault="00EF595D" w:rsidP="00C54FF0">
      <w:r w:rsidRPr="009E1E57">
        <w:t>Significant current and emerging health, social and economic issues in the Pacific Island region (such as non-communicable diseases, and emerging and re-emerging communicable diseases) also have an impact on Pacific peoples in New Zealand.</w:t>
      </w:r>
    </w:p>
    <w:p w:rsidR="00EF595D" w:rsidRPr="009E1E57" w:rsidRDefault="00EF595D" w:rsidP="00C54FF0"/>
    <w:p w:rsidR="00EF595D" w:rsidRPr="009E1E57" w:rsidRDefault="00EF595D" w:rsidP="00C54FF0">
      <w:pPr>
        <w:pStyle w:val="Heading3"/>
      </w:pPr>
      <w:r w:rsidRPr="009E1E57">
        <w:t>What are we seeking to achieve?</w:t>
      </w:r>
    </w:p>
    <w:p w:rsidR="00EF595D" w:rsidRPr="009E1E57" w:rsidRDefault="00EF595D" w:rsidP="00C54FF0">
      <w:r w:rsidRPr="009E1E57">
        <w:t>Successful interventions to address the negative influences of health determinants tend to be those that involve multiple actions across different sectors and at different levels (Commission on Social Determinants of Health 2008). We therefore want to see more effective interconnected action to improve health, social and economic outcomes at central government, regional and local</w:t>
      </w:r>
      <w:r w:rsidR="00085832">
        <w:t xml:space="preserve"> </w:t>
      </w:r>
      <w:r w:rsidRPr="009E1E57">
        <w:t>levels.</w:t>
      </w:r>
    </w:p>
    <w:p w:rsidR="00EF595D" w:rsidRPr="009E1E57" w:rsidRDefault="00EF595D" w:rsidP="00C54FF0"/>
    <w:p w:rsidR="00EF595D" w:rsidRPr="009E1E57" w:rsidRDefault="00EF595D" w:rsidP="00C54FF0">
      <w:r w:rsidRPr="009E1E57">
        <w:t>We want greater recognition of the impact of intersectoral activity on Pacific health outcomes and to promote wider use of health impact assessments to assess and develop actions to manage the health effects of policies and projects.</w:t>
      </w:r>
    </w:p>
    <w:p w:rsidR="00EF595D" w:rsidRPr="009E1E57" w:rsidRDefault="00EF595D" w:rsidP="00C54FF0"/>
    <w:p w:rsidR="00EF595D" w:rsidRPr="009E1E57" w:rsidRDefault="00EF595D" w:rsidP="00C54FF0">
      <w:r w:rsidRPr="009E1E57">
        <w:t>In the wider Pacific Island region, we want to continue to contribute to initiatives that seek</w:t>
      </w:r>
      <w:r w:rsidR="00085832">
        <w:t xml:space="preserve"> </w:t>
      </w:r>
      <w:r w:rsidRPr="009E1E57">
        <w:t>to foster economic development, eliminate poverty and improve educational outcomes for Pacific peoples.</w:t>
      </w:r>
    </w:p>
    <w:p w:rsidR="00EF595D" w:rsidRPr="009E1E57" w:rsidRDefault="00EF595D" w:rsidP="00C54FF0"/>
    <w:p w:rsidR="00EF595D" w:rsidRPr="009E1E57" w:rsidRDefault="00EF595D" w:rsidP="00C54FF0">
      <w:pPr>
        <w:pStyle w:val="Heading3"/>
      </w:pPr>
      <w:r w:rsidRPr="009E1E57">
        <w:t>What will we do to achieve this?</w:t>
      </w:r>
    </w:p>
    <w:p w:rsidR="00EF595D" w:rsidRPr="009E1E57" w:rsidRDefault="00EF595D" w:rsidP="0064500D">
      <w:pPr>
        <w:pStyle w:val="Box"/>
        <w:keepNext/>
      </w:pPr>
      <w:r w:rsidRPr="009E1E57">
        <w:t>To improve the broader determinants of health:</w:t>
      </w:r>
    </w:p>
    <w:p w:rsidR="00EF595D" w:rsidRPr="009E1E57" w:rsidRDefault="00EF595D" w:rsidP="0064500D">
      <w:pPr>
        <w:pStyle w:val="Box"/>
        <w:keepNext/>
        <w:ind w:left="851" w:hanging="567"/>
      </w:pPr>
      <w:r w:rsidRPr="009E1E57">
        <w:t>1.</w:t>
      </w:r>
      <w:r w:rsidR="00C54FF0">
        <w:tab/>
        <w:t>t</w:t>
      </w:r>
      <w:r w:rsidRPr="009E1E57">
        <w:t>he health and disability sector will work</w:t>
      </w:r>
      <w:r w:rsidR="00085832">
        <w:t xml:space="preserve"> </w:t>
      </w:r>
      <w:r w:rsidRPr="009E1E57">
        <w:t>across government to decrease overcrowding in Pacific homes and increase access to healthy housing</w:t>
      </w:r>
    </w:p>
    <w:p w:rsidR="00EF595D" w:rsidRPr="009E1E57" w:rsidRDefault="00EF595D" w:rsidP="0064500D">
      <w:pPr>
        <w:pStyle w:val="Box"/>
        <w:keepNext/>
        <w:keepLines/>
        <w:ind w:left="851" w:hanging="567"/>
      </w:pPr>
      <w:r w:rsidRPr="009E1E57">
        <w:t>2.</w:t>
      </w:r>
      <w:r w:rsidR="00C54FF0">
        <w:tab/>
      </w:r>
      <w:r w:rsidRPr="009E1E57">
        <w:t>the Ministry of Health will work</w:t>
      </w:r>
      <w:r w:rsidR="00085832">
        <w:t xml:space="preserve"> </w:t>
      </w:r>
      <w:r w:rsidRPr="009E1E57">
        <w:t>in partnership with the Ministries of Social</w:t>
      </w:r>
      <w:r w:rsidR="00085832">
        <w:t xml:space="preserve"> </w:t>
      </w:r>
      <w:r w:rsidRPr="009E1E57">
        <w:t>Development, Business, Innovation and Employment, and Education and with the New Zealand Police on the following Better Public Service priorities, targeting vulnerable children:</w:t>
      </w:r>
    </w:p>
    <w:p w:rsidR="00EF595D" w:rsidRPr="009E1E57" w:rsidRDefault="00EF595D" w:rsidP="00C54FF0">
      <w:pPr>
        <w:pStyle w:val="BoxBullet"/>
      </w:pPr>
      <w:r w:rsidRPr="009E1E57">
        <w:t>increase participation in early childhood education</w:t>
      </w:r>
    </w:p>
    <w:p w:rsidR="00EF595D" w:rsidRPr="009E1E57" w:rsidRDefault="00EF595D" w:rsidP="00C54FF0">
      <w:pPr>
        <w:pStyle w:val="BoxBullet"/>
      </w:pPr>
      <w:r w:rsidRPr="009E1E57">
        <w:t>increase infant immunisation rates</w:t>
      </w:r>
    </w:p>
    <w:p w:rsidR="00EF595D" w:rsidRPr="009E1E57" w:rsidRDefault="00EF595D" w:rsidP="00C54FF0">
      <w:pPr>
        <w:pStyle w:val="BoxBullet"/>
      </w:pPr>
      <w:r w:rsidRPr="009E1E57">
        <w:t>reduce the incidence of rheumatic fever</w:t>
      </w:r>
    </w:p>
    <w:p w:rsidR="00EF595D" w:rsidRPr="009E1E57" w:rsidRDefault="00EF595D" w:rsidP="00C54FF0">
      <w:pPr>
        <w:pStyle w:val="BoxBullet"/>
      </w:pPr>
      <w:r w:rsidRPr="009E1E57">
        <w:t>reduce the number of assaults on children.</w:t>
      </w:r>
    </w:p>
    <w:p w:rsidR="00EF595D" w:rsidRPr="009E1E57" w:rsidRDefault="00EF595D" w:rsidP="00C54FF0"/>
    <w:p w:rsidR="00EF595D" w:rsidRPr="009E1E57" w:rsidRDefault="00EF595D" w:rsidP="00C54FF0">
      <w:pPr>
        <w:pStyle w:val="Heading3"/>
      </w:pPr>
      <w:r w:rsidRPr="009E1E57">
        <w:t>How are we going to measure this?</w:t>
      </w:r>
    </w:p>
    <w:p w:rsidR="00EF595D" w:rsidRPr="009E1E57" w:rsidRDefault="00EF595D" w:rsidP="00C54FF0">
      <w:r w:rsidRPr="009E1E57">
        <w:t>The Ministry of Health will use the following indicators to measure whether the actions identified above achieve the intended outcomes.</w:t>
      </w:r>
    </w:p>
    <w:p w:rsidR="00EF595D" w:rsidRPr="009E1E57" w:rsidRDefault="00EF595D" w:rsidP="00C8344F"/>
    <w:tbl>
      <w:tblPr>
        <w:tblW w:w="0" w:type="auto"/>
        <w:tblInd w:w="57" w:type="dxa"/>
        <w:tblLayout w:type="fixed"/>
        <w:tblCellMar>
          <w:left w:w="57" w:type="dxa"/>
          <w:right w:w="57" w:type="dxa"/>
        </w:tblCellMar>
        <w:tblLook w:val="01E0" w:firstRow="1" w:lastRow="1" w:firstColumn="1" w:lastColumn="1" w:noHBand="0" w:noVBand="0"/>
      </w:tblPr>
      <w:tblGrid>
        <w:gridCol w:w="3544"/>
        <w:gridCol w:w="2186"/>
        <w:gridCol w:w="2014"/>
        <w:gridCol w:w="771"/>
        <w:gridCol w:w="841"/>
      </w:tblGrid>
      <w:tr w:rsidR="00EF595D" w:rsidRPr="00C8344F" w:rsidTr="00E43390">
        <w:trPr>
          <w:cantSplit/>
        </w:trPr>
        <w:tc>
          <w:tcPr>
            <w:tcW w:w="3544" w:type="dxa"/>
            <w:tcBorders>
              <w:top w:val="single" w:sz="4" w:space="0" w:color="auto"/>
              <w:left w:val="nil"/>
              <w:bottom w:val="single" w:sz="4" w:space="0" w:color="auto"/>
            </w:tcBorders>
            <w:shd w:val="clear" w:color="auto" w:fill="auto"/>
          </w:tcPr>
          <w:p w:rsidR="00EF595D" w:rsidRPr="00C8344F" w:rsidRDefault="00EF595D" w:rsidP="00C8344F">
            <w:pPr>
              <w:pStyle w:val="TableText"/>
              <w:rPr>
                <w:rFonts w:eastAsia="Arial"/>
                <w:b/>
              </w:rPr>
            </w:pPr>
            <w:r w:rsidRPr="00C8344F">
              <w:rPr>
                <w:rFonts w:eastAsia="Arial"/>
                <w:b/>
              </w:rPr>
              <w:t>Action</w:t>
            </w:r>
          </w:p>
        </w:tc>
        <w:tc>
          <w:tcPr>
            <w:tcW w:w="2186" w:type="dxa"/>
            <w:tcBorders>
              <w:top w:val="single" w:sz="4" w:space="0" w:color="auto"/>
              <w:bottom w:val="single" w:sz="4" w:space="0" w:color="auto"/>
            </w:tcBorders>
            <w:shd w:val="clear" w:color="auto" w:fill="auto"/>
          </w:tcPr>
          <w:p w:rsidR="00EF595D" w:rsidRPr="00C8344F" w:rsidRDefault="00EF595D" w:rsidP="00E43390">
            <w:pPr>
              <w:pStyle w:val="TableText"/>
              <w:jc w:val="center"/>
              <w:rPr>
                <w:rFonts w:eastAsia="Arial"/>
                <w:b/>
              </w:rPr>
            </w:pPr>
            <w:r w:rsidRPr="00C8344F">
              <w:rPr>
                <w:rFonts w:eastAsia="Arial"/>
                <w:b/>
              </w:rPr>
              <w:t>Indicator</w:t>
            </w:r>
          </w:p>
        </w:tc>
        <w:tc>
          <w:tcPr>
            <w:tcW w:w="2014" w:type="dxa"/>
            <w:tcBorders>
              <w:top w:val="single" w:sz="4" w:space="0" w:color="auto"/>
              <w:bottom w:val="single" w:sz="4" w:space="0" w:color="auto"/>
            </w:tcBorders>
            <w:shd w:val="clear" w:color="auto" w:fill="auto"/>
          </w:tcPr>
          <w:p w:rsidR="00EF595D" w:rsidRPr="00C8344F" w:rsidRDefault="00EF595D" w:rsidP="00E43390">
            <w:pPr>
              <w:pStyle w:val="TableText"/>
              <w:jc w:val="center"/>
              <w:rPr>
                <w:b/>
              </w:rPr>
            </w:pPr>
            <w:r w:rsidRPr="00C8344F">
              <w:rPr>
                <w:b/>
              </w:rPr>
              <w:t>Pacific performance</w:t>
            </w:r>
            <w:r w:rsidR="00C8344F" w:rsidRPr="00C8344F">
              <w:rPr>
                <w:b/>
              </w:rPr>
              <w:t xml:space="preserve"> </w:t>
            </w:r>
            <w:r w:rsidRPr="00C8344F">
              <w:rPr>
                <w:b/>
              </w:rPr>
              <w:t>2013*</w:t>
            </w:r>
          </w:p>
        </w:tc>
        <w:tc>
          <w:tcPr>
            <w:tcW w:w="1612" w:type="dxa"/>
            <w:gridSpan w:val="2"/>
            <w:tcBorders>
              <w:top w:val="single" w:sz="4" w:space="0" w:color="auto"/>
              <w:bottom w:val="single" w:sz="4" w:space="0" w:color="auto"/>
              <w:right w:val="nil"/>
            </w:tcBorders>
            <w:shd w:val="clear" w:color="auto" w:fill="auto"/>
          </w:tcPr>
          <w:p w:rsidR="00EF595D" w:rsidRPr="00C8344F" w:rsidRDefault="00EF595D" w:rsidP="00E43390">
            <w:pPr>
              <w:pStyle w:val="TableText"/>
              <w:jc w:val="center"/>
              <w:rPr>
                <w:rFonts w:eastAsia="Arial"/>
                <w:b/>
              </w:rPr>
            </w:pPr>
            <w:r w:rsidRPr="00C8344F">
              <w:rPr>
                <w:rFonts w:eastAsia="Arial"/>
                <w:b/>
              </w:rPr>
              <w:t>Targets</w:t>
            </w:r>
          </w:p>
        </w:tc>
      </w:tr>
      <w:tr w:rsidR="00EF595D" w:rsidRPr="009E1E57" w:rsidTr="00E43390">
        <w:trPr>
          <w:cantSplit/>
        </w:trPr>
        <w:tc>
          <w:tcPr>
            <w:tcW w:w="3544" w:type="dxa"/>
            <w:tcBorders>
              <w:top w:val="single" w:sz="4" w:space="0" w:color="auto"/>
              <w:left w:val="nil"/>
              <w:bottom w:val="single" w:sz="4" w:space="0" w:color="A6A6A6" w:themeColor="background1" w:themeShade="A6"/>
            </w:tcBorders>
            <w:shd w:val="clear" w:color="auto" w:fill="auto"/>
          </w:tcPr>
          <w:p w:rsidR="00EF595D" w:rsidRPr="009E1E57" w:rsidRDefault="00EF595D" w:rsidP="00E43390">
            <w:pPr>
              <w:pStyle w:val="TableText"/>
            </w:pPr>
            <w:r w:rsidRPr="009E1E57">
              <w:t>1. The health</w:t>
            </w:r>
            <w:r w:rsidR="00085832">
              <w:t xml:space="preserve"> </w:t>
            </w:r>
            <w:r w:rsidRPr="009E1E57">
              <w:t>and</w:t>
            </w:r>
            <w:r w:rsidR="00085832">
              <w:t xml:space="preserve"> </w:t>
            </w:r>
            <w:r w:rsidRPr="009E1E57">
              <w:t>disability sector will work across government to decrease overcrowding</w:t>
            </w:r>
            <w:r w:rsidR="00E43390">
              <w:t xml:space="preserve"> </w:t>
            </w:r>
            <w:r w:rsidRPr="009E1E57">
              <w:t>in Pacific homes and</w:t>
            </w:r>
            <w:r w:rsidR="00085832">
              <w:t xml:space="preserve"> </w:t>
            </w:r>
            <w:r w:rsidRPr="009E1E57">
              <w:t>increase access to healthy housing.</w:t>
            </w:r>
          </w:p>
        </w:tc>
        <w:tc>
          <w:tcPr>
            <w:tcW w:w="2186" w:type="dxa"/>
            <w:tcBorders>
              <w:top w:val="single" w:sz="4" w:space="0" w:color="auto"/>
              <w:bottom w:val="single" w:sz="4" w:space="0" w:color="A6A6A6" w:themeColor="background1" w:themeShade="A6"/>
            </w:tcBorders>
            <w:shd w:val="clear" w:color="auto" w:fill="auto"/>
          </w:tcPr>
          <w:p w:rsidR="00EF595D" w:rsidRPr="009E1E57" w:rsidRDefault="00EF595D" w:rsidP="00E43390">
            <w:pPr>
              <w:pStyle w:val="TableText"/>
            </w:pPr>
            <w:r w:rsidRPr="009E1E57">
              <w:t>Reduction in Pacific rheumatic fever hospitalisation rates per 100,000 by June</w:t>
            </w:r>
            <w:r w:rsidR="00E43390">
              <w:t xml:space="preserve"> </w:t>
            </w:r>
            <w:r w:rsidRPr="009E1E57">
              <w:t>2017</w:t>
            </w:r>
          </w:p>
        </w:tc>
        <w:tc>
          <w:tcPr>
            <w:tcW w:w="2014" w:type="dxa"/>
            <w:tcBorders>
              <w:top w:val="single" w:sz="4" w:space="0" w:color="auto"/>
              <w:bottom w:val="single" w:sz="4" w:space="0" w:color="A6A6A6" w:themeColor="background1" w:themeShade="A6"/>
            </w:tcBorders>
            <w:shd w:val="clear" w:color="auto" w:fill="auto"/>
          </w:tcPr>
          <w:p w:rsidR="00EF595D" w:rsidRPr="009E1E57" w:rsidRDefault="00EF595D" w:rsidP="00E43390">
            <w:pPr>
              <w:pStyle w:val="TableText"/>
              <w:jc w:val="center"/>
            </w:pPr>
            <w:r w:rsidRPr="009E1E57">
              <w:t>Rate</w:t>
            </w:r>
            <w:r w:rsidR="00085832">
              <w:t xml:space="preserve"> </w:t>
            </w:r>
            <w:r w:rsidRPr="009E1E57">
              <w:t>33.2</w:t>
            </w:r>
          </w:p>
        </w:tc>
        <w:tc>
          <w:tcPr>
            <w:tcW w:w="1612" w:type="dxa"/>
            <w:gridSpan w:val="2"/>
            <w:tcBorders>
              <w:top w:val="single" w:sz="4" w:space="0" w:color="auto"/>
              <w:bottom w:val="single" w:sz="4" w:space="0" w:color="A6A6A6" w:themeColor="background1" w:themeShade="A6"/>
              <w:right w:val="nil"/>
            </w:tcBorders>
            <w:shd w:val="clear" w:color="auto" w:fill="auto"/>
          </w:tcPr>
          <w:p w:rsidR="00EF595D" w:rsidRPr="009E1E57" w:rsidRDefault="00EF595D" w:rsidP="00E43390">
            <w:pPr>
              <w:pStyle w:val="TableText"/>
              <w:jc w:val="center"/>
            </w:pPr>
            <w:r w:rsidRPr="009E1E57">
              <w:t>Rate</w:t>
            </w:r>
            <w:r w:rsidR="00C8344F">
              <w:t xml:space="preserve"> </w:t>
            </w:r>
            <w:r w:rsidRPr="009E1E57">
              <w:t>(per 100,000)</w:t>
            </w:r>
            <w:r w:rsidR="00E43390">
              <w:t xml:space="preserve"> </w:t>
            </w:r>
            <w:r w:rsidRPr="009E1E57">
              <w:t>1.4</w:t>
            </w:r>
          </w:p>
        </w:tc>
      </w:tr>
      <w:tr w:rsidR="00EF595D" w:rsidRPr="009E1E57" w:rsidTr="00E43390">
        <w:trPr>
          <w:cantSplit/>
        </w:trPr>
        <w:tc>
          <w:tcPr>
            <w:tcW w:w="3544" w:type="dxa"/>
            <w:vMerge w:val="restart"/>
            <w:tcBorders>
              <w:top w:val="single" w:sz="4" w:space="0" w:color="A6A6A6" w:themeColor="background1" w:themeShade="A6"/>
              <w:left w:val="nil"/>
            </w:tcBorders>
            <w:shd w:val="clear" w:color="auto" w:fill="auto"/>
          </w:tcPr>
          <w:p w:rsidR="00EF595D" w:rsidRPr="009E1E57" w:rsidRDefault="00EF595D" w:rsidP="00C8344F">
            <w:pPr>
              <w:pStyle w:val="TableText"/>
            </w:pPr>
            <w:r w:rsidRPr="009E1E57">
              <w:t>2. The Ministry of Health will work in partnership with the Ministries of Social</w:t>
            </w:r>
            <w:r w:rsidR="00085832">
              <w:t xml:space="preserve"> </w:t>
            </w:r>
            <w:r w:rsidRPr="009E1E57">
              <w:t>Development; Business, Innovation and</w:t>
            </w:r>
            <w:r w:rsidR="00085832">
              <w:t xml:space="preserve"> </w:t>
            </w:r>
            <w:r w:rsidRPr="009E1E57">
              <w:t>Employment; and Education and</w:t>
            </w:r>
            <w:r w:rsidR="00085832">
              <w:t xml:space="preserve"> </w:t>
            </w:r>
            <w:r w:rsidRPr="009E1E57">
              <w:t>with the New Zealand Police</w:t>
            </w:r>
            <w:r w:rsidR="00085832">
              <w:t xml:space="preserve"> </w:t>
            </w:r>
            <w:r w:rsidRPr="009E1E57">
              <w:t>on the following Better</w:t>
            </w:r>
            <w:r w:rsidR="00085832">
              <w:t xml:space="preserve"> </w:t>
            </w:r>
            <w:r w:rsidRPr="009E1E57">
              <w:t>Public Service</w:t>
            </w:r>
            <w:r w:rsidR="00085832">
              <w:t xml:space="preserve"> </w:t>
            </w:r>
            <w:r w:rsidRPr="009E1E57">
              <w:t>priorities, targeting vulnerable children:</w:t>
            </w:r>
          </w:p>
          <w:p w:rsidR="00EF595D" w:rsidRPr="009E1E57" w:rsidRDefault="00EF595D" w:rsidP="00E43390">
            <w:pPr>
              <w:pStyle w:val="TableBullet"/>
            </w:pPr>
            <w:r w:rsidRPr="009E1E57">
              <w:t>increase participation in early childhood education</w:t>
            </w:r>
          </w:p>
          <w:p w:rsidR="00EF595D" w:rsidRPr="009E1E57" w:rsidRDefault="00EF595D" w:rsidP="00E43390">
            <w:pPr>
              <w:pStyle w:val="TableBullet"/>
            </w:pPr>
            <w:r w:rsidRPr="009E1E57">
              <w:t>increase infant immunisation rates</w:t>
            </w:r>
          </w:p>
          <w:p w:rsidR="00EF595D" w:rsidRPr="009E1E57" w:rsidRDefault="00EF595D" w:rsidP="00E43390">
            <w:pPr>
              <w:pStyle w:val="TableBullet"/>
            </w:pPr>
            <w:r w:rsidRPr="009E1E57">
              <w:t>reduce the incidence of rheumatic fever</w:t>
            </w:r>
          </w:p>
          <w:p w:rsidR="00EF595D" w:rsidRPr="009E1E57" w:rsidRDefault="00EF595D" w:rsidP="00E43390">
            <w:pPr>
              <w:pStyle w:val="TableBullet"/>
            </w:pPr>
            <w:r w:rsidRPr="009E1E57">
              <w:t>reduce the number of assaults on children.</w:t>
            </w:r>
          </w:p>
        </w:tc>
        <w:tc>
          <w:tcPr>
            <w:tcW w:w="2186" w:type="dxa"/>
            <w:tcBorders>
              <w:top w:val="single" w:sz="4" w:space="0" w:color="A6A6A6" w:themeColor="background1" w:themeShade="A6"/>
              <w:bottom w:val="single" w:sz="4" w:space="0" w:color="A6A6A6" w:themeColor="background1" w:themeShade="A6"/>
            </w:tcBorders>
            <w:shd w:val="clear" w:color="auto" w:fill="auto"/>
          </w:tcPr>
          <w:p w:rsidR="00EF595D" w:rsidRPr="009E1E57" w:rsidRDefault="00EF595D" w:rsidP="00C8344F">
            <w:pPr>
              <w:pStyle w:val="TableText"/>
            </w:pPr>
            <w:r w:rsidRPr="009E1E57">
              <w:t>Increase in childhood immunisations at six months of age</w:t>
            </w:r>
          </w:p>
        </w:tc>
        <w:tc>
          <w:tcPr>
            <w:tcW w:w="2014" w:type="dxa"/>
            <w:tcBorders>
              <w:top w:val="single" w:sz="4" w:space="0" w:color="A6A6A6" w:themeColor="background1" w:themeShade="A6"/>
              <w:bottom w:val="single" w:sz="4" w:space="0" w:color="A6A6A6" w:themeColor="background1" w:themeShade="A6"/>
            </w:tcBorders>
            <w:shd w:val="clear" w:color="auto" w:fill="auto"/>
          </w:tcPr>
          <w:p w:rsidR="00EF595D" w:rsidRPr="009E1E57" w:rsidRDefault="00EF595D" w:rsidP="00E43390">
            <w:pPr>
              <w:pStyle w:val="TableText"/>
              <w:jc w:val="center"/>
            </w:pPr>
            <w:r w:rsidRPr="009E1E57">
              <w:t>74%</w:t>
            </w:r>
          </w:p>
        </w:tc>
        <w:tc>
          <w:tcPr>
            <w:tcW w:w="1612" w:type="dxa"/>
            <w:gridSpan w:val="2"/>
            <w:tcBorders>
              <w:top w:val="single" w:sz="4" w:space="0" w:color="A6A6A6" w:themeColor="background1" w:themeShade="A6"/>
              <w:bottom w:val="single" w:sz="4" w:space="0" w:color="A6A6A6" w:themeColor="background1" w:themeShade="A6"/>
              <w:right w:val="nil"/>
            </w:tcBorders>
            <w:shd w:val="clear" w:color="auto" w:fill="auto"/>
          </w:tcPr>
          <w:p w:rsidR="00EF595D" w:rsidRPr="009E1E57" w:rsidRDefault="00EF595D" w:rsidP="00E43390">
            <w:pPr>
              <w:pStyle w:val="TableText"/>
              <w:jc w:val="center"/>
            </w:pPr>
            <w:r w:rsidRPr="009E1E57">
              <w:t>77%</w:t>
            </w:r>
          </w:p>
        </w:tc>
      </w:tr>
      <w:tr w:rsidR="00EF595D" w:rsidRPr="009E1E57" w:rsidTr="00E43390">
        <w:trPr>
          <w:cantSplit/>
        </w:trPr>
        <w:tc>
          <w:tcPr>
            <w:tcW w:w="3544" w:type="dxa"/>
            <w:vMerge/>
            <w:tcBorders>
              <w:left w:val="nil"/>
            </w:tcBorders>
            <w:shd w:val="clear" w:color="auto" w:fill="auto"/>
          </w:tcPr>
          <w:p w:rsidR="00EF595D" w:rsidRPr="009E1E57" w:rsidRDefault="00EF595D" w:rsidP="00C8344F">
            <w:pPr>
              <w:pStyle w:val="TableText"/>
            </w:pPr>
          </w:p>
        </w:tc>
        <w:tc>
          <w:tcPr>
            <w:tcW w:w="2186" w:type="dxa"/>
            <w:vMerge w:val="restart"/>
            <w:tcBorders>
              <w:top w:val="single" w:sz="4" w:space="0" w:color="A6A6A6" w:themeColor="background1" w:themeShade="A6"/>
            </w:tcBorders>
            <w:shd w:val="clear" w:color="auto" w:fill="auto"/>
          </w:tcPr>
          <w:p w:rsidR="00EF595D" w:rsidRPr="00E43390" w:rsidRDefault="00EF595D" w:rsidP="00E43390">
            <w:pPr>
              <w:pStyle w:val="TableText"/>
              <w:rPr>
                <w:rFonts w:eastAsia="Arial"/>
              </w:rPr>
            </w:pPr>
            <w:r w:rsidRPr="00E43390">
              <w:t>Increase in childhood immunisation at six months</w:t>
            </w:r>
            <w:r w:rsidRPr="00E43390">
              <w:rPr>
                <w:rFonts w:eastAsia="Arial"/>
                <w:vertAlign w:val="superscript"/>
              </w:rPr>
              <w:t>#</w:t>
            </w:r>
          </w:p>
        </w:tc>
        <w:tc>
          <w:tcPr>
            <w:tcW w:w="2014" w:type="dxa"/>
            <w:tcBorders>
              <w:top w:val="single" w:sz="4" w:space="0" w:color="A6A6A6" w:themeColor="background1" w:themeShade="A6"/>
              <w:bottom w:val="single" w:sz="4" w:space="0" w:color="A6A6A6" w:themeColor="background1" w:themeShade="A6"/>
            </w:tcBorders>
            <w:shd w:val="clear" w:color="auto" w:fill="auto"/>
          </w:tcPr>
          <w:p w:rsidR="00EF595D" w:rsidRPr="00E43390" w:rsidRDefault="00EF595D" w:rsidP="00C8344F">
            <w:pPr>
              <w:pStyle w:val="TableText"/>
              <w:rPr>
                <w:rFonts w:eastAsia="Arial"/>
                <w:b/>
              </w:rPr>
            </w:pPr>
            <w:r w:rsidRPr="00E43390">
              <w:rPr>
                <w:rFonts w:eastAsia="Arial"/>
                <w:b/>
              </w:rPr>
              <w:t>District Health Board</w:t>
            </w:r>
          </w:p>
        </w:tc>
        <w:tc>
          <w:tcPr>
            <w:tcW w:w="771" w:type="dxa"/>
            <w:tcBorders>
              <w:top w:val="single" w:sz="4" w:space="0" w:color="A6A6A6" w:themeColor="background1" w:themeShade="A6"/>
              <w:bottom w:val="single" w:sz="4" w:space="0" w:color="A6A6A6" w:themeColor="background1" w:themeShade="A6"/>
            </w:tcBorders>
            <w:shd w:val="clear" w:color="auto" w:fill="auto"/>
          </w:tcPr>
          <w:p w:rsidR="00EF595D" w:rsidRPr="00E43390" w:rsidRDefault="00EF595D" w:rsidP="00E43390">
            <w:pPr>
              <w:pStyle w:val="TableText"/>
              <w:jc w:val="center"/>
              <w:rPr>
                <w:b/>
              </w:rPr>
            </w:pPr>
            <w:r w:rsidRPr="00E43390">
              <w:rPr>
                <w:b/>
              </w:rPr>
              <w:t>Pacific</w:t>
            </w:r>
          </w:p>
        </w:tc>
        <w:tc>
          <w:tcPr>
            <w:tcW w:w="841" w:type="dxa"/>
            <w:tcBorders>
              <w:top w:val="single" w:sz="4" w:space="0" w:color="A6A6A6" w:themeColor="background1" w:themeShade="A6"/>
              <w:bottom w:val="single" w:sz="4" w:space="0" w:color="A6A6A6" w:themeColor="background1" w:themeShade="A6"/>
              <w:right w:val="nil"/>
            </w:tcBorders>
            <w:shd w:val="clear" w:color="auto" w:fill="auto"/>
          </w:tcPr>
          <w:p w:rsidR="00EF595D" w:rsidRPr="00E43390" w:rsidRDefault="00EF595D" w:rsidP="00E43390">
            <w:pPr>
              <w:pStyle w:val="TableText"/>
              <w:jc w:val="center"/>
              <w:rPr>
                <w:rFonts w:eastAsia="Arial"/>
                <w:b/>
              </w:rPr>
            </w:pPr>
            <w:r w:rsidRPr="00E43390">
              <w:rPr>
                <w:rFonts w:eastAsia="Arial"/>
                <w:b/>
              </w:rPr>
              <w:t>Target</w:t>
            </w:r>
          </w:p>
        </w:tc>
      </w:tr>
      <w:tr w:rsidR="00EF595D" w:rsidRPr="009E1E57" w:rsidTr="00E43390">
        <w:trPr>
          <w:cantSplit/>
        </w:trPr>
        <w:tc>
          <w:tcPr>
            <w:tcW w:w="3544" w:type="dxa"/>
            <w:vMerge/>
            <w:tcBorders>
              <w:left w:val="nil"/>
            </w:tcBorders>
            <w:shd w:val="clear" w:color="auto" w:fill="auto"/>
          </w:tcPr>
          <w:p w:rsidR="00EF595D" w:rsidRPr="009E1E57" w:rsidRDefault="00EF595D" w:rsidP="00C8344F">
            <w:pPr>
              <w:pStyle w:val="TableText"/>
            </w:pPr>
          </w:p>
        </w:tc>
        <w:tc>
          <w:tcPr>
            <w:tcW w:w="2186" w:type="dxa"/>
            <w:vMerge/>
            <w:shd w:val="clear" w:color="auto" w:fill="auto"/>
          </w:tcPr>
          <w:p w:rsidR="00EF595D" w:rsidRPr="009E1E57" w:rsidRDefault="00EF595D" w:rsidP="00C8344F">
            <w:pPr>
              <w:pStyle w:val="TableText"/>
            </w:pPr>
          </w:p>
        </w:tc>
        <w:tc>
          <w:tcPr>
            <w:tcW w:w="2014" w:type="dxa"/>
            <w:tcBorders>
              <w:top w:val="single" w:sz="4" w:space="0" w:color="A6A6A6" w:themeColor="background1" w:themeShade="A6"/>
              <w:bottom w:val="single" w:sz="4" w:space="0" w:color="A6A6A6" w:themeColor="background1" w:themeShade="A6"/>
            </w:tcBorders>
            <w:shd w:val="clear" w:color="auto" w:fill="auto"/>
          </w:tcPr>
          <w:p w:rsidR="00EF595D" w:rsidRPr="009E1E57" w:rsidRDefault="00EF595D" w:rsidP="00C8344F">
            <w:pPr>
              <w:pStyle w:val="TableText"/>
            </w:pPr>
            <w:r w:rsidRPr="009E1E57">
              <w:t>Auckland</w:t>
            </w:r>
          </w:p>
        </w:tc>
        <w:tc>
          <w:tcPr>
            <w:tcW w:w="771" w:type="dxa"/>
            <w:tcBorders>
              <w:top w:val="single" w:sz="4" w:space="0" w:color="A6A6A6" w:themeColor="background1" w:themeShade="A6"/>
              <w:bottom w:val="single" w:sz="4" w:space="0" w:color="A6A6A6" w:themeColor="background1" w:themeShade="A6"/>
            </w:tcBorders>
            <w:shd w:val="clear" w:color="auto" w:fill="auto"/>
          </w:tcPr>
          <w:p w:rsidR="00EF595D" w:rsidRPr="009E1E57" w:rsidRDefault="00EF595D" w:rsidP="00E43390">
            <w:pPr>
              <w:pStyle w:val="TableText"/>
              <w:jc w:val="center"/>
            </w:pPr>
            <w:r w:rsidRPr="009E1E57">
              <w:t>76%</w:t>
            </w:r>
          </w:p>
        </w:tc>
        <w:tc>
          <w:tcPr>
            <w:tcW w:w="841" w:type="dxa"/>
            <w:tcBorders>
              <w:top w:val="single" w:sz="4" w:space="0" w:color="A6A6A6" w:themeColor="background1" w:themeShade="A6"/>
              <w:bottom w:val="single" w:sz="4" w:space="0" w:color="A6A6A6" w:themeColor="background1" w:themeShade="A6"/>
              <w:right w:val="nil"/>
            </w:tcBorders>
            <w:shd w:val="clear" w:color="auto" w:fill="auto"/>
          </w:tcPr>
          <w:p w:rsidR="00EF595D" w:rsidRPr="009E1E57" w:rsidRDefault="00EF595D" w:rsidP="00E43390">
            <w:pPr>
              <w:pStyle w:val="TableText"/>
              <w:jc w:val="center"/>
            </w:pPr>
            <w:r w:rsidRPr="009E1E57">
              <w:t>95%</w:t>
            </w:r>
          </w:p>
        </w:tc>
      </w:tr>
      <w:tr w:rsidR="00EF595D" w:rsidRPr="009E1E57" w:rsidTr="00E43390">
        <w:trPr>
          <w:cantSplit/>
        </w:trPr>
        <w:tc>
          <w:tcPr>
            <w:tcW w:w="3544" w:type="dxa"/>
            <w:vMerge/>
            <w:tcBorders>
              <w:left w:val="nil"/>
            </w:tcBorders>
            <w:shd w:val="clear" w:color="auto" w:fill="auto"/>
          </w:tcPr>
          <w:p w:rsidR="00EF595D" w:rsidRPr="009E1E57" w:rsidRDefault="00EF595D" w:rsidP="00C8344F">
            <w:pPr>
              <w:pStyle w:val="TableText"/>
            </w:pPr>
          </w:p>
        </w:tc>
        <w:tc>
          <w:tcPr>
            <w:tcW w:w="2186" w:type="dxa"/>
            <w:vMerge/>
            <w:shd w:val="clear" w:color="auto" w:fill="auto"/>
          </w:tcPr>
          <w:p w:rsidR="00EF595D" w:rsidRPr="009E1E57" w:rsidRDefault="00EF595D" w:rsidP="00C8344F">
            <w:pPr>
              <w:pStyle w:val="TableText"/>
            </w:pPr>
          </w:p>
        </w:tc>
        <w:tc>
          <w:tcPr>
            <w:tcW w:w="2014" w:type="dxa"/>
            <w:tcBorders>
              <w:top w:val="single" w:sz="4" w:space="0" w:color="A6A6A6" w:themeColor="background1" w:themeShade="A6"/>
              <w:bottom w:val="single" w:sz="4" w:space="0" w:color="A6A6A6" w:themeColor="background1" w:themeShade="A6"/>
            </w:tcBorders>
            <w:shd w:val="clear" w:color="auto" w:fill="auto"/>
          </w:tcPr>
          <w:p w:rsidR="00EF595D" w:rsidRPr="009E1E57" w:rsidRDefault="00EF595D" w:rsidP="00C8344F">
            <w:pPr>
              <w:pStyle w:val="TableText"/>
            </w:pPr>
            <w:r w:rsidRPr="009E1E57">
              <w:t>Canterbury</w:t>
            </w:r>
          </w:p>
        </w:tc>
        <w:tc>
          <w:tcPr>
            <w:tcW w:w="771" w:type="dxa"/>
            <w:tcBorders>
              <w:top w:val="single" w:sz="4" w:space="0" w:color="A6A6A6" w:themeColor="background1" w:themeShade="A6"/>
              <w:bottom w:val="single" w:sz="4" w:space="0" w:color="A6A6A6" w:themeColor="background1" w:themeShade="A6"/>
            </w:tcBorders>
            <w:shd w:val="clear" w:color="auto" w:fill="auto"/>
          </w:tcPr>
          <w:p w:rsidR="00EF595D" w:rsidRPr="009E1E57" w:rsidRDefault="00EF595D" w:rsidP="00E43390">
            <w:pPr>
              <w:pStyle w:val="TableText"/>
              <w:jc w:val="center"/>
            </w:pPr>
            <w:r w:rsidRPr="009E1E57">
              <w:t>74%</w:t>
            </w:r>
          </w:p>
        </w:tc>
        <w:tc>
          <w:tcPr>
            <w:tcW w:w="841" w:type="dxa"/>
            <w:tcBorders>
              <w:top w:val="single" w:sz="4" w:space="0" w:color="A6A6A6" w:themeColor="background1" w:themeShade="A6"/>
              <w:bottom w:val="single" w:sz="4" w:space="0" w:color="A6A6A6" w:themeColor="background1" w:themeShade="A6"/>
              <w:right w:val="nil"/>
            </w:tcBorders>
            <w:shd w:val="clear" w:color="auto" w:fill="auto"/>
          </w:tcPr>
          <w:p w:rsidR="00EF595D" w:rsidRPr="009E1E57" w:rsidRDefault="00EF595D" w:rsidP="00E43390">
            <w:pPr>
              <w:pStyle w:val="TableText"/>
              <w:jc w:val="center"/>
            </w:pPr>
            <w:r w:rsidRPr="009E1E57">
              <w:t>95%</w:t>
            </w:r>
          </w:p>
        </w:tc>
      </w:tr>
      <w:tr w:rsidR="00EF595D" w:rsidRPr="009E1E57" w:rsidTr="00E43390">
        <w:trPr>
          <w:cantSplit/>
        </w:trPr>
        <w:tc>
          <w:tcPr>
            <w:tcW w:w="3544" w:type="dxa"/>
            <w:vMerge/>
            <w:tcBorders>
              <w:left w:val="nil"/>
            </w:tcBorders>
            <w:shd w:val="clear" w:color="auto" w:fill="auto"/>
          </w:tcPr>
          <w:p w:rsidR="00EF595D" w:rsidRPr="009E1E57" w:rsidRDefault="00EF595D" w:rsidP="00C8344F">
            <w:pPr>
              <w:pStyle w:val="TableText"/>
            </w:pPr>
          </w:p>
        </w:tc>
        <w:tc>
          <w:tcPr>
            <w:tcW w:w="2186" w:type="dxa"/>
            <w:vMerge/>
            <w:shd w:val="clear" w:color="auto" w:fill="auto"/>
          </w:tcPr>
          <w:p w:rsidR="00EF595D" w:rsidRPr="009E1E57" w:rsidRDefault="00EF595D" w:rsidP="00C8344F">
            <w:pPr>
              <w:pStyle w:val="TableText"/>
            </w:pPr>
          </w:p>
        </w:tc>
        <w:tc>
          <w:tcPr>
            <w:tcW w:w="2014" w:type="dxa"/>
            <w:tcBorders>
              <w:top w:val="single" w:sz="4" w:space="0" w:color="A6A6A6" w:themeColor="background1" w:themeShade="A6"/>
              <w:bottom w:val="single" w:sz="4" w:space="0" w:color="A6A6A6" w:themeColor="background1" w:themeShade="A6"/>
            </w:tcBorders>
            <w:shd w:val="clear" w:color="auto" w:fill="auto"/>
          </w:tcPr>
          <w:p w:rsidR="00EF595D" w:rsidRPr="009E1E57" w:rsidRDefault="00EF595D" w:rsidP="00C8344F">
            <w:pPr>
              <w:pStyle w:val="TableText"/>
            </w:pPr>
            <w:r w:rsidRPr="009E1E57">
              <w:t>Capital</w:t>
            </w:r>
            <w:r w:rsidR="00085832">
              <w:t xml:space="preserve"> </w:t>
            </w:r>
            <w:r w:rsidRPr="009E1E57">
              <w:t>&amp; Coast</w:t>
            </w:r>
          </w:p>
        </w:tc>
        <w:tc>
          <w:tcPr>
            <w:tcW w:w="771" w:type="dxa"/>
            <w:tcBorders>
              <w:top w:val="single" w:sz="4" w:space="0" w:color="A6A6A6" w:themeColor="background1" w:themeShade="A6"/>
              <w:bottom w:val="single" w:sz="4" w:space="0" w:color="A6A6A6" w:themeColor="background1" w:themeShade="A6"/>
            </w:tcBorders>
            <w:shd w:val="clear" w:color="auto" w:fill="auto"/>
          </w:tcPr>
          <w:p w:rsidR="00EF595D" w:rsidRPr="009E1E57" w:rsidRDefault="00EF595D" w:rsidP="00E43390">
            <w:pPr>
              <w:pStyle w:val="TableText"/>
              <w:jc w:val="center"/>
            </w:pPr>
            <w:r w:rsidRPr="009E1E57">
              <w:t>78%</w:t>
            </w:r>
          </w:p>
        </w:tc>
        <w:tc>
          <w:tcPr>
            <w:tcW w:w="841" w:type="dxa"/>
            <w:tcBorders>
              <w:top w:val="single" w:sz="4" w:space="0" w:color="A6A6A6" w:themeColor="background1" w:themeShade="A6"/>
              <w:bottom w:val="single" w:sz="4" w:space="0" w:color="A6A6A6" w:themeColor="background1" w:themeShade="A6"/>
              <w:right w:val="nil"/>
            </w:tcBorders>
            <w:shd w:val="clear" w:color="auto" w:fill="auto"/>
          </w:tcPr>
          <w:p w:rsidR="00EF595D" w:rsidRPr="009E1E57" w:rsidRDefault="00EF595D" w:rsidP="00E43390">
            <w:pPr>
              <w:pStyle w:val="TableText"/>
              <w:jc w:val="center"/>
            </w:pPr>
            <w:r w:rsidRPr="009E1E57">
              <w:t>95%</w:t>
            </w:r>
          </w:p>
        </w:tc>
      </w:tr>
      <w:tr w:rsidR="00EF595D" w:rsidRPr="009E1E57" w:rsidTr="00E43390">
        <w:trPr>
          <w:cantSplit/>
        </w:trPr>
        <w:tc>
          <w:tcPr>
            <w:tcW w:w="3544" w:type="dxa"/>
            <w:vMerge/>
            <w:tcBorders>
              <w:left w:val="nil"/>
            </w:tcBorders>
            <w:shd w:val="clear" w:color="auto" w:fill="auto"/>
          </w:tcPr>
          <w:p w:rsidR="00EF595D" w:rsidRPr="009E1E57" w:rsidRDefault="00EF595D" w:rsidP="00C8344F">
            <w:pPr>
              <w:pStyle w:val="TableText"/>
            </w:pPr>
          </w:p>
        </w:tc>
        <w:tc>
          <w:tcPr>
            <w:tcW w:w="2186" w:type="dxa"/>
            <w:vMerge/>
            <w:shd w:val="clear" w:color="auto" w:fill="auto"/>
          </w:tcPr>
          <w:p w:rsidR="00EF595D" w:rsidRPr="009E1E57" w:rsidRDefault="00EF595D" w:rsidP="00C8344F">
            <w:pPr>
              <w:pStyle w:val="TableText"/>
            </w:pPr>
          </w:p>
        </w:tc>
        <w:tc>
          <w:tcPr>
            <w:tcW w:w="2014" w:type="dxa"/>
            <w:tcBorders>
              <w:top w:val="single" w:sz="4" w:space="0" w:color="A6A6A6" w:themeColor="background1" w:themeShade="A6"/>
              <w:bottom w:val="single" w:sz="4" w:space="0" w:color="A6A6A6" w:themeColor="background1" w:themeShade="A6"/>
            </w:tcBorders>
            <w:shd w:val="clear" w:color="auto" w:fill="auto"/>
          </w:tcPr>
          <w:p w:rsidR="00EF595D" w:rsidRPr="009E1E57" w:rsidRDefault="00EF595D" w:rsidP="00C8344F">
            <w:pPr>
              <w:pStyle w:val="TableText"/>
            </w:pPr>
            <w:r w:rsidRPr="009E1E57">
              <w:t>Counties Manukau</w:t>
            </w:r>
          </w:p>
        </w:tc>
        <w:tc>
          <w:tcPr>
            <w:tcW w:w="771" w:type="dxa"/>
            <w:tcBorders>
              <w:top w:val="single" w:sz="4" w:space="0" w:color="A6A6A6" w:themeColor="background1" w:themeShade="A6"/>
              <w:bottom w:val="single" w:sz="4" w:space="0" w:color="A6A6A6" w:themeColor="background1" w:themeShade="A6"/>
            </w:tcBorders>
            <w:shd w:val="clear" w:color="auto" w:fill="auto"/>
          </w:tcPr>
          <w:p w:rsidR="00EF595D" w:rsidRPr="009E1E57" w:rsidRDefault="00EF595D" w:rsidP="00E43390">
            <w:pPr>
              <w:pStyle w:val="TableText"/>
              <w:jc w:val="center"/>
            </w:pPr>
            <w:r w:rsidRPr="009E1E57">
              <w:t>75%</w:t>
            </w:r>
          </w:p>
        </w:tc>
        <w:tc>
          <w:tcPr>
            <w:tcW w:w="841" w:type="dxa"/>
            <w:tcBorders>
              <w:top w:val="single" w:sz="4" w:space="0" w:color="A6A6A6" w:themeColor="background1" w:themeShade="A6"/>
              <w:bottom w:val="single" w:sz="4" w:space="0" w:color="A6A6A6" w:themeColor="background1" w:themeShade="A6"/>
              <w:right w:val="nil"/>
            </w:tcBorders>
            <w:shd w:val="clear" w:color="auto" w:fill="auto"/>
          </w:tcPr>
          <w:p w:rsidR="00EF595D" w:rsidRPr="009E1E57" w:rsidRDefault="00EF595D" w:rsidP="00E43390">
            <w:pPr>
              <w:pStyle w:val="TableText"/>
              <w:jc w:val="center"/>
            </w:pPr>
            <w:r w:rsidRPr="009E1E57">
              <w:t>95%</w:t>
            </w:r>
          </w:p>
        </w:tc>
      </w:tr>
      <w:tr w:rsidR="00EF595D" w:rsidRPr="009E1E57" w:rsidTr="00E43390">
        <w:trPr>
          <w:cantSplit/>
        </w:trPr>
        <w:tc>
          <w:tcPr>
            <w:tcW w:w="3544" w:type="dxa"/>
            <w:vMerge/>
            <w:tcBorders>
              <w:left w:val="nil"/>
            </w:tcBorders>
            <w:shd w:val="clear" w:color="auto" w:fill="auto"/>
          </w:tcPr>
          <w:p w:rsidR="00EF595D" w:rsidRPr="009E1E57" w:rsidRDefault="00EF595D" w:rsidP="00C8344F">
            <w:pPr>
              <w:pStyle w:val="TableText"/>
            </w:pPr>
          </w:p>
        </w:tc>
        <w:tc>
          <w:tcPr>
            <w:tcW w:w="2186" w:type="dxa"/>
            <w:vMerge/>
            <w:shd w:val="clear" w:color="auto" w:fill="auto"/>
          </w:tcPr>
          <w:p w:rsidR="00EF595D" w:rsidRPr="009E1E57" w:rsidRDefault="00EF595D" w:rsidP="00C8344F">
            <w:pPr>
              <w:pStyle w:val="TableText"/>
            </w:pPr>
          </w:p>
        </w:tc>
        <w:tc>
          <w:tcPr>
            <w:tcW w:w="2014" w:type="dxa"/>
            <w:tcBorders>
              <w:top w:val="single" w:sz="4" w:space="0" w:color="A6A6A6" w:themeColor="background1" w:themeShade="A6"/>
              <w:bottom w:val="single" w:sz="4" w:space="0" w:color="A6A6A6" w:themeColor="background1" w:themeShade="A6"/>
            </w:tcBorders>
            <w:shd w:val="clear" w:color="auto" w:fill="auto"/>
          </w:tcPr>
          <w:p w:rsidR="00EF595D" w:rsidRPr="009E1E57" w:rsidRDefault="00EF595D" w:rsidP="00C8344F">
            <w:pPr>
              <w:pStyle w:val="TableText"/>
            </w:pPr>
            <w:r w:rsidRPr="009E1E57">
              <w:t>Hutt Valley</w:t>
            </w:r>
          </w:p>
        </w:tc>
        <w:tc>
          <w:tcPr>
            <w:tcW w:w="771" w:type="dxa"/>
            <w:tcBorders>
              <w:top w:val="single" w:sz="4" w:space="0" w:color="A6A6A6" w:themeColor="background1" w:themeShade="A6"/>
              <w:bottom w:val="single" w:sz="4" w:space="0" w:color="A6A6A6" w:themeColor="background1" w:themeShade="A6"/>
            </w:tcBorders>
            <w:shd w:val="clear" w:color="auto" w:fill="auto"/>
          </w:tcPr>
          <w:p w:rsidR="00EF595D" w:rsidRPr="009E1E57" w:rsidRDefault="00EF595D" w:rsidP="00E43390">
            <w:pPr>
              <w:pStyle w:val="TableText"/>
              <w:jc w:val="center"/>
            </w:pPr>
            <w:r w:rsidRPr="009E1E57">
              <w:t>78%</w:t>
            </w:r>
          </w:p>
        </w:tc>
        <w:tc>
          <w:tcPr>
            <w:tcW w:w="841" w:type="dxa"/>
            <w:tcBorders>
              <w:top w:val="single" w:sz="4" w:space="0" w:color="A6A6A6" w:themeColor="background1" w:themeShade="A6"/>
              <w:bottom w:val="single" w:sz="4" w:space="0" w:color="A6A6A6" w:themeColor="background1" w:themeShade="A6"/>
              <w:right w:val="nil"/>
            </w:tcBorders>
            <w:shd w:val="clear" w:color="auto" w:fill="auto"/>
          </w:tcPr>
          <w:p w:rsidR="00EF595D" w:rsidRPr="009E1E57" w:rsidRDefault="00EF595D" w:rsidP="00E43390">
            <w:pPr>
              <w:pStyle w:val="TableText"/>
              <w:jc w:val="center"/>
            </w:pPr>
            <w:r w:rsidRPr="009E1E57">
              <w:t>95%</w:t>
            </w:r>
          </w:p>
        </w:tc>
      </w:tr>
      <w:tr w:rsidR="00EF595D" w:rsidRPr="009E1E57" w:rsidTr="00E43390">
        <w:trPr>
          <w:cantSplit/>
        </w:trPr>
        <w:tc>
          <w:tcPr>
            <w:tcW w:w="3544" w:type="dxa"/>
            <w:vMerge/>
            <w:tcBorders>
              <w:left w:val="nil"/>
            </w:tcBorders>
            <w:shd w:val="clear" w:color="auto" w:fill="auto"/>
          </w:tcPr>
          <w:p w:rsidR="00EF595D" w:rsidRPr="009E1E57" w:rsidRDefault="00EF595D" w:rsidP="00C8344F">
            <w:pPr>
              <w:pStyle w:val="TableText"/>
            </w:pPr>
          </w:p>
        </w:tc>
        <w:tc>
          <w:tcPr>
            <w:tcW w:w="2186" w:type="dxa"/>
            <w:vMerge/>
            <w:shd w:val="clear" w:color="auto" w:fill="auto"/>
          </w:tcPr>
          <w:p w:rsidR="00EF595D" w:rsidRPr="009E1E57" w:rsidRDefault="00EF595D" w:rsidP="00C8344F">
            <w:pPr>
              <w:pStyle w:val="TableText"/>
            </w:pPr>
          </w:p>
        </w:tc>
        <w:tc>
          <w:tcPr>
            <w:tcW w:w="2014" w:type="dxa"/>
            <w:tcBorders>
              <w:top w:val="single" w:sz="4" w:space="0" w:color="A6A6A6" w:themeColor="background1" w:themeShade="A6"/>
              <w:bottom w:val="single" w:sz="4" w:space="0" w:color="A6A6A6" w:themeColor="background1" w:themeShade="A6"/>
            </w:tcBorders>
            <w:shd w:val="clear" w:color="auto" w:fill="auto"/>
          </w:tcPr>
          <w:p w:rsidR="00EF595D" w:rsidRPr="009E1E57" w:rsidRDefault="00EF595D" w:rsidP="00C8344F">
            <w:pPr>
              <w:pStyle w:val="TableText"/>
            </w:pPr>
            <w:r w:rsidRPr="009E1E57">
              <w:t>Waikato</w:t>
            </w:r>
          </w:p>
        </w:tc>
        <w:tc>
          <w:tcPr>
            <w:tcW w:w="771" w:type="dxa"/>
            <w:tcBorders>
              <w:top w:val="single" w:sz="4" w:space="0" w:color="A6A6A6" w:themeColor="background1" w:themeShade="A6"/>
              <w:bottom w:val="single" w:sz="4" w:space="0" w:color="A6A6A6" w:themeColor="background1" w:themeShade="A6"/>
            </w:tcBorders>
            <w:shd w:val="clear" w:color="auto" w:fill="auto"/>
          </w:tcPr>
          <w:p w:rsidR="00EF595D" w:rsidRPr="009E1E57" w:rsidRDefault="00EF595D" w:rsidP="00E43390">
            <w:pPr>
              <w:pStyle w:val="TableText"/>
              <w:jc w:val="center"/>
            </w:pPr>
            <w:r w:rsidRPr="009E1E57">
              <w:t>71%</w:t>
            </w:r>
          </w:p>
        </w:tc>
        <w:tc>
          <w:tcPr>
            <w:tcW w:w="841" w:type="dxa"/>
            <w:tcBorders>
              <w:top w:val="single" w:sz="4" w:space="0" w:color="A6A6A6" w:themeColor="background1" w:themeShade="A6"/>
              <w:bottom w:val="single" w:sz="4" w:space="0" w:color="A6A6A6" w:themeColor="background1" w:themeShade="A6"/>
              <w:right w:val="nil"/>
            </w:tcBorders>
            <w:shd w:val="clear" w:color="auto" w:fill="auto"/>
          </w:tcPr>
          <w:p w:rsidR="00EF595D" w:rsidRPr="009E1E57" w:rsidRDefault="00EF595D" w:rsidP="00E43390">
            <w:pPr>
              <w:pStyle w:val="TableText"/>
              <w:jc w:val="center"/>
            </w:pPr>
            <w:r w:rsidRPr="009E1E57">
              <w:t>95%</w:t>
            </w:r>
          </w:p>
        </w:tc>
      </w:tr>
      <w:tr w:rsidR="00EF595D" w:rsidRPr="009E1E57" w:rsidTr="00E43390">
        <w:trPr>
          <w:cantSplit/>
        </w:trPr>
        <w:tc>
          <w:tcPr>
            <w:tcW w:w="3544" w:type="dxa"/>
            <w:vMerge/>
            <w:tcBorders>
              <w:left w:val="nil"/>
            </w:tcBorders>
            <w:shd w:val="clear" w:color="auto" w:fill="auto"/>
          </w:tcPr>
          <w:p w:rsidR="00EF595D" w:rsidRPr="009E1E57" w:rsidRDefault="00EF595D" w:rsidP="00C8344F">
            <w:pPr>
              <w:pStyle w:val="TableText"/>
            </w:pPr>
          </w:p>
        </w:tc>
        <w:tc>
          <w:tcPr>
            <w:tcW w:w="2186" w:type="dxa"/>
            <w:vMerge/>
            <w:shd w:val="clear" w:color="auto" w:fill="auto"/>
          </w:tcPr>
          <w:p w:rsidR="00EF595D" w:rsidRPr="009E1E57" w:rsidRDefault="00EF595D" w:rsidP="00C8344F">
            <w:pPr>
              <w:pStyle w:val="TableText"/>
            </w:pPr>
          </w:p>
        </w:tc>
        <w:tc>
          <w:tcPr>
            <w:tcW w:w="2014" w:type="dxa"/>
            <w:tcBorders>
              <w:top w:val="single" w:sz="4" w:space="0" w:color="A6A6A6" w:themeColor="background1" w:themeShade="A6"/>
              <w:bottom w:val="single" w:sz="4" w:space="0" w:color="A6A6A6" w:themeColor="background1" w:themeShade="A6"/>
            </w:tcBorders>
            <w:shd w:val="clear" w:color="auto" w:fill="auto"/>
          </w:tcPr>
          <w:p w:rsidR="00EF595D" w:rsidRPr="009E1E57" w:rsidRDefault="00EF595D" w:rsidP="00C8344F">
            <w:pPr>
              <w:pStyle w:val="TableText"/>
            </w:pPr>
            <w:r w:rsidRPr="009E1E57">
              <w:t>Waitemata</w:t>
            </w:r>
          </w:p>
        </w:tc>
        <w:tc>
          <w:tcPr>
            <w:tcW w:w="771" w:type="dxa"/>
            <w:tcBorders>
              <w:top w:val="single" w:sz="4" w:space="0" w:color="A6A6A6" w:themeColor="background1" w:themeShade="A6"/>
              <w:bottom w:val="single" w:sz="4" w:space="0" w:color="A6A6A6" w:themeColor="background1" w:themeShade="A6"/>
            </w:tcBorders>
            <w:shd w:val="clear" w:color="auto" w:fill="auto"/>
          </w:tcPr>
          <w:p w:rsidR="00EF595D" w:rsidRPr="009E1E57" w:rsidRDefault="00EF595D" w:rsidP="00E43390">
            <w:pPr>
              <w:pStyle w:val="TableText"/>
              <w:jc w:val="center"/>
            </w:pPr>
            <w:r w:rsidRPr="009E1E57">
              <w:t>71%</w:t>
            </w:r>
          </w:p>
        </w:tc>
        <w:tc>
          <w:tcPr>
            <w:tcW w:w="841" w:type="dxa"/>
            <w:tcBorders>
              <w:top w:val="single" w:sz="4" w:space="0" w:color="A6A6A6" w:themeColor="background1" w:themeShade="A6"/>
              <w:bottom w:val="single" w:sz="4" w:space="0" w:color="A6A6A6" w:themeColor="background1" w:themeShade="A6"/>
              <w:right w:val="nil"/>
            </w:tcBorders>
            <w:shd w:val="clear" w:color="auto" w:fill="auto"/>
          </w:tcPr>
          <w:p w:rsidR="00EF595D" w:rsidRPr="009E1E57" w:rsidRDefault="00EF595D" w:rsidP="00E43390">
            <w:pPr>
              <w:pStyle w:val="TableText"/>
              <w:jc w:val="center"/>
            </w:pPr>
            <w:r w:rsidRPr="009E1E57">
              <w:t>95%</w:t>
            </w:r>
          </w:p>
        </w:tc>
      </w:tr>
      <w:tr w:rsidR="00EF595D" w:rsidRPr="009E1E57" w:rsidTr="00E43390">
        <w:trPr>
          <w:cantSplit/>
        </w:trPr>
        <w:tc>
          <w:tcPr>
            <w:tcW w:w="3544" w:type="dxa"/>
            <w:vMerge/>
            <w:tcBorders>
              <w:left w:val="nil"/>
            </w:tcBorders>
            <w:shd w:val="clear" w:color="auto" w:fill="auto"/>
          </w:tcPr>
          <w:p w:rsidR="00EF595D" w:rsidRPr="009E1E57" w:rsidRDefault="00EF595D" w:rsidP="00C8344F">
            <w:pPr>
              <w:pStyle w:val="TableText"/>
            </w:pPr>
          </w:p>
        </w:tc>
        <w:tc>
          <w:tcPr>
            <w:tcW w:w="2186" w:type="dxa"/>
            <w:vMerge/>
            <w:tcBorders>
              <w:bottom w:val="single" w:sz="4" w:space="0" w:color="A6A6A6" w:themeColor="background1" w:themeShade="A6"/>
            </w:tcBorders>
            <w:shd w:val="clear" w:color="auto" w:fill="auto"/>
          </w:tcPr>
          <w:p w:rsidR="00EF595D" w:rsidRPr="009E1E57" w:rsidRDefault="00EF595D" w:rsidP="00C8344F">
            <w:pPr>
              <w:pStyle w:val="TableText"/>
            </w:pPr>
          </w:p>
        </w:tc>
        <w:tc>
          <w:tcPr>
            <w:tcW w:w="2014" w:type="dxa"/>
            <w:tcBorders>
              <w:top w:val="single" w:sz="4" w:space="0" w:color="A6A6A6" w:themeColor="background1" w:themeShade="A6"/>
              <w:bottom w:val="single" w:sz="4" w:space="0" w:color="A6A6A6" w:themeColor="background1" w:themeShade="A6"/>
            </w:tcBorders>
            <w:shd w:val="clear" w:color="auto" w:fill="F2F2F2" w:themeFill="background1" w:themeFillShade="F2"/>
          </w:tcPr>
          <w:p w:rsidR="00EF595D" w:rsidRPr="00E43390" w:rsidRDefault="00EF595D" w:rsidP="00C8344F">
            <w:pPr>
              <w:pStyle w:val="TableText"/>
              <w:rPr>
                <w:b/>
              </w:rPr>
            </w:pPr>
            <w:r w:rsidRPr="00E43390">
              <w:rPr>
                <w:b/>
              </w:rPr>
              <w:t>Total</w:t>
            </w:r>
          </w:p>
        </w:tc>
        <w:tc>
          <w:tcPr>
            <w:tcW w:w="771" w:type="dxa"/>
            <w:tcBorders>
              <w:top w:val="single" w:sz="4" w:space="0" w:color="A6A6A6" w:themeColor="background1" w:themeShade="A6"/>
              <w:bottom w:val="single" w:sz="4" w:space="0" w:color="A6A6A6" w:themeColor="background1" w:themeShade="A6"/>
            </w:tcBorders>
            <w:shd w:val="clear" w:color="auto" w:fill="F2F2F2" w:themeFill="background1" w:themeFillShade="F2"/>
          </w:tcPr>
          <w:p w:rsidR="00EF595D" w:rsidRPr="00E43390" w:rsidRDefault="00EF595D" w:rsidP="00E43390">
            <w:pPr>
              <w:pStyle w:val="TableText"/>
              <w:jc w:val="center"/>
              <w:rPr>
                <w:b/>
              </w:rPr>
            </w:pPr>
            <w:r w:rsidRPr="00E43390">
              <w:rPr>
                <w:b/>
              </w:rPr>
              <w:t>75%</w:t>
            </w:r>
          </w:p>
        </w:tc>
        <w:tc>
          <w:tcPr>
            <w:tcW w:w="841" w:type="dxa"/>
            <w:tcBorders>
              <w:top w:val="single" w:sz="4" w:space="0" w:color="A6A6A6" w:themeColor="background1" w:themeShade="A6"/>
              <w:bottom w:val="single" w:sz="4" w:space="0" w:color="A6A6A6" w:themeColor="background1" w:themeShade="A6"/>
              <w:right w:val="nil"/>
            </w:tcBorders>
            <w:shd w:val="clear" w:color="auto" w:fill="F2F2F2" w:themeFill="background1" w:themeFillShade="F2"/>
          </w:tcPr>
          <w:p w:rsidR="00EF595D" w:rsidRPr="00E43390" w:rsidRDefault="00EF595D" w:rsidP="00E43390">
            <w:pPr>
              <w:pStyle w:val="TableText"/>
              <w:jc w:val="center"/>
              <w:rPr>
                <w:b/>
              </w:rPr>
            </w:pPr>
            <w:r w:rsidRPr="00E43390">
              <w:rPr>
                <w:b/>
              </w:rPr>
              <w:t>95%</w:t>
            </w:r>
          </w:p>
        </w:tc>
      </w:tr>
      <w:tr w:rsidR="00EF595D" w:rsidRPr="009E1E57" w:rsidTr="00E43390">
        <w:trPr>
          <w:cantSplit/>
        </w:trPr>
        <w:tc>
          <w:tcPr>
            <w:tcW w:w="3544" w:type="dxa"/>
            <w:vMerge/>
            <w:tcBorders>
              <w:left w:val="nil"/>
              <w:bottom w:val="single" w:sz="4" w:space="0" w:color="auto"/>
            </w:tcBorders>
            <w:shd w:val="clear" w:color="auto" w:fill="auto"/>
          </w:tcPr>
          <w:p w:rsidR="00EF595D" w:rsidRPr="009E1E57" w:rsidRDefault="00EF595D" w:rsidP="00C8344F">
            <w:pPr>
              <w:pStyle w:val="TableText"/>
            </w:pPr>
          </w:p>
        </w:tc>
        <w:tc>
          <w:tcPr>
            <w:tcW w:w="2186" w:type="dxa"/>
            <w:tcBorders>
              <w:top w:val="single" w:sz="4" w:space="0" w:color="A6A6A6" w:themeColor="background1" w:themeShade="A6"/>
              <w:bottom w:val="single" w:sz="4" w:space="0" w:color="auto"/>
            </w:tcBorders>
            <w:shd w:val="clear" w:color="auto" w:fill="auto"/>
          </w:tcPr>
          <w:p w:rsidR="00EF595D" w:rsidRPr="009E1E57" w:rsidRDefault="00EF595D" w:rsidP="00C8344F">
            <w:pPr>
              <w:pStyle w:val="TableText"/>
              <w:rPr>
                <w:rFonts w:eastAsia="Arial"/>
              </w:rPr>
            </w:pPr>
            <w:r w:rsidRPr="009E1E57">
              <w:t>Qualitative:</w:t>
            </w:r>
            <w:r w:rsidR="00085832">
              <w:t xml:space="preserve"> </w:t>
            </w:r>
            <w:r w:rsidRPr="009E1E57">
              <w:t xml:space="preserve">Delivery of the Children’s Action </w:t>
            </w:r>
            <w:r w:rsidRPr="009E1E57">
              <w:rPr>
                <w:rFonts w:eastAsia="Arial"/>
              </w:rPr>
              <w:t>Plan</w:t>
            </w:r>
          </w:p>
        </w:tc>
        <w:tc>
          <w:tcPr>
            <w:tcW w:w="2014" w:type="dxa"/>
            <w:tcBorders>
              <w:top w:val="single" w:sz="4" w:space="0" w:color="A6A6A6" w:themeColor="background1" w:themeShade="A6"/>
              <w:bottom w:val="single" w:sz="4" w:space="0" w:color="auto"/>
            </w:tcBorders>
            <w:shd w:val="clear" w:color="auto" w:fill="auto"/>
          </w:tcPr>
          <w:p w:rsidR="00EF595D" w:rsidRPr="009E1E57" w:rsidRDefault="00EF595D" w:rsidP="00C8344F">
            <w:pPr>
              <w:pStyle w:val="TableText"/>
            </w:pPr>
            <w:r w:rsidRPr="009E1E57">
              <w:t>In progress</w:t>
            </w:r>
          </w:p>
        </w:tc>
        <w:tc>
          <w:tcPr>
            <w:tcW w:w="1612" w:type="dxa"/>
            <w:gridSpan w:val="2"/>
            <w:tcBorders>
              <w:top w:val="single" w:sz="4" w:space="0" w:color="A6A6A6" w:themeColor="background1" w:themeShade="A6"/>
              <w:bottom w:val="single" w:sz="4" w:space="0" w:color="auto"/>
              <w:right w:val="nil"/>
            </w:tcBorders>
            <w:shd w:val="clear" w:color="auto" w:fill="auto"/>
          </w:tcPr>
          <w:p w:rsidR="00EF595D" w:rsidRPr="009E1E57" w:rsidRDefault="00EF595D" w:rsidP="00C8344F">
            <w:pPr>
              <w:pStyle w:val="TableText"/>
            </w:pPr>
          </w:p>
        </w:tc>
      </w:tr>
    </w:tbl>
    <w:p w:rsidR="00EF595D" w:rsidRPr="009E1E57" w:rsidRDefault="00EF595D" w:rsidP="00C54FF0">
      <w:pPr>
        <w:pStyle w:val="Note"/>
      </w:pPr>
      <w:r w:rsidRPr="009E1E57">
        <w:t>*</w:t>
      </w:r>
      <w:r w:rsidR="00C54FF0">
        <w:tab/>
      </w:r>
      <w:r w:rsidRPr="009E1E57">
        <w:t>Pacific is defined using prioritised ethnicity</w:t>
      </w:r>
      <w:r w:rsidR="00C54FF0">
        <w:t>.</w:t>
      </w:r>
    </w:p>
    <w:p w:rsidR="00EF595D" w:rsidRPr="009E1E57" w:rsidRDefault="00EF595D" w:rsidP="00C54FF0">
      <w:pPr>
        <w:pStyle w:val="Note"/>
      </w:pPr>
      <w:r w:rsidRPr="009E1E57">
        <w:t>#</w:t>
      </w:r>
      <w:r w:rsidR="00C54FF0">
        <w:tab/>
      </w:r>
      <w:r w:rsidRPr="009E1E57">
        <w:t>Data for three month period to 31 May 2014</w:t>
      </w:r>
      <w:r w:rsidR="00C54FF0">
        <w:t>.</w:t>
      </w:r>
    </w:p>
    <w:p w:rsidR="00EF595D" w:rsidRPr="009E1E57" w:rsidRDefault="00EF595D" w:rsidP="00C54FF0"/>
    <w:p w:rsidR="00C54FF0" w:rsidRDefault="00C54FF0" w:rsidP="00C54FF0">
      <w:r>
        <w:br w:type="page"/>
      </w:r>
    </w:p>
    <w:p w:rsidR="00EF595D" w:rsidRPr="009E1E57" w:rsidRDefault="00EF595D" w:rsidP="00C54FF0">
      <w:pPr>
        <w:pStyle w:val="Heading1"/>
      </w:pPr>
      <w:bookmarkStart w:id="27" w:name="_Toc391539870"/>
      <w:r w:rsidRPr="009E1E57">
        <w:t>References</w:t>
      </w:r>
      <w:bookmarkEnd w:id="27"/>
    </w:p>
    <w:p w:rsidR="00EF595D" w:rsidRPr="009E1E57" w:rsidRDefault="00EF595D" w:rsidP="00C54FF0">
      <w:pPr>
        <w:pStyle w:val="References"/>
      </w:pPr>
      <w:r w:rsidRPr="009E1E57">
        <w:t xml:space="preserve">Barwick H. 2000. </w:t>
      </w:r>
      <w:r w:rsidRPr="00B070B3">
        <w:rPr>
          <w:i/>
        </w:rPr>
        <w:t>Improving Access to Primary Care for Māori and Pacific Peoples: A literature review</w:t>
      </w:r>
      <w:r w:rsidRPr="009E1E57">
        <w:t>. Wellington: Health Funding Authority.</w:t>
      </w:r>
    </w:p>
    <w:p w:rsidR="00EF595D" w:rsidRPr="009E1E57" w:rsidRDefault="00EF595D" w:rsidP="00C54FF0">
      <w:pPr>
        <w:pStyle w:val="References"/>
      </w:pPr>
      <w:r w:rsidRPr="009E1E57">
        <w:t xml:space="preserve">Cohen J, Gabriel BA, Terrell C. 2002. The case for diversity in the health care workforce. </w:t>
      </w:r>
      <w:r w:rsidRPr="00B070B3">
        <w:rPr>
          <w:i/>
        </w:rPr>
        <w:t>Health Affairs</w:t>
      </w:r>
      <w:r w:rsidRPr="009E1E57">
        <w:t xml:space="preserve"> 21(5): 90–102.</w:t>
      </w:r>
    </w:p>
    <w:p w:rsidR="00EF595D" w:rsidRPr="009E1E57" w:rsidRDefault="00EF595D" w:rsidP="00C54FF0">
      <w:pPr>
        <w:pStyle w:val="References"/>
      </w:pPr>
      <w:r w:rsidRPr="009E1E57">
        <w:t>Commission on Social</w:t>
      </w:r>
      <w:r w:rsidR="00085832">
        <w:t xml:space="preserve"> </w:t>
      </w:r>
      <w:r w:rsidRPr="009E1E57">
        <w:t xml:space="preserve">Determinants of Health. 2008. </w:t>
      </w:r>
      <w:r w:rsidRPr="00B070B3">
        <w:rPr>
          <w:i/>
        </w:rPr>
        <w:t>Closing the Gap in a Generation: Health equity through action on the social determinants of health. Final report of the Commission on Social Determinants of Health</w:t>
      </w:r>
      <w:r w:rsidRPr="009E1E57">
        <w:t>. Geneva:</w:t>
      </w:r>
      <w:r w:rsidR="00C54FF0">
        <w:t xml:space="preserve"> </w:t>
      </w:r>
      <w:r w:rsidRPr="009E1E57">
        <w:t>World</w:t>
      </w:r>
      <w:r w:rsidR="00085832">
        <w:t xml:space="preserve"> </w:t>
      </w:r>
      <w:r w:rsidRPr="009E1E57">
        <w:t>Health Organization.</w:t>
      </w:r>
    </w:p>
    <w:p w:rsidR="00EF595D" w:rsidRPr="009E1E57" w:rsidRDefault="00EF595D" w:rsidP="00C54FF0">
      <w:pPr>
        <w:pStyle w:val="References"/>
      </w:pPr>
      <w:r w:rsidRPr="009E1E57">
        <w:t xml:space="preserve">Dental Council of New Zealand. 2009. </w:t>
      </w:r>
      <w:r w:rsidRPr="00B070B3">
        <w:rPr>
          <w:i/>
        </w:rPr>
        <w:t>Dental Council Workforce Analysis</w:t>
      </w:r>
      <w:r w:rsidRPr="009E1E57">
        <w:t>.</w:t>
      </w:r>
      <w:r w:rsidR="00C54FF0">
        <w:t xml:space="preserve"> </w:t>
      </w:r>
      <w:r w:rsidRPr="009E1E57">
        <w:t xml:space="preserve">URL: </w:t>
      </w:r>
      <w:hyperlink r:id="rId20">
        <w:r w:rsidRPr="009E1E57">
          <w:t xml:space="preserve">www.dentalcouncil.org.nz/Documents/Reports/WorkforceAnalysis2009.pdf </w:t>
        </w:r>
      </w:hyperlink>
      <w:r w:rsidRPr="009E1E57">
        <w:t>(accessed 25 May 2014).</w:t>
      </w:r>
    </w:p>
    <w:p w:rsidR="00EF595D" w:rsidRPr="009E1E57" w:rsidRDefault="00EF595D" w:rsidP="00C54FF0">
      <w:pPr>
        <w:pStyle w:val="References"/>
      </w:pPr>
      <w:r w:rsidRPr="009E1E57">
        <w:t xml:space="preserve">Goodhead A, McDonald J. 2007. </w:t>
      </w:r>
      <w:r w:rsidRPr="00B070B3">
        <w:rPr>
          <w:i/>
        </w:rPr>
        <w:t>Informal Caregivers Literature Review: A report prepared for the National Health</w:t>
      </w:r>
      <w:r w:rsidR="00C54FF0" w:rsidRPr="00B070B3">
        <w:rPr>
          <w:i/>
        </w:rPr>
        <w:t xml:space="preserve"> </w:t>
      </w:r>
      <w:r w:rsidRPr="00B070B3">
        <w:rPr>
          <w:i/>
        </w:rPr>
        <w:t>Committee</w:t>
      </w:r>
      <w:r w:rsidRPr="009E1E57">
        <w:t>. Wellington: Health Services Research Centre, Victoria University of Wellington.</w:t>
      </w:r>
    </w:p>
    <w:p w:rsidR="00EF595D" w:rsidRPr="009E1E57" w:rsidRDefault="00EF595D" w:rsidP="00C54FF0">
      <w:pPr>
        <w:pStyle w:val="References"/>
      </w:pPr>
      <w:r w:rsidRPr="009E1E57">
        <w:t>Health Partners Consulting Group. 2012. Metro-Auckland Pacific Population Health Profile. Auckland: Health</w:t>
      </w:r>
      <w:r w:rsidR="00C54FF0">
        <w:t xml:space="preserve"> </w:t>
      </w:r>
      <w:r w:rsidRPr="009E1E57">
        <w:t>Partners Consulting Group Limited. Unpublished.</w:t>
      </w:r>
    </w:p>
    <w:p w:rsidR="00EF595D" w:rsidRPr="009E1E57" w:rsidRDefault="00EF595D" w:rsidP="00C54FF0">
      <w:pPr>
        <w:pStyle w:val="References"/>
      </w:pPr>
      <w:r w:rsidRPr="009E1E57">
        <w:t xml:space="preserve">Health Research Council of New Zealand. 2014. </w:t>
      </w:r>
      <w:r w:rsidRPr="00B070B3">
        <w:rPr>
          <w:i/>
        </w:rPr>
        <w:t>Pacific Health Research Guidelines</w:t>
      </w:r>
      <w:r w:rsidRPr="009E1E57">
        <w:t>. Auckland: New Zealand Health</w:t>
      </w:r>
      <w:r w:rsidR="00C54FF0">
        <w:t xml:space="preserve"> </w:t>
      </w:r>
      <w:r w:rsidRPr="009E1E57">
        <w:t>Research Council.</w:t>
      </w:r>
    </w:p>
    <w:p w:rsidR="00EF595D" w:rsidRPr="009E1E57" w:rsidRDefault="00EF595D" w:rsidP="00C54FF0">
      <w:pPr>
        <w:pStyle w:val="References"/>
      </w:pPr>
      <w:r w:rsidRPr="009E1E57">
        <w:t xml:space="preserve">Huakau G, Bray A. 2000. </w:t>
      </w:r>
      <w:r w:rsidRPr="00B070B3">
        <w:rPr>
          <w:i/>
        </w:rPr>
        <w:t>Talking Disabilities from a Pacific Perspective</w:t>
      </w:r>
      <w:r w:rsidRPr="009E1E57">
        <w:t>. Dunedin: Donald Beasley Institute. Kickbusch I, Wait S, Maag D. 2005. Navigating Health: The role of health literacy. London: Alliance for Health and</w:t>
      </w:r>
      <w:r w:rsidR="00C54FF0">
        <w:t xml:space="preserve"> </w:t>
      </w:r>
      <w:r w:rsidRPr="009E1E57">
        <w:t>the Future, International Longevity Centre-UK.</w:t>
      </w:r>
    </w:p>
    <w:p w:rsidR="00EF595D" w:rsidRPr="009E1E57" w:rsidRDefault="00EF595D" w:rsidP="00C54FF0">
      <w:pPr>
        <w:pStyle w:val="References"/>
      </w:pPr>
      <w:r w:rsidRPr="009E1E57">
        <w:t xml:space="preserve">Koloto AH. 2007. </w:t>
      </w:r>
      <w:r w:rsidRPr="00B070B3">
        <w:rPr>
          <w:i/>
        </w:rPr>
        <w:t>Pacific Housing Experiences: Developing trends and issues</w:t>
      </w:r>
      <w:r w:rsidRPr="009E1E57">
        <w:t>.</w:t>
      </w:r>
      <w:r w:rsidR="00085832">
        <w:t xml:space="preserve"> </w:t>
      </w:r>
      <w:r w:rsidRPr="009E1E57">
        <w:t>Wellington: Centre for Housing</w:t>
      </w:r>
      <w:r w:rsidR="00C54FF0">
        <w:t xml:space="preserve"> </w:t>
      </w:r>
      <w:r w:rsidRPr="009E1E57">
        <w:t>Research Aotearoa New Zealand and Ministry of Pacific Island Affairs.</w:t>
      </w:r>
    </w:p>
    <w:p w:rsidR="00EF595D" w:rsidRPr="009E1E57" w:rsidRDefault="00EF595D" w:rsidP="00C54FF0">
      <w:pPr>
        <w:pStyle w:val="References"/>
      </w:pPr>
      <w:r w:rsidRPr="009E1E57">
        <w:t xml:space="preserve">Medical Council of New Zealand. 2012. </w:t>
      </w:r>
      <w:r w:rsidRPr="00B070B3">
        <w:rPr>
          <w:i/>
        </w:rPr>
        <w:t>The New Zealand Medical Workforce in 2012</w:t>
      </w:r>
      <w:r w:rsidRPr="009E1E57">
        <w:t>. URL:</w:t>
      </w:r>
      <w:r w:rsidR="00C54FF0">
        <w:t xml:space="preserve"> </w:t>
      </w:r>
      <w:hyperlink r:id="rId21">
        <w:r w:rsidRPr="009E1E57">
          <w:t xml:space="preserve">https://www.mcnz.org.nz/assets/News-and-Publications/Workforce-Surveys/2012.pdf </w:t>
        </w:r>
      </w:hyperlink>
      <w:r w:rsidRPr="009E1E57">
        <w:t>(accessed 3</w:t>
      </w:r>
      <w:r w:rsidR="00C54FF0">
        <w:t> </w:t>
      </w:r>
      <w:r w:rsidRPr="009E1E57">
        <w:t>June 2014).</w:t>
      </w:r>
    </w:p>
    <w:p w:rsidR="00EF595D" w:rsidRPr="009E1E57" w:rsidRDefault="00EF595D" w:rsidP="00C54FF0">
      <w:pPr>
        <w:pStyle w:val="References"/>
      </w:pPr>
      <w:r w:rsidRPr="009E1E57">
        <w:t xml:space="preserve">Midwifery Council of New Zealand. 2012. </w:t>
      </w:r>
      <w:r w:rsidRPr="00B070B3">
        <w:rPr>
          <w:i/>
        </w:rPr>
        <w:t>2012 Midwifery Workforce Survey</w:t>
      </w:r>
      <w:r w:rsidRPr="009E1E57">
        <w:t xml:space="preserve">. URL: </w:t>
      </w:r>
      <w:hyperlink r:id="rId22">
        <w:r w:rsidRPr="009E1E57">
          <w:t xml:space="preserve">www.midwiferycouncil.health. </w:t>
        </w:r>
      </w:hyperlink>
      <w:hyperlink r:id="rId23">
        <w:r w:rsidRPr="009E1E57">
          <w:t xml:space="preserve">nz/images/stories/pdf/Publications/Workforce%20Survey%202012.pdf </w:t>
        </w:r>
      </w:hyperlink>
      <w:r w:rsidRPr="009E1E57">
        <w:t>(accessed 25 May 2013).</w:t>
      </w:r>
    </w:p>
    <w:p w:rsidR="00EF595D" w:rsidRPr="009E1E57" w:rsidRDefault="00EF595D" w:rsidP="00C54FF0">
      <w:pPr>
        <w:pStyle w:val="References"/>
      </w:pPr>
      <w:r w:rsidRPr="009E1E57">
        <w:t xml:space="preserve">Minister of Health. 2003. </w:t>
      </w:r>
      <w:r w:rsidRPr="00B070B3">
        <w:rPr>
          <w:i/>
        </w:rPr>
        <w:t>Improving Quality (IQ): A systems approach for the New Zealand health and disability sector</w:t>
      </w:r>
      <w:r w:rsidRPr="009E1E57">
        <w:t>. Wellington: Ministry of Health.</w:t>
      </w:r>
    </w:p>
    <w:p w:rsidR="00EF595D" w:rsidRPr="009E1E57" w:rsidRDefault="00EF595D" w:rsidP="00C54FF0">
      <w:pPr>
        <w:pStyle w:val="References"/>
      </w:pPr>
      <w:r w:rsidRPr="009E1E57">
        <w:t xml:space="preserve">Ministry of Health. 2008. </w:t>
      </w:r>
      <w:r w:rsidRPr="00B070B3">
        <w:rPr>
          <w:i/>
        </w:rPr>
        <w:t>Improving Quality of Care for Pacific Peoples</w:t>
      </w:r>
      <w:r w:rsidRPr="009E1E57">
        <w:t>. Wellington: Ministry of Health.</w:t>
      </w:r>
    </w:p>
    <w:p w:rsidR="00EF595D" w:rsidRPr="009E1E57" w:rsidRDefault="00EF595D" w:rsidP="00C54FF0">
      <w:pPr>
        <w:pStyle w:val="References"/>
      </w:pPr>
      <w:r w:rsidRPr="009E1E57">
        <w:t xml:space="preserve">Ministry of Health. 2010a. </w:t>
      </w:r>
      <w:r w:rsidRPr="00B070B3">
        <w:rPr>
          <w:i/>
        </w:rPr>
        <w:t>Kōrero Mārama: Health literacy and Māori results from the 2006 Adult Literacy and Life</w:t>
      </w:r>
      <w:r w:rsidR="00C54FF0" w:rsidRPr="00B070B3">
        <w:rPr>
          <w:i/>
        </w:rPr>
        <w:t xml:space="preserve"> </w:t>
      </w:r>
      <w:r w:rsidRPr="00B070B3">
        <w:rPr>
          <w:i/>
        </w:rPr>
        <w:t>Skills Survey</w:t>
      </w:r>
      <w:r w:rsidRPr="009E1E57">
        <w:t>. Wellington: Ministry of Health.</w:t>
      </w:r>
    </w:p>
    <w:p w:rsidR="00EF595D" w:rsidRPr="009E1E57" w:rsidRDefault="00EF595D" w:rsidP="00C54FF0">
      <w:pPr>
        <w:pStyle w:val="References"/>
      </w:pPr>
      <w:r w:rsidRPr="009E1E57">
        <w:t xml:space="preserve">Ministry of Health. 2010b. </w:t>
      </w:r>
      <w:r w:rsidRPr="00B070B3">
        <w:rPr>
          <w:i/>
        </w:rPr>
        <w:t>Lalaga: Pacific Providers Making a Difference</w:t>
      </w:r>
      <w:r w:rsidRPr="009E1E57">
        <w:t>. Wellington: Ministry of Health. Ministry of Health. 2010c. Whānau Ora Integrated Service Delivery. Wellington: Ministry of Health.</w:t>
      </w:r>
    </w:p>
    <w:p w:rsidR="00EF595D" w:rsidRPr="009E1E57" w:rsidRDefault="00EF595D" w:rsidP="00C54FF0">
      <w:pPr>
        <w:pStyle w:val="References"/>
      </w:pPr>
      <w:r w:rsidRPr="009E1E57">
        <w:t xml:space="preserve">Ministry of Health. 2012a. </w:t>
      </w:r>
      <w:r w:rsidRPr="00B070B3">
        <w:rPr>
          <w:i/>
        </w:rPr>
        <w:t>Rising to the Challenge: The Mental Health and Addiction Service Development Plan</w:t>
      </w:r>
      <w:r w:rsidR="00C54FF0" w:rsidRPr="00B070B3">
        <w:rPr>
          <w:i/>
        </w:rPr>
        <w:t xml:space="preserve"> </w:t>
      </w:r>
      <w:r w:rsidRPr="00B070B3">
        <w:rPr>
          <w:i/>
        </w:rPr>
        <w:t>2012–2017</w:t>
      </w:r>
      <w:r w:rsidRPr="009E1E57">
        <w:t>. Wellington: Ministry of Health.</w:t>
      </w:r>
    </w:p>
    <w:p w:rsidR="00EF595D" w:rsidRPr="009E1E57" w:rsidRDefault="00EF595D" w:rsidP="00C54FF0">
      <w:pPr>
        <w:pStyle w:val="References"/>
      </w:pPr>
      <w:r w:rsidRPr="009E1E57">
        <w:t xml:space="preserve">Ministry of Health. 2012b. </w:t>
      </w:r>
      <w:r w:rsidRPr="00B070B3">
        <w:rPr>
          <w:i/>
        </w:rPr>
        <w:t>Tupu Ola Moui: Pacific Health Chart Book 2012</w:t>
      </w:r>
      <w:r w:rsidRPr="009E1E57">
        <w:t>. Wellington: Ministry of Health. Ministry of Health. 2013. New Zealand Health Survey: Annual update of key findings 2012/13. Wellington: Ministry</w:t>
      </w:r>
      <w:r w:rsidR="00C54FF0">
        <w:t xml:space="preserve"> </w:t>
      </w:r>
      <w:r w:rsidRPr="009E1E57">
        <w:t>of Health.</w:t>
      </w:r>
    </w:p>
    <w:p w:rsidR="00EF595D" w:rsidRPr="009E1E57" w:rsidRDefault="00EF595D" w:rsidP="00C54FF0">
      <w:pPr>
        <w:pStyle w:val="References"/>
      </w:pPr>
      <w:r w:rsidRPr="009E1E57">
        <w:t xml:space="preserve">Ministry of Pacific Island Affairs. 1999. </w:t>
      </w:r>
      <w:r w:rsidRPr="00B070B3">
        <w:rPr>
          <w:i/>
        </w:rPr>
        <w:t>Pacific Directions Report: Social and economic prosperity for Pacific peoples</w:t>
      </w:r>
      <w:r w:rsidRPr="009E1E57">
        <w:t>.</w:t>
      </w:r>
      <w:r w:rsidR="00C54FF0">
        <w:t xml:space="preserve"> </w:t>
      </w:r>
      <w:r w:rsidRPr="009E1E57">
        <w:t>Wellington: Ministry of Pacific Island Affairs.</w:t>
      </w:r>
    </w:p>
    <w:p w:rsidR="00EF595D" w:rsidRPr="009E1E57" w:rsidRDefault="00EF595D" w:rsidP="00C54FF0">
      <w:pPr>
        <w:pStyle w:val="References"/>
      </w:pPr>
      <w:r w:rsidRPr="009E1E57">
        <w:t>Ministry of Social</w:t>
      </w:r>
      <w:r w:rsidR="00085832">
        <w:t xml:space="preserve"> </w:t>
      </w:r>
      <w:r w:rsidRPr="009E1E57">
        <w:t xml:space="preserve">Development. 2012a. </w:t>
      </w:r>
      <w:r w:rsidRPr="00B070B3">
        <w:rPr>
          <w:i/>
        </w:rPr>
        <w:t>Nga Vaka o K</w:t>
      </w:r>
      <w:r w:rsidR="005F5B6B">
        <w:rPr>
          <w:i/>
        </w:rPr>
        <w:t>ā</w:t>
      </w:r>
      <w:r w:rsidRPr="00B070B3">
        <w:rPr>
          <w:i/>
        </w:rPr>
        <w:t>iga Tapu. A Pacific cultural framework to address family violence in New Zealand</w:t>
      </w:r>
      <w:r w:rsidRPr="009E1E57">
        <w:t>. Wellington: Ministry of Social</w:t>
      </w:r>
      <w:r w:rsidR="00085832">
        <w:t xml:space="preserve"> </w:t>
      </w:r>
      <w:r w:rsidRPr="009E1E57">
        <w:t>Development.</w:t>
      </w:r>
    </w:p>
    <w:p w:rsidR="00EF595D" w:rsidRPr="009E1E57" w:rsidRDefault="00EF595D" w:rsidP="00C54FF0">
      <w:pPr>
        <w:pStyle w:val="References"/>
      </w:pPr>
      <w:r w:rsidRPr="009E1E57">
        <w:t>Ministry of Social</w:t>
      </w:r>
      <w:r w:rsidR="00085832">
        <w:t xml:space="preserve"> </w:t>
      </w:r>
      <w:r w:rsidRPr="009E1E57">
        <w:t xml:space="preserve">Development. 2012b. </w:t>
      </w:r>
      <w:r w:rsidRPr="00B070B3">
        <w:rPr>
          <w:i/>
        </w:rPr>
        <w:t>Turanga Māori: A Cook Islands conceptual framework transforming family violence – restoring wellbeing</w:t>
      </w:r>
      <w:r w:rsidRPr="009E1E57">
        <w:t>. Wellington: Ministry of Social</w:t>
      </w:r>
      <w:r w:rsidR="00085832">
        <w:t xml:space="preserve"> </w:t>
      </w:r>
      <w:r w:rsidRPr="009E1E57">
        <w:t>Development.</w:t>
      </w:r>
    </w:p>
    <w:p w:rsidR="00EF595D" w:rsidRPr="009E1E57" w:rsidRDefault="00EF595D" w:rsidP="00C54FF0">
      <w:pPr>
        <w:pStyle w:val="References"/>
      </w:pPr>
      <w:r w:rsidRPr="009E1E57">
        <w:t xml:space="preserve">National Health Board. 2010. </w:t>
      </w:r>
      <w:r w:rsidRPr="00B070B3">
        <w:rPr>
          <w:i/>
        </w:rPr>
        <w:t>Faiva Ora National Pasifika Disability Plan 2010–2013</w:t>
      </w:r>
      <w:r w:rsidRPr="009E1E57">
        <w:t>. Wellington: Ministry of</w:t>
      </w:r>
      <w:r w:rsidR="00C54FF0">
        <w:t xml:space="preserve"> </w:t>
      </w:r>
      <w:r w:rsidRPr="009E1E57">
        <w:t>Health.</w:t>
      </w:r>
    </w:p>
    <w:p w:rsidR="00EF595D" w:rsidRPr="009E1E57" w:rsidRDefault="00EF595D" w:rsidP="00C54FF0">
      <w:pPr>
        <w:pStyle w:val="References"/>
      </w:pPr>
      <w:r w:rsidRPr="009E1E57">
        <w:t>New Zealand Qualifications Authority. 2014. PRS Team, Data and Data Management, NZQA, EQ_PROD_IQ15 stats, dw_May_2014, run 26 May 2014.</w:t>
      </w:r>
    </w:p>
    <w:p w:rsidR="00EF595D" w:rsidRPr="009E1E57" w:rsidRDefault="00EF595D" w:rsidP="00C54FF0">
      <w:pPr>
        <w:pStyle w:val="References"/>
      </w:pPr>
      <w:r w:rsidRPr="009E1E57">
        <w:t xml:space="preserve">Nursing Council of New Zealand. 2013. </w:t>
      </w:r>
      <w:r w:rsidRPr="00B070B3">
        <w:rPr>
          <w:i/>
        </w:rPr>
        <w:t>The New Zealand Nursing Workforce. A profile of nurse practitioners, registered nurses, and enrolled nurses 2012–2013</w:t>
      </w:r>
      <w:r w:rsidRPr="009E1E57">
        <w:t>. Wellington: Nursing Council of New Zealand.</w:t>
      </w:r>
    </w:p>
    <w:p w:rsidR="00EF595D" w:rsidRPr="009E1E57" w:rsidRDefault="00EF595D" w:rsidP="00C54FF0">
      <w:pPr>
        <w:pStyle w:val="References"/>
      </w:pPr>
      <w:r w:rsidRPr="009E1E57">
        <w:t xml:space="preserve">Pacific Health Research Centre. 2003. </w:t>
      </w:r>
      <w:r w:rsidRPr="00B070B3">
        <w:rPr>
          <w:i/>
        </w:rPr>
        <w:t>The Pacific Island Primary Health Care Utilisation Study</w:t>
      </w:r>
      <w:r w:rsidRPr="009E1E57">
        <w:t>. Auckland: Pacific</w:t>
      </w:r>
      <w:r w:rsidR="00C54FF0">
        <w:t xml:space="preserve"> </w:t>
      </w:r>
      <w:r w:rsidRPr="009E1E57">
        <w:t xml:space="preserve">Health Research Centre, </w:t>
      </w:r>
      <w:r w:rsidR="00CB2CFC">
        <w:t xml:space="preserve">The </w:t>
      </w:r>
      <w:r w:rsidRPr="009E1E57">
        <w:t>University of Auckland.</w:t>
      </w:r>
    </w:p>
    <w:p w:rsidR="00EF595D" w:rsidRPr="009E1E57" w:rsidRDefault="00EF595D" w:rsidP="00C54FF0">
      <w:pPr>
        <w:pStyle w:val="References"/>
      </w:pPr>
      <w:r w:rsidRPr="009E1E57">
        <w:t xml:space="preserve">Pacific Perspectives. 2010. </w:t>
      </w:r>
      <w:r w:rsidRPr="00B070B3">
        <w:rPr>
          <w:i/>
        </w:rPr>
        <w:t>Increasing the Participation of Pacific People in Health Surveys</w:t>
      </w:r>
      <w:r w:rsidRPr="009E1E57">
        <w:t>. Prepared for the</w:t>
      </w:r>
      <w:r w:rsidR="00C54FF0">
        <w:t xml:space="preserve"> </w:t>
      </w:r>
      <w:r w:rsidRPr="009E1E57">
        <w:t>Ministry of Health. Wellington.</w:t>
      </w:r>
    </w:p>
    <w:p w:rsidR="00EF595D" w:rsidRPr="009E1E57" w:rsidRDefault="00EF595D" w:rsidP="00C54FF0">
      <w:pPr>
        <w:pStyle w:val="References"/>
      </w:pPr>
      <w:r w:rsidRPr="009E1E57">
        <w:t>Pacific Perspectives. 2012. Pacific Health Workforce Service Forecast. Report to Health Workforce New Zealand and the Ministry of Health. Unpublished.</w:t>
      </w:r>
    </w:p>
    <w:p w:rsidR="00EF595D" w:rsidRPr="009E1E57" w:rsidRDefault="00EF595D" w:rsidP="00C54FF0">
      <w:pPr>
        <w:pStyle w:val="References"/>
      </w:pPr>
      <w:r w:rsidRPr="009E1E57">
        <w:t xml:space="preserve">Paterson J, Cowley ET, Percival T, et al. 2004. Pregnancy planning by mothers of Pacific infants recently delivered at Middlemore Hospital. </w:t>
      </w:r>
      <w:r w:rsidRPr="00B070B3">
        <w:rPr>
          <w:i/>
        </w:rPr>
        <w:t>Journal of the New Zealand Medical Association</w:t>
      </w:r>
      <w:r w:rsidRPr="009E1E57">
        <w:t xml:space="preserve"> 117:</w:t>
      </w:r>
      <w:r w:rsidR="00B070B3">
        <w:t> </w:t>
      </w:r>
      <w:r w:rsidRPr="009E1E57">
        <w:t>1188.</w:t>
      </w:r>
    </w:p>
    <w:p w:rsidR="00EF595D" w:rsidRPr="009E1E57" w:rsidRDefault="00EF595D" w:rsidP="00C54FF0">
      <w:pPr>
        <w:pStyle w:val="References"/>
      </w:pPr>
      <w:r w:rsidRPr="009E1E57">
        <w:t xml:space="preserve">Pharmacy Council of New Zealand. 2013. Workforce Demographics as at 30 June 2013. URL: </w:t>
      </w:r>
      <w:hyperlink r:id="rId24">
        <w:r w:rsidRPr="009E1E57">
          <w:t>www.pharmacycouncil.org.nz/cms_show_</w:t>
        </w:r>
      </w:hyperlink>
    </w:p>
    <w:p w:rsidR="00EF595D" w:rsidRPr="009E1E57" w:rsidRDefault="00EF595D" w:rsidP="00C54FF0">
      <w:pPr>
        <w:pStyle w:val="References"/>
      </w:pPr>
      <w:r w:rsidRPr="009E1E57">
        <w:t xml:space="preserve">Samu K, Ulugia-Veukiso A, Perese L, et al. 2009. </w:t>
      </w:r>
      <w:r w:rsidRPr="00B070B3">
        <w:rPr>
          <w:i/>
        </w:rPr>
        <w:t>Pacific Non-regulated Health Workforce Study Phase 1: Executive summary</w:t>
      </w:r>
      <w:r w:rsidRPr="009E1E57">
        <w:t xml:space="preserve">. Auckland: </w:t>
      </w:r>
      <w:r w:rsidR="00CB2CFC">
        <w:t xml:space="preserve">The </w:t>
      </w:r>
      <w:r w:rsidRPr="009E1E57">
        <w:t>University of Auckland.</w:t>
      </w:r>
    </w:p>
    <w:p w:rsidR="00EF595D" w:rsidRPr="009E1E57" w:rsidRDefault="00EF595D" w:rsidP="00C54FF0">
      <w:pPr>
        <w:pStyle w:val="References"/>
      </w:pPr>
      <w:r w:rsidRPr="009E1E57">
        <w:t xml:space="preserve">Southwick M, Kenealy T, Ryan D. 2012. </w:t>
      </w:r>
      <w:r w:rsidRPr="00B070B3">
        <w:rPr>
          <w:i/>
        </w:rPr>
        <w:t>Primary Care for Pacific People: A Pacific health and systems approach</w:t>
      </w:r>
      <w:r w:rsidRPr="009E1E57">
        <w:t>.</w:t>
      </w:r>
      <w:r w:rsidR="00C54FF0">
        <w:t xml:space="preserve"> </w:t>
      </w:r>
      <w:r w:rsidRPr="009E1E57">
        <w:t>Report to the Health Research Council and the Ministry of Health.</w:t>
      </w:r>
    </w:p>
    <w:p w:rsidR="00EF595D" w:rsidRPr="009E1E57" w:rsidRDefault="00EF595D" w:rsidP="00C54FF0">
      <w:pPr>
        <w:pStyle w:val="References"/>
      </w:pPr>
      <w:r w:rsidRPr="009E1E57">
        <w:t xml:space="preserve">Statistics New Zealand. 2013. Health and Pacific Peoples in New Zealand. Summary. URL: </w:t>
      </w:r>
      <w:hyperlink r:id="rId25">
        <w:r w:rsidRPr="009E1E57">
          <w:t>www.stats.govt.nz/</w:t>
        </w:r>
      </w:hyperlink>
      <w:hyperlink r:id="rId26">
        <w:r w:rsidRPr="009E1E57">
          <w:t xml:space="preserve">browse_for_stats/people_and_communities/pacific_peoples/pacific-progress-health/summary.aspx </w:t>
        </w:r>
      </w:hyperlink>
      <w:r w:rsidRPr="009E1E57">
        <w:t>(accessed 31</w:t>
      </w:r>
      <w:r w:rsidR="00C54FF0">
        <w:t xml:space="preserve"> </w:t>
      </w:r>
      <w:r w:rsidRPr="009E1E57">
        <w:t>May 2014).</w:t>
      </w:r>
    </w:p>
    <w:p w:rsidR="00EF595D" w:rsidRPr="009E1E57" w:rsidRDefault="00EF595D" w:rsidP="00C54FF0">
      <w:pPr>
        <w:pStyle w:val="References"/>
      </w:pPr>
      <w:r w:rsidRPr="009E1E57">
        <w:t xml:space="preserve">Tait R. 2009. </w:t>
      </w:r>
      <w:r w:rsidRPr="00B070B3">
        <w:rPr>
          <w:i/>
        </w:rPr>
        <w:t>An Outcomes Framework for Pacific Peoples in New Zealand: Report for the Ministry of Pacific Island Affairs</w:t>
      </w:r>
      <w:r w:rsidRPr="009E1E57">
        <w:t xml:space="preserve">. URL: </w:t>
      </w:r>
      <w:hyperlink r:id="rId27">
        <w:r w:rsidRPr="009E1E57">
          <w:t xml:space="preserve">www.mpia.govt.nz/resources/pdfs/news-publications/Framework%20report%20-%20final.pdf </w:t>
        </w:r>
      </w:hyperlink>
      <w:r w:rsidRPr="009E1E57">
        <w:t>(accessed 29 May 2009).</w:t>
      </w:r>
    </w:p>
    <w:p w:rsidR="00EF595D" w:rsidRPr="009E1E57" w:rsidRDefault="00EF595D" w:rsidP="00C54FF0">
      <w:pPr>
        <w:pStyle w:val="References"/>
      </w:pPr>
      <w:r w:rsidRPr="009E1E57">
        <w:t xml:space="preserve">Tamasese TK, Parsons TL, Sullivan G, </w:t>
      </w:r>
      <w:r w:rsidR="00B070B3">
        <w:t>et al</w:t>
      </w:r>
      <w:r w:rsidRPr="009E1E57">
        <w:t>. 2010. A Qualitative Study into Pacific Perspectives on</w:t>
      </w:r>
      <w:r w:rsidR="00C54FF0">
        <w:t xml:space="preserve"> </w:t>
      </w:r>
      <w:r w:rsidRPr="009E1E57">
        <w:t>Cultural Obligation and Volunteering. Pacific Section and the Family Centre Social</w:t>
      </w:r>
      <w:r w:rsidR="00085832">
        <w:t xml:space="preserve"> </w:t>
      </w:r>
      <w:r w:rsidRPr="009E1E57">
        <w:t>Policy Research Unit.</w:t>
      </w:r>
      <w:r w:rsidR="00C54FF0">
        <w:t xml:space="preserve"> </w:t>
      </w:r>
      <w:r w:rsidRPr="009E1E57">
        <w:t xml:space="preserve">URL: </w:t>
      </w:r>
      <w:hyperlink r:id="rId28" w:anchor="q%3DA%2BQualitative%2B%2BStudy%2Binto%2BPacific%2Bperspectives%2Bon%2Bcultural%2Bobligation%2Band%2Bvolunt">
        <w:r w:rsidRPr="009E1E57">
          <w:t>www.google.co.nz/#q=A+Qualitative++Study+into+Pacific+perspectives+on+cultural+obligation+and+volunt</w:t>
        </w:r>
      </w:hyperlink>
      <w:r w:rsidRPr="009E1E57">
        <w:t>eering&amp;safe=vss (accessed 3 June 2014).</w:t>
      </w:r>
    </w:p>
    <w:p w:rsidR="00EF595D" w:rsidRPr="009E1E57" w:rsidRDefault="00EF595D" w:rsidP="00C54FF0">
      <w:pPr>
        <w:pStyle w:val="References"/>
      </w:pPr>
      <w:r w:rsidRPr="009E1E57">
        <w:t>Taumoefolau M. 2012. Respect, solidarity, and resilience in Pacific worldviews: a counseling perspective. In M Agee et al (eds),</w:t>
      </w:r>
      <w:r w:rsidR="00085832">
        <w:t xml:space="preserve"> </w:t>
      </w:r>
      <w:r w:rsidRPr="00B070B3">
        <w:rPr>
          <w:i/>
        </w:rPr>
        <w:t>Pacific Identities and Well-being: Cross-cultural perspectives</w:t>
      </w:r>
      <w:r w:rsidRPr="009E1E57">
        <w:t>. London: Routledge.</w:t>
      </w:r>
    </w:p>
    <w:p w:rsidR="00EF595D" w:rsidRPr="009E1E57" w:rsidRDefault="00EF595D" w:rsidP="00C54FF0">
      <w:pPr>
        <w:pStyle w:val="References"/>
      </w:pPr>
      <w:r w:rsidRPr="009E1E57">
        <w:t xml:space="preserve">Tiatia J. 2008. </w:t>
      </w:r>
      <w:r w:rsidRPr="00B070B3">
        <w:rPr>
          <w:i/>
        </w:rPr>
        <w:t>Pacific Cultural Competencies: A literature review</w:t>
      </w:r>
      <w:r w:rsidRPr="009E1E57">
        <w:t>. Wellington: Ministry of Health.</w:t>
      </w:r>
    </w:p>
    <w:p w:rsidR="00B070B3" w:rsidRDefault="00EF595D" w:rsidP="00C54FF0">
      <w:pPr>
        <w:pStyle w:val="References"/>
      </w:pPr>
      <w:r w:rsidRPr="009E1E57">
        <w:t xml:space="preserve">Tiatia J, Foliaki L. 2005. </w:t>
      </w:r>
      <w:r w:rsidRPr="00B070B3">
        <w:rPr>
          <w:i/>
        </w:rPr>
        <w:t>Draft 4: Pacific Cultural Competencies Framework for District Health Boards</w:t>
      </w:r>
      <w:r w:rsidRPr="009E1E57">
        <w:t>. Unpublished.</w:t>
      </w:r>
    </w:p>
    <w:p w:rsidR="00EF595D" w:rsidRPr="009E1E57" w:rsidRDefault="00EF595D" w:rsidP="00C54FF0">
      <w:pPr>
        <w:pStyle w:val="References"/>
      </w:pPr>
      <w:r w:rsidRPr="009E1E57">
        <w:t>Tobias M, Yeh L. 2009. How much does health care contribute to health gain and to health inequality? Trends in</w:t>
      </w:r>
      <w:r w:rsidR="00C54FF0">
        <w:t xml:space="preserve"> </w:t>
      </w:r>
      <w:r w:rsidRPr="009E1E57">
        <w:t xml:space="preserve">amenable mortality in New Zealand 1981–2004. </w:t>
      </w:r>
      <w:r w:rsidRPr="00B070B3">
        <w:rPr>
          <w:i/>
        </w:rPr>
        <w:t>Australian and New Zealand Journal of Public Health</w:t>
      </w:r>
      <w:r w:rsidRPr="009E1E57">
        <w:t xml:space="preserve"> 33(1): 70–8.</w:t>
      </w:r>
    </w:p>
    <w:p w:rsidR="00EF595D" w:rsidRPr="009E1E57" w:rsidRDefault="00EF595D" w:rsidP="00C54FF0">
      <w:pPr>
        <w:pStyle w:val="References"/>
      </w:pPr>
      <w:r w:rsidRPr="009E1E57">
        <w:t xml:space="preserve">Tukuitonga, C. 2012. Pacific Island health: Causes of poor health. </w:t>
      </w:r>
      <w:r w:rsidRPr="00B070B3">
        <w:rPr>
          <w:i/>
        </w:rPr>
        <w:t>Te Ara – The Encyclopedia of New Zealand</w:t>
      </w:r>
      <w:r w:rsidRPr="009E1E57">
        <w:t>, updated 13 July 2012.</w:t>
      </w:r>
    </w:p>
    <w:p w:rsidR="00EF595D" w:rsidRPr="009E1E57" w:rsidRDefault="00EF595D" w:rsidP="00C54FF0">
      <w:pPr>
        <w:pStyle w:val="References"/>
      </w:pPr>
      <w:r w:rsidRPr="009E1E57">
        <w:t xml:space="preserve">United States Department of Health and Human Services. 2006. </w:t>
      </w:r>
      <w:r w:rsidRPr="00B070B3">
        <w:rPr>
          <w:i/>
        </w:rPr>
        <w:t>The Rationale for Diversity in the Health</w:t>
      </w:r>
      <w:r w:rsidR="00C54FF0" w:rsidRPr="00B070B3">
        <w:rPr>
          <w:i/>
        </w:rPr>
        <w:t xml:space="preserve"> </w:t>
      </w:r>
      <w:r w:rsidRPr="00B070B3">
        <w:rPr>
          <w:i/>
        </w:rPr>
        <w:t>Professions: A review of the evidence</w:t>
      </w:r>
      <w:r w:rsidRPr="009E1E57">
        <w:t>. URL: ftp://ftp.hrsa.gov/bhpr/workforce/diversity.pdf (accessed 22 April 2009). Whānau Ora Commissioning Agency for Pacific Families. 2013. Request for Proposals. Released 23 August.</w:t>
      </w:r>
    </w:p>
    <w:p w:rsidR="00EF595D" w:rsidRPr="009E1E57" w:rsidRDefault="00EF595D" w:rsidP="00C54FF0">
      <w:pPr>
        <w:pStyle w:val="References"/>
      </w:pPr>
      <w:r w:rsidRPr="009E1E57">
        <w:t>Zanchetta MS, Poureslami IM. 2006. Health literacy within the reality of immigrants’ culture and language.</w:t>
      </w:r>
      <w:r w:rsidR="00C54FF0">
        <w:t xml:space="preserve"> </w:t>
      </w:r>
      <w:r w:rsidRPr="00B070B3">
        <w:rPr>
          <w:i/>
        </w:rPr>
        <w:t>Canadian Journal of Public Health</w:t>
      </w:r>
      <w:r w:rsidRPr="009E1E57">
        <w:t xml:space="preserve"> 97(2): 26–30.</w:t>
      </w:r>
    </w:p>
    <w:p w:rsidR="00EF595D" w:rsidRPr="009E1E57" w:rsidRDefault="00EF595D" w:rsidP="00C54FF0">
      <w:pPr>
        <w:pStyle w:val="References"/>
      </w:pPr>
      <w:r w:rsidRPr="009E1E57">
        <w:t xml:space="preserve">Zurn P, Dumont JC. 2008. </w:t>
      </w:r>
      <w:r w:rsidRPr="00B070B3">
        <w:rPr>
          <w:i/>
        </w:rPr>
        <w:t>Health Workforce and International Migration: Can New Zealand compete?</w:t>
      </w:r>
      <w:r w:rsidRPr="009E1E57">
        <w:t xml:space="preserve"> OECD Health working paper No. 33. URL: </w:t>
      </w:r>
      <w:hyperlink r:id="rId29">
        <w:r w:rsidRPr="009E1E57">
          <w:t>www.oecd.org/dataoecd/46/41/40673065.pdf (accessed 23 March 2009</w:t>
        </w:r>
      </w:hyperlink>
      <w:r w:rsidRPr="009E1E57">
        <w:t>).</w:t>
      </w:r>
    </w:p>
    <w:p w:rsidR="00EF595D" w:rsidRPr="009E1E57" w:rsidRDefault="00EF595D" w:rsidP="00C54FF0"/>
    <w:p w:rsidR="00C54FF0" w:rsidRDefault="00C54FF0" w:rsidP="00C54FF0">
      <w:r>
        <w:br w:type="page"/>
      </w:r>
    </w:p>
    <w:p w:rsidR="00EF595D" w:rsidRPr="009E1E57" w:rsidRDefault="00EF595D" w:rsidP="00C54FF0">
      <w:pPr>
        <w:pStyle w:val="Heading1"/>
      </w:pPr>
      <w:bookmarkStart w:id="28" w:name="_Toc391539871"/>
      <w:r w:rsidRPr="009E1E57">
        <w:t>Appendix 1: Workforce tables</w:t>
      </w:r>
      <w:bookmarkEnd w:id="28"/>
    </w:p>
    <w:p w:rsidR="00EF595D" w:rsidRPr="009E1E57" w:rsidRDefault="00EF595D" w:rsidP="0037227B">
      <w:pPr>
        <w:pStyle w:val="Table"/>
      </w:pPr>
      <w:bookmarkStart w:id="29" w:name="_Toc391539875"/>
      <w:r w:rsidRPr="009E1E57">
        <w:t>Table A1: Distribution of Pacific in the medical workforce,</w:t>
      </w:r>
      <w:r w:rsidRPr="00A352CF">
        <w:rPr>
          <w:vertAlign w:val="superscript"/>
        </w:rPr>
        <w:t>+</w:t>
      </w:r>
      <w:r w:rsidRPr="00A352CF">
        <w:t xml:space="preserve"> </w:t>
      </w:r>
      <w:r w:rsidRPr="009E1E57">
        <w:t>2012</w:t>
      </w:r>
      <w:bookmarkEnd w:id="29"/>
    </w:p>
    <w:tbl>
      <w:tblPr>
        <w:tblW w:w="0" w:type="auto"/>
        <w:tblInd w:w="57" w:type="dxa"/>
        <w:tblBorders>
          <w:top w:val="single" w:sz="4" w:space="0" w:color="auto"/>
          <w:bottom w:val="single" w:sz="4" w:space="0" w:color="auto"/>
          <w:insideH w:val="single" w:sz="4" w:space="0" w:color="auto"/>
        </w:tblBorders>
        <w:tblLayout w:type="fixed"/>
        <w:tblCellMar>
          <w:left w:w="57" w:type="dxa"/>
          <w:right w:w="57" w:type="dxa"/>
        </w:tblCellMar>
        <w:tblLook w:val="01E0" w:firstRow="1" w:lastRow="1" w:firstColumn="1" w:lastColumn="1" w:noHBand="0" w:noVBand="0"/>
      </w:tblPr>
      <w:tblGrid>
        <w:gridCol w:w="2268"/>
        <w:gridCol w:w="1843"/>
        <w:gridCol w:w="1843"/>
      </w:tblGrid>
      <w:tr w:rsidR="00EF595D" w:rsidRPr="009E1E57" w:rsidTr="00634196">
        <w:trPr>
          <w:cantSplit/>
        </w:trPr>
        <w:tc>
          <w:tcPr>
            <w:tcW w:w="2268" w:type="dxa"/>
            <w:tcBorders>
              <w:right w:val="nil"/>
            </w:tcBorders>
          </w:tcPr>
          <w:p w:rsidR="00EF595D" w:rsidRPr="009E1E57" w:rsidRDefault="00A352CF" w:rsidP="00A352CF">
            <w:pPr>
              <w:pStyle w:val="TableText"/>
              <w:rPr>
                <w:rFonts w:eastAsia="Arial" w:cs="Arial"/>
                <w:szCs w:val="18"/>
              </w:rPr>
            </w:pPr>
            <w:r>
              <w:rPr>
                <w:rFonts w:eastAsia="Arial" w:cs="Arial"/>
                <w:b/>
                <w:bCs/>
                <w:szCs w:val="18"/>
              </w:rPr>
              <w:t>P</w:t>
            </w:r>
            <w:r w:rsidR="00EF595D" w:rsidRPr="009E1E57">
              <w:rPr>
                <w:rFonts w:eastAsia="Arial" w:cs="Arial"/>
                <w:b/>
                <w:bCs/>
                <w:szCs w:val="18"/>
              </w:rPr>
              <w:t>osition</w:t>
            </w:r>
          </w:p>
        </w:tc>
        <w:tc>
          <w:tcPr>
            <w:tcW w:w="1843" w:type="dxa"/>
            <w:tcBorders>
              <w:left w:val="nil"/>
              <w:right w:val="nil"/>
            </w:tcBorders>
          </w:tcPr>
          <w:p w:rsidR="00EF595D" w:rsidRPr="00A352CF" w:rsidRDefault="00EF595D" w:rsidP="00A352CF">
            <w:pPr>
              <w:pStyle w:val="TableText"/>
              <w:jc w:val="center"/>
              <w:rPr>
                <w:b/>
              </w:rPr>
            </w:pPr>
            <w:r w:rsidRPr="00A352CF">
              <w:rPr>
                <w:b/>
              </w:rPr>
              <w:t>Number</w:t>
            </w:r>
          </w:p>
        </w:tc>
        <w:tc>
          <w:tcPr>
            <w:tcW w:w="1843" w:type="dxa"/>
            <w:tcBorders>
              <w:left w:val="nil"/>
            </w:tcBorders>
          </w:tcPr>
          <w:p w:rsidR="00EF595D" w:rsidRPr="00A352CF" w:rsidRDefault="00EF595D" w:rsidP="00A352CF">
            <w:pPr>
              <w:pStyle w:val="TableText"/>
              <w:jc w:val="center"/>
              <w:rPr>
                <w:rFonts w:eastAsia="Arial" w:cs="Arial"/>
                <w:b/>
              </w:rPr>
            </w:pPr>
            <w:r w:rsidRPr="00A352CF">
              <w:rPr>
                <w:rFonts w:eastAsia="Arial" w:cs="Arial"/>
                <w:b/>
              </w:rPr>
              <w:t>Percentage</w:t>
            </w:r>
          </w:p>
        </w:tc>
      </w:tr>
      <w:tr w:rsidR="00EF595D" w:rsidRPr="009E1E57" w:rsidTr="00634196">
        <w:trPr>
          <w:cantSplit/>
        </w:trPr>
        <w:tc>
          <w:tcPr>
            <w:tcW w:w="2268" w:type="dxa"/>
            <w:tcBorders>
              <w:right w:val="nil"/>
            </w:tcBorders>
          </w:tcPr>
          <w:p w:rsidR="00EF595D" w:rsidRPr="009E1E57" w:rsidRDefault="00EF595D" w:rsidP="00A352CF">
            <w:pPr>
              <w:pStyle w:val="TableText"/>
            </w:pPr>
            <w:r w:rsidRPr="009E1E57">
              <w:t>Medical</w:t>
            </w:r>
            <w:r w:rsidR="00085832">
              <w:t xml:space="preserve"> </w:t>
            </w:r>
            <w:r w:rsidRPr="009E1E57">
              <w:t>Workforce</w:t>
            </w:r>
          </w:p>
        </w:tc>
        <w:tc>
          <w:tcPr>
            <w:tcW w:w="1843" w:type="dxa"/>
            <w:tcBorders>
              <w:left w:val="nil"/>
              <w:right w:val="nil"/>
            </w:tcBorders>
          </w:tcPr>
          <w:p w:rsidR="00EF595D" w:rsidRPr="009E1E57" w:rsidRDefault="00EF595D" w:rsidP="00A352CF">
            <w:pPr>
              <w:pStyle w:val="TableText"/>
              <w:jc w:val="center"/>
            </w:pPr>
            <w:r w:rsidRPr="009E1E57">
              <w:t>215</w:t>
            </w:r>
          </w:p>
        </w:tc>
        <w:tc>
          <w:tcPr>
            <w:tcW w:w="1843" w:type="dxa"/>
            <w:tcBorders>
              <w:left w:val="nil"/>
            </w:tcBorders>
          </w:tcPr>
          <w:p w:rsidR="00EF595D" w:rsidRPr="009E1E57" w:rsidRDefault="00EF595D" w:rsidP="00A352CF">
            <w:pPr>
              <w:pStyle w:val="TableText"/>
              <w:jc w:val="center"/>
            </w:pPr>
            <w:r w:rsidRPr="009E1E57">
              <w:t>1.8</w:t>
            </w:r>
          </w:p>
        </w:tc>
      </w:tr>
    </w:tbl>
    <w:p w:rsidR="00EF595D" w:rsidRPr="009E1E57" w:rsidRDefault="00EF595D" w:rsidP="0037227B">
      <w:pPr>
        <w:pStyle w:val="Note"/>
      </w:pPr>
      <w:r w:rsidRPr="0037227B">
        <w:rPr>
          <w:rFonts w:eastAsia="Arial"/>
        </w:rPr>
        <w:t>+</w:t>
      </w:r>
      <w:r w:rsidR="0037227B" w:rsidRPr="0037227B">
        <w:rPr>
          <w:rFonts w:eastAsia="Arial"/>
        </w:rPr>
        <w:tab/>
      </w:r>
      <w:r w:rsidRPr="009E1E57">
        <w:t>Medical</w:t>
      </w:r>
      <w:r w:rsidR="00085832">
        <w:t xml:space="preserve"> </w:t>
      </w:r>
      <w:r w:rsidRPr="009E1E57">
        <w:t>Council of New Zealand (2012).</w:t>
      </w:r>
    </w:p>
    <w:p w:rsidR="00EF595D" w:rsidRPr="009E1E57" w:rsidRDefault="00EF595D" w:rsidP="00A352CF"/>
    <w:p w:rsidR="00EF595D" w:rsidRPr="009E1E57" w:rsidRDefault="00EF595D" w:rsidP="0037227B">
      <w:pPr>
        <w:pStyle w:val="Table"/>
      </w:pPr>
      <w:bookmarkStart w:id="30" w:name="_Toc391539876"/>
      <w:r w:rsidRPr="009E1E57">
        <w:t>Table A2: Gender breakdown of Pacific medical workforce</w:t>
      </w:r>
      <w:bookmarkEnd w:id="30"/>
    </w:p>
    <w:tbl>
      <w:tblPr>
        <w:tblW w:w="0" w:type="auto"/>
        <w:tblInd w:w="57" w:type="dxa"/>
        <w:tblLayout w:type="fixed"/>
        <w:tblCellMar>
          <w:left w:w="57" w:type="dxa"/>
          <w:right w:w="57" w:type="dxa"/>
        </w:tblCellMar>
        <w:tblLook w:val="01E0" w:firstRow="1" w:lastRow="1" w:firstColumn="1" w:lastColumn="1" w:noHBand="0" w:noVBand="0"/>
      </w:tblPr>
      <w:tblGrid>
        <w:gridCol w:w="2268"/>
        <w:gridCol w:w="1228"/>
        <w:gridCol w:w="1229"/>
        <w:gridCol w:w="1229"/>
      </w:tblGrid>
      <w:tr w:rsidR="00EF595D" w:rsidRPr="00634196" w:rsidTr="00634196">
        <w:trPr>
          <w:cantSplit/>
        </w:trPr>
        <w:tc>
          <w:tcPr>
            <w:tcW w:w="2268" w:type="dxa"/>
            <w:tcBorders>
              <w:top w:val="single" w:sz="4" w:space="0" w:color="auto"/>
              <w:bottom w:val="single" w:sz="4" w:space="0" w:color="A6A6A6" w:themeColor="background1" w:themeShade="A6"/>
            </w:tcBorders>
            <w:shd w:val="clear" w:color="auto" w:fill="auto"/>
          </w:tcPr>
          <w:p w:rsidR="00EF595D" w:rsidRPr="00634196" w:rsidRDefault="00EF595D" w:rsidP="00634196">
            <w:pPr>
              <w:pStyle w:val="TableText"/>
              <w:rPr>
                <w:rFonts w:eastAsia="Arial"/>
                <w:b/>
              </w:rPr>
            </w:pPr>
            <w:r w:rsidRPr="00634196">
              <w:rPr>
                <w:rFonts w:eastAsia="Arial"/>
                <w:b/>
              </w:rPr>
              <w:t>Country</w:t>
            </w:r>
          </w:p>
        </w:tc>
        <w:tc>
          <w:tcPr>
            <w:tcW w:w="3686" w:type="dxa"/>
            <w:gridSpan w:val="3"/>
            <w:tcBorders>
              <w:top w:val="single" w:sz="4" w:space="0" w:color="auto"/>
              <w:bottom w:val="single" w:sz="4" w:space="0" w:color="A6A6A6" w:themeColor="background1" w:themeShade="A6"/>
            </w:tcBorders>
            <w:shd w:val="clear" w:color="auto" w:fill="auto"/>
          </w:tcPr>
          <w:p w:rsidR="00EF595D" w:rsidRPr="00634196" w:rsidRDefault="00EF595D" w:rsidP="00634196">
            <w:pPr>
              <w:pStyle w:val="TableText"/>
              <w:jc w:val="center"/>
              <w:rPr>
                <w:rFonts w:eastAsia="Arial"/>
                <w:b/>
              </w:rPr>
            </w:pPr>
            <w:r w:rsidRPr="00634196">
              <w:rPr>
                <w:rFonts w:eastAsia="Arial"/>
                <w:b/>
              </w:rPr>
              <w:t>Gender</w:t>
            </w:r>
          </w:p>
        </w:tc>
      </w:tr>
      <w:tr w:rsidR="00EF595D" w:rsidRPr="00634196" w:rsidTr="00634196">
        <w:trPr>
          <w:cantSplit/>
        </w:trPr>
        <w:tc>
          <w:tcPr>
            <w:tcW w:w="2268" w:type="dxa"/>
            <w:tcBorders>
              <w:top w:val="single" w:sz="4" w:space="0" w:color="A6A6A6" w:themeColor="background1" w:themeShade="A6"/>
              <w:bottom w:val="single" w:sz="4" w:space="0" w:color="auto"/>
            </w:tcBorders>
            <w:shd w:val="clear" w:color="auto" w:fill="auto"/>
          </w:tcPr>
          <w:p w:rsidR="00EF595D" w:rsidRPr="00634196" w:rsidRDefault="00EF595D" w:rsidP="00634196">
            <w:pPr>
              <w:pStyle w:val="TableText"/>
              <w:rPr>
                <w:rFonts w:eastAsia="Arial"/>
                <w:b/>
              </w:rPr>
            </w:pPr>
            <w:r w:rsidRPr="00634196">
              <w:rPr>
                <w:rFonts w:eastAsia="Arial"/>
                <w:b/>
              </w:rPr>
              <w:t>Ethnicity</w:t>
            </w:r>
          </w:p>
        </w:tc>
        <w:tc>
          <w:tcPr>
            <w:tcW w:w="1228" w:type="dxa"/>
            <w:tcBorders>
              <w:top w:val="single" w:sz="4" w:space="0" w:color="A6A6A6" w:themeColor="background1" w:themeShade="A6"/>
              <w:bottom w:val="single" w:sz="4" w:space="0" w:color="auto"/>
            </w:tcBorders>
            <w:shd w:val="clear" w:color="auto" w:fill="auto"/>
          </w:tcPr>
          <w:p w:rsidR="00EF595D" w:rsidRPr="00634196" w:rsidRDefault="00EF595D" w:rsidP="00634196">
            <w:pPr>
              <w:pStyle w:val="TableText"/>
              <w:jc w:val="center"/>
              <w:rPr>
                <w:rFonts w:eastAsia="Arial"/>
                <w:b/>
              </w:rPr>
            </w:pPr>
            <w:r w:rsidRPr="00634196">
              <w:rPr>
                <w:rFonts w:eastAsia="Arial"/>
                <w:b/>
              </w:rPr>
              <w:t>Female</w:t>
            </w:r>
          </w:p>
        </w:tc>
        <w:tc>
          <w:tcPr>
            <w:tcW w:w="1229" w:type="dxa"/>
            <w:tcBorders>
              <w:top w:val="single" w:sz="4" w:space="0" w:color="A6A6A6" w:themeColor="background1" w:themeShade="A6"/>
              <w:bottom w:val="single" w:sz="4" w:space="0" w:color="auto"/>
            </w:tcBorders>
            <w:shd w:val="clear" w:color="auto" w:fill="auto"/>
          </w:tcPr>
          <w:p w:rsidR="00EF595D" w:rsidRPr="00634196" w:rsidRDefault="00EF595D" w:rsidP="00634196">
            <w:pPr>
              <w:pStyle w:val="TableText"/>
              <w:jc w:val="center"/>
              <w:rPr>
                <w:rFonts w:eastAsia="Arial"/>
                <w:b/>
              </w:rPr>
            </w:pPr>
            <w:r w:rsidRPr="00634196">
              <w:rPr>
                <w:rFonts w:eastAsia="Arial"/>
                <w:b/>
              </w:rPr>
              <w:t>Male</w:t>
            </w:r>
          </w:p>
        </w:tc>
        <w:tc>
          <w:tcPr>
            <w:tcW w:w="1229" w:type="dxa"/>
            <w:tcBorders>
              <w:top w:val="single" w:sz="4" w:space="0" w:color="A6A6A6" w:themeColor="background1" w:themeShade="A6"/>
              <w:left w:val="nil"/>
              <w:bottom w:val="single" w:sz="4" w:space="0" w:color="auto"/>
            </w:tcBorders>
            <w:shd w:val="clear" w:color="auto" w:fill="auto"/>
          </w:tcPr>
          <w:p w:rsidR="00EF595D" w:rsidRPr="00634196" w:rsidRDefault="00EF595D" w:rsidP="00634196">
            <w:pPr>
              <w:pStyle w:val="TableText"/>
              <w:jc w:val="center"/>
              <w:rPr>
                <w:rFonts w:eastAsia="Arial"/>
                <w:b/>
              </w:rPr>
            </w:pPr>
            <w:r w:rsidRPr="00634196">
              <w:rPr>
                <w:rFonts w:eastAsia="Arial"/>
                <w:b/>
              </w:rPr>
              <w:t>Total</w:t>
            </w:r>
          </w:p>
        </w:tc>
      </w:tr>
      <w:tr w:rsidR="00EF595D" w:rsidRPr="009E1E57" w:rsidTr="00634196">
        <w:trPr>
          <w:cantSplit/>
        </w:trPr>
        <w:tc>
          <w:tcPr>
            <w:tcW w:w="2268" w:type="dxa"/>
            <w:tcBorders>
              <w:top w:val="single" w:sz="4" w:space="0" w:color="auto"/>
            </w:tcBorders>
            <w:shd w:val="clear" w:color="auto" w:fill="F2F2F2" w:themeFill="background1" w:themeFillShade="F2"/>
          </w:tcPr>
          <w:p w:rsidR="00EF595D" w:rsidRPr="009E1E57" w:rsidRDefault="00EF595D" w:rsidP="00634196">
            <w:pPr>
              <w:pStyle w:val="TableText"/>
            </w:pPr>
            <w:r w:rsidRPr="009E1E57">
              <w:t>New Zealand M</w:t>
            </w:r>
            <w:r w:rsidR="00634196">
              <w:t>ā</w:t>
            </w:r>
            <w:r w:rsidRPr="009E1E57">
              <w:t>ori</w:t>
            </w:r>
          </w:p>
        </w:tc>
        <w:tc>
          <w:tcPr>
            <w:tcW w:w="1228" w:type="dxa"/>
            <w:tcBorders>
              <w:top w:val="single" w:sz="4" w:space="0" w:color="auto"/>
            </w:tcBorders>
            <w:shd w:val="clear" w:color="auto" w:fill="F2F2F2" w:themeFill="background1" w:themeFillShade="F2"/>
          </w:tcPr>
          <w:p w:rsidR="00EF595D" w:rsidRPr="009E1E57" w:rsidRDefault="00EF595D" w:rsidP="00634196">
            <w:pPr>
              <w:pStyle w:val="TableText"/>
              <w:tabs>
                <w:tab w:val="decimal" w:pos="794"/>
              </w:tabs>
            </w:pPr>
            <w:r w:rsidRPr="009E1E57">
              <w:t>165</w:t>
            </w:r>
          </w:p>
        </w:tc>
        <w:tc>
          <w:tcPr>
            <w:tcW w:w="1229" w:type="dxa"/>
            <w:tcBorders>
              <w:top w:val="single" w:sz="4" w:space="0" w:color="auto"/>
            </w:tcBorders>
            <w:shd w:val="clear" w:color="auto" w:fill="F2F2F2" w:themeFill="background1" w:themeFillShade="F2"/>
          </w:tcPr>
          <w:p w:rsidR="00EF595D" w:rsidRPr="009E1E57" w:rsidRDefault="00EF595D" w:rsidP="00634196">
            <w:pPr>
              <w:pStyle w:val="TableText"/>
              <w:tabs>
                <w:tab w:val="decimal" w:pos="794"/>
              </w:tabs>
            </w:pPr>
            <w:r w:rsidRPr="009E1E57">
              <w:t>186</w:t>
            </w:r>
          </w:p>
        </w:tc>
        <w:tc>
          <w:tcPr>
            <w:tcW w:w="1229" w:type="dxa"/>
            <w:tcBorders>
              <w:top w:val="single" w:sz="4" w:space="0" w:color="auto"/>
              <w:left w:val="nil"/>
            </w:tcBorders>
            <w:shd w:val="clear" w:color="auto" w:fill="F2F2F2" w:themeFill="background1" w:themeFillShade="F2"/>
          </w:tcPr>
          <w:p w:rsidR="00EF595D" w:rsidRPr="009E1E57" w:rsidRDefault="00EF595D" w:rsidP="00634196">
            <w:pPr>
              <w:pStyle w:val="TableText"/>
              <w:tabs>
                <w:tab w:val="decimal" w:pos="794"/>
              </w:tabs>
            </w:pPr>
            <w:r w:rsidRPr="009E1E57">
              <w:t>351</w:t>
            </w:r>
          </w:p>
        </w:tc>
      </w:tr>
      <w:tr w:rsidR="00EF595D" w:rsidRPr="009E1E57" w:rsidTr="00634196">
        <w:trPr>
          <w:cantSplit/>
        </w:trPr>
        <w:tc>
          <w:tcPr>
            <w:tcW w:w="2268" w:type="dxa"/>
            <w:shd w:val="clear" w:color="auto" w:fill="auto"/>
          </w:tcPr>
          <w:p w:rsidR="00EF595D" w:rsidRPr="009E1E57" w:rsidRDefault="00EF595D" w:rsidP="00634196">
            <w:pPr>
              <w:pStyle w:val="TableText"/>
            </w:pPr>
            <w:r w:rsidRPr="009E1E57">
              <w:t>Pacific</w:t>
            </w:r>
          </w:p>
        </w:tc>
        <w:tc>
          <w:tcPr>
            <w:tcW w:w="1228" w:type="dxa"/>
            <w:shd w:val="clear" w:color="auto" w:fill="auto"/>
          </w:tcPr>
          <w:p w:rsidR="00EF595D" w:rsidRPr="009E1E57" w:rsidRDefault="00EF595D" w:rsidP="00634196">
            <w:pPr>
              <w:pStyle w:val="TableText"/>
              <w:tabs>
                <w:tab w:val="decimal" w:pos="794"/>
              </w:tabs>
            </w:pPr>
            <w:r w:rsidRPr="009E1E57">
              <w:t>89</w:t>
            </w:r>
          </w:p>
        </w:tc>
        <w:tc>
          <w:tcPr>
            <w:tcW w:w="1229" w:type="dxa"/>
            <w:shd w:val="clear" w:color="auto" w:fill="auto"/>
          </w:tcPr>
          <w:p w:rsidR="00EF595D" w:rsidRPr="009E1E57" w:rsidRDefault="00EF595D" w:rsidP="00634196">
            <w:pPr>
              <w:pStyle w:val="TableText"/>
              <w:tabs>
                <w:tab w:val="decimal" w:pos="794"/>
              </w:tabs>
            </w:pPr>
            <w:r w:rsidRPr="009E1E57">
              <w:t>126</w:t>
            </w:r>
          </w:p>
        </w:tc>
        <w:tc>
          <w:tcPr>
            <w:tcW w:w="1229" w:type="dxa"/>
            <w:tcBorders>
              <w:left w:val="nil"/>
            </w:tcBorders>
            <w:shd w:val="clear" w:color="auto" w:fill="auto"/>
          </w:tcPr>
          <w:p w:rsidR="00EF595D" w:rsidRPr="009E1E57" w:rsidRDefault="00EF595D" w:rsidP="00634196">
            <w:pPr>
              <w:pStyle w:val="TableText"/>
              <w:tabs>
                <w:tab w:val="decimal" w:pos="794"/>
              </w:tabs>
            </w:pPr>
            <w:r w:rsidRPr="009E1E57">
              <w:t>215</w:t>
            </w:r>
          </w:p>
        </w:tc>
      </w:tr>
      <w:tr w:rsidR="00EF595D" w:rsidRPr="009E1E57" w:rsidTr="00634196">
        <w:trPr>
          <w:cantSplit/>
        </w:trPr>
        <w:tc>
          <w:tcPr>
            <w:tcW w:w="2268" w:type="dxa"/>
            <w:shd w:val="clear" w:color="auto" w:fill="F2F2F2" w:themeFill="background1" w:themeFillShade="F2"/>
          </w:tcPr>
          <w:p w:rsidR="00EF595D" w:rsidRPr="009E1E57" w:rsidRDefault="00EF595D" w:rsidP="00634196">
            <w:pPr>
              <w:pStyle w:val="TableText"/>
            </w:pPr>
            <w:r w:rsidRPr="009E1E57">
              <w:t>Chinese</w:t>
            </w:r>
          </w:p>
        </w:tc>
        <w:tc>
          <w:tcPr>
            <w:tcW w:w="1228" w:type="dxa"/>
            <w:shd w:val="clear" w:color="auto" w:fill="F2F2F2" w:themeFill="background1" w:themeFillShade="F2"/>
          </w:tcPr>
          <w:p w:rsidR="00EF595D" w:rsidRPr="009E1E57" w:rsidRDefault="00EF595D" w:rsidP="00634196">
            <w:pPr>
              <w:pStyle w:val="TableText"/>
              <w:tabs>
                <w:tab w:val="decimal" w:pos="794"/>
              </w:tabs>
            </w:pPr>
            <w:r w:rsidRPr="009E1E57">
              <w:t>244</w:t>
            </w:r>
          </w:p>
        </w:tc>
        <w:tc>
          <w:tcPr>
            <w:tcW w:w="1229" w:type="dxa"/>
            <w:shd w:val="clear" w:color="auto" w:fill="F2F2F2" w:themeFill="background1" w:themeFillShade="F2"/>
          </w:tcPr>
          <w:p w:rsidR="00EF595D" w:rsidRPr="009E1E57" w:rsidRDefault="00EF595D" w:rsidP="00634196">
            <w:pPr>
              <w:pStyle w:val="TableText"/>
              <w:tabs>
                <w:tab w:val="decimal" w:pos="794"/>
              </w:tabs>
            </w:pPr>
            <w:r w:rsidRPr="009E1E57">
              <w:t>397</w:t>
            </w:r>
          </w:p>
        </w:tc>
        <w:tc>
          <w:tcPr>
            <w:tcW w:w="1229" w:type="dxa"/>
            <w:tcBorders>
              <w:left w:val="nil"/>
            </w:tcBorders>
            <w:shd w:val="clear" w:color="auto" w:fill="F2F2F2" w:themeFill="background1" w:themeFillShade="F2"/>
          </w:tcPr>
          <w:p w:rsidR="00EF595D" w:rsidRPr="009E1E57" w:rsidRDefault="00EF595D" w:rsidP="00634196">
            <w:pPr>
              <w:pStyle w:val="TableText"/>
              <w:tabs>
                <w:tab w:val="decimal" w:pos="794"/>
              </w:tabs>
            </w:pPr>
            <w:r w:rsidRPr="009E1E57">
              <w:t>641</w:t>
            </w:r>
          </w:p>
        </w:tc>
      </w:tr>
      <w:tr w:rsidR="00EF595D" w:rsidRPr="009E1E57" w:rsidTr="00634196">
        <w:trPr>
          <w:cantSplit/>
        </w:trPr>
        <w:tc>
          <w:tcPr>
            <w:tcW w:w="2268" w:type="dxa"/>
            <w:shd w:val="clear" w:color="auto" w:fill="auto"/>
          </w:tcPr>
          <w:p w:rsidR="00EF595D" w:rsidRPr="009E1E57" w:rsidRDefault="00EF595D" w:rsidP="00634196">
            <w:pPr>
              <w:pStyle w:val="TableText"/>
              <w:rPr>
                <w:rFonts w:eastAsia="Arial"/>
              </w:rPr>
            </w:pPr>
            <w:r w:rsidRPr="009E1E57">
              <w:rPr>
                <w:rFonts w:eastAsia="Arial"/>
              </w:rPr>
              <w:t>Indian</w:t>
            </w:r>
          </w:p>
        </w:tc>
        <w:tc>
          <w:tcPr>
            <w:tcW w:w="1228" w:type="dxa"/>
            <w:shd w:val="clear" w:color="auto" w:fill="auto"/>
          </w:tcPr>
          <w:p w:rsidR="00EF595D" w:rsidRPr="009E1E57" w:rsidRDefault="00EF595D" w:rsidP="00634196">
            <w:pPr>
              <w:pStyle w:val="TableText"/>
              <w:tabs>
                <w:tab w:val="decimal" w:pos="794"/>
              </w:tabs>
            </w:pPr>
            <w:r w:rsidRPr="009E1E57">
              <w:t>242</w:t>
            </w:r>
          </w:p>
        </w:tc>
        <w:tc>
          <w:tcPr>
            <w:tcW w:w="1229" w:type="dxa"/>
            <w:shd w:val="clear" w:color="auto" w:fill="auto"/>
          </w:tcPr>
          <w:p w:rsidR="00EF595D" w:rsidRPr="009E1E57" w:rsidRDefault="00EF595D" w:rsidP="00634196">
            <w:pPr>
              <w:pStyle w:val="TableText"/>
              <w:tabs>
                <w:tab w:val="decimal" w:pos="794"/>
              </w:tabs>
            </w:pPr>
            <w:r w:rsidRPr="009E1E57">
              <w:t>451</w:t>
            </w:r>
          </w:p>
        </w:tc>
        <w:tc>
          <w:tcPr>
            <w:tcW w:w="1229" w:type="dxa"/>
            <w:tcBorders>
              <w:left w:val="nil"/>
            </w:tcBorders>
            <w:shd w:val="clear" w:color="auto" w:fill="auto"/>
          </w:tcPr>
          <w:p w:rsidR="00EF595D" w:rsidRPr="009E1E57" w:rsidRDefault="00EF595D" w:rsidP="00634196">
            <w:pPr>
              <w:pStyle w:val="TableText"/>
              <w:tabs>
                <w:tab w:val="decimal" w:pos="794"/>
              </w:tabs>
            </w:pPr>
            <w:r w:rsidRPr="009E1E57">
              <w:t>693</w:t>
            </w:r>
          </w:p>
        </w:tc>
      </w:tr>
      <w:tr w:rsidR="00EF595D" w:rsidRPr="009E1E57" w:rsidTr="00634196">
        <w:trPr>
          <w:cantSplit/>
        </w:trPr>
        <w:tc>
          <w:tcPr>
            <w:tcW w:w="2268" w:type="dxa"/>
            <w:shd w:val="clear" w:color="auto" w:fill="F2F2F2" w:themeFill="background1" w:themeFillShade="F2"/>
          </w:tcPr>
          <w:p w:rsidR="00EF595D" w:rsidRPr="009E1E57" w:rsidRDefault="00EF595D" w:rsidP="00634196">
            <w:pPr>
              <w:pStyle w:val="TableText"/>
            </w:pPr>
            <w:r w:rsidRPr="009E1E57">
              <w:t>Other</w:t>
            </w:r>
          </w:p>
        </w:tc>
        <w:tc>
          <w:tcPr>
            <w:tcW w:w="1228" w:type="dxa"/>
            <w:shd w:val="clear" w:color="auto" w:fill="F2F2F2" w:themeFill="background1" w:themeFillShade="F2"/>
          </w:tcPr>
          <w:p w:rsidR="00EF595D" w:rsidRPr="009E1E57" w:rsidRDefault="00EF595D" w:rsidP="00634196">
            <w:pPr>
              <w:pStyle w:val="TableText"/>
              <w:tabs>
                <w:tab w:val="decimal" w:pos="794"/>
              </w:tabs>
            </w:pPr>
            <w:r w:rsidRPr="009E1E57">
              <w:t>634</w:t>
            </w:r>
          </w:p>
        </w:tc>
        <w:tc>
          <w:tcPr>
            <w:tcW w:w="1229" w:type="dxa"/>
            <w:shd w:val="clear" w:color="auto" w:fill="F2F2F2" w:themeFill="background1" w:themeFillShade="F2"/>
          </w:tcPr>
          <w:p w:rsidR="00EF595D" w:rsidRPr="009E1E57" w:rsidRDefault="00EF595D" w:rsidP="00634196">
            <w:pPr>
              <w:pStyle w:val="TableText"/>
              <w:tabs>
                <w:tab w:val="decimal" w:pos="794"/>
              </w:tabs>
            </w:pPr>
            <w:r w:rsidRPr="009E1E57">
              <w:t>922</w:t>
            </w:r>
          </w:p>
        </w:tc>
        <w:tc>
          <w:tcPr>
            <w:tcW w:w="1229" w:type="dxa"/>
            <w:tcBorders>
              <w:left w:val="nil"/>
            </w:tcBorders>
            <w:shd w:val="clear" w:color="auto" w:fill="F2F2F2" w:themeFill="background1" w:themeFillShade="F2"/>
          </w:tcPr>
          <w:p w:rsidR="00EF595D" w:rsidRPr="009E1E57" w:rsidRDefault="00EF595D" w:rsidP="00634196">
            <w:pPr>
              <w:pStyle w:val="TableText"/>
              <w:tabs>
                <w:tab w:val="decimal" w:pos="794"/>
              </w:tabs>
            </w:pPr>
            <w:r w:rsidRPr="009E1E57">
              <w:t>1556</w:t>
            </w:r>
          </w:p>
        </w:tc>
      </w:tr>
      <w:tr w:rsidR="00EF595D" w:rsidRPr="009E1E57" w:rsidTr="00634196">
        <w:trPr>
          <w:cantSplit/>
        </w:trPr>
        <w:tc>
          <w:tcPr>
            <w:tcW w:w="2268" w:type="dxa"/>
            <w:shd w:val="clear" w:color="auto" w:fill="auto"/>
          </w:tcPr>
          <w:p w:rsidR="00EF595D" w:rsidRPr="009E1E57" w:rsidRDefault="00EF595D" w:rsidP="00634196">
            <w:pPr>
              <w:pStyle w:val="TableText"/>
            </w:pPr>
            <w:r w:rsidRPr="009E1E57">
              <w:t>Other European</w:t>
            </w:r>
          </w:p>
        </w:tc>
        <w:tc>
          <w:tcPr>
            <w:tcW w:w="1228" w:type="dxa"/>
            <w:shd w:val="clear" w:color="auto" w:fill="auto"/>
          </w:tcPr>
          <w:p w:rsidR="00EF595D" w:rsidRPr="009E1E57" w:rsidRDefault="00EF595D" w:rsidP="00634196">
            <w:pPr>
              <w:pStyle w:val="TableText"/>
              <w:tabs>
                <w:tab w:val="decimal" w:pos="794"/>
              </w:tabs>
            </w:pPr>
            <w:r w:rsidRPr="009E1E57">
              <w:t>979</w:t>
            </w:r>
          </w:p>
        </w:tc>
        <w:tc>
          <w:tcPr>
            <w:tcW w:w="1229" w:type="dxa"/>
            <w:shd w:val="clear" w:color="auto" w:fill="auto"/>
          </w:tcPr>
          <w:p w:rsidR="00EF595D" w:rsidRPr="009E1E57" w:rsidRDefault="00EF595D" w:rsidP="00634196">
            <w:pPr>
              <w:pStyle w:val="TableText"/>
              <w:tabs>
                <w:tab w:val="decimal" w:pos="794"/>
              </w:tabs>
            </w:pPr>
            <w:r w:rsidRPr="009E1E57">
              <w:t>1051</w:t>
            </w:r>
          </w:p>
        </w:tc>
        <w:tc>
          <w:tcPr>
            <w:tcW w:w="1229" w:type="dxa"/>
            <w:tcBorders>
              <w:left w:val="nil"/>
            </w:tcBorders>
            <w:shd w:val="clear" w:color="auto" w:fill="auto"/>
          </w:tcPr>
          <w:p w:rsidR="00EF595D" w:rsidRPr="009E1E57" w:rsidRDefault="00EF595D" w:rsidP="00634196">
            <w:pPr>
              <w:pStyle w:val="TableText"/>
              <w:tabs>
                <w:tab w:val="decimal" w:pos="794"/>
              </w:tabs>
            </w:pPr>
            <w:r w:rsidRPr="009E1E57">
              <w:t>2030</w:t>
            </w:r>
          </w:p>
        </w:tc>
      </w:tr>
      <w:tr w:rsidR="00EF595D" w:rsidRPr="009E1E57" w:rsidTr="00634196">
        <w:trPr>
          <w:cantSplit/>
        </w:trPr>
        <w:tc>
          <w:tcPr>
            <w:tcW w:w="2268" w:type="dxa"/>
            <w:shd w:val="clear" w:color="auto" w:fill="F2F2F2" w:themeFill="background1" w:themeFillShade="F2"/>
          </w:tcPr>
          <w:p w:rsidR="00EF595D" w:rsidRPr="009E1E57" w:rsidRDefault="00EF595D" w:rsidP="00634196">
            <w:pPr>
              <w:pStyle w:val="TableText"/>
            </w:pPr>
            <w:r w:rsidRPr="009E1E57">
              <w:t>New Zealand European</w:t>
            </w:r>
          </w:p>
        </w:tc>
        <w:tc>
          <w:tcPr>
            <w:tcW w:w="1228" w:type="dxa"/>
            <w:shd w:val="clear" w:color="auto" w:fill="F2F2F2" w:themeFill="background1" w:themeFillShade="F2"/>
          </w:tcPr>
          <w:p w:rsidR="00EF595D" w:rsidRPr="009E1E57" w:rsidRDefault="00EF595D" w:rsidP="00634196">
            <w:pPr>
              <w:pStyle w:val="TableText"/>
              <w:tabs>
                <w:tab w:val="decimal" w:pos="794"/>
              </w:tabs>
            </w:pPr>
            <w:r w:rsidRPr="009E1E57">
              <w:t>2538</w:t>
            </w:r>
          </w:p>
        </w:tc>
        <w:tc>
          <w:tcPr>
            <w:tcW w:w="1229" w:type="dxa"/>
            <w:shd w:val="clear" w:color="auto" w:fill="F2F2F2" w:themeFill="background1" w:themeFillShade="F2"/>
          </w:tcPr>
          <w:p w:rsidR="00EF595D" w:rsidRPr="009E1E57" w:rsidRDefault="00EF595D" w:rsidP="00634196">
            <w:pPr>
              <w:pStyle w:val="TableText"/>
              <w:tabs>
                <w:tab w:val="decimal" w:pos="794"/>
              </w:tabs>
            </w:pPr>
            <w:r w:rsidRPr="009E1E57">
              <w:t>3794</w:t>
            </w:r>
          </w:p>
        </w:tc>
        <w:tc>
          <w:tcPr>
            <w:tcW w:w="1229" w:type="dxa"/>
            <w:tcBorders>
              <w:left w:val="nil"/>
            </w:tcBorders>
            <w:shd w:val="clear" w:color="auto" w:fill="F2F2F2" w:themeFill="background1" w:themeFillShade="F2"/>
          </w:tcPr>
          <w:p w:rsidR="00EF595D" w:rsidRPr="009E1E57" w:rsidRDefault="00EF595D" w:rsidP="00634196">
            <w:pPr>
              <w:pStyle w:val="TableText"/>
              <w:tabs>
                <w:tab w:val="decimal" w:pos="794"/>
              </w:tabs>
            </w:pPr>
            <w:r w:rsidRPr="009E1E57">
              <w:t>6332</w:t>
            </w:r>
          </w:p>
        </w:tc>
      </w:tr>
      <w:tr w:rsidR="00EF595D" w:rsidRPr="009E1E57" w:rsidTr="00634196">
        <w:trPr>
          <w:cantSplit/>
        </w:trPr>
        <w:tc>
          <w:tcPr>
            <w:tcW w:w="2268" w:type="dxa"/>
            <w:tcBorders>
              <w:bottom w:val="single" w:sz="4" w:space="0" w:color="A6A6A6" w:themeColor="background1" w:themeShade="A6"/>
            </w:tcBorders>
            <w:shd w:val="clear" w:color="auto" w:fill="auto"/>
          </w:tcPr>
          <w:p w:rsidR="00EF595D" w:rsidRPr="009E1E57" w:rsidRDefault="00EF595D" w:rsidP="00634196">
            <w:pPr>
              <w:pStyle w:val="TableText"/>
            </w:pPr>
            <w:r w:rsidRPr="009E1E57">
              <w:t xml:space="preserve">No </w:t>
            </w:r>
            <w:r w:rsidR="00634196">
              <w:t>a</w:t>
            </w:r>
            <w:r w:rsidRPr="009E1E57">
              <w:t>nswer</w:t>
            </w:r>
          </w:p>
        </w:tc>
        <w:tc>
          <w:tcPr>
            <w:tcW w:w="1228" w:type="dxa"/>
            <w:tcBorders>
              <w:bottom w:val="single" w:sz="4" w:space="0" w:color="A6A6A6" w:themeColor="background1" w:themeShade="A6"/>
            </w:tcBorders>
            <w:shd w:val="clear" w:color="auto" w:fill="auto"/>
          </w:tcPr>
          <w:p w:rsidR="00EF595D" w:rsidRPr="009E1E57" w:rsidRDefault="00EF595D" w:rsidP="00634196">
            <w:pPr>
              <w:pStyle w:val="TableText"/>
              <w:tabs>
                <w:tab w:val="decimal" w:pos="794"/>
              </w:tabs>
            </w:pPr>
            <w:r w:rsidRPr="009E1E57">
              <w:t>84</w:t>
            </w:r>
          </w:p>
        </w:tc>
        <w:tc>
          <w:tcPr>
            <w:tcW w:w="1229" w:type="dxa"/>
            <w:tcBorders>
              <w:bottom w:val="single" w:sz="4" w:space="0" w:color="A6A6A6" w:themeColor="background1" w:themeShade="A6"/>
            </w:tcBorders>
            <w:shd w:val="clear" w:color="auto" w:fill="auto"/>
          </w:tcPr>
          <w:p w:rsidR="00EF595D" w:rsidRPr="009E1E57" w:rsidRDefault="00EF595D" w:rsidP="00634196">
            <w:pPr>
              <w:pStyle w:val="TableText"/>
              <w:tabs>
                <w:tab w:val="decimal" w:pos="794"/>
              </w:tabs>
            </w:pPr>
            <w:r w:rsidRPr="009E1E57">
              <w:t>115</w:t>
            </w:r>
          </w:p>
        </w:tc>
        <w:tc>
          <w:tcPr>
            <w:tcW w:w="1229" w:type="dxa"/>
            <w:tcBorders>
              <w:left w:val="nil"/>
              <w:bottom w:val="single" w:sz="4" w:space="0" w:color="A6A6A6" w:themeColor="background1" w:themeShade="A6"/>
            </w:tcBorders>
            <w:shd w:val="clear" w:color="auto" w:fill="auto"/>
          </w:tcPr>
          <w:p w:rsidR="00EF595D" w:rsidRPr="009E1E57" w:rsidRDefault="00EF595D" w:rsidP="00634196">
            <w:pPr>
              <w:pStyle w:val="TableText"/>
              <w:tabs>
                <w:tab w:val="decimal" w:pos="794"/>
              </w:tabs>
            </w:pPr>
            <w:r w:rsidRPr="009E1E57">
              <w:t>199</w:t>
            </w:r>
          </w:p>
        </w:tc>
      </w:tr>
      <w:tr w:rsidR="00EF595D" w:rsidRPr="00634196" w:rsidTr="00634196">
        <w:trPr>
          <w:cantSplit/>
        </w:trPr>
        <w:tc>
          <w:tcPr>
            <w:tcW w:w="2268" w:type="dxa"/>
            <w:tcBorders>
              <w:top w:val="single" w:sz="4" w:space="0" w:color="A6A6A6" w:themeColor="background1" w:themeShade="A6"/>
              <w:bottom w:val="single" w:sz="4" w:space="0" w:color="auto"/>
            </w:tcBorders>
            <w:shd w:val="clear" w:color="auto" w:fill="F2F2F2" w:themeFill="background1" w:themeFillShade="F2"/>
          </w:tcPr>
          <w:p w:rsidR="00EF595D" w:rsidRPr="00634196" w:rsidRDefault="00EF595D" w:rsidP="00634196">
            <w:pPr>
              <w:pStyle w:val="TableText"/>
              <w:rPr>
                <w:rFonts w:eastAsia="Arial"/>
                <w:b/>
              </w:rPr>
            </w:pPr>
            <w:r w:rsidRPr="00634196">
              <w:rPr>
                <w:rFonts w:eastAsia="Arial"/>
                <w:b/>
              </w:rPr>
              <w:t>Total</w:t>
            </w:r>
          </w:p>
        </w:tc>
        <w:tc>
          <w:tcPr>
            <w:tcW w:w="1228" w:type="dxa"/>
            <w:tcBorders>
              <w:top w:val="single" w:sz="4" w:space="0" w:color="A6A6A6" w:themeColor="background1" w:themeShade="A6"/>
              <w:bottom w:val="single" w:sz="4" w:space="0" w:color="auto"/>
            </w:tcBorders>
            <w:shd w:val="clear" w:color="auto" w:fill="F2F2F2" w:themeFill="background1" w:themeFillShade="F2"/>
          </w:tcPr>
          <w:p w:rsidR="00EF595D" w:rsidRPr="00634196" w:rsidRDefault="00EF595D" w:rsidP="00634196">
            <w:pPr>
              <w:pStyle w:val="TableText"/>
              <w:tabs>
                <w:tab w:val="decimal" w:pos="794"/>
              </w:tabs>
              <w:rPr>
                <w:rFonts w:eastAsia="Arial"/>
                <w:b/>
              </w:rPr>
            </w:pPr>
            <w:r w:rsidRPr="00634196">
              <w:rPr>
                <w:rFonts w:eastAsia="Arial"/>
                <w:b/>
              </w:rPr>
              <w:t>4975</w:t>
            </w:r>
          </w:p>
        </w:tc>
        <w:tc>
          <w:tcPr>
            <w:tcW w:w="1229" w:type="dxa"/>
            <w:tcBorders>
              <w:top w:val="single" w:sz="4" w:space="0" w:color="A6A6A6" w:themeColor="background1" w:themeShade="A6"/>
              <w:bottom w:val="single" w:sz="4" w:space="0" w:color="auto"/>
            </w:tcBorders>
            <w:shd w:val="clear" w:color="auto" w:fill="F2F2F2" w:themeFill="background1" w:themeFillShade="F2"/>
          </w:tcPr>
          <w:p w:rsidR="00EF595D" w:rsidRPr="00634196" w:rsidRDefault="00EF595D" w:rsidP="00634196">
            <w:pPr>
              <w:pStyle w:val="TableText"/>
              <w:tabs>
                <w:tab w:val="decimal" w:pos="794"/>
              </w:tabs>
              <w:rPr>
                <w:b/>
              </w:rPr>
            </w:pPr>
            <w:r w:rsidRPr="00634196">
              <w:rPr>
                <w:b/>
              </w:rPr>
              <w:t>7042</w:t>
            </w:r>
          </w:p>
        </w:tc>
        <w:tc>
          <w:tcPr>
            <w:tcW w:w="1229" w:type="dxa"/>
            <w:tcBorders>
              <w:top w:val="single" w:sz="4" w:space="0" w:color="A6A6A6" w:themeColor="background1" w:themeShade="A6"/>
              <w:left w:val="nil"/>
              <w:bottom w:val="single" w:sz="4" w:space="0" w:color="auto"/>
            </w:tcBorders>
            <w:shd w:val="clear" w:color="auto" w:fill="F2F2F2" w:themeFill="background1" w:themeFillShade="F2"/>
          </w:tcPr>
          <w:p w:rsidR="00EF595D" w:rsidRPr="00634196" w:rsidRDefault="00EF595D" w:rsidP="00634196">
            <w:pPr>
              <w:pStyle w:val="TableText"/>
              <w:tabs>
                <w:tab w:val="decimal" w:pos="794"/>
              </w:tabs>
              <w:rPr>
                <w:b/>
              </w:rPr>
            </w:pPr>
            <w:r w:rsidRPr="00634196">
              <w:rPr>
                <w:b/>
              </w:rPr>
              <w:t>12,017</w:t>
            </w:r>
          </w:p>
        </w:tc>
      </w:tr>
    </w:tbl>
    <w:p w:rsidR="00EF595D" w:rsidRPr="009E1E57" w:rsidRDefault="00EF595D" w:rsidP="0037227B"/>
    <w:p w:rsidR="00EF595D" w:rsidRPr="009E1E57" w:rsidRDefault="00EF595D" w:rsidP="0037227B">
      <w:pPr>
        <w:pStyle w:val="Table"/>
      </w:pPr>
      <w:bookmarkStart w:id="31" w:name="_Toc391539877"/>
      <w:r w:rsidRPr="009E1E57">
        <w:t>Table A3: Distribution of Pacific in the medical workforce, 2012</w:t>
      </w:r>
      <w:bookmarkEnd w:id="31"/>
    </w:p>
    <w:tbl>
      <w:tblPr>
        <w:tblW w:w="0" w:type="auto"/>
        <w:tblInd w:w="57" w:type="dxa"/>
        <w:tblBorders>
          <w:top w:val="single" w:sz="4" w:space="0" w:color="auto"/>
          <w:bottom w:val="single" w:sz="4" w:space="0" w:color="auto"/>
        </w:tblBorders>
        <w:tblLayout w:type="fixed"/>
        <w:tblCellMar>
          <w:left w:w="57" w:type="dxa"/>
          <w:right w:w="57" w:type="dxa"/>
        </w:tblCellMar>
        <w:tblLook w:val="01E0" w:firstRow="1" w:lastRow="1" w:firstColumn="1" w:lastColumn="1" w:noHBand="0" w:noVBand="0"/>
      </w:tblPr>
      <w:tblGrid>
        <w:gridCol w:w="3402"/>
        <w:gridCol w:w="1276"/>
        <w:gridCol w:w="1276"/>
      </w:tblGrid>
      <w:tr w:rsidR="00EF595D" w:rsidRPr="00634196" w:rsidTr="00634196">
        <w:trPr>
          <w:cantSplit/>
        </w:trPr>
        <w:tc>
          <w:tcPr>
            <w:tcW w:w="3402" w:type="dxa"/>
            <w:tcBorders>
              <w:top w:val="single" w:sz="4" w:space="0" w:color="auto"/>
              <w:bottom w:val="single" w:sz="4" w:space="0" w:color="auto"/>
              <w:right w:val="nil"/>
            </w:tcBorders>
            <w:shd w:val="clear" w:color="auto" w:fill="auto"/>
          </w:tcPr>
          <w:p w:rsidR="00EF595D" w:rsidRPr="00634196" w:rsidRDefault="00EF595D" w:rsidP="00634196">
            <w:pPr>
              <w:pStyle w:val="TableText"/>
              <w:rPr>
                <w:b/>
              </w:rPr>
            </w:pPr>
            <w:r w:rsidRPr="00634196">
              <w:rPr>
                <w:b/>
              </w:rPr>
              <w:t>Distribution</w:t>
            </w:r>
            <w:r w:rsidR="00085832" w:rsidRPr="00634196">
              <w:rPr>
                <w:b/>
              </w:rPr>
              <w:t xml:space="preserve"> </w:t>
            </w:r>
            <w:r w:rsidRPr="00634196">
              <w:rPr>
                <w:b/>
              </w:rPr>
              <w:t>of Pacific Medical Practitioners by Main Employment Capacity (2012 Survey)</w:t>
            </w:r>
          </w:p>
        </w:tc>
        <w:tc>
          <w:tcPr>
            <w:tcW w:w="1276" w:type="dxa"/>
            <w:tcBorders>
              <w:top w:val="single" w:sz="4" w:space="0" w:color="auto"/>
              <w:left w:val="nil"/>
              <w:bottom w:val="single" w:sz="4" w:space="0" w:color="auto"/>
              <w:right w:val="nil"/>
            </w:tcBorders>
            <w:shd w:val="clear" w:color="auto" w:fill="auto"/>
          </w:tcPr>
          <w:p w:rsidR="00EF595D" w:rsidRPr="00634196" w:rsidRDefault="00EF595D" w:rsidP="00634196">
            <w:pPr>
              <w:pStyle w:val="TableText"/>
              <w:jc w:val="center"/>
              <w:rPr>
                <w:b/>
              </w:rPr>
            </w:pPr>
            <w:r w:rsidRPr="00634196">
              <w:rPr>
                <w:b/>
              </w:rPr>
              <w:t>Number</w:t>
            </w:r>
          </w:p>
        </w:tc>
        <w:tc>
          <w:tcPr>
            <w:tcW w:w="1276" w:type="dxa"/>
            <w:tcBorders>
              <w:top w:val="single" w:sz="4" w:space="0" w:color="auto"/>
              <w:left w:val="nil"/>
              <w:bottom w:val="single" w:sz="4" w:space="0" w:color="auto"/>
              <w:right w:val="nil"/>
            </w:tcBorders>
            <w:shd w:val="clear" w:color="auto" w:fill="auto"/>
          </w:tcPr>
          <w:p w:rsidR="00EF595D" w:rsidRPr="00634196" w:rsidRDefault="00EF595D" w:rsidP="00634196">
            <w:pPr>
              <w:pStyle w:val="TableText"/>
              <w:jc w:val="center"/>
              <w:rPr>
                <w:b/>
              </w:rPr>
            </w:pPr>
            <w:r w:rsidRPr="00634196">
              <w:rPr>
                <w:b/>
              </w:rPr>
              <w:t>Percentage</w:t>
            </w:r>
          </w:p>
        </w:tc>
      </w:tr>
      <w:tr w:rsidR="00EF595D" w:rsidRPr="009E1E57" w:rsidTr="00634196">
        <w:trPr>
          <w:cantSplit/>
        </w:trPr>
        <w:tc>
          <w:tcPr>
            <w:tcW w:w="3402" w:type="dxa"/>
            <w:tcBorders>
              <w:top w:val="single" w:sz="4" w:space="0" w:color="auto"/>
              <w:bottom w:val="nil"/>
              <w:right w:val="nil"/>
            </w:tcBorders>
            <w:shd w:val="clear" w:color="auto" w:fill="F2F2F2" w:themeFill="background1" w:themeFillShade="F2"/>
          </w:tcPr>
          <w:p w:rsidR="00EF595D" w:rsidRPr="009E1E57" w:rsidRDefault="00EF595D" w:rsidP="00634196">
            <w:pPr>
              <w:pStyle w:val="TableText"/>
            </w:pPr>
            <w:r w:rsidRPr="009E1E57">
              <w:t>General</w:t>
            </w:r>
            <w:r w:rsidR="00085832">
              <w:t xml:space="preserve"> </w:t>
            </w:r>
            <w:r w:rsidR="00634196">
              <w:t>p</w:t>
            </w:r>
            <w:r w:rsidRPr="009E1E57">
              <w:t>ractitioners</w:t>
            </w:r>
          </w:p>
        </w:tc>
        <w:tc>
          <w:tcPr>
            <w:tcW w:w="1276" w:type="dxa"/>
            <w:tcBorders>
              <w:top w:val="single" w:sz="4" w:space="0" w:color="auto"/>
              <w:left w:val="nil"/>
              <w:bottom w:val="nil"/>
              <w:right w:val="nil"/>
            </w:tcBorders>
            <w:shd w:val="clear" w:color="auto" w:fill="F2F2F2" w:themeFill="background1" w:themeFillShade="F2"/>
          </w:tcPr>
          <w:p w:rsidR="00EF595D" w:rsidRPr="009E1E57" w:rsidRDefault="00EF595D" w:rsidP="00634196">
            <w:pPr>
              <w:pStyle w:val="TableText"/>
              <w:tabs>
                <w:tab w:val="decimal" w:pos="652"/>
              </w:tabs>
            </w:pPr>
            <w:r w:rsidRPr="009E1E57">
              <w:t>56</w:t>
            </w:r>
          </w:p>
        </w:tc>
        <w:tc>
          <w:tcPr>
            <w:tcW w:w="1276" w:type="dxa"/>
            <w:tcBorders>
              <w:top w:val="single" w:sz="4" w:space="0" w:color="auto"/>
              <w:left w:val="nil"/>
              <w:bottom w:val="nil"/>
              <w:right w:val="nil"/>
            </w:tcBorders>
            <w:shd w:val="clear" w:color="auto" w:fill="F2F2F2" w:themeFill="background1" w:themeFillShade="F2"/>
          </w:tcPr>
          <w:p w:rsidR="00EF595D" w:rsidRPr="009E1E57" w:rsidRDefault="00EF595D" w:rsidP="00634196">
            <w:pPr>
              <w:pStyle w:val="TableText"/>
              <w:tabs>
                <w:tab w:val="decimal" w:pos="632"/>
              </w:tabs>
            </w:pPr>
            <w:r w:rsidRPr="009E1E57">
              <w:t>26.0</w:t>
            </w:r>
          </w:p>
        </w:tc>
      </w:tr>
      <w:tr w:rsidR="00EF595D" w:rsidRPr="009E1E57" w:rsidTr="00634196">
        <w:trPr>
          <w:cantSplit/>
        </w:trPr>
        <w:tc>
          <w:tcPr>
            <w:tcW w:w="3402" w:type="dxa"/>
            <w:tcBorders>
              <w:top w:val="nil"/>
              <w:bottom w:val="nil"/>
              <w:right w:val="nil"/>
            </w:tcBorders>
            <w:shd w:val="clear" w:color="auto" w:fill="auto"/>
          </w:tcPr>
          <w:p w:rsidR="00EF595D" w:rsidRPr="009E1E57" w:rsidRDefault="00EF595D" w:rsidP="00634196">
            <w:pPr>
              <w:pStyle w:val="TableText"/>
            </w:pPr>
            <w:r w:rsidRPr="009E1E57">
              <w:t>Registrar</w:t>
            </w:r>
          </w:p>
        </w:tc>
        <w:tc>
          <w:tcPr>
            <w:tcW w:w="1276" w:type="dxa"/>
            <w:tcBorders>
              <w:top w:val="nil"/>
              <w:left w:val="nil"/>
              <w:bottom w:val="nil"/>
              <w:right w:val="nil"/>
            </w:tcBorders>
            <w:shd w:val="clear" w:color="auto" w:fill="auto"/>
          </w:tcPr>
          <w:p w:rsidR="00EF595D" w:rsidRPr="009E1E57" w:rsidRDefault="00EF595D" w:rsidP="00634196">
            <w:pPr>
              <w:pStyle w:val="TableText"/>
              <w:tabs>
                <w:tab w:val="decimal" w:pos="652"/>
              </w:tabs>
            </w:pPr>
            <w:r w:rsidRPr="009E1E57">
              <w:t>48</w:t>
            </w:r>
          </w:p>
        </w:tc>
        <w:tc>
          <w:tcPr>
            <w:tcW w:w="1276" w:type="dxa"/>
            <w:tcBorders>
              <w:top w:val="nil"/>
              <w:left w:val="nil"/>
              <w:bottom w:val="nil"/>
              <w:right w:val="nil"/>
            </w:tcBorders>
            <w:shd w:val="clear" w:color="auto" w:fill="auto"/>
          </w:tcPr>
          <w:p w:rsidR="00EF595D" w:rsidRPr="009E1E57" w:rsidRDefault="00EF595D" w:rsidP="00634196">
            <w:pPr>
              <w:pStyle w:val="TableText"/>
              <w:tabs>
                <w:tab w:val="decimal" w:pos="632"/>
              </w:tabs>
            </w:pPr>
            <w:r w:rsidRPr="009E1E57">
              <w:t>22.3</w:t>
            </w:r>
          </w:p>
        </w:tc>
      </w:tr>
      <w:tr w:rsidR="00EF595D" w:rsidRPr="009E1E57" w:rsidTr="00634196">
        <w:trPr>
          <w:cantSplit/>
        </w:trPr>
        <w:tc>
          <w:tcPr>
            <w:tcW w:w="3402" w:type="dxa"/>
            <w:tcBorders>
              <w:top w:val="nil"/>
              <w:bottom w:val="nil"/>
              <w:right w:val="nil"/>
            </w:tcBorders>
            <w:shd w:val="clear" w:color="auto" w:fill="F2F2F2" w:themeFill="background1" w:themeFillShade="F2"/>
          </w:tcPr>
          <w:p w:rsidR="00EF595D" w:rsidRPr="009E1E57" w:rsidRDefault="00EF595D" w:rsidP="00634196">
            <w:pPr>
              <w:pStyle w:val="TableText"/>
            </w:pPr>
            <w:r w:rsidRPr="009E1E57">
              <w:t>Specialist</w:t>
            </w:r>
          </w:p>
        </w:tc>
        <w:tc>
          <w:tcPr>
            <w:tcW w:w="1276" w:type="dxa"/>
            <w:tcBorders>
              <w:top w:val="nil"/>
              <w:left w:val="nil"/>
              <w:bottom w:val="nil"/>
              <w:right w:val="nil"/>
            </w:tcBorders>
            <w:shd w:val="clear" w:color="auto" w:fill="F2F2F2" w:themeFill="background1" w:themeFillShade="F2"/>
          </w:tcPr>
          <w:p w:rsidR="00EF595D" w:rsidRPr="009E1E57" w:rsidRDefault="00EF595D" w:rsidP="00634196">
            <w:pPr>
              <w:pStyle w:val="TableText"/>
              <w:tabs>
                <w:tab w:val="decimal" w:pos="652"/>
              </w:tabs>
            </w:pPr>
            <w:r w:rsidRPr="009E1E57">
              <w:t>48</w:t>
            </w:r>
          </w:p>
        </w:tc>
        <w:tc>
          <w:tcPr>
            <w:tcW w:w="1276" w:type="dxa"/>
            <w:tcBorders>
              <w:top w:val="nil"/>
              <w:left w:val="nil"/>
              <w:bottom w:val="nil"/>
              <w:right w:val="nil"/>
            </w:tcBorders>
            <w:shd w:val="clear" w:color="auto" w:fill="F2F2F2" w:themeFill="background1" w:themeFillShade="F2"/>
          </w:tcPr>
          <w:p w:rsidR="00EF595D" w:rsidRPr="009E1E57" w:rsidRDefault="00EF595D" w:rsidP="00634196">
            <w:pPr>
              <w:pStyle w:val="TableText"/>
              <w:tabs>
                <w:tab w:val="decimal" w:pos="632"/>
              </w:tabs>
            </w:pPr>
            <w:r w:rsidRPr="009E1E57">
              <w:t>22.3</w:t>
            </w:r>
          </w:p>
        </w:tc>
      </w:tr>
      <w:tr w:rsidR="00EF595D" w:rsidRPr="009E1E57" w:rsidTr="00634196">
        <w:trPr>
          <w:cantSplit/>
        </w:trPr>
        <w:tc>
          <w:tcPr>
            <w:tcW w:w="3402" w:type="dxa"/>
            <w:tcBorders>
              <w:top w:val="nil"/>
              <w:bottom w:val="nil"/>
              <w:right w:val="nil"/>
            </w:tcBorders>
            <w:shd w:val="clear" w:color="auto" w:fill="auto"/>
          </w:tcPr>
          <w:p w:rsidR="00EF595D" w:rsidRPr="009E1E57" w:rsidRDefault="00EF595D" w:rsidP="00634196">
            <w:pPr>
              <w:pStyle w:val="TableText"/>
            </w:pPr>
            <w:r w:rsidRPr="009E1E57">
              <w:t xml:space="preserve">House </w:t>
            </w:r>
            <w:r w:rsidR="00634196">
              <w:t>o</w:t>
            </w:r>
            <w:r w:rsidRPr="009E1E57">
              <w:t>fficer</w:t>
            </w:r>
          </w:p>
        </w:tc>
        <w:tc>
          <w:tcPr>
            <w:tcW w:w="1276" w:type="dxa"/>
            <w:tcBorders>
              <w:top w:val="nil"/>
              <w:left w:val="nil"/>
              <w:bottom w:val="nil"/>
              <w:right w:val="nil"/>
            </w:tcBorders>
            <w:shd w:val="clear" w:color="auto" w:fill="auto"/>
          </w:tcPr>
          <w:p w:rsidR="00EF595D" w:rsidRPr="009E1E57" w:rsidRDefault="00EF595D" w:rsidP="00634196">
            <w:pPr>
              <w:pStyle w:val="TableText"/>
              <w:tabs>
                <w:tab w:val="decimal" w:pos="652"/>
              </w:tabs>
            </w:pPr>
            <w:r w:rsidRPr="009E1E57">
              <w:t>40</w:t>
            </w:r>
          </w:p>
        </w:tc>
        <w:tc>
          <w:tcPr>
            <w:tcW w:w="1276" w:type="dxa"/>
            <w:tcBorders>
              <w:top w:val="nil"/>
              <w:left w:val="nil"/>
              <w:bottom w:val="nil"/>
              <w:right w:val="nil"/>
            </w:tcBorders>
            <w:shd w:val="clear" w:color="auto" w:fill="auto"/>
          </w:tcPr>
          <w:p w:rsidR="00EF595D" w:rsidRPr="009E1E57" w:rsidRDefault="00EF595D" w:rsidP="00634196">
            <w:pPr>
              <w:pStyle w:val="TableText"/>
              <w:tabs>
                <w:tab w:val="decimal" w:pos="632"/>
              </w:tabs>
            </w:pPr>
            <w:r w:rsidRPr="009E1E57">
              <w:t>18.6</w:t>
            </w:r>
          </w:p>
        </w:tc>
      </w:tr>
      <w:tr w:rsidR="00EF595D" w:rsidRPr="009E1E57" w:rsidTr="00634196">
        <w:trPr>
          <w:cantSplit/>
        </w:trPr>
        <w:tc>
          <w:tcPr>
            <w:tcW w:w="3402" w:type="dxa"/>
            <w:tcBorders>
              <w:top w:val="nil"/>
              <w:bottom w:val="nil"/>
              <w:right w:val="nil"/>
            </w:tcBorders>
            <w:shd w:val="clear" w:color="auto" w:fill="F2F2F2" w:themeFill="background1" w:themeFillShade="F2"/>
          </w:tcPr>
          <w:p w:rsidR="00EF595D" w:rsidRPr="009E1E57" w:rsidRDefault="00EF595D" w:rsidP="00634196">
            <w:pPr>
              <w:pStyle w:val="TableText"/>
            </w:pPr>
            <w:r w:rsidRPr="009E1E57">
              <w:t>Medical</w:t>
            </w:r>
            <w:r w:rsidR="00085832">
              <w:t xml:space="preserve"> </w:t>
            </w:r>
            <w:r w:rsidR="00634196">
              <w:t>o</w:t>
            </w:r>
            <w:r w:rsidRPr="009E1E57">
              <w:t xml:space="preserve">fficer </w:t>
            </w:r>
            <w:r w:rsidR="00634196">
              <w:t>s</w:t>
            </w:r>
            <w:r w:rsidRPr="009E1E57">
              <w:t xml:space="preserve">pecialist </w:t>
            </w:r>
            <w:r w:rsidR="00634196">
              <w:t>s</w:t>
            </w:r>
            <w:r w:rsidRPr="009E1E57">
              <w:t>cale</w:t>
            </w:r>
          </w:p>
        </w:tc>
        <w:tc>
          <w:tcPr>
            <w:tcW w:w="1276" w:type="dxa"/>
            <w:tcBorders>
              <w:top w:val="nil"/>
              <w:left w:val="nil"/>
              <w:bottom w:val="nil"/>
              <w:right w:val="nil"/>
            </w:tcBorders>
            <w:shd w:val="clear" w:color="auto" w:fill="F2F2F2" w:themeFill="background1" w:themeFillShade="F2"/>
          </w:tcPr>
          <w:p w:rsidR="00EF595D" w:rsidRPr="009E1E57" w:rsidRDefault="00EF595D" w:rsidP="00634196">
            <w:pPr>
              <w:pStyle w:val="TableText"/>
              <w:tabs>
                <w:tab w:val="decimal" w:pos="652"/>
              </w:tabs>
            </w:pPr>
            <w:r w:rsidRPr="009E1E57">
              <w:t>9</w:t>
            </w:r>
          </w:p>
        </w:tc>
        <w:tc>
          <w:tcPr>
            <w:tcW w:w="1276" w:type="dxa"/>
            <w:tcBorders>
              <w:top w:val="nil"/>
              <w:left w:val="nil"/>
              <w:bottom w:val="nil"/>
              <w:right w:val="nil"/>
            </w:tcBorders>
            <w:shd w:val="clear" w:color="auto" w:fill="F2F2F2" w:themeFill="background1" w:themeFillShade="F2"/>
          </w:tcPr>
          <w:p w:rsidR="00EF595D" w:rsidRPr="009E1E57" w:rsidRDefault="00EF595D" w:rsidP="00634196">
            <w:pPr>
              <w:pStyle w:val="TableText"/>
              <w:tabs>
                <w:tab w:val="decimal" w:pos="632"/>
              </w:tabs>
            </w:pPr>
            <w:r w:rsidRPr="009E1E57">
              <w:t>4.2</w:t>
            </w:r>
          </w:p>
        </w:tc>
      </w:tr>
      <w:tr w:rsidR="00EF595D" w:rsidRPr="009E1E57" w:rsidTr="00634196">
        <w:trPr>
          <w:cantSplit/>
        </w:trPr>
        <w:tc>
          <w:tcPr>
            <w:tcW w:w="3402" w:type="dxa"/>
            <w:tcBorders>
              <w:top w:val="nil"/>
              <w:bottom w:val="nil"/>
              <w:right w:val="nil"/>
            </w:tcBorders>
            <w:shd w:val="clear" w:color="auto" w:fill="auto"/>
          </w:tcPr>
          <w:p w:rsidR="00EF595D" w:rsidRPr="009E1E57" w:rsidRDefault="00EF595D" w:rsidP="00634196">
            <w:pPr>
              <w:pStyle w:val="TableText"/>
            </w:pPr>
            <w:r w:rsidRPr="009E1E57">
              <w:t xml:space="preserve">Primary </w:t>
            </w:r>
            <w:r w:rsidR="00634196">
              <w:t>c</w:t>
            </w:r>
            <w:r w:rsidRPr="009E1E57">
              <w:t>are</w:t>
            </w:r>
          </w:p>
        </w:tc>
        <w:tc>
          <w:tcPr>
            <w:tcW w:w="1276" w:type="dxa"/>
            <w:tcBorders>
              <w:top w:val="nil"/>
              <w:left w:val="nil"/>
              <w:bottom w:val="nil"/>
              <w:right w:val="nil"/>
            </w:tcBorders>
            <w:shd w:val="clear" w:color="auto" w:fill="auto"/>
          </w:tcPr>
          <w:p w:rsidR="00EF595D" w:rsidRPr="009E1E57" w:rsidRDefault="00EF595D" w:rsidP="00634196">
            <w:pPr>
              <w:pStyle w:val="TableText"/>
              <w:tabs>
                <w:tab w:val="decimal" w:pos="652"/>
              </w:tabs>
            </w:pPr>
            <w:r w:rsidRPr="009E1E57">
              <w:t>2</w:t>
            </w:r>
          </w:p>
        </w:tc>
        <w:tc>
          <w:tcPr>
            <w:tcW w:w="1276" w:type="dxa"/>
            <w:tcBorders>
              <w:top w:val="nil"/>
              <w:left w:val="nil"/>
              <w:bottom w:val="nil"/>
              <w:right w:val="nil"/>
            </w:tcBorders>
            <w:shd w:val="clear" w:color="auto" w:fill="auto"/>
          </w:tcPr>
          <w:p w:rsidR="00EF595D" w:rsidRPr="009E1E57" w:rsidRDefault="00EF595D" w:rsidP="00634196">
            <w:pPr>
              <w:pStyle w:val="TableText"/>
              <w:tabs>
                <w:tab w:val="decimal" w:pos="632"/>
              </w:tabs>
            </w:pPr>
            <w:r w:rsidRPr="009E1E57">
              <w:t>0.9</w:t>
            </w:r>
          </w:p>
        </w:tc>
      </w:tr>
      <w:tr w:rsidR="00EF595D" w:rsidRPr="009E1E57" w:rsidTr="00634196">
        <w:trPr>
          <w:cantSplit/>
        </w:trPr>
        <w:tc>
          <w:tcPr>
            <w:tcW w:w="3402" w:type="dxa"/>
            <w:tcBorders>
              <w:top w:val="nil"/>
              <w:bottom w:val="nil"/>
              <w:right w:val="nil"/>
            </w:tcBorders>
            <w:shd w:val="clear" w:color="auto" w:fill="F2F2F2" w:themeFill="background1" w:themeFillShade="F2"/>
          </w:tcPr>
          <w:p w:rsidR="00EF595D" w:rsidRPr="009E1E57" w:rsidRDefault="00EF595D" w:rsidP="00634196">
            <w:pPr>
              <w:pStyle w:val="TableText"/>
            </w:pPr>
            <w:r w:rsidRPr="009E1E57">
              <w:t>Other</w:t>
            </w:r>
          </w:p>
        </w:tc>
        <w:tc>
          <w:tcPr>
            <w:tcW w:w="1276" w:type="dxa"/>
            <w:tcBorders>
              <w:top w:val="nil"/>
              <w:left w:val="nil"/>
              <w:bottom w:val="nil"/>
              <w:right w:val="nil"/>
            </w:tcBorders>
            <w:shd w:val="clear" w:color="auto" w:fill="F2F2F2" w:themeFill="background1" w:themeFillShade="F2"/>
          </w:tcPr>
          <w:p w:rsidR="00EF595D" w:rsidRPr="009E1E57" w:rsidRDefault="00EF595D" w:rsidP="00634196">
            <w:pPr>
              <w:pStyle w:val="TableText"/>
              <w:tabs>
                <w:tab w:val="decimal" w:pos="652"/>
              </w:tabs>
            </w:pPr>
            <w:r w:rsidRPr="009E1E57">
              <w:t>5</w:t>
            </w:r>
          </w:p>
        </w:tc>
        <w:tc>
          <w:tcPr>
            <w:tcW w:w="1276" w:type="dxa"/>
            <w:tcBorders>
              <w:top w:val="nil"/>
              <w:left w:val="nil"/>
              <w:bottom w:val="nil"/>
              <w:right w:val="nil"/>
            </w:tcBorders>
            <w:shd w:val="clear" w:color="auto" w:fill="F2F2F2" w:themeFill="background1" w:themeFillShade="F2"/>
          </w:tcPr>
          <w:p w:rsidR="00EF595D" w:rsidRPr="009E1E57" w:rsidRDefault="00EF595D" w:rsidP="00634196">
            <w:pPr>
              <w:pStyle w:val="TableText"/>
              <w:tabs>
                <w:tab w:val="decimal" w:pos="632"/>
              </w:tabs>
            </w:pPr>
            <w:r w:rsidRPr="009E1E57">
              <w:t>2.3</w:t>
            </w:r>
          </w:p>
        </w:tc>
      </w:tr>
      <w:tr w:rsidR="00EF595D" w:rsidRPr="009E1E57" w:rsidTr="00634196">
        <w:trPr>
          <w:cantSplit/>
        </w:trPr>
        <w:tc>
          <w:tcPr>
            <w:tcW w:w="3402" w:type="dxa"/>
            <w:tcBorders>
              <w:top w:val="nil"/>
              <w:bottom w:val="single" w:sz="4" w:space="0" w:color="A6A6A6" w:themeColor="background1" w:themeShade="A6"/>
              <w:right w:val="nil"/>
            </w:tcBorders>
            <w:shd w:val="clear" w:color="auto" w:fill="auto"/>
          </w:tcPr>
          <w:p w:rsidR="00EF595D" w:rsidRPr="009E1E57" w:rsidRDefault="00EF595D" w:rsidP="00634196">
            <w:pPr>
              <w:pStyle w:val="TableText"/>
            </w:pPr>
            <w:r w:rsidRPr="009E1E57">
              <w:t xml:space="preserve">Not </w:t>
            </w:r>
            <w:r w:rsidR="00634196">
              <w:t>a</w:t>
            </w:r>
            <w:r w:rsidRPr="009E1E57">
              <w:t>nswered</w:t>
            </w:r>
          </w:p>
        </w:tc>
        <w:tc>
          <w:tcPr>
            <w:tcW w:w="1276" w:type="dxa"/>
            <w:tcBorders>
              <w:top w:val="nil"/>
              <w:left w:val="nil"/>
              <w:bottom w:val="single" w:sz="4" w:space="0" w:color="A6A6A6" w:themeColor="background1" w:themeShade="A6"/>
              <w:right w:val="nil"/>
            </w:tcBorders>
            <w:shd w:val="clear" w:color="auto" w:fill="auto"/>
          </w:tcPr>
          <w:p w:rsidR="00EF595D" w:rsidRPr="009E1E57" w:rsidRDefault="00EF595D" w:rsidP="00634196">
            <w:pPr>
              <w:pStyle w:val="TableText"/>
              <w:tabs>
                <w:tab w:val="decimal" w:pos="652"/>
              </w:tabs>
            </w:pPr>
            <w:r w:rsidRPr="009E1E57">
              <w:t>7</w:t>
            </w:r>
          </w:p>
        </w:tc>
        <w:tc>
          <w:tcPr>
            <w:tcW w:w="1276" w:type="dxa"/>
            <w:tcBorders>
              <w:top w:val="nil"/>
              <w:left w:val="nil"/>
              <w:bottom w:val="single" w:sz="4" w:space="0" w:color="A6A6A6" w:themeColor="background1" w:themeShade="A6"/>
              <w:right w:val="nil"/>
            </w:tcBorders>
            <w:shd w:val="clear" w:color="auto" w:fill="auto"/>
          </w:tcPr>
          <w:p w:rsidR="00EF595D" w:rsidRPr="009E1E57" w:rsidRDefault="00EF595D" w:rsidP="00634196">
            <w:pPr>
              <w:pStyle w:val="TableText"/>
              <w:tabs>
                <w:tab w:val="decimal" w:pos="632"/>
              </w:tabs>
            </w:pPr>
            <w:r w:rsidRPr="009E1E57">
              <w:t>3.3</w:t>
            </w:r>
          </w:p>
        </w:tc>
      </w:tr>
      <w:tr w:rsidR="00EF595D" w:rsidRPr="00634196" w:rsidTr="00634196">
        <w:trPr>
          <w:cantSplit/>
        </w:trPr>
        <w:tc>
          <w:tcPr>
            <w:tcW w:w="3402" w:type="dxa"/>
            <w:tcBorders>
              <w:top w:val="single" w:sz="4" w:space="0" w:color="A6A6A6" w:themeColor="background1" w:themeShade="A6"/>
              <w:bottom w:val="single" w:sz="4" w:space="0" w:color="auto"/>
              <w:right w:val="nil"/>
            </w:tcBorders>
            <w:shd w:val="clear" w:color="auto" w:fill="F2F2F2" w:themeFill="background1" w:themeFillShade="F2"/>
          </w:tcPr>
          <w:p w:rsidR="00EF595D" w:rsidRPr="00634196" w:rsidRDefault="00EF595D" w:rsidP="00634196">
            <w:pPr>
              <w:pStyle w:val="TableText"/>
              <w:rPr>
                <w:b/>
              </w:rPr>
            </w:pPr>
            <w:r w:rsidRPr="00634196">
              <w:rPr>
                <w:b/>
              </w:rPr>
              <w:t>Total</w:t>
            </w:r>
          </w:p>
        </w:tc>
        <w:tc>
          <w:tcPr>
            <w:tcW w:w="1276" w:type="dxa"/>
            <w:tcBorders>
              <w:top w:val="single" w:sz="4" w:space="0" w:color="A6A6A6" w:themeColor="background1" w:themeShade="A6"/>
              <w:left w:val="nil"/>
              <w:bottom w:val="single" w:sz="4" w:space="0" w:color="auto"/>
              <w:right w:val="nil"/>
            </w:tcBorders>
            <w:shd w:val="clear" w:color="auto" w:fill="F2F2F2" w:themeFill="background1" w:themeFillShade="F2"/>
          </w:tcPr>
          <w:p w:rsidR="00EF595D" w:rsidRPr="00634196" w:rsidRDefault="00EF595D" w:rsidP="00634196">
            <w:pPr>
              <w:pStyle w:val="TableText"/>
              <w:tabs>
                <w:tab w:val="decimal" w:pos="652"/>
              </w:tabs>
              <w:rPr>
                <w:b/>
              </w:rPr>
            </w:pPr>
            <w:r w:rsidRPr="00634196">
              <w:rPr>
                <w:b/>
              </w:rPr>
              <w:t>215</w:t>
            </w:r>
          </w:p>
        </w:tc>
        <w:tc>
          <w:tcPr>
            <w:tcW w:w="1276" w:type="dxa"/>
            <w:tcBorders>
              <w:top w:val="single" w:sz="4" w:space="0" w:color="A6A6A6" w:themeColor="background1" w:themeShade="A6"/>
              <w:left w:val="nil"/>
              <w:bottom w:val="single" w:sz="4" w:space="0" w:color="auto"/>
              <w:right w:val="nil"/>
            </w:tcBorders>
            <w:shd w:val="clear" w:color="auto" w:fill="F2F2F2" w:themeFill="background1" w:themeFillShade="F2"/>
          </w:tcPr>
          <w:p w:rsidR="00EF595D" w:rsidRPr="00634196" w:rsidRDefault="00EF595D" w:rsidP="00634196">
            <w:pPr>
              <w:pStyle w:val="TableText"/>
              <w:tabs>
                <w:tab w:val="decimal" w:pos="632"/>
              </w:tabs>
              <w:rPr>
                <w:b/>
              </w:rPr>
            </w:pPr>
            <w:r w:rsidRPr="00634196">
              <w:rPr>
                <w:b/>
              </w:rPr>
              <w:t>100.0</w:t>
            </w:r>
          </w:p>
        </w:tc>
      </w:tr>
    </w:tbl>
    <w:p w:rsidR="00EF595D" w:rsidRPr="009E1E57" w:rsidRDefault="00EF595D" w:rsidP="00634196"/>
    <w:p w:rsidR="00282AA7" w:rsidRDefault="00282AA7">
      <w:pPr>
        <w:spacing w:line="240" w:lineRule="auto"/>
      </w:pPr>
      <w:r>
        <w:br w:type="page"/>
      </w:r>
    </w:p>
    <w:p w:rsidR="00EF595D" w:rsidRPr="009E1E57" w:rsidRDefault="00EF595D" w:rsidP="00634196">
      <w:r w:rsidRPr="009E1E57">
        <w:t xml:space="preserve">Table </w:t>
      </w:r>
      <w:r w:rsidR="0037227B">
        <w:t>A</w:t>
      </w:r>
      <w:r w:rsidRPr="009E1E57">
        <w:t>4 reflects the distribution of Pacific within the medical workforce, of which Pacific make up</w:t>
      </w:r>
      <w:r w:rsidR="0037227B">
        <w:t xml:space="preserve"> </w:t>
      </w:r>
      <w:r w:rsidRPr="009E1E57">
        <w:t>1.8 percent.</w:t>
      </w:r>
    </w:p>
    <w:p w:rsidR="00EF595D" w:rsidRPr="009E1E57" w:rsidRDefault="00EF595D" w:rsidP="00634196"/>
    <w:p w:rsidR="00EF595D" w:rsidRPr="009E1E57" w:rsidRDefault="00EF595D" w:rsidP="0037227B">
      <w:pPr>
        <w:pStyle w:val="Table"/>
      </w:pPr>
      <w:bookmarkStart w:id="32" w:name="_Toc391539878"/>
      <w:r w:rsidRPr="009E1E57">
        <w:t>Table A4: Distribution of Pacific workforce in health and disability sector</w:t>
      </w:r>
      <w:bookmarkEnd w:id="32"/>
    </w:p>
    <w:tbl>
      <w:tblPr>
        <w:tblW w:w="0" w:type="auto"/>
        <w:tblInd w:w="57" w:type="dxa"/>
        <w:tblBorders>
          <w:top w:val="single" w:sz="4" w:space="0" w:color="auto"/>
          <w:bottom w:val="single" w:sz="4" w:space="0" w:color="auto"/>
        </w:tblBorders>
        <w:tblLayout w:type="fixed"/>
        <w:tblCellMar>
          <w:left w:w="57" w:type="dxa"/>
          <w:right w:w="57" w:type="dxa"/>
        </w:tblCellMar>
        <w:tblLook w:val="01E0" w:firstRow="1" w:lastRow="1" w:firstColumn="1" w:lastColumn="1" w:noHBand="0" w:noVBand="0"/>
      </w:tblPr>
      <w:tblGrid>
        <w:gridCol w:w="2707"/>
        <w:gridCol w:w="1399"/>
        <w:gridCol w:w="1400"/>
        <w:gridCol w:w="1400"/>
      </w:tblGrid>
      <w:tr w:rsidR="00EF595D" w:rsidRPr="009E1E57" w:rsidTr="0064500D">
        <w:trPr>
          <w:cantSplit/>
        </w:trPr>
        <w:tc>
          <w:tcPr>
            <w:tcW w:w="2707" w:type="dxa"/>
            <w:tcBorders>
              <w:top w:val="single" w:sz="4" w:space="0" w:color="auto"/>
              <w:bottom w:val="single" w:sz="4" w:space="0" w:color="auto"/>
            </w:tcBorders>
          </w:tcPr>
          <w:p w:rsidR="00EF595D" w:rsidRPr="009E1E57" w:rsidRDefault="00EF595D" w:rsidP="00634196">
            <w:pPr>
              <w:pStyle w:val="TableText"/>
              <w:keepNext/>
              <w:rPr>
                <w:rFonts w:eastAsia="Arial" w:cs="Arial"/>
                <w:szCs w:val="18"/>
              </w:rPr>
            </w:pPr>
            <w:r w:rsidRPr="009E1E57">
              <w:rPr>
                <w:rFonts w:eastAsia="Arial" w:cs="Arial"/>
                <w:b/>
                <w:bCs/>
                <w:szCs w:val="18"/>
              </w:rPr>
              <w:t>Position</w:t>
            </w:r>
          </w:p>
        </w:tc>
        <w:tc>
          <w:tcPr>
            <w:tcW w:w="1399" w:type="dxa"/>
            <w:tcBorders>
              <w:top w:val="single" w:sz="4" w:space="0" w:color="auto"/>
              <w:bottom w:val="single" w:sz="4" w:space="0" w:color="auto"/>
            </w:tcBorders>
          </w:tcPr>
          <w:p w:rsidR="00EF595D" w:rsidRPr="00634196" w:rsidRDefault="00EF595D" w:rsidP="00634196">
            <w:pPr>
              <w:pStyle w:val="TableText"/>
              <w:keepNext/>
              <w:jc w:val="center"/>
              <w:rPr>
                <w:b/>
              </w:rPr>
            </w:pPr>
            <w:r w:rsidRPr="00634196">
              <w:rPr>
                <w:b/>
              </w:rPr>
              <w:t>Number</w:t>
            </w:r>
          </w:p>
        </w:tc>
        <w:tc>
          <w:tcPr>
            <w:tcW w:w="1400" w:type="dxa"/>
            <w:tcBorders>
              <w:top w:val="single" w:sz="4" w:space="0" w:color="auto"/>
              <w:bottom w:val="single" w:sz="4" w:space="0" w:color="auto"/>
            </w:tcBorders>
          </w:tcPr>
          <w:p w:rsidR="00EF595D" w:rsidRPr="009E1E57" w:rsidRDefault="00EF595D" w:rsidP="00634196">
            <w:pPr>
              <w:pStyle w:val="TableText"/>
              <w:keepNext/>
              <w:jc w:val="center"/>
              <w:rPr>
                <w:rFonts w:eastAsia="Arial" w:cs="Arial"/>
                <w:szCs w:val="18"/>
              </w:rPr>
            </w:pPr>
            <w:r w:rsidRPr="009E1E57">
              <w:rPr>
                <w:rFonts w:eastAsia="Arial" w:cs="Arial"/>
                <w:b/>
                <w:bCs/>
                <w:szCs w:val="18"/>
              </w:rPr>
              <w:t>Percentage</w:t>
            </w:r>
          </w:p>
        </w:tc>
        <w:tc>
          <w:tcPr>
            <w:tcW w:w="1400" w:type="dxa"/>
            <w:tcBorders>
              <w:top w:val="single" w:sz="4" w:space="0" w:color="auto"/>
              <w:bottom w:val="single" w:sz="4" w:space="0" w:color="auto"/>
            </w:tcBorders>
          </w:tcPr>
          <w:p w:rsidR="00EF595D" w:rsidRPr="009E1E57" w:rsidRDefault="00EF595D" w:rsidP="00634196">
            <w:pPr>
              <w:pStyle w:val="TableText"/>
              <w:keepNext/>
              <w:jc w:val="center"/>
              <w:rPr>
                <w:rFonts w:eastAsia="Arial" w:cs="Arial"/>
                <w:szCs w:val="18"/>
              </w:rPr>
            </w:pPr>
            <w:r w:rsidRPr="009E1E57">
              <w:rPr>
                <w:rFonts w:eastAsia="Arial" w:cs="Arial"/>
                <w:b/>
                <w:bCs/>
                <w:szCs w:val="18"/>
              </w:rPr>
              <w:t>Year</w:t>
            </w:r>
          </w:p>
        </w:tc>
      </w:tr>
      <w:tr w:rsidR="00EF595D" w:rsidRPr="009E1E57" w:rsidTr="0064500D">
        <w:trPr>
          <w:cantSplit/>
        </w:trPr>
        <w:tc>
          <w:tcPr>
            <w:tcW w:w="2707" w:type="dxa"/>
            <w:tcBorders>
              <w:top w:val="single" w:sz="4" w:space="0" w:color="auto"/>
              <w:bottom w:val="nil"/>
            </w:tcBorders>
            <w:shd w:val="clear" w:color="auto" w:fill="F2F2F2" w:themeFill="background1" w:themeFillShade="F2"/>
          </w:tcPr>
          <w:p w:rsidR="00EF595D" w:rsidRPr="009E1E57" w:rsidRDefault="00EF595D" w:rsidP="00634196">
            <w:pPr>
              <w:pStyle w:val="TableText"/>
              <w:keepNext/>
            </w:pPr>
            <w:r w:rsidRPr="009E1E57">
              <w:t>Registered nurses*</w:t>
            </w:r>
          </w:p>
        </w:tc>
        <w:tc>
          <w:tcPr>
            <w:tcW w:w="1399" w:type="dxa"/>
            <w:tcBorders>
              <w:top w:val="single" w:sz="4" w:space="0" w:color="auto"/>
              <w:bottom w:val="nil"/>
            </w:tcBorders>
            <w:shd w:val="clear" w:color="auto" w:fill="F2F2F2" w:themeFill="background1" w:themeFillShade="F2"/>
          </w:tcPr>
          <w:p w:rsidR="00EF595D" w:rsidRPr="009E1E57" w:rsidRDefault="00EF595D" w:rsidP="00634196">
            <w:pPr>
              <w:pStyle w:val="TableText"/>
              <w:keepNext/>
              <w:tabs>
                <w:tab w:val="decimal" w:pos="836"/>
              </w:tabs>
            </w:pPr>
            <w:r w:rsidRPr="009E1E57">
              <w:t>1622</w:t>
            </w:r>
          </w:p>
        </w:tc>
        <w:tc>
          <w:tcPr>
            <w:tcW w:w="1400" w:type="dxa"/>
            <w:tcBorders>
              <w:top w:val="single" w:sz="4" w:space="0" w:color="auto"/>
              <w:bottom w:val="nil"/>
            </w:tcBorders>
            <w:shd w:val="clear" w:color="auto" w:fill="F2F2F2" w:themeFill="background1" w:themeFillShade="F2"/>
          </w:tcPr>
          <w:p w:rsidR="00EF595D" w:rsidRPr="009E1E57" w:rsidRDefault="00EF595D" w:rsidP="00634196">
            <w:pPr>
              <w:pStyle w:val="TableText"/>
              <w:keepNext/>
              <w:tabs>
                <w:tab w:val="decimal" w:pos="681"/>
              </w:tabs>
            </w:pPr>
            <w:r w:rsidRPr="009E1E57">
              <w:t>3</w:t>
            </w:r>
          </w:p>
        </w:tc>
        <w:tc>
          <w:tcPr>
            <w:tcW w:w="1400" w:type="dxa"/>
            <w:tcBorders>
              <w:top w:val="single" w:sz="4" w:space="0" w:color="auto"/>
              <w:bottom w:val="nil"/>
            </w:tcBorders>
            <w:shd w:val="clear" w:color="auto" w:fill="F2F2F2" w:themeFill="background1" w:themeFillShade="F2"/>
          </w:tcPr>
          <w:p w:rsidR="00EF595D" w:rsidRPr="009E1E57" w:rsidRDefault="00EF595D" w:rsidP="00634196">
            <w:pPr>
              <w:pStyle w:val="TableText"/>
              <w:keepNext/>
              <w:jc w:val="center"/>
            </w:pPr>
            <w:r w:rsidRPr="009E1E57">
              <w:t>2013</w:t>
            </w:r>
          </w:p>
        </w:tc>
      </w:tr>
      <w:tr w:rsidR="00EF595D" w:rsidRPr="009E1E57" w:rsidTr="0064500D">
        <w:trPr>
          <w:cantSplit/>
        </w:trPr>
        <w:tc>
          <w:tcPr>
            <w:tcW w:w="2707" w:type="dxa"/>
            <w:tcBorders>
              <w:top w:val="nil"/>
              <w:bottom w:val="nil"/>
            </w:tcBorders>
          </w:tcPr>
          <w:p w:rsidR="00EF595D" w:rsidRPr="009E1E57" w:rsidRDefault="00EF595D" w:rsidP="00634196">
            <w:pPr>
              <w:pStyle w:val="TableText"/>
              <w:keepNext/>
            </w:pPr>
            <w:r w:rsidRPr="009E1E57">
              <w:t>Enrolled nurses</w:t>
            </w:r>
          </w:p>
        </w:tc>
        <w:tc>
          <w:tcPr>
            <w:tcW w:w="1399" w:type="dxa"/>
            <w:tcBorders>
              <w:top w:val="nil"/>
              <w:bottom w:val="nil"/>
            </w:tcBorders>
          </w:tcPr>
          <w:p w:rsidR="00EF595D" w:rsidRPr="009E1E57" w:rsidRDefault="00EF595D" w:rsidP="00634196">
            <w:pPr>
              <w:pStyle w:val="TableText"/>
              <w:keepNext/>
              <w:tabs>
                <w:tab w:val="decimal" w:pos="836"/>
              </w:tabs>
            </w:pPr>
            <w:r w:rsidRPr="009E1E57">
              <w:t>106</w:t>
            </w:r>
          </w:p>
        </w:tc>
        <w:tc>
          <w:tcPr>
            <w:tcW w:w="1400" w:type="dxa"/>
            <w:tcBorders>
              <w:top w:val="nil"/>
              <w:bottom w:val="nil"/>
            </w:tcBorders>
          </w:tcPr>
          <w:p w:rsidR="00EF595D" w:rsidRPr="009E1E57" w:rsidRDefault="00EF595D" w:rsidP="00634196">
            <w:pPr>
              <w:pStyle w:val="TableText"/>
              <w:keepNext/>
              <w:tabs>
                <w:tab w:val="decimal" w:pos="681"/>
              </w:tabs>
            </w:pPr>
            <w:r w:rsidRPr="009E1E57">
              <w:t>3</w:t>
            </w:r>
          </w:p>
        </w:tc>
        <w:tc>
          <w:tcPr>
            <w:tcW w:w="1400" w:type="dxa"/>
            <w:tcBorders>
              <w:top w:val="nil"/>
              <w:bottom w:val="nil"/>
            </w:tcBorders>
          </w:tcPr>
          <w:p w:rsidR="00EF595D" w:rsidRPr="009E1E57" w:rsidRDefault="00EF595D" w:rsidP="00634196">
            <w:pPr>
              <w:pStyle w:val="TableText"/>
              <w:keepNext/>
              <w:jc w:val="center"/>
            </w:pPr>
            <w:r w:rsidRPr="009E1E57">
              <w:t>2013</w:t>
            </w:r>
          </w:p>
        </w:tc>
      </w:tr>
      <w:tr w:rsidR="00EF595D" w:rsidRPr="009E1E57" w:rsidTr="0064500D">
        <w:trPr>
          <w:cantSplit/>
        </w:trPr>
        <w:tc>
          <w:tcPr>
            <w:tcW w:w="2707" w:type="dxa"/>
            <w:tcBorders>
              <w:top w:val="nil"/>
              <w:bottom w:val="nil"/>
            </w:tcBorders>
            <w:shd w:val="clear" w:color="auto" w:fill="F2F2F2" w:themeFill="background1" w:themeFillShade="F2"/>
          </w:tcPr>
          <w:p w:rsidR="00EF595D" w:rsidRPr="009E1E57" w:rsidRDefault="00EF595D" w:rsidP="00634196">
            <w:pPr>
              <w:pStyle w:val="TableText"/>
              <w:keepNext/>
            </w:pPr>
            <w:r w:rsidRPr="009E1E57">
              <w:t>Nurse</w:t>
            </w:r>
            <w:r w:rsidR="00085832">
              <w:t xml:space="preserve"> </w:t>
            </w:r>
            <w:r w:rsidRPr="009E1E57">
              <w:t>practitioners</w:t>
            </w:r>
          </w:p>
        </w:tc>
        <w:tc>
          <w:tcPr>
            <w:tcW w:w="1399" w:type="dxa"/>
            <w:tcBorders>
              <w:top w:val="nil"/>
              <w:bottom w:val="nil"/>
            </w:tcBorders>
            <w:shd w:val="clear" w:color="auto" w:fill="F2F2F2" w:themeFill="background1" w:themeFillShade="F2"/>
          </w:tcPr>
          <w:p w:rsidR="00EF595D" w:rsidRPr="009E1E57" w:rsidRDefault="00EF595D" w:rsidP="00634196">
            <w:pPr>
              <w:pStyle w:val="TableText"/>
              <w:keepNext/>
              <w:tabs>
                <w:tab w:val="decimal" w:pos="836"/>
              </w:tabs>
            </w:pPr>
            <w:r w:rsidRPr="009E1E57">
              <w:t>2</w:t>
            </w:r>
          </w:p>
        </w:tc>
        <w:tc>
          <w:tcPr>
            <w:tcW w:w="1400" w:type="dxa"/>
            <w:tcBorders>
              <w:top w:val="nil"/>
              <w:bottom w:val="nil"/>
            </w:tcBorders>
            <w:shd w:val="clear" w:color="auto" w:fill="F2F2F2" w:themeFill="background1" w:themeFillShade="F2"/>
          </w:tcPr>
          <w:p w:rsidR="00EF595D" w:rsidRPr="009E1E57" w:rsidRDefault="00EF595D" w:rsidP="00634196">
            <w:pPr>
              <w:pStyle w:val="TableText"/>
              <w:keepNext/>
              <w:tabs>
                <w:tab w:val="decimal" w:pos="681"/>
              </w:tabs>
            </w:pPr>
            <w:r w:rsidRPr="009E1E57">
              <w:t>1.8</w:t>
            </w:r>
          </w:p>
        </w:tc>
        <w:tc>
          <w:tcPr>
            <w:tcW w:w="1400" w:type="dxa"/>
            <w:tcBorders>
              <w:top w:val="nil"/>
              <w:bottom w:val="nil"/>
            </w:tcBorders>
            <w:shd w:val="clear" w:color="auto" w:fill="F2F2F2" w:themeFill="background1" w:themeFillShade="F2"/>
          </w:tcPr>
          <w:p w:rsidR="00EF595D" w:rsidRPr="009E1E57" w:rsidRDefault="00EF595D" w:rsidP="00634196">
            <w:pPr>
              <w:pStyle w:val="TableText"/>
              <w:keepNext/>
              <w:jc w:val="center"/>
            </w:pPr>
            <w:r w:rsidRPr="009E1E57">
              <w:t>2013</w:t>
            </w:r>
          </w:p>
        </w:tc>
      </w:tr>
      <w:tr w:rsidR="00EF595D" w:rsidRPr="00634196" w:rsidTr="0064500D">
        <w:trPr>
          <w:cantSplit/>
        </w:trPr>
        <w:tc>
          <w:tcPr>
            <w:tcW w:w="2707" w:type="dxa"/>
            <w:tcBorders>
              <w:top w:val="nil"/>
              <w:bottom w:val="nil"/>
            </w:tcBorders>
          </w:tcPr>
          <w:p w:rsidR="00EF595D" w:rsidRPr="00634196" w:rsidRDefault="00EF595D" w:rsidP="00634196">
            <w:pPr>
              <w:pStyle w:val="TableText"/>
              <w:rPr>
                <w:rFonts w:eastAsia="Arial" w:cs="Arial"/>
              </w:rPr>
            </w:pPr>
            <w:r w:rsidRPr="00634196">
              <w:t>Midwives</w:t>
            </w:r>
            <w:r w:rsidRPr="00634196">
              <w:rPr>
                <w:rFonts w:eastAsia="Arial" w:cs="Arial"/>
                <w:vertAlign w:val="superscript"/>
              </w:rPr>
              <w:t>#</w:t>
            </w:r>
          </w:p>
        </w:tc>
        <w:tc>
          <w:tcPr>
            <w:tcW w:w="1399" w:type="dxa"/>
            <w:tcBorders>
              <w:top w:val="nil"/>
              <w:bottom w:val="nil"/>
            </w:tcBorders>
          </w:tcPr>
          <w:p w:rsidR="00EF595D" w:rsidRPr="00634196" w:rsidRDefault="00EF595D" w:rsidP="00634196">
            <w:pPr>
              <w:pStyle w:val="TableText"/>
              <w:tabs>
                <w:tab w:val="decimal" w:pos="836"/>
              </w:tabs>
            </w:pPr>
            <w:r w:rsidRPr="00634196">
              <w:t>69</w:t>
            </w:r>
          </w:p>
        </w:tc>
        <w:tc>
          <w:tcPr>
            <w:tcW w:w="1400" w:type="dxa"/>
            <w:tcBorders>
              <w:top w:val="nil"/>
              <w:bottom w:val="nil"/>
            </w:tcBorders>
          </w:tcPr>
          <w:p w:rsidR="00EF595D" w:rsidRPr="00634196" w:rsidRDefault="00EF595D" w:rsidP="00634196">
            <w:pPr>
              <w:pStyle w:val="TableText"/>
              <w:tabs>
                <w:tab w:val="decimal" w:pos="681"/>
              </w:tabs>
            </w:pPr>
            <w:r w:rsidRPr="00634196">
              <w:t>2.4</w:t>
            </w:r>
          </w:p>
        </w:tc>
        <w:tc>
          <w:tcPr>
            <w:tcW w:w="1400" w:type="dxa"/>
            <w:tcBorders>
              <w:top w:val="nil"/>
              <w:bottom w:val="nil"/>
            </w:tcBorders>
          </w:tcPr>
          <w:p w:rsidR="00EF595D" w:rsidRPr="00634196" w:rsidRDefault="00EF595D" w:rsidP="00634196">
            <w:pPr>
              <w:pStyle w:val="TableText"/>
              <w:jc w:val="center"/>
            </w:pPr>
            <w:r w:rsidRPr="00634196">
              <w:t>2012</w:t>
            </w:r>
          </w:p>
        </w:tc>
      </w:tr>
      <w:tr w:rsidR="00EF595D" w:rsidRPr="00634196" w:rsidTr="0064500D">
        <w:trPr>
          <w:cantSplit/>
        </w:trPr>
        <w:tc>
          <w:tcPr>
            <w:tcW w:w="2707" w:type="dxa"/>
            <w:tcBorders>
              <w:top w:val="nil"/>
              <w:bottom w:val="nil"/>
            </w:tcBorders>
            <w:shd w:val="clear" w:color="auto" w:fill="F2F2F2" w:themeFill="background1" w:themeFillShade="F2"/>
          </w:tcPr>
          <w:p w:rsidR="00EF595D" w:rsidRPr="00634196" w:rsidRDefault="00EF595D" w:rsidP="00634196">
            <w:pPr>
              <w:pStyle w:val="TableText"/>
              <w:rPr>
                <w:rFonts w:eastAsia="Arial" w:cs="Arial"/>
              </w:rPr>
            </w:pPr>
            <w:r w:rsidRPr="00634196">
              <w:t>Dentists</w:t>
            </w:r>
            <w:r w:rsidRPr="00634196">
              <w:rPr>
                <w:rFonts w:eastAsia="Arial" w:cs="Arial"/>
                <w:vertAlign w:val="superscript"/>
              </w:rPr>
              <w:t>^</w:t>
            </w:r>
          </w:p>
        </w:tc>
        <w:tc>
          <w:tcPr>
            <w:tcW w:w="1399" w:type="dxa"/>
            <w:tcBorders>
              <w:top w:val="nil"/>
              <w:bottom w:val="nil"/>
            </w:tcBorders>
            <w:shd w:val="clear" w:color="auto" w:fill="F2F2F2" w:themeFill="background1" w:themeFillShade="F2"/>
          </w:tcPr>
          <w:p w:rsidR="00EF595D" w:rsidRPr="00634196" w:rsidRDefault="00EF595D" w:rsidP="00634196">
            <w:pPr>
              <w:pStyle w:val="TableText"/>
              <w:tabs>
                <w:tab w:val="decimal" w:pos="836"/>
              </w:tabs>
            </w:pPr>
            <w:r w:rsidRPr="00634196">
              <w:t>19</w:t>
            </w:r>
          </w:p>
        </w:tc>
        <w:tc>
          <w:tcPr>
            <w:tcW w:w="1400" w:type="dxa"/>
            <w:tcBorders>
              <w:top w:val="nil"/>
              <w:bottom w:val="nil"/>
            </w:tcBorders>
            <w:shd w:val="clear" w:color="auto" w:fill="F2F2F2" w:themeFill="background1" w:themeFillShade="F2"/>
          </w:tcPr>
          <w:p w:rsidR="00EF595D" w:rsidRPr="00634196" w:rsidRDefault="00EF595D" w:rsidP="00634196">
            <w:pPr>
              <w:pStyle w:val="TableText"/>
              <w:tabs>
                <w:tab w:val="decimal" w:pos="681"/>
              </w:tabs>
            </w:pPr>
            <w:r w:rsidRPr="00634196">
              <w:t>1</w:t>
            </w:r>
          </w:p>
        </w:tc>
        <w:tc>
          <w:tcPr>
            <w:tcW w:w="1400" w:type="dxa"/>
            <w:tcBorders>
              <w:top w:val="nil"/>
              <w:bottom w:val="nil"/>
            </w:tcBorders>
            <w:shd w:val="clear" w:color="auto" w:fill="F2F2F2" w:themeFill="background1" w:themeFillShade="F2"/>
          </w:tcPr>
          <w:p w:rsidR="00EF595D" w:rsidRPr="00634196" w:rsidRDefault="00EF595D" w:rsidP="00634196">
            <w:pPr>
              <w:pStyle w:val="TableText"/>
              <w:jc w:val="center"/>
            </w:pPr>
            <w:r w:rsidRPr="00634196">
              <w:t>2009</w:t>
            </w:r>
          </w:p>
        </w:tc>
      </w:tr>
      <w:tr w:rsidR="00EF595D" w:rsidRPr="009E1E57" w:rsidTr="0064500D">
        <w:trPr>
          <w:cantSplit/>
        </w:trPr>
        <w:tc>
          <w:tcPr>
            <w:tcW w:w="2707" w:type="dxa"/>
            <w:tcBorders>
              <w:top w:val="nil"/>
            </w:tcBorders>
          </w:tcPr>
          <w:p w:rsidR="00EF595D" w:rsidRPr="009E1E57" w:rsidRDefault="00EF595D" w:rsidP="00634196">
            <w:pPr>
              <w:pStyle w:val="TableText"/>
            </w:pPr>
            <w:r w:rsidRPr="009E1E57">
              <w:t>Pharmacists**</w:t>
            </w:r>
          </w:p>
        </w:tc>
        <w:tc>
          <w:tcPr>
            <w:tcW w:w="1399" w:type="dxa"/>
            <w:tcBorders>
              <w:top w:val="nil"/>
            </w:tcBorders>
          </w:tcPr>
          <w:p w:rsidR="00EF595D" w:rsidRPr="009E1E57" w:rsidRDefault="00EF595D" w:rsidP="00634196">
            <w:pPr>
              <w:pStyle w:val="TableText"/>
              <w:tabs>
                <w:tab w:val="decimal" w:pos="836"/>
              </w:tabs>
            </w:pPr>
            <w:r w:rsidRPr="009E1E57">
              <w:t>22</w:t>
            </w:r>
          </w:p>
        </w:tc>
        <w:tc>
          <w:tcPr>
            <w:tcW w:w="1400" w:type="dxa"/>
            <w:tcBorders>
              <w:top w:val="nil"/>
            </w:tcBorders>
          </w:tcPr>
          <w:p w:rsidR="00EF595D" w:rsidRPr="009E1E57" w:rsidRDefault="00EF595D" w:rsidP="00634196">
            <w:pPr>
              <w:pStyle w:val="TableText"/>
              <w:tabs>
                <w:tab w:val="decimal" w:pos="681"/>
              </w:tabs>
            </w:pPr>
            <w:r w:rsidRPr="009E1E57">
              <w:t>0.7</w:t>
            </w:r>
          </w:p>
        </w:tc>
        <w:tc>
          <w:tcPr>
            <w:tcW w:w="1400" w:type="dxa"/>
            <w:tcBorders>
              <w:top w:val="nil"/>
            </w:tcBorders>
          </w:tcPr>
          <w:p w:rsidR="00EF595D" w:rsidRPr="009E1E57" w:rsidRDefault="00EF595D" w:rsidP="00634196">
            <w:pPr>
              <w:pStyle w:val="TableText"/>
              <w:jc w:val="center"/>
            </w:pPr>
            <w:r w:rsidRPr="009E1E57">
              <w:t>2013</w:t>
            </w:r>
          </w:p>
        </w:tc>
      </w:tr>
    </w:tbl>
    <w:p w:rsidR="00EF595D" w:rsidRPr="009E1E57" w:rsidRDefault="00EF595D" w:rsidP="0037227B">
      <w:pPr>
        <w:pStyle w:val="Note"/>
      </w:pPr>
      <w:r w:rsidRPr="0037227B">
        <w:rPr>
          <w:rStyle w:val="NoteChar"/>
        </w:rPr>
        <w:t>*</w:t>
      </w:r>
      <w:r w:rsidR="0037227B">
        <w:tab/>
      </w:r>
      <w:r w:rsidRPr="009E1E57">
        <w:t>Nursing</w:t>
      </w:r>
      <w:r w:rsidR="00085832">
        <w:t xml:space="preserve"> </w:t>
      </w:r>
      <w:r w:rsidRPr="009E1E57">
        <w:t>Council of New Zealand (2013).</w:t>
      </w:r>
    </w:p>
    <w:p w:rsidR="00EF595D" w:rsidRPr="009E1E57" w:rsidRDefault="00EF595D" w:rsidP="0037227B">
      <w:pPr>
        <w:pStyle w:val="Note"/>
      </w:pPr>
      <w:r w:rsidRPr="0037227B">
        <w:rPr>
          <w:rStyle w:val="NoteChar"/>
          <w:rFonts w:eastAsia="Arial"/>
        </w:rPr>
        <w:t>#</w:t>
      </w:r>
      <w:r w:rsidR="0037227B">
        <w:tab/>
        <w:t>M</w:t>
      </w:r>
      <w:r w:rsidRPr="009E1E57">
        <w:t>idwifery Council of New Zealand (2012) – this total consists of Pacific midwives</w:t>
      </w:r>
      <w:r w:rsidR="00085832">
        <w:t xml:space="preserve"> </w:t>
      </w:r>
      <w:r w:rsidRPr="009E1E57">
        <w:t>who identified</w:t>
      </w:r>
      <w:r w:rsidR="00085832">
        <w:t xml:space="preserve"> </w:t>
      </w:r>
      <w:r w:rsidRPr="009E1E57">
        <w:t>Pacific as their first, second or third ethnicity.</w:t>
      </w:r>
    </w:p>
    <w:p w:rsidR="00EF595D" w:rsidRPr="009E1E57" w:rsidRDefault="00EF595D" w:rsidP="0037227B">
      <w:pPr>
        <w:pStyle w:val="Note"/>
      </w:pPr>
      <w:r w:rsidRPr="009E1E57">
        <w:rPr>
          <w:rFonts w:eastAsia="Arial" w:cs="Arial"/>
        </w:rPr>
        <w:t>^</w:t>
      </w:r>
      <w:r w:rsidR="0037227B">
        <w:rPr>
          <w:rFonts w:eastAsia="Arial" w:cs="Arial"/>
        </w:rPr>
        <w:tab/>
      </w:r>
      <w:r w:rsidRPr="009E1E57">
        <w:t>Dental Council of New Zealand (2009) – this total consists of Pacific dentists who identified</w:t>
      </w:r>
      <w:r w:rsidR="00085832">
        <w:t xml:space="preserve"> </w:t>
      </w:r>
      <w:r w:rsidRPr="009E1E57">
        <w:t>one of the following ethnic</w:t>
      </w:r>
      <w:r w:rsidR="00085832">
        <w:t xml:space="preserve"> </w:t>
      </w:r>
      <w:r w:rsidRPr="009E1E57">
        <w:t>specific groups – Samoan, Tongan, Niuean,</w:t>
      </w:r>
      <w:r w:rsidR="00085832">
        <w:t xml:space="preserve"> </w:t>
      </w:r>
      <w:r w:rsidRPr="009E1E57">
        <w:t>Tokelauan, Fijian, other</w:t>
      </w:r>
      <w:r w:rsidR="00085832">
        <w:t xml:space="preserve"> </w:t>
      </w:r>
      <w:r w:rsidRPr="009E1E57">
        <w:t>Pacific peoples – as their first or second ethnicity.</w:t>
      </w:r>
    </w:p>
    <w:p w:rsidR="00EF595D" w:rsidRPr="009E1E57" w:rsidRDefault="00EF595D" w:rsidP="0037227B">
      <w:pPr>
        <w:pStyle w:val="Note"/>
      </w:pPr>
      <w:r w:rsidRPr="009E1E57">
        <w:t>**</w:t>
      </w:r>
      <w:r w:rsidR="0037227B">
        <w:tab/>
      </w:r>
      <w:r w:rsidRPr="009E1E57">
        <w:t>Pharmacy Council of New Zealand (2013).</w:t>
      </w:r>
    </w:p>
    <w:p w:rsidR="00EF595D" w:rsidRPr="009E1E57" w:rsidRDefault="00EF595D" w:rsidP="0037227B"/>
    <w:p w:rsidR="0037227B" w:rsidRDefault="0037227B" w:rsidP="00634196">
      <w:r>
        <w:br w:type="page"/>
      </w:r>
    </w:p>
    <w:p w:rsidR="00EF595D" w:rsidRPr="009E1E57" w:rsidRDefault="00EF595D" w:rsidP="0037227B">
      <w:pPr>
        <w:pStyle w:val="Heading1"/>
      </w:pPr>
      <w:bookmarkStart w:id="33" w:name="_Toc391539872"/>
      <w:r w:rsidRPr="009E1E57">
        <w:t xml:space="preserve">Appendix 2: Refreshing </w:t>
      </w:r>
      <w:r w:rsidRPr="009E1E57">
        <w:rPr>
          <w:i/>
        </w:rPr>
        <w:t>’Ala Mo’ui</w:t>
      </w:r>
      <w:bookmarkEnd w:id="33"/>
    </w:p>
    <w:p w:rsidR="00EF595D" w:rsidRPr="009E1E57" w:rsidRDefault="00EF595D" w:rsidP="0037227B">
      <w:r w:rsidRPr="009E1E57">
        <w:t xml:space="preserve">The refresh of </w:t>
      </w:r>
      <w:r w:rsidRPr="009E1E57">
        <w:rPr>
          <w:i/>
        </w:rPr>
        <w:t xml:space="preserve">’Ala Mo’ui </w:t>
      </w:r>
      <w:r w:rsidRPr="009E1E57">
        <w:t>has</w:t>
      </w:r>
      <w:r w:rsidR="00085832">
        <w:t xml:space="preserve"> </w:t>
      </w:r>
      <w:r w:rsidRPr="009E1E57">
        <w:t>been informed by focused consultation with clinical and community health leaders, and Ministry of Health officials, drawing on relevant national and international literature and using the latest available evidence on Pacific health.</w:t>
      </w:r>
    </w:p>
    <w:p w:rsidR="00EF595D" w:rsidRPr="009E1E57" w:rsidRDefault="00EF595D" w:rsidP="0037227B"/>
    <w:p w:rsidR="00EF595D" w:rsidRPr="009E1E57" w:rsidRDefault="00EF595D" w:rsidP="0037227B">
      <w:r w:rsidRPr="009E1E57">
        <w:t xml:space="preserve">The papers provide detailed analysis of the health status of Pacific peoples, and collectively highlight priority areas for action. The papers are available at </w:t>
      </w:r>
      <w:hyperlink r:id="rId30">
        <w:r w:rsidRPr="009E1E57">
          <w:t>www.health.govt.nz/</w:t>
        </w:r>
      </w:hyperlink>
      <w:r w:rsidRPr="009E1E57">
        <w:t>Pacific</w:t>
      </w:r>
    </w:p>
    <w:p w:rsidR="00EF595D" w:rsidRPr="009E1E57" w:rsidRDefault="00EF595D" w:rsidP="0037227B"/>
    <w:p w:rsidR="00EF595D" w:rsidRPr="009E1E57" w:rsidRDefault="00EF595D" w:rsidP="0037227B">
      <w:r w:rsidRPr="009E1E57">
        <w:t>The Ministry of Health would like to acknowledge the authors Thirza Moors and Catherine Poutasi and the assistance of the following people who</w:t>
      </w:r>
      <w:r w:rsidR="00085832">
        <w:t xml:space="preserve"> </w:t>
      </w:r>
      <w:r w:rsidRPr="009E1E57">
        <w:t>contributed to the ‘update’ of</w:t>
      </w:r>
      <w:r w:rsidR="00085832">
        <w:t xml:space="preserve"> </w:t>
      </w:r>
      <w:r w:rsidRPr="009E1E57">
        <w:rPr>
          <w:i/>
        </w:rPr>
        <w:t>’Ala Mo’ui.</w:t>
      </w:r>
    </w:p>
    <w:p w:rsidR="00EF595D" w:rsidRPr="009E1E57" w:rsidRDefault="00EF595D" w:rsidP="0037227B"/>
    <w:p w:rsidR="00EF595D" w:rsidRPr="009E1E57" w:rsidRDefault="00EF595D" w:rsidP="0037227B">
      <w:pPr>
        <w:pStyle w:val="Heading3"/>
      </w:pPr>
      <w:r w:rsidRPr="009E1E57">
        <w:t>Sector Expert Leaders Group 1, 21 February 2014</w:t>
      </w:r>
    </w:p>
    <w:p w:rsidR="00EF595D" w:rsidRPr="009E1E57" w:rsidRDefault="00EF595D" w:rsidP="0037227B">
      <w:r w:rsidRPr="009E1E57">
        <w:t>Jenny Salesa, Tertiary Education Commission</w:t>
      </w:r>
    </w:p>
    <w:p w:rsidR="00EF595D" w:rsidRPr="009E1E57" w:rsidRDefault="00EF595D" w:rsidP="0037227B">
      <w:pPr>
        <w:spacing w:before="60"/>
      </w:pPr>
      <w:r w:rsidRPr="009E1E57">
        <w:t>Dr Monique Faleafa, Le Va</w:t>
      </w:r>
    </w:p>
    <w:p w:rsidR="00EF595D" w:rsidRPr="009E1E57" w:rsidRDefault="00EF595D" w:rsidP="0037227B">
      <w:pPr>
        <w:spacing w:before="60"/>
      </w:pPr>
      <w:r w:rsidRPr="009E1E57">
        <w:t>Dr Margaret Southwick, Whitireira</w:t>
      </w:r>
    </w:p>
    <w:p w:rsidR="0037227B" w:rsidRDefault="00EF595D" w:rsidP="0037227B">
      <w:pPr>
        <w:spacing w:before="60"/>
      </w:pPr>
      <w:r w:rsidRPr="009E1E57">
        <w:t>Dr Fa</w:t>
      </w:r>
      <w:r w:rsidR="005F5B6B">
        <w:t>’a</w:t>
      </w:r>
      <w:r w:rsidRPr="009E1E57">
        <w:t>fetai Spopaga, University of Otago</w:t>
      </w:r>
    </w:p>
    <w:p w:rsidR="0037227B" w:rsidRDefault="00EF595D" w:rsidP="0037227B">
      <w:pPr>
        <w:spacing w:before="60"/>
      </w:pPr>
      <w:r w:rsidRPr="009E1E57">
        <w:t>Margareth Attwood, Health Workforce N</w:t>
      </w:r>
      <w:r w:rsidR="0068383E">
        <w:t xml:space="preserve">ew </w:t>
      </w:r>
      <w:r w:rsidRPr="009E1E57">
        <w:t>Z</w:t>
      </w:r>
      <w:r w:rsidR="0068383E">
        <w:t>ealand</w:t>
      </w:r>
    </w:p>
    <w:p w:rsidR="00EF595D" w:rsidRPr="009E1E57" w:rsidRDefault="00EF595D" w:rsidP="0037227B">
      <w:pPr>
        <w:spacing w:before="60"/>
      </w:pPr>
      <w:r w:rsidRPr="009E1E57">
        <w:t>Tiana Collins, National Heart Foundation</w:t>
      </w:r>
    </w:p>
    <w:p w:rsidR="00EF595D" w:rsidRPr="009E1E57" w:rsidRDefault="00EF595D" w:rsidP="0037227B">
      <w:pPr>
        <w:spacing w:before="60"/>
      </w:pPr>
      <w:r w:rsidRPr="009E1E57">
        <w:t>Penina Samusamuvodre, Fijian community representative</w:t>
      </w:r>
    </w:p>
    <w:p w:rsidR="00EF595D" w:rsidRPr="009E1E57" w:rsidRDefault="00EF595D" w:rsidP="0037227B">
      <w:pPr>
        <w:spacing w:before="60"/>
      </w:pPr>
      <w:r w:rsidRPr="009E1E57">
        <w:t>Walter Fraser, The University of Auckland</w:t>
      </w:r>
    </w:p>
    <w:p w:rsidR="00EF595D" w:rsidRPr="009E1E57" w:rsidRDefault="00EF595D" w:rsidP="0037227B"/>
    <w:p w:rsidR="00EF595D" w:rsidRPr="009E1E57" w:rsidRDefault="00EF595D" w:rsidP="0037227B">
      <w:pPr>
        <w:pStyle w:val="Heading3"/>
      </w:pPr>
      <w:r w:rsidRPr="009E1E57">
        <w:t>Pacific Senior Officials Group, 28 February 2014</w:t>
      </w:r>
    </w:p>
    <w:p w:rsidR="00EF595D" w:rsidRPr="009E1E57" w:rsidRDefault="00EF595D" w:rsidP="0037227B">
      <w:r w:rsidRPr="009E1E57">
        <w:t>Matalena Leaupepe, Ministry of Business, Innovation and Employment</w:t>
      </w:r>
    </w:p>
    <w:p w:rsidR="00EF595D" w:rsidRPr="009E1E57" w:rsidRDefault="00EF595D" w:rsidP="0037227B">
      <w:pPr>
        <w:spacing w:before="60"/>
      </w:pPr>
      <w:r w:rsidRPr="009E1E57">
        <w:t>Debra Tuifao, Ministry of Education</w:t>
      </w:r>
    </w:p>
    <w:p w:rsidR="00EF595D" w:rsidRPr="009E1E57" w:rsidRDefault="00EF595D" w:rsidP="0037227B">
      <w:pPr>
        <w:spacing w:before="60"/>
      </w:pPr>
      <w:r w:rsidRPr="009E1E57">
        <w:t>Roy Lagolago, New Zealand Customs</w:t>
      </w:r>
    </w:p>
    <w:p w:rsidR="0037227B" w:rsidRDefault="00EF595D" w:rsidP="0037227B">
      <w:pPr>
        <w:spacing w:before="60"/>
      </w:pPr>
      <w:r w:rsidRPr="009E1E57">
        <w:t>Lisale Falem</w:t>
      </w:r>
      <w:r w:rsidR="0037227B">
        <w:t>a’a</w:t>
      </w:r>
      <w:r w:rsidRPr="009E1E57">
        <w:t>, Tertiary Education Commission</w:t>
      </w:r>
    </w:p>
    <w:p w:rsidR="0037227B" w:rsidRDefault="00EF595D" w:rsidP="0037227B">
      <w:pPr>
        <w:spacing w:before="60"/>
      </w:pPr>
      <w:r w:rsidRPr="009E1E57">
        <w:t>Isabel Evans, Ministry of Social</w:t>
      </w:r>
      <w:r w:rsidR="00085832">
        <w:t xml:space="preserve"> </w:t>
      </w:r>
      <w:r w:rsidRPr="009E1E57">
        <w:t>Development</w:t>
      </w:r>
    </w:p>
    <w:p w:rsidR="0037227B" w:rsidRDefault="00EF595D" w:rsidP="0037227B">
      <w:pPr>
        <w:spacing w:before="60"/>
      </w:pPr>
      <w:r w:rsidRPr="009E1E57">
        <w:t>Lesa Kalapu, Department of Internal Affairs</w:t>
      </w:r>
    </w:p>
    <w:p w:rsidR="00EF595D" w:rsidRPr="009E1E57" w:rsidRDefault="00EF595D" w:rsidP="0037227B">
      <w:pPr>
        <w:spacing w:before="60"/>
      </w:pPr>
      <w:r w:rsidRPr="009E1E57">
        <w:t>Shelly Rao, Education Review Office</w:t>
      </w:r>
    </w:p>
    <w:p w:rsidR="00EF595D" w:rsidRPr="009E1E57" w:rsidRDefault="00EF595D" w:rsidP="0037227B">
      <w:pPr>
        <w:spacing w:before="60"/>
      </w:pPr>
      <w:r w:rsidRPr="009E1E57">
        <w:t>Peter Stokes, New Zealand Police</w:t>
      </w:r>
    </w:p>
    <w:p w:rsidR="00EF595D" w:rsidRPr="009E1E57" w:rsidRDefault="00EF595D" w:rsidP="0037227B">
      <w:pPr>
        <w:spacing w:before="60"/>
      </w:pPr>
      <w:r w:rsidRPr="009E1E57">
        <w:t>Violet</w:t>
      </w:r>
      <w:r w:rsidR="00085832">
        <w:t xml:space="preserve"> </w:t>
      </w:r>
      <w:r w:rsidRPr="009E1E57">
        <w:t>Stevenson, Education Review Office</w:t>
      </w:r>
    </w:p>
    <w:p w:rsidR="00EF595D" w:rsidRPr="009E1E57" w:rsidRDefault="00EF595D" w:rsidP="0037227B">
      <w:pPr>
        <w:spacing w:before="60"/>
      </w:pPr>
      <w:r w:rsidRPr="009E1E57">
        <w:t>Jenny Salesa, Tertiary Education Commission</w:t>
      </w:r>
    </w:p>
    <w:p w:rsidR="0037227B" w:rsidRDefault="00EF595D" w:rsidP="0037227B">
      <w:pPr>
        <w:spacing w:before="60"/>
      </w:pPr>
      <w:r w:rsidRPr="009E1E57">
        <w:t>Fa</w:t>
      </w:r>
      <w:r w:rsidR="0037227B">
        <w:t>’a</w:t>
      </w:r>
      <w:r w:rsidRPr="009E1E57">
        <w:t>matuainu Aaron Nonoa, New Zealand Qualifications Authority (NZQA)</w:t>
      </w:r>
    </w:p>
    <w:p w:rsidR="00EF595D" w:rsidRPr="009E1E57" w:rsidRDefault="00EF595D" w:rsidP="0037227B">
      <w:pPr>
        <w:spacing w:before="60"/>
      </w:pPr>
      <w:r w:rsidRPr="009E1E57">
        <w:t>Karan Bostock, Te</w:t>
      </w:r>
      <w:r w:rsidR="0037227B">
        <w:t> </w:t>
      </w:r>
      <w:r w:rsidRPr="009E1E57">
        <w:t>Puni Kōkiri</w:t>
      </w:r>
    </w:p>
    <w:p w:rsidR="00EF595D" w:rsidRPr="009E1E57" w:rsidRDefault="00EF595D" w:rsidP="0037227B">
      <w:pPr>
        <w:spacing w:before="60"/>
      </w:pPr>
      <w:r w:rsidRPr="009E1E57">
        <w:t>Erik Koed,</w:t>
      </w:r>
      <w:r w:rsidR="00085832">
        <w:t xml:space="preserve"> </w:t>
      </w:r>
      <w:r w:rsidRPr="009E1E57">
        <w:t>State Services Commission</w:t>
      </w:r>
    </w:p>
    <w:p w:rsidR="00EF595D" w:rsidRPr="009E1E57" w:rsidRDefault="00EF595D" w:rsidP="0037227B">
      <w:pPr>
        <w:spacing w:before="60"/>
      </w:pPr>
      <w:r w:rsidRPr="009E1E57">
        <w:t>Mathew Sootaga, Ministry of Health</w:t>
      </w:r>
    </w:p>
    <w:p w:rsidR="00EF595D" w:rsidRPr="009E1E57" w:rsidRDefault="00EF595D" w:rsidP="0037227B">
      <w:pPr>
        <w:spacing w:before="60"/>
      </w:pPr>
      <w:r w:rsidRPr="009E1E57">
        <w:t>S</w:t>
      </w:r>
      <w:r w:rsidR="0037227B">
        <w:t>u’a</w:t>
      </w:r>
      <w:r w:rsidRPr="009E1E57">
        <w:t xml:space="preserve"> Kevin</w:t>
      </w:r>
      <w:r w:rsidR="00085832">
        <w:t xml:space="preserve"> </w:t>
      </w:r>
      <w:r w:rsidRPr="009E1E57">
        <w:t>Thompson, Ministry of Pacific Island Affairs</w:t>
      </w:r>
    </w:p>
    <w:p w:rsidR="00EF595D" w:rsidRPr="009E1E57" w:rsidRDefault="00EF595D" w:rsidP="0037227B">
      <w:pPr>
        <w:spacing w:before="60"/>
      </w:pPr>
      <w:r w:rsidRPr="009E1E57">
        <w:t>Mathew Parr, Ministry of Health</w:t>
      </w:r>
    </w:p>
    <w:p w:rsidR="00EF595D" w:rsidRPr="009E1E57" w:rsidRDefault="00EF595D" w:rsidP="0037227B"/>
    <w:p w:rsidR="00EF595D" w:rsidRPr="009E1E57" w:rsidRDefault="00EF595D" w:rsidP="0037227B">
      <w:pPr>
        <w:pStyle w:val="Heading3"/>
      </w:pPr>
      <w:r w:rsidRPr="009E1E57">
        <w:t>The Wellington DHBs Pacific Advisory Groups (subregional group),</w:t>
      </w:r>
      <w:r w:rsidR="0037227B">
        <w:t xml:space="preserve"> </w:t>
      </w:r>
      <w:r w:rsidRPr="009E1E57">
        <w:t>4 April 2014</w:t>
      </w:r>
    </w:p>
    <w:p w:rsidR="0037227B" w:rsidRDefault="00EF595D" w:rsidP="0037227B">
      <w:r w:rsidRPr="009E1E57">
        <w:t>Fa</w:t>
      </w:r>
      <w:r w:rsidR="0037227B">
        <w:t>’a</w:t>
      </w:r>
      <w:r w:rsidRPr="009E1E57">
        <w:t>matuainu Tino Pereira, Niu Vision</w:t>
      </w:r>
    </w:p>
    <w:p w:rsidR="0037227B" w:rsidRDefault="00EF595D" w:rsidP="0037227B">
      <w:pPr>
        <w:spacing w:before="60"/>
      </w:pPr>
      <w:r w:rsidRPr="009E1E57">
        <w:t>Debra Tuifao, Ministry of Education</w:t>
      </w:r>
    </w:p>
    <w:p w:rsidR="0037227B" w:rsidRDefault="00EF595D" w:rsidP="0037227B">
      <w:pPr>
        <w:spacing w:before="60"/>
      </w:pPr>
      <w:r w:rsidRPr="009E1E57">
        <w:t>Utulei Antipas, Taeaomanino Trust</w:t>
      </w:r>
    </w:p>
    <w:p w:rsidR="0037227B" w:rsidRDefault="00EF595D" w:rsidP="0037227B">
      <w:pPr>
        <w:spacing w:before="60"/>
      </w:pPr>
      <w:r w:rsidRPr="009E1E57">
        <w:t>Api Poutasi, Health Promotion Agency</w:t>
      </w:r>
    </w:p>
    <w:p w:rsidR="00EF595D" w:rsidRPr="009E1E57" w:rsidRDefault="00EF595D" w:rsidP="0037227B">
      <w:pPr>
        <w:spacing w:before="60"/>
      </w:pPr>
      <w:r w:rsidRPr="009E1E57">
        <w:t>Tua Sua, Kowhai Health Trust</w:t>
      </w:r>
    </w:p>
    <w:p w:rsidR="00EF595D" w:rsidRPr="009E1E57" w:rsidRDefault="00EF595D" w:rsidP="0037227B">
      <w:pPr>
        <w:spacing w:before="60"/>
      </w:pPr>
      <w:r w:rsidRPr="009E1E57">
        <w:t>Tavita Filemoni, Pacific Health Services Wellington</w:t>
      </w:r>
    </w:p>
    <w:p w:rsidR="0037227B" w:rsidRDefault="00EF595D" w:rsidP="0037227B">
      <w:pPr>
        <w:spacing w:before="60"/>
      </w:pPr>
      <w:r w:rsidRPr="009E1E57">
        <w:t>Dr Sunia Foliaki, Massey University</w:t>
      </w:r>
    </w:p>
    <w:p w:rsidR="0037227B" w:rsidRDefault="00EF595D" w:rsidP="0037227B">
      <w:pPr>
        <w:spacing w:before="60"/>
      </w:pPr>
      <w:r w:rsidRPr="009E1E57">
        <w:t>Taima Fagaloa, Capital &amp; Coast DHB</w:t>
      </w:r>
    </w:p>
    <w:p w:rsidR="0037227B" w:rsidRDefault="00EF595D" w:rsidP="0037227B">
      <w:pPr>
        <w:spacing w:before="60"/>
      </w:pPr>
      <w:r w:rsidRPr="009E1E57">
        <w:t>Tofa Suafole Gush, Hutt Valley</w:t>
      </w:r>
      <w:r w:rsidR="00085832">
        <w:t xml:space="preserve"> </w:t>
      </w:r>
      <w:r w:rsidRPr="009E1E57">
        <w:t>DHB</w:t>
      </w:r>
    </w:p>
    <w:p w:rsidR="00EF595D" w:rsidRPr="009E1E57" w:rsidRDefault="00EF595D" w:rsidP="0037227B">
      <w:pPr>
        <w:spacing w:before="60"/>
      </w:pPr>
      <w:r w:rsidRPr="009E1E57">
        <w:t>Debbie Chin, Capital &amp; Coast DHB</w:t>
      </w:r>
    </w:p>
    <w:p w:rsidR="00EF595D" w:rsidRPr="009E1E57" w:rsidRDefault="00EF595D" w:rsidP="0037227B">
      <w:pPr>
        <w:spacing w:before="60"/>
      </w:pPr>
      <w:r w:rsidRPr="009E1E57">
        <w:t>Dr Ashley Bloomfield, Capital &amp; Coast, Hutt Valley</w:t>
      </w:r>
      <w:r w:rsidR="00085832">
        <w:t xml:space="preserve"> </w:t>
      </w:r>
      <w:r w:rsidRPr="009E1E57">
        <w:t>and Wairarapa DHBs</w:t>
      </w:r>
    </w:p>
    <w:p w:rsidR="00EF595D" w:rsidRPr="009E1E57" w:rsidRDefault="00EF595D" w:rsidP="0037227B">
      <w:pPr>
        <w:spacing w:before="60"/>
      </w:pPr>
      <w:r w:rsidRPr="009E1E57">
        <w:t>Graham Dyer,</w:t>
      </w:r>
      <w:r w:rsidR="00085832">
        <w:t xml:space="preserve"> </w:t>
      </w:r>
      <w:r w:rsidRPr="009E1E57">
        <w:t>Hutt Valley</w:t>
      </w:r>
      <w:r w:rsidR="00085832">
        <w:t xml:space="preserve"> </w:t>
      </w:r>
      <w:r w:rsidRPr="009E1E57">
        <w:t>DHB</w:t>
      </w:r>
    </w:p>
    <w:p w:rsidR="00EF595D" w:rsidRPr="009E1E57" w:rsidRDefault="00EF595D" w:rsidP="0037227B">
      <w:pPr>
        <w:spacing w:before="60"/>
      </w:pPr>
      <w:r w:rsidRPr="009E1E57">
        <w:t>Ken Laban, Greater Wellington Regional Council</w:t>
      </w:r>
    </w:p>
    <w:p w:rsidR="00EF595D" w:rsidRPr="009E1E57" w:rsidRDefault="00EF595D" w:rsidP="0037227B"/>
    <w:p w:rsidR="00EF595D" w:rsidRPr="009E1E57" w:rsidRDefault="00EF595D" w:rsidP="0037227B">
      <w:pPr>
        <w:pStyle w:val="Heading3"/>
      </w:pPr>
      <w:r w:rsidRPr="009E1E57">
        <w:t>Sector Expert Leaders Group 2, 13 May 2014</w:t>
      </w:r>
    </w:p>
    <w:p w:rsidR="00EF595D" w:rsidRPr="009E1E57" w:rsidRDefault="00EF595D" w:rsidP="0037227B">
      <w:r w:rsidRPr="009E1E57">
        <w:t>Anne Allan-Moetaua, Wellington Health &amp; Wellbeing Collective</w:t>
      </w:r>
    </w:p>
    <w:p w:rsidR="00EF595D" w:rsidRPr="009E1E57" w:rsidRDefault="00EF595D" w:rsidP="0037227B">
      <w:pPr>
        <w:spacing w:before="60"/>
      </w:pPr>
      <w:r w:rsidRPr="009E1E57">
        <w:t>Fuimaono Karl Pulotu-Endemann, Health Consultant</w:t>
      </w:r>
    </w:p>
    <w:p w:rsidR="00EF595D" w:rsidRPr="009E1E57" w:rsidRDefault="00EF595D" w:rsidP="0037227B">
      <w:pPr>
        <w:spacing w:before="60"/>
      </w:pPr>
      <w:r w:rsidRPr="009E1E57">
        <w:t>Kim Wright, Health Economist</w:t>
      </w:r>
    </w:p>
    <w:p w:rsidR="00EF595D" w:rsidRPr="009E1E57" w:rsidRDefault="00EF595D" w:rsidP="0037227B">
      <w:pPr>
        <w:spacing w:before="60"/>
      </w:pPr>
      <w:r w:rsidRPr="009E1E57">
        <w:t>Dr Sainaimere Boladuadua, Public Health Register</w:t>
      </w:r>
    </w:p>
    <w:p w:rsidR="0037227B" w:rsidRDefault="00EF595D" w:rsidP="0037227B">
      <w:pPr>
        <w:spacing w:before="60"/>
      </w:pPr>
      <w:r w:rsidRPr="009E1E57">
        <w:t>Dr Kim Ma</w:t>
      </w:r>
      <w:r w:rsidR="0037227B">
        <w:t>i’a</w:t>
      </w:r>
      <w:r w:rsidRPr="009E1E57">
        <w:t>i, Pacific Trust Otago</w:t>
      </w:r>
    </w:p>
    <w:p w:rsidR="0037227B" w:rsidRDefault="00EF595D" w:rsidP="0037227B">
      <w:pPr>
        <w:spacing w:before="60"/>
      </w:pPr>
      <w:r w:rsidRPr="009E1E57">
        <w:t>Robert Muller, The Village Project</w:t>
      </w:r>
    </w:p>
    <w:p w:rsidR="0037227B" w:rsidRDefault="00EF595D" w:rsidP="0037227B">
      <w:pPr>
        <w:spacing w:before="60"/>
      </w:pPr>
      <w:r w:rsidRPr="009E1E57">
        <w:t>Siaosi</w:t>
      </w:r>
      <w:r w:rsidR="00085832">
        <w:t xml:space="preserve"> </w:t>
      </w:r>
      <w:r w:rsidRPr="009E1E57">
        <w:t>Anamani, Porirua Council</w:t>
      </w:r>
    </w:p>
    <w:p w:rsidR="0037227B" w:rsidRDefault="00EF595D" w:rsidP="0037227B">
      <w:pPr>
        <w:spacing w:before="60"/>
      </w:pPr>
      <w:r w:rsidRPr="009E1E57">
        <w:t>Bella Bartley, Capital &amp; Coast DHB</w:t>
      </w:r>
    </w:p>
    <w:p w:rsidR="00EF595D" w:rsidRPr="009E1E57" w:rsidRDefault="00EF595D" w:rsidP="0037227B">
      <w:pPr>
        <w:spacing w:before="60"/>
      </w:pPr>
      <w:r w:rsidRPr="009E1E57">
        <w:t>John Natua, Integrity Professionals</w:t>
      </w:r>
    </w:p>
    <w:p w:rsidR="00EF595D" w:rsidRPr="009E1E57" w:rsidRDefault="00EF595D" w:rsidP="0037227B"/>
    <w:p w:rsidR="00EF595D" w:rsidRPr="009E1E57" w:rsidRDefault="00EF595D" w:rsidP="0037227B">
      <w:pPr>
        <w:pStyle w:val="Heading3"/>
      </w:pPr>
      <w:r w:rsidRPr="009E1E57">
        <w:t>Sector Expert Leaders Group 3, 15 May 2014</w:t>
      </w:r>
    </w:p>
    <w:p w:rsidR="00EF595D" w:rsidRPr="009E1E57" w:rsidRDefault="00EF595D" w:rsidP="0037227B">
      <w:r w:rsidRPr="009E1E57">
        <w:t>Leani Sandord, Auckland and Waitemata DHBs</w:t>
      </w:r>
    </w:p>
    <w:p w:rsidR="00EF595D" w:rsidRPr="009E1E57" w:rsidRDefault="00EF595D" w:rsidP="0037227B">
      <w:pPr>
        <w:spacing w:before="60"/>
      </w:pPr>
      <w:r w:rsidRPr="009E1E57">
        <w:t>Dr Teuila Percival, Counties Manukau DHB</w:t>
      </w:r>
    </w:p>
    <w:p w:rsidR="00EF595D" w:rsidRPr="009E1E57" w:rsidRDefault="00EF595D" w:rsidP="0037227B">
      <w:pPr>
        <w:spacing w:before="60"/>
      </w:pPr>
      <w:r w:rsidRPr="009E1E57">
        <w:t>F</w:t>
      </w:r>
      <w:r w:rsidR="0037227B">
        <w:t>a’a</w:t>
      </w:r>
      <w:r w:rsidRPr="009E1E57">
        <w:t>matuainu Tino Pereira, Pacific Advisory Group; Director – Niu Vision</w:t>
      </w:r>
    </w:p>
    <w:p w:rsidR="00EF595D" w:rsidRPr="009E1E57" w:rsidRDefault="00EF595D" w:rsidP="0037227B">
      <w:pPr>
        <w:spacing w:before="60"/>
      </w:pPr>
      <w:r w:rsidRPr="009E1E57">
        <w:t>Dr Monique Faleafa, Le Va</w:t>
      </w:r>
    </w:p>
    <w:p w:rsidR="00EF595D" w:rsidRPr="009E1E57" w:rsidRDefault="00EF595D" w:rsidP="0037227B">
      <w:pPr>
        <w:spacing w:before="60"/>
      </w:pPr>
      <w:r w:rsidRPr="009E1E57">
        <w:t>Pulotu Bruce Levi, Waitemata and Auckland DHBs</w:t>
      </w:r>
    </w:p>
    <w:p w:rsidR="00EF595D" w:rsidRPr="009E1E57" w:rsidRDefault="00EF595D" w:rsidP="0037227B">
      <w:pPr>
        <w:spacing w:before="60"/>
      </w:pPr>
      <w:r w:rsidRPr="009E1E57">
        <w:t>Dr Ofa Dewes, Pacific Health – The University of Auckland</w:t>
      </w:r>
    </w:p>
    <w:p w:rsidR="00EF595D" w:rsidRPr="009E1E57" w:rsidRDefault="00EF595D" w:rsidP="0037227B">
      <w:pPr>
        <w:spacing w:before="60"/>
      </w:pPr>
      <w:r w:rsidRPr="009E1E57">
        <w:t>Innes Logan, Oceania Media</w:t>
      </w:r>
    </w:p>
    <w:p w:rsidR="00EF595D" w:rsidRPr="009E1E57" w:rsidRDefault="00EF595D" w:rsidP="0037227B">
      <w:pPr>
        <w:spacing w:before="60"/>
      </w:pPr>
      <w:r w:rsidRPr="009E1E57">
        <w:t>Louisa Ryan, Pacific Heart Beat</w:t>
      </w:r>
    </w:p>
    <w:p w:rsidR="00EF595D" w:rsidRPr="009E1E57" w:rsidRDefault="00EF595D" w:rsidP="0037227B">
      <w:pPr>
        <w:spacing w:before="60"/>
      </w:pPr>
      <w:r w:rsidRPr="009E1E57">
        <w:t>Lita Foliaki, Auckland and Waitemata DHBs</w:t>
      </w:r>
    </w:p>
    <w:p w:rsidR="00EF595D" w:rsidRPr="009E1E57" w:rsidRDefault="00EF595D" w:rsidP="0037227B"/>
    <w:p w:rsidR="00EF595D" w:rsidRPr="009E1E57" w:rsidRDefault="00EF595D" w:rsidP="0037227B">
      <w:pPr>
        <w:pStyle w:val="Heading3"/>
      </w:pPr>
      <w:r w:rsidRPr="009E1E57">
        <w:t>Collective Leads and Pacific General Managers Fono, 12 May 2014</w:t>
      </w:r>
    </w:p>
    <w:p w:rsidR="00EF595D" w:rsidRPr="009E1E57" w:rsidRDefault="00EF595D" w:rsidP="0037227B">
      <w:pPr>
        <w:keepLines/>
      </w:pPr>
      <w:r w:rsidRPr="009E1E57">
        <w:t>The collective leads (chief executive officers and board chairs) of the four</w:t>
      </w:r>
      <w:r w:rsidR="00085832">
        <w:t xml:space="preserve"> </w:t>
      </w:r>
      <w:r w:rsidRPr="009E1E57">
        <w:t>Pacific health provider collectives from across New Zealand were</w:t>
      </w:r>
      <w:r w:rsidR="00085832">
        <w:t xml:space="preserve"> </w:t>
      </w:r>
      <w:r w:rsidRPr="009E1E57">
        <w:t>consulted on the refresh at the Pacific Health fono hosted by the Ministry of Health on 12 May 2014. The four</w:t>
      </w:r>
      <w:r w:rsidR="00085832">
        <w:t xml:space="preserve"> </w:t>
      </w:r>
      <w:r w:rsidRPr="009E1E57">
        <w:t>Pacific health provider collectives that are supported by the Ministry are the Ministry’s direct link</w:t>
      </w:r>
      <w:r w:rsidR="00085832">
        <w:t xml:space="preserve"> </w:t>
      </w:r>
      <w:r w:rsidRPr="009E1E57">
        <w:t>to Pacific communities and their health care needs.</w:t>
      </w:r>
    </w:p>
    <w:p w:rsidR="00EF595D" w:rsidRPr="009E1E57" w:rsidRDefault="00EF595D" w:rsidP="0037227B"/>
    <w:p w:rsidR="00EF595D" w:rsidRPr="009E1E57" w:rsidRDefault="00EF595D" w:rsidP="0037227B">
      <w:r w:rsidRPr="009E1E57">
        <w:t>The providers hold fono to gain community input and subsequently feed</w:t>
      </w:r>
      <w:r w:rsidR="00085832">
        <w:t xml:space="preserve"> </w:t>
      </w:r>
      <w:r w:rsidRPr="009E1E57">
        <w:t>back community views and needs to the Ministry. Below is a list of all the Pacific collectives the Ministry has</w:t>
      </w:r>
      <w:r w:rsidR="00085832">
        <w:t xml:space="preserve"> </w:t>
      </w:r>
      <w:r w:rsidRPr="009E1E57">
        <w:t>engaged.</w:t>
      </w:r>
    </w:p>
    <w:p w:rsidR="0037227B" w:rsidRDefault="00EF595D" w:rsidP="0037227B">
      <w:pPr>
        <w:pStyle w:val="Bullet"/>
      </w:pPr>
      <w:r w:rsidRPr="009E1E57">
        <w:t>Auckland – Alliance Health Plus</w:t>
      </w:r>
      <w:r w:rsidR="00085832">
        <w:t xml:space="preserve"> </w:t>
      </w:r>
      <w:r w:rsidRPr="009E1E57">
        <w:t>Collective</w:t>
      </w:r>
    </w:p>
    <w:p w:rsidR="0037227B" w:rsidRDefault="00EF595D" w:rsidP="0037227B">
      <w:pPr>
        <w:pStyle w:val="Bullet"/>
      </w:pPr>
      <w:r w:rsidRPr="009E1E57">
        <w:t>Midlands – Aere Tai: Midlands Pacific Collective</w:t>
      </w:r>
    </w:p>
    <w:p w:rsidR="0037227B" w:rsidRDefault="00EF595D" w:rsidP="0037227B">
      <w:pPr>
        <w:pStyle w:val="Bullet"/>
      </w:pPr>
      <w:r w:rsidRPr="009E1E57">
        <w:t>Wellington – Pacific Health &amp; Wellbeing Collective</w:t>
      </w:r>
    </w:p>
    <w:p w:rsidR="00EF595D" w:rsidRPr="009E1E57" w:rsidRDefault="00EF595D" w:rsidP="0037227B">
      <w:pPr>
        <w:pStyle w:val="Bullet"/>
      </w:pPr>
      <w:r w:rsidRPr="009E1E57">
        <w:t>South Island – South Island Pacific Provider Collective</w:t>
      </w:r>
      <w:r w:rsidR="0037227B">
        <w:t>.</w:t>
      </w:r>
    </w:p>
    <w:p w:rsidR="00EF595D" w:rsidRPr="009E1E57" w:rsidRDefault="00EF595D" w:rsidP="0037227B"/>
    <w:p w:rsidR="00EF595D" w:rsidRPr="009E1E57" w:rsidRDefault="00EF595D" w:rsidP="0037227B">
      <w:pPr>
        <w:pStyle w:val="Heading3"/>
      </w:pPr>
      <w:r w:rsidRPr="009E1E57">
        <w:t>Pacific DHB General Managers</w:t>
      </w:r>
    </w:p>
    <w:p w:rsidR="0037227B" w:rsidRDefault="00EF595D" w:rsidP="0037227B">
      <w:r w:rsidRPr="009E1E57">
        <w:t>Elizabeth Powell, Pacific Director, Counties Manukau DHB</w:t>
      </w:r>
    </w:p>
    <w:p w:rsidR="00EF595D" w:rsidRPr="009E1E57" w:rsidRDefault="00EF595D" w:rsidP="0037227B">
      <w:pPr>
        <w:spacing w:before="60"/>
      </w:pPr>
      <w:r w:rsidRPr="009E1E57">
        <w:t>Taima Fagaloa, Director, Capital &amp; Coast DHB</w:t>
      </w:r>
    </w:p>
    <w:p w:rsidR="00EF595D" w:rsidRPr="009E1E57" w:rsidRDefault="00EF595D" w:rsidP="0037227B">
      <w:pPr>
        <w:spacing w:before="60"/>
      </w:pPr>
      <w:r w:rsidRPr="009E1E57">
        <w:t>Tofa Suafole Gush, Director, Hutt Valley</w:t>
      </w:r>
      <w:r w:rsidR="00085832">
        <w:t xml:space="preserve"> </w:t>
      </w:r>
      <w:r w:rsidRPr="009E1E57">
        <w:t>DHB</w:t>
      </w:r>
    </w:p>
    <w:p w:rsidR="0037227B" w:rsidRDefault="00EF595D" w:rsidP="0037227B">
      <w:pPr>
        <w:spacing w:before="60"/>
      </w:pPr>
      <w:r w:rsidRPr="009E1E57">
        <w:t>Hector Matthews, General Manager, Canterbury DHB</w:t>
      </w:r>
    </w:p>
    <w:p w:rsidR="00EF595D" w:rsidRPr="009E1E57" w:rsidRDefault="00EF595D" w:rsidP="0037227B">
      <w:pPr>
        <w:spacing w:before="60"/>
      </w:pPr>
      <w:r w:rsidRPr="009E1E57">
        <w:t>Talalelei Taufale, Pacific Advisor, Hawke’s Bay DHB</w:t>
      </w:r>
    </w:p>
    <w:p w:rsidR="00EF595D" w:rsidRPr="009E1E57" w:rsidRDefault="00EF595D" w:rsidP="0037227B">
      <w:pPr>
        <w:spacing w:before="60"/>
      </w:pPr>
      <w:r w:rsidRPr="009E1E57">
        <w:t xml:space="preserve">Lita Foliaki, Planning and </w:t>
      </w:r>
      <w:r w:rsidR="0037227B">
        <w:t>F</w:t>
      </w:r>
      <w:r w:rsidRPr="009E1E57">
        <w:t>unding Manager, Auckland and Waitemata DHBs</w:t>
      </w:r>
    </w:p>
    <w:p w:rsidR="00EF595D" w:rsidRPr="009E1E57" w:rsidRDefault="00EF595D" w:rsidP="0037227B"/>
    <w:p w:rsidR="00EF595D" w:rsidRPr="009E1E57" w:rsidRDefault="00EF595D" w:rsidP="0037227B">
      <w:pPr>
        <w:pStyle w:val="Heading3"/>
      </w:pPr>
      <w:r w:rsidRPr="009E1E57">
        <w:t>Others present at 12 May Fono</w:t>
      </w:r>
    </w:p>
    <w:p w:rsidR="00EF595D" w:rsidRPr="009E1E57" w:rsidRDefault="00EF595D" w:rsidP="0037227B">
      <w:r w:rsidRPr="009E1E57">
        <w:t>Rachel Enosa Saseve, Service Development and Integration Manager – Alliance Health Plus</w:t>
      </w:r>
    </w:p>
    <w:p w:rsidR="00EF595D" w:rsidRPr="009E1E57" w:rsidRDefault="00EF595D" w:rsidP="0037227B">
      <w:pPr>
        <w:spacing w:before="60"/>
      </w:pPr>
      <w:r w:rsidRPr="009E1E57">
        <w:t>Alan Wilson, Chief</w:t>
      </w:r>
      <w:r w:rsidR="00085832">
        <w:t xml:space="preserve"> </w:t>
      </w:r>
      <w:r w:rsidRPr="009E1E57">
        <w:t>Executive, Alliance Health Plus</w:t>
      </w:r>
    </w:p>
    <w:p w:rsidR="00EF595D" w:rsidRPr="009E1E57" w:rsidRDefault="00EF595D" w:rsidP="0037227B">
      <w:pPr>
        <w:spacing w:before="60"/>
      </w:pPr>
      <w:r w:rsidRPr="009E1E57">
        <w:t>Dr Kiki Moate, Chair, Pasifika Futures</w:t>
      </w:r>
    </w:p>
    <w:p w:rsidR="0037227B" w:rsidRDefault="00EF595D" w:rsidP="0037227B">
      <w:pPr>
        <w:spacing w:before="60"/>
      </w:pPr>
      <w:r w:rsidRPr="009E1E57">
        <w:t>Utulei Antipas, Pacific Health and Wellbeing Collective</w:t>
      </w:r>
    </w:p>
    <w:p w:rsidR="0037227B" w:rsidRDefault="00EF595D" w:rsidP="0037227B">
      <w:pPr>
        <w:spacing w:before="60"/>
      </w:pPr>
      <w:r w:rsidRPr="009E1E57">
        <w:t>Debbie Sorenson, Chief</w:t>
      </w:r>
      <w:r w:rsidR="00085832">
        <w:t xml:space="preserve"> </w:t>
      </w:r>
      <w:r w:rsidRPr="009E1E57">
        <w:t>Executive Officer,</w:t>
      </w:r>
      <w:r w:rsidR="00085832">
        <w:t xml:space="preserve"> </w:t>
      </w:r>
      <w:r w:rsidRPr="009E1E57">
        <w:t>Pasifika Futures</w:t>
      </w:r>
    </w:p>
    <w:p w:rsidR="0037227B" w:rsidRDefault="00EF595D" w:rsidP="0037227B">
      <w:pPr>
        <w:spacing w:before="60"/>
      </w:pPr>
      <w:r w:rsidRPr="009E1E57">
        <w:t>Tony Fakahau</w:t>
      </w:r>
      <w:r w:rsidR="00085832">
        <w:t xml:space="preserve"> </w:t>
      </w:r>
      <w:r w:rsidRPr="009E1E57">
        <w:t>General Manager – Pacific Trust Canterbury</w:t>
      </w:r>
    </w:p>
    <w:p w:rsidR="00EF595D" w:rsidRPr="009E1E57" w:rsidRDefault="00EF595D" w:rsidP="0037227B">
      <w:pPr>
        <w:spacing w:before="60"/>
      </w:pPr>
      <w:r w:rsidRPr="009E1E57">
        <w:t>Mosese Fifita, Chair, South Island Pacific Collective</w:t>
      </w:r>
    </w:p>
    <w:p w:rsidR="00EF595D" w:rsidRPr="009E1E57" w:rsidRDefault="00EF595D" w:rsidP="0037227B">
      <w:pPr>
        <w:spacing w:before="60"/>
      </w:pPr>
      <w:r w:rsidRPr="009E1E57">
        <w:t>Dr Margaret Southwick, Chair, Pacific Health and Wellbeing Collective</w:t>
      </w:r>
    </w:p>
    <w:p w:rsidR="00EF595D" w:rsidRPr="009E1E57" w:rsidRDefault="00EF595D" w:rsidP="0037227B">
      <w:pPr>
        <w:spacing w:before="60"/>
      </w:pPr>
      <w:r w:rsidRPr="009E1E57">
        <w:t>Peta Karalus, Chief</w:t>
      </w:r>
      <w:r w:rsidR="00085832">
        <w:t xml:space="preserve"> </w:t>
      </w:r>
      <w:r w:rsidRPr="009E1E57">
        <w:t>Executive Officer,</w:t>
      </w:r>
      <w:r w:rsidR="00085832">
        <w:t xml:space="preserve"> </w:t>
      </w:r>
      <w:r w:rsidRPr="009E1E57">
        <w:t>K’aute Pasifika Trust</w:t>
      </w:r>
    </w:p>
    <w:p w:rsidR="00EF595D" w:rsidRPr="009E1E57" w:rsidRDefault="00EF595D" w:rsidP="0037227B">
      <w:pPr>
        <w:spacing w:before="60"/>
      </w:pPr>
      <w:r w:rsidRPr="009E1E57">
        <w:t>Akarere Henry, General Manager, South Waikato Pacific Island Community</w:t>
      </w:r>
    </w:p>
    <w:p w:rsidR="00EF595D" w:rsidRPr="009E1E57" w:rsidRDefault="00EF595D" w:rsidP="0037227B">
      <w:pPr>
        <w:spacing w:before="60"/>
      </w:pPr>
      <w:r w:rsidRPr="009E1E57">
        <w:t>Kabwea Tiban, Programme Manager, Midlands Collectives</w:t>
      </w:r>
    </w:p>
    <w:p w:rsidR="00EF595D" w:rsidRPr="009E1E57" w:rsidRDefault="00EF595D" w:rsidP="0037227B"/>
    <w:p w:rsidR="00EF595D" w:rsidRPr="009E1E57" w:rsidRDefault="00EF595D" w:rsidP="0037227B">
      <w:pPr>
        <w:pStyle w:val="Heading3"/>
      </w:pPr>
      <w:r w:rsidRPr="009E1E57">
        <w:t>Engagement with South Island Collective, 16 May 2014</w:t>
      </w:r>
    </w:p>
    <w:p w:rsidR="0037227B" w:rsidRDefault="00EF595D" w:rsidP="0037227B">
      <w:pPr>
        <w:keepNext/>
      </w:pPr>
      <w:r w:rsidRPr="009E1E57">
        <w:t>Dr George Ngaei, Chair, Pacific Island Advisory Cultural Trust (Invercargill)</w:t>
      </w:r>
    </w:p>
    <w:p w:rsidR="00EF595D" w:rsidRPr="009E1E57" w:rsidRDefault="00EF595D" w:rsidP="0037227B">
      <w:pPr>
        <w:keepNext/>
        <w:spacing w:before="60"/>
      </w:pPr>
      <w:r w:rsidRPr="009E1E57">
        <w:t>Dr Kim Ma</w:t>
      </w:r>
      <w:r w:rsidR="0037227B">
        <w:t>’i</w:t>
      </w:r>
      <w:r w:rsidRPr="009E1E57">
        <w:t>a</w:t>
      </w:r>
      <w:r w:rsidR="0037227B">
        <w:t>’i</w:t>
      </w:r>
      <w:r w:rsidRPr="009E1E57">
        <w:t>, Chair, Pacific Trust Otago</w:t>
      </w:r>
    </w:p>
    <w:p w:rsidR="00EF595D" w:rsidRPr="009E1E57" w:rsidRDefault="00EF595D" w:rsidP="0037227B">
      <w:pPr>
        <w:keepNext/>
        <w:spacing w:before="60"/>
      </w:pPr>
      <w:r w:rsidRPr="009E1E57">
        <w:t>Brenda Lowe-Johnson, Vaka Tautua, Christchurch</w:t>
      </w:r>
    </w:p>
    <w:p w:rsidR="00EF595D" w:rsidRPr="009E1E57" w:rsidRDefault="00EF595D" w:rsidP="0037227B">
      <w:pPr>
        <w:keepNext/>
        <w:spacing w:before="60"/>
      </w:pPr>
      <w:r w:rsidRPr="009E1E57">
        <w:t>Malo Ioane, Manager, Tangata Atumotu Trust, Christchurch</w:t>
      </w:r>
    </w:p>
    <w:p w:rsidR="00EF595D" w:rsidRPr="009E1E57" w:rsidRDefault="00EF595D" w:rsidP="0037227B">
      <w:pPr>
        <w:keepNext/>
        <w:spacing w:before="60"/>
      </w:pPr>
      <w:r w:rsidRPr="009E1E57">
        <w:t>Ofa Boyle, Manager, Fale Pasifika o Aoraki, Timaru/South Canterbury</w:t>
      </w:r>
    </w:p>
    <w:p w:rsidR="0037227B" w:rsidRDefault="00EF595D" w:rsidP="0037227B">
      <w:pPr>
        <w:keepNext/>
        <w:spacing w:before="60"/>
      </w:pPr>
      <w:r w:rsidRPr="009E1E57">
        <w:t>Sonny Alesana, Nelson, Nelson/Tasman Community Trust</w:t>
      </w:r>
    </w:p>
    <w:p w:rsidR="0037227B" w:rsidRDefault="00EF595D" w:rsidP="0037227B">
      <w:pPr>
        <w:spacing w:before="60"/>
      </w:pPr>
      <w:r w:rsidRPr="009E1E57">
        <w:t>Tony Fakahau, General Manager, Pacific Trust Canterbury</w:t>
      </w:r>
    </w:p>
    <w:p w:rsidR="00EF595D" w:rsidRPr="009E1E57" w:rsidRDefault="00EF595D" w:rsidP="0037227B">
      <w:pPr>
        <w:spacing w:before="60"/>
      </w:pPr>
      <w:r w:rsidRPr="009E1E57">
        <w:t>Mosese Fifita, Chair, South Island Pacific Provider Collective</w:t>
      </w:r>
    </w:p>
    <w:p w:rsidR="00EF595D" w:rsidRPr="009E1E57" w:rsidRDefault="00EF595D" w:rsidP="0037227B"/>
    <w:p w:rsidR="00EF595D" w:rsidRPr="009E1E57" w:rsidRDefault="00EF595D" w:rsidP="0037227B">
      <w:r w:rsidRPr="009E1E57">
        <w:t>The Ministry of Health would also like to acknowledge the following people who</w:t>
      </w:r>
      <w:r w:rsidR="00085832">
        <w:t xml:space="preserve"> </w:t>
      </w:r>
      <w:r w:rsidRPr="009E1E57">
        <w:t xml:space="preserve">contributed to the original development of </w:t>
      </w:r>
      <w:r w:rsidRPr="009E1E57">
        <w:rPr>
          <w:i/>
        </w:rPr>
        <w:t>’Ala Mo’ui</w:t>
      </w:r>
      <w:r w:rsidRPr="009E1E57">
        <w:t>.</w:t>
      </w:r>
    </w:p>
    <w:p w:rsidR="00EF595D" w:rsidRPr="009E1E57" w:rsidRDefault="00EF595D" w:rsidP="0037227B"/>
    <w:p w:rsidR="00EF595D" w:rsidRPr="009E1E57" w:rsidRDefault="00EF595D" w:rsidP="0037227B">
      <w:r w:rsidRPr="009E1E57">
        <w:t>The Ministry of Pacific Island Affairs:</w:t>
      </w:r>
      <w:r w:rsidR="00085832">
        <w:t xml:space="preserve"> </w:t>
      </w:r>
      <w:r w:rsidRPr="009E1E57">
        <w:t>Dr Colin</w:t>
      </w:r>
      <w:r w:rsidR="00085832">
        <w:t xml:space="preserve"> </w:t>
      </w:r>
      <w:r w:rsidRPr="009E1E57">
        <w:t>Tukuitonga, Dr Debbie McLeod, Diane Anorpong, Jon Siakimotu.</w:t>
      </w:r>
    </w:p>
    <w:p w:rsidR="00EF595D" w:rsidRPr="009E1E57" w:rsidRDefault="00EF595D" w:rsidP="0037227B"/>
    <w:p w:rsidR="00EF595D" w:rsidRPr="009E1E57" w:rsidRDefault="00EF595D" w:rsidP="0037227B">
      <w:r w:rsidRPr="009E1E57">
        <w:t>Clinical experts group: Kim Buchanan, Hilda Fa</w:t>
      </w:r>
      <w:r w:rsidR="00BF7069">
        <w:t>’a</w:t>
      </w:r>
      <w:r w:rsidRPr="009E1E57">
        <w:t>salele, Dr Monique Faleafa, Dr Siro Fuatai, Papali</w:t>
      </w:r>
      <w:r w:rsidR="0037227B">
        <w:t>’i</w:t>
      </w:r>
      <w:r w:rsidRPr="009E1E57">
        <w:t xml:space="preserve"> Dr Kim Maia</w:t>
      </w:r>
      <w:r w:rsidR="0037227B">
        <w:t>’i</w:t>
      </w:r>
      <w:r w:rsidRPr="009E1E57">
        <w:t>, Mr Kiki Maoate, Tina McNicholas, Dr Teuila Percival, Fa</w:t>
      </w:r>
      <w:r w:rsidR="0037227B">
        <w:t>’a</w:t>
      </w:r>
      <w:r w:rsidRPr="009E1E57">
        <w:t>matuainu Tino Pereira, Fuimaono Karl Pulotu-Endemann, Dr Debbie Ryan, Debbie Sorenson and Seiuli Dr Juliet Walker.</w:t>
      </w:r>
    </w:p>
    <w:p w:rsidR="00EF595D" w:rsidRPr="009E1E57" w:rsidRDefault="00EF595D" w:rsidP="0037227B"/>
    <w:p w:rsidR="00EF595D" w:rsidRPr="009E1E57" w:rsidRDefault="00EF595D" w:rsidP="0037227B">
      <w:r w:rsidRPr="009E1E57">
        <w:t>Additionally, the clinical and community leaders, and government agencies for their assistance: Lita Foliaki (Waitemata DHB), Manu Sione, Anae</w:t>
      </w:r>
      <w:r w:rsidR="00085832">
        <w:t xml:space="preserve"> </w:t>
      </w:r>
      <w:r w:rsidRPr="009E1E57">
        <w:t>Arthur Anae</w:t>
      </w:r>
      <w:r w:rsidR="00085832">
        <w:t xml:space="preserve"> </w:t>
      </w:r>
      <w:r w:rsidRPr="009E1E57">
        <w:t>(Counties Manukau DHB), Aseta Redican (Auckland DHB), Siloma Masina (Hutt Valley</w:t>
      </w:r>
      <w:r w:rsidR="00085832">
        <w:t xml:space="preserve"> </w:t>
      </w:r>
      <w:r w:rsidRPr="009E1E57">
        <w:t>DHB), Lee Pearce and Taima Fagaloa (Capital and Coast DHB), Hector Matthews (Canterbury DHB), Helen Talamaivao (MidCentral DHB), Helen Wihongi (Northland DHB), Karina Elkington, Leaupepe Peta Karalus (Waikato DHB), Dr PJ Faumui (Whanganui DHB), Christine Briasco and Marion Quinn (NZAID), Gerard Vaughan and Bella Bartley (Alcohol Advisory Council of New Zealand), Erik Erika (Health Sponsorship Council), Michael</w:t>
      </w:r>
      <w:r w:rsidR="0037227B">
        <w:t xml:space="preserve"> </w:t>
      </w:r>
      <w:r w:rsidRPr="009E1E57">
        <w:t>Thorn (Medical Council of New Zealand), Jay Farris (Housing New Zealand Corporation), ‘Eseta Finau (Tongan Nurses Association), Anna Bailey, Christina Tapu and Mary Watts (Samoan Nurses Association of New Zealand), Malia</w:t>
      </w:r>
      <w:r w:rsidR="00085832">
        <w:t xml:space="preserve"> </w:t>
      </w:r>
      <w:r w:rsidRPr="009E1E57">
        <w:t>Hamani (TOA Pasifika Inc),</w:t>
      </w:r>
      <w:r w:rsidR="00085832">
        <w:t xml:space="preserve"> </w:t>
      </w:r>
      <w:r w:rsidRPr="009E1E57">
        <w:t>Dr Siale ‘Alo Foliaki and Philip Beilby (Vaka Tautua), Roine Lealaiauloto (Penina Health Trust), Carmel Peteru.</w:t>
      </w:r>
    </w:p>
    <w:p w:rsidR="0086388B" w:rsidRPr="009E1E57" w:rsidRDefault="0086388B" w:rsidP="0037227B"/>
    <w:sectPr w:rsidR="0086388B" w:rsidRPr="009E1E57" w:rsidSect="009D5125">
      <w:headerReference w:type="default" r:id="rId31"/>
      <w:pgSz w:w="11907" w:h="16834" w:code="9"/>
      <w:pgMar w:top="851" w:right="1134" w:bottom="1134" w:left="1134" w:header="284" w:footer="567" w:gutter="284"/>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75AA" w:rsidRDefault="00DB75AA">
      <w:pPr>
        <w:spacing w:line="240" w:lineRule="auto"/>
      </w:pPr>
      <w:r>
        <w:separator/>
      </w:r>
    </w:p>
  </w:endnote>
  <w:endnote w:type="continuationSeparator" w:id="0">
    <w:p w:rsidR="00DB75AA" w:rsidRDefault="00DB75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Mäori">
    <w:altName w:val="Arial"/>
    <w:panose1 w:val="00000000000000000000"/>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DINPro-Light">
    <w:altName w:val="DINPro-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75AA" w:rsidRPr="003648EF" w:rsidRDefault="00DB75AA" w:rsidP="003648EF">
    <w:pPr>
      <w:pStyle w:val="Footer"/>
      <w:pBdr>
        <w:bottom w:val="none" w:sz="0" w:space="0" w:color="auto"/>
      </w:pBd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75AA" w:rsidRDefault="00DB75AA" w:rsidP="004D6689">
    <w:pPr>
      <w:pStyle w:val="Footer"/>
      <w:pBdr>
        <w:bottom w:val="none" w:sz="0" w:space="0" w:color="auto"/>
      </w:pBdr>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75AA" w:rsidRDefault="00DB75A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75AA" w:rsidRPr="00275D08" w:rsidRDefault="00DB75AA" w:rsidP="00FC46E7">
    <w:pPr>
      <w:pStyle w:val="VersoFooter"/>
      <w:rPr>
        <w:b/>
      </w:rPr>
    </w:pPr>
    <w:r w:rsidRPr="00FC46E7">
      <w:rPr>
        <w:rStyle w:val="PageNumber"/>
      </w:rPr>
      <w:fldChar w:fldCharType="begin"/>
    </w:r>
    <w:r w:rsidRPr="00FC46E7">
      <w:rPr>
        <w:rStyle w:val="PageNumber"/>
      </w:rPr>
      <w:instrText xml:space="preserve"> PAGE </w:instrText>
    </w:r>
    <w:r w:rsidRPr="00FC46E7">
      <w:rPr>
        <w:rStyle w:val="PageNumber"/>
      </w:rPr>
      <w:fldChar w:fldCharType="separate"/>
    </w:r>
    <w:r w:rsidR="00FE7A07">
      <w:rPr>
        <w:rStyle w:val="PageNumber"/>
        <w:noProof/>
      </w:rPr>
      <w:t>iv</w:t>
    </w:r>
    <w:r w:rsidRPr="00FC46E7">
      <w:rPr>
        <w:rStyle w:val="PageNumber"/>
      </w:rPr>
      <w:fldChar w:fldCharType="end"/>
    </w:r>
    <w:r>
      <w:tab/>
      <w:t>’Ala Mo’ui</w:t>
    </w:r>
    <w:r w:rsidRPr="0069703D">
      <w:t>: Pathways to Pacific Health and Wellbeing 2014–2018</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75AA" w:rsidRDefault="00DB75AA" w:rsidP="00533B90">
    <w:pPr>
      <w:pStyle w:val="RectoFooter"/>
    </w:pPr>
    <w:r>
      <w:tab/>
      <w:t>’Ala Mo’ui</w:t>
    </w:r>
    <w:r w:rsidRPr="0069703D">
      <w:t>: Pathways to Pacific Health and Wellbeing 2014–2018</w:t>
    </w:r>
    <w:r>
      <w:tab/>
    </w:r>
    <w:r>
      <w:rPr>
        <w:rStyle w:val="PageNumber"/>
      </w:rPr>
      <w:fldChar w:fldCharType="begin"/>
    </w:r>
    <w:r>
      <w:rPr>
        <w:rStyle w:val="PageNumber"/>
      </w:rPr>
      <w:instrText xml:space="preserve"> PAGE </w:instrText>
    </w:r>
    <w:r>
      <w:rPr>
        <w:rStyle w:val="PageNumber"/>
      </w:rPr>
      <w:fldChar w:fldCharType="separate"/>
    </w:r>
    <w:r w:rsidR="00FE7A07">
      <w:rPr>
        <w:rStyle w:val="PageNumber"/>
        <w:noProof/>
      </w:rPr>
      <w:t>iii</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75AA" w:rsidRPr="00E460B6" w:rsidRDefault="00DB75AA" w:rsidP="007B4D3E"/>
  </w:footnote>
  <w:footnote w:type="continuationSeparator" w:id="0">
    <w:p w:rsidR="00DB75AA" w:rsidRDefault="00DB75AA">
      <w:pPr>
        <w:spacing w:line="240" w:lineRule="auto"/>
      </w:pPr>
      <w:r>
        <w:continuationSeparator/>
      </w:r>
    </w:p>
  </w:footnote>
  <w:footnote w:id="1">
    <w:p w:rsidR="00DB75AA" w:rsidRDefault="00DB75AA">
      <w:pPr>
        <w:pStyle w:val="FootnoteText"/>
      </w:pPr>
      <w:r>
        <w:rPr>
          <w:rStyle w:val="FootnoteReference"/>
        </w:rPr>
        <w:footnoteRef/>
      </w:r>
      <w:r>
        <w:tab/>
      </w:r>
      <w:r w:rsidRPr="003D42A4">
        <w:rPr>
          <w:rStyle w:val="FootnoteTextChar"/>
        </w:rPr>
        <w:t>’Ala Mo’ui is a combination of a number of Pacific languages meaning ‘pathways to the essence of life force’. It represents the holistic view of health and wellbeing, encompassing the physical, mental, cultural and spiritual dimensions that are important to Pacific people: Tongan (’Ala Mo’ui), Niuean (Ala Moui), Samoan (Ala), Cook Island Maori (Ara), Tokelauan (Ala), Tuvaluan (Ala).</w:t>
      </w:r>
    </w:p>
  </w:footnote>
  <w:footnote w:id="2">
    <w:p w:rsidR="00DB75AA" w:rsidRDefault="00DB75AA" w:rsidP="003D42A4">
      <w:pPr>
        <w:pStyle w:val="FootnoteText"/>
      </w:pPr>
      <w:r>
        <w:rPr>
          <w:rStyle w:val="FootnoteReference"/>
        </w:rPr>
        <w:footnoteRef/>
      </w:r>
      <w:r>
        <w:tab/>
        <w:t>Āi</w:t>
      </w:r>
      <w:r w:rsidRPr="009E1E57">
        <w:t>ga, kāiga, magafaoa, kōpū tangata, vuvale and fāmili mean ‘family’ in Samoan, Tokelauan and Tuvaluan, Niuean, Cook</w:t>
      </w:r>
      <w:r>
        <w:t xml:space="preserve"> </w:t>
      </w:r>
      <w:r w:rsidRPr="009E1E57">
        <w:t>Island Maori, Fijian and Tongan respectively.</w:t>
      </w:r>
    </w:p>
  </w:footnote>
  <w:footnote w:id="3">
    <w:p w:rsidR="00DB75AA" w:rsidRDefault="00DB75AA">
      <w:pPr>
        <w:pStyle w:val="FootnoteText"/>
      </w:pPr>
      <w:r>
        <w:rPr>
          <w:rStyle w:val="FootnoteReference"/>
        </w:rPr>
        <w:footnoteRef/>
      </w:r>
      <w:r>
        <w:tab/>
      </w:r>
      <w:r w:rsidRPr="00A37B6C">
        <w:rPr>
          <w:rStyle w:val="FootnoteTextChar"/>
        </w:rPr>
        <w:t>DMFT – Diseased Missing or Filled Teeth because of decay.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75AA" w:rsidRDefault="00DB75AA" w:rsidP="00D25FFE">
    <w:pPr>
      <w:pStyle w:val="Header"/>
      <w:ind w:left="-1559"/>
    </w:pPr>
    <w:r>
      <w:rPr>
        <w:noProof/>
        <w:lang w:eastAsia="en-NZ"/>
      </w:rPr>
      <w:drawing>
        <wp:inline distT="0" distB="0" distL="0" distR="0" wp14:anchorId="6BE7B20B" wp14:editId="32A651FF">
          <wp:extent cx="6409055" cy="607060"/>
          <wp:effectExtent l="0" t="0" r="0" b="2540"/>
          <wp:docPr id="1" name="Picture 2" descr="27510 MOH word template mast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7510 MOH word template masthead"/>
                  <pic:cNvPicPr>
                    <a:picLocks noChangeAspect="1" noChangeArrowheads="1"/>
                  </pic:cNvPicPr>
                </pic:nvPicPr>
                <pic:blipFill>
                  <a:blip r:embed="rId1">
                    <a:extLst>
                      <a:ext uri="{28A0092B-C50C-407E-A947-70E740481C1C}">
                        <a14:useLocalDpi xmlns:a14="http://schemas.microsoft.com/office/drawing/2010/main" val="0"/>
                      </a:ext>
                    </a:extLst>
                  </a:blip>
                  <a:srcRect l="6474" t="43167" r="6320"/>
                  <a:stretch>
                    <a:fillRect/>
                  </a:stretch>
                </pic:blipFill>
                <pic:spPr bwMode="auto">
                  <a:xfrm>
                    <a:off x="0" y="0"/>
                    <a:ext cx="6409055" cy="60706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75AA" w:rsidRDefault="00DB75AA" w:rsidP="00533B90"/>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75AA" w:rsidRDefault="00DB75AA" w:rsidP="0090019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75AA" w:rsidRDefault="00DB75AA" w:rsidP="003A26A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CCBE423A"/>
    <w:lvl w:ilvl="0">
      <w:start w:val="1"/>
      <w:numFmt w:val="bullet"/>
      <w:lvlText w:val=""/>
      <w:lvlJc w:val="left"/>
      <w:pPr>
        <w:tabs>
          <w:tab w:val="num" w:pos="360"/>
        </w:tabs>
        <w:ind w:left="360" w:hanging="360"/>
      </w:pPr>
      <w:rPr>
        <w:rFonts w:ascii="Symbol" w:hAnsi="Symbol" w:hint="default"/>
      </w:rPr>
    </w:lvl>
  </w:abstractNum>
  <w:abstractNum w:abstractNumId="1">
    <w:nsid w:val="042E1B55"/>
    <w:multiLevelType w:val="singleLevel"/>
    <w:tmpl w:val="1A46536C"/>
    <w:lvl w:ilvl="0">
      <w:start w:val="1"/>
      <w:numFmt w:val="bullet"/>
      <w:pStyle w:val="TableBullet"/>
      <w:lvlText w:val=""/>
      <w:lvlJc w:val="left"/>
      <w:pPr>
        <w:tabs>
          <w:tab w:val="num" w:pos="284"/>
        </w:tabs>
        <w:ind w:left="284" w:hanging="284"/>
      </w:pPr>
      <w:rPr>
        <w:rFonts w:ascii="Symbol" w:hAnsi="Symbol" w:hint="default"/>
        <w:sz w:val="16"/>
        <w:szCs w:val="16"/>
      </w:rPr>
    </w:lvl>
  </w:abstractNum>
  <w:abstractNum w:abstractNumId="2">
    <w:nsid w:val="12CA785B"/>
    <w:multiLevelType w:val="hybridMultilevel"/>
    <w:tmpl w:val="304E954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nsid w:val="19784D26"/>
    <w:multiLevelType w:val="hybridMultilevel"/>
    <w:tmpl w:val="ED789B62"/>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4">
    <w:nsid w:val="20CD0FBA"/>
    <w:multiLevelType w:val="hybridMultilevel"/>
    <w:tmpl w:val="1294FB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nsid w:val="3CA71F78"/>
    <w:multiLevelType w:val="hybridMultilevel"/>
    <w:tmpl w:val="0D76E58A"/>
    <w:lvl w:ilvl="0" w:tplc="33A80CE8">
      <w:start w:val="1"/>
      <w:numFmt w:val="bullet"/>
      <w:pStyle w:val="Dash"/>
      <w:lvlText w:val="–"/>
      <w:lvlJc w:val="left"/>
      <w:pPr>
        <w:tabs>
          <w:tab w:val="num" w:pos="567"/>
        </w:tabs>
        <w:ind w:left="567" w:hanging="283"/>
      </w:pPr>
      <w:rPr>
        <w:rFonts w:ascii="Arial" w:hAnsi="Aria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400E20E8"/>
    <w:multiLevelType w:val="hybridMultilevel"/>
    <w:tmpl w:val="FD9CE56E"/>
    <w:lvl w:ilvl="0" w:tplc="84F4142A">
      <w:start w:val="1"/>
      <w:numFmt w:val="bullet"/>
      <w:pStyle w:val="TableDash"/>
      <w:lvlText w:val="–"/>
      <w:lvlJc w:val="left"/>
      <w:pPr>
        <w:tabs>
          <w:tab w:val="num" w:pos="567"/>
        </w:tabs>
        <w:ind w:left="567" w:hanging="283"/>
      </w:pPr>
      <w:rPr>
        <w:rFonts w:ascii="Arial Mäori" w:hAnsi="Arial Mäori"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41786758"/>
    <w:multiLevelType w:val="hybridMultilevel"/>
    <w:tmpl w:val="DF36C1C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
    <w:nsid w:val="57A82147"/>
    <w:multiLevelType w:val="hybridMultilevel"/>
    <w:tmpl w:val="D6D2B84C"/>
    <w:lvl w:ilvl="0" w:tplc="59E4FACC">
      <w:numFmt w:val="bullet"/>
      <w:lvlText w:val="•"/>
      <w:lvlJc w:val="left"/>
      <w:pPr>
        <w:ind w:left="360" w:hanging="360"/>
      </w:pPr>
      <w:rPr>
        <w:rFonts w:ascii="Arial" w:eastAsia="Arial" w:hAnsi="Arial" w:cs="Aria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9">
    <w:nsid w:val="688D2C9E"/>
    <w:multiLevelType w:val="singleLevel"/>
    <w:tmpl w:val="976C8326"/>
    <w:lvl w:ilvl="0">
      <w:start w:val="1"/>
      <w:numFmt w:val="bullet"/>
      <w:pStyle w:val="BoxBullet"/>
      <w:lvlText w:val=""/>
      <w:lvlJc w:val="left"/>
      <w:pPr>
        <w:tabs>
          <w:tab w:val="num" w:pos="360"/>
        </w:tabs>
        <w:ind w:left="284" w:hanging="284"/>
      </w:pPr>
      <w:rPr>
        <w:rFonts w:ascii="Symbol" w:hAnsi="Symbol" w:hint="default"/>
        <w:sz w:val="18"/>
      </w:rPr>
    </w:lvl>
  </w:abstractNum>
  <w:abstractNum w:abstractNumId="10">
    <w:nsid w:val="72711B2E"/>
    <w:multiLevelType w:val="hybridMultilevel"/>
    <w:tmpl w:val="B36EFD3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821" w:hanging="360"/>
      </w:pPr>
      <w:rPr>
        <w:rFonts w:ascii="Courier New" w:hAnsi="Courier New" w:cs="Courier New" w:hint="default"/>
      </w:rPr>
    </w:lvl>
    <w:lvl w:ilvl="2" w:tplc="14090005" w:tentative="1">
      <w:start w:val="1"/>
      <w:numFmt w:val="bullet"/>
      <w:lvlText w:val=""/>
      <w:lvlJc w:val="left"/>
      <w:pPr>
        <w:ind w:left="-1101" w:hanging="360"/>
      </w:pPr>
      <w:rPr>
        <w:rFonts w:ascii="Wingdings" w:hAnsi="Wingdings" w:hint="default"/>
      </w:rPr>
    </w:lvl>
    <w:lvl w:ilvl="3" w:tplc="14090001" w:tentative="1">
      <w:start w:val="1"/>
      <w:numFmt w:val="bullet"/>
      <w:lvlText w:val=""/>
      <w:lvlJc w:val="left"/>
      <w:pPr>
        <w:ind w:left="-381" w:hanging="360"/>
      </w:pPr>
      <w:rPr>
        <w:rFonts w:ascii="Symbol" w:hAnsi="Symbol" w:hint="default"/>
      </w:rPr>
    </w:lvl>
    <w:lvl w:ilvl="4" w:tplc="14090003" w:tentative="1">
      <w:start w:val="1"/>
      <w:numFmt w:val="bullet"/>
      <w:lvlText w:val="o"/>
      <w:lvlJc w:val="left"/>
      <w:pPr>
        <w:ind w:left="339" w:hanging="360"/>
      </w:pPr>
      <w:rPr>
        <w:rFonts w:ascii="Courier New" w:hAnsi="Courier New" w:cs="Courier New" w:hint="default"/>
      </w:rPr>
    </w:lvl>
    <w:lvl w:ilvl="5" w:tplc="14090005" w:tentative="1">
      <w:start w:val="1"/>
      <w:numFmt w:val="bullet"/>
      <w:lvlText w:val=""/>
      <w:lvlJc w:val="left"/>
      <w:pPr>
        <w:ind w:left="1059" w:hanging="360"/>
      </w:pPr>
      <w:rPr>
        <w:rFonts w:ascii="Wingdings" w:hAnsi="Wingdings" w:hint="default"/>
      </w:rPr>
    </w:lvl>
    <w:lvl w:ilvl="6" w:tplc="14090001" w:tentative="1">
      <w:start w:val="1"/>
      <w:numFmt w:val="bullet"/>
      <w:lvlText w:val=""/>
      <w:lvlJc w:val="left"/>
      <w:pPr>
        <w:ind w:left="1779" w:hanging="360"/>
      </w:pPr>
      <w:rPr>
        <w:rFonts w:ascii="Symbol" w:hAnsi="Symbol" w:hint="default"/>
      </w:rPr>
    </w:lvl>
    <w:lvl w:ilvl="7" w:tplc="14090003" w:tentative="1">
      <w:start w:val="1"/>
      <w:numFmt w:val="bullet"/>
      <w:lvlText w:val="o"/>
      <w:lvlJc w:val="left"/>
      <w:pPr>
        <w:ind w:left="2499" w:hanging="360"/>
      </w:pPr>
      <w:rPr>
        <w:rFonts w:ascii="Courier New" w:hAnsi="Courier New" w:cs="Courier New" w:hint="default"/>
      </w:rPr>
    </w:lvl>
    <w:lvl w:ilvl="8" w:tplc="14090005" w:tentative="1">
      <w:start w:val="1"/>
      <w:numFmt w:val="bullet"/>
      <w:lvlText w:val=""/>
      <w:lvlJc w:val="left"/>
      <w:pPr>
        <w:ind w:left="3219" w:hanging="360"/>
      </w:pPr>
      <w:rPr>
        <w:rFonts w:ascii="Wingdings" w:hAnsi="Wingdings" w:hint="default"/>
      </w:rPr>
    </w:lvl>
  </w:abstractNum>
  <w:abstractNum w:abstractNumId="11">
    <w:nsid w:val="7C1218D3"/>
    <w:multiLevelType w:val="singleLevel"/>
    <w:tmpl w:val="C58C0308"/>
    <w:lvl w:ilvl="0">
      <w:start w:val="1"/>
      <w:numFmt w:val="bullet"/>
      <w:pStyle w:val="Bullet"/>
      <w:lvlText w:val=""/>
      <w:lvlJc w:val="left"/>
      <w:pPr>
        <w:tabs>
          <w:tab w:val="num" w:pos="284"/>
        </w:tabs>
        <w:ind w:left="284" w:hanging="284"/>
      </w:pPr>
      <w:rPr>
        <w:rFonts w:ascii="Symbol" w:hAnsi="Symbol" w:hint="default"/>
        <w:sz w:val="18"/>
      </w:rPr>
    </w:lvl>
  </w:abstractNum>
  <w:num w:numId="1">
    <w:abstractNumId w:val="11"/>
  </w:num>
  <w:num w:numId="2">
    <w:abstractNumId w:val="9"/>
  </w:num>
  <w:num w:numId="3">
    <w:abstractNumId w:val="5"/>
  </w:num>
  <w:num w:numId="4">
    <w:abstractNumId w:val="6"/>
  </w:num>
  <w:num w:numId="5">
    <w:abstractNumId w:val="1"/>
  </w:num>
  <w:num w:numId="6">
    <w:abstractNumId w:val="8"/>
  </w:num>
  <w:num w:numId="7">
    <w:abstractNumId w:val="3"/>
  </w:num>
  <w:num w:numId="8">
    <w:abstractNumId w:val="10"/>
  </w:num>
  <w:num w:numId="9">
    <w:abstractNumId w:val="2"/>
  </w:num>
  <w:num w:numId="10">
    <w:abstractNumId w:val="4"/>
  </w:num>
  <w:num w:numId="11">
    <w:abstractNumId w:val="7"/>
  </w:num>
  <w:num w:numId="12">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evenAndOddHeaders/>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8EB"/>
    <w:rsid w:val="00030B26"/>
    <w:rsid w:val="00034532"/>
    <w:rsid w:val="0006228D"/>
    <w:rsid w:val="00072BD6"/>
    <w:rsid w:val="00075B78"/>
    <w:rsid w:val="00082CD6"/>
    <w:rsid w:val="00085832"/>
    <w:rsid w:val="00085AFE"/>
    <w:rsid w:val="000B0730"/>
    <w:rsid w:val="000B71B4"/>
    <w:rsid w:val="000D09E8"/>
    <w:rsid w:val="000E2F2C"/>
    <w:rsid w:val="000F2AE2"/>
    <w:rsid w:val="00102063"/>
    <w:rsid w:val="0010541C"/>
    <w:rsid w:val="00106F93"/>
    <w:rsid w:val="00111D50"/>
    <w:rsid w:val="00113B8E"/>
    <w:rsid w:val="001342C7"/>
    <w:rsid w:val="0013585C"/>
    <w:rsid w:val="00142954"/>
    <w:rsid w:val="001460E0"/>
    <w:rsid w:val="00147F71"/>
    <w:rsid w:val="00150A6E"/>
    <w:rsid w:val="0016468A"/>
    <w:rsid w:val="001A5CF5"/>
    <w:rsid w:val="001B39D2"/>
    <w:rsid w:val="001C4326"/>
    <w:rsid w:val="001D02E3"/>
    <w:rsid w:val="001D3541"/>
    <w:rsid w:val="00201A01"/>
    <w:rsid w:val="002104D3"/>
    <w:rsid w:val="00213A33"/>
    <w:rsid w:val="0021763B"/>
    <w:rsid w:val="00246DB1"/>
    <w:rsid w:val="002476B5"/>
    <w:rsid w:val="00252F6F"/>
    <w:rsid w:val="00253ECF"/>
    <w:rsid w:val="002546A1"/>
    <w:rsid w:val="00275D08"/>
    <w:rsid w:val="00282AA7"/>
    <w:rsid w:val="002858E3"/>
    <w:rsid w:val="0029190A"/>
    <w:rsid w:val="00292C5A"/>
    <w:rsid w:val="00295241"/>
    <w:rsid w:val="002B047D"/>
    <w:rsid w:val="002B732B"/>
    <w:rsid w:val="002C2219"/>
    <w:rsid w:val="002D0DF2"/>
    <w:rsid w:val="002D23BD"/>
    <w:rsid w:val="002E0B47"/>
    <w:rsid w:val="002F7213"/>
    <w:rsid w:val="0030382F"/>
    <w:rsid w:val="003060E4"/>
    <w:rsid w:val="003160E7"/>
    <w:rsid w:val="0031739E"/>
    <w:rsid w:val="0031754E"/>
    <w:rsid w:val="003325AB"/>
    <w:rsid w:val="0033412B"/>
    <w:rsid w:val="00343365"/>
    <w:rsid w:val="00353501"/>
    <w:rsid w:val="003558A7"/>
    <w:rsid w:val="003606F8"/>
    <w:rsid w:val="003648EF"/>
    <w:rsid w:val="003673E6"/>
    <w:rsid w:val="0037227B"/>
    <w:rsid w:val="00377264"/>
    <w:rsid w:val="003A26A5"/>
    <w:rsid w:val="003A3761"/>
    <w:rsid w:val="003A5FEA"/>
    <w:rsid w:val="003B1D10"/>
    <w:rsid w:val="003C76D4"/>
    <w:rsid w:val="003D42A4"/>
    <w:rsid w:val="003E7C46"/>
    <w:rsid w:val="003F52A7"/>
    <w:rsid w:val="0040240C"/>
    <w:rsid w:val="00413021"/>
    <w:rsid w:val="00440BE0"/>
    <w:rsid w:val="0044584B"/>
    <w:rsid w:val="00447CB7"/>
    <w:rsid w:val="00460826"/>
    <w:rsid w:val="00460EA7"/>
    <w:rsid w:val="0046195B"/>
    <w:rsid w:val="0046596D"/>
    <w:rsid w:val="00487C04"/>
    <w:rsid w:val="004907E1"/>
    <w:rsid w:val="00496C2E"/>
    <w:rsid w:val="004A035B"/>
    <w:rsid w:val="004A38D7"/>
    <w:rsid w:val="004A778C"/>
    <w:rsid w:val="004C2E6A"/>
    <w:rsid w:val="004D2A2D"/>
    <w:rsid w:val="004D6689"/>
    <w:rsid w:val="004E1D1D"/>
    <w:rsid w:val="004E7AC8"/>
    <w:rsid w:val="004F0C94"/>
    <w:rsid w:val="004F5FA0"/>
    <w:rsid w:val="005019AE"/>
    <w:rsid w:val="00503749"/>
    <w:rsid w:val="00504CF4"/>
    <w:rsid w:val="0050635B"/>
    <w:rsid w:val="0053199F"/>
    <w:rsid w:val="00533B90"/>
    <w:rsid w:val="005410F8"/>
    <w:rsid w:val="005448EC"/>
    <w:rsid w:val="00545963"/>
    <w:rsid w:val="00550256"/>
    <w:rsid w:val="00553958"/>
    <w:rsid w:val="0055763D"/>
    <w:rsid w:val="00567B58"/>
    <w:rsid w:val="005763E0"/>
    <w:rsid w:val="005A27CA"/>
    <w:rsid w:val="005A43BD"/>
    <w:rsid w:val="005A6D96"/>
    <w:rsid w:val="005E226E"/>
    <w:rsid w:val="005F5B6B"/>
    <w:rsid w:val="006015D7"/>
    <w:rsid w:val="00601B21"/>
    <w:rsid w:val="00626CF8"/>
    <w:rsid w:val="00634196"/>
    <w:rsid w:val="00636D7D"/>
    <w:rsid w:val="00642868"/>
    <w:rsid w:val="0064500D"/>
    <w:rsid w:val="0065065B"/>
    <w:rsid w:val="006512BC"/>
    <w:rsid w:val="00653A5A"/>
    <w:rsid w:val="006575F4"/>
    <w:rsid w:val="006579E6"/>
    <w:rsid w:val="00663EDC"/>
    <w:rsid w:val="00680A04"/>
    <w:rsid w:val="0068383E"/>
    <w:rsid w:val="00686D80"/>
    <w:rsid w:val="00694895"/>
    <w:rsid w:val="0069703D"/>
    <w:rsid w:val="00697E2E"/>
    <w:rsid w:val="006A25A2"/>
    <w:rsid w:val="006B0E73"/>
    <w:rsid w:val="006B4A4D"/>
    <w:rsid w:val="006B5695"/>
    <w:rsid w:val="006C78EB"/>
    <w:rsid w:val="006D1660"/>
    <w:rsid w:val="006E73C7"/>
    <w:rsid w:val="006F1571"/>
    <w:rsid w:val="006F1B67"/>
    <w:rsid w:val="0070091D"/>
    <w:rsid w:val="00702854"/>
    <w:rsid w:val="0071741C"/>
    <w:rsid w:val="00742B90"/>
    <w:rsid w:val="0074434D"/>
    <w:rsid w:val="00771B1E"/>
    <w:rsid w:val="00773C95"/>
    <w:rsid w:val="00777DEE"/>
    <w:rsid w:val="0078171E"/>
    <w:rsid w:val="00795B34"/>
    <w:rsid w:val="007B1770"/>
    <w:rsid w:val="007B4D3E"/>
    <w:rsid w:val="007B7C70"/>
    <w:rsid w:val="007D2151"/>
    <w:rsid w:val="007D42CC"/>
    <w:rsid w:val="007D5DE4"/>
    <w:rsid w:val="007E1341"/>
    <w:rsid w:val="007E1B41"/>
    <w:rsid w:val="007E30B9"/>
    <w:rsid w:val="007F0F0C"/>
    <w:rsid w:val="007F1288"/>
    <w:rsid w:val="00800A8A"/>
    <w:rsid w:val="0080155C"/>
    <w:rsid w:val="008052E1"/>
    <w:rsid w:val="00822F2C"/>
    <w:rsid w:val="008305E8"/>
    <w:rsid w:val="0084428E"/>
    <w:rsid w:val="00860826"/>
    <w:rsid w:val="00860E21"/>
    <w:rsid w:val="0086388B"/>
    <w:rsid w:val="008642E5"/>
    <w:rsid w:val="00872D93"/>
    <w:rsid w:val="00880470"/>
    <w:rsid w:val="00880D94"/>
    <w:rsid w:val="008A3755"/>
    <w:rsid w:val="008B264F"/>
    <w:rsid w:val="008B6F83"/>
    <w:rsid w:val="008C2973"/>
    <w:rsid w:val="008C64C4"/>
    <w:rsid w:val="008D74D5"/>
    <w:rsid w:val="008F29BE"/>
    <w:rsid w:val="008F4AE5"/>
    <w:rsid w:val="008F51EB"/>
    <w:rsid w:val="00900197"/>
    <w:rsid w:val="00900C1A"/>
    <w:rsid w:val="00901D25"/>
    <w:rsid w:val="00902F55"/>
    <w:rsid w:val="0090582B"/>
    <w:rsid w:val="009060C0"/>
    <w:rsid w:val="009133F5"/>
    <w:rsid w:val="00920A27"/>
    <w:rsid w:val="00921216"/>
    <w:rsid w:val="00932D69"/>
    <w:rsid w:val="009345D0"/>
    <w:rsid w:val="00944647"/>
    <w:rsid w:val="00977B8A"/>
    <w:rsid w:val="00982971"/>
    <w:rsid w:val="009845AD"/>
    <w:rsid w:val="00992DDA"/>
    <w:rsid w:val="00995BA0"/>
    <w:rsid w:val="009A418B"/>
    <w:rsid w:val="009A4473"/>
    <w:rsid w:val="009C151C"/>
    <w:rsid w:val="009D5125"/>
    <w:rsid w:val="009D60B8"/>
    <w:rsid w:val="009D7D4B"/>
    <w:rsid w:val="009E1E57"/>
    <w:rsid w:val="009E36ED"/>
    <w:rsid w:val="009F460A"/>
    <w:rsid w:val="00A043FB"/>
    <w:rsid w:val="00A0729C"/>
    <w:rsid w:val="00A07779"/>
    <w:rsid w:val="00A20B2E"/>
    <w:rsid w:val="00A3068F"/>
    <w:rsid w:val="00A3145B"/>
    <w:rsid w:val="00A339D0"/>
    <w:rsid w:val="00A352CF"/>
    <w:rsid w:val="00A37B6C"/>
    <w:rsid w:val="00A4201A"/>
    <w:rsid w:val="00A47EF8"/>
    <w:rsid w:val="00A553CE"/>
    <w:rsid w:val="00A5677A"/>
    <w:rsid w:val="00A6490D"/>
    <w:rsid w:val="00A80363"/>
    <w:rsid w:val="00A9169D"/>
    <w:rsid w:val="00AD4CF1"/>
    <w:rsid w:val="00AD5988"/>
    <w:rsid w:val="00AF4E0B"/>
    <w:rsid w:val="00AF7800"/>
    <w:rsid w:val="00B070B3"/>
    <w:rsid w:val="00B072E0"/>
    <w:rsid w:val="00B253F6"/>
    <w:rsid w:val="00B332F8"/>
    <w:rsid w:val="00B3492B"/>
    <w:rsid w:val="00B4646F"/>
    <w:rsid w:val="00B55C7D"/>
    <w:rsid w:val="00B63038"/>
    <w:rsid w:val="00B64BD8"/>
    <w:rsid w:val="00B701D1"/>
    <w:rsid w:val="00B73AF2"/>
    <w:rsid w:val="00B7551A"/>
    <w:rsid w:val="00BB69E3"/>
    <w:rsid w:val="00BC59F1"/>
    <w:rsid w:val="00BF0ABD"/>
    <w:rsid w:val="00BF3DE1"/>
    <w:rsid w:val="00BF4843"/>
    <w:rsid w:val="00BF5205"/>
    <w:rsid w:val="00BF7069"/>
    <w:rsid w:val="00C12508"/>
    <w:rsid w:val="00C45AA2"/>
    <w:rsid w:val="00C54FF0"/>
    <w:rsid w:val="00C77282"/>
    <w:rsid w:val="00C8344F"/>
    <w:rsid w:val="00C84DE5"/>
    <w:rsid w:val="00C86248"/>
    <w:rsid w:val="00CA4C33"/>
    <w:rsid w:val="00CA63A1"/>
    <w:rsid w:val="00CA6F4A"/>
    <w:rsid w:val="00CB2CFC"/>
    <w:rsid w:val="00CD2119"/>
    <w:rsid w:val="00CD36AC"/>
    <w:rsid w:val="00CF1747"/>
    <w:rsid w:val="00D2392A"/>
    <w:rsid w:val="00D25FFE"/>
    <w:rsid w:val="00D4476F"/>
    <w:rsid w:val="00D54D50"/>
    <w:rsid w:val="00D66797"/>
    <w:rsid w:val="00D7087C"/>
    <w:rsid w:val="00D70C3C"/>
    <w:rsid w:val="00D72BE5"/>
    <w:rsid w:val="00D82F26"/>
    <w:rsid w:val="00D863D0"/>
    <w:rsid w:val="00D87C87"/>
    <w:rsid w:val="00DB39CF"/>
    <w:rsid w:val="00DB75AA"/>
    <w:rsid w:val="00DD447A"/>
    <w:rsid w:val="00DE6C94"/>
    <w:rsid w:val="00DE6FD7"/>
    <w:rsid w:val="00E23271"/>
    <w:rsid w:val="00E24F80"/>
    <w:rsid w:val="00E43390"/>
    <w:rsid w:val="00E4486C"/>
    <w:rsid w:val="00E460B6"/>
    <w:rsid w:val="00E511D5"/>
    <w:rsid w:val="00E65269"/>
    <w:rsid w:val="00EA796A"/>
    <w:rsid w:val="00EB1856"/>
    <w:rsid w:val="00EC50CE"/>
    <w:rsid w:val="00EC5B34"/>
    <w:rsid w:val="00EE4ADE"/>
    <w:rsid w:val="00EE5CB7"/>
    <w:rsid w:val="00EF595D"/>
    <w:rsid w:val="00F024FE"/>
    <w:rsid w:val="00F05AD4"/>
    <w:rsid w:val="00F67496"/>
    <w:rsid w:val="00F801BA"/>
    <w:rsid w:val="00F87F93"/>
    <w:rsid w:val="00F946C9"/>
    <w:rsid w:val="00FA3992"/>
    <w:rsid w:val="00FA74EE"/>
    <w:rsid w:val="00FC46E7"/>
    <w:rsid w:val="00FC5D25"/>
    <w:rsid w:val="00FC6514"/>
    <w:rsid w:val="00FC6FA6"/>
    <w:rsid w:val="00FD0D7E"/>
    <w:rsid w:val="00FD4841"/>
    <w:rsid w:val="00FE6E13"/>
    <w:rsid w:val="00FE7A07"/>
    <w:rsid w:val="00FF527C"/>
    <w:rsid w:val="00FF65C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41585DA9-2BF1-4253-8744-C56E1A80C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46C9"/>
    <w:pPr>
      <w:spacing w:line="264" w:lineRule="auto"/>
    </w:pPr>
    <w:rPr>
      <w:rFonts w:ascii="Georgia" w:hAnsi="Georgia"/>
      <w:sz w:val="22"/>
      <w:lang w:eastAsia="en-GB"/>
    </w:rPr>
  </w:style>
  <w:style w:type="paragraph" w:styleId="Heading1">
    <w:name w:val="heading 1"/>
    <w:basedOn w:val="Normal"/>
    <w:next w:val="Normal"/>
    <w:link w:val="Heading1Char"/>
    <w:uiPriority w:val="9"/>
    <w:qFormat/>
    <w:rsid w:val="00F024FE"/>
    <w:pPr>
      <w:pBdr>
        <w:top w:val="single" w:sz="48" w:space="16" w:color="auto"/>
      </w:pBdr>
      <w:spacing w:after="360"/>
      <w:outlineLvl w:val="0"/>
    </w:pPr>
    <w:rPr>
      <w:b/>
      <w:sz w:val="60"/>
    </w:rPr>
  </w:style>
  <w:style w:type="paragraph" w:styleId="Heading2">
    <w:name w:val="heading 2"/>
    <w:basedOn w:val="Normal"/>
    <w:next w:val="Normal"/>
    <w:link w:val="Heading2Char"/>
    <w:uiPriority w:val="9"/>
    <w:qFormat/>
    <w:rsid w:val="00D2392A"/>
    <w:pPr>
      <w:keepNext/>
      <w:spacing w:before="120" w:after="120"/>
      <w:outlineLvl w:val="1"/>
    </w:pPr>
    <w:rPr>
      <w:b/>
      <w:sz w:val="40"/>
    </w:rPr>
  </w:style>
  <w:style w:type="paragraph" w:styleId="Heading3">
    <w:name w:val="heading 3"/>
    <w:basedOn w:val="Normal"/>
    <w:next w:val="Normal"/>
    <w:link w:val="Heading3Char"/>
    <w:uiPriority w:val="9"/>
    <w:qFormat/>
    <w:rsid w:val="0033412B"/>
    <w:pPr>
      <w:keepNext/>
      <w:spacing w:before="120" w:after="120"/>
      <w:outlineLvl w:val="2"/>
    </w:pPr>
    <w:rPr>
      <w:b/>
      <w:sz w:val="28"/>
    </w:rPr>
  </w:style>
  <w:style w:type="paragraph" w:styleId="Heading4">
    <w:name w:val="heading 4"/>
    <w:basedOn w:val="Normal"/>
    <w:next w:val="Normal"/>
    <w:qFormat/>
    <w:rsid w:val="007D5DE4"/>
    <w:pPr>
      <w:keepNext/>
      <w:spacing w:before="120" w:after="120"/>
      <w:outlineLvl w:val="3"/>
    </w:pPr>
    <w:rPr>
      <w:b/>
    </w:rPr>
  </w:style>
  <w:style w:type="paragraph" w:styleId="Heading5">
    <w:name w:val="heading 5"/>
    <w:basedOn w:val="Normal"/>
    <w:next w:val="Normal"/>
    <w:qFormat/>
    <w:rsid w:val="0013585C"/>
    <w:pPr>
      <w:keepNext/>
      <w:spacing w:before="120" w:after="120"/>
      <w:outlineLvl w:val="4"/>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6388B"/>
    <w:rPr>
      <w:rFonts w:ascii="Georgia" w:hAnsi="Georgia"/>
      <w:b/>
      <w:sz w:val="60"/>
      <w:lang w:eastAsia="en-GB"/>
    </w:rPr>
  </w:style>
  <w:style w:type="character" w:customStyle="1" w:styleId="Heading2Char">
    <w:name w:val="Heading 2 Char"/>
    <w:link w:val="Heading2"/>
    <w:uiPriority w:val="9"/>
    <w:rsid w:val="0086388B"/>
    <w:rPr>
      <w:rFonts w:ascii="Georgia" w:hAnsi="Georgia"/>
      <w:b/>
      <w:sz w:val="40"/>
      <w:lang w:eastAsia="en-GB"/>
    </w:rPr>
  </w:style>
  <w:style w:type="character" w:customStyle="1" w:styleId="Heading3Char">
    <w:name w:val="Heading 3 Char"/>
    <w:link w:val="Heading3"/>
    <w:uiPriority w:val="9"/>
    <w:rsid w:val="0086388B"/>
    <w:rPr>
      <w:rFonts w:ascii="Georgia" w:hAnsi="Georgia"/>
      <w:b/>
      <w:sz w:val="28"/>
      <w:lang w:eastAsia="en-GB"/>
    </w:rPr>
  </w:style>
  <w:style w:type="paragraph" w:styleId="TOC1">
    <w:name w:val="toc 1"/>
    <w:basedOn w:val="Normal"/>
    <w:next w:val="Normal"/>
    <w:uiPriority w:val="39"/>
    <w:rsid w:val="0006228D"/>
    <w:pPr>
      <w:tabs>
        <w:tab w:val="right" w:pos="9356"/>
      </w:tabs>
      <w:spacing w:before="300"/>
      <w:ind w:right="567"/>
    </w:pPr>
    <w:rPr>
      <w:b/>
    </w:rPr>
  </w:style>
  <w:style w:type="paragraph" w:styleId="TOC2">
    <w:name w:val="toc 2"/>
    <w:basedOn w:val="Normal"/>
    <w:next w:val="Normal"/>
    <w:uiPriority w:val="39"/>
    <w:rsid w:val="0006228D"/>
    <w:pPr>
      <w:tabs>
        <w:tab w:val="left" w:pos="284"/>
        <w:tab w:val="right" w:pos="9356"/>
      </w:tabs>
      <w:spacing w:before="60"/>
      <w:ind w:left="284" w:right="567"/>
    </w:pPr>
  </w:style>
  <w:style w:type="paragraph" w:styleId="TOC3">
    <w:name w:val="toc 3"/>
    <w:basedOn w:val="Normal"/>
    <w:next w:val="Normal"/>
    <w:uiPriority w:val="39"/>
    <w:rsid w:val="00A5677A"/>
    <w:pPr>
      <w:tabs>
        <w:tab w:val="right" w:pos="9356"/>
      </w:tabs>
      <w:spacing w:before="120"/>
      <w:ind w:left="1276" w:right="567" w:hanging="1276"/>
    </w:pPr>
  </w:style>
  <w:style w:type="paragraph" w:customStyle="1" w:styleId="Bullet">
    <w:name w:val="Bullet"/>
    <w:basedOn w:val="Normal"/>
    <w:qFormat/>
    <w:rsid w:val="0033412B"/>
    <w:pPr>
      <w:numPr>
        <w:numId w:val="1"/>
      </w:numPr>
      <w:spacing w:before="90"/>
    </w:pPr>
  </w:style>
  <w:style w:type="paragraph" w:styleId="Quote">
    <w:name w:val="Quote"/>
    <w:basedOn w:val="Normal"/>
    <w:next w:val="Normal"/>
    <w:qFormat/>
    <w:pPr>
      <w:spacing w:before="120"/>
      <w:ind w:left="284" w:right="284"/>
    </w:pPr>
  </w:style>
  <w:style w:type="paragraph" w:styleId="FootnoteText">
    <w:name w:val="footnote text"/>
    <w:basedOn w:val="Normal"/>
    <w:link w:val="FootnoteTextChar"/>
    <w:uiPriority w:val="99"/>
    <w:semiHidden/>
    <w:rsid w:val="003060E4"/>
    <w:pPr>
      <w:spacing w:before="60"/>
      <w:ind w:left="284" w:hanging="284"/>
    </w:pPr>
    <w:rPr>
      <w:sz w:val="18"/>
    </w:rPr>
  </w:style>
  <w:style w:type="character" w:customStyle="1" w:styleId="FootnoteTextChar">
    <w:name w:val="Footnote Text Char"/>
    <w:link w:val="FootnoteText"/>
    <w:uiPriority w:val="99"/>
    <w:semiHidden/>
    <w:rsid w:val="003060E4"/>
    <w:rPr>
      <w:rFonts w:ascii="Georgia" w:hAnsi="Georgia"/>
      <w:sz w:val="18"/>
      <w:lang w:eastAsia="en-GB"/>
    </w:rPr>
  </w:style>
  <w:style w:type="paragraph" w:styleId="Header">
    <w:name w:val="header"/>
    <w:basedOn w:val="Normal"/>
    <w:link w:val="HeaderChar"/>
    <w:uiPriority w:val="99"/>
    <w:qFormat/>
    <w:rsid w:val="00D25FFE"/>
  </w:style>
  <w:style w:type="character" w:customStyle="1" w:styleId="HeaderChar">
    <w:name w:val="Header Char"/>
    <w:link w:val="Header"/>
    <w:uiPriority w:val="99"/>
    <w:rsid w:val="0086388B"/>
    <w:rPr>
      <w:rFonts w:ascii="Georgia" w:hAnsi="Georgia"/>
      <w:sz w:val="22"/>
      <w:lang w:eastAsia="en-GB"/>
    </w:rPr>
  </w:style>
  <w:style w:type="paragraph" w:styleId="Title">
    <w:name w:val="Title"/>
    <w:basedOn w:val="Normal"/>
    <w:next w:val="Normal"/>
    <w:qFormat/>
    <w:rsid w:val="00FF65CD"/>
    <w:pPr>
      <w:ind w:right="1701"/>
    </w:pPr>
    <w:rPr>
      <w:b/>
      <w:sz w:val="80"/>
    </w:rPr>
  </w:style>
  <w:style w:type="paragraph" w:customStyle="1" w:styleId="Imprint">
    <w:name w:val="Imprint"/>
    <w:basedOn w:val="Normal"/>
    <w:next w:val="Normal"/>
    <w:qFormat/>
    <w:rsid w:val="0071741C"/>
    <w:pPr>
      <w:spacing w:after="240"/>
      <w:jc w:val="center"/>
    </w:pPr>
  </w:style>
  <w:style w:type="paragraph" w:styleId="Footer">
    <w:name w:val="footer"/>
    <w:basedOn w:val="Normal"/>
    <w:link w:val="FooterChar"/>
    <w:uiPriority w:val="99"/>
    <w:qFormat/>
    <w:rsid w:val="00447CB7"/>
    <w:pPr>
      <w:pBdr>
        <w:bottom w:val="single" w:sz="4" w:space="4" w:color="auto"/>
      </w:pBdr>
    </w:pPr>
  </w:style>
  <w:style w:type="character" w:customStyle="1" w:styleId="FooterChar">
    <w:name w:val="Footer Char"/>
    <w:link w:val="Footer"/>
    <w:uiPriority w:val="99"/>
    <w:rsid w:val="0086388B"/>
    <w:rPr>
      <w:rFonts w:ascii="Georgia" w:hAnsi="Georgia"/>
      <w:sz w:val="22"/>
      <w:lang w:eastAsia="en-GB"/>
    </w:rPr>
  </w:style>
  <w:style w:type="character" w:styleId="PageNumber">
    <w:name w:val="page number"/>
    <w:rsid w:val="008D74D5"/>
    <w:rPr>
      <w:rFonts w:ascii="Georgia" w:hAnsi="Georgia"/>
      <w:b/>
      <w:sz w:val="22"/>
    </w:rPr>
  </w:style>
  <w:style w:type="paragraph" w:customStyle="1" w:styleId="VersoFooter">
    <w:name w:val="Verso Footer"/>
    <w:basedOn w:val="Footer"/>
    <w:rsid w:val="002546A1"/>
    <w:pPr>
      <w:pBdr>
        <w:top w:val="single" w:sz="4" w:space="4" w:color="auto"/>
        <w:bottom w:val="none" w:sz="0" w:space="0" w:color="auto"/>
      </w:pBdr>
      <w:ind w:left="709" w:hanging="709"/>
    </w:pPr>
    <w:rPr>
      <w:sz w:val="20"/>
    </w:rPr>
  </w:style>
  <w:style w:type="paragraph" w:customStyle="1" w:styleId="RectoFooter">
    <w:name w:val="Recto Footer"/>
    <w:basedOn w:val="Footer"/>
    <w:rsid w:val="002546A1"/>
    <w:pPr>
      <w:pBdr>
        <w:top w:val="single" w:sz="4" w:space="4" w:color="auto"/>
        <w:bottom w:val="none" w:sz="0" w:space="0" w:color="auto"/>
      </w:pBdr>
      <w:tabs>
        <w:tab w:val="right" w:pos="8647"/>
        <w:tab w:val="right" w:pos="9356"/>
      </w:tabs>
      <w:spacing w:line="240" w:lineRule="auto"/>
    </w:pPr>
    <w:rPr>
      <w:sz w:val="20"/>
    </w:rPr>
  </w:style>
  <w:style w:type="paragraph" w:customStyle="1" w:styleId="Figure">
    <w:name w:val="Figure"/>
    <w:basedOn w:val="Normal"/>
    <w:next w:val="Normal"/>
    <w:qFormat/>
    <w:rsid w:val="009133F5"/>
    <w:pPr>
      <w:keepNext/>
      <w:spacing w:before="120" w:after="120"/>
    </w:pPr>
    <w:rPr>
      <w:b/>
      <w:sz w:val="20"/>
    </w:rPr>
  </w:style>
  <w:style w:type="character" w:styleId="FootnoteReference">
    <w:name w:val="footnote reference"/>
    <w:uiPriority w:val="99"/>
    <w:rPr>
      <w:vertAlign w:val="superscript"/>
    </w:rPr>
  </w:style>
  <w:style w:type="paragraph" w:customStyle="1" w:styleId="Table">
    <w:name w:val="Table"/>
    <w:basedOn w:val="Figure"/>
    <w:qFormat/>
    <w:rsid w:val="00642868"/>
  </w:style>
  <w:style w:type="paragraph" w:customStyle="1" w:styleId="Dash">
    <w:name w:val="Dash"/>
    <w:basedOn w:val="Bullet"/>
    <w:qFormat/>
    <w:rsid w:val="00702854"/>
    <w:pPr>
      <w:numPr>
        <w:numId w:val="3"/>
      </w:numPr>
      <w:spacing w:before="60"/>
    </w:pPr>
  </w:style>
  <w:style w:type="paragraph" w:customStyle="1" w:styleId="TableText">
    <w:name w:val="TableText"/>
    <w:basedOn w:val="Normal"/>
    <w:qFormat/>
    <w:rsid w:val="007B7C70"/>
    <w:pPr>
      <w:spacing w:before="60" w:after="60" w:line="240" w:lineRule="auto"/>
    </w:pPr>
    <w:rPr>
      <w:rFonts w:ascii="Arial" w:hAnsi="Arial"/>
      <w:sz w:val="18"/>
    </w:rPr>
  </w:style>
  <w:style w:type="paragraph" w:customStyle="1" w:styleId="TableBullet">
    <w:name w:val="TableBullet"/>
    <w:basedOn w:val="TableText"/>
    <w:qFormat/>
    <w:rsid w:val="00B73AF2"/>
    <w:pPr>
      <w:numPr>
        <w:numId w:val="5"/>
      </w:numPr>
      <w:spacing w:before="0"/>
    </w:pPr>
  </w:style>
  <w:style w:type="paragraph" w:customStyle="1" w:styleId="Box">
    <w:name w:val="Box"/>
    <w:basedOn w:val="Normal"/>
    <w:qFormat/>
    <w:pPr>
      <w:pBdr>
        <w:top w:val="single" w:sz="4" w:space="12" w:color="auto"/>
        <w:left w:val="single" w:sz="4" w:space="12" w:color="auto"/>
        <w:bottom w:val="single" w:sz="4" w:space="12" w:color="auto"/>
        <w:right w:val="single" w:sz="4" w:space="12" w:color="auto"/>
      </w:pBdr>
      <w:spacing w:before="120"/>
      <w:ind w:left="284" w:right="284"/>
    </w:pPr>
  </w:style>
  <w:style w:type="paragraph" w:customStyle="1" w:styleId="BoxHeading">
    <w:name w:val="BoxHeading"/>
    <w:basedOn w:val="Box"/>
    <w:qFormat/>
    <w:rsid w:val="00777DEE"/>
    <w:pPr>
      <w:keepNext/>
      <w:ind w:left="851" w:hanging="567"/>
    </w:pPr>
    <w:rPr>
      <w:b/>
      <w:sz w:val="24"/>
    </w:rPr>
  </w:style>
  <w:style w:type="paragraph" w:customStyle="1" w:styleId="BoxBullet">
    <w:name w:val="BoxBullet"/>
    <w:basedOn w:val="Box"/>
    <w:qFormat/>
    <w:pPr>
      <w:numPr>
        <w:numId w:val="2"/>
      </w:numPr>
      <w:tabs>
        <w:tab w:val="clear" w:pos="360"/>
      </w:tabs>
      <w:spacing w:before="60"/>
      <w:ind w:left="568"/>
    </w:pPr>
  </w:style>
  <w:style w:type="paragraph" w:customStyle="1" w:styleId="IntroHead">
    <w:name w:val="IntroHead"/>
    <w:basedOn w:val="Heading1"/>
    <w:next w:val="Normal"/>
    <w:qFormat/>
    <w:rsid w:val="00D7087C"/>
    <w:pPr>
      <w:outlineLvl w:val="9"/>
    </w:pPr>
  </w:style>
  <w:style w:type="paragraph" w:customStyle="1" w:styleId="Source">
    <w:name w:val="Source"/>
    <w:basedOn w:val="Note"/>
    <w:next w:val="Normal"/>
    <w:qFormat/>
    <w:rsid w:val="0053199F"/>
  </w:style>
  <w:style w:type="paragraph" w:customStyle="1" w:styleId="Note">
    <w:name w:val="Note"/>
    <w:basedOn w:val="Normal"/>
    <w:next w:val="Normal"/>
    <w:link w:val="NoteChar"/>
    <w:qFormat/>
    <w:rsid w:val="000E2F2C"/>
    <w:pPr>
      <w:spacing w:before="80"/>
      <w:ind w:left="284" w:hanging="284"/>
    </w:pPr>
    <w:rPr>
      <w:rFonts w:ascii="Arial" w:hAnsi="Arial"/>
      <w:sz w:val="18"/>
    </w:rPr>
  </w:style>
  <w:style w:type="character" w:customStyle="1" w:styleId="NoteChar">
    <w:name w:val="Note Char"/>
    <w:link w:val="Note"/>
    <w:rsid w:val="000E2F2C"/>
    <w:rPr>
      <w:rFonts w:ascii="Arial" w:hAnsi="Arial"/>
      <w:sz w:val="18"/>
      <w:lang w:eastAsia="en-GB"/>
    </w:rPr>
  </w:style>
  <w:style w:type="paragraph" w:customStyle="1" w:styleId="Subhead">
    <w:name w:val="Subhead"/>
    <w:basedOn w:val="Normal"/>
    <w:next w:val="Normal"/>
    <w:qFormat/>
    <w:rsid w:val="00343365"/>
    <w:pPr>
      <w:spacing w:before="180"/>
      <w:ind w:right="1701"/>
    </w:pPr>
    <w:rPr>
      <w:sz w:val="48"/>
    </w:rPr>
  </w:style>
  <w:style w:type="character" w:styleId="Hyperlink">
    <w:name w:val="Hyperlink"/>
    <w:uiPriority w:val="99"/>
    <w:rPr>
      <w:color w:val="auto"/>
      <w:u w:val="none"/>
    </w:rPr>
  </w:style>
  <w:style w:type="paragraph" w:customStyle="1" w:styleId="References">
    <w:name w:val="References"/>
    <w:basedOn w:val="Normal"/>
    <w:qFormat/>
    <w:rsid w:val="001460E0"/>
    <w:pPr>
      <w:spacing w:after="180"/>
    </w:pPr>
    <w:rPr>
      <w:sz w:val="21"/>
    </w:rPr>
  </w:style>
  <w:style w:type="paragraph" w:customStyle="1" w:styleId="TableDash">
    <w:name w:val="TableDash"/>
    <w:basedOn w:val="TableText"/>
    <w:qFormat/>
    <w:rsid w:val="0010541C"/>
    <w:pPr>
      <w:numPr>
        <w:numId w:val="4"/>
      </w:numPr>
      <w:spacing w:before="40" w:after="0"/>
    </w:pPr>
    <w:rPr>
      <w:szCs w:val="22"/>
    </w:rPr>
  </w:style>
  <w:style w:type="paragraph" w:customStyle="1" w:styleId="Year">
    <w:name w:val="Year"/>
    <w:basedOn w:val="Subhead"/>
    <w:next w:val="Subhead"/>
    <w:qFormat/>
    <w:rsid w:val="00FF65CD"/>
    <w:pPr>
      <w:pBdr>
        <w:bottom w:val="single" w:sz="48" w:space="6" w:color="auto"/>
      </w:pBdr>
    </w:pPr>
    <w:rPr>
      <w:sz w:val="56"/>
    </w:rPr>
  </w:style>
  <w:style w:type="table" w:styleId="TableGrid">
    <w:name w:val="Table Grid"/>
    <w:basedOn w:val="TableNormal"/>
    <w:rsid w:val="00503749"/>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6388B"/>
    <w:rPr>
      <w:rFonts w:ascii="Calibri" w:eastAsia="Calibri" w:hAnsi="Calibri"/>
      <w:sz w:val="22"/>
      <w:szCs w:val="22"/>
      <w:lang w:val="en-US" w:eastAsia="en-US"/>
    </w:rPr>
  </w:style>
  <w:style w:type="paragraph" w:styleId="BalloonText">
    <w:name w:val="Balloon Text"/>
    <w:basedOn w:val="Normal"/>
    <w:link w:val="BalloonTextChar"/>
    <w:uiPriority w:val="99"/>
    <w:semiHidden/>
    <w:unhideWhenUsed/>
    <w:rsid w:val="009345D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45D0"/>
    <w:rPr>
      <w:rFonts w:ascii="Tahoma" w:hAnsi="Tahoma" w:cs="Tahoma"/>
      <w:sz w:val="16"/>
      <w:szCs w:val="16"/>
      <w:lang w:eastAsia="en-GB"/>
    </w:rPr>
  </w:style>
  <w:style w:type="character" w:customStyle="1" w:styleId="A4">
    <w:name w:val="A4"/>
    <w:uiPriority w:val="99"/>
    <w:rsid w:val="00FE7A07"/>
    <w:rPr>
      <w:rFonts w:cs="DINPro-Light"/>
      <w:color w:val="00000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18" Type="http://schemas.openxmlformats.org/officeDocument/2006/relationships/image" Target="media/image5.png"/><Relationship Id="rId26" Type="http://schemas.openxmlformats.org/officeDocument/2006/relationships/hyperlink" Target="http://www.stats.govt.nz/browse_for_stats/people_and_communities/pacific_peoples/pacific-progress-health/summary.aspx" TargetMode="External"/><Relationship Id="rId3" Type="http://schemas.openxmlformats.org/officeDocument/2006/relationships/settings" Target="settings.xml"/><Relationship Id="rId21" Type="http://schemas.openxmlformats.org/officeDocument/2006/relationships/hyperlink" Target="https://www.mcnz.org.nz/assets/News-and-Publications/Workforce-Surveys/2012.pdf" TargetMode="Externa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4.png"/><Relationship Id="rId25" Type="http://schemas.openxmlformats.org/officeDocument/2006/relationships/hyperlink" Target="http://www.stats.govt.nz/browse_for_stats/people_and_communities/pacific_peoples/pacific-progress-health/summary.aspx"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yperlink" Target="http://www.dentalcouncil.org.nz/Documents/Reports/WorkforceAnalysis2009.pdf" TargetMode="External"/><Relationship Id="rId29" Type="http://schemas.openxmlformats.org/officeDocument/2006/relationships/hyperlink" Target="http://www.oecd.org/dataoecd/46/41/40673065.pdf%20Accessed%2023%20March%20200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yperlink" Target="http://www.pharmacycouncil.org.nz/cms_show_"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yperlink" Target="http://www.midwiferycouncil.health.nz/images/stories/pdf/Publications/Workforce%20Survey%202012.pdf" TargetMode="External"/><Relationship Id="rId28" Type="http://schemas.openxmlformats.org/officeDocument/2006/relationships/hyperlink" Target="http://www.google.co.nz/" TargetMode="External"/><Relationship Id="rId10" Type="http://schemas.openxmlformats.org/officeDocument/2006/relationships/image" Target="media/image3.png"/><Relationship Id="rId19" Type="http://schemas.openxmlformats.org/officeDocument/2006/relationships/image" Target="media/image6.png"/><Relationship Id="rId31"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hyperlink" Target="http://www.midwiferycouncil.health.nz/images/stories/pdf/Publications/Workforce%20Survey%202012.pdf" TargetMode="External"/><Relationship Id="rId27" Type="http://schemas.openxmlformats.org/officeDocument/2006/relationships/hyperlink" Target="http://www.mpia.govt.nz/resources/pdfs/news-publications/Framework%20report%20-%20final.pdf" TargetMode="External"/><Relationship Id="rId30" Type="http://schemas.openxmlformats.org/officeDocument/2006/relationships/hyperlink" Target="http://www.moh.govt.nz/pacifi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ne\Application%20Data\Microsoft\Templates\Health\2012%20Report%20Sans%20Serif%20Bod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2012 Report Sans Serif Body</Template>
  <TotalTime>0</TotalTime>
  <Pages>38</Pages>
  <Words>10308</Words>
  <Characters>58762</Characters>
  <Application>Microsoft Office Word</Application>
  <DocSecurity>0</DocSecurity>
  <Lines>489</Lines>
  <Paragraphs>137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68933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Logan Smith</cp:lastModifiedBy>
  <cp:revision>2</cp:revision>
  <cp:lastPrinted>2014-06-25T00:52:00Z</cp:lastPrinted>
  <dcterms:created xsi:type="dcterms:W3CDTF">2015-08-17T02:47:00Z</dcterms:created>
  <dcterms:modified xsi:type="dcterms:W3CDTF">2015-08-17T02:47:00Z</dcterms:modified>
</cp:coreProperties>
</file>