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1B7D1" w14:textId="48E5F7B0" w:rsidR="0023578A" w:rsidRDefault="00A433AA" w:rsidP="00D54D50">
      <w:pPr>
        <w:pStyle w:val="Title"/>
      </w:pPr>
      <w:r>
        <w:t>Tobacco Use 2012/13</w:t>
      </w:r>
    </w:p>
    <w:p w14:paraId="63EEA806" w14:textId="316C258C" w:rsidR="00DC3555" w:rsidRPr="00FA0630" w:rsidRDefault="00A433AA" w:rsidP="004D6C00">
      <w:pPr>
        <w:pStyle w:val="Subhead"/>
      </w:pPr>
      <w:r w:rsidRPr="00FA0630">
        <w:t>New Zealand Health Survey</w:t>
      </w:r>
    </w:p>
    <w:p w14:paraId="1CECAB43" w14:textId="77777777" w:rsidR="00C86248" w:rsidRDefault="00C86248" w:rsidP="00343365">
      <w:pPr>
        <w:pStyle w:val="Subhead"/>
      </w:pPr>
    </w:p>
    <w:p w14:paraId="3E72F95D" w14:textId="77777777" w:rsidR="00735227" w:rsidRPr="00735227" w:rsidRDefault="00735227" w:rsidP="00735227">
      <w:pPr>
        <w:spacing w:before="5000"/>
        <w:jc w:val="right"/>
      </w:pPr>
      <w:r>
        <w:rPr>
          <w:noProof/>
          <w:lang w:eastAsia="en-NZ"/>
        </w:rPr>
        <w:drawing>
          <wp:inline distT="0" distB="0" distL="0" distR="0" wp14:anchorId="1840B1FE" wp14:editId="5D80505A">
            <wp:extent cx="4675135" cy="1248310"/>
            <wp:effectExtent l="0" t="0" r="0" b="9525"/>
            <wp:docPr id="3" name="Picture 3"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Zealand Health Surv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117" cy="1249640"/>
                    </a:xfrm>
                    <a:prstGeom prst="rect">
                      <a:avLst/>
                    </a:prstGeom>
                    <a:noFill/>
                    <a:ln>
                      <a:noFill/>
                    </a:ln>
                  </pic:spPr>
                </pic:pic>
              </a:graphicData>
            </a:graphic>
          </wp:inline>
        </w:drawing>
      </w:r>
    </w:p>
    <w:p w14:paraId="5BD53E53"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1EC4D251" w14:textId="3B82BCF1" w:rsidR="00A80363" w:rsidRPr="00442C1C" w:rsidRDefault="00A80363" w:rsidP="0023578A">
      <w:pPr>
        <w:pStyle w:val="Imprint"/>
      </w:pPr>
      <w:r>
        <w:lastRenderedPageBreak/>
        <w:t xml:space="preserve">Citation: </w:t>
      </w:r>
      <w:r w:rsidR="00442C1C">
        <w:t xml:space="preserve">Ministry of Health. </w:t>
      </w:r>
      <w:r w:rsidR="00735227">
        <w:t>2014</w:t>
      </w:r>
      <w:r w:rsidR="00442C1C">
        <w:t xml:space="preserve">. </w:t>
      </w:r>
      <w:r w:rsidR="00A433AA">
        <w:rPr>
          <w:i/>
        </w:rPr>
        <w:t>Tobacco Use 2012/13: New Zealand Health Survey</w:t>
      </w:r>
      <w:r w:rsidR="0023578A">
        <w:rPr>
          <w:i/>
        </w:rPr>
        <w:t>.</w:t>
      </w:r>
      <w:r w:rsidR="00735227">
        <w:t xml:space="preserve"> </w:t>
      </w:r>
      <w:r w:rsidR="00442C1C" w:rsidRPr="00735227">
        <w:t>Wellington</w:t>
      </w:r>
      <w:r w:rsidR="00442C1C">
        <w:t>: Ministry of Health.</w:t>
      </w:r>
    </w:p>
    <w:p w14:paraId="7FC530EF" w14:textId="547493DC" w:rsidR="00C86248" w:rsidRDefault="00C86248">
      <w:pPr>
        <w:pStyle w:val="Imprint"/>
      </w:pPr>
      <w:r>
        <w:t xml:space="preserve">Published in </w:t>
      </w:r>
      <w:r w:rsidR="00C71A1E">
        <w:t>December</w:t>
      </w:r>
      <w:r w:rsidR="00FE297F">
        <w:t xml:space="preserve"> </w:t>
      </w:r>
      <w:r w:rsidR="00735227">
        <w:t>2014</w:t>
      </w:r>
      <w:r w:rsidR="005019AE">
        <w:br/>
      </w:r>
      <w:r>
        <w:t>by the</w:t>
      </w:r>
      <w:r w:rsidR="00442C1C">
        <w:t xml:space="preserve"> </w:t>
      </w:r>
      <w:r>
        <w:t>Ministry of Health</w:t>
      </w:r>
      <w:r>
        <w:br/>
        <w:t>PO Box 5013, Wellington</w:t>
      </w:r>
      <w:r w:rsidR="00A80363">
        <w:t xml:space="preserve"> 6145</w:t>
      </w:r>
      <w:r>
        <w:t>, New Zealand</w:t>
      </w:r>
    </w:p>
    <w:p w14:paraId="4AF333EA" w14:textId="77777777" w:rsidR="00082CD6" w:rsidRPr="009C0F2D" w:rsidRDefault="00D863D0" w:rsidP="00082CD6">
      <w:pPr>
        <w:pStyle w:val="Imprint"/>
      </w:pPr>
      <w:r>
        <w:t>ISBN</w:t>
      </w:r>
      <w:r w:rsidR="00442C1C">
        <w:t xml:space="preserve">: </w:t>
      </w:r>
      <w:r w:rsidR="00652090">
        <w:t>978-0-478-44442-1</w:t>
      </w:r>
      <w:r w:rsidR="00442C1C">
        <w:t xml:space="preserve"> </w:t>
      </w:r>
      <w:r>
        <w:t>(</w:t>
      </w:r>
      <w:r w:rsidR="00442C1C">
        <w:t>online</w:t>
      </w:r>
      <w:r>
        <w:t>)</w:t>
      </w:r>
      <w:r w:rsidR="00082CD6">
        <w:br/>
      </w:r>
      <w:r w:rsidR="00082CD6" w:rsidRPr="009C0F2D">
        <w:t xml:space="preserve">HP </w:t>
      </w:r>
      <w:r w:rsidR="00652090">
        <w:t>6063</w:t>
      </w:r>
    </w:p>
    <w:p w14:paraId="6F1B71D8" w14:textId="77777777" w:rsidR="00C86248" w:rsidRDefault="00C86248">
      <w:pPr>
        <w:pStyle w:val="Imprint"/>
      </w:pPr>
      <w:r>
        <w:t xml:space="preserve">This document is available </w:t>
      </w:r>
      <w:r w:rsidR="0071741C">
        <w:t>at w</w:t>
      </w:r>
      <w:r>
        <w:t>ww.h</w:t>
      </w:r>
      <w:r w:rsidR="00A80363">
        <w:t>ealth</w:t>
      </w:r>
      <w:r>
        <w:t>.govt.nz</w:t>
      </w:r>
    </w:p>
    <w:p w14:paraId="0AEB6382" w14:textId="77777777" w:rsidR="00C86248" w:rsidRPr="00B701D1" w:rsidRDefault="008C64C4">
      <w:pPr>
        <w:jc w:val="center"/>
      </w:pPr>
      <w:r>
        <w:rPr>
          <w:noProof/>
          <w:lang w:eastAsia="en-NZ"/>
        </w:rPr>
        <w:drawing>
          <wp:inline distT="0" distB="0" distL="0" distR="0" wp14:anchorId="665CE0DF" wp14:editId="12AB4DFB">
            <wp:extent cx="1670685" cy="681355"/>
            <wp:effectExtent l="0" t="0" r="5715" b="4445"/>
            <wp:docPr id="2" name="Picture 2"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59302977" w14:textId="3551EEFC" w:rsidR="0017564F" w:rsidRPr="00D535D0" w:rsidRDefault="0017564F" w:rsidP="0017564F">
      <w:pPr>
        <w:pStyle w:val="Heading3"/>
        <w:shd w:val="clear" w:color="auto" w:fill="FFFFFF"/>
        <w:ind w:right="-851"/>
        <w:rPr>
          <w:b w:val="0"/>
          <w:sz w:val="22"/>
          <w:szCs w:val="22"/>
        </w:rPr>
      </w:pPr>
      <w:r>
        <w:rPr>
          <w:rStyle w:val="A4"/>
          <w:b w:val="0"/>
          <w:noProof/>
          <w:sz w:val="22"/>
          <w:szCs w:val="22"/>
          <w:lang w:eastAsia="en-NZ"/>
        </w:rPr>
        <w:drawing>
          <wp:inline distT="0" distB="0" distL="0" distR="0" wp14:anchorId="091A836A" wp14:editId="537B1E9A">
            <wp:extent cx="822960" cy="274320"/>
            <wp:effectExtent l="0" t="0" r="0" b="0"/>
            <wp:docPr id="5" name="Picture 5"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14:paraId="03552568"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bookmarkStart w:id="0" w:name="_GoBack"/>
      <w:bookmarkEnd w:id="0"/>
    </w:p>
    <w:p w14:paraId="7488BC94" w14:textId="77777777" w:rsidR="00DE3B20" w:rsidRDefault="00DE3B20" w:rsidP="0021763B">
      <w:pPr>
        <w:pStyle w:val="Heading1"/>
      </w:pPr>
      <w:bookmarkStart w:id="1" w:name="_Toc404091063"/>
      <w:bookmarkStart w:id="2" w:name="_Toc405792991"/>
      <w:bookmarkStart w:id="3" w:name="_Toc405793224"/>
      <w:r>
        <w:lastRenderedPageBreak/>
        <w:t>Foreword</w:t>
      </w:r>
      <w:bookmarkEnd w:id="1"/>
    </w:p>
    <w:p w14:paraId="3CB763A4" w14:textId="77777777" w:rsidR="00A66C98" w:rsidRDefault="00A66C98" w:rsidP="00EF1A37">
      <w:r>
        <w:t>I am pleased to present this report about tobacco use and exposure in New Zealand in 2012/13, from the New Zealand Health Survey.</w:t>
      </w:r>
    </w:p>
    <w:p w14:paraId="62766E4E" w14:textId="77777777" w:rsidR="00A66C98" w:rsidRDefault="00A66C98" w:rsidP="00EF1A37"/>
    <w:p w14:paraId="74729D78" w14:textId="42753153" w:rsidR="00A66C98" w:rsidRPr="00C06BCB" w:rsidRDefault="00A66C98" w:rsidP="00EF1A37">
      <w:r w:rsidRPr="002B4FE8">
        <w:t xml:space="preserve">The </w:t>
      </w:r>
      <w:r>
        <w:t>survey</w:t>
      </w:r>
      <w:r w:rsidRPr="002B4FE8">
        <w:t xml:space="preserve"> provides us with a valuable data source about a range of health topics, us</w:t>
      </w:r>
      <w:r>
        <w:t>ing data collected from about 13</w:t>
      </w:r>
      <w:r w:rsidRPr="002B4FE8">
        <w:t>,000 adults and</w:t>
      </w:r>
      <w:r>
        <w:t xml:space="preserve"> 4000 children each year. Since the New Zealand Health Survey became a continuous survey in 2011, it has included a rotating programme of subject-specific modules that changes every 12 months in addi</w:t>
      </w:r>
      <w:r w:rsidR="0071021C">
        <w:t xml:space="preserve">tion to a core questionnaire. </w:t>
      </w:r>
      <w:r w:rsidRPr="00D4150D">
        <w:t xml:space="preserve">Year two (July 2012 to June 2013) of the </w:t>
      </w:r>
      <w:r>
        <w:t>survey</w:t>
      </w:r>
      <w:r w:rsidRPr="00D4150D">
        <w:t>, included a module focusing on tobacco use. This report presents information sourced from</w:t>
      </w:r>
      <w:r>
        <w:t xml:space="preserve"> both the survey</w:t>
      </w:r>
      <w:r w:rsidR="00AA2408">
        <w:t>’</w:t>
      </w:r>
      <w:r>
        <w:t>s core and module questions about tobacco use.</w:t>
      </w:r>
    </w:p>
    <w:p w14:paraId="6C0FFD73" w14:textId="77777777" w:rsidR="00A66C98" w:rsidRDefault="00A66C98" w:rsidP="00EF1A37"/>
    <w:p w14:paraId="3C7B2488" w14:textId="43E42369" w:rsidR="00A66C98" w:rsidRDefault="00A66C98" w:rsidP="00EF1A37">
      <w:r>
        <w:t xml:space="preserve">You will find information in the report on how New Zealand is progressing towards the Smokefree 2025 goal, </w:t>
      </w:r>
      <w:r w:rsidR="00AA2408">
        <w:t>“</w:t>
      </w:r>
      <w:r>
        <w:t>a longer term goal of reducing smoking prevalence and availability to minimal levels, thereby making New Zealand essentially a smoke-free nation in 2025</w:t>
      </w:r>
      <w:r w:rsidR="00AA2408">
        <w:t>”</w:t>
      </w:r>
      <w:r>
        <w:t xml:space="preserve"> (Ministry of Health 2011). The report provides a snapshot on tobacco use by adults over the age of 15</w:t>
      </w:r>
      <w:r w:rsidR="00AA2408">
        <w:t xml:space="preserve"> </w:t>
      </w:r>
      <w:r>
        <w:t>years, across different population groups. It presents information on when smokers smoke their first cigarette and how this has changed over the years. It also presents detailed data on who is quitting smoking and how they are quitting. The report also addresses the issue of second-hand smoke ex</w:t>
      </w:r>
      <w:r w:rsidR="00A7354A">
        <w:t>posure for adults and children.</w:t>
      </w:r>
    </w:p>
    <w:p w14:paraId="5B3543B4" w14:textId="77777777" w:rsidR="00A66C98" w:rsidRDefault="00A66C98" w:rsidP="00EF1A37"/>
    <w:p w14:paraId="2573497A" w14:textId="083AA436" w:rsidR="00A66C98" w:rsidRDefault="00A66C98" w:rsidP="00EF1A37">
      <w:r>
        <w:t>I look forward to future releases from the survey which provide further insights about the health of New Zealanders. These include the annual update of key findings from the 2013/14 New Zealand Health Survey and the Alcohol use</w:t>
      </w:r>
      <w:r w:rsidR="00A7354A">
        <w:t>, Drug use and Obesity reports.</w:t>
      </w:r>
    </w:p>
    <w:p w14:paraId="52D6952D" w14:textId="77777777" w:rsidR="00A66C98" w:rsidRDefault="00A66C98" w:rsidP="00EF1A37"/>
    <w:p w14:paraId="0D25C09C" w14:textId="27F289F5" w:rsidR="00A66C98" w:rsidRDefault="00A66C98" w:rsidP="00EF1A37">
      <w:r>
        <w:t>I would also like to extend a special thank you to the many thousands of New Zealanders who gave their time to take part in the survey. The information they have provided is critical in informing and monitoring tobacco control and developing tobacco policy to assist in achieving a</w:t>
      </w:r>
      <w:r w:rsidR="00A7354A">
        <w:t xml:space="preserve"> Smokefree New Zealand by 2025.</w:t>
      </w:r>
    </w:p>
    <w:p w14:paraId="7C5ACB4D" w14:textId="77777777" w:rsidR="00A66C98" w:rsidRDefault="00A66C98" w:rsidP="00EF1A37"/>
    <w:p w14:paraId="005290A2" w14:textId="77777777" w:rsidR="00AA2408" w:rsidRDefault="00A66C98" w:rsidP="00A66C98">
      <w:pPr>
        <w:jc w:val="both"/>
        <w:rPr>
          <w:szCs w:val="22"/>
        </w:rPr>
      </w:pPr>
      <w:r>
        <w:rPr>
          <w:szCs w:val="22"/>
        </w:rPr>
        <w:t>I hope you find this report useful and informative.</w:t>
      </w:r>
    </w:p>
    <w:p w14:paraId="39AA5D9D" w14:textId="36629DF5" w:rsidR="00A66C98" w:rsidRDefault="00A66C98" w:rsidP="00EF1A37"/>
    <w:p w14:paraId="1FCF300F" w14:textId="77777777" w:rsidR="00EF1A37" w:rsidRDefault="00EF1A37" w:rsidP="00EF1A37"/>
    <w:p w14:paraId="6A737A13" w14:textId="77777777" w:rsidR="00EF1A37" w:rsidRDefault="00EF1A37" w:rsidP="00EF1A37"/>
    <w:p w14:paraId="57D6186A" w14:textId="583C63D8" w:rsidR="00A66C98" w:rsidRDefault="00EF1A37" w:rsidP="00EF1A37">
      <w:r>
        <w:t>Don Gray</w:t>
      </w:r>
    </w:p>
    <w:p w14:paraId="4B73862E" w14:textId="77777777" w:rsidR="00A66C98" w:rsidRDefault="00A66C98" w:rsidP="00A66C98">
      <w:r>
        <w:t>Deputy Director-General, Policy</w:t>
      </w:r>
    </w:p>
    <w:p w14:paraId="29EF6D3A" w14:textId="77777777" w:rsidR="00A66C98" w:rsidRDefault="00A66C98" w:rsidP="00A66C98">
      <w:r>
        <w:t>Ministry of Health</w:t>
      </w:r>
    </w:p>
    <w:p w14:paraId="7D403B21" w14:textId="77777777" w:rsidR="00735227" w:rsidRDefault="00735227" w:rsidP="00DE3B20"/>
    <w:p w14:paraId="242959B3" w14:textId="77777777" w:rsidR="00DE3B20" w:rsidRDefault="00DE3B20">
      <w:pPr>
        <w:spacing w:line="240" w:lineRule="auto"/>
      </w:pPr>
      <w:r>
        <w:br w:type="page"/>
      </w:r>
    </w:p>
    <w:p w14:paraId="6162F37A" w14:textId="77777777" w:rsidR="00DE3B20" w:rsidRDefault="00735227" w:rsidP="00735227">
      <w:pPr>
        <w:pStyle w:val="Heading1"/>
      </w:pPr>
      <w:bookmarkStart w:id="4" w:name="_Toc400478207"/>
      <w:bookmarkStart w:id="5" w:name="_Toc404091064"/>
      <w:r>
        <w:lastRenderedPageBreak/>
        <w:t>Authors</w:t>
      </w:r>
      <w:bookmarkEnd w:id="4"/>
      <w:bookmarkEnd w:id="5"/>
    </w:p>
    <w:p w14:paraId="2C238C27" w14:textId="77777777" w:rsidR="00735227" w:rsidRDefault="00735227" w:rsidP="00EF1A37">
      <w:r>
        <w:t xml:space="preserve">This report was written by Sainimere Boladuadua and Marie Ditchburn. Statistical analyses were carried out by Deepa Weerasekera and Robert Templeton. The authors are employed by </w:t>
      </w:r>
      <w:r w:rsidR="00370643">
        <w:t xml:space="preserve">the </w:t>
      </w:r>
      <w:r>
        <w:t>Health and Disability Intelligence</w:t>
      </w:r>
      <w:r w:rsidR="00370643">
        <w:t xml:space="preserve"> Group</w:t>
      </w:r>
      <w:r>
        <w:t>, Ministry of Health.</w:t>
      </w:r>
    </w:p>
    <w:p w14:paraId="6AC47F2B" w14:textId="77777777" w:rsidR="00735227" w:rsidRDefault="00735227" w:rsidP="00EF1A37"/>
    <w:p w14:paraId="0F4F8E02" w14:textId="77777777" w:rsidR="00735227" w:rsidRDefault="00735227" w:rsidP="00735227">
      <w:pPr>
        <w:pStyle w:val="Heading1"/>
        <w:spacing w:before="2000"/>
      </w:pPr>
      <w:bookmarkStart w:id="6" w:name="_Toc399599661"/>
      <w:bookmarkStart w:id="7" w:name="_Toc400136579"/>
      <w:bookmarkStart w:id="8" w:name="_Toc404091065"/>
      <w:r>
        <w:t>Acknowledgements</w:t>
      </w:r>
      <w:bookmarkEnd w:id="6"/>
      <w:bookmarkEnd w:id="7"/>
      <w:bookmarkEnd w:id="8"/>
    </w:p>
    <w:p w14:paraId="7A07A017" w14:textId="77777777" w:rsidR="00735227" w:rsidRDefault="00735227" w:rsidP="00EF1A37">
      <w:r>
        <w:t>Thank you to the many thousands of New Zealanders who gave their time to participate in the New Zealand Health Survey. This report would not have been possible without your generosity.</w:t>
      </w:r>
    </w:p>
    <w:p w14:paraId="1195897F" w14:textId="77777777" w:rsidR="00735227" w:rsidRDefault="00735227" w:rsidP="00EF1A37"/>
    <w:p w14:paraId="30C8796C" w14:textId="77777777" w:rsidR="00735227" w:rsidRPr="00045BFD" w:rsidRDefault="00735227" w:rsidP="00735227">
      <w:pPr>
        <w:pStyle w:val="Heading4"/>
      </w:pPr>
      <w:r w:rsidRPr="00045BFD">
        <w:t xml:space="preserve">Project </w:t>
      </w:r>
      <w:r>
        <w:t>m</w:t>
      </w:r>
      <w:r w:rsidRPr="00045BFD">
        <w:t>anage</w:t>
      </w:r>
      <w:r>
        <w:t>r</w:t>
      </w:r>
      <w:r w:rsidRPr="00045BFD">
        <w:t xml:space="preserve"> of the New Zealand Health Survey</w:t>
      </w:r>
    </w:p>
    <w:p w14:paraId="15E6E520" w14:textId="77777777" w:rsidR="00735227" w:rsidRDefault="00735227" w:rsidP="00735227">
      <w:r>
        <w:t>Anne McNicholas</w:t>
      </w:r>
    </w:p>
    <w:p w14:paraId="55F0BBA4" w14:textId="77777777" w:rsidR="00735227" w:rsidRDefault="00735227" w:rsidP="00735227"/>
    <w:p w14:paraId="0F5B5334" w14:textId="77777777" w:rsidR="00735227" w:rsidRPr="00045BFD" w:rsidRDefault="00735227" w:rsidP="00735227">
      <w:pPr>
        <w:pStyle w:val="Heading4"/>
      </w:pPr>
      <w:r w:rsidRPr="00045BFD">
        <w:t>Interview and data</w:t>
      </w:r>
      <w:r>
        <w:t>-</w:t>
      </w:r>
      <w:r w:rsidRPr="00045BFD">
        <w:t>processing team</w:t>
      </w:r>
    </w:p>
    <w:p w14:paraId="3D93B673" w14:textId="77777777" w:rsidR="00735227" w:rsidRDefault="00735227" w:rsidP="00735227">
      <w:r w:rsidRPr="008410C2">
        <w:t>CBG Health Research Ltd, especially Barry Gribben, Carol Boustead, Neil Tee, Heni Tupe and the survey interviewers and data management staff</w:t>
      </w:r>
    </w:p>
    <w:p w14:paraId="66CB3B55" w14:textId="77777777" w:rsidR="00735227" w:rsidRDefault="00735227" w:rsidP="00735227"/>
    <w:p w14:paraId="1DB018C1" w14:textId="77777777" w:rsidR="00735227" w:rsidRPr="00045BFD" w:rsidRDefault="00735227" w:rsidP="00735227">
      <w:pPr>
        <w:pStyle w:val="Heading4"/>
        <w:rPr>
          <w:lang w:eastAsia="en-US"/>
        </w:rPr>
      </w:pPr>
      <w:r w:rsidRPr="00045BFD">
        <w:rPr>
          <w:lang w:eastAsia="en-US"/>
        </w:rPr>
        <w:t>Design and methodology</w:t>
      </w:r>
      <w:r>
        <w:rPr>
          <w:lang w:eastAsia="en-US"/>
        </w:rPr>
        <w:t xml:space="preserve"> team</w:t>
      </w:r>
    </w:p>
    <w:p w14:paraId="07B254AC" w14:textId="77777777" w:rsidR="00735227" w:rsidRDefault="00735227" w:rsidP="00735227">
      <w:pPr>
        <w:rPr>
          <w:lang w:eastAsia="en-US"/>
        </w:rPr>
      </w:pPr>
      <w:r>
        <w:rPr>
          <w:lang w:eastAsia="en-US"/>
        </w:rPr>
        <w:t>Robert Clark (University of Wollongong, Australia), Robert Templeton (Ministry of Health)</w:t>
      </w:r>
    </w:p>
    <w:p w14:paraId="5F66F292" w14:textId="77777777" w:rsidR="00735227" w:rsidRDefault="00735227" w:rsidP="00735227">
      <w:pPr>
        <w:rPr>
          <w:lang w:eastAsia="en-US"/>
        </w:rPr>
      </w:pPr>
    </w:p>
    <w:p w14:paraId="0B74ABB3" w14:textId="77777777" w:rsidR="00735227" w:rsidRPr="00045BFD" w:rsidRDefault="00735227" w:rsidP="00735227">
      <w:pPr>
        <w:pStyle w:val="Heading4"/>
        <w:rPr>
          <w:lang w:eastAsia="en-US"/>
        </w:rPr>
      </w:pPr>
      <w:r w:rsidRPr="00045BFD">
        <w:rPr>
          <w:lang w:eastAsia="en-US"/>
        </w:rPr>
        <w:t>Questionnaire develop</w:t>
      </w:r>
      <w:r>
        <w:rPr>
          <w:lang w:eastAsia="en-US"/>
        </w:rPr>
        <w:t>ers</w:t>
      </w:r>
    </w:p>
    <w:p w14:paraId="15EBB1A5" w14:textId="77777777" w:rsidR="00735227" w:rsidRDefault="00735227" w:rsidP="00735227">
      <w:pPr>
        <w:rPr>
          <w:lang w:eastAsia="en-US"/>
        </w:rPr>
      </w:pPr>
      <w:r>
        <w:rPr>
          <w:lang w:eastAsia="en-US"/>
        </w:rPr>
        <w:t>Anne McNicholas, Anthea Hewitt, Marianne Linton</w:t>
      </w:r>
    </w:p>
    <w:p w14:paraId="0E0AC296" w14:textId="77777777" w:rsidR="00735227" w:rsidRDefault="00735227" w:rsidP="00735227">
      <w:pPr>
        <w:rPr>
          <w:lang w:eastAsia="en-US"/>
        </w:rPr>
      </w:pPr>
    </w:p>
    <w:p w14:paraId="4DD7BE72" w14:textId="77777777" w:rsidR="00735227" w:rsidRPr="00045BFD" w:rsidRDefault="00735227" w:rsidP="00735227">
      <w:pPr>
        <w:pStyle w:val="Heading4"/>
        <w:rPr>
          <w:lang w:eastAsia="en-US"/>
        </w:rPr>
      </w:pPr>
      <w:r w:rsidRPr="00045BFD">
        <w:rPr>
          <w:lang w:eastAsia="en-US"/>
        </w:rPr>
        <w:t>Peer review</w:t>
      </w:r>
      <w:r>
        <w:rPr>
          <w:lang w:eastAsia="en-US"/>
        </w:rPr>
        <w:t>ers</w:t>
      </w:r>
      <w:r w:rsidRPr="00045BFD">
        <w:rPr>
          <w:lang w:eastAsia="en-US"/>
        </w:rPr>
        <w:t xml:space="preserve"> of </w:t>
      </w:r>
      <w:r>
        <w:rPr>
          <w:lang w:eastAsia="en-US"/>
        </w:rPr>
        <w:t xml:space="preserve">the </w:t>
      </w:r>
      <w:r w:rsidRPr="00045BFD">
        <w:rPr>
          <w:lang w:eastAsia="en-US"/>
        </w:rPr>
        <w:t>report</w:t>
      </w:r>
    </w:p>
    <w:p w14:paraId="68B1FFF7" w14:textId="77777777" w:rsidR="00735227" w:rsidRDefault="00735227" w:rsidP="00735227">
      <w:pPr>
        <w:rPr>
          <w:lang w:eastAsia="en-US"/>
        </w:rPr>
      </w:pPr>
      <w:r>
        <w:rPr>
          <w:lang w:eastAsia="en-US"/>
        </w:rPr>
        <w:t>Richard Edwards (University of Otago, Wellington), Hayden McRobbie (Queen Mary, University of London), Marewa Glover (The University of Auckland), Jackie Fawcett, Sue Dahl, Robert Templeton, Marianne Linton, Hilary Sharpe, John Stribling, Paula King, Deepa Weerasekera, Bridget Murphy, Chloe Lynch, Sharon Cox (Ministry of Health)</w:t>
      </w:r>
    </w:p>
    <w:p w14:paraId="0FB59DCB" w14:textId="77777777" w:rsidR="00DE3B20" w:rsidRPr="00DE3B20" w:rsidRDefault="00DE3B20" w:rsidP="00735227"/>
    <w:p w14:paraId="45734046" w14:textId="77777777" w:rsidR="00DE3B20" w:rsidRDefault="00DE3B20" w:rsidP="00DE3B20">
      <w:r>
        <w:br w:type="page"/>
      </w:r>
    </w:p>
    <w:p w14:paraId="71759ADD" w14:textId="77777777" w:rsidR="00C86248" w:rsidRDefault="00C86248">
      <w:pPr>
        <w:pStyle w:val="IntroHead"/>
      </w:pPr>
      <w:r>
        <w:lastRenderedPageBreak/>
        <w:t>Contents</w:t>
      </w:r>
      <w:bookmarkEnd w:id="2"/>
      <w:bookmarkEnd w:id="3"/>
    </w:p>
    <w:p w14:paraId="52A9215E" w14:textId="77777777" w:rsidR="007E56E3"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7E56E3">
        <w:rPr>
          <w:noProof/>
        </w:rPr>
        <w:t>Foreword</w:t>
      </w:r>
      <w:r w:rsidR="007E56E3">
        <w:rPr>
          <w:noProof/>
        </w:rPr>
        <w:tab/>
      </w:r>
      <w:r w:rsidR="007E56E3">
        <w:rPr>
          <w:noProof/>
        </w:rPr>
        <w:fldChar w:fldCharType="begin"/>
      </w:r>
      <w:r w:rsidR="007E56E3">
        <w:rPr>
          <w:noProof/>
        </w:rPr>
        <w:instrText xml:space="preserve"> PAGEREF _Toc404091063 \h </w:instrText>
      </w:r>
      <w:r w:rsidR="007E56E3">
        <w:rPr>
          <w:noProof/>
        </w:rPr>
      </w:r>
      <w:r w:rsidR="007E56E3">
        <w:rPr>
          <w:noProof/>
        </w:rPr>
        <w:fldChar w:fldCharType="separate"/>
      </w:r>
      <w:r w:rsidR="00894668">
        <w:rPr>
          <w:noProof/>
        </w:rPr>
        <w:t>iii</w:t>
      </w:r>
      <w:r w:rsidR="007E56E3">
        <w:rPr>
          <w:noProof/>
        </w:rPr>
        <w:fldChar w:fldCharType="end"/>
      </w:r>
    </w:p>
    <w:p w14:paraId="3D7200EB" w14:textId="77777777" w:rsidR="007E56E3" w:rsidRDefault="007E56E3">
      <w:pPr>
        <w:pStyle w:val="TOC1"/>
        <w:rPr>
          <w:rFonts w:asciiTheme="minorHAnsi" w:eastAsiaTheme="minorEastAsia" w:hAnsiTheme="minorHAnsi" w:cstheme="minorBidi"/>
          <w:b w:val="0"/>
          <w:noProof/>
          <w:szCs w:val="22"/>
          <w:lang w:eastAsia="en-NZ"/>
        </w:rPr>
      </w:pPr>
      <w:r>
        <w:rPr>
          <w:noProof/>
        </w:rPr>
        <w:t>Authors</w:t>
      </w:r>
      <w:r>
        <w:rPr>
          <w:noProof/>
        </w:rPr>
        <w:tab/>
      </w:r>
      <w:r>
        <w:rPr>
          <w:noProof/>
        </w:rPr>
        <w:fldChar w:fldCharType="begin"/>
      </w:r>
      <w:r>
        <w:rPr>
          <w:noProof/>
        </w:rPr>
        <w:instrText xml:space="preserve"> PAGEREF _Toc404091064 \h </w:instrText>
      </w:r>
      <w:r>
        <w:rPr>
          <w:noProof/>
        </w:rPr>
      </w:r>
      <w:r>
        <w:rPr>
          <w:noProof/>
        </w:rPr>
        <w:fldChar w:fldCharType="separate"/>
      </w:r>
      <w:r w:rsidR="00894668">
        <w:rPr>
          <w:noProof/>
        </w:rPr>
        <w:t>iv</w:t>
      </w:r>
      <w:r>
        <w:rPr>
          <w:noProof/>
        </w:rPr>
        <w:fldChar w:fldCharType="end"/>
      </w:r>
    </w:p>
    <w:p w14:paraId="599A152E" w14:textId="77777777" w:rsidR="007E56E3" w:rsidRDefault="007E56E3">
      <w:pPr>
        <w:pStyle w:val="TOC1"/>
        <w:rPr>
          <w:rFonts w:asciiTheme="minorHAnsi" w:eastAsiaTheme="minorEastAsia" w:hAnsiTheme="minorHAnsi" w:cstheme="minorBidi"/>
          <w:b w:val="0"/>
          <w:noProof/>
          <w:szCs w:val="22"/>
          <w:lang w:eastAsia="en-NZ"/>
        </w:rPr>
      </w:pPr>
      <w:r>
        <w:rPr>
          <w:noProof/>
        </w:rPr>
        <w:t>Acknowledgements</w:t>
      </w:r>
      <w:r>
        <w:rPr>
          <w:noProof/>
        </w:rPr>
        <w:tab/>
      </w:r>
      <w:r>
        <w:rPr>
          <w:noProof/>
        </w:rPr>
        <w:fldChar w:fldCharType="begin"/>
      </w:r>
      <w:r>
        <w:rPr>
          <w:noProof/>
        </w:rPr>
        <w:instrText xml:space="preserve"> PAGEREF _Toc404091065 \h </w:instrText>
      </w:r>
      <w:r>
        <w:rPr>
          <w:noProof/>
        </w:rPr>
      </w:r>
      <w:r>
        <w:rPr>
          <w:noProof/>
        </w:rPr>
        <w:fldChar w:fldCharType="separate"/>
      </w:r>
      <w:r w:rsidR="00894668">
        <w:rPr>
          <w:noProof/>
        </w:rPr>
        <w:t>iv</w:t>
      </w:r>
      <w:r>
        <w:rPr>
          <w:noProof/>
        </w:rPr>
        <w:fldChar w:fldCharType="end"/>
      </w:r>
    </w:p>
    <w:p w14:paraId="072B6F70" w14:textId="77777777" w:rsidR="007E56E3" w:rsidRDefault="007E56E3">
      <w:pPr>
        <w:pStyle w:val="TOC1"/>
        <w:rPr>
          <w:rFonts w:asciiTheme="minorHAnsi" w:eastAsiaTheme="minorEastAsia" w:hAnsiTheme="minorHAnsi" w:cstheme="minorBidi"/>
          <w:b w:val="0"/>
          <w:noProof/>
          <w:szCs w:val="22"/>
          <w:lang w:eastAsia="en-NZ"/>
        </w:rPr>
      </w:pPr>
      <w:r>
        <w:rPr>
          <w:noProof/>
        </w:rPr>
        <w:t>Executive summary</w:t>
      </w:r>
      <w:r>
        <w:rPr>
          <w:noProof/>
        </w:rPr>
        <w:tab/>
      </w:r>
      <w:r>
        <w:rPr>
          <w:noProof/>
        </w:rPr>
        <w:fldChar w:fldCharType="begin"/>
      </w:r>
      <w:r>
        <w:rPr>
          <w:noProof/>
        </w:rPr>
        <w:instrText xml:space="preserve"> PAGEREF _Toc404091066 \h </w:instrText>
      </w:r>
      <w:r>
        <w:rPr>
          <w:noProof/>
        </w:rPr>
      </w:r>
      <w:r>
        <w:rPr>
          <w:noProof/>
        </w:rPr>
        <w:fldChar w:fldCharType="separate"/>
      </w:r>
      <w:r w:rsidR="00894668">
        <w:rPr>
          <w:noProof/>
        </w:rPr>
        <w:t>x</w:t>
      </w:r>
      <w:r>
        <w:rPr>
          <w:noProof/>
        </w:rPr>
        <w:fldChar w:fldCharType="end"/>
      </w:r>
    </w:p>
    <w:p w14:paraId="285EDA7B" w14:textId="77777777" w:rsidR="007E56E3" w:rsidRDefault="007E56E3">
      <w:pPr>
        <w:pStyle w:val="TOC2"/>
        <w:rPr>
          <w:rFonts w:asciiTheme="minorHAnsi" w:eastAsiaTheme="minorEastAsia" w:hAnsiTheme="minorHAnsi" w:cstheme="minorBidi"/>
          <w:noProof/>
          <w:szCs w:val="22"/>
          <w:lang w:eastAsia="en-NZ"/>
        </w:rPr>
      </w:pPr>
      <w:r>
        <w:rPr>
          <w:noProof/>
        </w:rPr>
        <w:t>Key findings</w:t>
      </w:r>
      <w:r>
        <w:rPr>
          <w:noProof/>
        </w:rPr>
        <w:tab/>
      </w:r>
      <w:r>
        <w:rPr>
          <w:noProof/>
        </w:rPr>
        <w:fldChar w:fldCharType="begin"/>
      </w:r>
      <w:r>
        <w:rPr>
          <w:noProof/>
        </w:rPr>
        <w:instrText xml:space="preserve"> PAGEREF _Toc404091067 \h </w:instrText>
      </w:r>
      <w:r>
        <w:rPr>
          <w:noProof/>
        </w:rPr>
      </w:r>
      <w:r>
        <w:rPr>
          <w:noProof/>
        </w:rPr>
        <w:fldChar w:fldCharType="separate"/>
      </w:r>
      <w:r w:rsidR="00894668">
        <w:rPr>
          <w:noProof/>
        </w:rPr>
        <w:t>x</w:t>
      </w:r>
      <w:r>
        <w:rPr>
          <w:noProof/>
        </w:rPr>
        <w:fldChar w:fldCharType="end"/>
      </w:r>
    </w:p>
    <w:p w14:paraId="59F05C66" w14:textId="77777777" w:rsidR="007E56E3" w:rsidRDefault="007E56E3">
      <w:pPr>
        <w:pStyle w:val="TOC1"/>
        <w:rPr>
          <w:rFonts w:asciiTheme="minorHAnsi" w:eastAsiaTheme="minorEastAsia" w:hAnsiTheme="minorHAnsi" w:cstheme="minorBidi"/>
          <w:b w:val="0"/>
          <w:noProof/>
          <w:szCs w:val="22"/>
          <w:lang w:eastAsia="en-NZ"/>
        </w:rPr>
      </w:pPr>
      <w:r>
        <w:rPr>
          <w:noProof/>
        </w:rPr>
        <w:t>Glossary</w:t>
      </w:r>
      <w:r>
        <w:rPr>
          <w:noProof/>
        </w:rPr>
        <w:tab/>
      </w:r>
      <w:r>
        <w:rPr>
          <w:noProof/>
        </w:rPr>
        <w:fldChar w:fldCharType="begin"/>
      </w:r>
      <w:r>
        <w:rPr>
          <w:noProof/>
        </w:rPr>
        <w:instrText xml:space="preserve"> PAGEREF _Toc404091068 \h </w:instrText>
      </w:r>
      <w:r>
        <w:rPr>
          <w:noProof/>
        </w:rPr>
      </w:r>
      <w:r>
        <w:rPr>
          <w:noProof/>
        </w:rPr>
        <w:fldChar w:fldCharType="separate"/>
      </w:r>
      <w:r w:rsidR="00894668">
        <w:rPr>
          <w:noProof/>
        </w:rPr>
        <w:t>xiv</w:t>
      </w:r>
      <w:r>
        <w:rPr>
          <w:noProof/>
        </w:rPr>
        <w:fldChar w:fldCharType="end"/>
      </w:r>
    </w:p>
    <w:p w14:paraId="7515AC56" w14:textId="77777777" w:rsidR="007E56E3" w:rsidRDefault="007E56E3">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_Toc404091069 \h </w:instrText>
      </w:r>
      <w:r>
        <w:rPr>
          <w:noProof/>
        </w:rPr>
      </w:r>
      <w:r>
        <w:rPr>
          <w:noProof/>
        </w:rPr>
        <w:fldChar w:fldCharType="separate"/>
      </w:r>
      <w:r w:rsidR="00894668">
        <w:rPr>
          <w:noProof/>
        </w:rPr>
        <w:t>1</w:t>
      </w:r>
      <w:r>
        <w:rPr>
          <w:noProof/>
        </w:rPr>
        <w:fldChar w:fldCharType="end"/>
      </w:r>
    </w:p>
    <w:p w14:paraId="5B816609" w14:textId="77777777" w:rsidR="007E56E3" w:rsidRDefault="007E56E3">
      <w:pPr>
        <w:pStyle w:val="TOC2"/>
        <w:rPr>
          <w:rFonts w:asciiTheme="minorHAnsi" w:eastAsiaTheme="minorEastAsia" w:hAnsiTheme="minorHAnsi" w:cstheme="minorBidi"/>
          <w:noProof/>
          <w:szCs w:val="22"/>
          <w:lang w:eastAsia="en-NZ"/>
        </w:rPr>
      </w:pPr>
      <w:r>
        <w:rPr>
          <w:noProof/>
        </w:rPr>
        <w:t>Smokefree 2025: how are we progressing towards this goal?</w:t>
      </w:r>
      <w:r>
        <w:rPr>
          <w:noProof/>
        </w:rPr>
        <w:tab/>
      </w:r>
      <w:r>
        <w:rPr>
          <w:noProof/>
        </w:rPr>
        <w:fldChar w:fldCharType="begin"/>
      </w:r>
      <w:r>
        <w:rPr>
          <w:noProof/>
        </w:rPr>
        <w:instrText xml:space="preserve"> PAGEREF _Toc404091070 \h </w:instrText>
      </w:r>
      <w:r>
        <w:rPr>
          <w:noProof/>
        </w:rPr>
      </w:r>
      <w:r>
        <w:rPr>
          <w:noProof/>
        </w:rPr>
        <w:fldChar w:fldCharType="separate"/>
      </w:r>
      <w:r w:rsidR="00894668">
        <w:rPr>
          <w:noProof/>
        </w:rPr>
        <w:t>1</w:t>
      </w:r>
      <w:r>
        <w:rPr>
          <w:noProof/>
        </w:rPr>
        <w:fldChar w:fldCharType="end"/>
      </w:r>
    </w:p>
    <w:p w14:paraId="0E345EC9" w14:textId="77777777" w:rsidR="007E56E3" w:rsidRDefault="007E56E3">
      <w:pPr>
        <w:pStyle w:val="TOC1"/>
        <w:rPr>
          <w:rFonts w:asciiTheme="minorHAnsi" w:eastAsiaTheme="minorEastAsia" w:hAnsiTheme="minorHAnsi" w:cstheme="minorBidi"/>
          <w:b w:val="0"/>
          <w:noProof/>
          <w:szCs w:val="22"/>
          <w:lang w:eastAsia="en-NZ"/>
        </w:rPr>
      </w:pPr>
      <w:r>
        <w:rPr>
          <w:noProof/>
        </w:rPr>
        <w:t>Technical details of the 2012/13 survey</w:t>
      </w:r>
      <w:r>
        <w:rPr>
          <w:noProof/>
        </w:rPr>
        <w:tab/>
      </w:r>
      <w:r>
        <w:rPr>
          <w:noProof/>
        </w:rPr>
        <w:fldChar w:fldCharType="begin"/>
      </w:r>
      <w:r>
        <w:rPr>
          <w:noProof/>
        </w:rPr>
        <w:instrText xml:space="preserve"> PAGEREF _Toc404091071 \h </w:instrText>
      </w:r>
      <w:r>
        <w:rPr>
          <w:noProof/>
        </w:rPr>
      </w:r>
      <w:r>
        <w:rPr>
          <w:noProof/>
        </w:rPr>
        <w:fldChar w:fldCharType="separate"/>
      </w:r>
      <w:r w:rsidR="00894668">
        <w:rPr>
          <w:noProof/>
        </w:rPr>
        <w:t>2</w:t>
      </w:r>
      <w:r>
        <w:rPr>
          <w:noProof/>
        </w:rPr>
        <w:fldChar w:fldCharType="end"/>
      </w:r>
    </w:p>
    <w:p w14:paraId="0A24EDA2" w14:textId="77777777" w:rsidR="007E56E3" w:rsidRDefault="007E56E3">
      <w:pPr>
        <w:pStyle w:val="TOC2"/>
        <w:rPr>
          <w:rFonts w:asciiTheme="minorHAnsi" w:eastAsiaTheme="minorEastAsia" w:hAnsiTheme="minorHAnsi" w:cstheme="minorBidi"/>
          <w:noProof/>
          <w:szCs w:val="22"/>
          <w:lang w:eastAsia="en-NZ"/>
        </w:rPr>
      </w:pPr>
      <w:r>
        <w:rPr>
          <w:noProof/>
        </w:rPr>
        <w:t>Interpretation notes</w:t>
      </w:r>
      <w:r>
        <w:rPr>
          <w:noProof/>
        </w:rPr>
        <w:tab/>
      </w:r>
      <w:r>
        <w:rPr>
          <w:noProof/>
        </w:rPr>
        <w:fldChar w:fldCharType="begin"/>
      </w:r>
      <w:r>
        <w:rPr>
          <w:noProof/>
        </w:rPr>
        <w:instrText xml:space="preserve"> PAGEREF _Toc404091072 \h </w:instrText>
      </w:r>
      <w:r>
        <w:rPr>
          <w:noProof/>
        </w:rPr>
      </w:r>
      <w:r>
        <w:rPr>
          <w:noProof/>
        </w:rPr>
        <w:fldChar w:fldCharType="separate"/>
      </w:r>
      <w:r w:rsidR="00894668">
        <w:rPr>
          <w:noProof/>
        </w:rPr>
        <w:t>2</w:t>
      </w:r>
      <w:r>
        <w:rPr>
          <w:noProof/>
        </w:rPr>
        <w:fldChar w:fldCharType="end"/>
      </w:r>
    </w:p>
    <w:p w14:paraId="45BD2490" w14:textId="77777777" w:rsidR="007E56E3" w:rsidRDefault="007E56E3">
      <w:pPr>
        <w:pStyle w:val="TOC1"/>
        <w:rPr>
          <w:rFonts w:asciiTheme="minorHAnsi" w:eastAsiaTheme="minorEastAsia" w:hAnsiTheme="minorHAnsi" w:cstheme="minorBidi"/>
          <w:b w:val="0"/>
          <w:noProof/>
          <w:szCs w:val="22"/>
          <w:lang w:eastAsia="en-NZ"/>
        </w:rPr>
      </w:pPr>
      <w:r>
        <w:rPr>
          <w:noProof/>
        </w:rPr>
        <w:t>Section 1: Are we on track to a smokefree 2025?</w:t>
      </w:r>
      <w:r>
        <w:rPr>
          <w:noProof/>
        </w:rPr>
        <w:tab/>
      </w:r>
      <w:r>
        <w:rPr>
          <w:noProof/>
        </w:rPr>
        <w:fldChar w:fldCharType="begin"/>
      </w:r>
      <w:r>
        <w:rPr>
          <w:noProof/>
        </w:rPr>
        <w:instrText xml:space="preserve"> PAGEREF _Toc404091073 \h </w:instrText>
      </w:r>
      <w:r>
        <w:rPr>
          <w:noProof/>
        </w:rPr>
      </w:r>
      <w:r>
        <w:rPr>
          <w:noProof/>
        </w:rPr>
        <w:fldChar w:fldCharType="separate"/>
      </w:r>
      <w:r w:rsidR="00894668">
        <w:rPr>
          <w:noProof/>
        </w:rPr>
        <w:t>5</w:t>
      </w:r>
      <w:r>
        <w:rPr>
          <w:noProof/>
        </w:rPr>
        <w:fldChar w:fldCharType="end"/>
      </w:r>
    </w:p>
    <w:p w14:paraId="04307172" w14:textId="77777777" w:rsidR="007E56E3" w:rsidRDefault="007E56E3">
      <w:pPr>
        <w:pStyle w:val="TOC2"/>
        <w:rPr>
          <w:rFonts w:asciiTheme="minorHAnsi" w:eastAsiaTheme="minorEastAsia" w:hAnsiTheme="minorHAnsi" w:cstheme="minorBidi"/>
          <w:noProof/>
          <w:szCs w:val="22"/>
          <w:lang w:eastAsia="en-NZ"/>
        </w:rPr>
      </w:pPr>
      <w:r>
        <w:rPr>
          <w:noProof/>
        </w:rPr>
        <w:t>Smoking rates are continuing to decline</w:t>
      </w:r>
      <w:r>
        <w:rPr>
          <w:noProof/>
        </w:rPr>
        <w:tab/>
      </w:r>
      <w:r>
        <w:rPr>
          <w:noProof/>
        </w:rPr>
        <w:fldChar w:fldCharType="begin"/>
      </w:r>
      <w:r>
        <w:rPr>
          <w:noProof/>
        </w:rPr>
        <w:instrText xml:space="preserve"> PAGEREF _Toc404091074 \h </w:instrText>
      </w:r>
      <w:r>
        <w:rPr>
          <w:noProof/>
        </w:rPr>
      </w:r>
      <w:r>
        <w:rPr>
          <w:noProof/>
        </w:rPr>
        <w:fldChar w:fldCharType="separate"/>
      </w:r>
      <w:r w:rsidR="00894668">
        <w:rPr>
          <w:noProof/>
        </w:rPr>
        <w:t>5</w:t>
      </w:r>
      <w:r>
        <w:rPr>
          <w:noProof/>
        </w:rPr>
        <w:fldChar w:fldCharType="end"/>
      </w:r>
    </w:p>
    <w:p w14:paraId="517CE0AE" w14:textId="77777777" w:rsidR="007E56E3" w:rsidRDefault="007E56E3">
      <w:pPr>
        <w:pStyle w:val="TOC2"/>
        <w:rPr>
          <w:rFonts w:asciiTheme="minorHAnsi" w:eastAsiaTheme="minorEastAsia" w:hAnsiTheme="minorHAnsi" w:cstheme="minorBidi"/>
          <w:noProof/>
          <w:szCs w:val="22"/>
          <w:lang w:eastAsia="en-NZ"/>
        </w:rPr>
      </w:pPr>
      <w:r>
        <w:rPr>
          <w:noProof/>
        </w:rPr>
        <w:t>Are smoking rates declining for everyone?</w:t>
      </w:r>
      <w:r>
        <w:rPr>
          <w:noProof/>
        </w:rPr>
        <w:tab/>
      </w:r>
      <w:r>
        <w:rPr>
          <w:noProof/>
        </w:rPr>
        <w:fldChar w:fldCharType="begin"/>
      </w:r>
      <w:r>
        <w:rPr>
          <w:noProof/>
        </w:rPr>
        <w:instrText xml:space="preserve"> PAGEREF _Toc404091075 \h </w:instrText>
      </w:r>
      <w:r>
        <w:rPr>
          <w:noProof/>
        </w:rPr>
      </w:r>
      <w:r>
        <w:rPr>
          <w:noProof/>
        </w:rPr>
        <w:fldChar w:fldCharType="separate"/>
      </w:r>
      <w:r w:rsidR="00894668">
        <w:rPr>
          <w:noProof/>
        </w:rPr>
        <w:t>7</w:t>
      </w:r>
      <w:r>
        <w:rPr>
          <w:noProof/>
        </w:rPr>
        <w:fldChar w:fldCharType="end"/>
      </w:r>
    </w:p>
    <w:p w14:paraId="3EC44AE1" w14:textId="77777777" w:rsidR="007E56E3" w:rsidRDefault="007E56E3">
      <w:pPr>
        <w:pStyle w:val="TOC2"/>
        <w:rPr>
          <w:rFonts w:asciiTheme="minorHAnsi" w:eastAsiaTheme="minorEastAsia" w:hAnsiTheme="minorHAnsi" w:cstheme="minorBidi"/>
          <w:noProof/>
          <w:szCs w:val="22"/>
          <w:lang w:eastAsia="en-NZ"/>
        </w:rPr>
      </w:pPr>
      <w:r>
        <w:rPr>
          <w:noProof/>
        </w:rPr>
        <w:t>Summary</w:t>
      </w:r>
      <w:r>
        <w:rPr>
          <w:noProof/>
        </w:rPr>
        <w:tab/>
      </w:r>
      <w:r>
        <w:rPr>
          <w:noProof/>
        </w:rPr>
        <w:fldChar w:fldCharType="begin"/>
      </w:r>
      <w:r>
        <w:rPr>
          <w:noProof/>
        </w:rPr>
        <w:instrText xml:space="preserve"> PAGEREF _Toc404091076 \h </w:instrText>
      </w:r>
      <w:r>
        <w:rPr>
          <w:noProof/>
        </w:rPr>
      </w:r>
      <w:r>
        <w:rPr>
          <w:noProof/>
        </w:rPr>
        <w:fldChar w:fldCharType="separate"/>
      </w:r>
      <w:r w:rsidR="00894668">
        <w:rPr>
          <w:noProof/>
        </w:rPr>
        <w:t>9</w:t>
      </w:r>
      <w:r>
        <w:rPr>
          <w:noProof/>
        </w:rPr>
        <w:fldChar w:fldCharType="end"/>
      </w:r>
    </w:p>
    <w:p w14:paraId="0B796126" w14:textId="77777777" w:rsidR="007E56E3" w:rsidRDefault="007E56E3">
      <w:pPr>
        <w:pStyle w:val="TOC1"/>
        <w:rPr>
          <w:rFonts w:asciiTheme="minorHAnsi" w:eastAsiaTheme="minorEastAsia" w:hAnsiTheme="minorHAnsi" w:cstheme="minorBidi"/>
          <w:b w:val="0"/>
          <w:noProof/>
          <w:szCs w:val="22"/>
          <w:lang w:eastAsia="en-NZ"/>
        </w:rPr>
      </w:pPr>
      <w:r>
        <w:rPr>
          <w:noProof/>
        </w:rPr>
        <w:t>Section 2: Smoking profile in New Zealand</w:t>
      </w:r>
      <w:r>
        <w:rPr>
          <w:noProof/>
        </w:rPr>
        <w:tab/>
      </w:r>
      <w:r>
        <w:rPr>
          <w:noProof/>
        </w:rPr>
        <w:fldChar w:fldCharType="begin"/>
      </w:r>
      <w:r>
        <w:rPr>
          <w:noProof/>
        </w:rPr>
        <w:instrText xml:space="preserve"> PAGEREF _Toc404091077 \h </w:instrText>
      </w:r>
      <w:r>
        <w:rPr>
          <w:noProof/>
        </w:rPr>
      </w:r>
      <w:r>
        <w:rPr>
          <w:noProof/>
        </w:rPr>
        <w:fldChar w:fldCharType="separate"/>
      </w:r>
      <w:r w:rsidR="00894668">
        <w:rPr>
          <w:noProof/>
        </w:rPr>
        <w:t>10</w:t>
      </w:r>
      <w:r>
        <w:rPr>
          <w:noProof/>
        </w:rPr>
        <w:fldChar w:fldCharType="end"/>
      </w:r>
    </w:p>
    <w:p w14:paraId="4A90A640" w14:textId="77777777" w:rsidR="007E56E3" w:rsidRDefault="007E56E3">
      <w:pPr>
        <w:pStyle w:val="TOC2"/>
        <w:rPr>
          <w:rFonts w:asciiTheme="minorHAnsi" w:eastAsiaTheme="minorEastAsia" w:hAnsiTheme="minorHAnsi" w:cstheme="minorBidi"/>
          <w:noProof/>
          <w:szCs w:val="22"/>
          <w:lang w:eastAsia="en-NZ"/>
        </w:rPr>
      </w:pPr>
      <w:r>
        <w:rPr>
          <w:noProof/>
        </w:rPr>
        <w:t>Who is smoking, what are they smoking and where are they purchasing their tobacco products?</w:t>
      </w:r>
      <w:r>
        <w:rPr>
          <w:noProof/>
        </w:rPr>
        <w:tab/>
      </w:r>
      <w:r>
        <w:rPr>
          <w:noProof/>
        </w:rPr>
        <w:fldChar w:fldCharType="begin"/>
      </w:r>
      <w:r>
        <w:rPr>
          <w:noProof/>
        </w:rPr>
        <w:instrText xml:space="preserve"> PAGEREF _Toc404091078 \h </w:instrText>
      </w:r>
      <w:r>
        <w:rPr>
          <w:noProof/>
        </w:rPr>
      </w:r>
      <w:r>
        <w:rPr>
          <w:noProof/>
        </w:rPr>
        <w:fldChar w:fldCharType="separate"/>
      </w:r>
      <w:r w:rsidR="00894668">
        <w:rPr>
          <w:noProof/>
        </w:rPr>
        <w:t>10</w:t>
      </w:r>
      <w:r>
        <w:rPr>
          <w:noProof/>
        </w:rPr>
        <w:fldChar w:fldCharType="end"/>
      </w:r>
    </w:p>
    <w:p w14:paraId="2A46CEFA" w14:textId="77777777" w:rsidR="007E56E3" w:rsidRDefault="007E56E3">
      <w:pPr>
        <w:pStyle w:val="TOC2"/>
        <w:rPr>
          <w:rFonts w:asciiTheme="minorHAnsi" w:eastAsiaTheme="minorEastAsia" w:hAnsiTheme="minorHAnsi" w:cstheme="minorBidi"/>
          <w:noProof/>
          <w:szCs w:val="22"/>
          <w:lang w:eastAsia="en-NZ"/>
        </w:rPr>
      </w:pPr>
      <w:r>
        <w:rPr>
          <w:noProof/>
        </w:rPr>
        <w:t>Profile of smokers</w:t>
      </w:r>
      <w:r>
        <w:rPr>
          <w:noProof/>
        </w:rPr>
        <w:tab/>
      </w:r>
      <w:r>
        <w:rPr>
          <w:noProof/>
        </w:rPr>
        <w:fldChar w:fldCharType="begin"/>
      </w:r>
      <w:r>
        <w:rPr>
          <w:noProof/>
        </w:rPr>
        <w:instrText xml:space="preserve"> PAGEREF _Toc404091079 \h </w:instrText>
      </w:r>
      <w:r>
        <w:rPr>
          <w:noProof/>
        </w:rPr>
      </w:r>
      <w:r>
        <w:rPr>
          <w:noProof/>
        </w:rPr>
        <w:fldChar w:fldCharType="separate"/>
      </w:r>
      <w:r w:rsidR="00894668">
        <w:rPr>
          <w:noProof/>
        </w:rPr>
        <w:t>13</w:t>
      </w:r>
      <w:r>
        <w:rPr>
          <w:noProof/>
        </w:rPr>
        <w:fldChar w:fldCharType="end"/>
      </w:r>
    </w:p>
    <w:p w14:paraId="797F0B9B" w14:textId="77777777" w:rsidR="007E56E3" w:rsidRDefault="007E56E3">
      <w:pPr>
        <w:pStyle w:val="TOC2"/>
        <w:rPr>
          <w:rFonts w:asciiTheme="minorHAnsi" w:eastAsiaTheme="minorEastAsia" w:hAnsiTheme="minorHAnsi" w:cstheme="minorBidi"/>
          <w:noProof/>
          <w:szCs w:val="22"/>
          <w:lang w:eastAsia="en-NZ"/>
        </w:rPr>
      </w:pPr>
      <w:r>
        <w:rPr>
          <w:noProof/>
        </w:rPr>
        <w:t>Smoking in youth</w:t>
      </w:r>
      <w:r>
        <w:rPr>
          <w:noProof/>
        </w:rPr>
        <w:tab/>
      </w:r>
      <w:r>
        <w:rPr>
          <w:noProof/>
        </w:rPr>
        <w:fldChar w:fldCharType="begin"/>
      </w:r>
      <w:r>
        <w:rPr>
          <w:noProof/>
        </w:rPr>
        <w:instrText xml:space="preserve"> PAGEREF _Toc404091080 \h </w:instrText>
      </w:r>
      <w:r>
        <w:rPr>
          <w:noProof/>
        </w:rPr>
      </w:r>
      <w:r>
        <w:rPr>
          <w:noProof/>
        </w:rPr>
        <w:fldChar w:fldCharType="separate"/>
      </w:r>
      <w:r w:rsidR="00894668">
        <w:rPr>
          <w:noProof/>
        </w:rPr>
        <w:t>14</w:t>
      </w:r>
      <w:r>
        <w:rPr>
          <w:noProof/>
        </w:rPr>
        <w:fldChar w:fldCharType="end"/>
      </w:r>
    </w:p>
    <w:p w14:paraId="19ED41C1" w14:textId="77777777" w:rsidR="007E56E3" w:rsidRDefault="007E56E3">
      <w:pPr>
        <w:pStyle w:val="TOC2"/>
        <w:rPr>
          <w:rFonts w:asciiTheme="minorHAnsi" w:eastAsiaTheme="minorEastAsia" w:hAnsiTheme="minorHAnsi" w:cstheme="minorBidi"/>
          <w:noProof/>
          <w:szCs w:val="22"/>
          <w:lang w:eastAsia="en-NZ"/>
        </w:rPr>
      </w:pPr>
      <w:r>
        <w:rPr>
          <w:noProof/>
        </w:rPr>
        <w:t>Mental health and hazardous alcohol consumption</w:t>
      </w:r>
      <w:r>
        <w:rPr>
          <w:noProof/>
        </w:rPr>
        <w:tab/>
      </w:r>
      <w:r>
        <w:rPr>
          <w:noProof/>
        </w:rPr>
        <w:fldChar w:fldCharType="begin"/>
      </w:r>
      <w:r>
        <w:rPr>
          <w:noProof/>
        </w:rPr>
        <w:instrText xml:space="preserve"> PAGEREF _Toc404091081 \h </w:instrText>
      </w:r>
      <w:r>
        <w:rPr>
          <w:noProof/>
        </w:rPr>
      </w:r>
      <w:r>
        <w:rPr>
          <w:noProof/>
        </w:rPr>
        <w:fldChar w:fldCharType="separate"/>
      </w:r>
      <w:r w:rsidR="00894668">
        <w:rPr>
          <w:noProof/>
        </w:rPr>
        <w:t>15</w:t>
      </w:r>
      <w:r>
        <w:rPr>
          <w:noProof/>
        </w:rPr>
        <w:fldChar w:fldCharType="end"/>
      </w:r>
    </w:p>
    <w:p w14:paraId="3E005A1C" w14:textId="77777777" w:rsidR="007E56E3" w:rsidRDefault="007E56E3">
      <w:pPr>
        <w:pStyle w:val="TOC2"/>
        <w:rPr>
          <w:rFonts w:asciiTheme="minorHAnsi" w:eastAsiaTheme="minorEastAsia" w:hAnsiTheme="minorHAnsi" w:cstheme="minorBidi"/>
          <w:noProof/>
          <w:szCs w:val="22"/>
          <w:lang w:eastAsia="en-NZ"/>
        </w:rPr>
      </w:pPr>
      <w:r>
        <w:rPr>
          <w:noProof/>
        </w:rPr>
        <w:t>What are smokers smoking?</w:t>
      </w:r>
      <w:r>
        <w:rPr>
          <w:noProof/>
        </w:rPr>
        <w:tab/>
      </w:r>
      <w:r>
        <w:rPr>
          <w:noProof/>
        </w:rPr>
        <w:fldChar w:fldCharType="begin"/>
      </w:r>
      <w:r>
        <w:rPr>
          <w:noProof/>
        </w:rPr>
        <w:instrText xml:space="preserve"> PAGEREF _Toc404091082 \h </w:instrText>
      </w:r>
      <w:r>
        <w:rPr>
          <w:noProof/>
        </w:rPr>
      </w:r>
      <w:r>
        <w:rPr>
          <w:noProof/>
        </w:rPr>
        <w:fldChar w:fldCharType="separate"/>
      </w:r>
      <w:r w:rsidR="00894668">
        <w:rPr>
          <w:noProof/>
        </w:rPr>
        <w:t>21</w:t>
      </w:r>
      <w:r>
        <w:rPr>
          <w:noProof/>
        </w:rPr>
        <w:fldChar w:fldCharType="end"/>
      </w:r>
    </w:p>
    <w:p w14:paraId="2E8DCB93" w14:textId="77777777" w:rsidR="007E56E3" w:rsidRDefault="007E56E3">
      <w:pPr>
        <w:pStyle w:val="TOC2"/>
        <w:rPr>
          <w:rFonts w:asciiTheme="minorHAnsi" w:eastAsiaTheme="minorEastAsia" w:hAnsiTheme="minorHAnsi" w:cstheme="minorBidi"/>
          <w:noProof/>
          <w:szCs w:val="22"/>
          <w:lang w:eastAsia="en-NZ"/>
        </w:rPr>
      </w:pPr>
      <w:r>
        <w:rPr>
          <w:noProof/>
        </w:rPr>
        <w:t>Where are smokers purchasing their tobacco/cigarettes?</w:t>
      </w:r>
      <w:r>
        <w:rPr>
          <w:noProof/>
        </w:rPr>
        <w:tab/>
      </w:r>
      <w:r>
        <w:rPr>
          <w:noProof/>
        </w:rPr>
        <w:fldChar w:fldCharType="begin"/>
      </w:r>
      <w:r>
        <w:rPr>
          <w:noProof/>
        </w:rPr>
        <w:instrText xml:space="preserve"> PAGEREF _Toc404091083 \h </w:instrText>
      </w:r>
      <w:r>
        <w:rPr>
          <w:noProof/>
        </w:rPr>
      </w:r>
      <w:r>
        <w:rPr>
          <w:noProof/>
        </w:rPr>
        <w:fldChar w:fldCharType="separate"/>
      </w:r>
      <w:r w:rsidR="00894668">
        <w:rPr>
          <w:noProof/>
        </w:rPr>
        <w:t>23</w:t>
      </w:r>
      <w:r>
        <w:rPr>
          <w:noProof/>
        </w:rPr>
        <w:fldChar w:fldCharType="end"/>
      </w:r>
    </w:p>
    <w:p w14:paraId="10C7935B" w14:textId="77777777" w:rsidR="007E56E3" w:rsidRDefault="007E56E3">
      <w:pPr>
        <w:pStyle w:val="TOC2"/>
        <w:rPr>
          <w:rFonts w:asciiTheme="minorHAnsi" w:eastAsiaTheme="minorEastAsia" w:hAnsiTheme="minorHAnsi" w:cstheme="minorBidi"/>
          <w:noProof/>
          <w:szCs w:val="22"/>
          <w:lang w:eastAsia="en-NZ"/>
        </w:rPr>
      </w:pPr>
      <w:r>
        <w:rPr>
          <w:noProof/>
        </w:rPr>
        <w:t>Tobacco access in young people</w:t>
      </w:r>
      <w:r>
        <w:rPr>
          <w:noProof/>
        </w:rPr>
        <w:tab/>
      </w:r>
      <w:r>
        <w:rPr>
          <w:noProof/>
        </w:rPr>
        <w:fldChar w:fldCharType="begin"/>
      </w:r>
      <w:r>
        <w:rPr>
          <w:noProof/>
        </w:rPr>
        <w:instrText xml:space="preserve"> PAGEREF _Toc404091084 \h </w:instrText>
      </w:r>
      <w:r>
        <w:rPr>
          <w:noProof/>
        </w:rPr>
      </w:r>
      <w:r>
        <w:rPr>
          <w:noProof/>
        </w:rPr>
        <w:fldChar w:fldCharType="separate"/>
      </w:r>
      <w:r w:rsidR="00894668">
        <w:rPr>
          <w:noProof/>
        </w:rPr>
        <w:t>24</w:t>
      </w:r>
      <w:r>
        <w:rPr>
          <w:noProof/>
        </w:rPr>
        <w:fldChar w:fldCharType="end"/>
      </w:r>
    </w:p>
    <w:p w14:paraId="536CD270" w14:textId="77777777" w:rsidR="007E56E3" w:rsidRDefault="007E56E3">
      <w:pPr>
        <w:pStyle w:val="TOC1"/>
        <w:rPr>
          <w:rFonts w:asciiTheme="minorHAnsi" w:eastAsiaTheme="minorEastAsia" w:hAnsiTheme="minorHAnsi" w:cstheme="minorBidi"/>
          <w:b w:val="0"/>
          <w:noProof/>
          <w:szCs w:val="22"/>
          <w:lang w:eastAsia="en-NZ"/>
        </w:rPr>
      </w:pPr>
      <w:r>
        <w:rPr>
          <w:noProof/>
        </w:rPr>
        <w:t>Section 3: Initiation and uptake</w:t>
      </w:r>
      <w:r>
        <w:rPr>
          <w:noProof/>
        </w:rPr>
        <w:tab/>
      </w:r>
      <w:r>
        <w:rPr>
          <w:noProof/>
        </w:rPr>
        <w:fldChar w:fldCharType="begin"/>
      </w:r>
      <w:r>
        <w:rPr>
          <w:noProof/>
        </w:rPr>
        <w:instrText xml:space="preserve"> PAGEREF _Toc404091085 \h </w:instrText>
      </w:r>
      <w:r>
        <w:rPr>
          <w:noProof/>
        </w:rPr>
      </w:r>
      <w:r>
        <w:rPr>
          <w:noProof/>
        </w:rPr>
        <w:fldChar w:fldCharType="separate"/>
      </w:r>
      <w:r w:rsidR="00894668">
        <w:rPr>
          <w:noProof/>
        </w:rPr>
        <w:t>26</w:t>
      </w:r>
      <w:r>
        <w:rPr>
          <w:noProof/>
        </w:rPr>
        <w:fldChar w:fldCharType="end"/>
      </w:r>
    </w:p>
    <w:p w14:paraId="10D1FE5D" w14:textId="77777777" w:rsidR="007E56E3" w:rsidRDefault="007E56E3">
      <w:pPr>
        <w:pStyle w:val="TOC2"/>
        <w:rPr>
          <w:rFonts w:asciiTheme="minorHAnsi" w:eastAsiaTheme="minorEastAsia" w:hAnsiTheme="minorHAnsi" w:cstheme="minorBidi"/>
          <w:noProof/>
          <w:szCs w:val="22"/>
          <w:lang w:eastAsia="en-NZ"/>
        </w:rPr>
      </w:pPr>
      <w:r>
        <w:rPr>
          <w:noProof/>
        </w:rPr>
        <w:t>What is the mean age of smoking initiation and smoking uptake, and how is this changing over time?</w:t>
      </w:r>
      <w:r>
        <w:rPr>
          <w:noProof/>
        </w:rPr>
        <w:tab/>
      </w:r>
      <w:r>
        <w:rPr>
          <w:noProof/>
        </w:rPr>
        <w:fldChar w:fldCharType="begin"/>
      </w:r>
      <w:r>
        <w:rPr>
          <w:noProof/>
        </w:rPr>
        <w:instrText xml:space="preserve"> PAGEREF _Toc404091086 \h </w:instrText>
      </w:r>
      <w:r>
        <w:rPr>
          <w:noProof/>
        </w:rPr>
      </w:r>
      <w:r>
        <w:rPr>
          <w:noProof/>
        </w:rPr>
        <w:fldChar w:fldCharType="separate"/>
      </w:r>
      <w:r w:rsidR="00894668">
        <w:rPr>
          <w:noProof/>
        </w:rPr>
        <w:t>26</w:t>
      </w:r>
      <w:r>
        <w:rPr>
          <w:noProof/>
        </w:rPr>
        <w:fldChar w:fldCharType="end"/>
      </w:r>
    </w:p>
    <w:p w14:paraId="6317E9EF" w14:textId="77777777" w:rsidR="007E56E3" w:rsidRDefault="007E56E3">
      <w:pPr>
        <w:pStyle w:val="TOC2"/>
        <w:rPr>
          <w:rFonts w:asciiTheme="minorHAnsi" w:eastAsiaTheme="minorEastAsia" w:hAnsiTheme="minorHAnsi" w:cstheme="minorBidi"/>
          <w:noProof/>
          <w:szCs w:val="22"/>
          <w:lang w:eastAsia="en-NZ"/>
        </w:rPr>
      </w:pPr>
      <w:r>
        <w:rPr>
          <w:noProof/>
        </w:rPr>
        <w:t>How is smoking initiation and uptake changing over time?</w:t>
      </w:r>
      <w:r>
        <w:rPr>
          <w:noProof/>
        </w:rPr>
        <w:tab/>
      </w:r>
      <w:r>
        <w:rPr>
          <w:noProof/>
        </w:rPr>
        <w:fldChar w:fldCharType="begin"/>
      </w:r>
      <w:r>
        <w:rPr>
          <w:noProof/>
        </w:rPr>
        <w:instrText xml:space="preserve"> PAGEREF _Toc404091087 \h </w:instrText>
      </w:r>
      <w:r>
        <w:rPr>
          <w:noProof/>
        </w:rPr>
      </w:r>
      <w:r>
        <w:rPr>
          <w:noProof/>
        </w:rPr>
        <w:fldChar w:fldCharType="separate"/>
      </w:r>
      <w:r w:rsidR="00894668">
        <w:rPr>
          <w:noProof/>
        </w:rPr>
        <w:t>27</w:t>
      </w:r>
      <w:r>
        <w:rPr>
          <w:noProof/>
        </w:rPr>
        <w:fldChar w:fldCharType="end"/>
      </w:r>
    </w:p>
    <w:p w14:paraId="27765FD9" w14:textId="77777777" w:rsidR="007E56E3" w:rsidRDefault="007E56E3">
      <w:pPr>
        <w:pStyle w:val="TOC1"/>
        <w:rPr>
          <w:rFonts w:asciiTheme="minorHAnsi" w:eastAsiaTheme="minorEastAsia" w:hAnsiTheme="minorHAnsi" w:cstheme="minorBidi"/>
          <w:b w:val="0"/>
          <w:noProof/>
          <w:szCs w:val="22"/>
          <w:lang w:eastAsia="en-NZ"/>
        </w:rPr>
      </w:pPr>
      <w:r>
        <w:rPr>
          <w:noProof/>
        </w:rPr>
        <w:t>Section 4: Smoking cessation</w:t>
      </w:r>
      <w:r>
        <w:rPr>
          <w:noProof/>
        </w:rPr>
        <w:tab/>
      </w:r>
      <w:r>
        <w:rPr>
          <w:noProof/>
        </w:rPr>
        <w:fldChar w:fldCharType="begin"/>
      </w:r>
      <w:r>
        <w:rPr>
          <w:noProof/>
        </w:rPr>
        <w:instrText xml:space="preserve"> PAGEREF _Toc404091088 \h </w:instrText>
      </w:r>
      <w:r>
        <w:rPr>
          <w:noProof/>
        </w:rPr>
      </w:r>
      <w:r>
        <w:rPr>
          <w:noProof/>
        </w:rPr>
        <w:fldChar w:fldCharType="separate"/>
      </w:r>
      <w:r w:rsidR="00894668">
        <w:rPr>
          <w:noProof/>
        </w:rPr>
        <w:t>29</w:t>
      </w:r>
      <w:r>
        <w:rPr>
          <w:noProof/>
        </w:rPr>
        <w:fldChar w:fldCharType="end"/>
      </w:r>
    </w:p>
    <w:p w14:paraId="0347E280" w14:textId="77777777" w:rsidR="007E56E3" w:rsidRDefault="007E56E3">
      <w:pPr>
        <w:pStyle w:val="TOC2"/>
        <w:rPr>
          <w:rFonts w:asciiTheme="minorHAnsi" w:eastAsiaTheme="minorEastAsia" w:hAnsiTheme="minorHAnsi" w:cstheme="minorBidi"/>
          <w:noProof/>
          <w:szCs w:val="22"/>
          <w:lang w:eastAsia="en-NZ"/>
        </w:rPr>
      </w:pPr>
      <w:r>
        <w:rPr>
          <w:noProof/>
        </w:rPr>
        <w:t>Quitting: who, why and how?</w:t>
      </w:r>
      <w:r>
        <w:rPr>
          <w:noProof/>
        </w:rPr>
        <w:tab/>
      </w:r>
      <w:r>
        <w:rPr>
          <w:noProof/>
        </w:rPr>
        <w:fldChar w:fldCharType="begin"/>
      </w:r>
      <w:r>
        <w:rPr>
          <w:noProof/>
        </w:rPr>
        <w:instrText xml:space="preserve"> PAGEREF _Toc404091089 \h </w:instrText>
      </w:r>
      <w:r>
        <w:rPr>
          <w:noProof/>
        </w:rPr>
      </w:r>
      <w:r>
        <w:rPr>
          <w:noProof/>
        </w:rPr>
        <w:fldChar w:fldCharType="separate"/>
      </w:r>
      <w:r w:rsidR="00894668">
        <w:rPr>
          <w:noProof/>
        </w:rPr>
        <w:t>29</w:t>
      </w:r>
      <w:r>
        <w:rPr>
          <w:noProof/>
        </w:rPr>
        <w:fldChar w:fldCharType="end"/>
      </w:r>
    </w:p>
    <w:p w14:paraId="77C8F3BB" w14:textId="77777777" w:rsidR="007E56E3" w:rsidRDefault="007E56E3">
      <w:pPr>
        <w:pStyle w:val="TOC2"/>
        <w:rPr>
          <w:rFonts w:asciiTheme="minorHAnsi" w:eastAsiaTheme="minorEastAsia" w:hAnsiTheme="minorHAnsi" w:cstheme="minorBidi"/>
          <w:noProof/>
          <w:szCs w:val="22"/>
          <w:lang w:eastAsia="en-NZ"/>
        </w:rPr>
      </w:pPr>
      <w:r>
        <w:rPr>
          <w:noProof/>
        </w:rPr>
        <w:t>Successful quitting</w:t>
      </w:r>
      <w:r>
        <w:rPr>
          <w:noProof/>
        </w:rPr>
        <w:tab/>
      </w:r>
      <w:r>
        <w:rPr>
          <w:noProof/>
        </w:rPr>
        <w:fldChar w:fldCharType="begin"/>
      </w:r>
      <w:r>
        <w:rPr>
          <w:noProof/>
        </w:rPr>
        <w:instrText xml:space="preserve"> PAGEREF _Toc404091090 \h </w:instrText>
      </w:r>
      <w:r>
        <w:rPr>
          <w:noProof/>
        </w:rPr>
      </w:r>
      <w:r>
        <w:rPr>
          <w:noProof/>
        </w:rPr>
        <w:fldChar w:fldCharType="separate"/>
      </w:r>
      <w:r w:rsidR="00894668">
        <w:rPr>
          <w:noProof/>
        </w:rPr>
        <w:t>29</w:t>
      </w:r>
      <w:r>
        <w:rPr>
          <w:noProof/>
        </w:rPr>
        <w:fldChar w:fldCharType="end"/>
      </w:r>
    </w:p>
    <w:p w14:paraId="733B45B8" w14:textId="77777777" w:rsidR="007E56E3" w:rsidRDefault="007E56E3">
      <w:pPr>
        <w:pStyle w:val="TOC2"/>
        <w:rPr>
          <w:rFonts w:asciiTheme="minorHAnsi" w:eastAsiaTheme="minorEastAsia" w:hAnsiTheme="minorHAnsi" w:cstheme="minorBidi"/>
          <w:noProof/>
          <w:szCs w:val="22"/>
          <w:lang w:eastAsia="en-NZ"/>
        </w:rPr>
      </w:pPr>
      <w:r>
        <w:rPr>
          <w:noProof/>
        </w:rPr>
        <w:t>Which smokers are quitting?</w:t>
      </w:r>
      <w:r>
        <w:rPr>
          <w:noProof/>
        </w:rPr>
        <w:tab/>
      </w:r>
      <w:r>
        <w:rPr>
          <w:noProof/>
        </w:rPr>
        <w:fldChar w:fldCharType="begin"/>
      </w:r>
      <w:r>
        <w:rPr>
          <w:noProof/>
        </w:rPr>
        <w:instrText xml:space="preserve"> PAGEREF _Toc404091091 \h </w:instrText>
      </w:r>
      <w:r>
        <w:rPr>
          <w:noProof/>
        </w:rPr>
      </w:r>
      <w:r>
        <w:rPr>
          <w:noProof/>
        </w:rPr>
        <w:fldChar w:fldCharType="separate"/>
      </w:r>
      <w:r w:rsidR="00894668">
        <w:rPr>
          <w:noProof/>
        </w:rPr>
        <w:t>30</w:t>
      </w:r>
      <w:r>
        <w:rPr>
          <w:noProof/>
        </w:rPr>
        <w:fldChar w:fldCharType="end"/>
      </w:r>
    </w:p>
    <w:p w14:paraId="43EE8D1E" w14:textId="77777777" w:rsidR="007E56E3" w:rsidRDefault="007E56E3" w:rsidP="003102D7">
      <w:pPr>
        <w:pStyle w:val="TOC2"/>
        <w:keepNext/>
        <w:rPr>
          <w:rFonts w:asciiTheme="minorHAnsi" w:eastAsiaTheme="minorEastAsia" w:hAnsiTheme="minorHAnsi" w:cstheme="minorBidi"/>
          <w:noProof/>
          <w:szCs w:val="22"/>
          <w:lang w:eastAsia="en-NZ"/>
        </w:rPr>
      </w:pPr>
      <w:r>
        <w:rPr>
          <w:noProof/>
        </w:rPr>
        <w:t>Why are smokers quitting?</w:t>
      </w:r>
      <w:r>
        <w:rPr>
          <w:noProof/>
        </w:rPr>
        <w:tab/>
      </w:r>
      <w:r>
        <w:rPr>
          <w:noProof/>
        </w:rPr>
        <w:fldChar w:fldCharType="begin"/>
      </w:r>
      <w:r>
        <w:rPr>
          <w:noProof/>
        </w:rPr>
        <w:instrText xml:space="preserve"> PAGEREF _Toc404091092 \h </w:instrText>
      </w:r>
      <w:r>
        <w:rPr>
          <w:noProof/>
        </w:rPr>
      </w:r>
      <w:r>
        <w:rPr>
          <w:noProof/>
        </w:rPr>
        <w:fldChar w:fldCharType="separate"/>
      </w:r>
      <w:r w:rsidR="00894668">
        <w:rPr>
          <w:noProof/>
        </w:rPr>
        <w:t>30</w:t>
      </w:r>
      <w:r>
        <w:rPr>
          <w:noProof/>
        </w:rPr>
        <w:fldChar w:fldCharType="end"/>
      </w:r>
    </w:p>
    <w:p w14:paraId="31A899AE" w14:textId="77777777" w:rsidR="007E56E3" w:rsidRDefault="007E56E3" w:rsidP="003102D7">
      <w:pPr>
        <w:pStyle w:val="TOC2"/>
        <w:keepNext/>
        <w:rPr>
          <w:rFonts w:asciiTheme="minorHAnsi" w:eastAsiaTheme="minorEastAsia" w:hAnsiTheme="minorHAnsi" w:cstheme="minorBidi"/>
          <w:noProof/>
          <w:szCs w:val="22"/>
          <w:lang w:eastAsia="en-NZ"/>
        </w:rPr>
      </w:pPr>
      <w:r>
        <w:rPr>
          <w:noProof/>
        </w:rPr>
        <w:t>How are smokers quitting?</w:t>
      </w:r>
      <w:r>
        <w:rPr>
          <w:noProof/>
        </w:rPr>
        <w:tab/>
      </w:r>
      <w:r>
        <w:rPr>
          <w:noProof/>
        </w:rPr>
        <w:fldChar w:fldCharType="begin"/>
      </w:r>
      <w:r>
        <w:rPr>
          <w:noProof/>
        </w:rPr>
        <w:instrText xml:space="preserve"> PAGEREF _Toc404091093 \h </w:instrText>
      </w:r>
      <w:r>
        <w:rPr>
          <w:noProof/>
        </w:rPr>
      </w:r>
      <w:r>
        <w:rPr>
          <w:noProof/>
        </w:rPr>
        <w:fldChar w:fldCharType="separate"/>
      </w:r>
      <w:r w:rsidR="00894668">
        <w:rPr>
          <w:noProof/>
        </w:rPr>
        <w:t>31</w:t>
      </w:r>
      <w:r>
        <w:rPr>
          <w:noProof/>
        </w:rPr>
        <w:fldChar w:fldCharType="end"/>
      </w:r>
    </w:p>
    <w:p w14:paraId="2C1C83A0" w14:textId="77777777" w:rsidR="007E56E3" w:rsidRDefault="007E56E3">
      <w:pPr>
        <w:pStyle w:val="TOC2"/>
        <w:rPr>
          <w:rFonts w:asciiTheme="minorHAnsi" w:eastAsiaTheme="minorEastAsia" w:hAnsiTheme="minorHAnsi" w:cstheme="minorBidi"/>
          <w:noProof/>
          <w:szCs w:val="22"/>
          <w:lang w:eastAsia="en-NZ"/>
        </w:rPr>
      </w:pPr>
      <w:r>
        <w:rPr>
          <w:noProof/>
        </w:rPr>
        <w:t>Health targets and use of the ABC pathway</w:t>
      </w:r>
      <w:r>
        <w:rPr>
          <w:noProof/>
        </w:rPr>
        <w:tab/>
      </w:r>
      <w:r>
        <w:rPr>
          <w:noProof/>
        </w:rPr>
        <w:fldChar w:fldCharType="begin"/>
      </w:r>
      <w:r>
        <w:rPr>
          <w:noProof/>
        </w:rPr>
        <w:instrText xml:space="preserve"> PAGEREF _Toc404091094 \h </w:instrText>
      </w:r>
      <w:r>
        <w:rPr>
          <w:noProof/>
        </w:rPr>
      </w:r>
      <w:r>
        <w:rPr>
          <w:noProof/>
        </w:rPr>
        <w:fldChar w:fldCharType="separate"/>
      </w:r>
      <w:r w:rsidR="00894668">
        <w:rPr>
          <w:noProof/>
        </w:rPr>
        <w:t>36</w:t>
      </w:r>
      <w:r>
        <w:rPr>
          <w:noProof/>
        </w:rPr>
        <w:fldChar w:fldCharType="end"/>
      </w:r>
    </w:p>
    <w:p w14:paraId="5CF25BAD" w14:textId="77777777" w:rsidR="007E56E3" w:rsidRDefault="007E56E3">
      <w:pPr>
        <w:pStyle w:val="TOC1"/>
        <w:rPr>
          <w:rFonts w:asciiTheme="minorHAnsi" w:eastAsiaTheme="minorEastAsia" w:hAnsiTheme="minorHAnsi" w:cstheme="minorBidi"/>
          <w:b w:val="0"/>
          <w:noProof/>
          <w:szCs w:val="22"/>
          <w:lang w:eastAsia="en-NZ"/>
        </w:rPr>
      </w:pPr>
      <w:r>
        <w:rPr>
          <w:noProof/>
        </w:rPr>
        <w:t>Section 5: Exposure to second-hand smoke (SHS)</w:t>
      </w:r>
      <w:r>
        <w:rPr>
          <w:noProof/>
        </w:rPr>
        <w:tab/>
      </w:r>
      <w:r>
        <w:rPr>
          <w:noProof/>
        </w:rPr>
        <w:fldChar w:fldCharType="begin"/>
      </w:r>
      <w:r>
        <w:rPr>
          <w:noProof/>
        </w:rPr>
        <w:instrText xml:space="preserve"> PAGEREF _Toc404091095 \h </w:instrText>
      </w:r>
      <w:r>
        <w:rPr>
          <w:noProof/>
        </w:rPr>
      </w:r>
      <w:r>
        <w:rPr>
          <w:noProof/>
        </w:rPr>
        <w:fldChar w:fldCharType="separate"/>
      </w:r>
      <w:r w:rsidR="00894668">
        <w:rPr>
          <w:noProof/>
        </w:rPr>
        <w:t>44</w:t>
      </w:r>
      <w:r>
        <w:rPr>
          <w:noProof/>
        </w:rPr>
        <w:fldChar w:fldCharType="end"/>
      </w:r>
    </w:p>
    <w:p w14:paraId="58B3F1C9" w14:textId="77777777" w:rsidR="007E56E3" w:rsidRDefault="007E56E3">
      <w:pPr>
        <w:pStyle w:val="TOC2"/>
        <w:rPr>
          <w:rFonts w:asciiTheme="minorHAnsi" w:eastAsiaTheme="minorEastAsia" w:hAnsiTheme="minorHAnsi" w:cstheme="minorBidi"/>
          <w:noProof/>
          <w:szCs w:val="22"/>
          <w:lang w:eastAsia="en-NZ"/>
        </w:rPr>
      </w:pPr>
      <w:r>
        <w:rPr>
          <w:noProof/>
        </w:rPr>
        <w:t>Non-smoking adult exposure to SHS</w:t>
      </w:r>
      <w:r>
        <w:rPr>
          <w:noProof/>
        </w:rPr>
        <w:tab/>
      </w:r>
      <w:r>
        <w:rPr>
          <w:noProof/>
        </w:rPr>
        <w:fldChar w:fldCharType="begin"/>
      </w:r>
      <w:r>
        <w:rPr>
          <w:noProof/>
        </w:rPr>
        <w:instrText xml:space="preserve"> PAGEREF _Toc404091096 \h </w:instrText>
      </w:r>
      <w:r>
        <w:rPr>
          <w:noProof/>
        </w:rPr>
      </w:r>
      <w:r>
        <w:rPr>
          <w:noProof/>
        </w:rPr>
        <w:fldChar w:fldCharType="separate"/>
      </w:r>
      <w:r w:rsidR="00894668">
        <w:rPr>
          <w:noProof/>
        </w:rPr>
        <w:t>44</w:t>
      </w:r>
      <w:r>
        <w:rPr>
          <w:noProof/>
        </w:rPr>
        <w:fldChar w:fldCharType="end"/>
      </w:r>
    </w:p>
    <w:p w14:paraId="0A4F821E" w14:textId="3F8DE878" w:rsidR="007E56E3" w:rsidRDefault="007E56E3">
      <w:pPr>
        <w:pStyle w:val="TOC2"/>
        <w:rPr>
          <w:rFonts w:asciiTheme="minorHAnsi" w:eastAsiaTheme="minorEastAsia" w:hAnsiTheme="minorHAnsi" w:cstheme="minorBidi"/>
          <w:noProof/>
          <w:szCs w:val="22"/>
          <w:lang w:eastAsia="en-NZ"/>
        </w:rPr>
      </w:pPr>
      <w:r>
        <w:rPr>
          <w:noProof/>
        </w:rPr>
        <w:t>Children</w:t>
      </w:r>
      <w:r w:rsidR="00AA2408">
        <w:rPr>
          <w:noProof/>
        </w:rPr>
        <w:t>’</w:t>
      </w:r>
      <w:r>
        <w:rPr>
          <w:noProof/>
        </w:rPr>
        <w:t>s exposure to SHS</w:t>
      </w:r>
      <w:r>
        <w:rPr>
          <w:noProof/>
        </w:rPr>
        <w:tab/>
      </w:r>
      <w:r>
        <w:rPr>
          <w:noProof/>
        </w:rPr>
        <w:fldChar w:fldCharType="begin"/>
      </w:r>
      <w:r>
        <w:rPr>
          <w:noProof/>
        </w:rPr>
        <w:instrText xml:space="preserve"> PAGEREF _Toc404091097 \h </w:instrText>
      </w:r>
      <w:r>
        <w:rPr>
          <w:noProof/>
        </w:rPr>
      </w:r>
      <w:r>
        <w:rPr>
          <w:noProof/>
        </w:rPr>
        <w:fldChar w:fldCharType="separate"/>
      </w:r>
      <w:r w:rsidR="00894668">
        <w:rPr>
          <w:noProof/>
        </w:rPr>
        <w:t>48</w:t>
      </w:r>
      <w:r>
        <w:rPr>
          <w:noProof/>
        </w:rPr>
        <w:fldChar w:fldCharType="end"/>
      </w:r>
    </w:p>
    <w:p w14:paraId="273F6110" w14:textId="77777777" w:rsidR="007E56E3" w:rsidRDefault="007E56E3">
      <w:pPr>
        <w:pStyle w:val="TOC1"/>
        <w:rPr>
          <w:rFonts w:asciiTheme="minorHAnsi" w:eastAsiaTheme="minorEastAsia" w:hAnsiTheme="minorHAnsi" w:cstheme="minorBidi"/>
          <w:b w:val="0"/>
          <w:noProof/>
          <w:szCs w:val="22"/>
          <w:lang w:eastAsia="en-NZ"/>
        </w:rPr>
      </w:pPr>
      <w:r>
        <w:rPr>
          <w:noProof/>
        </w:rPr>
        <w:t>Section 6: Looking ahead</w:t>
      </w:r>
      <w:r>
        <w:rPr>
          <w:noProof/>
        </w:rPr>
        <w:tab/>
      </w:r>
      <w:r>
        <w:rPr>
          <w:noProof/>
        </w:rPr>
        <w:fldChar w:fldCharType="begin"/>
      </w:r>
      <w:r>
        <w:rPr>
          <w:noProof/>
        </w:rPr>
        <w:instrText xml:space="preserve"> PAGEREF _Toc404091098 \h </w:instrText>
      </w:r>
      <w:r>
        <w:rPr>
          <w:noProof/>
        </w:rPr>
      </w:r>
      <w:r>
        <w:rPr>
          <w:noProof/>
        </w:rPr>
        <w:fldChar w:fldCharType="separate"/>
      </w:r>
      <w:r w:rsidR="00894668">
        <w:rPr>
          <w:noProof/>
        </w:rPr>
        <w:t>50</w:t>
      </w:r>
      <w:r>
        <w:rPr>
          <w:noProof/>
        </w:rPr>
        <w:fldChar w:fldCharType="end"/>
      </w:r>
    </w:p>
    <w:p w14:paraId="457B6413" w14:textId="77777777" w:rsidR="007E56E3" w:rsidRDefault="007E56E3">
      <w:pPr>
        <w:pStyle w:val="TOC1"/>
        <w:rPr>
          <w:rFonts w:asciiTheme="minorHAnsi" w:eastAsiaTheme="minorEastAsia" w:hAnsiTheme="minorHAnsi" w:cstheme="minorBidi"/>
          <w:b w:val="0"/>
          <w:noProof/>
          <w:szCs w:val="22"/>
          <w:lang w:eastAsia="en-NZ"/>
        </w:rPr>
      </w:pPr>
      <w:r>
        <w:rPr>
          <w:noProof/>
        </w:rPr>
        <w:t>Appendix 1: Statistical methods</w:t>
      </w:r>
      <w:r>
        <w:rPr>
          <w:noProof/>
        </w:rPr>
        <w:tab/>
      </w:r>
      <w:r>
        <w:rPr>
          <w:noProof/>
        </w:rPr>
        <w:fldChar w:fldCharType="begin"/>
      </w:r>
      <w:r>
        <w:rPr>
          <w:noProof/>
        </w:rPr>
        <w:instrText xml:space="preserve"> PAGEREF _Toc404091099 \h </w:instrText>
      </w:r>
      <w:r>
        <w:rPr>
          <w:noProof/>
        </w:rPr>
      </w:r>
      <w:r>
        <w:rPr>
          <w:noProof/>
        </w:rPr>
        <w:fldChar w:fldCharType="separate"/>
      </w:r>
      <w:r w:rsidR="00894668">
        <w:rPr>
          <w:noProof/>
        </w:rPr>
        <w:t>52</w:t>
      </w:r>
      <w:r>
        <w:rPr>
          <w:noProof/>
        </w:rPr>
        <w:fldChar w:fldCharType="end"/>
      </w:r>
    </w:p>
    <w:p w14:paraId="29BB0EC3" w14:textId="77777777" w:rsidR="007E56E3" w:rsidRDefault="007E56E3">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_Toc404091100 \h </w:instrText>
      </w:r>
      <w:r>
        <w:rPr>
          <w:noProof/>
        </w:rPr>
      </w:r>
      <w:r>
        <w:rPr>
          <w:noProof/>
        </w:rPr>
        <w:fldChar w:fldCharType="separate"/>
      </w:r>
      <w:r w:rsidR="00894668">
        <w:rPr>
          <w:noProof/>
        </w:rPr>
        <w:t>53</w:t>
      </w:r>
      <w:r>
        <w:rPr>
          <w:noProof/>
        </w:rPr>
        <w:fldChar w:fldCharType="end"/>
      </w:r>
    </w:p>
    <w:p w14:paraId="5FBD2D8D" w14:textId="77777777" w:rsidR="00C86248" w:rsidRDefault="00C86248">
      <w:r>
        <w:rPr>
          <w:b/>
        </w:rPr>
        <w:fldChar w:fldCharType="end"/>
      </w:r>
    </w:p>
    <w:p w14:paraId="7789752D" w14:textId="77777777" w:rsidR="00C86248" w:rsidRDefault="00C86248"/>
    <w:p w14:paraId="6F614252" w14:textId="77777777" w:rsidR="00C86248" w:rsidRDefault="00C86248" w:rsidP="003B1D10">
      <w:pPr>
        <w:pStyle w:val="TOC1"/>
        <w:keepNext/>
      </w:pPr>
      <w:r>
        <w:t>List of Tables</w:t>
      </w:r>
    </w:p>
    <w:p w14:paraId="70C76535" w14:textId="1118EE3F" w:rsidR="003102D7"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3102D7">
        <w:rPr>
          <w:noProof/>
        </w:rPr>
        <w:t>Table 1:</w:t>
      </w:r>
      <w:r w:rsidR="003102D7">
        <w:rPr>
          <w:noProof/>
        </w:rPr>
        <w:tab/>
        <w:t>Changes in current smoking prevalence by ethnicity between 2006 and 2012</w:t>
      </w:r>
      <w:r w:rsidR="003102D7">
        <w:rPr>
          <w:noProof/>
        </w:rPr>
        <w:tab/>
      </w:r>
      <w:r w:rsidR="003102D7">
        <w:rPr>
          <w:noProof/>
        </w:rPr>
        <w:fldChar w:fldCharType="begin"/>
      </w:r>
      <w:r w:rsidR="003102D7">
        <w:rPr>
          <w:noProof/>
        </w:rPr>
        <w:instrText xml:space="preserve"> PAGEREF _Toc404091101 \h </w:instrText>
      </w:r>
      <w:r w:rsidR="003102D7">
        <w:rPr>
          <w:noProof/>
        </w:rPr>
      </w:r>
      <w:r w:rsidR="003102D7">
        <w:rPr>
          <w:noProof/>
        </w:rPr>
        <w:fldChar w:fldCharType="separate"/>
      </w:r>
      <w:r w:rsidR="00894668">
        <w:rPr>
          <w:noProof/>
        </w:rPr>
        <w:t>7</w:t>
      </w:r>
      <w:r w:rsidR="003102D7">
        <w:rPr>
          <w:noProof/>
        </w:rPr>
        <w:fldChar w:fldCharType="end"/>
      </w:r>
    </w:p>
    <w:p w14:paraId="2C828C34" w14:textId="20E0BDCE" w:rsidR="003102D7" w:rsidRDefault="003102D7">
      <w:pPr>
        <w:pStyle w:val="TOC3"/>
        <w:rPr>
          <w:rFonts w:asciiTheme="minorHAnsi" w:eastAsiaTheme="minorEastAsia" w:hAnsiTheme="minorHAnsi" w:cstheme="minorBidi"/>
          <w:noProof/>
          <w:szCs w:val="22"/>
          <w:lang w:eastAsia="en-NZ"/>
        </w:rPr>
      </w:pPr>
      <w:r>
        <w:rPr>
          <w:noProof/>
        </w:rPr>
        <w:t>Table 2:</w:t>
      </w:r>
      <w:r>
        <w:rPr>
          <w:noProof/>
        </w:rPr>
        <w:tab/>
        <w:t>Changes in current smoking prevalence by age group between 2006 and 2012</w:t>
      </w:r>
      <w:r>
        <w:rPr>
          <w:noProof/>
        </w:rPr>
        <w:tab/>
      </w:r>
      <w:r>
        <w:rPr>
          <w:noProof/>
        </w:rPr>
        <w:fldChar w:fldCharType="begin"/>
      </w:r>
      <w:r>
        <w:rPr>
          <w:noProof/>
        </w:rPr>
        <w:instrText xml:space="preserve"> PAGEREF _Toc404091102 \h </w:instrText>
      </w:r>
      <w:r>
        <w:rPr>
          <w:noProof/>
        </w:rPr>
      </w:r>
      <w:r>
        <w:rPr>
          <w:noProof/>
        </w:rPr>
        <w:fldChar w:fldCharType="separate"/>
      </w:r>
      <w:r w:rsidR="00894668">
        <w:rPr>
          <w:noProof/>
        </w:rPr>
        <w:t>8</w:t>
      </w:r>
      <w:r>
        <w:rPr>
          <w:noProof/>
        </w:rPr>
        <w:fldChar w:fldCharType="end"/>
      </w:r>
    </w:p>
    <w:p w14:paraId="27497A96" w14:textId="33EED732" w:rsidR="003102D7" w:rsidRDefault="003102D7">
      <w:pPr>
        <w:pStyle w:val="TOC3"/>
        <w:rPr>
          <w:rFonts w:asciiTheme="minorHAnsi" w:eastAsiaTheme="minorEastAsia" w:hAnsiTheme="minorHAnsi" w:cstheme="minorBidi"/>
          <w:noProof/>
          <w:szCs w:val="22"/>
          <w:lang w:eastAsia="en-NZ"/>
        </w:rPr>
      </w:pPr>
      <w:r>
        <w:rPr>
          <w:noProof/>
        </w:rPr>
        <w:t>Table 3:</w:t>
      </w:r>
      <w:r>
        <w:rPr>
          <w:noProof/>
        </w:rPr>
        <w:tab/>
        <w:t>Changes in current smoking prevalence by neighbourhood deprivation between 2006 and 2012</w:t>
      </w:r>
      <w:r>
        <w:rPr>
          <w:noProof/>
        </w:rPr>
        <w:tab/>
      </w:r>
      <w:r>
        <w:rPr>
          <w:noProof/>
        </w:rPr>
        <w:fldChar w:fldCharType="begin"/>
      </w:r>
      <w:r>
        <w:rPr>
          <w:noProof/>
        </w:rPr>
        <w:instrText xml:space="preserve"> PAGEREF _Toc404091103 \h </w:instrText>
      </w:r>
      <w:r>
        <w:rPr>
          <w:noProof/>
        </w:rPr>
      </w:r>
      <w:r>
        <w:rPr>
          <w:noProof/>
        </w:rPr>
        <w:fldChar w:fldCharType="separate"/>
      </w:r>
      <w:r w:rsidR="00894668">
        <w:rPr>
          <w:noProof/>
        </w:rPr>
        <w:t>8</w:t>
      </w:r>
      <w:r>
        <w:rPr>
          <w:noProof/>
        </w:rPr>
        <w:fldChar w:fldCharType="end"/>
      </w:r>
    </w:p>
    <w:p w14:paraId="48F0A236" w14:textId="7AA04095" w:rsidR="003102D7" w:rsidRDefault="003102D7">
      <w:pPr>
        <w:pStyle w:val="TOC3"/>
        <w:rPr>
          <w:rFonts w:asciiTheme="minorHAnsi" w:eastAsiaTheme="minorEastAsia" w:hAnsiTheme="minorHAnsi" w:cstheme="minorBidi"/>
          <w:noProof/>
          <w:szCs w:val="22"/>
          <w:lang w:eastAsia="en-NZ"/>
        </w:rPr>
      </w:pPr>
      <w:r>
        <w:rPr>
          <w:noProof/>
        </w:rPr>
        <w:t>Table 4:</w:t>
      </w:r>
      <w:r>
        <w:rPr>
          <w:noProof/>
        </w:rPr>
        <w:tab/>
        <w:t>Changes in current smoking prevalence by sex between 2006 and 2012</w:t>
      </w:r>
      <w:r>
        <w:rPr>
          <w:noProof/>
        </w:rPr>
        <w:tab/>
      </w:r>
      <w:r>
        <w:rPr>
          <w:noProof/>
        </w:rPr>
        <w:fldChar w:fldCharType="begin"/>
      </w:r>
      <w:r>
        <w:rPr>
          <w:noProof/>
        </w:rPr>
        <w:instrText xml:space="preserve"> PAGEREF _Toc404091104 \h </w:instrText>
      </w:r>
      <w:r>
        <w:rPr>
          <w:noProof/>
        </w:rPr>
      </w:r>
      <w:r>
        <w:rPr>
          <w:noProof/>
        </w:rPr>
        <w:fldChar w:fldCharType="separate"/>
      </w:r>
      <w:r w:rsidR="00894668">
        <w:rPr>
          <w:noProof/>
        </w:rPr>
        <w:t>9</w:t>
      </w:r>
      <w:r>
        <w:rPr>
          <w:noProof/>
        </w:rPr>
        <w:fldChar w:fldCharType="end"/>
      </w:r>
    </w:p>
    <w:p w14:paraId="528BC3AA" w14:textId="0E118044" w:rsidR="003102D7" w:rsidRDefault="003102D7">
      <w:pPr>
        <w:pStyle w:val="TOC3"/>
        <w:rPr>
          <w:rFonts w:asciiTheme="minorHAnsi" w:eastAsiaTheme="minorEastAsia" w:hAnsiTheme="minorHAnsi" w:cstheme="minorBidi"/>
          <w:noProof/>
          <w:szCs w:val="22"/>
          <w:lang w:eastAsia="en-NZ"/>
        </w:rPr>
      </w:pPr>
      <w:r>
        <w:rPr>
          <w:noProof/>
        </w:rPr>
        <w:t>Table 5:</w:t>
      </w:r>
      <w:r>
        <w:rPr>
          <w:noProof/>
        </w:rPr>
        <w:tab/>
        <w:t>Current smoking among the total population aged 15 and above, by ethnic group and sex</w:t>
      </w:r>
      <w:r>
        <w:rPr>
          <w:noProof/>
        </w:rPr>
        <w:tab/>
      </w:r>
      <w:r>
        <w:rPr>
          <w:noProof/>
        </w:rPr>
        <w:fldChar w:fldCharType="begin"/>
      </w:r>
      <w:r>
        <w:rPr>
          <w:noProof/>
        </w:rPr>
        <w:instrText xml:space="preserve"> PAGEREF _Toc404091105 \h </w:instrText>
      </w:r>
      <w:r>
        <w:rPr>
          <w:noProof/>
        </w:rPr>
      </w:r>
      <w:r>
        <w:rPr>
          <w:noProof/>
        </w:rPr>
        <w:fldChar w:fldCharType="separate"/>
      </w:r>
      <w:r w:rsidR="00894668">
        <w:rPr>
          <w:noProof/>
        </w:rPr>
        <w:t>11</w:t>
      </w:r>
      <w:r>
        <w:rPr>
          <w:noProof/>
        </w:rPr>
        <w:fldChar w:fldCharType="end"/>
      </w:r>
    </w:p>
    <w:p w14:paraId="56DE26A0" w14:textId="4F014FD0" w:rsidR="003102D7" w:rsidRDefault="003102D7">
      <w:pPr>
        <w:pStyle w:val="TOC3"/>
        <w:rPr>
          <w:rFonts w:asciiTheme="minorHAnsi" w:eastAsiaTheme="minorEastAsia" w:hAnsiTheme="minorHAnsi" w:cstheme="minorBidi"/>
          <w:noProof/>
          <w:szCs w:val="22"/>
          <w:lang w:eastAsia="en-NZ"/>
        </w:rPr>
      </w:pPr>
      <w:r>
        <w:rPr>
          <w:noProof/>
        </w:rPr>
        <w:t>Table 6:</w:t>
      </w:r>
      <w:r>
        <w:rPr>
          <w:noProof/>
        </w:rPr>
        <w:tab/>
        <w:t>Adjusted rate ratios for current smoking</w:t>
      </w:r>
      <w:r>
        <w:rPr>
          <w:noProof/>
        </w:rPr>
        <w:tab/>
      </w:r>
      <w:r>
        <w:rPr>
          <w:noProof/>
        </w:rPr>
        <w:fldChar w:fldCharType="begin"/>
      </w:r>
      <w:r>
        <w:rPr>
          <w:noProof/>
        </w:rPr>
        <w:instrText xml:space="preserve"> PAGEREF _Toc404091106 \h </w:instrText>
      </w:r>
      <w:r>
        <w:rPr>
          <w:noProof/>
        </w:rPr>
      </w:r>
      <w:r>
        <w:rPr>
          <w:noProof/>
        </w:rPr>
        <w:fldChar w:fldCharType="separate"/>
      </w:r>
      <w:r w:rsidR="00894668">
        <w:rPr>
          <w:noProof/>
        </w:rPr>
        <w:t>12</w:t>
      </w:r>
      <w:r>
        <w:rPr>
          <w:noProof/>
        </w:rPr>
        <w:fldChar w:fldCharType="end"/>
      </w:r>
    </w:p>
    <w:p w14:paraId="237CA81C" w14:textId="7611F7FB" w:rsidR="003102D7" w:rsidRDefault="003102D7">
      <w:pPr>
        <w:pStyle w:val="TOC3"/>
        <w:rPr>
          <w:rFonts w:asciiTheme="minorHAnsi" w:eastAsiaTheme="minorEastAsia" w:hAnsiTheme="minorHAnsi" w:cstheme="minorBidi"/>
          <w:noProof/>
          <w:szCs w:val="22"/>
          <w:lang w:eastAsia="en-NZ"/>
        </w:rPr>
      </w:pPr>
      <w:r>
        <w:rPr>
          <w:noProof/>
        </w:rPr>
        <w:t>Table 7:</w:t>
      </w:r>
      <w:r>
        <w:rPr>
          <w:noProof/>
        </w:rPr>
        <w:tab/>
        <w:t>Profile of smoking population compared with non-smoking population in New Zealand</w:t>
      </w:r>
      <w:r>
        <w:rPr>
          <w:noProof/>
        </w:rPr>
        <w:tab/>
      </w:r>
      <w:r>
        <w:rPr>
          <w:noProof/>
        </w:rPr>
        <w:fldChar w:fldCharType="begin"/>
      </w:r>
      <w:r>
        <w:rPr>
          <w:noProof/>
        </w:rPr>
        <w:instrText xml:space="preserve"> PAGEREF _Toc404091107 \h </w:instrText>
      </w:r>
      <w:r>
        <w:rPr>
          <w:noProof/>
        </w:rPr>
      </w:r>
      <w:r>
        <w:rPr>
          <w:noProof/>
        </w:rPr>
        <w:fldChar w:fldCharType="separate"/>
      </w:r>
      <w:r w:rsidR="00894668">
        <w:rPr>
          <w:noProof/>
        </w:rPr>
        <w:t>13</w:t>
      </w:r>
      <w:r>
        <w:rPr>
          <w:noProof/>
        </w:rPr>
        <w:fldChar w:fldCharType="end"/>
      </w:r>
    </w:p>
    <w:p w14:paraId="004A07CD" w14:textId="3D518FD5" w:rsidR="003102D7" w:rsidRDefault="003102D7">
      <w:pPr>
        <w:pStyle w:val="TOC3"/>
        <w:rPr>
          <w:rFonts w:asciiTheme="minorHAnsi" w:eastAsiaTheme="minorEastAsia" w:hAnsiTheme="minorHAnsi" w:cstheme="minorBidi"/>
          <w:noProof/>
          <w:szCs w:val="22"/>
          <w:lang w:eastAsia="en-NZ"/>
        </w:rPr>
      </w:pPr>
      <w:r>
        <w:rPr>
          <w:noProof/>
        </w:rPr>
        <w:t>Table 8:</w:t>
      </w:r>
      <w:r>
        <w:rPr>
          <w:noProof/>
        </w:rPr>
        <w:tab/>
        <w:t>Current smoking in youth aged 15–19 years, by ethnic group, 2012</w:t>
      </w:r>
      <w:r>
        <w:rPr>
          <w:noProof/>
        </w:rPr>
        <w:tab/>
      </w:r>
      <w:r>
        <w:rPr>
          <w:noProof/>
        </w:rPr>
        <w:fldChar w:fldCharType="begin"/>
      </w:r>
      <w:r>
        <w:rPr>
          <w:noProof/>
        </w:rPr>
        <w:instrText xml:space="preserve"> PAGEREF _Toc404091108 \h </w:instrText>
      </w:r>
      <w:r>
        <w:rPr>
          <w:noProof/>
        </w:rPr>
      </w:r>
      <w:r>
        <w:rPr>
          <w:noProof/>
        </w:rPr>
        <w:fldChar w:fldCharType="separate"/>
      </w:r>
      <w:r w:rsidR="00894668">
        <w:rPr>
          <w:noProof/>
        </w:rPr>
        <w:t>14</w:t>
      </w:r>
      <w:r>
        <w:rPr>
          <w:noProof/>
        </w:rPr>
        <w:fldChar w:fldCharType="end"/>
      </w:r>
    </w:p>
    <w:p w14:paraId="3319FDD8" w14:textId="2B333987" w:rsidR="003102D7" w:rsidRDefault="003102D7">
      <w:pPr>
        <w:pStyle w:val="TOC3"/>
        <w:rPr>
          <w:rFonts w:asciiTheme="minorHAnsi" w:eastAsiaTheme="minorEastAsia" w:hAnsiTheme="minorHAnsi" w:cstheme="minorBidi"/>
          <w:noProof/>
          <w:szCs w:val="22"/>
          <w:lang w:eastAsia="en-NZ"/>
        </w:rPr>
      </w:pPr>
      <w:r>
        <w:rPr>
          <w:noProof/>
        </w:rPr>
        <w:t>Table 9:</w:t>
      </w:r>
      <w:r>
        <w:rPr>
          <w:noProof/>
        </w:rPr>
        <w:tab/>
        <w:t>Adjusted rate ratios for current smoking for young people aged 15–19 years</w:t>
      </w:r>
      <w:r>
        <w:rPr>
          <w:noProof/>
        </w:rPr>
        <w:tab/>
      </w:r>
      <w:r>
        <w:rPr>
          <w:noProof/>
        </w:rPr>
        <w:fldChar w:fldCharType="begin"/>
      </w:r>
      <w:r>
        <w:rPr>
          <w:noProof/>
        </w:rPr>
        <w:instrText xml:space="preserve"> PAGEREF _Toc404091109 \h </w:instrText>
      </w:r>
      <w:r>
        <w:rPr>
          <w:noProof/>
        </w:rPr>
      </w:r>
      <w:r>
        <w:rPr>
          <w:noProof/>
        </w:rPr>
        <w:fldChar w:fldCharType="separate"/>
      </w:r>
      <w:r w:rsidR="00894668">
        <w:rPr>
          <w:noProof/>
        </w:rPr>
        <w:t>15</w:t>
      </w:r>
      <w:r>
        <w:rPr>
          <w:noProof/>
        </w:rPr>
        <w:fldChar w:fldCharType="end"/>
      </w:r>
    </w:p>
    <w:p w14:paraId="072C0E0E" w14:textId="1FE29285" w:rsidR="003102D7" w:rsidRDefault="003102D7">
      <w:pPr>
        <w:pStyle w:val="TOC3"/>
        <w:rPr>
          <w:rFonts w:asciiTheme="minorHAnsi" w:eastAsiaTheme="minorEastAsia" w:hAnsiTheme="minorHAnsi" w:cstheme="minorBidi"/>
          <w:noProof/>
          <w:szCs w:val="22"/>
          <w:lang w:eastAsia="en-NZ"/>
        </w:rPr>
      </w:pPr>
      <w:r>
        <w:rPr>
          <w:noProof/>
        </w:rPr>
        <w:t>Table 10:</w:t>
      </w:r>
      <w:r>
        <w:rPr>
          <w:noProof/>
        </w:rPr>
        <w:tab/>
        <w:t>Prevalence of diagnosed mental health conditions among smokers and non-smokers, by ethnicity</w:t>
      </w:r>
      <w:r>
        <w:rPr>
          <w:noProof/>
        </w:rPr>
        <w:tab/>
      </w:r>
      <w:r>
        <w:rPr>
          <w:noProof/>
        </w:rPr>
        <w:fldChar w:fldCharType="begin"/>
      </w:r>
      <w:r>
        <w:rPr>
          <w:noProof/>
        </w:rPr>
        <w:instrText xml:space="preserve"> PAGEREF _Toc404091110 \h </w:instrText>
      </w:r>
      <w:r>
        <w:rPr>
          <w:noProof/>
        </w:rPr>
      </w:r>
      <w:r>
        <w:rPr>
          <w:noProof/>
        </w:rPr>
        <w:fldChar w:fldCharType="separate"/>
      </w:r>
      <w:r w:rsidR="00894668">
        <w:rPr>
          <w:noProof/>
        </w:rPr>
        <w:t>17</w:t>
      </w:r>
      <w:r>
        <w:rPr>
          <w:noProof/>
        </w:rPr>
        <w:fldChar w:fldCharType="end"/>
      </w:r>
    </w:p>
    <w:p w14:paraId="4023F4FF" w14:textId="0E99AE62" w:rsidR="003102D7" w:rsidRDefault="003102D7">
      <w:pPr>
        <w:pStyle w:val="TOC3"/>
        <w:rPr>
          <w:rFonts w:asciiTheme="minorHAnsi" w:eastAsiaTheme="minorEastAsia" w:hAnsiTheme="minorHAnsi" w:cstheme="minorBidi"/>
          <w:noProof/>
          <w:szCs w:val="22"/>
          <w:lang w:eastAsia="en-NZ"/>
        </w:rPr>
      </w:pPr>
      <w:r>
        <w:rPr>
          <w:noProof/>
        </w:rPr>
        <w:t>Table 11:</w:t>
      </w:r>
      <w:r>
        <w:rPr>
          <w:noProof/>
        </w:rPr>
        <w:tab/>
        <w:t>Comparisons of prevalence of mental health conditions among smokers and non-smokers, by sex, ethnicity and neighbourhood deprivation</w:t>
      </w:r>
      <w:r>
        <w:rPr>
          <w:noProof/>
        </w:rPr>
        <w:tab/>
      </w:r>
      <w:r>
        <w:rPr>
          <w:noProof/>
        </w:rPr>
        <w:fldChar w:fldCharType="begin"/>
      </w:r>
      <w:r>
        <w:rPr>
          <w:noProof/>
        </w:rPr>
        <w:instrText xml:space="preserve"> PAGEREF _Toc404091111 \h </w:instrText>
      </w:r>
      <w:r>
        <w:rPr>
          <w:noProof/>
        </w:rPr>
      </w:r>
      <w:r>
        <w:rPr>
          <w:noProof/>
        </w:rPr>
        <w:fldChar w:fldCharType="separate"/>
      </w:r>
      <w:r w:rsidR="00894668">
        <w:rPr>
          <w:noProof/>
        </w:rPr>
        <w:t>17</w:t>
      </w:r>
      <w:r>
        <w:rPr>
          <w:noProof/>
        </w:rPr>
        <w:fldChar w:fldCharType="end"/>
      </w:r>
    </w:p>
    <w:p w14:paraId="3E7AA02C" w14:textId="415EB6C0" w:rsidR="003102D7" w:rsidRDefault="003102D7">
      <w:pPr>
        <w:pStyle w:val="TOC3"/>
        <w:rPr>
          <w:rFonts w:asciiTheme="minorHAnsi" w:eastAsiaTheme="minorEastAsia" w:hAnsiTheme="minorHAnsi" w:cstheme="minorBidi"/>
          <w:noProof/>
          <w:szCs w:val="22"/>
          <w:lang w:eastAsia="en-NZ"/>
        </w:rPr>
      </w:pPr>
      <w:r>
        <w:rPr>
          <w:noProof/>
        </w:rPr>
        <w:t>Table 12:</w:t>
      </w:r>
      <w:r>
        <w:rPr>
          <w:noProof/>
        </w:rPr>
        <w:tab/>
        <w:t>Prevalence of hazardous drinking among smokers and non-smokers who had had a drink in the past year, by ethnicity</w:t>
      </w:r>
      <w:r>
        <w:rPr>
          <w:noProof/>
        </w:rPr>
        <w:tab/>
      </w:r>
      <w:r>
        <w:rPr>
          <w:noProof/>
        </w:rPr>
        <w:fldChar w:fldCharType="begin"/>
      </w:r>
      <w:r>
        <w:rPr>
          <w:noProof/>
        </w:rPr>
        <w:instrText xml:space="preserve"> PAGEREF _Toc404091112 \h </w:instrText>
      </w:r>
      <w:r>
        <w:rPr>
          <w:noProof/>
        </w:rPr>
      </w:r>
      <w:r>
        <w:rPr>
          <w:noProof/>
        </w:rPr>
        <w:fldChar w:fldCharType="separate"/>
      </w:r>
      <w:r w:rsidR="00894668">
        <w:rPr>
          <w:noProof/>
        </w:rPr>
        <w:t>19</w:t>
      </w:r>
      <w:r>
        <w:rPr>
          <w:noProof/>
        </w:rPr>
        <w:fldChar w:fldCharType="end"/>
      </w:r>
    </w:p>
    <w:p w14:paraId="015F810B" w14:textId="30521EA2" w:rsidR="003102D7" w:rsidRDefault="003102D7">
      <w:pPr>
        <w:pStyle w:val="TOC3"/>
        <w:rPr>
          <w:rFonts w:asciiTheme="minorHAnsi" w:eastAsiaTheme="minorEastAsia" w:hAnsiTheme="minorHAnsi" w:cstheme="minorBidi"/>
          <w:noProof/>
          <w:szCs w:val="22"/>
          <w:lang w:eastAsia="en-NZ"/>
        </w:rPr>
      </w:pPr>
      <w:r>
        <w:rPr>
          <w:noProof/>
        </w:rPr>
        <w:t>Table 13:</w:t>
      </w:r>
      <w:r>
        <w:rPr>
          <w:noProof/>
        </w:rPr>
        <w:tab/>
        <w:t>Comparisons of prevalence of hazardous drinking among smokers and non-smokers, by sex, ethnicity and neighbourhood deprivation</w:t>
      </w:r>
      <w:r>
        <w:rPr>
          <w:noProof/>
        </w:rPr>
        <w:tab/>
      </w:r>
      <w:r>
        <w:rPr>
          <w:noProof/>
        </w:rPr>
        <w:fldChar w:fldCharType="begin"/>
      </w:r>
      <w:r>
        <w:rPr>
          <w:noProof/>
        </w:rPr>
        <w:instrText xml:space="preserve"> PAGEREF _Toc404091113 \h </w:instrText>
      </w:r>
      <w:r>
        <w:rPr>
          <w:noProof/>
        </w:rPr>
      </w:r>
      <w:r>
        <w:rPr>
          <w:noProof/>
        </w:rPr>
        <w:fldChar w:fldCharType="separate"/>
      </w:r>
      <w:r w:rsidR="00894668">
        <w:rPr>
          <w:noProof/>
        </w:rPr>
        <w:t>20</w:t>
      </w:r>
      <w:r>
        <w:rPr>
          <w:noProof/>
        </w:rPr>
        <w:fldChar w:fldCharType="end"/>
      </w:r>
    </w:p>
    <w:p w14:paraId="47E63A4B" w14:textId="06E686E9" w:rsidR="003102D7" w:rsidRDefault="003102D7">
      <w:pPr>
        <w:pStyle w:val="TOC3"/>
        <w:rPr>
          <w:rFonts w:asciiTheme="minorHAnsi" w:eastAsiaTheme="minorEastAsia" w:hAnsiTheme="minorHAnsi" w:cstheme="minorBidi"/>
          <w:noProof/>
          <w:szCs w:val="22"/>
          <w:lang w:eastAsia="en-NZ"/>
        </w:rPr>
      </w:pPr>
      <w:r>
        <w:rPr>
          <w:noProof/>
        </w:rPr>
        <w:t>Table 14:</w:t>
      </w:r>
      <w:r>
        <w:rPr>
          <w:noProof/>
        </w:rPr>
        <w:tab/>
        <w:t xml:space="preserve">Adjusted rate ratios for </w:t>
      </w:r>
      <w:r w:rsidR="00AA2408">
        <w:rPr>
          <w:noProof/>
        </w:rPr>
        <w:t>‘</w:t>
      </w:r>
      <w:r>
        <w:rPr>
          <w:noProof/>
        </w:rPr>
        <w:t>mostly RYO</w:t>
      </w:r>
      <w:r w:rsidR="00AA2408">
        <w:rPr>
          <w:noProof/>
        </w:rPr>
        <w:t>’</w:t>
      </w:r>
      <w:r>
        <w:rPr>
          <w:noProof/>
        </w:rPr>
        <w:t xml:space="preserve"> and </w:t>
      </w:r>
      <w:r w:rsidR="00AA2408">
        <w:rPr>
          <w:noProof/>
        </w:rPr>
        <w:t>‘</w:t>
      </w:r>
      <w:r>
        <w:rPr>
          <w:noProof/>
        </w:rPr>
        <w:t>mostly manufactured cigarette</w:t>
      </w:r>
      <w:r w:rsidR="00AA2408">
        <w:rPr>
          <w:noProof/>
        </w:rPr>
        <w:t>’</w:t>
      </w:r>
      <w:r>
        <w:rPr>
          <w:noProof/>
        </w:rPr>
        <w:t xml:space="preserve"> consumption</w:t>
      </w:r>
      <w:r>
        <w:rPr>
          <w:noProof/>
        </w:rPr>
        <w:tab/>
      </w:r>
      <w:r>
        <w:rPr>
          <w:noProof/>
        </w:rPr>
        <w:fldChar w:fldCharType="begin"/>
      </w:r>
      <w:r>
        <w:rPr>
          <w:noProof/>
        </w:rPr>
        <w:instrText xml:space="preserve"> PAGEREF _Toc404091114 \h </w:instrText>
      </w:r>
      <w:r>
        <w:rPr>
          <w:noProof/>
        </w:rPr>
      </w:r>
      <w:r>
        <w:rPr>
          <w:noProof/>
        </w:rPr>
        <w:fldChar w:fldCharType="separate"/>
      </w:r>
      <w:r w:rsidR="00894668">
        <w:rPr>
          <w:noProof/>
        </w:rPr>
        <w:t>23</w:t>
      </w:r>
      <w:r>
        <w:rPr>
          <w:noProof/>
        </w:rPr>
        <w:fldChar w:fldCharType="end"/>
      </w:r>
    </w:p>
    <w:p w14:paraId="66572B08" w14:textId="7E43180A" w:rsidR="003102D7" w:rsidRDefault="003102D7">
      <w:pPr>
        <w:pStyle w:val="TOC3"/>
        <w:rPr>
          <w:rFonts w:asciiTheme="minorHAnsi" w:eastAsiaTheme="minorEastAsia" w:hAnsiTheme="minorHAnsi" w:cstheme="minorBidi"/>
          <w:noProof/>
          <w:szCs w:val="22"/>
          <w:lang w:eastAsia="en-NZ"/>
        </w:rPr>
      </w:pPr>
      <w:r>
        <w:rPr>
          <w:noProof/>
        </w:rPr>
        <w:t>Table 15:</w:t>
      </w:r>
      <w:r>
        <w:rPr>
          <w:noProof/>
        </w:rPr>
        <w:tab/>
        <w:t>Mean age of smoking initiation and mean age of smoking uptake of current smokers over the age of 20, by ethnic group (age standardised)</w:t>
      </w:r>
      <w:r>
        <w:rPr>
          <w:noProof/>
        </w:rPr>
        <w:tab/>
      </w:r>
      <w:r>
        <w:rPr>
          <w:noProof/>
        </w:rPr>
        <w:fldChar w:fldCharType="begin"/>
      </w:r>
      <w:r>
        <w:rPr>
          <w:noProof/>
        </w:rPr>
        <w:instrText xml:space="preserve"> PAGEREF _Toc404091115 \h </w:instrText>
      </w:r>
      <w:r>
        <w:rPr>
          <w:noProof/>
        </w:rPr>
      </w:r>
      <w:r>
        <w:rPr>
          <w:noProof/>
        </w:rPr>
        <w:fldChar w:fldCharType="separate"/>
      </w:r>
      <w:r w:rsidR="00894668">
        <w:rPr>
          <w:noProof/>
        </w:rPr>
        <w:t>27</w:t>
      </w:r>
      <w:r>
        <w:rPr>
          <w:noProof/>
        </w:rPr>
        <w:fldChar w:fldCharType="end"/>
      </w:r>
    </w:p>
    <w:p w14:paraId="391ACAC4" w14:textId="29C21DB7" w:rsidR="003102D7" w:rsidRDefault="003102D7">
      <w:pPr>
        <w:pStyle w:val="TOC3"/>
        <w:rPr>
          <w:rFonts w:asciiTheme="minorHAnsi" w:eastAsiaTheme="minorEastAsia" w:hAnsiTheme="minorHAnsi" w:cstheme="minorBidi"/>
          <w:noProof/>
          <w:szCs w:val="22"/>
          <w:lang w:eastAsia="en-NZ"/>
        </w:rPr>
      </w:pPr>
      <w:r>
        <w:rPr>
          <w:noProof/>
        </w:rPr>
        <w:t>Table 16:</w:t>
      </w:r>
      <w:r>
        <w:rPr>
          <w:noProof/>
        </w:rPr>
        <w:tab/>
        <w:t>Mean age of smoking initiation of Year 10 students from 2006 to 2012</w:t>
      </w:r>
      <w:r>
        <w:rPr>
          <w:noProof/>
        </w:rPr>
        <w:tab/>
      </w:r>
      <w:r>
        <w:rPr>
          <w:noProof/>
        </w:rPr>
        <w:fldChar w:fldCharType="begin"/>
      </w:r>
      <w:r>
        <w:rPr>
          <w:noProof/>
        </w:rPr>
        <w:instrText xml:space="preserve"> PAGEREF _Toc404091116 \h </w:instrText>
      </w:r>
      <w:r>
        <w:rPr>
          <w:noProof/>
        </w:rPr>
      </w:r>
      <w:r>
        <w:rPr>
          <w:noProof/>
        </w:rPr>
        <w:fldChar w:fldCharType="separate"/>
      </w:r>
      <w:r w:rsidR="00894668">
        <w:rPr>
          <w:noProof/>
        </w:rPr>
        <w:t>27</w:t>
      </w:r>
      <w:r>
        <w:rPr>
          <w:noProof/>
        </w:rPr>
        <w:fldChar w:fldCharType="end"/>
      </w:r>
    </w:p>
    <w:p w14:paraId="53E19A84" w14:textId="2C38ADC2" w:rsidR="003102D7" w:rsidRDefault="003102D7">
      <w:pPr>
        <w:pStyle w:val="TOC3"/>
        <w:rPr>
          <w:rFonts w:asciiTheme="minorHAnsi" w:eastAsiaTheme="minorEastAsia" w:hAnsiTheme="minorHAnsi" w:cstheme="minorBidi"/>
          <w:noProof/>
          <w:szCs w:val="22"/>
          <w:lang w:eastAsia="en-NZ"/>
        </w:rPr>
      </w:pPr>
      <w:r>
        <w:rPr>
          <w:noProof/>
        </w:rPr>
        <w:t>Table 17:</w:t>
      </w:r>
      <w:r>
        <w:rPr>
          <w:noProof/>
        </w:rPr>
        <w:tab/>
        <w:t>Used quitting products or advice in most recent quit attempt, among recent quit attempters, by ethnic group</w:t>
      </w:r>
      <w:r>
        <w:rPr>
          <w:noProof/>
        </w:rPr>
        <w:tab/>
      </w:r>
      <w:r>
        <w:rPr>
          <w:noProof/>
        </w:rPr>
        <w:fldChar w:fldCharType="begin"/>
      </w:r>
      <w:r>
        <w:rPr>
          <w:noProof/>
        </w:rPr>
        <w:instrText xml:space="preserve"> PAGEREF _Toc404091117 \h </w:instrText>
      </w:r>
      <w:r>
        <w:rPr>
          <w:noProof/>
        </w:rPr>
      </w:r>
      <w:r>
        <w:rPr>
          <w:noProof/>
        </w:rPr>
        <w:fldChar w:fldCharType="separate"/>
      </w:r>
      <w:r w:rsidR="00894668">
        <w:rPr>
          <w:noProof/>
        </w:rPr>
        <w:t>33</w:t>
      </w:r>
      <w:r>
        <w:rPr>
          <w:noProof/>
        </w:rPr>
        <w:fldChar w:fldCharType="end"/>
      </w:r>
    </w:p>
    <w:p w14:paraId="10F1A794" w14:textId="557D8722" w:rsidR="003102D7" w:rsidRDefault="003102D7">
      <w:pPr>
        <w:pStyle w:val="TOC3"/>
        <w:rPr>
          <w:rFonts w:asciiTheme="minorHAnsi" w:eastAsiaTheme="minorEastAsia" w:hAnsiTheme="minorHAnsi" w:cstheme="minorBidi"/>
          <w:noProof/>
          <w:szCs w:val="22"/>
          <w:lang w:eastAsia="en-NZ"/>
        </w:rPr>
      </w:pPr>
      <w:r>
        <w:rPr>
          <w:noProof/>
        </w:rPr>
        <w:t>Table 18:</w:t>
      </w:r>
      <w:r>
        <w:rPr>
          <w:noProof/>
        </w:rPr>
        <w:tab/>
        <w:t>Adjusted rate ratios for using quitting products or advice in the most recent quit attempt</w:t>
      </w:r>
      <w:r>
        <w:rPr>
          <w:noProof/>
        </w:rPr>
        <w:tab/>
      </w:r>
      <w:r>
        <w:rPr>
          <w:noProof/>
        </w:rPr>
        <w:fldChar w:fldCharType="begin"/>
      </w:r>
      <w:r>
        <w:rPr>
          <w:noProof/>
        </w:rPr>
        <w:instrText xml:space="preserve"> PAGEREF _Toc404091118 \h </w:instrText>
      </w:r>
      <w:r>
        <w:rPr>
          <w:noProof/>
        </w:rPr>
      </w:r>
      <w:r>
        <w:rPr>
          <w:noProof/>
        </w:rPr>
        <w:fldChar w:fldCharType="separate"/>
      </w:r>
      <w:r w:rsidR="00894668">
        <w:rPr>
          <w:noProof/>
        </w:rPr>
        <w:t>33</w:t>
      </w:r>
      <w:r>
        <w:rPr>
          <w:noProof/>
        </w:rPr>
        <w:fldChar w:fldCharType="end"/>
      </w:r>
    </w:p>
    <w:p w14:paraId="21B68247" w14:textId="1EDEDC90" w:rsidR="003102D7" w:rsidRDefault="003102D7">
      <w:pPr>
        <w:pStyle w:val="TOC3"/>
        <w:rPr>
          <w:rFonts w:asciiTheme="minorHAnsi" w:eastAsiaTheme="minorEastAsia" w:hAnsiTheme="minorHAnsi" w:cstheme="minorBidi"/>
          <w:noProof/>
          <w:szCs w:val="22"/>
          <w:lang w:eastAsia="en-NZ"/>
        </w:rPr>
      </w:pPr>
      <w:r>
        <w:rPr>
          <w:noProof/>
        </w:rPr>
        <w:t>Table 19:</w:t>
      </w:r>
      <w:r>
        <w:rPr>
          <w:noProof/>
        </w:rPr>
        <w:tab/>
        <w:t>Use of NRT during most recent quit attempt, among recent quit attempters, by ethnic group</w:t>
      </w:r>
      <w:r>
        <w:rPr>
          <w:noProof/>
        </w:rPr>
        <w:tab/>
      </w:r>
      <w:r>
        <w:rPr>
          <w:noProof/>
        </w:rPr>
        <w:fldChar w:fldCharType="begin"/>
      </w:r>
      <w:r>
        <w:rPr>
          <w:noProof/>
        </w:rPr>
        <w:instrText xml:space="preserve"> PAGEREF _Toc404091119 \h </w:instrText>
      </w:r>
      <w:r>
        <w:rPr>
          <w:noProof/>
        </w:rPr>
      </w:r>
      <w:r>
        <w:rPr>
          <w:noProof/>
        </w:rPr>
        <w:fldChar w:fldCharType="separate"/>
      </w:r>
      <w:r w:rsidR="00894668">
        <w:rPr>
          <w:noProof/>
        </w:rPr>
        <w:t>35</w:t>
      </w:r>
      <w:r>
        <w:rPr>
          <w:noProof/>
        </w:rPr>
        <w:fldChar w:fldCharType="end"/>
      </w:r>
    </w:p>
    <w:p w14:paraId="71B0A965" w14:textId="78AC05BD" w:rsidR="003102D7" w:rsidRDefault="003102D7">
      <w:pPr>
        <w:pStyle w:val="TOC3"/>
        <w:rPr>
          <w:rFonts w:asciiTheme="minorHAnsi" w:eastAsiaTheme="minorEastAsia" w:hAnsiTheme="minorHAnsi" w:cstheme="minorBidi"/>
          <w:noProof/>
          <w:szCs w:val="22"/>
          <w:lang w:eastAsia="en-NZ"/>
        </w:rPr>
      </w:pPr>
      <w:r>
        <w:rPr>
          <w:noProof/>
        </w:rPr>
        <w:t>Table 20:</w:t>
      </w:r>
      <w:r>
        <w:rPr>
          <w:noProof/>
        </w:rPr>
        <w:tab/>
        <w:t>Adjusted rate ratios for the use of NRT in most recent quit attempt among most recent quit attempters</w:t>
      </w:r>
      <w:r>
        <w:rPr>
          <w:noProof/>
        </w:rPr>
        <w:tab/>
      </w:r>
      <w:r>
        <w:rPr>
          <w:noProof/>
        </w:rPr>
        <w:fldChar w:fldCharType="begin"/>
      </w:r>
      <w:r>
        <w:rPr>
          <w:noProof/>
        </w:rPr>
        <w:instrText xml:space="preserve"> PAGEREF _Toc404091120 \h </w:instrText>
      </w:r>
      <w:r>
        <w:rPr>
          <w:noProof/>
        </w:rPr>
      </w:r>
      <w:r>
        <w:rPr>
          <w:noProof/>
        </w:rPr>
        <w:fldChar w:fldCharType="separate"/>
      </w:r>
      <w:r w:rsidR="00894668">
        <w:rPr>
          <w:noProof/>
        </w:rPr>
        <w:t>35</w:t>
      </w:r>
      <w:r>
        <w:rPr>
          <w:noProof/>
        </w:rPr>
        <w:fldChar w:fldCharType="end"/>
      </w:r>
    </w:p>
    <w:p w14:paraId="215F6C19" w14:textId="13ECF4BE" w:rsidR="003102D7" w:rsidRDefault="003102D7">
      <w:pPr>
        <w:pStyle w:val="TOC3"/>
        <w:rPr>
          <w:rFonts w:asciiTheme="minorHAnsi" w:eastAsiaTheme="minorEastAsia" w:hAnsiTheme="minorHAnsi" w:cstheme="minorBidi"/>
          <w:noProof/>
          <w:szCs w:val="22"/>
          <w:lang w:eastAsia="en-NZ"/>
        </w:rPr>
      </w:pPr>
      <w:r>
        <w:rPr>
          <w:noProof/>
        </w:rPr>
        <w:t>Table 21:</w:t>
      </w:r>
      <w:r>
        <w:rPr>
          <w:noProof/>
        </w:rPr>
        <w:tab/>
        <w:t>Asked smoking status by a GP in the past 12 months, among the total population, by ethnic group</w:t>
      </w:r>
      <w:r>
        <w:rPr>
          <w:noProof/>
        </w:rPr>
        <w:tab/>
      </w:r>
      <w:r>
        <w:rPr>
          <w:noProof/>
        </w:rPr>
        <w:fldChar w:fldCharType="begin"/>
      </w:r>
      <w:r>
        <w:rPr>
          <w:noProof/>
        </w:rPr>
        <w:instrText xml:space="preserve"> PAGEREF _Toc404091121 \h </w:instrText>
      </w:r>
      <w:r>
        <w:rPr>
          <w:noProof/>
        </w:rPr>
      </w:r>
      <w:r>
        <w:rPr>
          <w:noProof/>
        </w:rPr>
        <w:fldChar w:fldCharType="separate"/>
      </w:r>
      <w:r w:rsidR="00894668">
        <w:rPr>
          <w:noProof/>
        </w:rPr>
        <w:t>38</w:t>
      </w:r>
      <w:r>
        <w:rPr>
          <w:noProof/>
        </w:rPr>
        <w:fldChar w:fldCharType="end"/>
      </w:r>
    </w:p>
    <w:p w14:paraId="64C2BDD7" w14:textId="3A02AB2F" w:rsidR="003102D7" w:rsidRDefault="003102D7">
      <w:pPr>
        <w:pStyle w:val="TOC3"/>
        <w:rPr>
          <w:rFonts w:asciiTheme="minorHAnsi" w:eastAsiaTheme="minorEastAsia" w:hAnsiTheme="minorHAnsi" w:cstheme="minorBidi"/>
          <w:noProof/>
          <w:szCs w:val="22"/>
          <w:lang w:eastAsia="en-NZ"/>
        </w:rPr>
      </w:pPr>
      <w:r>
        <w:rPr>
          <w:noProof/>
        </w:rPr>
        <w:t>Table 22:</w:t>
      </w:r>
      <w:r>
        <w:rPr>
          <w:noProof/>
        </w:rPr>
        <w:tab/>
        <w:t>Adjusted rate ratios for the total population being asked about their smoking status by a GP in the past 12 months</w:t>
      </w:r>
      <w:r>
        <w:rPr>
          <w:noProof/>
        </w:rPr>
        <w:tab/>
      </w:r>
      <w:r>
        <w:rPr>
          <w:noProof/>
        </w:rPr>
        <w:fldChar w:fldCharType="begin"/>
      </w:r>
      <w:r>
        <w:rPr>
          <w:noProof/>
        </w:rPr>
        <w:instrText xml:space="preserve"> PAGEREF _Toc404091122 \h </w:instrText>
      </w:r>
      <w:r>
        <w:rPr>
          <w:noProof/>
        </w:rPr>
      </w:r>
      <w:r>
        <w:rPr>
          <w:noProof/>
        </w:rPr>
        <w:fldChar w:fldCharType="separate"/>
      </w:r>
      <w:r w:rsidR="00894668">
        <w:rPr>
          <w:noProof/>
        </w:rPr>
        <w:t>38</w:t>
      </w:r>
      <w:r>
        <w:rPr>
          <w:noProof/>
        </w:rPr>
        <w:fldChar w:fldCharType="end"/>
      </w:r>
    </w:p>
    <w:p w14:paraId="1DF9DB3E" w14:textId="001FE818" w:rsidR="003102D7" w:rsidRDefault="003102D7">
      <w:pPr>
        <w:pStyle w:val="TOC3"/>
        <w:rPr>
          <w:rFonts w:asciiTheme="minorHAnsi" w:eastAsiaTheme="minorEastAsia" w:hAnsiTheme="minorHAnsi" w:cstheme="minorBidi"/>
          <w:noProof/>
          <w:szCs w:val="22"/>
          <w:lang w:eastAsia="en-NZ"/>
        </w:rPr>
      </w:pPr>
      <w:r>
        <w:rPr>
          <w:noProof/>
        </w:rPr>
        <w:t>Table 23:</w:t>
      </w:r>
      <w:r>
        <w:rPr>
          <w:noProof/>
        </w:rPr>
        <w:tab/>
        <w:t>Proportion provided with brief advice to stop smoking by a GP in the past 12 months, among current smokers and those who quit smoking in the past 12 months, by ethnic group</w:t>
      </w:r>
      <w:r>
        <w:rPr>
          <w:noProof/>
        </w:rPr>
        <w:tab/>
      </w:r>
      <w:r>
        <w:rPr>
          <w:noProof/>
        </w:rPr>
        <w:fldChar w:fldCharType="begin"/>
      </w:r>
      <w:r>
        <w:rPr>
          <w:noProof/>
        </w:rPr>
        <w:instrText xml:space="preserve"> PAGEREF _Toc404091123 \h </w:instrText>
      </w:r>
      <w:r>
        <w:rPr>
          <w:noProof/>
        </w:rPr>
      </w:r>
      <w:r>
        <w:rPr>
          <w:noProof/>
        </w:rPr>
        <w:fldChar w:fldCharType="separate"/>
      </w:r>
      <w:r w:rsidR="00894668">
        <w:rPr>
          <w:noProof/>
        </w:rPr>
        <w:t>40</w:t>
      </w:r>
      <w:r>
        <w:rPr>
          <w:noProof/>
        </w:rPr>
        <w:fldChar w:fldCharType="end"/>
      </w:r>
    </w:p>
    <w:p w14:paraId="155C8FD9" w14:textId="1CCABAC0" w:rsidR="003102D7" w:rsidRDefault="003102D7">
      <w:pPr>
        <w:pStyle w:val="TOC3"/>
        <w:rPr>
          <w:rFonts w:asciiTheme="minorHAnsi" w:eastAsiaTheme="minorEastAsia" w:hAnsiTheme="minorHAnsi" w:cstheme="minorBidi"/>
          <w:noProof/>
          <w:szCs w:val="22"/>
          <w:lang w:eastAsia="en-NZ"/>
        </w:rPr>
      </w:pPr>
      <w:r>
        <w:rPr>
          <w:noProof/>
        </w:rPr>
        <w:t>Table 24:</w:t>
      </w:r>
      <w:r>
        <w:rPr>
          <w:noProof/>
        </w:rPr>
        <w:tab/>
        <w:t>Adjusted rate ratios for current smokers seen by a GP in the past 12 months who were provided with brief advice</w:t>
      </w:r>
      <w:r>
        <w:rPr>
          <w:noProof/>
        </w:rPr>
        <w:tab/>
      </w:r>
      <w:r>
        <w:rPr>
          <w:noProof/>
        </w:rPr>
        <w:fldChar w:fldCharType="begin"/>
      </w:r>
      <w:r>
        <w:rPr>
          <w:noProof/>
        </w:rPr>
        <w:instrText xml:space="preserve"> PAGEREF _Toc404091124 \h </w:instrText>
      </w:r>
      <w:r>
        <w:rPr>
          <w:noProof/>
        </w:rPr>
      </w:r>
      <w:r>
        <w:rPr>
          <w:noProof/>
        </w:rPr>
        <w:fldChar w:fldCharType="separate"/>
      </w:r>
      <w:r w:rsidR="00894668">
        <w:rPr>
          <w:noProof/>
        </w:rPr>
        <w:t>40</w:t>
      </w:r>
      <w:r>
        <w:rPr>
          <w:noProof/>
        </w:rPr>
        <w:fldChar w:fldCharType="end"/>
      </w:r>
    </w:p>
    <w:p w14:paraId="1B0745C3" w14:textId="309CDF16" w:rsidR="003102D7" w:rsidRDefault="003102D7">
      <w:pPr>
        <w:pStyle w:val="TOC3"/>
        <w:rPr>
          <w:rFonts w:asciiTheme="minorHAnsi" w:eastAsiaTheme="minorEastAsia" w:hAnsiTheme="minorHAnsi" w:cstheme="minorBidi"/>
          <w:noProof/>
          <w:szCs w:val="22"/>
          <w:lang w:eastAsia="en-NZ"/>
        </w:rPr>
      </w:pPr>
      <w:r>
        <w:rPr>
          <w:noProof/>
        </w:rPr>
        <w:t>Table 25:</w:t>
      </w:r>
      <w:r>
        <w:rPr>
          <w:noProof/>
        </w:rPr>
        <w:tab/>
        <w:t>Received the ABC pathway from a GP in the past 12 months, among current smokers and those who quit smoking in the past 12 months, by ethnic group</w:t>
      </w:r>
      <w:r>
        <w:rPr>
          <w:noProof/>
        </w:rPr>
        <w:tab/>
      </w:r>
      <w:r>
        <w:rPr>
          <w:noProof/>
        </w:rPr>
        <w:fldChar w:fldCharType="begin"/>
      </w:r>
      <w:r>
        <w:rPr>
          <w:noProof/>
        </w:rPr>
        <w:instrText xml:space="preserve"> PAGEREF _Toc404091125 \h </w:instrText>
      </w:r>
      <w:r>
        <w:rPr>
          <w:noProof/>
        </w:rPr>
      </w:r>
      <w:r>
        <w:rPr>
          <w:noProof/>
        </w:rPr>
        <w:fldChar w:fldCharType="separate"/>
      </w:r>
      <w:r w:rsidR="00894668">
        <w:rPr>
          <w:noProof/>
        </w:rPr>
        <w:t>41</w:t>
      </w:r>
      <w:r>
        <w:rPr>
          <w:noProof/>
        </w:rPr>
        <w:fldChar w:fldCharType="end"/>
      </w:r>
    </w:p>
    <w:p w14:paraId="010BF9B9" w14:textId="2DBBBA13" w:rsidR="003102D7" w:rsidRDefault="003102D7">
      <w:pPr>
        <w:pStyle w:val="TOC3"/>
        <w:rPr>
          <w:rFonts w:asciiTheme="minorHAnsi" w:eastAsiaTheme="minorEastAsia" w:hAnsiTheme="minorHAnsi" w:cstheme="minorBidi"/>
          <w:noProof/>
          <w:szCs w:val="22"/>
          <w:lang w:eastAsia="en-NZ"/>
        </w:rPr>
      </w:pPr>
      <w:r>
        <w:rPr>
          <w:noProof/>
        </w:rPr>
        <w:t>Table 26:</w:t>
      </w:r>
      <w:r>
        <w:rPr>
          <w:noProof/>
        </w:rPr>
        <w:tab/>
        <w:t>Adjusted rate ratios for current smokers and those who quit smoking in the past year, who received the ABC pathway from a GP</w:t>
      </w:r>
      <w:r>
        <w:rPr>
          <w:noProof/>
        </w:rPr>
        <w:tab/>
      </w:r>
      <w:r>
        <w:rPr>
          <w:noProof/>
        </w:rPr>
        <w:fldChar w:fldCharType="begin"/>
      </w:r>
      <w:r>
        <w:rPr>
          <w:noProof/>
        </w:rPr>
        <w:instrText xml:space="preserve"> PAGEREF _Toc404091126 \h </w:instrText>
      </w:r>
      <w:r>
        <w:rPr>
          <w:noProof/>
        </w:rPr>
      </w:r>
      <w:r>
        <w:rPr>
          <w:noProof/>
        </w:rPr>
        <w:fldChar w:fldCharType="separate"/>
      </w:r>
      <w:r w:rsidR="00894668">
        <w:rPr>
          <w:noProof/>
        </w:rPr>
        <w:t>42</w:t>
      </w:r>
      <w:r>
        <w:rPr>
          <w:noProof/>
        </w:rPr>
        <w:fldChar w:fldCharType="end"/>
      </w:r>
    </w:p>
    <w:p w14:paraId="4377E44E" w14:textId="0B2DFCA1" w:rsidR="003102D7" w:rsidRDefault="003102D7">
      <w:pPr>
        <w:pStyle w:val="TOC3"/>
        <w:rPr>
          <w:rFonts w:asciiTheme="minorHAnsi" w:eastAsiaTheme="minorEastAsia" w:hAnsiTheme="minorHAnsi" w:cstheme="minorBidi"/>
          <w:noProof/>
          <w:szCs w:val="22"/>
          <w:lang w:eastAsia="en-NZ"/>
        </w:rPr>
      </w:pPr>
      <w:r>
        <w:rPr>
          <w:noProof/>
        </w:rPr>
        <w:t>Table 27:</w:t>
      </w:r>
      <w:r>
        <w:rPr>
          <w:noProof/>
        </w:rPr>
        <w:tab/>
        <w:t>Asked smoking status by staff in public hospitals in the past 12 months, total population, by ethnic group</w:t>
      </w:r>
      <w:r>
        <w:rPr>
          <w:noProof/>
        </w:rPr>
        <w:tab/>
      </w:r>
      <w:r>
        <w:rPr>
          <w:noProof/>
        </w:rPr>
        <w:fldChar w:fldCharType="begin"/>
      </w:r>
      <w:r>
        <w:rPr>
          <w:noProof/>
        </w:rPr>
        <w:instrText xml:space="preserve"> PAGEREF _Toc404091127 \h </w:instrText>
      </w:r>
      <w:r>
        <w:rPr>
          <w:noProof/>
        </w:rPr>
      </w:r>
      <w:r>
        <w:rPr>
          <w:noProof/>
        </w:rPr>
        <w:fldChar w:fldCharType="separate"/>
      </w:r>
      <w:r w:rsidR="00894668">
        <w:rPr>
          <w:noProof/>
        </w:rPr>
        <w:t>42</w:t>
      </w:r>
      <w:r>
        <w:rPr>
          <w:noProof/>
        </w:rPr>
        <w:fldChar w:fldCharType="end"/>
      </w:r>
    </w:p>
    <w:p w14:paraId="697E63B8" w14:textId="2E98068F" w:rsidR="003102D7" w:rsidRDefault="003102D7">
      <w:pPr>
        <w:pStyle w:val="TOC3"/>
        <w:rPr>
          <w:rFonts w:asciiTheme="minorHAnsi" w:eastAsiaTheme="minorEastAsia" w:hAnsiTheme="minorHAnsi" w:cstheme="minorBidi"/>
          <w:noProof/>
          <w:szCs w:val="22"/>
          <w:lang w:eastAsia="en-NZ"/>
        </w:rPr>
      </w:pPr>
      <w:r>
        <w:rPr>
          <w:noProof/>
        </w:rPr>
        <w:t>Table 28:</w:t>
      </w:r>
      <w:r>
        <w:rPr>
          <w:noProof/>
        </w:rPr>
        <w:tab/>
        <w:t>Prevalence of exposure to SHS at home and in the car, among non-smokers, by ethnic group</w:t>
      </w:r>
      <w:r>
        <w:rPr>
          <w:noProof/>
        </w:rPr>
        <w:tab/>
      </w:r>
      <w:r>
        <w:rPr>
          <w:noProof/>
        </w:rPr>
        <w:fldChar w:fldCharType="begin"/>
      </w:r>
      <w:r>
        <w:rPr>
          <w:noProof/>
        </w:rPr>
        <w:instrText xml:space="preserve"> PAGEREF _Toc404091128 \h </w:instrText>
      </w:r>
      <w:r>
        <w:rPr>
          <w:noProof/>
        </w:rPr>
      </w:r>
      <w:r>
        <w:rPr>
          <w:noProof/>
        </w:rPr>
        <w:fldChar w:fldCharType="separate"/>
      </w:r>
      <w:r w:rsidR="00894668">
        <w:rPr>
          <w:noProof/>
        </w:rPr>
        <w:t>46</w:t>
      </w:r>
      <w:r>
        <w:rPr>
          <w:noProof/>
        </w:rPr>
        <w:fldChar w:fldCharType="end"/>
      </w:r>
    </w:p>
    <w:p w14:paraId="30C477EA" w14:textId="20E7A825" w:rsidR="003102D7" w:rsidRDefault="003102D7">
      <w:pPr>
        <w:pStyle w:val="TOC3"/>
        <w:rPr>
          <w:rFonts w:asciiTheme="minorHAnsi" w:eastAsiaTheme="minorEastAsia" w:hAnsiTheme="minorHAnsi" w:cstheme="minorBidi"/>
          <w:noProof/>
          <w:szCs w:val="22"/>
          <w:lang w:eastAsia="en-NZ"/>
        </w:rPr>
      </w:pPr>
      <w:r w:rsidRPr="00220CF4">
        <w:rPr>
          <w:noProof/>
          <w:spacing w:val="-2"/>
        </w:rPr>
        <w:t>Table 29</w:t>
      </w:r>
      <w:r>
        <w:rPr>
          <w:noProof/>
          <w:spacing w:val="-2"/>
        </w:rPr>
        <w:t>:</w:t>
      </w:r>
      <w:r>
        <w:rPr>
          <w:noProof/>
          <w:spacing w:val="-2"/>
        </w:rPr>
        <w:tab/>
      </w:r>
      <w:r w:rsidRPr="00220CF4">
        <w:rPr>
          <w:noProof/>
          <w:spacing w:val="-2"/>
        </w:rPr>
        <w:t>Adjusted rate ratios for non-smoking adults</w:t>
      </w:r>
      <w:r w:rsidR="00AA2408">
        <w:rPr>
          <w:noProof/>
          <w:spacing w:val="-2"/>
        </w:rPr>
        <w:t>’</w:t>
      </w:r>
      <w:r w:rsidRPr="00220CF4">
        <w:rPr>
          <w:noProof/>
          <w:spacing w:val="-2"/>
        </w:rPr>
        <w:t xml:space="preserve"> SHS exposure at home and in the car</w:t>
      </w:r>
      <w:r>
        <w:rPr>
          <w:noProof/>
        </w:rPr>
        <w:tab/>
      </w:r>
      <w:r>
        <w:rPr>
          <w:noProof/>
        </w:rPr>
        <w:fldChar w:fldCharType="begin"/>
      </w:r>
      <w:r>
        <w:rPr>
          <w:noProof/>
        </w:rPr>
        <w:instrText xml:space="preserve"> PAGEREF _Toc404091129 \h </w:instrText>
      </w:r>
      <w:r>
        <w:rPr>
          <w:noProof/>
        </w:rPr>
      </w:r>
      <w:r>
        <w:rPr>
          <w:noProof/>
        </w:rPr>
        <w:fldChar w:fldCharType="separate"/>
      </w:r>
      <w:r w:rsidR="00894668">
        <w:rPr>
          <w:noProof/>
        </w:rPr>
        <w:t>46</w:t>
      </w:r>
      <w:r>
        <w:rPr>
          <w:noProof/>
        </w:rPr>
        <w:fldChar w:fldCharType="end"/>
      </w:r>
    </w:p>
    <w:p w14:paraId="7C391F53" w14:textId="3A5D41C3" w:rsidR="003102D7" w:rsidRDefault="003102D7">
      <w:pPr>
        <w:pStyle w:val="TOC3"/>
        <w:rPr>
          <w:rFonts w:asciiTheme="minorHAnsi" w:eastAsiaTheme="minorEastAsia" w:hAnsiTheme="minorHAnsi" w:cstheme="minorBidi"/>
          <w:noProof/>
          <w:szCs w:val="22"/>
          <w:lang w:eastAsia="en-NZ"/>
        </w:rPr>
      </w:pPr>
      <w:r>
        <w:rPr>
          <w:noProof/>
        </w:rPr>
        <w:t>Table 30:</w:t>
      </w:r>
      <w:r>
        <w:rPr>
          <w:noProof/>
        </w:rPr>
        <w:tab/>
        <w:t>Changes in SHS exposure prevalence in the home by ethnicity between 2006 and 2012</w:t>
      </w:r>
      <w:r>
        <w:rPr>
          <w:noProof/>
        </w:rPr>
        <w:tab/>
      </w:r>
      <w:r>
        <w:rPr>
          <w:noProof/>
        </w:rPr>
        <w:fldChar w:fldCharType="begin"/>
      </w:r>
      <w:r>
        <w:rPr>
          <w:noProof/>
        </w:rPr>
        <w:instrText xml:space="preserve"> PAGEREF _Toc404091130 \h </w:instrText>
      </w:r>
      <w:r>
        <w:rPr>
          <w:noProof/>
        </w:rPr>
      </w:r>
      <w:r>
        <w:rPr>
          <w:noProof/>
        </w:rPr>
        <w:fldChar w:fldCharType="separate"/>
      </w:r>
      <w:r w:rsidR="00894668">
        <w:rPr>
          <w:noProof/>
        </w:rPr>
        <w:t>47</w:t>
      </w:r>
      <w:r>
        <w:rPr>
          <w:noProof/>
        </w:rPr>
        <w:fldChar w:fldCharType="end"/>
      </w:r>
    </w:p>
    <w:p w14:paraId="3673B2C2" w14:textId="62DD7D0E" w:rsidR="003102D7" w:rsidRDefault="003102D7">
      <w:pPr>
        <w:pStyle w:val="TOC3"/>
        <w:rPr>
          <w:rFonts w:asciiTheme="minorHAnsi" w:eastAsiaTheme="minorEastAsia" w:hAnsiTheme="minorHAnsi" w:cstheme="minorBidi"/>
          <w:noProof/>
          <w:szCs w:val="22"/>
          <w:lang w:eastAsia="en-NZ"/>
        </w:rPr>
      </w:pPr>
      <w:r>
        <w:rPr>
          <w:noProof/>
        </w:rPr>
        <w:t>Table 31:</w:t>
      </w:r>
      <w:r>
        <w:rPr>
          <w:noProof/>
        </w:rPr>
        <w:tab/>
        <w:t>Changes in SHS exposure prevalence in the car by ethnicity between 2006 and 2012</w:t>
      </w:r>
      <w:r>
        <w:rPr>
          <w:noProof/>
        </w:rPr>
        <w:tab/>
      </w:r>
      <w:r>
        <w:rPr>
          <w:noProof/>
        </w:rPr>
        <w:fldChar w:fldCharType="begin"/>
      </w:r>
      <w:r>
        <w:rPr>
          <w:noProof/>
        </w:rPr>
        <w:instrText xml:space="preserve"> PAGEREF _Toc404091131 \h </w:instrText>
      </w:r>
      <w:r>
        <w:rPr>
          <w:noProof/>
        </w:rPr>
      </w:r>
      <w:r>
        <w:rPr>
          <w:noProof/>
        </w:rPr>
        <w:fldChar w:fldCharType="separate"/>
      </w:r>
      <w:r w:rsidR="00894668">
        <w:rPr>
          <w:noProof/>
        </w:rPr>
        <w:t>48</w:t>
      </w:r>
      <w:r>
        <w:rPr>
          <w:noProof/>
        </w:rPr>
        <w:fldChar w:fldCharType="end"/>
      </w:r>
    </w:p>
    <w:p w14:paraId="0F9D7CD8" w14:textId="115E11E4" w:rsidR="003102D7" w:rsidRDefault="003102D7">
      <w:pPr>
        <w:pStyle w:val="TOC3"/>
        <w:rPr>
          <w:rFonts w:asciiTheme="minorHAnsi" w:eastAsiaTheme="minorEastAsia" w:hAnsiTheme="minorHAnsi" w:cstheme="minorBidi"/>
          <w:noProof/>
          <w:szCs w:val="22"/>
          <w:lang w:eastAsia="en-NZ"/>
        </w:rPr>
      </w:pPr>
      <w:r>
        <w:rPr>
          <w:noProof/>
        </w:rPr>
        <w:t>Table 32:</w:t>
      </w:r>
      <w:r>
        <w:rPr>
          <w:noProof/>
        </w:rPr>
        <w:tab/>
        <w:t>Exposure to SHS at home and in the car for children aged 14 years and under, by ethnic group</w:t>
      </w:r>
      <w:r>
        <w:rPr>
          <w:noProof/>
        </w:rPr>
        <w:tab/>
      </w:r>
      <w:r>
        <w:rPr>
          <w:noProof/>
        </w:rPr>
        <w:fldChar w:fldCharType="begin"/>
      </w:r>
      <w:r>
        <w:rPr>
          <w:noProof/>
        </w:rPr>
        <w:instrText xml:space="preserve"> PAGEREF _Toc404091132 \h </w:instrText>
      </w:r>
      <w:r>
        <w:rPr>
          <w:noProof/>
        </w:rPr>
      </w:r>
      <w:r>
        <w:rPr>
          <w:noProof/>
        </w:rPr>
        <w:fldChar w:fldCharType="separate"/>
      </w:r>
      <w:r w:rsidR="00894668">
        <w:rPr>
          <w:noProof/>
        </w:rPr>
        <w:t>48</w:t>
      </w:r>
      <w:r>
        <w:rPr>
          <w:noProof/>
        </w:rPr>
        <w:fldChar w:fldCharType="end"/>
      </w:r>
    </w:p>
    <w:p w14:paraId="27CB1F12" w14:textId="5E6A8EF3" w:rsidR="003102D7" w:rsidRDefault="003102D7">
      <w:pPr>
        <w:pStyle w:val="TOC3"/>
        <w:rPr>
          <w:rFonts w:asciiTheme="minorHAnsi" w:eastAsiaTheme="minorEastAsia" w:hAnsiTheme="minorHAnsi" w:cstheme="minorBidi"/>
          <w:noProof/>
          <w:szCs w:val="22"/>
          <w:lang w:eastAsia="en-NZ"/>
        </w:rPr>
      </w:pPr>
      <w:r>
        <w:rPr>
          <w:noProof/>
        </w:rPr>
        <w:t>Table 33:</w:t>
      </w:r>
      <w:r>
        <w:rPr>
          <w:noProof/>
        </w:rPr>
        <w:tab/>
        <w:t>Adjusted rate ratios for children</w:t>
      </w:r>
      <w:r w:rsidR="00AA2408">
        <w:rPr>
          <w:noProof/>
        </w:rPr>
        <w:t>’</w:t>
      </w:r>
      <w:r>
        <w:rPr>
          <w:noProof/>
        </w:rPr>
        <w:t>s SHS exposure at home and in the car</w:t>
      </w:r>
      <w:r>
        <w:rPr>
          <w:noProof/>
        </w:rPr>
        <w:tab/>
      </w:r>
      <w:r>
        <w:rPr>
          <w:noProof/>
        </w:rPr>
        <w:fldChar w:fldCharType="begin"/>
      </w:r>
      <w:r>
        <w:rPr>
          <w:noProof/>
        </w:rPr>
        <w:instrText xml:space="preserve"> PAGEREF _Toc404091133 \h </w:instrText>
      </w:r>
      <w:r>
        <w:rPr>
          <w:noProof/>
        </w:rPr>
      </w:r>
      <w:r>
        <w:rPr>
          <w:noProof/>
        </w:rPr>
        <w:fldChar w:fldCharType="separate"/>
      </w:r>
      <w:r w:rsidR="00894668">
        <w:rPr>
          <w:noProof/>
        </w:rPr>
        <w:t>49</w:t>
      </w:r>
      <w:r>
        <w:rPr>
          <w:noProof/>
        </w:rPr>
        <w:fldChar w:fldCharType="end"/>
      </w:r>
    </w:p>
    <w:p w14:paraId="37BF6A6E" w14:textId="77777777" w:rsidR="00C86248" w:rsidRDefault="00C86248" w:rsidP="0030382F">
      <w:r>
        <w:fldChar w:fldCharType="end"/>
      </w:r>
    </w:p>
    <w:p w14:paraId="4562BDF3" w14:textId="77777777" w:rsidR="003A5FEA" w:rsidRDefault="003A5FEA" w:rsidP="003A5FEA">
      <w:pPr>
        <w:pStyle w:val="TOC1"/>
      </w:pPr>
      <w:r>
        <w:t>List of Figures</w:t>
      </w:r>
    </w:p>
    <w:p w14:paraId="3BA20A2D" w14:textId="45345B98" w:rsidR="009262A5"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9262A5">
        <w:rPr>
          <w:noProof/>
        </w:rPr>
        <w:t>Figure 1:</w:t>
      </w:r>
      <w:r w:rsidR="00517D34">
        <w:rPr>
          <w:noProof/>
        </w:rPr>
        <w:tab/>
      </w:r>
      <w:r w:rsidR="009262A5">
        <w:rPr>
          <w:noProof/>
        </w:rPr>
        <w:t>Daily smoking, 1996/97–2012/13 (age-standardised prevalence)</w:t>
      </w:r>
      <w:r w:rsidR="009262A5">
        <w:rPr>
          <w:noProof/>
        </w:rPr>
        <w:tab/>
      </w:r>
      <w:r w:rsidR="009262A5">
        <w:rPr>
          <w:noProof/>
        </w:rPr>
        <w:fldChar w:fldCharType="begin"/>
      </w:r>
      <w:r w:rsidR="009262A5">
        <w:rPr>
          <w:noProof/>
        </w:rPr>
        <w:instrText xml:space="preserve"> PAGEREF _Toc404258410 \h </w:instrText>
      </w:r>
      <w:r w:rsidR="009262A5">
        <w:rPr>
          <w:noProof/>
        </w:rPr>
      </w:r>
      <w:r w:rsidR="009262A5">
        <w:rPr>
          <w:noProof/>
        </w:rPr>
        <w:fldChar w:fldCharType="separate"/>
      </w:r>
      <w:r w:rsidR="00894668">
        <w:rPr>
          <w:noProof/>
        </w:rPr>
        <w:t>5</w:t>
      </w:r>
      <w:r w:rsidR="009262A5">
        <w:rPr>
          <w:noProof/>
        </w:rPr>
        <w:fldChar w:fldCharType="end"/>
      </w:r>
    </w:p>
    <w:p w14:paraId="526D4534" w14:textId="20FD9A79" w:rsidR="009262A5" w:rsidRDefault="009262A5" w:rsidP="00517D34">
      <w:pPr>
        <w:pStyle w:val="TOC3"/>
        <w:rPr>
          <w:rFonts w:asciiTheme="minorHAnsi" w:eastAsiaTheme="minorEastAsia" w:hAnsiTheme="minorHAnsi" w:cstheme="minorBidi"/>
          <w:noProof/>
          <w:szCs w:val="22"/>
          <w:lang w:eastAsia="en-NZ"/>
        </w:rPr>
      </w:pPr>
      <w:r>
        <w:rPr>
          <w:noProof/>
        </w:rPr>
        <w:t>Figure 2:</w:t>
      </w:r>
      <w:r w:rsidR="00517D34">
        <w:rPr>
          <w:noProof/>
        </w:rPr>
        <w:tab/>
      </w:r>
      <w:r>
        <w:rPr>
          <w:noProof/>
        </w:rPr>
        <w:t>Time trends of current smoking prevalence for 15- to 19-year-olds and prevalence of successful quitting between 2006 and 2012</w:t>
      </w:r>
      <w:r>
        <w:rPr>
          <w:noProof/>
        </w:rPr>
        <w:tab/>
      </w:r>
      <w:r>
        <w:rPr>
          <w:noProof/>
        </w:rPr>
        <w:fldChar w:fldCharType="begin"/>
      </w:r>
      <w:r>
        <w:rPr>
          <w:noProof/>
        </w:rPr>
        <w:instrText xml:space="preserve"> PAGEREF _Toc404258411 \h </w:instrText>
      </w:r>
      <w:r>
        <w:rPr>
          <w:noProof/>
        </w:rPr>
      </w:r>
      <w:r>
        <w:rPr>
          <w:noProof/>
        </w:rPr>
        <w:fldChar w:fldCharType="separate"/>
      </w:r>
      <w:r w:rsidR="00894668">
        <w:rPr>
          <w:noProof/>
        </w:rPr>
        <w:t>6</w:t>
      </w:r>
      <w:r>
        <w:rPr>
          <w:noProof/>
        </w:rPr>
        <w:fldChar w:fldCharType="end"/>
      </w:r>
    </w:p>
    <w:p w14:paraId="4504AD90" w14:textId="10FDFC27" w:rsidR="009262A5" w:rsidRDefault="009262A5" w:rsidP="00517D34">
      <w:pPr>
        <w:pStyle w:val="TOC3"/>
        <w:rPr>
          <w:rFonts w:asciiTheme="minorHAnsi" w:eastAsiaTheme="minorEastAsia" w:hAnsiTheme="minorHAnsi" w:cstheme="minorBidi"/>
          <w:noProof/>
          <w:szCs w:val="22"/>
          <w:lang w:eastAsia="en-NZ"/>
        </w:rPr>
      </w:pPr>
      <w:r>
        <w:rPr>
          <w:noProof/>
        </w:rPr>
        <w:t>Figure 3:</w:t>
      </w:r>
      <w:r w:rsidR="00517D34">
        <w:rPr>
          <w:noProof/>
        </w:rPr>
        <w:tab/>
      </w:r>
      <w:r>
        <w:rPr>
          <w:noProof/>
        </w:rPr>
        <w:t>Current smoking among the total population, by age group and sex</w:t>
      </w:r>
      <w:r>
        <w:rPr>
          <w:noProof/>
        </w:rPr>
        <w:tab/>
      </w:r>
      <w:r>
        <w:rPr>
          <w:noProof/>
        </w:rPr>
        <w:fldChar w:fldCharType="begin"/>
      </w:r>
      <w:r>
        <w:rPr>
          <w:noProof/>
        </w:rPr>
        <w:instrText xml:space="preserve"> PAGEREF _Toc404258412 \h </w:instrText>
      </w:r>
      <w:r>
        <w:rPr>
          <w:noProof/>
        </w:rPr>
      </w:r>
      <w:r>
        <w:rPr>
          <w:noProof/>
        </w:rPr>
        <w:fldChar w:fldCharType="separate"/>
      </w:r>
      <w:r w:rsidR="00894668">
        <w:rPr>
          <w:noProof/>
        </w:rPr>
        <w:t>11</w:t>
      </w:r>
      <w:r>
        <w:rPr>
          <w:noProof/>
        </w:rPr>
        <w:fldChar w:fldCharType="end"/>
      </w:r>
    </w:p>
    <w:p w14:paraId="5F8346B3" w14:textId="1392BD3B" w:rsidR="009262A5" w:rsidRDefault="009262A5" w:rsidP="00517D34">
      <w:pPr>
        <w:pStyle w:val="TOC3"/>
        <w:rPr>
          <w:rFonts w:asciiTheme="minorHAnsi" w:eastAsiaTheme="minorEastAsia" w:hAnsiTheme="minorHAnsi" w:cstheme="minorBidi"/>
          <w:noProof/>
          <w:szCs w:val="22"/>
          <w:lang w:eastAsia="en-NZ"/>
        </w:rPr>
      </w:pPr>
      <w:r>
        <w:rPr>
          <w:noProof/>
        </w:rPr>
        <w:t>Figure 4:</w:t>
      </w:r>
      <w:r w:rsidR="00517D34">
        <w:rPr>
          <w:noProof/>
        </w:rPr>
        <w:tab/>
      </w:r>
      <w:r>
        <w:rPr>
          <w:noProof/>
        </w:rPr>
        <w:t>Current smoking among the total population, by neighbourhood deprivation (age-standardised)</w:t>
      </w:r>
      <w:r>
        <w:rPr>
          <w:noProof/>
        </w:rPr>
        <w:tab/>
      </w:r>
      <w:r>
        <w:rPr>
          <w:noProof/>
        </w:rPr>
        <w:fldChar w:fldCharType="begin"/>
      </w:r>
      <w:r>
        <w:rPr>
          <w:noProof/>
        </w:rPr>
        <w:instrText xml:space="preserve"> PAGEREF _Toc404258413 \h </w:instrText>
      </w:r>
      <w:r>
        <w:rPr>
          <w:noProof/>
        </w:rPr>
      </w:r>
      <w:r>
        <w:rPr>
          <w:noProof/>
        </w:rPr>
        <w:fldChar w:fldCharType="separate"/>
      </w:r>
      <w:r w:rsidR="00894668">
        <w:rPr>
          <w:noProof/>
        </w:rPr>
        <w:t>12</w:t>
      </w:r>
      <w:r>
        <w:rPr>
          <w:noProof/>
        </w:rPr>
        <w:fldChar w:fldCharType="end"/>
      </w:r>
    </w:p>
    <w:p w14:paraId="4A3C359E" w14:textId="5ECA9A73" w:rsidR="009262A5" w:rsidRDefault="009262A5" w:rsidP="00517D34">
      <w:pPr>
        <w:pStyle w:val="TOC3"/>
        <w:rPr>
          <w:rFonts w:asciiTheme="minorHAnsi" w:eastAsiaTheme="minorEastAsia" w:hAnsiTheme="minorHAnsi" w:cstheme="minorBidi"/>
          <w:noProof/>
          <w:szCs w:val="22"/>
          <w:lang w:eastAsia="en-NZ"/>
        </w:rPr>
      </w:pPr>
      <w:r>
        <w:rPr>
          <w:noProof/>
        </w:rPr>
        <w:t>Figure 5:</w:t>
      </w:r>
      <w:r w:rsidR="00517D34">
        <w:rPr>
          <w:noProof/>
        </w:rPr>
        <w:tab/>
      </w:r>
      <w:r>
        <w:rPr>
          <w:noProof/>
        </w:rPr>
        <w:t>Current smoking among young people aged 15–19 years, by sex, between 2006 and 2012</w:t>
      </w:r>
      <w:r>
        <w:rPr>
          <w:noProof/>
        </w:rPr>
        <w:tab/>
      </w:r>
      <w:r>
        <w:rPr>
          <w:noProof/>
        </w:rPr>
        <w:fldChar w:fldCharType="begin"/>
      </w:r>
      <w:r>
        <w:rPr>
          <w:noProof/>
        </w:rPr>
        <w:instrText xml:space="preserve"> PAGEREF _Toc404258414 \h </w:instrText>
      </w:r>
      <w:r>
        <w:rPr>
          <w:noProof/>
        </w:rPr>
      </w:r>
      <w:r>
        <w:rPr>
          <w:noProof/>
        </w:rPr>
        <w:fldChar w:fldCharType="separate"/>
      </w:r>
      <w:r w:rsidR="00894668">
        <w:rPr>
          <w:noProof/>
        </w:rPr>
        <w:t>14</w:t>
      </w:r>
      <w:r>
        <w:rPr>
          <w:noProof/>
        </w:rPr>
        <w:fldChar w:fldCharType="end"/>
      </w:r>
    </w:p>
    <w:p w14:paraId="02E1BA28" w14:textId="533A06F7" w:rsidR="009262A5" w:rsidRDefault="009262A5">
      <w:pPr>
        <w:pStyle w:val="TOC3"/>
        <w:rPr>
          <w:rFonts w:asciiTheme="minorHAnsi" w:eastAsiaTheme="minorEastAsia" w:hAnsiTheme="minorHAnsi" w:cstheme="minorBidi"/>
          <w:noProof/>
          <w:szCs w:val="22"/>
          <w:lang w:eastAsia="en-NZ"/>
        </w:rPr>
      </w:pPr>
      <w:r>
        <w:rPr>
          <w:noProof/>
        </w:rPr>
        <w:t>Figure 6:</w:t>
      </w:r>
      <w:r w:rsidR="00517D34">
        <w:rPr>
          <w:noProof/>
        </w:rPr>
        <w:tab/>
      </w:r>
      <w:r>
        <w:rPr>
          <w:noProof/>
        </w:rPr>
        <w:t>Current smokers reporting diagnosed mental health conditions versus non-smokers reporting diagnosed mental health conditions, by age group</w:t>
      </w:r>
      <w:r>
        <w:rPr>
          <w:noProof/>
        </w:rPr>
        <w:tab/>
      </w:r>
      <w:r>
        <w:rPr>
          <w:noProof/>
        </w:rPr>
        <w:fldChar w:fldCharType="begin"/>
      </w:r>
      <w:r>
        <w:rPr>
          <w:noProof/>
        </w:rPr>
        <w:instrText xml:space="preserve"> PAGEREF _Toc404258415 \h </w:instrText>
      </w:r>
      <w:r>
        <w:rPr>
          <w:noProof/>
        </w:rPr>
      </w:r>
      <w:r>
        <w:rPr>
          <w:noProof/>
        </w:rPr>
        <w:fldChar w:fldCharType="separate"/>
      </w:r>
      <w:r w:rsidR="00894668">
        <w:rPr>
          <w:noProof/>
        </w:rPr>
        <w:t>16</w:t>
      </w:r>
      <w:r>
        <w:rPr>
          <w:noProof/>
        </w:rPr>
        <w:fldChar w:fldCharType="end"/>
      </w:r>
    </w:p>
    <w:p w14:paraId="28AF3626" w14:textId="0E66568E" w:rsidR="009262A5" w:rsidRDefault="009262A5">
      <w:pPr>
        <w:pStyle w:val="TOC3"/>
        <w:rPr>
          <w:rFonts w:asciiTheme="minorHAnsi" w:eastAsiaTheme="minorEastAsia" w:hAnsiTheme="minorHAnsi" w:cstheme="minorBidi"/>
          <w:noProof/>
          <w:szCs w:val="22"/>
          <w:lang w:eastAsia="en-NZ"/>
        </w:rPr>
      </w:pPr>
      <w:r>
        <w:rPr>
          <w:noProof/>
        </w:rPr>
        <w:t>Figure 7:</w:t>
      </w:r>
      <w:r w:rsidR="00517D34">
        <w:rPr>
          <w:noProof/>
        </w:rPr>
        <w:tab/>
      </w:r>
      <w:r>
        <w:rPr>
          <w:noProof/>
        </w:rPr>
        <w:t>Prevalence of diagnosed mental health conditions by neighbourhood deprivation, smokers compared to non-smokers (age-standardised)</w:t>
      </w:r>
      <w:r>
        <w:rPr>
          <w:noProof/>
        </w:rPr>
        <w:tab/>
      </w:r>
      <w:r>
        <w:rPr>
          <w:noProof/>
        </w:rPr>
        <w:fldChar w:fldCharType="begin"/>
      </w:r>
      <w:r>
        <w:rPr>
          <w:noProof/>
        </w:rPr>
        <w:instrText xml:space="preserve"> PAGEREF _Toc404258416 \h </w:instrText>
      </w:r>
      <w:r>
        <w:rPr>
          <w:noProof/>
        </w:rPr>
      </w:r>
      <w:r>
        <w:rPr>
          <w:noProof/>
        </w:rPr>
        <w:fldChar w:fldCharType="separate"/>
      </w:r>
      <w:r w:rsidR="00894668">
        <w:rPr>
          <w:noProof/>
        </w:rPr>
        <w:t>18</w:t>
      </w:r>
      <w:r>
        <w:rPr>
          <w:noProof/>
        </w:rPr>
        <w:fldChar w:fldCharType="end"/>
      </w:r>
    </w:p>
    <w:p w14:paraId="64BD0A53" w14:textId="09F95009" w:rsidR="009262A5" w:rsidRDefault="009262A5">
      <w:pPr>
        <w:pStyle w:val="TOC3"/>
        <w:rPr>
          <w:rFonts w:asciiTheme="minorHAnsi" w:eastAsiaTheme="minorEastAsia" w:hAnsiTheme="minorHAnsi" w:cstheme="minorBidi"/>
          <w:noProof/>
          <w:szCs w:val="22"/>
          <w:lang w:eastAsia="en-NZ"/>
        </w:rPr>
      </w:pPr>
      <w:r>
        <w:rPr>
          <w:noProof/>
        </w:rPr>
        <w:t>Figure 8:</w:t>
      </w:r>
      <w:r w:rsidR="00517D34">
        <w:rPr>
          <w:noProof/>
        </w:rPr>
        <w:tab/>
      </w:r>
      <w:r>
        <w:rPr>
          <w:noProof/>
        </w:rPr>
        <w:t>Hazardous drinking among current smokers and non-smokers who had had an alcoholic drink in the past year, by age group</w:t>
      </w:r>
      <w:r>
        <w:rPr>
          <w:noProof/>
        </w:rPr>
        <w:tab/>
      </w:r>
      <w:r>
        <w:rPr>
          <w:noProof/>
        </w:rPr>
        <w:fldChar w:fldCharType="begin"/>
      </w:r>
      <w:r>
        <w:rPr>
          <w:noProof/>
        </w:rPr>
        <w:instrText xml:space="preserve"> PAGEREF _Toc404258417 \h </w:instrText>
      </w:r>
      <w:r>
        <w:rPr>
          <w:noProof/>
        </w:rPr>
      </w:r>
      <w:r>
        <w:rPr>
          <w:noProof/>
        </w:rPr>
        <w:fldChar w:fldCharType="separate"/>
      </w:r>
      <w:r w:rsidR="00894668">
        <w:rPr>
          <w:noProof/>
        </w:rPr>
        <w:t>19</w:t>
      </w:r>
      <w:r>
        <w:rPr>
          <w:noProof/>
        </w:rPr>
        <w:fldChar w:fldCharType="end"/>
      </w:r>
    </w:p>
    <w:p w14:paraId="4341FDAD" w14:textId="1BE6C586" w:rsidR="009262A5" w:rsidRDefault="009262A5">
      <w:pPr>
        <w:pStyle w:val="TOC3"/>
        <w:rPr>
          <w:rFonts w:asciiTheme="minorHAnsi" w:eastAsiaTheme="minorEastAsia" w:hAnsiTheme="minorHAnsi" w:cstheme="minorBidi"/>
          <w:noProof/>
          <w:szCs w:val="22"/>
          <w:lang w:eastAsia="en-NZ"/>
        </w:rPr>
      </w:pPr>
      <w:r>
        <w:rPr>
          <w:noProof/>
        </w:rPr>
        <w:t>Figure 9:</w:t>
      </w:r>
      <w:r w:rsidR="00517D34">
        <w:rPr>
          <w:noProof/>
        </w:rPr>
        <w:tab/>
      </w:r>
      <w:r>
        <w:rPr>
          <w:noProof/>
        </w:rPr>
        <w:t>Hazardous drinking among current smokers and non-smokers who had had an alcoholic drink in the past year, by neighbourhood deprivation (age-standardised)</w:t>
      </w:r>
      <w:r>
        <w:rPr>
          <w:noProof/>
        </w:rPr>
        <w:tab/>
      </w:r>
      <w:r>
        <w:rPr>
          <w:noProof/>
        </w:rPr>
        <w:fldChar w:fldCharType="begin"/>
      </w:r>
      <w:r>
        <w:rPr>
          <w:noProof/>
        </w:rPr>
        <w:instrText xml:space="preserve"> PAGEREF _Toc404258418 \h </w:instrText>
      </w:r>
      <w:r>
        <w:rPr>
          <w:noProof/>
        </w:rPr>
      </w:r>
      <w:r>
        <w:rPr>
          <w:noProof/>
        </w:rPr>
        <w:fldChar w:fldCharType="separate"/>
      </w:r>
      <w:r w:rsidR="00894668">
        <w:rPr>
          <w:noProof/>
        </w:rPr>
        <w:t>20</w:t>
      </w:r>
      <w:r>
        <w:rPr>
          <w:noProof/>
        </w:rPr>
        <w:fldChar w:fldCharType="end"/>
      </w:r>
    </w:p>
    <w:p w14:paraId="55ADA26C" w14:textId="18D1083D" w:rsidR="009262A5" w:rsidRDefault="009262A5">
      <w:pPr>
        <w:pStyle w:val="TOC3"/>
        <w:rPr>
          <w:rFonts w:asciiTheme="minorHAnsi" w:eastAsiaTheme="minorEastAsia" w:hAnsiTheme="minorHAnsi" w:cstheme="minorBidi"/>
          <w:noProof/>
          <w:szCs w:val="22"/>
          <w:lang w:eastAsia="en-NZ"/>
        </w:rPr>
      </w:pPr>
      <w:r>
        <w:rPr>
          <w:noProof/>
        </w:rPr>
        <w:t>Figure 10:</w:t>
      </w:r>
      <w:r w:rsidR="00517D34">
        <w:rPr>
          <w:noProof/>
        </w:rPr>
        <w:tab/>
      </w:r>
      <w:r>
        <w:rPr>
          <w:noProof/>
        </w:rPr>
        <w:t>Roll-your-own, manufactured and both roll-your-own and manufactured cigarette consumption, among current smokers, by age group</w:t>
      </w:r>
      <w:r>
        <w:rPr>
          <w:noProof/>
        </w:rPr>
        <w:tab/>
      </w:r>
      <w:r>
        <w:rPr>
          <w:noProof/>
        </w:rPr>
        <w:fldChar w:fldCharType="begin"/>
      </w:r>
      <w:r>
        <w:rPr>
          <w:noProof/>
        </w:rPr>
        <w:instrText xml:space="preserve"> PAGEREF _Toc404258419 \h </w:instrText>
      </w:r>
      <w:r>
        <w:rPr>
          <w:noProof/>
        </w:rPr>
      </w:r>
      <w:r>
        <w:rPr>
          <w:noProof/>
        </w:rPr>
        <w:fldChar w:fldCharType="separate"/>
      </w:r>
      <w:r w:rsidR="00894668">
        <w:rPr>
          <w:noProof/>
        </w:rPr>
        <w:t>21</w:t>
      </w:r>
      <w:r>
        <w:rPr>
          <w:noProof/>
        </w:rPr>
        <w:fldChar w:fldCharType="end"/>
      </w:r>
    </w:p>
    <w:p w14:paraId="013CFB81" w14:textId="769E268A" w:rsidR="009262A5" w:rsidRDefault="009262A5">
      <w:pPr>
        <w:pStyle w:val="TOC3"/>
        <w:rPr>
          <w:rFonts w:asciiTheme="minorHAnsi" w:eastAsiaTheme="minorEastAsia" w:hAnsiTheme="minorHAnsi" w:cstheme="minorBidi"/>
          <w:noProof/>
          <w:szCs w:val="22"/>
          <w:lang w:eastAsia="en-NZ"/>
        </w:rPr>
      </w:pPr>
      <w:r>
        <w:rPr>
          <w:noProof/>
        </w:rPr>
        <w:t>Figure 11:</w:t>
      </w:r>
      <w:r w:rsidR="00517D34">
        <w:rPr>
          <w:noProof/>
        </w:rPr>
        <w:tab/>
      </w:r>
      <w:r>
        <w:rPr>
          <w:noProof/>
        </w:rPr>
        <w:t>Consumption of ‘mostly RYO’, ‘mostly manufactured’ and ‘mostly both RYO and manufactured cigarettes’ among current smokers, by ethnic group</w:t>
      </w:r>
      <w:r>
        <w:rPr>
          <w:noProof/>
        </w:rPr>
        <w:tab/>
      </w:r>
      <w:r>
        <w:rPr>
          <w:noProof/>
        </w:rPr>
        <w:fldChar w:fldCharType="begin"/>
      </w:r>
      <w:r>
        <w:rPr>
          <w:noProof/>
        </w:rPr>
        <w:instrText xml:space="preserve"> PAGEREF _Toc404258420 \h </w:instrText>
      </w:r>
      <w:r>
        <w:rPr>
          <w:noProof/>
        </w:rPr>
      </w:r>
      <w:r>
        <w:rPr>
          <w:noProof/>
        </w:rPr>
        <w:fldChar w:fldCharType="separate"/>
      </w:r>
      <w:r w:rsidR="00894668">
        <w:rPr>
          <w:noProof/>
        </w:rPr>
        <w:t>22</w:t>
      </w:r>
      <w:r>
        <w:rPr>
          <w:noProof/>
        </w:rPr>
        <w:fldChar w:fldCharType="end"/>
      </w:r>
    </w:p>
    <w:p w14:paraId="1B89376B" w14:textId="338F0A8F" w:rsidR="009262A5" w:rsidRDefault="009262A5">
      <w:pPr>
        <w:pStyle w:val="TOC3"/>
        <w:rPr>
          <w:rFonts w:asciiTheme="minorHAnsi" w:eastAsiaTheme="minorEastAsia" w:hAnsiTheme="minorHAnsi" w:cstheme="minorBidi"/>
          <w:noProof/>
          <w:szCs w:val="22"/>
          <w:lang w:eastAsia="en-NZ"/>
        </w:rPr>
      </w:pPr>
      <w:r>
        <w:rPr>
          <w:noProof/>
        </w:rPr>
        <w:t>Figure 12:</w:t>
      </w:r>
      <w:r w:rsidR="00517D34">
        <w:rPr>
          <w:noProof/>
        </w:rPr>
        <w:tab/>
      </w:r>
      <w:r>
        <w:rPr>
          <w:noProof/>
        </w:rPr>
        <w:t>Places of purchase of the current packet of cigarettes or pouch of tobacco by current smokers aged 20 and above, by sex (age-standardised prevalence)</w:t>
      </w:r>
      <w:r>
        <w:rPr>
          <w:noProof/>
        </w:rPr>
        <w:tab/>
      </w:r>
      <w:r>
        <w:rPr>
          <w:noProof/>
        </w:rPr>
        <w:fldChar w:fldCharType="begin"/>
      </w:r>
      <w:r>
        <w:rPr>
          <w:noProof/>
        </w:rPr>
        <w:instrText xml:space="preserve"> PAGEREF _Toc404258421 \h </w:instrText>
      </w:r>
      <w:r>
        <w:rPr>
          <w:noProof/>
        </w:rPr>
      </w:r>
      <w:r>
        <w:rPr>
          <w:noProof/>
        </w:rPr>
        <w:fldChar w:fldCharType="separate"/>
      </w:r>
      <w:r w:rsidR="00894668">
        <w:rPr>
          <w:noProof/>
        </w:rPr>
        <w:t>24</w:t>
      </w:r>
      <w:r>
        <w:rPr>
          <w:noProof/>
        </w:rPr>
        <w:fldChar w:fldCharType="end"/>
      </w:r>
    </w:p>
    <w:p w14:paraId="7A1FB625" w14:textId="1989142B" w:rsidR="009262A5" w:rsidRDefault="009262A5">
      <w:pPr>
        <w:pStyle w:val="TOC3"/>
        <w:rPr>
          <w:rFonts w:asciiTheme="minorHAnsi" w:eastAsiaTheme="minorEastAsia" w:hAnsiTheme="minorHAnsi" w:cstheme="minorBidi"/>
          <w:noProof/>
          <w:szCs w:val="22"/>
          <w:lang w:eastAsia="en-NZ"/>
        </w:rPr>
      </w:pPr>
      <w:r>
        <w:rPr>
          <w:noProof/>
        </w:rPr>
        <w:t>Figure 13:</w:t>
      </w:r>
      <w:r w:rsidR="00517D34">
        <w:rPr>
          <w:noProof/>
        </w:rPr>
        <w:tab/>
      </w:r>
      <w:r>
        <w:rPr>
          <w:noProof/>
        </w:rPr>
        <w:t>Source of cigarettes/tobacco products currently smoked, current smokers aged under 20 years</w:t>
      </w:r>
      <w:r>
        <w:rPr>
          <w:noProof/>
        </w:rPr>
        <w:tab/>
      </w:r>
      <w:r>
        <w:rPr>
          <w:noProof/>
        </w:rPr>
        <w:fldChar w:fldCharType="begin"/>
      </w:r>
      <w:r>
        <w:rPr>
          <w:noProof/>
        </w:rPr>
        <w:instrText xml:space="preserve"> PAGEREF _Toc404258422 \h </w:instrText>
      </w:r>
      <w:r>
        <w:rPr>
          <w:noProof/>
        </w:rPr>
      </w:r>
      <w:r>
        <w:rPr>
          <w:noProof/>
        </w:rPr>
        <w:fldChar w:fldCharType="separate"/>
      </w:r>
      <w:r w:rsidR="00894668">
        <w:rPr>
          <w:noProof/>
        </w:rPr>
        <w:t>25</w:t>
      </w:r>
      <w:r>
        <w:rPr>
          <w:noProof/>
        </w:rPr>
        <w:fldChar w:fldCharType="end"/>
      </w:r>
    </w:p>
    <w:p w14:paraId="2D9BB093" w14:textId="7768B8E9" w:rsidR="009262A5" w:rsidRDefault="009262A5">
      <w:pPr>
        <w:pStyle w:val="TOC3"/>
        <w:rPr>
          <w:rFonts w:asciiTheme="minorHAnsi" w:eastAsiaTheme="minorEastAsia" w:hAnsiTheme="minorHAnsi" w:cstheme="minorBidi"/>
          <w:noProof/>
          <w:szCs w:val="22"/>
          <w:lang w:eastAsia="en-NZ"/>
        </w:rPr>
      </w:pPr>
      <w:r>
        <w:rPr>
          <w:noProof/>
        </w:rPr>
        <w:t>Figure 14:</w:t>
      </w:r>
      <w:r w:rsidR="00517D34">
        <w:rPr>
          <w:noProof/>
        </w:rPr>
        <w:tab/>
      </w:r>
      <w:r>
        <w:rPr>
          <w:noProof/>
        </w:rPr>
        <w:t>Place of purchase of the current packet of cigarettes/tobacco products, current smokers aged 20 years and under</w:t>
      </w:r>
      <w:r>
        <w:rPr>
          <w:noProof/>
        </w:rPr>
        <w:tab/>
      </w:r>
      <w:r>
        <w:rPr>
          <w:noProof/>
        </w:rPr>
        <w:fldChar w:fldCharType="begin"/>
      </w:r>
      <w:r>
        <w:rPr>
          <w:noProof/>
        </w:rPr>
        <w:instrText xml:space="preserve"> PAGEREF _Toc404258423 \h </w:instrText>
      </w:r>
      <w:r>
        <w:rPr>
          <w:noProof/>
        </w:rPr>
      </w:r>
      <w:r>
        <w:rPr>
          <w:noProof/>
        </w:rPr>
        <w:fldChar w:fldCharType="separate"/>
      </w:r>
      <w:r w:rsidR="00894668">
        <w:rPr>
          <w:noProof/>
        </w:rPr>
        <w:t>25</w:t>
      </w:r>
      <w:r>
        <w:rPr>
          <w:noProof/>
        </w:rPr>
        <w:fldChar w:fldCharType="end"/>
      </w:r>
    </w:p>
    <w:p w14:paraId="48D1D4B0" w14:textId="7192AE4D" w:rsidR="009262A5" w:rsidRDefault="009262A5">
      <w:pPr>
        <w:pStyle w:val="TOC3"/>
        <w:rPr>
          <w:rFonts w:asciiTheme="minorHAnsi" w:eastAsiaTheme="minorEastAsia" w:hAnsiTheme="minorHAnsi" w:cstheme="minorBidi"/>
          <w:noProof/>
          <w:szCs w:val="22"/>
          <w:lang w:eastAsia="en-NZ"/>
        </w:rPr>
      </w:pPr>
      <w:r>
        <w:rPr>
          <w:noProof/>
        </w:rPr>
        <w:t>Figure 15:</w:t>
      </w:r>
      <w:r w:rsidR="00517D34">
        <w:rPr>
          <w:noProof/>
        </w:rPr>
        <w:tab/>
      </w:r>
      <w:r>
        <w:rPr>
          <w:noProof/>
        </w:rPr>
        <w:t>Distribution of age of smoking initiation for Year 10 students, 2012</w:t>
      </w:r>
      <w:r>
        <w:rPr>
          <w:noProof/>
        </w:rPr>
        <w:tab/>
      </w:r>
      <w:r>
        <w:rPr>
          <w:noProof/>
        </w:rPr>
        <w:fldChar w:fldCharType="begin"/>
      </w:r>
      <w:r>
        <w:rPr>
          <w:noProof/>
        </w:rPr>
        <w:instrText xml:space="preserve"> PAGEREF _Toc404258424 \h </w:instrText>
      </w:r>
      <w:r>
        <w:rPr>
          <w:noProof/>
        </w:rPr>
      </w:r>
      <w:r>
        <w:rPr>
          <w:noProof/>
        </w:rPr>
        <w:fldChar w:fldCharType="separate"/>
      </w:r>
      <w:r w:rsidR="00894668">
        <w:rPr>
          <w:noProof/>
        </w:rPr>
        <w:t>28</w:t>
      </w:r>
      <w:r>
        <w:rPr>
          <w:noProof/>
        </w:rPr>
        <w:fldChar w:fldCharType="end"/>
      </w:r>
    </w:p>
    <w:p w14:paraId="34D9433F" w14:textId="6108E56F" w:rsidR="009262A5" w:rsidRDefault="009262A5">
      <w:pPr>
        <w:pStyle w:val="TOC3"/>
        <w:rPr>
          <w:rFonts w:asciiTheme="minorHAnsi" w:eastAsiaTheme="minorEastAsia" w:hAnsiTheme="minorHAnsi" w:cstheme="minorBidi"/>
          <w:noProof/>
          <w:szCs w:val="22"/>
          <w:lang w:eastAsia="en-NZ"/>
        </w:rPr>
      </w:pPr>
      <w:r>
        <w:rPr>
          <w:noProof/>
        </w:rPr>
        <w:t>Figure 16:</w:t>
      </w:r>
      <w:r w:rsidR="00517D34">
        <w:rPr>
          <w:noProof/>
        </w:rPr>
        <w:tab/>
      </w:r>
      <w:r>
        <w:rPr>
          <w:noProof/>
        </w:rPr>
        <w:t>Successful quitting by age group, 2012/13</w:t>
      </w:r>
      <w:r>
        <w:rPr>
          <w:noProof/>
        </w:rPr>
        <w:tab/>
      </w:r>
      <w:r>
        <w:rPr>
          <w:noProof/>
        </w:rPr>
        <w:fldChar w:fldCharType="begin"/>
      </w:r>
      <w:r>
        <w:rPr>
          <w:noProof/>
        </w:rPr>
        <w:instrText xml:space="preserve"> PAGEREF _Toc404258425 \h </w:instrText>
      </w:r>
      <w:r>
        <w:rPr>
          <w:noProof/>
        </w:rPr>
      </w:r>
      <w:r>
        <w:rPr>
          <w:noProof/>
        </w:rPr>
        <w:fldChar w:fldCharType="separate"/>
      </w:r>
      <w:r w:rsidR="00894668">
        <w:rPr>
          <w:noProof/>
        </w:rPr>
        <w:t>30</w:t>
      </w:r>
      <w:r>
        <w:rPr>
          <w:noProof/>
        </w:rPr>
        <w:fldChar w:fldCharType="end"/>
      </w:r>
    </w:p>
    <w:p w14:paraId="0DF5A387" w14:textId="73BEF916" w:rsidR="009262A5" w:rsidRDefault="009262A5">
      <w:pPr>
        <w:pStyle w:val="TOC3"/>
        <w:rPr>
          <w:rFonts w:asciiTheme="minorHAnsi" w:eastAsiaTheme="minorEastAsia" w:hAnsiTheme="minorHAnsi" w:cstheme="minorBidi"/>
          <w:noProof/>
          <w:szCs w:val="22"/>
          <w:lang w:eastAsia="en-NZ"/>
        </w:rPr>
      </w:pPr>
      <w:r>
        <w:rPr>
          <w:noProof/>
        </w:rPr>
        <w:t>Figure 17:</w:t>
      </w:r>
      <w:r w:rsidR="00517D34">
        <w:rPr>
          <w:noProof/>
        </w:rPr>
        <w:tab/>
      </w:r>
      <w:r>
        <w:rPr>
          <w:noProof/>
        </w:rPr>
        <w:t>Reasons for most recent quit attempt, among recent quit attempters</w:t>
      </w:r>
      <w:r>
        <w:rPr>
          <w:noProof/>
        </w:rPr>
        <w:tab/>
      </w:r>
      <w:r>
        <w:rPr>
          <w:noProof/>
        </w:rPr>
        <w:fldChar w:fldCharType="begin"/>
      </w:r>
      <w:r>
        <w:rPr>
          <w:noProof/>
        </w:rPr>
        <w:instrText xml:space="preserve"> PAGEREF _Toc404258426 \h </w:instrText>
      </w:r>
      <w:r>
        <w:rPr>
          <w:noProof/>
        </w:rPr>
      </w:r>
      <w:r>
        <w:rPr>
          <w:noProof/>
        </w:rPr>
        <w:fldChar w:fldCharType="separate"/>
      </w:r>
      <w:r w:rsidR="00894668">
        <w:rPr>
          <w:noProof/>
        </w:rPr>
        <w:t>31</w:t>
      </w:r>
      <w:r>
        <w:rPr>
          <w:noProof/>
        </w:rPr>
        <w:fldChar w:fldCharType="end"/>
      </w:r>
    </w:p>
    <w:p w14:paraId="238F2B24" w14:textId="013F4AA4" w:rsidR="009262A5" w:rsidRDefault="009262A5">
      <w:pPr>
        <w:pStyle w:val="TOC3"/>
        <w:rPr>
          <w:rFonts w:asciiTheme="minorHAnsi" w:eastAsiaTheme="minorEastAsia" w:hAnsiTheme="minorHAnsi" w:cstheme="minorBidi"/>
          <w:noProof/>
          <w:szCs w:val="22"/>
          <w:lang w:eastAsia="en-NZ"/>
        </w:rPr>
      </w:pPr>
      <w:r>
        <w:rPr>
          <w:noProof/>
        </w:rPr>
        <w:t>Figure 18:</w:t>
      </w:r>
      <w:r w:rsidR="00517D34">
        <w:rPr>
          <w:noProof/>
        </w:rPr>
        <w:tab/>
      </w:r>
      <w:r>
        <w:rPr>
          <w:noProof/>
        </w:rPr>
        <w:t>Proportion of recent quit attempters using quitting products or advice in their most recent quit attempt, by age group</w:t>
      </w:r>
      <w:r>
        <w:rPr>
          <w:noProof/>
        </w:rPr>
        <w:tab/>
      </w:r>
      <w:r>
        <w:rPr>
          <w:noProof/>
        </w:rPr>
        <w:fldChar w:fldCharType="begin"/>
      </w:r>
      <w:r>
        <w:rPr>
          <w:noProof/>
        </w:rPr>
        <w:instrText xml:space="preserve"> PAGEREF _Toc404258427 \h </w:instrText>
      </w:r>
      <w:r>
        <w:rPr>
          <w:noProof/>
        </w:rPr>
      </w:r>
      <w:r>
        <w:rPr>
          <w:noProof/>
        </w:rPr>
        <w:fldChar w:fldCharType="separate"/>
      </w:r>
      <w:r w:rsidR="00894668">
        <w:rPr>
          <w:noProof/>
        </w:rPr>
        <w:t>32</w:t>
      </w:r>
      <w:r>
        <w:rPr>
          <w:noProof/>
        </w:rPr>
        <w:fldChar w:fldCharType="end"/>
      </w:r>
    </w:p>
    <w:p w14:paraId="4676C74A" w14:textId="6B657365" w:rsidR="009262A5" w:rsidRDefault="009262A5">
      <w:pPr>
        <w:pStyle w:val="TOC3"/>
        <w:rPr>
          <w:rFonts w:asciiTheme="minorHAnsi" w:eastAsiaTheme="minorEastAsia" w:hAnsiTheme="minorHAnsi" w:cstheme="minorBidi"/>
          <w:noProof/>
          <w:szCs w:val="22"/>
          <w:lang w:eastAsia="en-NZ"/>
        </w:rPr>
      </w:pPr>
      <w:r>
        <w:rPr>
          <w:noProof/>
        </w:rPr>
        <w:t>Figure 19:</w:t>
      </w:r>
      <w:r w:rsidR="00517D34">
        <w:rPr>
          <w:noProof/>
        </w:rPr>
        <w:tab/>
      </w:r>
      <w:r>
        <w:rPr>
          <w:noProof/>
        </w:rPr>
        <w:t>Proportion of recent quit attempters using cessation help in their most recent quit attempt, by services used</w:t>
      </w:r>
      <w:r>
        <w:rPr>
          <w:noProof/>
        </w:rPr>
        <w:tab/>
      </w:r>
      <w:r>
        <w:rPr>
          <w:noProof/>
        </w:rPr>
        <w:fldChar w:fldCharType="begin"/>
      </w:r>
      <w:r>
        <w:rPr>
          <w:noProof/>
        </w:rPr>
        <w:instrText xml:space="preserve"> PAGEREF _Toc404258428 \h </w:instrText>
      </w:r>
      <w:r>
        <w:rPr>
          <w:noProof/>
        </w:rPr>
      </w:r>
      <w:r>
        <w:rPr>
          <w:noProof/>
        </w:rPr>
        <w:fldChar w:fldCharType="separate"/>
      </w:r>
      <w:r w:rsidR="00894668">
        <w:rPr>
          <w:noProof/>
        </w:rPr>
        <w:t>34</w:t>
      </w:r>
      <w:r>
        <w:rPr>
          <w:noProof/>
        </w:rPr>
        <w:fldChar w:fldCharType="end"/>
      </w:r>
    </w:p>
    <w:p w14:paraId="55C83919" w14:textId="25021EF6" w:rsidR="009262A5" w:rsidRDefault="009262A5">
      <w:pPr>
        <w:pStyle w:val="TOC3"/>
        <w:rPr>
          <w:rFonts w:asciiTheme="minorHAnsi" w:eastAsiaTheme="minorEastAsia" w:hAnsiTheme="minorHAnsi" w:cstheme="minorBidi"/>
          <w:noProof/>
          <w:szCs w:val="22"/>
          <w:lang w:eastAsia="en-NZ"/>
        </w:rPr>
      </w:pPr>
      <w:r>
        <w:rPr>
          <w:noProof/>
        </w:rPr>
        <w:t>Figure 20:</w:t>
      </w:r>
      <w:r w:rsidR="00517D34">
        <w:rPr>
          <w:noProof/>
        </w:rPr>
        <w:tab/>
      </w:r>
      <w:r>
        <w:rPr>
          <w:noProof/>
        </w:rPr>
        <w:t>Proportion of recent quit attempters who used NRT during their most recent quit attempt, by age group</w:t>
      </w:r>
      <w:r>
        <w:rPr>
          <w:noProof/>
        </w:rPr>
        <w:tab/>
      </w:r>
      <w:r>
        <w:rPr>
          <w:noProof/>
        </w:rPr>
        <w:fldChar w:fldCharType="begin"/>
      </w:r>
      <w:r>
        <w:rPr>
          <w:noProof/>
        </w:rPr>
        <w:instrText xml:space="preserve"> PAGEREF _Toc404258429 \h </w:instrText>
      </w:r>
      <w:r>
        <w:rPr>
          <w:noProof/>
        </w:rPr>
      </w:r>
      <w:r>
        <w:rPr>
          <w:noProof/>
        </w:rPr>
        <w:fldChar w:fldCharType="separate"/>
      </w:r>
      <w:r w:rsidR="00894668">
        <w:rPr>
          <w:noProof/>
        </w:rPr>
        <w:t>34</w:t>
      </w:r>
      <w:r>
        <w:rPr>
          <w:noProof/>
        </w:rPr>
        <w:fldChar w:fldCharType="end"/>
      </w:r>
    </w:p>
    <w:p w14:paraId="7D435E67" w14:textId="5A0A5ADF" w:rsidR="009262A5" w:rsidRDefault="009262A5">
      <w:pPr>
        <w:pStyle w:val="TOC3"/>
        <w:rPr>
          <w:rFonts w:asciiTheme="minorHAnsi" w:eastAsiaTheme="minorEastAsia" w:hAnsiTheme="minorHAnsi" w:cstheme="minorBidi"/>
          <w:noProof/>
          <w:szCs w:val="22"/>
          <w:lang w:eastAsia="en-NZ"/>
        </w:rPr>
      </w:pPr>
      <w:r>
        <w:rPr>
          <w:noProof/>
        </w:rPr>
        <w:t>Figure 21:</w:t>
      </w:r>
      <w:r w:rsidR="00517D34">
        <w:rPr>
          <w:noProof/>
        </w:rPr>
        <w:tab/>
      </w:r>
      <w:r>
        <w:rPr>
          <w:noProof/>
        </w:rPr>
        <w:t>Source of NRT, among recent quit attempters who used NRT in their most recent quit attempt</w:t>
      </w:r>
      <w:r>
        <w:rPr>
          <w:noProof/>
        </w:rPr>
        <w:tab/>
      </w:r>
      <w:r>
        <w:rPr>
          <w:noProof/>
        </w:rPr>
        <w:fldChar w:fldCharType="begin"/>
      </w:r>
      <w:r>
        <w:rPr>
          <w:noProof/>
        </w:rPr>
        <w:instrText xml:space="preserve"> PAGEREF _Toc404258430 \h </w:instrText>
      </w:r>
      <w:r>
        <w:rPr>
          <w:noProof/>
        </w:rPr>
      </w:r>
      <w:r>
        <w:rPr>
          <w:noProof/>
        </w:rPr>
        <w:fldChar w:fldCharType="separate"/>
      </w:r>
      <w:r w:rsidR="00894668">
        <w:rPr>
          <w:noProof/>
        </w:rPr>
        <w:t>36</w:t>
      </w:r>
      <w:r>
        <w:rPr>
          <w:noProof/>
        </w:rPr>
        <w:fldChar w:fldCharType="end"/>
      </w:r>
    </w:p>
    <w:p w14:paraId="1C898BF5" w14:textId="558CFC08" w:rsidR="009262A5" w:rsidRDefault="009262A5">
      <w:pPr>
        <w:pStyle w:val="TOC3"/>
        <w:rPr>
          <w:rFonts w:asciiTheme="minorHAnsi" w:eastAsiaTheme="minorEastAsia" w:hAnsiTheme="minorHAnsi" w:cstheme="minorBidi"/>
          <w:noProof/>
          <w:szCs w:val="22"/>
          <w:lang w:eastAsia="en-NZ"/>
        </w:rPr>
      </w:pPr>
      <w:r>
        <w:rPr>
          <w:noProof/>
        </w:rPr>
        <w:t>Figure 22:</w:t>
      </w:r>
      <w:r w:rsidR="00517D34">
        <w:rPr>
          <w:noProof/>
        </w:rPr>
        <w:tab/>
      </w:r>
      <w:r>
        <w:rPr>
          <w:noProof/>
        </w:rPr>
        <w:t>Proportion of the total population who had been asked their smoking status by a GP in the past 12 months, by age group</w:t>
      </w:r>
      <w:r>
        <w:rPr>
          <w:noProof/>
        </w:rPr>
        <w:tab/>
      </w:r>
      <w:r>
        <w:rPr>
          <w:noProof/>
        </w:rPr>
        <w:fldChar w:fldCharType="begin"/>
      </w:r>
      <w:r>
        <w:rPr>
          <w:noProof/>
        </w:rPr>
        <w:instrText xml:space="preserve"> PAGEREF _Toc404258431 \h </w:instrText>
      </w:r>
      <w:r>
        <w:rPr>
          <w:noProof/>
        </w:rPr>
      </w:r>
      <w:r>
        <w:rPr>
          <w:noProof/>
        </w:rPr>
        <w:fldChar w:fldCharType="separate"/>
      </w:r>
      <w:r w:rsidR="00894668">
        <w:rPr>
          <w:noProof/>
        </w:rPr>
        <w:t>37</w:t>
      </w:r>
      <w:r>
        <w:rPr>
          <w:noProof/>
        </w:rPr>
        <w:fldChar w:fldCharType="end"/>
      </w:r>
    </w:p>
    <w:p w14:paraId="63CAF744" w14:textId="4A878C08" w:rsidR="009262A5" w:rsidRDefault="009262A5">
      <w:pPr>
        <w:pStyle w:val="TOC3"/>
        <w:rPr>
          <w:rFonts w:asciiTheme="minorHAnsi" w:eastAsiaTheme="minorEastAsia" w:hAnsiTheme="minorHAnsi" w:cstheme="minorBidi"/>
          <w:noProof/>
          <w:szCs w:val="22"/>
          <w:lang w:eastAsia="en-NZ"/>
        </w:rPr>
      </w:pPr>
      <w:r>
        <w:rPr>
          <w:noProof/>
        </w:rPr>
        <w:t>Figure 23:</w:t>
      </w:r>
      <w:r w:rsidR="00517D34">
        <w:rPr>
          <w:noProof/>
        </w:rPr>
        <w:tab/>
      </w:r>
      <w:r>
        <w:rPr>
          <w:noProof/>
        </w:rPr>
        <w:t>Proportion of the total population who had been asked their smoking status by a GP in the past 12 months, by neighbourhood deprivation (age-standardised)</w:t>
      </w:r>
      <w:r>
        <w:rPr>
          <w:noProof/>
        </w:rPr>
        <w:tab/>
      </w:r>
      <w:r>
        <w:rPr>
          <w:noProof/>
        </w:rPr>
        <w:fldChar w:fldCharType="begin"/>
      </w:r>
      <w:r>
        <w:rPr>
          <w:noProof/>
        </w:rPr>
        <w:instrText xml:space="preserve"> PAGEREF _Toc404258432 \h </w:instrText>
      </w:r>
      <w:r>
        <w:rPr>
          <w:noProof/>
        </w:rPr>
      </w:r>
      <w:r>
        <w:rPr>
          <w:noProof/>
        </w:rPr>
        <w:fldChar w:fldCharType="separate"/>
      </w:r>
      <w:r w:rsidR="00894668">
        <w:rPr>
          <w:noProof/>
        </w:rPr>
        <w:t>39</w:t>
      </w:r>
      <w:r>
        <w:rPr>
          <w:noProof/>
        </w:rPr>
        <w:fldChar w:fldCharType="end"/>
      </w:r>
    </w:p>
    <w:p w14:paraId="7C7CCD8E" w14:textId="12783AAC" w:rsidR="009262A5" w:rsidRDefault="009262A5">
      <w:pPr>
        <w:pStyle w:val="TOC3"/>
        <w:rPr>
          <w:rFonts w:asciiTheme="minorHAnsi" w:eastAsiaTheme="minorEastAsia" w:hAnsiTheme="minorHAnsi" w:cstheme="minorBidi"/>
          <w:noProof/>
          <w:szCs w:val="22"/>
          <w:lang w:eastAsia="en-NZ"/>
        </w:rPr>
      </w:pPr>
      <w:r>
        <w:rPr>
          <w:noProof/>
        </w:rPr>
        <w:t>Figure 24:</w:t>
      </w:r>
      <w:r w:rsidR="00517D34">
        <w:rPr>
          <w:noProof/>
        </w:rPr>
        <w:tab/>
      </w:r>
      <w:r>
        <w:rPr>
          <w:noProof/>
        </w:rPr>
        <w:t>Proportion provided with brief advice to stop smoking by a GP in the past 12 months, among current smokers and those who quit smoking in the past year, by age</w:t>
      </w:r>
      <w:r>
        <w:rPr>
          <w:noProof/>
        </w:rPr>
        <w:tab/>
      </w:r>
      <w:r>
        <w:rPr>
          <w:noProof/>
        </w:rPr>
        <w:fldChar w:fldCharType="begin"/>
      </w:r>
      <w:r>
        <w:rPr>
          <w:noProof/>
        </w:rPr>
        <w:instrText xml:space="preserve"> PAGEREF _Toc404258433 \h </w:instrText>
      </w:r>
      <w:r>
        <w:rPr>
          <w:noProof/>
        </w:rPr>
      </w:r>
      <w:r>
        <w:rPr>
          <w:noProof/>
        </w:rPr>
        <w:fldChar w:fldCharType="separate"/>
      </w:r>
      <w:r w:rsidR="00894668">
        <w:rPr>
          <w:noProof/>
        </w:rPr>
        <w:t>39</w:t>
      </w:r>
      <w:r>
        <w:rPr>
          <w:noProof/>
        </w:rPr>
        <w:fldChar w:fldCharType="end"/>
      </w:r>
    </w:p>
    <w:p w14:paraId="5AE6C954" w14:textId="35E09EFB" w:rsidR="009262A5" w:rsidRDefault="009262A5">
      <w:pPr>
        <w:pStyle w:val="TOC3"/>
        <w:rPr>
          <w:rFonts w:asciiTheme="minorHAnsi" w:eastAsiaTheme="minorEastAsia" w:hAnsiTheme="minorHAnsi" w:cstheme="minorBidi"/>
          <w:noProof/>
          <w:szCs w:val="22"/>
          <w:lang w:eastAsia="en-NZ"/>
        </w:rPr>
      </w:pPr>
      <w:r>
        <w:rPr>
          <w:noProof/>
        </w:rPr>
        <w:t>Figure 25:</w:t>
      </w:r>
      <w:r w:rsidR="00517D34">
        <w:rPr>
          <w:noProof/>
        </w:rPr>
        <w:tab/>
      </w:r>
      <w:r>
        <w:rPr>
          <w:noProof/>
        </w:rPr>
        <w:t>Current smokers and those who quit smoking in the past year who received the ABC pathway from a GP in the past 12 months, by age group</w:t>
      </w:r>
      <w:r>
        <w:rPr>
          <w:noProof/>
        </w:rPr>
        <w:tab/>
      </w:r>
      <w:r>
        <w:rPr>
          <w:noProof/>
        </w:rPr>
        <w:fldChar w:fldCharType="begin"/>
      </w:r>
      <w:r>
        <w:rPr>
          <w:noProof/>
        </w:rPr>
        <w:instrText xml:space="preserve"> PAGEREF _Toc404258434 \h </w:instrText>
      </w:r>
      <w:r>
        <w:rPr>
          <w:noProof/>
        </w:rPr>
      </w:r>
      <w:r>
        <w:rPr>
          <w:noProof/>
        </w:rPr>
        <w:fldChar w:fldCharType="separate"/>
      </w:r>
      <w:r w:rsidR="00894668">
        <w:rPr>
          <w:noProof/>
        </w:rPr>
        <w:t>41</w:t>
      </w:r>
      <w:r>
        <w:rPr>
          <w:noProof/>
        </w:rPr>
        <w:fldChar w:fldCharType="end"/>
      </w:r>
    </w:p>
    <w:p w14:paraId="62C68862" w14:textId="7E681CD7" w:rsidR="009262A5" w:rsidRDefault="009262A5">
      <w:pPr>
        <w:pStyle w:val="TOC3"/>
        <w:rPr>
          <w:rFonts w:asciiTheme="minorHAnsi" w:eastAsiaTheme="minorEastAsia" w:hAnsiTheme="minorHAnsi" w:cstheme="minorBidi"/>
          <w:noProof/>
          <w:szCs w:val="22"/>
          <w:lang w:eastAsia="en-NZ"/>
        </w:rPr>
      </w:pPr>
      <w:r>
        <w:rPr>
          <w:noProof/>
        </w:rPr>
        <w:t>Figure 26:</w:t>
      </w:r>
      <w:r w:rsidR="00517D34">
        <w:rPr>
          <w:noProof/>
        </w:rPr>
        <w:tab/>
      </w:r>
      <w:r>
        <w:rPr>
          <w:noProof/>
        </w:rPr>
        <w:t>Exposure to SHS at home and in the car, among total population, by age group</w:t>
      </w:r>
      <w:r>
        <w:rPr>
          <w:noProof/>
        </w:rPr>
        <w:tab/>
      </w:r>
      <w:r>
        <w:rPr>
          <w:noProof/>
        </w:rPr>
        <w:fldChar w:fldCharType="begin"/>
      </w:r>
      <w:r>
        <w:rPr>
          <w:noProof/>
        </w:rPr>
        <w:instrText xml:space="preserve"> PAGEREF _Toc404258435 \h </w:instrText>
      </w:r>
      <w:r>
        <w:rPr>
          <w:noProof/>
        </w:rPr>
      </w:r>
      <w:r>
        <w:rPr>
          <w:noProof/>
        </w:rPr>
        <w:fldChar w:fldCharType="separate"/>
      </w:r>
      <w:r w:rsidR="00894668">
        <w:rPr>
          <w:noProof/>
        </w:rPr>
        <w:t>45</w:t>
      </w:r>
      <w:r>
        <w:rPr>
          <w:noProof/>
        </w:rPr>
        <w:fldChar w:fldCharType="end"/>
      </w:r>
    </w:p>
    <w:p w14:paraId="756B14E1" w14:textId="2F48F301" w:rsidR="009262A5" w:rsidRDefault="009262A5">
      <w:pPr>
        <w:pStyle w:val="TOC3"/>
        <w:rPr>
          <w:rFonts w:asciiTheme="minorHAnsi" w:eastAsiaTheme="minorEastAsia" w:hAnsiTheme="minorHAnsi" w:cstheme="minorBidi"/>
          <w:noProof/>
          <w:szCs w:val="22"/>
          <w:lang w:eastAsia="en-NZ"/>
        </w:rPr>
      </w:pPr>
      <w:r>
        <w:rPr>
          <w:noProof/>
        </w:rPr>
        <w:t>Figure 27:</w:t>
      </w:r>
      <w:r w:rsidR="00517D34">
        <w:rPr>
          <w:noProof/>
        </w:rPr>
        <w:tab/>
      </w:r>
      <w:r>
        <w:rPr>
          <w:noProof/>
        </w:rPr>
        <w:t>Exposure to SHS at home and in the car among non-smokers, by neighbourhood deprivation (age-standardised)</w:t>
      </w:r>
      <w:r>
        <w:rPr>
          <w:noProof/>
        </w:rPr>
        <w:tab/>
      </w:r>
      <w:r>
        <w:rPr>
          <w:noProof/>
        </w:rPr>
        <w:fldChar w:fldCharType="begin"/>
      </w:r>
      <w:r>
        <w:rPr>
          <w:noProof/>
        </w:rPr>
        <w:instrText xml:space="preserve"> PAGEREF _Toc404258436 \h </w:instrText>
      </w:r>
      <w:r>
        <w:rPr>
          <w:noProof/>
        </w:rPr>
      </w:r>
      <w:r>
        <w:rPr>
          <w:noProof/>
        </w:rPr>
        <w:fldChar w:fldCharType="separate"/>
      </w:r>
      <w:r w:rsidR="00894668">
        <w:rPr>
          <w:noProof/>
        </w:rPr>
        <w:t>47</w:t>
      </w:r>
      <w:r>
        <w:rPr>
          <w:noProof/>
        </w:rPr>
        <w:fldChar w:fldCharType="end"/>
      </w:r>
    </w:p>
    <w:p w14:paraId="280CF08E" w14:textId="2444F588" w:rsidR="009262A5" w:rsidRDefault="009262A5">
      <w:pPr>
        <w:pStyle w:val="TOC3"/>
        <w:rPr>
          <w:rFonts w:asciiTheme="minorHAnsi" w:eastAsiaTheme="minorEastAsia" w:hAnsiTheme="minorHAnsi" w:cstheme="minorBidi"/>
          <w:noProof/>
          <w:szCs w:val="22"/>
          <w:lang w:eastAsia="en-NZ"/>
        </w:rPr>
      </w:pPr>
      <w:r>
        <w:rPr>
          <w:noProof/>
        </w:rPr>
        <w:t>Figure 28:</w:t>
      </w:r>
      <w:r w:rsidR="00517D34">
        <w:rPr>
          <w:noProof/>
        </w:rPr>
        <w:tab/>
      </w:r>
      <w:r>
        <w:rPr>
          <w:noProof/>
        </w:rPr>
        <w:t>Exposure to SHS at home and in the car for children aged 14 years and under, by neighbourhood deprivation (age-standardised)</w:t>
      </w:r>
      <w:r>
        <w:rPr>
          <w:noProof/>
        </w:rPr>
        <w:tab/>
      </w:r>
      <w:r>
        <w:rPr>
          <w:noProof/>
        </w:rPr>
        <w:fldChar w:fldCharType="begin"/>
      </w:r>
      <w:r>
        <w:rPr>
          <w:noProof/>
        </w:rPr>
        <w:instrText xml:space="preserve"> PAGEREF _Toc404258437 \h </w:instrText>
      </w:r>
      <w:r>
        <w:rPr>
          <w:noProof/>
        </w:rPr>
      </w:r>
      <w:r>
        <w:rPr>
          <w:noProof/>
        </w:rPr>
        <w:fldChar w:fldCharType="separate"/>
      </w:r>
      <w:r w:rsidR="00894668">
        <w:rPr>
          <w:noProof/>
        </w:rPr>
        <w:t>49</w:t>
      </w:r>
      <w:r>
        <w:rPr>
          <w:noProof/>
        </w:rPr>
        <w:fldChar w:fldCharType="end"/>
      </w:r>
    </w:p>
    <w:p w14:paraId="62C44BD2" w14:textId="77777777" w:rsidR="003A5FEA" w:rsidRDefault="003A5FEA" w:rsidP="003A5FEA">
      <w:r>
        <w:fldChar w:fldCharType="end"/>
      </w:r>
    </w:p>
    <w:p w14:paraId="1F9DAA9B" w14:textId="77777777" w:rsidR="0021763B" w:rsidRDefault="0021763B" w:rsidP="0021763B">
      <w:pPr>
        <w:pStyle w:val="Heading1"/>
      </w:pPr>
      <w:r>
        <w:br w:type="page"/>
      </w:r>
      <w:bookmarkStart w:id="9" w:name="_Toc404091066"/>
      <w:r>
        <w:t>Executive summary</w:t>
      </w:r>
      <w:bookmarkEnd w:id="9"/>
    </w:p>
    <w:p w14:paraId="7EA6C4B0" w14:textId="77777777" w:rsidR="007066D2" w:rsidRDefault="00735227" w:rsidP="00EF1A37">
      <w:r>
        <w:t>The New Zealand Health Survey (NZHS) is a valuable source of information about the health behaviours of the people of New Zealand, their health status and their access to health care. The NZHS is in continuous operation and</w:t>
      </w:r>
      <w:r w:rsidRPr="004538F3">
        <w:t xml:space="preserve"> comprise</w:t>
      </w:r>
      <w:r>
        <w:t>s</w:t>
      </w:r>
      <w:r w:rsidRPr="004538F3">
        <w:t xml:space="preserve"> a set of core questions</w:t>
      </w:r>
      <w:r>
        <w:t xml:space="preserve"> (which includes tobacco use questions)</w:t>
      </w:r>
      <w:r w:rsidRPr="004538F3">
        <w:t xml:space="preserve"> combined with a flexible programme of rotating thematic/topic modules</w:t>
      </w:r>
      <w:r>
        <w:t>. From July 2012 to June 2013, the NZHS ran the Tobacco Use module, which had questions solely focused on tobacco use.</w:t>
      </w:r>
    </w:p>
    <w:p w14:paraId="5ED47F9C" w14:textId="77777777" w:rsidR="00735227" w:rsidRDefault="00735227" w:rsidP="00EF1A37"/>
    <w:p w14:paraId="19305E43" w14:textId="3BBC3BAD" w:rsidR="007066D2" w:rsidRDefault="00735227" w:rsidP="00EF1A37">
      <w:r>
        <w:t>This report presents key findings about tobacco use and exposure derived from the survey</w:t>
      </w:r>
      <w:r w:rsidR="00AA2408">
        <w:t>’</w:t>
      </w:r>
      <w:r>
        <w:t>s questions on tobacco use.</w:t>
      </w:r>
    </w:p>
    <w:p w14:paraId="6F9CFAF7" w14:textId="77777777" w:rsidR="00735227" w:rsidRDefault="00735227" w:rsidP="00EF1A37"/>
    <w:p w14:paraId="7454D2A2" w14:textId="77777777" w:rsidR="00735227" w:rsidRDefault="00735227" w:rsidP="00513BC3">
      <w:pPr>
        <w:pStyle w:val="Heading2"/>
      </w:pPr>
      <w:bookmarkStart w:id="10" w:name="_Toc400136582"/>
      <w:bookmarkStart w:id="11" w:name="_Toc400478210"/>
      <w:bookmarkStart w:id="12" w:name="_Toc404091067"/>
      <w:r>
        <w:t>Key findings</w:t>
      </w:r>
      <w:bookmarkEnd w:id="10"/>
      <w:bookmarkEnd w:id="11"/>
      <w:bookmarkEnd w:id="12"/>
    </w:p>
    <w:p w14:paraId="75218942" w14:textId="77777777" w:rsidR="00735227" w:rsidRPr="003F44E3" w:rsidRDefault="00735227" w:rsidP="00513BC3">
      <w:pPr>
        <w:pStyle w:val="Heading3"/>
      </w:pPr>
      <w:bookmarkStart w:id="13" w:name="_Toc390178275"/>
      <w:bookmarkStart w:id="14" w:name="_Toc400136583"/>
      <w:r w:rsidRPr="003F44E3">
        <w:t>Who is smoking?</w:t>
      </w:r>
      <w:bookmarkEnd w:id="13"/>
      <w:bookmarkEnd w:id="14"/>
    </w:p>
    <w:p w14:paraId="229BA549" w14:textId="77777777" w:rsidR="007066D2" w:rsidRDefault="00735227" w:rsidP="00513BC3">
      <w:r w:rsidRPr="0053454E">
        <w:t xml:space="preserve">The significant decrease in </w:t>
      </w:r>
      <w:r>
        <w:t xml:space="preserve">current and </w:t>
      </w:r>
      <w:r w:rsidRPr="0053454E">
        <w:t xml:space="preserve">daily smoking in New Zealand seen since </w:t>
      </w:r>
      <w:r>
        <w:t>1996/97 has continued</w:t>
      </w:r>
      <w:r w:rsidRPr="0053454E">
        <w:t xml:space="preserve">. </w:t>
      </w:r>
      <w:r>
        <w:t>In 1996/97, a quarter (25%) of the adult population reported being current smokers,</w:t>
      </w:r>
      <w:r w:rsidRPr="00513BC3">
        <w:rPr>
          <w:rStyle w:val="FootnoteReference"/>
        </w:rPr>
        <w:footnoteReference w:id="1"/>
      </w:r>
      <w:r>
        <w:t xml:space="preserve"> and by </w:t>
      </w:r>
      <w:r w:rsidRPr="0053454E">
        <w:t>2012/13</w:t>
      </w:r>
      <w:r>
        <w:t>,</w:t>
      </w:r>
      <w:r w:rsidRPr="0053454E">
        <w:t xml:space="preserve"> </w:t>
      </w:r>
      <w:r>
        <w:t>this rate had dropped to one in six adults (18</w:t>
      </w:r>
      <w:r w:rsidRPr="0053454E">
        <w:t>%)</w:t>
      </w:r>
      <w:r>
        <w:t>, representing 626,000 adult smokers. Around 16</w:t>
      </w:r>
      <w:r w:rsidRPr="0053454E">
        <w:t>% smoked daily</w:t>
      </w:r>
      <w:r>
        <w:t xml:space="preserve"> in 2012/13, equating to </w:t>
      </w:r>
      <w:r w:rsidRPr="0053454E">
        <w:t xml:space="preserve">554,000 </w:t>
      </w:r>
      <w:r>
        <w:t>adult</w:t>
      </w:r>
      <w:r w:rsidRPr="0053454E">
        <w:t>s.</w:t>
      </w:r>
    </w:p>
    <w:p w14:paraId="4820A22F" w14:textId="77777777" w:rsidR="00735227" w:rsidRDefault="00735227" w:rsidP="00513BC3"/>
    <w:p w14:paraId="26FAB58D" w14:textId="77777777" w:rsidR="007066D2" w:rsidRDefault="00735227" w:rsidP="00513BC3">
      <w:r>
        <w:t>The steady reduction is being influenced by two factors: a decrease or delay in smoking initiation (flow</w:t>
      </w:r>
      <w:r w:rsidR="0071021C">
        <w:t xml:space="preserve"> </w:t>
      </w:r>
      <w:r>
        <w:t>in) and an increase in smoking cessation (flow</w:t>
      </w:r>
      <w:r w:rsidR="0071021C">
        <w:t xml:space="preserve"> </w:t>
      </w:r>
      <w:r>
        <w:t>out).</w:t>
      </w:r>
    </w:p>
    <w:p w14:paraId="7B1398D8" w14:textId="77777777" w:rsidR="00735227" w:rsidRDefault="00735227" w:rsidP="00513BC3"/>
    <w:p w14:paraId="1C7B8CC7" w14:textId="6CAF0134" w:rsidR="00236EFC" w:rsidRDefault="00735227" w:rsidP="00513BC3">
      <w:r>
        <w:t>The decline in smoking prevalence is occurring, at different rates among different population groups,</w:t>
      </w:r>
      <w:r w:rsidR="001E3188">
        <w:t xml:space="preserve"> with</w:t>
      </w:r>
      <w:r w:rsidR="007066D2">
        <w:t xml:space="preserve"> </w:t>
      </w:r>
      <w:r>
        <w:t>some slower than others. For example, among age groups the 15</w:t>
      </w:r>
      <w:r w:rsidR="00513BC3">
        <w:t>–</w:t>
      </w:r>
      <w:r>
        <w:t>19 year olds showed</w:t>
      </w:r>
      <w:r w:rsidR="007066D2">
        <w:t xml:space="preserve"> </w:t>
      </w:r>
      <w:r>
        <w:t>the largest relative decline in current smoking prevalence (36%) between 2006 and 2012. In comparison, those aged</w:t>
      </w:r>
      <w:r w:rsidR="007066D2">
        <w:t xml:space="preserve"> </w:t>
      </w:r>
      <w:r>
        <w:t>65</w:t>
      </w:r>
      <w:r w:rsidR="00513BC3">
        <w:t>–</w:t>
      </w:r>
      <w:r>
        <w:t>74 years and 25</w:t>
      </w:r>
      <w:r w:rsidR="00513BC3">
        <w:t>–</w:t>
      </w:r>
      <w:r>
        <w:t>34 years showed 27% and 13% relative declines respectively between 2006 and 2012.</w:t>
      </w:r>
    </w:p>
    <w:p w14:paraId="10CE0BC6" w14:textId="77777777" w:rsidR="00236EFC" w:rsidRPr="00236EFC" w:rsidRDefault="00236EFC" w:rsidP="00513BC3"/>
    <w:p w14:paraId="43DDF9CA" w14:textId="6B24EC68" w:rsidR="00735227" w:rsidRDefault="007B6310" w:rsidP="00513BC3">
      <w:r>
        <w:t>Almost</w:t>
      </w:r>
      <w:r w:rsidR="00735227">
        <w:t xml:space="preserve"> one in eight young pe</w:t>
      </w:r>
      <w:r>
        <w:t>ople aged 15–19 years (13%) was a</w:t>
      </w:r>
      <w:r w:rsidR="00735227">
        <w:t xml:space="preserve"> current smoker in 2012/13. This represents a significant decline from the 2006/07 prevalence of one </w:t>
      </w:r>
      <w:r>
        <w:t>in five young people (20%). The age of this</w:t>
      </w:r>
      <w:r w:rsidR="00735227">
        <w:t xml:space="preserve"> group of smokers is close to the common age of smoking initiation, with the significant decline in smoking prevalence contributing to a significant decrease in the overall in</w:t>
      </w:r>
      <w:r w:rsidR="00513BC3">
        <w:noBreakHyphen/>
      </w:r>
      <w:r w:rsidR="00735227">
        <w:t xml:space="preserve">flow of smokers. However, the minimal decline in smoking prevalence among the 20–24 year olds between 2006 and 2012 (27%–25%) dictates caution in presuming that the in-flow of smokers has decreased solely based </w:t>
      </w:r>
      <w:r w:rsidR="00FA6942">
        <w:t>on the decline in smoking by young people</w:t>
      </w:r>
      <w:r w:rsidR="00735227">
        <w:t>.</w:t>
      </w:r>
    </w:p>
    <w:p w14:paraId="35C49D37" w14:textId="77777777" w:rsidR="00735227" w:rsidRDefault="00735227" w:rsidP="00513BC3"/>
    <w:p w14:paraId="52D010DC" w14:textId="77777777" w:rsidR="007066D2" w:rsidRDefault="00735227" w:rsidP="00EF1A37">
      <w:r>
        <w:t>Aro</w:t>
      </w:r>
      <w:r w:rsidR="00120D3E">
        <w:t>und four in ten Māori adults (39</w:t>
      </w:r>
      <w:r>
        <w:t>%) were current smokers in 2012/13. This is a non-significant change from the 2</w:t>
      </w:r>
      <w:r w:rsidR="007B6310">
        <w:t>006/07 prevalence of 40%. Almost</w:t>
      </w:r>
      <w:r>
        <w:t xml:space="preserve"> one in four Pacific a</w:t>
      </w:r>
      <w:r w:rsidR="007B6310">
        <w:t>dults (24%) was a current smoker</w:t>
      </w:r>
      <w:r>
        <w:t>. Similar to the Māori smoking prevalence, this was a non-significant decline from the 2006/07 prevalence of 26%.</w:t>
      </w:r>
    </w:p>
    <w:p w14:paraId="1323A583" w14:textId="77777777" w:rsidR="00735227" w:rsidRDefault="00735227" w:rsidP="00513BC3"/>
    <w:p w14:paraId="5991410B" w14:textId="77777777" w:rsidR="00735227" w:rsidRPr="003F44E3" w:rsidRDefault="00735227" w:rsidP="00513BC3">
      <w:pPr>
        <w:pStyle w:val="Heading3"/>
      </w:pPr>
      <w:bookmarkStart w:id="15" w:name="_Toc400136584"/>
      <w:r>
        <w:t>Manufactured cigarettes preferred by smokers</w:t>
      </w:r>
      <w:bookmarkEnd w:id="15"/>
    </w:p>
    <w:p w14:paraId="34793483" w14:textId="577E6E68" w:rsidR="007066D2" w:rsidRDefault="00735227" w:rsidP="00513BC3">
      <w:pPr>
        <w:rPr>
          <w:szCs w:val="24"/>
        </w:rPr>
      </w:pPr>
      <w:r>
        <w:t xml:space="preserve">Most smokers </w:t>
      </w:r>
      <w:r w:rsidR="007B6310">
        <w:t xml:space="preserve">(45%) </w:t>
      </w:r>
      <w:r>
        <w:t>smoke</w:t>
      </w:r>
      <w:r w:rsidR="00061C24">
        <w:t>d</w:t>
      </w:r>
      <w:r>
        <w:t xml:space="preserve"> mainly </w:t>
      </w:r>
      <w:r>
        <w:rPr>
          <w:szCs w:val="24"/>
        </w:rPr>
        <w:t xml:space="preserve">manufactured cigarettes; </w:t>
      </w:r>
      <w:r>
        <w:t xml:space="preserve">42% primarily smoked roll-your-own (RYOs); and the balance (13%) smoked a combination of RYOs and manufactured cigarettes. </w:t>
      </w:r>
      <w:r w:rsidRPr="00DB4785">
        <w:rPr>
          <w:rFonts w:cs="Arial"/>
          <w:szCs w:val="24"/>
        </w:rPr>
        <w:t>Younger a</w:t>
      </w:r>
      <w:r>
        <w:rPr>
          <w:rFonts w:cs="Arial"/>
          <w:szCs w:val="24"/>
        </w:rPr>
        <w:t>dults were more likely to smoke</w:t>
      </w:r>
      <w:r w:rsidRPr="00DB4785">
        <w:rPr>
          <w:rFonts w:cs="Arial"/>
          <w:szCs w:val="24"/>
        </w:rPr>
        <w:t xml:space="preserve"> RYOs</w:t>
      </w:r>
      <w:r>
        <w:rPr>
          <w:rFonts w:cs="Arial"/>
          <w:szCs w:val="24"/>
        </w:rPr>
        <w:t>, while</w:t>
      </w:r>
      <w:r w:rsidRPr="00DB4785">
        <w:rPr>
          <w:rFonts w:cs="Arial"/>
          <w:szCs w:val="24"/>
        </w:rPr>
        <w:t xml:space="preserve"> older adults</w:t>
      </w:r>
      <w:r>
        <w:rPr>
          <w:rFonts w:cs="Arial"/>
          <w:szCs w:val="24"/>
        </w:rPr>
        <w:t xml:space="preserve"> were</w:t>
      </w:r>
      <w:r w:rsidRPr="00DB4785">
        <w:rPr>
          <w:rFonts w:cs="Arial"/>
          <w:szCs w:val="24"/>
        </w:rPr>
        <w:t xml:space="preserve"> more likely to smoke </w:t>
      </w:r>
      <w:r>
        <w:rPr>
          <w:rFonts w:cs="Arial"/>
          <w:szCs w:val="24"/>
        </w:rPr>
        <w:t>manufactured</w:t>
      </w:r>
      <w:r w:rsidRPr="00DB4785">
        <w:rPr>
          <w:rFonts w:cs="Arial"/>
          <w:szCs w:val="24"/>
        </w:rPr>
        <w:t xml:space="preserve"> cigarettes</w:t>
      </w:r>
      <w:r>
        <w:rPr>
          <w:rFonts w:cs="Arial"/>
          <w:szCs w:val="24"/>
        </w:rPr>
        <w:t xml:space="preserve">. </w:t>
      </w:r>
      <w:r>
        <w:rPr>
          <w:szCs w:val="24"/>
        </w:rPr>
        <w:t>Time trend analyses between the years 2006 and 2012 showed no significant differences in the proportion of smokers smoking each type or a combination of the two types of cigarettes.</w:t>
      </w:r>
    </w:p>
    <w:p w14:paraId="28E0668C" w14:textId="77777777" w:rsidR="00735227" w:rsidRPr="00DB4785" w:rsidRDefault="00735227" w:rsidP="00513BC3"/>
    <w:p w14:paraId="43CAE459" w14:textId="77777777" w:rsidR="00735227" w:rsidRPr="003F44E3" w:rsidRDefault="00735227" w:rsidP="00513BC3">
      <w:pPr>
        <w:pStyle w:val="Heading3"/>
      </w:pPr>
      <w:bookmarkStart w:id="16" w:name="_Toc390178277"/>
      <w:bookmarkStart w:id="17" w:name="_Toc400136585"/>
      <w:r>
        <w:t>Smokers mainly purchase</w:t>
      </w:r>
      <w:r w:rsidRPr="003F44E3">
        <w:t xml:space="preserve"> their tobacco/cigarettes</w:t>
      </w:r>
      <w:bookmarkEnd w:id="16"/>
      <w:r>
        <w:t xml:space="preserve"> from dairies</w:t>
      </w:r>
      <w:bookmarkEnd w:id="17"/>
    </w:p>
    <w:p w14:paraId="59A6FBDA" w14:textId="59E8A52E" w:rsidR="00735227" w:rsidRDefault="00735227" w:rsidP="00513BC3">
      <w:r>
        <w:t>There is a clear preference for where adult smokers</w:t>
      </w:r>
      <w:r w:rsidR="004B6830">
        <w:t xml:space="preserve"> </w:t>
      </w:r>
      <w:r>
        <w:t>(aged over 20 years) choose to purchase their cigarettes, with almost half (48%)</w:t>
      </w:r>
      <w:r>
        <w:rPr>
          <w:rFonts w:cs="Arial"/>
          <w:color w:val="000000"/>
          <w:sz w:val="20"/>
          <w:lang w:eastAsia="en-NZ"/>
        </w:rPr>
        <w:t xml:space="preserve"> having </w:t>
      </w:r>
      <w:r>
        <w:t xml:space="preserve">purchased their current pack of cigarettes or tobacco from a dairy (or </w:t>
      </w:r>
      <w:r w:rsidR="00AA2408">
        <w:t>‘</w:t>
      </w:r>
      <w:r>
        <w:t>other shop</w:t>
      </w:r>
      <w:r w:rsidR="00AA2408">
        <w:t>’</w:t>
      </w:r>
      <w:r>
        <w:t>). Almost a quarter (23%) purchased from a supermarket, followed by 19% of adult smokers buying from a petrol station.</w:t>
      </w:r>
    </w:p>
    <w:p w14:paraId="7618CC02" w14:textId="77777777" w:rsidR="00735227" w:rsidRDefault="00735227" w:rsidP="00513BC3"/>
    <w:p w14:paraId="3057658F" w14:textId="2200E3C9" w:rsidR="00735227" w:rsidRPr="00235196" w:rsidRDefault="00735227" w:rsidP="00513BC3">
      <w:r>
        <w:t>Of the smokers aged less than 20 years who purchased their own cigarettes/tobacco products, the majority (58%) purchased them from a dairy or shop, one-third (28%) from a petrol station and one-tenth (11%) purchased from a supermarket.</w:t>
      </w:r>
    </w:p>
    <w:p w14:paraId="23DFEA1B" w14:textId="77777777" w:rsidR="00735227" w:rsidRDefault="00735227" w:rsidP="00513BC3"/>
    <w:p w14:paraId="6024C867" w14:textId="77777777" w:rsidR="007066D2" w:rsidRDefault="00735227" w:rsidP="00513BC3">
      <w:r>
        <w:t>Although it is illegal to sell cigarettes or other tobacco products to people under 18 years of age in New Zealand, just over 15% of smokers aged 15–17 years reported buying their current cigarettes from a shop.</w:t>
      </w:r>
    </w:p>
    <w:p w14:paraId="7E28F2E7" w14:textId="77777777" w:rsidR="00735227" w:rsidRPr="002B1702" w:rsidRDefault="00735227" w:rsidP="00513BC3"/>
    <w:p w14:paraId="03FB7FCF" w14:textId="77777777" w:rsidR="00735227" w:rsidRDefault="00735227" w:rsidP="00513BC3">
      <w:pPr>
        <w:pStyle w:val="Heading3"/>
      </w:pPr>
      <w:bookmarkStart w:id="18" w:name="_Toc400136586"/>
      <w:r>
        <w:t>Mental health conditions and hazardous alcohol consumption more common among smokers</w:t>
      </w:r>
      <w:bookmarkEnd w:id="18"/>
    </w:p>
    <w:p w14:paraId="6262CD49" w14:textId="5F3B6E3A" w:rsidR="007066D2" w:rsidRDefault="00735227" w:rsidP="00513BC3">
      <w:r>
        <w:t xml:space="preserve">One in four smokers (24%) reported diagnosed mental health condition(s) compared with 15% of non-smokers. Four out of ten smokers (40%) who had </w:t>
      </w:r>
      <w:r w:rsidR="00061C24">
        <w:t>drunk</w:t>
      </w:r>
      <w:r w:rsidR="00AA2408">
        <w:t xml:space="preserve"> </w:t>
      </w:r>
      <w:r>
        <w:t>an alcoholic drink in the previous 12</w:t>
      </w:r>
      <w:r w:rsidR="00513BC3">
        <w:t> </w:t>
      </w:r>
      <w:r>
        <w:t>months had a potentially hazardous drinking pattern, compared to 14% of non-smokers.</w:t>
      </w:r>
    </w:p>
    <w:p w14:paraId="036A665B" w14:textId="77777777" w:rsidR="00735227" w:rsidRDefault="00735227" w:rsidP="00513BC3"/>
    <w:p w14:paraId="23E555B3" w14:textId="77777777" w:rsidR="00735227" w:rsidRPr="003F44E3" w:rsidRDefault="00735227" w:rsidP="00513BC3">
      <w:pPr>
        <w:pStyle w:val="Heading3"/>
      </w:pPr>
      <w:bookmarkStart w:id="19" w:name="_Toc390178279"/>
      <w:bookmarkStart w:id="20" w:name="_Toc400136587"/>
      <w:r w:rsidRPr="003F44E3">
        <w:t>Smoking initiation and uptake</w:t>
      </w:r>
      <w:bookmarkEnd w:id="19"/>
      <w:bookmarkEnd w:id="20"/>
    </w:p>
    <w:p w14:paraId="3015870D" w14:textId="77777777" w:rsidR="007066D2" w:rsidRDefault="00735227" w:rsidP="00513BC3">
      <w:r>
        <w:t>The mean age of smoking initiation (that is, when smokers tried their first cigarette) for current smokers aged 20 years and above was 14.8 years. The mean age of smoking initiation varied across all four main ethnic groups with Māori smokers being the youngest to start, at 14.1 years, and Asian smokers the oldest, at 18.4 years.</w:t>
      </w:r>
    </w:p>
    <w:p w14:paraId="44EABB17" w14:textId="77777777" w:rsidR="00735227" w:rsidRDefault="00735227" w:rsidP="00513BC3"/>
    <w:p w14:paraId="7C183220" w14:textId="77777777" w:rsidR="007066D2" w:rsidRDefault="00735227" w:rsidP="00513BC3">
      <w:r>
        <w:t>The mean age of smoking uptake (that is, when smokers started smoking daily) was around three years after smoking initiation.</w:t>
      </w:r>
    </w:p>
    <w:p w14:paraId="4747EE7C" w14:textId="77777777" w:rsidR="00735227" w:rsidRDefault="00735227" w:rsidP="00513BC3"/>
    <w:p w14:paraId="2D94E470" w14:textId="77777777" w:rsidR="007066D2" w:rsidRDefault="00735227" w:rsidP="00513BC3">
      <w:pPr>
        <w:pStyle w:val="Heading3"/>
      </w:pPr>
      <w:bookmarkStart w:id="21" w:name="_Toc390178280"/>
      <w:bookmarkStart w:id="22" w:name="_Toc400136588"/>
      <w:r w:rsidRPr="00773C1D">
        <w:t xml:space="preserve">Smoking </w:t>
      </w:r>
      <w:r>
        <w:t>c</w:t>
      </w:r>
      <w:r w:rsidRPr="00773C1D">
        <w:t>essation behaviour</w:t>
      </w:r>
      <w:bookmarkEnd w:id="21"/>
      <w:bookmarkEnd w:id="22"/>
    </w:p>
    <w:p w14:paraId="440C6AEA" w14:textId="5EDBF5ED" w:rsidR="00735227" w:rsidRDefault="00735227" w:rsidP="00513BC3">
      <w:r>
        <w:t xml:space="preserve">Most smokers </w:t>
      </w:r>
      <w:r w:rsidR="00061C24">
        <w:t xml:space="preserve">surveyed </w:t>
      </w:r>
      <w:r>
        <w:t>had tried to quit</w:t>
      </w:r>
      <w:r w:rsidR="001E3188">
        <w:t xml:space="preserve"> smoking</w:t>
      </w:r>
      <w:r>
        <w:t>. In the past 12 months, a</w:t>
      </w:r>
      <w:r w:rsidRPr="003E6254">
        <w:t>lmost two</w:t>
      </w:r>
      <w:r>
        <w:t>-</w:t>
      </w:r>
      <w:r w:rsidRPr="003E6254">
        <w:t xml:space="preserve">thirds </w:t>
      </w:r>
      <w:r>
        <w:t xml:space="preserve">(64%) </w:t>
      </w:r>
      <w:r w:rsidRPr="003E6254">
        <w:t xml:space="preserve">of </w:t>
      </w:r>
      <w:r>
        <w:t>smokers had</w:t>
      </w:r>
      <w:r w:rsidRPr="003E6254">
        <w:t xml:space="preserve"> quit smoking for at leas</w:t>
      </w:r>
      <w:r>
        <w:t>t 24 hours and almost six out of ten smokers (58%) had quit smoking for at least a week.</w:t>
      </w:r>
    </w:p>
    <w:p w14:paraId="2B6E5EC3" w14:textId="77777777" w:rsidR="00735227" w:rsidRDefault="00735227" w:rsidP="00513BC3"/>
    <w:p w14:paraId="44362AD1" w14:textId="37765CFD" w:rsidR="00735227" w:rsidRDefault="00735227" w:rsidP="00513BC3">
      <w:r>
        <w:t>Smokers cited c</w:t>
      </w:r>
      <w:r w:rsidRPr="00E06A29">
        <w:t>oncern for their own health</w:t>
      </w:r>
      <w:r>
        <w:t xml:space="preserve"> as the most common reason for making a quit attempt, followed by cost. Half of recent quit attempters (49%) used some type of quitting product or advice to assist them in their most recent quit attempt. </w:t>
      </w:r>
      <w:r w:rsidRPr="00774682">
        <w:t xml:space="preserve">Over half of all </w:t>
      </w:r>
      <w:r>
        <w:t>Māori</w:t>
      </w:r>
      <w:r w:rsidRPr="00774682">
        <w:t xml:space="preserve"> smokers</w:t>
      </w:r>
      <w:r>
        <w:t xml:space="preserve"> (52%)</w:t>
      </w:r>
      <w:r w:rsidRPr="00774682">
        <w:t xml:space="preserve"> who had made a quit attempt used a </w:t>
      </w:r>
      <w:r w:rsidR="00061C24">
        <w:t xml:space="preserve">cessation </w:t>
      </w:r>
      <w:r w:rsidRPr="00774682">
        <w:t>pr</w:t>
      </w:r>
      <w:r>
        <w:t>oduct or advice to assist them.</w:t>
      </w:r>
    </w:p>
    <w:p w14:paraId="6D1574CE" w14:textId="77777777" w:rsidR="00735227" w:rsidRPr="00774682" w:rsidRDefault="00735227" w:rsidP="00513BC3"/>
    <w:p w14:paraId="6B2EFDB7" w14:textId="77777777" w:rsidR="00735227" w:rsidRPr="008F629B" w:rsidRDefault="00735227" w:rsidP="00513BC3">
      <w:pPr>
        <w:pStyle w:val="Heading3"/>
      </w:pPr>
      <w:bookmarkStart w:id="23" w:name="_Toc400136589"/>
      <w:r w:rsidRPr="008F629B">
        <w:t>Successful quitting</w:t>
      </w:r>
      <w:bookmarkEnd w:id="23"/>
    </w:p>
    <w:p w14:paraId="04C8517E" w14:textId="77777777" w:rsidR="007066D2" w:rsidRDefault="00735227" w:rsidP="00513BC3">
      <w:r>
        <w:t>Eleven percent of recent quit attempters successfully quit in the previous 12 months.</w:t>
      </w:r>
      <w:r w:rsidRPr="00513BC3">
        <w:rPr>
          <w:rStyle w:val="FootnoteReference"/>
        </w:rPr>
        <w:footnoteReference w:id="2"/>
      </w:r>
    </w:p>
    <w:p w14:paraId="13EAF391" w14:textId="77777777" w:rsidR="00735227" w:rsidRDefault="00735227" w:rsidP="00513BC3"/>
    <w:p w14:paraId="378EBC45" w14:textId="77777777" w:rsidR="00735227" w:rsidRPr="008F629B" w:rsidRDefault="00735227" w:rsidP="00513BC3">
      <w:pPr>
        <w:pStyle w:val="Heading3"/>
      </w:pPr>
      <w:bookmarkStart w:id="24" w:name="_Toc400136590"/>
      <w:r w:rsidRPr="008F629B">
        <w:t>How are smokers quitting?</w:t>
      </w:r>
      <w:bookmarkEnd w:id="24"/>
    </w:p>
    <w:p w14:paraId="79D97E8D" w14:textId="77777777" w:rsidR="007066D2" w:rsidRDefault="00735227" w:rsidP="00513BC3">
      <w:r>
        <w:t xml:space="preserve">The most common quitting product or service used by recent quit attempters was medicinal therapy, of which nicotine replacement therapy (NRT) was the most used (25%). </w:t>
      </w:r>
      <w:r w:rsidRPr="006131DC">
        <w:t>Most smokers</w:t>
      </w:r>
      <w:r>
        <w:t xml:space="preserve"> (59%)</w:t>
      </w:r>
      <w:r w:rsidRPr="006131DC">
        <w:t xml:space="preserve"> receive</w:t>
      </w:r>
      <w:r>
        <w:t>d subsidised NRT via a Quitcard, while just over one-fifth (20%) bought it at full price over the counter.</w:t>
      </w:r>
    </w:p>
    <w:p w14:paraId="27D8DF1C" w14:textId="77777777" w:rsidR="00735227" w:rsidRDefault="00735227" w:rsidP="00513BC3"/>
    <w:p w14:paraId="45F400A0" w14:textId="77777777" w:rsidR="007066D2" w:rsidRDefault="00735227" w:rsidP="00513BC3">
      <w:pPr>
        <w:pStyle w:val="Heading3"/>
      </w:pPr>
      <w:bookmarkStart w:id="25" w:name="_Toc390178281"/>
      <w:bookmarkStart w:id="26" w:name="_Toc400136591"/>
      <w:r w:rsidRPr="005801E1">
        <w:t xml:space="preserve">Use of the ABC </w:t>
      </w:r>
      <w:r>
        <w:t>pathway</w:t>
      </w:r>
      <w:r w:rsidRPr="005801E1">
        <w:t xml:space="preserve"> by </w:t>
      </w:r>
      <w:r>
        <w:t>h</w:t>
      </w:r>
      <w:r w:rsidRPr="005801E1">
        <w:t>ealth</w:t>
      </w:r>
      <w:r>
        <w:t xml:space="preserve"> </w:t>
      </w:r>
      <w:r w:rsidRPr="005801E1">
        <w:t>care workers</w:t>
      </w:r>
      <w:bookmarkEnd w:id="25"/>
      <w:bookmarkEnd w:id="26"/>
    </w:p>
    <w:p w14:paraId="3CC8D098" w14:textId="34E612FF" w:rsidR="007066D2" w:rsidRDefault="00735227" w:rsidP="00513BC3">
      <w:r w:rsidRPr="001E6E3E">
        <w:rPr>
          <w:u w:val="single"/>
        </w:rPr>
        <w:t>A</w:t>
      </w:r>
      <w:r>
        <w:t xml:space="preserve">sk, </w:t>
      </w:r>
      <w:r w:rsidRPr="001E6E3E">
        <w:rPr>
          <w:u w:val="single"/>
        </w:rPr>
        <w:t>B</w:t>
      </w:r>
      <w:r>
        <w:t xml:space="preserve">rief </w:t>
      </w:r>
      <w:r w:rsidRPr="001E6E3E">
        <w:rPr>
          <w:u w:val="single"/>
        </w:rPr>
        <w:t>A</w:t>
      </w:r>
      <w:r>
        <w:t xml:space="preserve">dvice, Cessation support (the ABC pathway) is a brief intervention model for delivering support to people who smoke. The Ministry of Health (the Ministry) monitors its use in primary and secondary health care to measure performance on the </w:t>
      </w:r>
      <w:r w:rsidR="00AA2408">
        <w:t>‘</w:t>
      </w:r>
      <w:r>
        <w:t>Better help for smokers to quit</w:t>
      </w:r>
      <w:r w:rsidR="00AA2408">
        <w:t>’</w:t>
      </w:r>
      <w:r>
        <w:t xml:space="preserve"> health target.</w:t>
      </w:r>
    </w:p>
    <w:p w14:paraId="59046E19" w14:textId="77777777" w:rsidR="00CA5D88" w:rsidRDefault="00CA5D88" w:rsidP="00513BC3"/>
    <w:p w14:paraId="43C8D08C" w14:textId="77777777" w:rsidR="00B25BA8" w:rsidRDefault="00B25BA8" w:rsidP="00B25BA8">
      <w:r>
        <w:t>The primary health care target data, collected by the Tobacco Control team at the Ministry, showed that 57% of enrolled patients in general practice who smoke had been given brief quitting advice and/or cessation support by a GP in the 12 months ending 30 June 2013.</w:t>
      </w:r>
    </w:p>
    <w:p w14:paraId="2838C0C7" w14:textId="77777777" w:rsidR="00B25BA8" w:rsidRDefault="00B25BA8" w:rsidP="00B25BA8"/>
    <w:p w14:paraId="24484A31" w14:textId="6D992A60" w:rsidR="00B25BA8" w:rsidRDefault="00B25BA8" w:rsidP="00B25BA8">
      <w:r>
        <w:t>The secondary health care target data for hospitalised patients who smoke and had been given brief advice to stop smoking by a health practitioner in public hospitals at the end of the 2012/13 reporting period, showed an annual rate of 95%.</w:t>
      </w:r>
    </w:p>
    <w:p w14:paraId="261D0EAD" w14:textId="77777777" w:rsidR="00B25BA8" w:rsidRDefault="00B25BA8" w:rsidP="00513BC3"/>
    <w:p w14:paraId="27FB83BD" w14:textId="223D93D8" w:rsidR="00B25BA8" w:rsidRDefault="00B25BA8" w:rsidP="00B25BA8">
      <w:pPr>
        <w:pStyle w:val="Heading3"/>
      </w:pPr>
      <w:r>
        <w:t>Comparisons with 2012/13 NZHS data</w:t>
      </w:r>
    </w:p>
    <w:p w14:paraId="69E8B7BA" w14:textId="648E9FAE" w:rsidR="00735227" w:rsidRPr="004B7AA8" w:rsidRDefault="005C4DC7" w:rsidP="00513BC3">
      <w:r>
        <w:t>H</w:t>
      </w:r>
      <w:r w:rsidR="00735227">
        <w:t>alf (50%) of all adults and approximately three-quarters (74%) of current smokers who had seen a GP in the previous 12 months reported that a GP had asked if they had ever been or currently were a smoker. Māori and Pacific smokers we</w:t>
      </w:r>
      <w:r w:rsidR="00735227" w:rsidRPr="00A120F4">
        <w:t xml:space="preserve">re more likely </w:t>
      </w:r>
      <w:r w:rsidR="00735227">
        <w:t>than non-Māori</w:t>
      </w:r>
      <w:r w:rsidR="00735227" w:rsidRPr="00A120F4">
        <w:t xml:space="preserve"> </w:t>
      </w:r>
      <w:r w:rsidR="00735227">
        <w:t xml:space="preserve">and non-Pacific smokers </w:t>
      </w:r>
      <w:r w:rsidR="00735227" w:rsidRPr="00A120F4">
        <w:t xml:space="preserve">to </w:t>
      </w:r>
      <w:r w:rsidR="00735227">
        <w:t>have been</w:t>
      </w:r>
      <w:r w:rsidR="00735227" w:rsidRPr="00A120F4">
        <w:t xml:space="preserve"> provided </w:t>
      </w:r>
      <w:r w:rsidR="00735227">
        <w:t xml:space="preserve">with </w:t>
      </w:r>
      <w:r w:rsidR="00735227" w:rsidRPr="00A120F4">
        <w:t>brief quitting advice by a GP in the past 12 months.</w:t>
      </w:r>
    </w:p>
    <w:p w14:paraId="2DD9D1E2" w14:textId="77777777" w:rsidR="00735227" w:rsidRDefault="00735227" w:rsidP="00513BC3"/>
    <w:p w14:paraId="64E6876C" w14:textId="0DF78095" w:rsidR="00B25BA8" w:rsidRDefault="00572AD6" w:rsidP="00513BC3">
      <w:r>
        <w:t>The</w:t>
      </w:r>
      <w:r w:rsidR="00735227">
        <w:t xml:space="preserve"> 2012/13 NZHS showed that 56% of current smokers who had seen a GP in the past 12 months were offered brie</w:t>
      </w:r>
      <w:r w:rsidR="007B6310">
        <w:t xml:space="preserve">f quitting advice (by the GP). </w:t>
      </w:r>
      <w:r w:rsidR="00B22D12">
        <w:t xml:space="preserve">It also </w:t>
      </w:r>
      <w:r w:rsidR="007B6310">
        <w:t>showed that a</w:t>
      </w:r>
      <w:r w:rsidR="00735227">
        <w:t xml:space="preserve">lmost seven out of ten current smokers </w:t>
      </w:r>
      <w:r w:rsidR="007B6310">
        <w:t xml:space="preserve">(68%) </w:t>
      </w:r>
      <w:r w:rsidR="00735227">
        <w:t>who had been admitted at least overnight at a public hospital in the past 12 months were provided with brief quitting advice and information, with no differences detected by sex, age, ethnicity or neighbourhood deprivation.</w:t>
      </w:r>
    </w:p>
    <w:p w14:paraId="1BCBAFA5" w14:textId="77777777" w:rsidR="00735227" w:rsidRPr="00370047" w:rsidRDefault="00735227" w:rsidP="00513BC3"/>
    <w:p w14:paraId="701E1C96" w14:textId="77777777" w:rsidR="00735227" w:rsidRPr="008F629B" w:rsidRDefault="00735227" w:rsidP="00513BC3">
      <w:pPr>
        <w:pStyle w:val="Heading3"/>
      </w:pPr>
      <w:bookmarkStart w:id="27" w:name="_Toc400136592"/>
      <w:r w:rsidRPr="008F629B">
        <w:t>Exposure to second</w:t>
      </w:r>
      <w:r>
        <w:t>-</w:t>
      </w:r>
      <w:r w:rsidRPr="008F629B">
        <w:t>hand smoke</w:t>
      </w:r>
      <w:bookmarkEnd w:id="27"/>
    </w:p>
    <w:p w14:paraId="4E3BA9EA" w14:textId="77777777" w:rsidR="007066D2" w:rsidRDefault="00735227" w:rsidP="00EF1A37">
      <w:r>
        <w:t>In 2012/13, almost 4% of non-smoking adults were exposed to second-hand smoke (SHS) in the home and 3% in the car they usually travelled in. Exposure to SHS both in the home and car was shown to be significantly higher in non-smo</w:t>
      </w:r>
      <w:r w:rsidR="00F25B70">
        <w:t>kers who were younger, Māori or</w:t>
      </w:r>
      <w:r>
        <w:t xml:space="preserve"> living in more deprived neighbourhoods.</w:t>
      </w:r>
    </w:p>
    <w:p w14:paraId="61F266EC" w14:textId="77777777" w:rsidR="00735227" w:rsidRDefault="00735227" w:rsidP="00513BC3"/>
    <w:p w14:paraId="2B6361AC" w14:textId="60F1C366" w:rsidR="007066D2" w:rsidRDefault="00735227" w:rsidP="00513BC3">
      <w:r>
        <w:t xml:space="preserve">This prevalence had reduced by half </w:t>
      </w:r>
      <w:r w:rsidR="007B6310">
        <w:t xml:space="preserve">(4%) </w:t>
      </w:r>
      <w:r>
        <w:t>when compared with the 2006/07 non-smoking adults</w:t>
      </w:r>
      <w:r w:rsidR="00AA2408">
        <w:t>’</w:t>
      </w:r>
      <w:r>
        <w:t xml:space="preserve"> exposure to SHS in the home (8%).</w:t>
      </w:r>
    </w:p>
    <w:p w14:paraId="1EA6D994" w14:textId="77777777" w:rsidR="00735227" w:rsidRDefault="00735227" w:rsidP="00513BC3"/>
    <w:p w14:paraId="01F5D14B" w14:textId="3BBABB27" w:rsidR="00735227" w:rsidRPr="0000694F" w:rsidRDefault="00735227" w:rsidP="00513BC3">
      <w:r>
        <w:t>Similarly, the prevalence of non-smoking adults</w:t>
      </w:r>
      <w:r w:rsidR="00AA2408">
        <w:t>’</w:t>
      </w:r>
      <w:r>
        <w:t xml:space="preserve"> exposure to SHS in the car they usually travelled in had almost halved (3.8%) compared to the 2006/07 prevalence (7%).</w:t>
      </w:r>
    </w:p>
    <w:p w14:paraId="4E6AEB82" w14:textId="77777777" w:rsidR="00735227" w:rsidRDefault="00735227" w:rsidP="00513BC3"/>
    <w:p w14:paraId="40475F68" w14:textId="77777777" w:rsidR="00AA2408" w:rsidRDefault="00735227" w:rsidP="00513BC3">
      <w:r>
        <w:t>Children</w:t>
      </w:r>
      <w:r w:rsidR="00AA2408">
        <w:t>’</w:t>
      </w:r>
      <w:r>
        <w:t>s exposure to SHS in the home and car were similar at 6% and 5% respectively. Children</w:t>
      </w:r>
      <w:r w:rsidR="00AA2408">
        <w:t>’</w:t>
      </w:r>
      <w:r>
        <w:t>s exposure to SHS in the home and car was shown to be significant</w:t>
      </w:r>
      <w:r w:rsidR="00F25B70">
        <w:t>ly higher if they were Māori or</w:t>
      </w:r>
      <w:r>
        <w:t xml:space="preserve"> lived in more deprived neighbourhoods.</w:t>
      </w:r>
      <w:r w:rsidR="00BB327A">
        <w:t xml:space="preserve"> Māori children were 2.6 times more likely to be exposed to SHS in the home and car compared to non-Māori children.</w:t>
      </w:r>
    </w:p>
    <w:p w14:paraId="1A116B04" w14:textId="1CF00D9F" w:rsidR="00735227" w:rsidRPr="00344FC8" w:rsidRDefault="00735227" w:rsidP="00513BC3"/>
    <w:p w14:paraId="294335D2" w14:textId="77777777" w:rsidR="00735227" w:rsidRDefault="00735227" w:rsidP="00513BC3">
      <w:pPr>
        <w:pStyle w:val="Heading3"/>
      </w:pPr>
      <w:bookmarkStart w:id="28" w:name="_Toc400136593"/>
      <w:r>
        <w:t>Looking ahead</w:t>
      </w:r>
      <w:bookmarkEnd w:id="28"/>
    </w:p>
    <w:p w14:paraId="12748A11" w14:textId="77777777" w:rsidR="007066D2" w:rsidRDefault="00735227" w:rsidP="00513BC3">
      <w:r>
        <w:t xml:space="preserve">New Zealand has made significant progress in the past three decades in terms of reducing smoking </w:t>
      </w:r>
      <w:r w:rsidRPr="001361B9">
        <w:t xml:space="preserve">prevalence and tobacco availability. This has been due to a wide range of health sector interventions </w:t>
      </w:r>
      <w:r>
        <w:t xml:space="preserve">that includes legislation (the </w:t>
      </w:r>
      <w:r w:rsidRPr="001361B9">
        <w:t xml:space="preserve">Smoke-free Environments Act </w:t>
      </w:r>
      <w:r>
        <w:t>1990, its subsequent amendments and the incremental</w:t>
      </w:r>
      <w:r w:rsidRPr="001361B9">
        <w:t xml:space="preserve"> tobacco tax increases since </w:t>
      </w:r>
      <w:r>
        <w:t xml:space="preserve">1987), mass-media </w:t>
      </w:r>
      <w:r w:rsidRPr="001361B9">
        <w:t>campaigns and smoking cessation interventions.</w:t>
      </w:r>
    </w:p>
    <w:p w14:paraId="1BE15A50" w14:textId="77777777" w:rsidR="00735227" w:rsidRDefault="00735227" w:rsidP="00513BC3"/>
    <w:p w14:paraId="2F526204" w14:textId="26F896F5" w:rsidR="007066D2" w:rsidRDefault="00735227" w:rsidP="00513BC3">
      <w:r>
        <w:t>To achieve New Zealand</w:t>
      </w:r>
      <w:r w:rsidR="00AA2408">
        <w:t>’</w:t>
      </w:r>
      <w:r>
        <w:t xml:space="preserve">s </w:t>
      </w:r>
      <w:r w:rsidR="00D47D19">
        <w:t xml:space="preserve">aspirational </w:t>
      </w:r>
      <w:r>
        <w:t>smoke-free status by 2025, more work will</w:t>
      </w:r>
      <w:r w:rsidR="00F33C1D">
        <w:t xml:space="preserve"> need </w:t>
      </w:r>
      <w:r>
        <w:t>to be done particularly in population groups with high s</w:t>
      </w:r>
      <w:r w:rsidR="007B6310">
        <w:t>moking prevalence rates, such as</w:t>
      </w:r>
      <w:r>
        <w:t xml:space="preserve">, Māori and Pacific peoples, </w:t>
      </w:r>
      <w:r w:rsidR="00F33C1D">
        <w:t xml:space="preserve">in order to </w:t>
      </w:r>
      <w:r>
        <w:t>drive down their rates and decrease their burden of disease. This will require continued combined efforts across government, schools, communities and families.</w:t>
      </w:r>
    </w:p>
    <w:p w14:paraId="0686FAB7" w14:textId="77777777" w:rsidR="00735227" w:rsidRDefault="00735227" w:rsidP="00EF1A37">
      <w:pPr>
        <w:spacing w:after="1200"/>
      </w:pPr>
    </w:p>
    <w:p w14:paraId="401663C8" w14:textId="77777777" w:rsidR="00A66C98" w:rsidRDefault="00A66C98" w:rsidP="00EF1A37">
      <w:pPr>
        <w:pStyle w:val="BoxHeading"/>
        <w:rPr>
          <w:lang w:eastAsia="en-NZ"/>
        </w:rPr>
      </w:pPr>
      <w:r>
        <w:rPr>
          <w:lang w:eastAsia="en-NZ"/>
        </w:rPr>
        <w:t>Did you find what you were looking for?</w:t>
      </w:r>
    </w:p>
    <w:p w14:paraId="35FEC96C" w14:textId="77777777" w:rsidR="00A66C98" w:rsidRDefault="00A66C98" w:rsidP="00EF1A37">
      <w:pPr>
        <w:pStyle w:val="Box"/>
        <w:rPr>
          <w:rFonts w:cs="Arial Mäori"/>
          <w:color w:val="000000"/>
          <w:lang w:eastAsia="en-NZ"/>
        </w:rPr>
      </w:pPr>
      <w:r>
        <w:rPr>
          <w:color w:val="000000"/>
          <w:lang w:eastAsia="en-NZ"/>
        </w:rPr>
        <w:t xml:space="preserve">Please help us improve our reports – tell us whether we are giving you the information you </w:t>
      </w:r>
      <w:r>
        <w:rPr>
          <w:rFonts w:cs="Arial Mäori"/>
          <w:color w:val="000000"/>
          <w:lang w:eastAsia="en-NZ"/>
        </w:rPr>
        <w:t xml:space="preserve">want at: </w:t>
      </w:r>
      <w:hyperlink r:id="rId14" w:history="1">
        <w:r>
          <w:rPr>
            <w:rStyle w:val="Hyperlink"/>
            <w:rFonts w:cs="Arial Mäori"/>
            <w:b/>
            <w:sz w:val="24"/>
            <w:szCs w:val="24"/>
            <w:lang w:eastAsia="en-NZ"/>
          </w:rPr>
          <w:t>www.health.govt.nz/nzhs-feedback</w:t>
        </w:r>
      </w:hyperlink>
    </w:p>
    <w:p w14:paraId="0A81FEF1" w14:textId="77777777" w:rsidR="00A66C98" w:rsidRDefault="00A66C98" w:rsidP="00EF1A37">
      <w:pPr>
        <w:pStyle w:val="Box"/>
        <w:rPr>
          <w:color w:val="000000"/>
          <w:lang w:eastAsia="en-NZ"/>
        </w:rPr>
      </w:pPr>
      <w:r>
        <w:rPr>
          <w:rFonts w:cs="Arial Mäori"/>
          <w:color w:val="000000"/>
          <w:lang w:eastAsia="en-NZ"/>
        </w:rPr>
        <w:t>It</w:t>
      </w:r>
      <w:r>
        <w:rPr>
          <w:color w:val="000000"/>
          <w:lang w:eastAsia="en-NZ"/>
        </w:rPr>
        <w:t xml:space="preserve"> will only take a minute or two, and we really value your feedback!</w:t>
      </w:r>
    </w:p>
    <w:p w14:paraId="381E1AB3" w14:textId="77777777" w:rsidR="00A66C98" w:rsidRPr="00024BFF" w:rsidRDefault="00A66C98" w:rsidP="00A66C98"/>
    <w:p w14:paraId="75F312E0" w14:textId="77777777" w:rsidR="00735227" w:rsidRPr="00921D95" w:rsidRDefault="00735227" w:rsidP="00513BC3">
      <w:pPr>
        <w:pStyle w:val="Heading1"/>
        <w:rPr>
          <w:rStyle w:val="Heading1Char"/>
          <w:b/>
        </w:rPr>
      </w:pPr>
      <w:r>
        <w:br w:type="page"/>
      </w:r>
      <w:bookmarkStart w:id="29" w:name="_Toc400136594"/>
      <w:bookmarkStart w:id="30" w:name="_Toc404091068"/>
      <w:r w:rsidRPr="00921D95">
        <w:rPr>
          <w:rStyle w:val="Heading1Char"/>
          <w:b/>
        </w:rPr>
        <w:t>Glossary</w:t>
      </w:r>
      <w:bookmarkEnd w:id="29"/>
      <w:bookmarkEnd w:id="30"/>
    </w:p>
    <w:tbl>
      <w:tblPr>
        <w:tblW w:w="0" w:type="auto"/>
        <w:tblInd w:w="-9" w:type="dxa"/>
        <w:tblLayout w:type="fixed"/>
        <w:tblLook w:val="04A0" w:firstRow="1" w:lastRow="0" w:firstColumn="1" w:lastColumn="0" w:noHBand="0" w:noVBand="1"/>
      </w:tblPr>
      <w:tblGrid>
        <w:gridCol w:w="2244"/>
        <w:gridCol w:w="7229"/>
      </w:tblGrid>
      <w:tr w:rsidR="00735227" w:rsidRPr="00E37D68" w14:paraId="5D57E53C" w14:textId="77777777" w:rsidTr="0022758B">
        <w:trPr>
          <w:cantSplit/>
        </w:trPr>
        <w:tc>
          <w:tcPr>
            <w:tcW w:w="2244" w:type="dxa"/>
            <w:shd w:val="clear" w:color="auto" w:fill="auto"/>
          </w:tcPr>
          <w:p w14:paraId="09281104" w14:textId="77777777" w:rsidR="00735227" w:rsidRPr="00513BC3" w:rsidRDefault="00735227" w:rsidP="00513BC3">
            <w:pPr>
              <w:spacing w:before="120"/>
              <w:rPr>
                <w:b/>
                <w:sz w:val="20"/>
              </w:rPr>
            </w:pPr>
            <w:r w:rsidRPr="00513BC3">
              <w:rPr>
                <w:b/>
                <w:sz w:val="20"/>
              </w:rPr>
              <w:t>AUDIT</w:t>
            </w:r>
          </w:p>
        </w:tc>
        <w:tc>
          <w:tcPr>
            <w:tcW w:w="7229" w:type="dxa"/>
            <w:shd w:val="clear" w:color="auto" w:fill="auto"/>
          </w:tcPr>
          <w:p w14:paraId="612180D2" w14:textId="77777777" w:rsidR="00735227" w:rsidRPr="00513BC3" w:rsidRDefault="00735227" w:rsidP="00513BC3">
            <w:pPr>
              <w:spacing w:before="120"/>
              <w:rPr>
                <w:sz w:val="20"/>
              </w:rPr>
            </w:pPr>
            <w:r w:rsidRPr="00513BC3">
              <w:rPr>
                <w:sz w:val="20"/>
              </w:rPr>
              <w:t>The Alcohol Use Disorders Identification Test developed by the World Health Organization (WHO). AUDIT comprises 10 questions, including questions about alcohol use, the volume and frequency of alcohol consumed, alcohol-related problems and abnormal drinking behaviour. NZHS participants who had had a drink in the past 12 months were asked the AUDIT questions.</w:t>
            </w:r>
          </w:p>
        </w:tc>
      </w:tr>
      <w:tr w:rsidR="00735227" w:rsidRPr="00E37D68" w14:paraId="4B4501F3" w14:textId="77777777" w:rsidTr="0022758B">
        <w:trPr>
          <w:cantSplit/>
        </w:trPr>
        <w:tc>
          <w:tcPr>
            <w:tcW w:w="2244" w:type="dxa"/>
            <w:shd w:val="clear" w:color="auto" w:fill="auto"/>
          </w:tcPr>
          <w:p w14:paraId="10020CAF" w14:textId="77777777" w:rsidR="00735227" w:rsidRPr="00513BC3" w:rsidRDefault="00735227" w:rsidP="00513BC3">
            <w:pPr>
              <w:spacing w:before="120"/>
              <w:rPr>
                <w:b/>
                <w:sz w:val="20"/>
              </w:rPr>
            </w:pPr>
            <w:r w:rsidRPr="00513BC3">
              <w:rPr>
                <w:b/>
                <w:sz w:val="20"/>
              </w:rPr>
              <w:t>Casual smoker</w:t>
            </w:r>
          </w:p>
        </w:tc>
        <w:tc>
          <w:tcPr>
            <w:tcW w:w="7229" w:type="dxa"/>
            <w:shd w:val="clear" w:color="auto" w:fill="auto"/>
          </w:tcPr>
          <w:p w14:paraId="39AD5FE7" w14:textId="77777777" w:rsidR="00735227" w:rsidRPr="00513BC3" w:rsidRDefault="00735227" w:rsidP="00513BC3">
            <w:pPr>
              <w:spacing w:before="120"/>
              <w:rPr>
                <w:sz w:val="20"/>
              </w:rPr>
            </w:pPr>
            <w:r w:rsidRPr="00513BC3">
              <w:rPr>
                <w:sz w:val="20"/>
              </w:rPr>
              <w:t>Someone who</w:t>
            </w:r>
            <w:r w:rsidRPr="00513BC3">
              <w:rPr>
                <w:i/>
                <w:sz w:val="20"/>
              </w:rPr>
              <w:t xml:space="preserve"> </w:t>
            </w:r>
            <w:r w:rsidRPr="00513BC3">
              <w:rPr>
                <w:sz w:val="20"/>
              </w:rPr>
              <w:t>smokes less</w:t>
            </w:r>
            <w:r w:rsidR="007B6310">
              <w:rPr>
                <w:sz w:val="20"/>
              </w:rPr>
              <w:t xml:space="preserve"> often</w:t>
            </w:r>
            <w:r w:rsidRPr="00513BC3">
              <w:rPr>
                <w:sz w:val="20"/>
              </w:rPr>
              <w:t xml:space="preserve"> than once per month.</w:t>
            </w:r>
          </w:p>
        </w:tc>
      </w:tr>
      <w:tr w:rsidR="00735227" w:rsidRPr="00E37D68" w14:paraId="34F1C4DB" w14:textId="77777777" w:rsidTr="0022758B">
        <w:trPr>
          <w:cantSplit/>
        </w:trPr>
        <w:tc>
          <w:tcPr>
            <w:tcW w:w="2244" w:type="dxa"/>
            <w:shd w:val="clear" w:color="auto" w:fill="auto"/>
          </w:tcPr>
          <w:p w14:paraId="3168A9BC" w14:textId="77777777" w:rsidR="00735227" w:rsidRPr="00513BC3" w:rsidRDefault="00735227" w:rsidP="00513BC3">
            <w:pPr>
              <w:spacing w:before="120"/>
              <w:rPr>
                <w:b/>
                <w:sz w:val="20"/>
              </w:rPr>
            </w:pPr>
            <w:r w:rsidRPr="00513BC3">
              <w:rPr>
                <w:b/>
                <w:sz w:val="20"/>
              </w:rPr>
              <w:t>Current smoker</w:t>
            </w:r>
          </w:p>
        </w:tc>
        <w:tc>
          <w:tcPr>
            <w:tcW w:w="7229" w:type="dxa"/>
            <w:shd w:val="clear" w:color="auto" w:fill="auto"/>
          </w:tcPr>
          <w:p w14:paraId="17445EB3" w14:textId="77777777" w:rsidR="00735227" w:rsidRPr="00513BC3" w:rsidRDefault="00735227" w:rsidP="00513BC3">
            <w:pPr>
              <w:spacing w:before="120"/>
              <w:rPr>
                <w:sz w:val="20"/>
              </w:rPr>
            </w:pPr>
            <w:r w:rsidRPr="00513BC3">
              <w:rPr>
                <w:sz w:val="20"/>
              </w:rPr>
              <w:t>Someone who has smoked more than 100 cigarettes in their lifetime and at the time of the survey was smoking at least once a month.</w:t>
            </w:r>
          </w:p>
        </w:tc>
      </w:tr>
      <w:tr w:rsidR="00735227" w:rsidRPr="00E37D68" w14:paraId="17DF3406" w14:textId="77777777" w:rsidTr="0022758B">
        <w:trPr>
          <w:cantSplit/>
        </w:trPr>
        <w:tc>
          <w:tcPr>
            <w:tcW w:w="2244" w:type="dxa"/>
            <w:shd w:val="clear" w:color="auto" w:fill="auto"/>
          </w:tcPr>
          <w:p w14:paraId="3A19D881" w14:textId="77777777" w:rsidR="00735227" w:rsidRPr="00513BC3" w:rsidRDefault="00735227" w:rsidP="00513BC3">
            <w:pPr>
              <w:spacing w:before="120"/>
              <w:rPr>
                <w:b/>
                <w:sz w:val="20"/>
              </w:rPr>
            </w:pPr>
            <w:r w:rsidRPr="00513BC3">
              <w:rPr>
                <w:b/>
                <w:sz w:val="20"/>
              </w:rPr>
              <w:t>Daily smoker</w:t>
            </w:r>
          </w:p>
        </w:tc>
        <w:tc>
          <w:tcPr>
            <w:tcW w:w="7229" w:type="dxa"/>
            <w:shd w:val="clear" w:color="auto" w:fill="auto"/>
          </w:tcPr>
          <w:p w14:paraId="0C93A9A1" w14:textId="77777777" w:rsidR="00735227" w:rsidRPr="00513BC3" w:rsidRDefault="00735227" w:rsidP="007B6310">
            <w:pPr>
              <w:spacing w:before="120"/>
              <w:rPr>
                <w:sz w:val="20"/>
              </w:rPr>
            </w:pPr>
            <w:r w:rsidRPr="00513BC3">
              <w:rPr>
                <w:sz w:val="20"/>
              </w:rPr>
              <w:t xml:space="preserve">Someone who has smoked more than 100 cigarettes in their lifetime and </w:t>
            </w:r>
            <w:r w:rsidR="007B6310">
              <w:rPr>
                <w:sz w:val="20"/>
              </w:rPr>
              <w:t>at the time of the survey was smoking</w:t>
            </w:r>
            <w:r w:rsidRPr="00513BC3">
              <w:rPr>
                <w:sz w:val="20"/>
              </w:rPr>
              <w:t xml:space="preserve"> at least once a day. In the NZHS and in this report, smoking refers to the use of cigarettes, roll-your-own tobacco, pipes and cigars.</w:t>
            </w:r>
          </w:p>
        </w:tc>
      </w:tr>
      <w:tr w:rsidR="00735227" w:rsidRPr="00E37D68" w14:paraId="5FF2A30A" w14:textId="77777777" w:rsidTr="0022758B">
        <w:trPr>
          <w:cantSplit/>
        </w:trPr>
        <w:tc>
          <w:tcPr>
            <w:tcW w:w="2244" w:type="dxa"/>
            <w:shd w:val="clear" w:color="auto" w:fill="auto"/>
          </w:tcPr>
          <w:p w14:paraId="68DB75F0" w14:textId="77777777" w:rsidR="00735227" w:rsidRPr="00513BC3" w:rsidRDefault="00735227" w:rsidP="00513BC3">
            <w:pPr>
              <w:spacing w:before="120"/>
              <w:rPr>
                <w:b/>
                <w:sz w:val="20"/>
              </w:rPr>
            </w:pPr>
            <w:r w:rsidRPr="00513BC3">
              <w:rPr>
                <w:rFonts w:cs="Arial"/>
                <w:b/>
                <w:color w:val="000000"/>
                <w:sz w:val="20"/>
                <w:szCs w:val="24"/>
              </w:rPr>
              <w:t>Electronic cigarettes (e</w:t>
            </w:r>
            <w:r w:rsidR="00513BC3" w:rsidRPr="00513BC3">
              <w:rPr>
                <w:rFonts w:cs="Arial"/>
                <w:b/>
                <w:color w:val="000000"/>
                <w:sz w:val="20"/>
                <w:szCs w:val="24"/>
              </w:rPr>
              <w:noBreakHyphen/>
            </w:r>
            <w:r w:rsidRPr="00513BC3">
              <w:rPr>
                <w:rFonts w:cs="Arial"/>
                <w:b/>
                <w:color w:val="000000"/>
                <w:sz w:val="20"/>
                <w:szCs w:val="24"/>
              </w:rPr>
              <w:t>cigarettes)</w:t>
            </w:r>
          </w:p>
        </w:tc>
        <w:tc>
          <w:tcPr>
            <w:tcW w:w="7229" w:type="dxa"/>
            <w:shd w:val="clear" w:color="auto" w:fill="auto"/>
          </w:tcPr>
          <w:p w14:paraId="46485506" w14:textId="77777777" w:rsidR="00735227" w:rsidRPr="00513BC3" w:rsidRDefault="00735227" w:rsidP="00497D1A">
            <w:pPr>
              <w:spacing w:before="120"/>
              <w:rPr>
                <w:sz w:val="20"/>
              </w:rPr>
            </w:pPr>
            <w:r w:rsidRPr="00513BC3">
              <w:rPr>
                <w:rFonts w:cs="Arial"/>
                <w:color w:val="000000"/>
                <w:sz w:val="20"/>
                <w:szCs w:val="24"/>
              </w:rPr>
              <w:t>An electronic vaporisation system used to produce an aerosol vapour rather than burning tobacco to produce smoke. The battery-operated device typically contains nicotine and propylene glycol and may include other substances, such as flavourings (for example, tobacco flavour, menthol, etc). E-cigarettes in New</w:t>
            </w:r>
            <w:r w:rsidR="00513BC3">
              <w:rPr>
                <w:rFonts w:cs="Arial"/>
                <w:color w:val="000000"/>
                <w:sz w:val="20"/>
                <w:szCs w:val="24"/>
              </w:rPr>
              <w:t> </w:t>
            </w:r>
            <w:r w:rsidRPr="00513BC3">
              <w:rPr>
                <w:rFonts w:cs="Arial"/>
                <w:color w:val="000000"/>
                <w:sz w:val="20"/>
                <w:szCs w:val="24"/>
              </w:rPr>
              <w:t>Zealand may or may not contain nicotine</w:t>
            </w:r>
            <w:r w:rsidR="00497D1A">
              <w:rPr>
                <w:rFonts w:cs="Arial"/>
                <w:color w:val="000000"/>
                <w:sz w:val="20"/>
                <w:szCs w:val="24"/>
              </w:rPr>
              <w:t>.</w:t>
            </w:r>
          </w:p>
        </w:tc>
      </w:tr>
      <w:tr w:rsidR="00735227" w:rsidRPr="00E37D68" w14:paraId="0FE1BE2D" w14:textId="77777777" w:rsidTr="0022758B">
        <w:trPr>
          <w:cantSplit/>
        </w:trPr>
        <w:tc>
          <w:tcPr>
            <w:tcW w:w="2244" w:type="dxa"/>
            <w:shd w:val="clear" w:color="auto" w:fill="auto"/>
          </w:tcPr>
          <w:p w14:paraId="7A65AAFE" w14:textId="77777777" w:rsidR="00735227" w:rsidRPr="00513BC3" w:rsidRDefault="00735227" w:rsidP="00513BC3">
            <w:pPr>
              <w:spacing w:before="120"/>
              <w:rPr>
                <w:b/>
                <w:sz w:val="20"/>
              </w:rPr>
            </w:pPr>
            <w:r w:rsidRPr="00513BC3">
              <w:rPr>
                <w:b/>
                <w:sz w:val="20"/>
              </w:rPr>
              <w:t>Ex-smoker</w:t>
            </w:r>
          </w:p>
        </w:tc>
        <w:tc>
          <w:tcPr>
            <w:tcW w:w="7229" w:type="dxa"/>
            <w:shd w:val="clear" w:color="auto" w:fill="auto"/>
          </w:tcPr>
          <w:p w14:paraId="295DD5D9" w14:textId="77777777" w:rsidR="00735227" w:rsidRPr="00513BC3" w:rsidRDefault="00735227" w:rsidP="00513BC3">
            <w:pPr>
              <w:spacing w:before="120"/>
              <w:rPr>
                <w:sz w:val="20"/>
              </w:rPr>
            </w:pPr>
            <w:r w:rsidRPr="00513BC3">
              <w:rPr>
                <w:sz w:val="20"/>
              </w:rPr>
              <w:t>Someone who has smoked more than 100 cigarettes in their lifetime and at the time of the survey had not smoked for at least a month.</w:t>
            </w:r>
          </w:p>
        </w:tc>
      </w:tr>
      <w:tr w:rsidR="00735227" w:rsidRPr="00E37D68" w14:paraId="4C2215E7" w14:textId="77777777" w:rsidTr="0022758B">
        <w:trPr>
          <w:cantSplit/>
        </w:trPr>
        <w:tc>
          <w:tcPr>
            <w:tcW w:w="2244" w:type="dxa"/>
            <w:shd w:val="clear" w:color="auto" w:fill="auto"/>
          </w:tcPr>
          <w:p w14:paraId="62497DBE" w14:textId="77777777" w:rsidR="00735227" w:rsidRPr="00513BC3" w:rsidRDefault="00735227" w:rsidP="00513BC3">
            <w:pPr>
              <w:spacing w:before="120"/>
              <w:rPr>
                <w:b/>
                <w:sz w:val="20"/>
              </w:rPr>
            </w:pPr>
            <w:r w:rsidRPr="00513BC3">
              <w:rPr>
                <w:b/>
                <w:sz w:val="20"/>
              </w:rPr>
              <w:t>Manufactured cigarette</w:t>
            </w:r>
          </w:p>
        </w:tc>
        <w:tc>
          <w:tcPr>
            <w:tcW w:w="7229" w:type="dxa"/>
            <w:shd w:val="clear" w:color="auto" w:fill="auto"/>
          </w:tcPr>
          <w:p w14:paraId="3869C11C" w14:textId="77777777" w:rsidR="00735227" w:rsidRPr="00513BC3" w:rsidRDefault="00735227" w:rsidP="00BB327A">
            <w:pPr>
              <w:spacing w:before="120"/>
              <w:rPr>
                <w:sz w:val="20"/>
              </w:rPr>
            </w:pPr>
            <w:r w:rsidRPr="00513BC3">
              <w:rPr>
                <w:sz w:val="20"/>
                <w:szCs w:val="24"/>
              </w:rPr>
              <w:t xml:space="preserve">Also known as a tailor-made, ready-made or factory-made cigarette. </w:t>
            </w:r>
          </w:p>
        </w:tc>
      </w:tr>
      <w:tr w:rsidR="00735227" w:rsidRPr="00E37D68" w14:paraId="755F1226" w14:textId="77777777" w:rsidTr="0022758B">
        <w:trPr>
          <w:cantSplit/>
        </w:trPr>
        <w:tc>
          <w:tcPr>
            <w:tcW w:w="2244" w:type="dxa"/>
            <w:shd w:val="clear" w:color="auto" w:fill="auto"/>
          </w:tcPr>
          <w:p w14:paraId="52AF2ABD" w14:textId="77777777" w:rsidR="00735227" w:rsidRPr="00513BC3" w:rsidRDefault="00735227" w:rsidP="00513BC3">
            <w:pPr>
              <w:spacing w:before="120"/>
              <w:rPr>
                <w:b/>
                <w:sz w:val="20"/>
              </w:rPr>
            </w:pPr>
            <w:r w:rsidRPr="00513BC3">
              <w:rPr>
                <w:b/>
                <w:sz w:val="20"/>
              </w:rPr>
              <w:t>Non-smoker</w:t>
            </w:r>
          </w:p>
        </w:tc>
        <w:tc>
          <w:tcPr>
            <w:tcW w:w="7229" w:type="dxa"/>
            <w:shd w:val="clear" w:color="auto" w:fill="auto"/>
          </w:tcPr>
          <w:p w14:paraId="25077D1D" w14:textId="77777777" w:rsidR="00735227" w:rsidRPr="00513BC3" w:rsidRDefault="00735227" w:rsidP="00513BC3">
            <w:pPr>
              <w:spacing w:before="120"/>
              <w:rPr>
                <w:sz w:val="20"/>
              </w:rPr>
            </w:pPr>
            <w:r w:rsidRPr="00513BC3">
              <w:rPr>
                <w:sz w:val="20"/>
              </w:rPr>
              <w:t>Someone who at the time of the NZHS did not smoke at all. Non-smokers include:</w:t>
            </w:r>
          </w:p>
          <w:p w14:paraId="2B577CF4" w14:textId="77777777" w:rsidR="00735227" w:rsidRPr="00513BC3" w:rsidRDefault="00735227" w:rsidP="00513BC3">
            <w:pPr>
              <w:pStyle w:val="Bullet"/>
              <w:spacing w:before="60"/>
              <w:rPr>
                <w:sz w:val="20"/>
              </w:rPr>
            </w:pPr>
            <w:r w:rsidRPr="00513BC3">
              <w:rPr>
                <w:sz w:val="20"/>
              </w:rPr>
              <w:t>ex-smokers (people who were formerly current smokers but at the time of the survey did not smoke at all)</w:t>
            </w:r>
          </w:p>
          <w:p w14:paraId="5661780D" w14:textId="77777777" w:rsidR="00735227" w:rsidRPr="00513BC3" w:rsidRDefault="00735227" w:rsidP="00513BC3">
            <w:pPr>
              <w:pStyle w:val="Bullet"/>
              <w:spacing w:before="60"/>
              <w:rPr>
                <w:sz w:val="20"/>
              </w:rPr>
            </w:pPr>
            <w:r w:rsidRPr="00513BC3">
              <w:rPr>
                <w:sz w:val="20"/>
              </w:rPr>
              <w:t>people who have not smoked more than 100 cigarettes in their lifetime</w:t>
            </w:r>
          </w:p>
          <w:p w14:paraId="74477BA3" w14:textId="77777777" w:rsidR="00735227" w:rsidRPr="00513BC3" w:rsidRDefault="00735227" w:rsidP="00513BC3">
            <w:pPr>
              <w:pStyle w:val="Bullet"/>
              <w:spacing w:before="60"/>
            </w:pPr>
            <w:r w:rsidRPr="00513BC3">
              <w:rPr>
                <w:sz w:val="20"/>
              </w:rPr>
              <w:t>people who have never smoked.</w:t>
            </w:r>
          </w:p>
        </w:tc>
      </w:tr>
      <w:tr w:rsidR="00735227" w:rsidRPr="00E37D68" w14:paraId="7826298F" w14:textId="77777777" w:rsidTr="0022758B">
        <w:trPr>
          <w:cantSplit/>
        </w:trPr>
        <w:tc>
          <w:tcPr>
            <w:tcW w:w="2244" w:type="dxa"/>
            <w:shd w:val="clear" w:color="auto" w:fill="auto"/>
          </w:tcPr>
          <w:p w14:paraId="5B483869" w14:textId="77777777" w:rsidR="00735227" w:rsidRPr="00513BC3" w:rsidRDefault="00735227" w:rsidP="00513BC3">
            <w:pPr>
              <w:spacing w:before="120"/>
              <w:rPr>
                <w:b/>
                <w:sz w:val="20"/>
              </w:rPr>
            </w:pPr>
            <w:r w:rsidRPr="00513BC3">
              <w:rPr>
                <w:b/>
                <w:sz w:val="20"/>
              </w:rPr>
              <w:t>Recent quit attempter</w:t>
            </w:r>
          </w:p>
        </w:tc>
        <w:tc>
          <w:tcPr>
            <w:tcW w:w="7229" w:type="dxa"/>
            <w:shd w:val="clear" w:color="auto" w:fill="auto"/>
          </w:tcPr>
          <w:p w14:paraId="7CA8F0AD" w14:textId="77777777" w:rsidR="00735227" w:rsidRPr="00513BC3" w:rsidRDefault="00735227" w:rsidP="00513BC3">
            <w:pPr>
              <w:spacing w:before="120"/>
              <w:rPr>
                <w:sz w:val="20"/>
              </w:rPr>
            </w:pPr>
            <w:r w:rsidRPr="00513BC3">
              <w:rPr>
                <w:sz w:val="20"/>
              </w:rPr>
              <w:t>Someone who has made a quit attempt in the past 12 months.</w:t>
            </w:r>
          </w:p>
        </w:tc>
      </w:tr>
      <w:tr w:rsidR="00735227" w:rsidRPr="00E37D68" w14:paraId="06ACFA72" w14:textId="77777777" w:rsidTr="0022758B">
        <w:trPr>
          <w:cantSplit/>
        </w:trPr>
        <w:tc>
          <w:tcPr>
            <w:tcW w:w="2244" w:type="dxa"/>
            <w:shd w:val="clear" w:color="auto" w:fill="auto"/>
          </w:tcPr>
          <w:p w14:paraId="6B1557F2" w14:textId="77777777" w:rsidR="00735227" w:rsidRPr="00513BC3" w:rsidRDefault="00735227" w:rsidP="00513BC3">
            <w:pPr>
              <w:spacing w:before="120"/>
              <w:rPr>
                <w:b/>
                <w:sz w:val="20"/>
              </w:rPr>
            </w:pPr>
            <w:r w:rsidRPr="00513BC3">
              <w:rPr>
                <w:b/>
                <w:sz w:val="20"/>
              </w:rPr>
              <w:t>Roll-your-own (RYO) cigarette</w:t>
            </w:r>
          </w:p>
        </w:tc>
        <w:tc>
          <w:tcPr>
            <w:tcW w:w="7229" w:type="dxa"/>
            <w:shd w:val="clear" w:color="auto" w:fill="auto"/>
          </w:tcPr>
          <w:p w14:paraId="2CDBC8A4" w14:textId="365A32A0" w:rsidR="00735227" w:rsidRPr="00513BC3" w:rsidRDefault="00EF1A37" w:rsidP="009B1F3B">
            <w:pPr>
              <w:spacing w:before="120"/>
              <w:rPr>
                <w:sz w:val="20"/>
                <w:szCs w:val="24"/>
              </w:rPr>
            </w:pPr>
            <w:r>
              <w:rPr>
                <w:sz w:val="20"/>
                <w:szCs w:val="24"/>
              </w:rPr>
              <w:t>Also known as a rollie.</w:t>
            </w:r>
          </w:p>
        </w:tc>
      </w:tr>
      <w:tr w:rsidR="00735227" w:rsidRPr="00E37D68" w14:paraId="382A75B2" w14:textId="77777777" w:rsidTr="0022758B">
        <w:trPr>
          <w:cantSplit/>
        </w:trPr>
        <w:tc>
          <w:tcPr>
            <w:tcW w:w="2244" w:type="dxa"/>
            <w:shd w:val="clear" w:color="auto" w:fill="auto"/>
          </w:tcPr>
          <w:p w14:paraId="3510AA1A" w14:textId="77777777" w:rsidR="00735227" w:rsidRPr="00513BC3" w:rsidRDefault="00735227" w:rsidP="00513BC3">
            <w:pPr>
              <w:spacing w:before="120"/>
              <w:rPr>
                <w:b/>
                <w:sz w:val="20"/>
              </w:rPr>
            </w:pPr>
            <w:r w:rsidRPr="00513BC3">
              <w:rPr>
                <w:b/>
                <w:sz w:val="20"/>
              </w:rPr>
              <w:t>Smoking initiation</w:t>
            </w:r>
          </w:p>
        </w:tc>
        <w:tc>
          <w:tcPr>
            <w:tcW w:w="7229" w:type="dxa"/>
            <w:shd w:val="clear" w:color="auto" w:fill="auto"/>
          </w:tcPr>
          <w:p w14:paraId="5B5A743F" w14:textId="77777777" w:rsidR="00735227" w:rsidRPr="00513BC3" w:rsidRDefault="00735227" w:rsidP="00513BC3">
            <w:pPr>
              <w:spacing w:before="120"/>
              <w:rPr>
                <w:sz w:val="20"/>
              </w:rPr>
            </w:pPr>
            <w:r w:rsidRPr="00513BC3">
              <w:rPr>
                <w:sz w:val="20"/>
              </w:rPr>
              <w:t>The time</w:t>
            </w:r>
            <w:r w:rsidRPr="00513BC3">
              <w:rPr>
                <w:rFonts w:cs="Arial"/>
                <w:sz w:val="20"/>
                <w:szCs w:val="24"/>
              </w:rPr>
              <w:t xml:space="preserve"> when an individual smoked their first cigarette (may have been just a few puffs).</w:t>
            </w:r>
          </w:p>
        </w:tc>
      </w:tr>
      <w:tr w:rsidR="00735227" w:rsidRPr="00E37D68" w14:paraId="4389D817" w14:textId="77777777" w:rsidTr="0022758B">
        <w:trPr>
          <w:cantSplit/>
        </w:trPr>
        <w:tc>
          <w:tcPr>
            <w:tcW w:w="2244" w:type="dxa"/>
            <w:shd w:val="clear" w:color="auto" w:fill="auto"/>
          </w:tcPr>
          <w:p w14:paraId="4FF1FB37" w14:textId="77777777" w:rsidR="00735227" w:rsidRPr="00513BC3" w:rsidRDefault="00735227" w:rsidP="00513BC3">
            <w:pPr>
              <w:spacing w:before="120"/>
              <w:rPr>
                <w:b/>
                <w:sz w:val="20"/>
              </w:rPr>
            </w:pPr>
            <w:r w:rsidRPr="00513BC3">
              <w:rPr>
                <w:b/>
                <w:sz w:val="20"/>
              </w:rPr>
              <w:t>Smoking uptake</w:t>
            </w:r>
          </w:p>
        </w:tc>
        <w:tc>
          <w:tcPr>
            <w:tcW w:w="7229" w:type="dxa"/>
            <w:shd w:val="clear" w:color="auto" w:fill="auto"/>
          </w:tcPr>
          <w:p w14:paraId="113F46BF" w14:textId="77777777" w:rsidR="00735227" w:rsidRPr="00513BC3" w:rsidRDefault="00735227" w:rsidP="00513BC3">
            <w:pPr>
              <w:spacing w:before="120"/>
              <w:rPr>
                <w:sz w:val="20"/>
              </w:rPr>
            </w:pPr>
            <w:r w:rsidRPr="00513BC3">
              <w:rPr>
                <w:sz w:val="20"/>
              </w:rPr>
              <w:t>When an individual starts smoking daily.</w:t>
            </w:r>
          </w:p>
        </w:tc>
      </w:tr>
      <w:tr w:rsidR="00735227" w:rsidRPr="00E37D68" w14:paraId="171AC6C7" w14:textId="77777777" w:rsidTr="0022758B">
        <w:trPr>
          <w:cantSplit/>
        </w:trPr>
        <w:tc>
          <w:tcPr>
            <w:tcW w:w="2244" w:type="dxa"/>
            <w:shd w:val="clear" w:color="auto" w:fill="auto"/>
          </w:tcPr>
          <w:p w14:paraId="1A33C7DE" w14:textId="77777777" w:rsidR="00735227" w:rsidRPr="00513BC3" w:rsidRDefault="00735227" w:rsidP="00513BC3">
            <w:pPr>
              <w:spacing w:before="120"/>
              <w:rPr>
                <w:b/>
                <w:sz w:val="20"/>
              </w:rPr>
            </w:pPr>
            <w:r w:rsidRPr="00513BC3">
              <w:rPr>
                <w:b/>
                <w:sz w:val="20"/>
              </w:rPr>
              <w:t>Successful quitting</w:t>
            </w:r>
          </w:p>
        </w:tc>
        <w:tc>
          <w:tcPr>
            <w:tcW w:w="7229" w:type="dxa"/>
            <w:shd w:val="clear" w:color="auto" w:fill="auto"/>
          </w:tcPr>
          <w:p w14:paraId="4F875D80" w14:textId="164CE976" w:rsidR="00735227" w:rsidRPr="00513BC3" w:rsidRDefault="00735227" w:rsidP="00EF1A37">
            <w:pPr>
              <w:spacing w:before="120"/>
              <w:rPr>
                <w:sz w:val="20"/>
              </w:rPr>
            </w:pPr>
            <w:r w:rsidRPr="00513BC3">
              <w:rPr>
                <w:sz w:val="20"/>
              </w:rPr>
              <w:t xml:space="preserve">Having quit smoking within the last </w:t>
            </w:r>
            <w:r w:rsidR="00EF1A37">
              <w:rPr>
                <w:sz w:val="20"/>
              </w:rPr>
              <w:t xml:space="preserve">1 </w:t>
            </w:r>
            <w:r w:rsidR="00497D1A">
              <w:rPr>
                <w:sz w:val="20"/>
              </w:rPr>
              <w:t xml:space="preserve">to </w:t>
            </w:r>
            <w:r w:rsidR="00EF1A37">
              <w:rPr>
                <w:sz w:val="20"/>
              </w:rPr>
              <w:t>12</w:t>
            </w:r>
            <w:r w:rsidR="00497D1A">
              <w:rPr>
                <w:sz w:val="20"/>
              </w:rPr>
              <w:t xml:space="preserve"> months and has remained</w:t>
            </w:r>
            <w:r w:rsidRPr="00513BC3">
              <w:rPr>
                <w:sz w:val="20"/>
              </w:rPr>
              <w:t xml:space="preserve"> abstinent since then.</w:t>
            </w:r>
          </w:p>
        </w:tc>
      </w:tr>
      <w:tr w:rsidR="00735227" w:rsidRPr="00E37D68" w14:paraId="0AEC1DB6" w14:textId="77777777" w:rsidTr="0022758B">
        <w:trPr>
          <w:cantSplit/>
        </w:trPr>
        <w:tc>
          <w:tcPr>
            <w:tcW w:w="2244" w:type="dxa"/>
            <w:shd w:val="clear" w:color="auto" w:fill="auto"/>
          </w:tcPr>
          <w:p w14:paraId="79487A82" w14:textId="77777777" w:rsidR="00735227" w:rsidRPr="00513BC3" w:rsidRDefault="00735227" w:rsidP="00513BC3">
            <w:pPr>
              <w:spacing w:before="120"/>
              <w:rPr>
                <w:b/>
                <w:sz w:val="20"/>
              </w:rPr>
            </w:pPr>
            <w:r w:rsidRPr="00513BC3">
              <w:rPr>
                <w:b/>
                <w:i/>
                <w:sz w:val="20"/>
              </w:rPr>
              <w:t>The New Zealand Guidelines for Helping People to Stop Smoking</w:t>
            </w:r>
          </w:p>
        </w:tc>
        <w:tc>
          <w:tcPr>
            <w:tcW w:w="7229" w:type="dxa"/>
            <w:shd w:val="clear" w:color="auto" w:fill="auto"/>
          </w:tcPr>
          <w:p w14:paraId="6C90D299" w14:textId="77777777" w:rsidR="00735227" w:rsidRPr="00513BC3" w:rsidRDefault="00735227" w:rsidP="00513BC3">
            <w:pPr>
              <w:spacing w:before="120"/>
              <w:rPr>
                <w:sz w:val="20"/>
              </w:rPr>
            </w:pPr>
            <w:r w:rsidRPr="00513BC3">
              <w:rPr>
                <w:sz w:val="20"/>
              </w:rPr>
              <w:t xml:space="preserve">A set of guidelines that provide advice for health care workers who are dealing with people who smoke. The guidelines are structured around the ABC pathway for stopping smoking, which requires health care workers to </w:t>
            </w:r>
            <w:r w:rsidRPr="00513BC3">
              <w:rPr>
                <w:b/>
                <w:sz w:val="20"/>
              </w:rPr>
              <w:t>Ask</w:t>
            </w:r>
            <w:r w:rsidRPr="00513BC3">
              <w:rPr>
                <w:sz w:val="20"/>
              </w:rPr>
              <w:t xml:space="preserve"> about smoking status, give </w:t>
            </w:r>
            <w:r w:rsidRPr="00513BC3">
              <w:rPr>
                <w:b/>
                <w:sz w:val="20"/>
              </w:rPr>
              <w:t>Brief</w:t>
            </w:r>
            <w:r w:rsidRPr="00513BC3">
              <w:rPr>
                <w:sz w:val="20"/>
              </w:rPr>
              <w:t xml:space="preserve"> advice to stop smoking to all smokers and provide evidence-based </w:t>
            </w:r>
            <w:r w:rsidRPr="00513BC3">
              <w:rPr>
                <w:b/>
                <w:sz w:val="20"/>
              </w:rPr>
              <w:t>Cessation</w:t>
            </w:r>
            <w:r w:rsidRPr="00513BC3">
              <w:rPr>
                <w:sz w:val="20"/>
              </w:rPr>
              <w:t xml:space="preserve"> support for those who wish to stop smoking.</w:t>
            </w:r>
          </w:p>
        </w:tc>
      </w:tr>
    </w:tbl>
    <w:p w14:paraId="1F3C98C6" w14:textId="74595881" w:rsidR="00C86248" w:rsidRDefault="00C86248" w:rsidP="00EF1A37"/>
    <w:p w14:paraId="72BDAC9B" w14:textId="77777777" w:rsidR="00C86248" w:rsidRDefault="00C86248">
      <w:pPr>
        <w:sectPr w:rsidR="00C86248"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14:paraId="7193BDDA" w14:textId="77777777" w:rsidR="008C2973" w:rsidRDefault="0086388B" w:rsidP="0022758B">
      <w:pPr>
        <w:pStyle w:val="Heading1"/>
      </w:pPr>
      <w:bookmarkStart w:id="31" w:name="_Toc404091069"/>
      <w:r>
        <w:t>Introduction</w:t>
      </w:r>
      <w:bookmarkEnd w:id="31"/>
    </w:p>
    <w:p w14:paraId="4BE744AA" w14:textId="77777777" w:rsidR="00735227" w:rsidRPr="004B7288" w:rsidRDefault="00735227" w:rsidP="0022758B">
      <w:pPr>
        <w:pStyle w:val="Heading2"/>
      </w:pPr>
      <w:bookmarkStart w:id="32" w:name="_Toc400136597"/>
      <w:bookmarkStart w:id="33" w:name="_Toc404091070"/>
      <w:r w:rsidRPr="004B7288">
        <w:t>Smokefree 2025: how are we progressing towards this goal?</w:t>
      </w:r>
      <w:bookmarkEnd w:id="32"/>
      <w:bookmarkEnd w:id="33"/>
    </w:p>
    <w:p w14:paraId="0241F9F7" w14:textId="5F7569A4" w:rsidR="00735227" w:rsidRPr="004B7288" w:rsidRDefault="00735227" w:rsidP="0022758B">
      <w:r w:rsidRPr="004B7288">
        <w:t>In March 2011</w:t>
      </w:r>
      <w:r>
        <w:t>,</w:t>
      </w:r>
      <w:r w:rsidRPr="004B7288">
        <w:t xml:space="preserve"> the New Zealand Government agreed to </w:t>
      </w:r>
      <w:r w:rsidR="00AA2408">
        <w:t>“</w:t>
      </w:r>
      <w:r w:rsidRPr="004B7288">
        <w:t>a longer term goal of reducing smoking prevalence and tobacco availability to minimal levels, thereby making New Zealand essentially a smoke-free nation by 2025</w:t>
      </w:r>
      <w:r w:rsidR="00AA2408">
        <w:t>”</w:t>
      </w:r>
      <w:r w:rsidRPr="004B7288">
        <w:t xml:space="preserve"> (Ministry of Health 2011). This aspirational goal has been widely interpreted to mean reducing daily smoking prevale</w:t>
      </w:r>
      <w:r w:rsidR="008E6A33">
        <w:t>nce to less than</w:t>
      </w:r>
      <w:r w:rsidRPr="004B7288">
        <w:t xml:space="preserve"> 5% by 2025.</w:t>
      </w:r>
    </w:p>
    <w:p w14:paraId="381F21CB" w14:textId="77777777" w:rsidR="0022758B" w:rsidRDefault="0022758B" w:rsidP="0022758B"/>
    <w:p w14:paraId="1D6030E8" w14:textId="77777777" w:rsidR="007066D2" w:rsidRDefault="00735227" w:rsidP="0022758B">
      <w:r w:rsidRPr="004B7288">
        <w:t xml:space="preserve">To achieve the </w:t>
      </w:r>
      <w:r>
        <w:t>2025</w:t>
      </w:r>
      <w:r w:rsidRPr="004B7288">
        <w:t xml:space="preserve"> smokefree goal</w:t>
      </w:r>
      <w:r>
        <w:t>,</w:t>
      </w:r>
      <w:r w:rsidRPr="004B7288">
        <w:t xml:space="preserve"> the Government has set mid-term targets for reductions in smoking prevalence. These are </w:t>
      </w:r>
      <w:r>
        <w:t>to have</w:t>
      </w:r>
      <w:r w:rsidRPr="004B7288">
        <w:t xml:space="preserve"> the</w:t>
      </w:r>
      <w:r>
        <w:t xml:space="preserve"> total</w:t>
      </w:r>
      <w:r w:rsidRPr="004B7288">
        <w:t xml:space="preserve"> adult daily smoking prevalenc</w:t>
      </w:r>
      <w:r>
        <w:t>e fall to 10% by 2018 and to have Māori and</w:t>
      </w:r>
      <w:r w:rsidRPr="004B7288">
        <w:t xml:space="preserve"> Pacific daily smoking prevalence in 201</w:t>
      </w:r>
      <w:r>
        <w:t>8 halved from their 2011/12 levels</w:t>
      </w:r>
      <w:r w:rsidR="00B252AD">
        <w:t>.</w:t>
      </w:r>
    </w:p>
    <w:p w14:paraId="0E40FBB1" w14:textId="77777777" w:rsidR="00735227" w:rsidRDefault="00735227" w:rsidP="0022758B">
      <w:pPr>
        <w:rPr>
          <w:lang w:val="en"/>
        </w:rPr>
      </w:pPr>
    </w:p>
    <w:p w14:paraId="6E046CBF" w14:textId="77777777" w:rsidR="00735227" w:rsidRPr="004B7288" w:rsidRDefault="00735227" w:rsidP="0022758B">
      <w:pPr>
        <w:rPr>
          <w:lang w:val="en"/>
        </w:rPr>
      </w:pPr>
      <w:r w:rsidRPr="004B7288">
        <w:rPr>
          <w:lang w:val="en"/>
        </w:rPr>
        <w:t>In 2011/12</w:t>
      </w:r>
      <w:r>
        <w:rPr>
          <w:lang w:val="en"/>
        </w:rPr>
        <w:t>,</w:t>
      </w:r>
      <w:r w:rsidRPr="004B7288">
        <w:rPr>
          <w:lang w:val="en"/>
        </w:rPr>
        <w:t xml:space="preserve"> one in six (17%) adults was a daily smoker. Smoking rates for Māor</w:t>
      </w:r>
      <w:r w:rsidR="00B252AD">
        <w:rPr>
          <w:lang w:val="en"/>
        </w:rPr>
        <w:t>i however remained high, with 39</w:t>
      </w:r>
      <w:r w:rsidRPr="004B7288">
        <w:rPr>
          <w:lang w:val="en"/>
        </w:rPr>
        <w:t>% of Māori adults continuing to smoke daily.</w:t>
      </w:r>
    </w:p>
    <w:p w14:paraId="3ACCC51C" w14:textId="77777777" w:rsidR="00735227" w:rsidRDefault="00735227" w:rsidP="0022758B"/>
    <w:p w14:paraId="5CB2A866" w14:textId="77777777" w:rsidR="007066D2" w:rsidRDefault="00735227" w:rsidP="00735227">
      <w:pPr>
        <w:jc w:val="both"/>
        <w:rPr>
          <w:szCs w:val="22"/>
        </w:rPr>
      </w:pPr>
      <w:r w:rsidRPr="004B7288">
        <w:rPr>
          <w:szCs w:val="22"/>
        </w:rPr>
        <w:t>This</w:t>
      </w:r>
      <w:r w:rsidRPr="0022758B">
        <w:t xml:space="preserve"> </w:t>
      </w:r>
      <w:r w:rsidRPr="004B7288">
        <w:rPr>
          <w:szCs w:val="22"/>
        </w:rPr>
        <w:t xml:space="preserve">report </w:t>
      </w:r>
      <w:r>
        <w:rPr>
          <w:szCs w:val="22"/>
        </w:rPr>
        <w:t>shows</w:t>
      </w:r>
      <w:r w:rsidRPr="004B7288">
        <w:rPr>
          <w:szCs w:val="22"/>
        </w:rPr>
        <w:t xml:space="preserve"> how well New Zealand is progressing towards being smokefree in 2025 by providing a snapshot of</w:t>
      </w:r>
      <w:r>
        <w:rPr>
          <w:szCs w:val="22"/>
        </w:rPr>
        <w:t xml:space="preserve"> tobacco use in New Zealand, </w:t>
      </w:r>
      <w:r w:rsidRPr="004B7288">
        <w:rPr>
          <w:szCs w:val="22"/>
        </w:rPr>
        <w:t>using data from the 2012/13 New Zealand Health Survey (NZHS).</w:t>
      </w:r>
    </w:p>
    <w:p w14:paraId="4CF33A1B" w14:textId="77777777" w:rsidR="00735227" w:rsidRDefault="00735227" w:rsidP="0022758B"/>
    <w:p w14:paraId="2A08EA9D" w14:textId="77777777" w:rsidR="00735227" w:rsidRPr="004B7288" w:rsidRDefault="00735227" w:rsidP="0022758B">
      <w:r>
        <w:t>The report</w:t>
      </w:r>
      <w:r w:rsidR="001E3188">
        <w:t xml:space="preserve"> answers four key questions.</w:t>
      </w:r>
    </w:p>
    <w:p w14:paraId="331D437B" w14:textId="6182ECE2" w:rsidR="007066D2" w:rsidRPr="001E3188" w:rsidRDefault="00EF1A37" w:rsidP="00EF1A37">
      <w:pPr>
        <w:spacing w:before="120"/>
      </w:pPr>
      <w:r>
        <w:t>1.</w:t>
      </w:r>
      <w:r>
        <w:tab/>
      </w:r>
      <w:r w:rsidR="00735227" w:rsidRPr="00EF1A37">
        <w:rPr>
          <w:b/>
        </w:rPr>
        <w:t>Who is smoking and what are they smoking?</w:t>
      </w:r>
    </w:p>
    <w:p w14:paraId="04B2933D" w14:textId="77777777" w:rsidR="007066D2" w:rsidRDefault="00735227" w:rsidP="0022758B">
      <w:pPr>
        <w:ind w:left="567"/>
      </w:pPr>
      <w:r w:rsidRPr="00931DC7">
        <w:t>Key findings are presented on daily and current smoking, behaviours associated with smoking, types of tobacco products consumed, and access and source of cigarettes and other tobacco products.</w:t>
      </w:r>
    </w:p>
    <w:p w14:paraId="51C73E8F" w14:textId="77777777" w:rsidR="00735227" w:rsidRPr="0022758B" w:rsidRDefault="0022758B" w:rsidP="0022758B">
      <w:pPr>
        <w:spacing w:before="120"/>
        <w:ind w:left="567" w:hanging="567"/>
        <w:rPr>
          <w:b/>
        </w:rPr>
      </w:pPr>
      <w:r>
        <w:t>2.</w:t>
      </w:r>
      <w:r>
        <w:tab/>
      </w:r>
      <w:r w:rsidR="00735227" w:rsidRPr="0022758B">
        <w:rPr>
          <w:b/>
        </w:rPr>
        <w:t>What is the mean age of initiation and uptake and how is this changing over time?</w:t>
      </w:r>
    </w:p>
    <w:p w14:paraId="63B7E504" w14:textId="77777777" w:rsidR="00735227" w:rsidRPr="004B7288" w:rsidRDefault="00735227" w:rsidP="0022758B">
      <w:pPr>
        <w:ind w:left="567"/>
      </w:pPr>
      <w:r w:rsidRPr="004B7288">
        <w:t>Trend</w:t>
      </w:r>
      <w:r>
        <w:t>s</w:t>
      </w:r>
      <w:r w:rsidRPr="004B7288">
        <w:t xml:space="preserve"> </w:t>
      </w:r>
      <w:r>
        <w:t>in the</w:t>
      </w:r>
      <w:r w:rsidRPr="004B7288">
        <w:t xml:space="preserve"> age of first experience of smoking a</w:t>
      </w:r>
      <w:r>
        <w:t>nd progression to daily smoking are presented.</w:t>
      </w:r>
    </w:p>
    <w:p w14:paraId="20D9A7F7" w14:textId="77777777" w:rsidR="00735227" w:rsidRPr="0022758B" w:rsidRDefault="0022758B" w:rsidP="0022758B">
      <w:pPr>
        <w:spacing w:before="120"/>
        <w:ind w:left="567" w:hanging="567"/>
        <w:rPr>
          <w:b/>
        </w:rPr>
      </w:pPr>
      <w:r>
        <w:t>3.</w:t>
      </w:r>
      <w:r>
        <w:tab/>
      </w:r>
      <w:r w:rsidR="00735227" w:rsidRPr="0022758B">
        <w:rPr>
          <w:b/>
        </w:rPr>
        <w:t>Who is quitting and how are they quitting?</w:t>
      </w:r>
    </w:p>
    <w:p w14:paraId="590D7C94" w14:textId="77777777" w:rsidR="00735227" w:rsidRPr="004B7288" w:rsidRDefault="00B252AD" w:rsidP="0022758B">
      <w:pPr>
        <w:ind w:left="567"/>
      </w:pPr>
      <w:r>
        <w:t>Detailed data is</w:t>
      </w:r>
      <w:r w:rsidR="00735227" w:rsidRPr="004B7288">
        <w:t xml:space="preserve"> provided on quitting behaviour</w:t>
      </w:r>
      <w:r w:rsidR="00735227">
        <w:t>,</w:t>
      </w:r>
      <w:r w:rsidR="00735227" w:rsidRPr="004B7288">
        <w:t xml:space="preserve"> including </w:t>
      </w:r>
      <w:r w:rsidR="00735227">
        <w:t xml:space="preserve">the </w:t>
      </w:r>
      <w:r w:rsidR="00735227" w:rsidRPr="004B7288">
        <w:t>history of quit attempts and the use of quitting programmes/services, attitudes to quitting and the use of services and health professionals to aid smoking cessation.</w:t>
      </w:r>
    </w:p>
    <w:p w14:paraId="75712F66" w14:textId="77777777" w:rsidR="00735227" w:rsidRPr="0022758B" w:rsidRDefault="0022758B" w:rsidP="0022758B">
      <w:pPr>
        <w:spacing w:before="120"/>
        <w:ind w:left="567" w:hanging="567"/>
        <w:rPr>
          <w:b/>
          <w:szCs w:val="24"/>
        </w:rPr>
      </w:pPr>
      <w:r>
        <w:rPr>
          <w:szCs w:val="24"/>
        </w:rPr>
        <w:t>4.</w:t>
      </w:r>
      <w:r>
        <w:rPr>
          <w:szCs w:val="24"/>
        </w:rPr>
        <w:tab/>
      </w:r>
      <w:r w:rsidR="00735227" w:rsidRPr="0022758B">
        <w:rPr>
          <w:b/>
          <w:szCs w:val="24"/>
        </w:rPr>
        <w:t>Who is exposed to second-hand smoke?</w:t>
      </w:r>
    </w:p>
    <w:p w14:paraId="39221849" w14:textId="77777777" w:rsidR="00AA2408" w:rsidRDefault="00B252AD" w:rsidP="0022758B">
      <w:pPr>
        <w:ind w:left="567"/>
      </w:pPr>
      <w:r>
        <w:t>Key trend data is</w:t>
      </w:r>
      <w:r w:rsidR="00735227" w:rsidRPr="004B7288">
        <w:t xml:space="preserve"> provided on adults and children exposed to second</w:t>
      </w:r>
      <w:r w:rsidR="00735227">
        <w:t>-</w:t>
      </w:r>
      <w:r w:rsidR="00735227" w:rsidRPr="004B7288">
        <w:t>hand smoke in their house and car.</w:t>
      </w:r>
    </w:p>
    <w:p w14:paraId="7EC6D615" w14:textId="0D240009" w:rsidR="0022758B" w:rsidRDefault="0022758B" w:rsidP="0022758B"/>
    <w:p w14:paraId="0475580E" w14:textId="24BFB73A" w:rsidR="00A57855" w:rsidRDefault="00735227" w:rsidP="00A57855">
      <w:r>
        <w:t>Results are presented by sex, age group, ethnic group and neighbourhood deprivation, and where possible, the data are compared to results from the 2006/07 NZHS.</w:t>
      </w:r>
      <w:r w:rsidR="00A57855">
        <w:t xml:space="preserve"> A limitation of this report is that time-trend analysis was not always possible because of changes in how the NZHS data has been collected.</w:t>
      </w:r>
    </w:p>
    <w:p w14:paraId="2D0FD0BA" w14:textId="31EDCEA6" w:rsidR="007066D2" w:rsidRDefault="007066D2" w:rsidP="0022758B"/>
    <w:p w14:paraId="3F4A35FE" w14:textId="77777777" w:rsidR="007066D2" w:rsidRDefault="00735227" w:rsidP="0022758B">
      <w:r>
        <w:t>This report aims to inform those involved in tobacco control, tobacco research or policy, as well as health professionals involved in providing quitting products or services.</w:t>
      </w:r>
    </w:p>
    <w:p w14:paraId="1D06330F" w14:textId="77777777" w:rsidR="00735227" w:rsidRPr="00D4150D" w:rsidRDefault="00735227" w:rsidP="0022758B">
      <w:pPr>
        <w:pStyle w:val="Heading1"/>
      </w:pPr>
      <w:r>
        <w:br w:type="page"/>
      </w:r>
      <w:bookmarkStart w:id="34" w:name="_Toc390178286"/>
      <w:bookmarkStart w:id="35" w:name="_Toc400136598"/>
      <w:bookmarkStart w:id="36" w:name="_Toc404091071"/>
      <w:r w:rsidRPr="00D4150D">
        <w:t>Technical details of the 2012/13 survey</w:t>
      </w:r>
      <w:bookmarkEnd w:id="34"/>
      <w:bookmarkEnd w:id="35"/>
      <w:bookmarkEnd w:id="36"/>
    </w:p>
    <w:p w14:paraId="11E17B80" w14:textId="77777777" w:rsidR="007066D2" w:rsidRDefault="00735227" w:rsidP="0022758B">
      <w:r w:rsidRPr="00D4150D">
        <w:t xml:space="preserve">Full details of the latest New Zealand Health Survey </w:t>
      </w:r>
      <w:r>
        <w:t xml:space="preserve">(NZHS) </w:t>
      </w:r>
      <w:r w:rsidRPr="00D4150D">
        <w:t>methodology can be found in:</w:t>
      </w:r>
    </w:p>
    <w:p w14:paraId="124BA80F" w14:textId="77777777" w:rsidR="00735227" w:rsidRPr="00D4150D" w:rsidRDefault="00735227" w:rsidP="0022758B">
      <w:pPr>
        <w:pStyle w:val="Bullet"/>
      </w:pPr>
      <w:r w:rsidRPr="00D4150D">
        <w:t xml:space="preserve">the </w:t>
      </w:r>
      <w:r w:rsidRPr="0022758B">
        <w:rPr>
          <w:i/>
        </w:rPr>
        <w:t>New Zealand Health Survey Methodology Report</w:t>
      </w:r>
      <w:r w:rsidRPr="00D4150D">
        <w:t xml:space="preserve"> (Ministry of Health 201</w:t>
      </w:r>
      <w:r>
        <w:t>2</w:t>
      </w:r>
      <w:r w:rsidRPr="00D4150D">
        <w:t>)</w:t>
      </w:r>
    </w:p>
    <w:p w14:paraId="7B7AF0A8" w14:textId="77777777" w:rsidR="00735227" w:rsidRPr="00D4150D" w:rsidRDefault="00735227" w:rsidP="0022758B">
      <w:pPr>
        <w:pStyle w:val="Bullet"/>
      </w:pPr>
      <w:r w:rsidRPr="00D4150D">
        <w:t>the Ministry of Health website (</w:t>
      </w:r>
      <w:hyperlink r:id="rId19" w:history="1">
        <w:r w:rsidRPr="00D4150D">
          <w:rPr>
            <w:rStyle w:val="Hyperlink"/>
          </w:rPr>
          <w:t>www.health.govt.nz</w:t>
        </w:r>
      </w:hyperlink>
      <w:r w:rsidRPr="00D4150D">
        <w:t>)</w:t>
      </w:r>
    </w:p>
    <w:p w14:paraId="366F597D" w14:textId="77777777" w:rsidR="00735227" w:rsidRPr="00D4150D" w:rsidRDefault="00735227" w:rsidP="0022758B">
      <w:pPr>
        <w:pStyle w:val="Bullet"/>
      </w:pPr>
      <w:r w:rsidRPr="00D4150D">
        <w:t xml:space="preserve">Appendix </w:t>
      </w:r>
      <w:r w:rsidR="00B252AD">
        <w:t>1: Statistical methods</w:t>
      </w:r>
      <w:r w:rsidRPr="00D4150D">
        <w:t>.</w:t>
      </w:r>
    </w:p>
    <w:p w14:paraId="68C8DF02" w14:textId="77777777" w:rsidR="00735227" w:rsidRDefault="00735227" w:rsidP="0022758B"/>
    <w:p w14:paraId="7D203E51" w14:textId="603B347E" w:rsidR="007066D2" w:rsidRDefault="00735227" w:rsidP="0022758B">
      <w:r w:rsidRPr="00D4150D">
        <w:t xml:space="preserve">The Ministry of Health </w:t>
      </w:r>
      <w:r>
        <w:t xml:space="preserve">(the Ministry) </w:t>
      </w:r>
      <w:r w:rsidRPr="00D4150D">
        <w:t>previously repeated national population health surveys at regular intervals. Since July 2011, the NZHS and the other surveys in the Ministry</w:t>
      </w:r>
      <w:r w:rsidR="00AA2408">
        <w:t>’</w:t>
      </w:r>
      <w:r w:rsidRPr="00D4150D">
        <w:t xml:space="preserve">s wider survey programme </w:t>
      </w:r>
      <w:r>
        <w:t>have been</w:t>
      </w:r>
      <w:r w:rsidRPr="00D4150D">
        <w:t xml:space="preserve"> integrated into a single survey, which is operat</w:t>
      </w:r>
      <w:r>
        <w:t>ed</w:t>
      </w:r>
      <w:r w:rsidRPr="00D4150D">
        <w:t xml:space="preserve"> continuous</w:t>
      </w:r>
      <w:r>
        <w:t>ly</w:t>
      </w:r>
      <w:r w:rsidRPr="00D4150D">
        <w:t>. The survey includes a core questionnaire, as well as a flexible programme of subject-specific modules that change every 12 months.</w:t>
      </w:r>
    </w:p>
    <w:p w14:paraId="5903AD86" w14:textId="77777777" w:rsidR="00735227" w:rsidRDefault="00735227" w:rsidP="0022758B"/>
    <w:p w14:paraId="7D24D082" w14:textId="408B7F50" w:rsidR="007066D2" w:rsidRDefault="00735227" w:rsidP="0022758B">
      <w:r w:rsidRPr="00D4150D">
        <w:t>Year two (July 2012 to June 2013) of the NZHS, included a module focusing on tobacco use. This report presents information sourced from</w:t>
      </w:r>
      <w:r>
        <w:t xml:space="preserve"> both the survey</w:t>
      </w:r>
      <w:r w:rsidR="00AA2408">
        <w:t>’</w:t>
      </w:r>
      <w:r>
        <w:t>s core and module questions about tobacco use.</w:t>
      </w:r>
    </w:p>
    <w:p w14:paraId="085FFB79" w14:textId="77777777" w:rsidR="00735227" w:rsidRDefault="00735227" w:rsidP="0022758B"/>
    <w:p w14:paraId="653F0854" w14:textId="77777777" w:rsidR="007066D2" w:rsidRDefault="00735227" w:rsidP="0022758B">
      <w:r>
        <w:t>I</w:t>
      </w:r>
      <w:r w:rsidRPr="00D4150D">
        <w:t xml:space="preserve">n 2006, 2008 and 2009, the Ministry </w:t>
      </w:r>
      <w:r>
        <w:t>ran</w:t>
      </w:r>
      <w:r w:rsidRPr="00D4150D">
        <w:t xml:space="preserve"> three comprehensive tobacco</w:t>
      </w:r>
      <w:r>
        <w:t>-</w:t>
      </w:r>
      <w:r w:rsidRPr="00D4150D">
        <w:t>use surveys called the New Zealand Tobacco Use Survey</w:t>
      </w:r>
      <w:r>
        <w:t>,</w:t>
      </w:r>
      <w:r w:rsidRPr="00D4150D">
        <w:t xml:space="preserve"> NZTUS. All New Zealanders aged 15 to 64 years who were usually resident in permanent, private dwellings at the time of the survey were eligible </w:t>
      </w:r>
      <w:r>
        <w:t>to take part</w:t>
      </w:r>
      <w:r w:rsidRPr="00D4150D">
        <w:t xml:space="preserve"> in the NZTUS surveys.</w:t>
      </w:r>
    </w:p>
    <w:p w14:paraId="3E2F6146" w14:textId="77777777" w:rsidR="00735227" w:rsidRDefault="00735227" w:rsidP="0022758B"/>
    <w:p w14:paraId="3AB37D57" w14:textId="77777777" w:rsidR="00735227" w:rsidRPr="002C05A0" w:rsidRDefault="00735227" w:rsidP="0022758B">
      <w:r w:rsidRPr="00D4150D">
        <w:t>The current survey covers the usually resident population of all ages, living in permanent dwellings, aged-care facilities and student accommodation. The following people were not included in the survey: people living in long-term hospital care, hospital</w:t>
      </w:r>
      <w:r>
        <w:t xml:space="preserve"> </w:t>
      </w:r>
      <w:r w:rsidRPr="00D4150D">
        <w:t>and dementia-level care in aged-care facilities, and prisons</w:t>
      </w:r>
      <w:r>
        <w:t>;</w:t>
      </w:r>
      <w:r w:rsidRPr="00D4150D">
        <w:t xml:space="preserve"> the homeless</w:t>
      </w:r>
      <w:r>
        <w:t>;</w:t>
      </w:r>
      <w:r w:rsidRPr="00D4150D">
        <w:t xml:space="preserve"> short-term visitors and tourists. Participants were randomly selected from throughout New Zealand, with trained surveyors from CBG Health Research Ltd carrying out the survey interviews. Of those invited to participate in the survey, 80% of adults (about 13,000 adults) and 85% of parents/care givers (representing about 4000</w:t>
      </w:r>
      <w:r w:rsidR="0022758B">
        <w:t> </w:t>
      </w:r>
      <w:r w:rsidRPr="00D4150D">
        <w:t>children) agreed to be interviewed.</w:t>
      </w:r>
    </w:p>
    <w:p w14:paraId="12DC5451" w14:textId="77777777" w:rsidR="00735227" w:rsidRPr="00921D95" w:rsidRDefault="00735227" w:rsidP="0022758B"/>
    <w:p w14:paraId="299B5582" w14:textId="77777777" w:rsidR="00735227" w:rsidRPr="00D4150D" w:rsidRDefault="00735227" w:rsidP="0022758B">
      <w:pPr>
        <w:pStyle w:val="Heading2"/>
        <w:rPr>
          <w:sz w:val="36"/>
          <w:szCs w:val="36"/>
        </w:rPr>
      </w:pPr>
      <w:bookmarkStart w:id="37" w:name="_Toc367009761"/>
      <w:bookmarkStart w:id="38" w:name="_Toc390178287"/>
      <w:bookmarkStart w:id="39" w:name="_Toc400136599"/>
      <w:bookmarkStart w:id="40" w:name="_Toc404091072"/>
      <w:r w:rsidRPr="00D4150D">
        <w:t>Interpretation</w:t>
      </w:r>
      <w:r w:rsidRPr="00D4150D">
        <w:rPr>
          <w:sz w:val="36"/>
          <w:szCs w:val="36"/>
        </w:rPr>
        <w:t xml:space="preserve"> notes</w:t>
      </w:r>
      <w:bookmarkEnd w:id="37"/>
      <w:bookmarkEnd w:id="38"/>
      <w:bookmarkEnd w:id="39"/>
      <w:bookmarkEnd w:id="40"/>
    </w:p>
    <w:p w14:paraId="472C2AE7" w14:textId="77777777" w:rsidR="00735227" w:rsidRPr="00AF701F" w:rsidRDefault="00735227" w:rsidP="0022758B">
      <w:r w:rsidRPr="0028514C">
        <w:t xml:space="preserve">This section gives some key points for interpreting survey results. For more details about the survey methodology, see Appendix 1 or the </w:t>
      </w:r>
      <w:r w:rsidRPr="0028514C">
        <w:rPr>
          <w:i/>
        </w:rPr>
        <w:t>New Zealand H</w:t>
      </w:r>
      <w:r>
        <w:rPr>
          <w:i/>
        </w:rPr>
        <w:t>ealth Survey Methodology Report</w:t>
      </w:r>
      <w:r>
        <w:t xml:space="preserve"> (Ministry of Health 2012).</w:t>
      </w:r>
    </w:p>
    <w:p w14:paraId="0476AF1F" w14:textId="77777777" w:rsidR="00735227" w:rsidRDefault="00735227" w:rsidP="0022758B"/>
    <w:p w14:paraId="5828EB83" w14:textId="77777777" w:rsidR="00735227" w:rsidRPr="00BD49E3" w:rsidRDefault="00735227" w:rsidP="0022758B">
      <w:pPr>
        <w:pStyle w:val="Heading3"/>
      </w:pPr>
      <w:bookmarkStart w:id="41" w:name="_Toc400136600"/>
      <w:r w:rsidRPr="00316F2A">
        <w:t>Representative of</w:t>
      </w:r>
      <w:r w:rsidRPr="00BD49E3">
        <w:t xml:space="preserve"> the total population</w:t>
      </w:r>
      <w:bookmarkEnd w:id="41"/>
    </w:p>
    <w:p w14:paraId="34DFE3B9" w14:textId="77777777" w:rsidR="00735227" w:rsidRPr="0022758B" w:rsidRDefault="00735227" w:rsidP="0022758B">
      <w:pPr>
        <w:rPr>
          <w:spacing w:val="-2"/>
        </w:rPr>
      </w:pPr>
      <w:r w:rsidRPr="0028514C">
        <w:t xml:space="preserve">All results presented in this report are weighted so that they are representative of the total adult </w:t>
      </w:r>
      <w:r w:rsidRPr="0022758B">
        <w:rPr>
          <w:spacing w:val="-2"/>
        </w:rPr>
        <w:t>population (those aged 15 years and over) and the total child population (those aged 0–14 years).</w:t>
      </w:r>
    </w:p>
    <w:p w14:paraId="0C2FEF9A" w14:textId="77777777" w:rsidR="00735227" w:rsidRPr="00322B10" w:rsidRDefault="00735227" w:rsidP="0022758B"/>
    <w:p w14:paraId="26078DAF" w14:textId="77777777" w:rsidR="00735227" w:rsidRPr="009D7820" w:rsidRDefault="00735227" w:rsidP="0022758B">
      <w:pPr>
        <w:pStyle w:val="Heading3"/>
      </w:pPr>
      <w:bookmarkStart w:id="42" w:name="_Toc400136601"/>
      <w:r w:rsidRPr="00D4150D">
        <w:t>Calculation of proportions</w:t>
      </w:r>
      <w:bookmarkEnd w:id="42"/>
    </w:p>
    <w:p w14:paraId="0AD348E5" w14:textId="77777777" w:rsidR="007066D2" w:rsidRDefault="00735227" w:rsidP="0022758B">
      <w:r>
        <w:t>The proportion of the population who belong to a particular group (eg, the proportion of the population who are daily smokers) is estimated by calculating the sum of the weights for the respondents in the group divided by the sum of the weights of all respondents.</w:t>
      </w:r>
    </w:p>
    <w:p w14:paraId="66A03642" w14:textId="77777777" w:rsidR="00735227" w:rsidRPr="00C65679" w:rsidRDefault="00735227" w:rsidP="0022758B"/>
    <w:p w14:paraId="2B4E5D3E" w14:textId="77777777" w:rsidR="00735227" w:rsidRPr="00D4150D" w:rsidRDefault="00735227" w:rsidP="0022758B">
      <w:pPr>
        <w:pStyle w:val="Heading3"/>
      </w:pPr>
      <w:bookmarkStart w:id="43" w:name="_Toc400136602"/>
      <w:r w:rsidRPr="00D4150D">
        <w:t>Calculation of totals (counts)</w:t>
      </w:r>
      <w:bookmarkEnd w:id="43"/>
    </w:p>
    <w:p w14:paraId="785BD023" w14:textId="77777777" w:rsidR="007066D2" w:rsidRDefault="00735227" w:rsidP="0022758B">
      <w:r>
        <w:t>Estimates of totals are given by calculating the sum, over all the respondents, of the weight multiplied by the variable of interest. For example, the estimate of total daily smokers in the whole population would be given by the sum, over all respondents, of (the number of respondents who are daily smokers) multiplied by the weight.</w:t>
      </w:r>
    </w:p>
    <w:p w14:paraId="754CCCE4" w14:textId="77777777" w:rsidR="00735227" w:rsidRDefault="00735227" w:rsidP="0022758B"/>
    <w:p w14:paraId="1E5D428A" w14:textId="77777777" w:rsidR="00735227" w:rsidRPr="00D4150D" w:rsidRDefault="00735227" w:rsidP="0022758B">
      <w:pPr>
        <w:pStyle w:val="Heading3"/>
      </w:pPr>
      <w:bookmarkStart w:id="44" w:name="_Toc400136603"/>
      <w:r w:rsidRPr="00D4150D">
        <w:t>Statistical significance</w:t>
      </w:r>
      <w:bookmarkEnd w:id="44"/>
    </w:p>
    <w:p w14:paraId="7ACE5769" w14:textId="77777777" w:rsidR="00735227" w:rsidRPr="0028514C" w:rsidRDefault="00735227" w:rsidP="0022758B">
      <w:r w:rsidRPr="0028514C">
        <w:t>All differences reported in the text are statistically sign</w:t>
      </w:r>
      <w:r>
        <w:t>ificant unless noted otherwise.</w:t>
      </w:r>
    </w:p>
    <w:p w14:paraId="58FC4896" w14:textId="77777777" w:rsidR="00735227" w:rsidRDefault="00735227" w:rsidP="0022758B"/>
    <w:p w14:paraId="61797CA1" w14:textId="77777777" w:rsidR="00735227" w:rsidRDefault="00735227" w:rsidP="0022758B">
      <w:r w:rsidRPr="0028514C">
        <w:t>Statistical significance is measured at the 5</w:t>
      </w:r>
      <w:r>
        <w:t xml:space="preserve">% </w:t>
      </w:r>
      <w:r w:rsidRPr="0028514C">
        <w:t xml:space="preserve">significance level (that is, </w:t>
      </w:r>
      <w:r w:rsidRPr="0028514C">
        <w:rPr>
          <w:i/>
        </w:rPr>
        <w:t>p</w:t>
      </w:r>
      <w:r w:rsidRPr="0028514C">
        <w:t>-value less than</w:t>
      </w:r>
      <w:r>
        <w:t xml:space="preserve"> 0.05). Where required for comparison of means,</w:t>
      </w:r>
      <w:r w:rsidRPr="0028514C">
        <w:t xml:space="preserve"> a statistical test (a </w:t>
      </w:r>
      <w:r w:rsidRPr="0028514C">
        <w:rPr>
          <w:i/>
        </w:rPr>
        <w:t>t</w:t>
      </w:r>
      <w:r w:rsidRPr="0028514C">
        <w:t>-test)</w:t>
      </w:r>
      <w:r>
        <w:t xml:space="preserve"> was undertaken</w:t>
      </w:r>
      <w:r w:rsidRPr="0028514C">
        <w:t xml:space="preserve"> to confirm that a particular finding was statistically significant.</w:t>
      </w:r>
    </w:p>
    <w:p w14:paraId="0CAF1A09" w14:textId="77777777" w:rsidR="00735227" w:rsidRDefault="00735227" w:rsidP="0022758B"/>
    <w:p w14:paraId="3486942D" w14:textId="68270AC1" w:rsidR="00735227" w:rsidRPr="0009432D" w:rsidRDefault="0022758B" w:rsidP="0022758B">
      <w:pPr>
        <w:rPr>
          <w:b/>
          <w:szCs w:val="22"/>
        </w:rPr>
      </w:pPr>
      <w:r>
        <w:t>Ninety-five percent</w:t>
      </w:r>
      <w:r w:rsidR="00735227" w:rsidRPr="001F1FDF">
        <w:t xml:space="preserve"> confidence intervals</w:t>
      </w:r>
      <w:r w:rsidR="00735227">
        <w:t xml:space="preserve"> (C</w:t>
      </w:r>
      <w:r w:rsidR="00046233">
        <w:t>I</w:t>
      </w:r>
      <w:r w:rsidR="00735227">
        <w:t>s) can be found</w:t>
      </w:r>
      <w:r w:rsidR="00735227" w:rsidRPr="001F1FDF">
        <w:t xml:space="preserve"> for all </w:t>
      </w:r>
      <w:r w:rsidR="00735227">
        <w:t xml:space="preserve">estimates in the </w:t>
      </w:r>
      <w:r w:rsidR="0009432D">
        <w:t>data tables published online at</w:t>
      </w:r>
      <w:r w:rsidR="0009432D" w:rsidRPr="0009432D">
        <w:rPr>
          <w:b/>
          <w:szCs w:val="22"/>
        </w:rPr>
        <w:t xml:space="preserve"> </w:t>
      </w:r>
      <w:hyperlink r:id="rId20" w:history="1">
        <w:r w:rsidR="005A7E3B" w:rsidRPr="00033F45">
          <w:rPr>
            <w:rStyle w:val="Hyperlink"/>
            <w:rFonts w:cs="Arial Mäori"/>
            <w:b/>
            <w:szCs w:val="22"/>
            <w:lang w:eastAsia="en-NZ"/>
          </w:rPr>
          <w:t>www.health.govt.nz/publication/tobacco-use-new-zealand-2012-13-key-findings-new-zealand-health-survey</w:t>
        </w:r>
      </w:hyperlink>
    </w:p>
    <w:p w14:paraId="29EF5213" w14:textId="77777777" w:rsidR="00735227" w:rsidRPr="00F9437A" w:rsidRDefault="00735227" w:rsidP="0022758B"/>
    <w:p w14:paraId="5D2C6091" w14:textId="77777777" w:rsidR="00735227" w:rsidRPr="00D4150D" w:rsidRDefault="00735227" w:rsidP="0022758B">
      <w:pPr>
        <w:pStyle w:val="Heading3"/>
      </w:pPr>
      <w:bookmarkStart w:id="45" w:name="_Toc400136604"/>
      <w:r w:rsidRPr="00D4150D">
        <w:t>Rounding</w:t>
      </w:r>
      <w:bookmarkEnd w:id="45"/>
    </w:p>
    <w:p w14:paraId="0A818753" w14:textId="77777777" w:rsidR="00735227" w:rsidRPr="0028514C" w:rsidRDefault="00735227" w:rsidP="0022758B">
      <w:r>
        <w:t xml:space="preserve">Data tables </w:t>
      </w:r>
      <w:r w:rsidRPr="0028514C">
        <w:t xml:space="preserve">give prevalence estimates </w:t>
      </w:r>
      <w:r>
        <w:t>rounded to one decimal place if less than 5% and to whole numbers if more than 5%. Estimated numbers of people are rounded to the nearest 1000</w:t>
      </w:r>
      <w:r w:rsidR="0022758B">
        <w:t> </w:t>
      </w:r>
      <w:r>
        <w:t>people. Unrounded values were used during calculations.</w:t>
      </w:r>
    </w:p>
    <w:p w14:paraId="26313D2B" w14:textId="77777777" w:rsidR="00735227" w:rsidRDefault="00735227" w:rsidP="0022758B"/>
    <w:p w14:paraId="4A044F12" w14:textId="77777777" w:rsidR="00735227" w:rsidRPr="00D4150D" w:rsidRDefault="00735227" w:rsidP="0022758B">
      <w:pPr>
        <w:pStyle w:val="Heading3"/>
      </w:pPr>
      <w:bookmarkStart w:id="46" w:name="_Toc400136605"/>
      <w:r w:rsidRPr="00D4150D">
        <w:t>Reliability of survey results</w:t>
      </w:r>
      <w:bookmarkEnd w:id="46"/>
    </w:p>
    <w:p w14:paraId="225A4513" w14:textId="77777777" w:rsidR="007066D2" w:rsidRDefault="00735227" w:rsidP="0022758B">
      <w:r w:rsidRPr="00D4150D">
        <w:t>The survey collects self-reported information. As such</w:t>
      </w:r>
      <w:r>
        <w:t>,</w:t>
      </w:r>
      <w:r w:rsidRPr="00D4150D">
        <w:t xml:space="preserve"> the results may underestimate or overestimate some indicators due to the nature of self-reported information. For example, many of the survey results assume that respondents can accurately recall previous events (such as a diagnosis by a doctor).</w:t>
      </w:r>
    </w:p>
    <w:p w14:paraId="7C18B414" w14:textId="77777777" w:rsidR="00735227" w:rsidRDefault="00735227" w:rsidP="0022758B"/>
    <w:p w14:paraId="5AC15CB9" w14:textId="77777777" w:rsidR="007066D2" w:rsidRDefault="00735227" w:rsidP="0022758B">
      <w:r w:rsidRPr="00D4150D">
        <w:t>People may also over-report good behaviours or under-report risk behaviours based on what they consider to be socially desirable. The amount of error will vary depending on a number of factors (including the age of the respondent).</w:t>
      </w:r>
    </w:p>
    <w:p w14:paraId="470F0FFB" w14:textId="77777777" w:rsidR="00735227" w:rsidRPr="00D4150D" w:rsidRDefault="00735227" w:rsidP="0022758B">
      <w:bookmarkStart w:id="47" w:name="_Toc275874867"/>
      <w:bookmarkStart w:id="48" w:name="_Toc277780419"/>
    </w:p>
    <w:p w14:paraId="27E4E3CE" w14:textId="77777777" w:rsidR="00735227" w:rsidRPr="00D4150D" w:rsidRDefault="00735227" w:rsidP="0022758B">
      <w:pPr>
        <w:pStyle w:val="Heading3"/>
      </w:pPr>
      <w:bookmarkStart w:id="49" w:name="_Toc400136606"/>
      <w:bookmarkEnd w:id="47"/>
      <w:bookmarkEnd w:id="48"/>
      <w:r w:rsidRPr="00D4150D">
        <w:t>Small numbers</w:t>
      </w:r>
      <w:bookmarkEnd w:id="49"/>
    </w:p>
    <w:p w14:paraId="13042497" w14:textId="77777777" w:rsidR="007066D2" w:rsidRDefault="00735227" w:rsidP="0022758B">
      <w:r w:rsidRPr="00917CD7">
        <w:t>In order to ensure the reliability of the survey data presented, and to protect the confidentiality of the participants, data have only been presented when at least 30</w:t>
      </w:r>
      <w:r>
        <w:t> </w:t>
      </w:r>
      <w:r w:rsidRPr="00917CD7">
        <w:t>respondents were in the population group being analysed. In some cases, to obtain an adequate sample size, data have been presented in an aggregated form.</w:t>
      </w:r>
    </w:p>
    <w:p w14:paraId="20FC64A9" w14:textId="77777777" w:rsidR="00735227" w:rsidRPr="00C65679" w:rsidRDefault="00735227" w:rsidP="0022758B"/>
    <w:p w14:paraId="0DAE7CE4" w14:textId="77777777" w:rsidR="00735227" w:rsidRPr="00D4150D" w:rsidRDefault="00735227" w:rsidP="0022758B">
      <w:pPr>
        <w:pStyle w:val="Heading3"/>
      </w:pPr>
      <w:bookmarkStart w:id="50" w:name="_Toc400136607"/>
      <w:r w:rsidRPr="00D4150D">
        <w:t>Sampling error</w:t>
      </w:r>
      <w:bookmarkEnd w:id="50"/>
    </w:p>
    <w:p w14:paraId="79F9F3F7" w14:textId="3FCE12A9" w:rsidR="007066D2" w:rsidRDefault="00735227" w:rsidP="0022758B">
      <w:pPr>
        <w:keepLines/>
      </w:pPr>
      <w:r w:rsidRPr="00566CCE">
        <w:t xml:space="preserve">Sampling error </w:t>
      </w:r>
      <w:r>
        <w:t>is random error that results from selecting a</w:t>
      </w:r>
      <w:r w:rsidRPr="00566CCE">
        <w:t xml:space="preserve"> number of people (a sample) in the</w:t>
      </w:r>
      <w:r>
        <w:t xml:space="preserve"> </w:t>
      </w:r>
      <w:r w:rsidRPr="00566CCE">
        <w:t>population to represent the entire population</w:t>
      </w:r>
      <w:r>
        <w:t>. It</w:t>
      </w:r>
      <w:r w:rsidRPr="00566CCE">
        <w:t xml:space="preserve"> is i</w:t>
      </w:r>
      <w:r>
        <w:t xml:space="preserve">nfluenced by the complex design </w:t>
      </w:r>
      <w:r w:rsidRPr="00566CCE">
        <w:t>of</w:t>
      </w:r>
      <w:r>
        <w:t xml:space="preserve"> </w:t>
      </w:r>
      <w:r w:rsidRPr="00566CCE">
        <w:t>the survey (resulting in some people having a higher chance of selection than others)</w:t>
      </w:r>
      <w:r>
        <w:t xml:space="preserve">. </w:t>
      </w:r>
      <w:r w:rsidRPr="00566CCE">
        <w:t>That is, the estimates in this survey</w:t>
      </w:r>
      <w:r>
        <w:t xml:space="preserve"> may by chance differ from the </w:t>
      </w:r>
      <w:r w:rsidR="00AA2408">
        <w:t>‘</w:t>
      </w:r>
      <w:r>
        <w:t>true</w:t>
      </w:r>
      <w:r w:rsidR="00AA2408">
        <w:t>’</w:t>
      </w:r>
      <w:r>
        <w:t xml:space="preserve"> value</w:t>
      </w:r>
      <w:r w:rsidRPr="00566CCE">
        <w:t xml:space="preserve"> that would have</w:t>
      </w:r>
      <w:r>
        <w:t xml:space="preserve"> </w:t>
      </w:r>
      <w:r w:rsidRPr="00566CCE">
        <w:t>been produced if the information had been obtained for all the people in the population</w:t>
      </w:r>
      <w:r>
        <w:t>. The degree of uncertainty in estimates resulting from this sampling error is described by providing the 95%</w:t>
      </w:r>
      <w:r w:rsidR="0022758B">
        <w:t> </w:t>
      </w:r>
      <w:r>
        <w:t>CI in each instance.</w:t>
      </w:r>
    </w:p>
    <w:p w14:paraId="05115354" w14:textId="77777777" w:rsidR="00735227" w:rsidRDefault="00735227" w:rsidP="0022758B"/>
    <w:p w14:paraId="04B67617" w14:textId="77777777" w:rsidR="00735227" w:rsidRPr="00D4150D" w:rsidRDefault="00735227" w:rsidP="0022758B">
      <w:pPr>
        <w:pStyle w:val="Heading3"/>
      </w:pPr>
      <w:bookmarkStart w:id="51" w:name="_Toc400136608"/>
      <w:r w:rsidRPr="00D4150D">
        <w:t>Age standardisation in time trends</w:t>
      </w:r>
      <w:bookmarkEnd w:id="51"/>
    </w:p>
    <w:p w14:paraId="66DD0926" w14:textId="77777777" w:rsidR="007066D2" w:rsidRDefault="00735227" w:rsidP="0022758B">
      <w:r w:rsidRPr="001F1FDF">
        <w:t>In this</w:t>
      </w:r>
      <w:r>
        <w:t xml:space="preserve"> report, all time trend results </w:t>
      </w:r>
      <w:r w:rsidRPr="001F1FDF">
        <w:t>have been age</w:t>
      </w:r>
      <w:r>
        <w:t xml:space="preserve"> </w:t>
      </w:r>
      <w:r w:rsidRPr="001F1FDF">
        <w:t>standardised in the graphs so that populat</w:t>
      </w:r>
      <w:r>
        <w:t xml:space="preserve">ions can be compared over time. </w:t>
      </w:r>
      <w:r w:rsidRPr="001F1FDF">
        <w:t>This means that changes in age-standardised rates over tim</w:t>
      </w:r>
      <w:r>
        <w:t xml:space="preserve">e are not due to changes in the </w:t>
      </w:r>
      <w:r w:rsidRPr="001F1FDF">
        <w:t>population age structure (such as population ageing).</w:t>
      </w:r>
    </w:p>
    <w:p w14:paraId="48B4EADE" w14:textId="77777777" w:rsidR="00735227" w:rsidRPr="001F1FDF" w:rsidRDefault="00735227" w:rsidP="0022758B"/>
    <w:p w14:paraId="5FA32E59" w14:textId="77777777" w:rsidR="00735227" w:rsidRPr="001F1FDF" w:rsidRDefault="00735227" w:rsidP="0022758B">
      <w:r w:rsidRPr="001F1FDF">
        <w:t>For this report, age standardisation was performed by th</w:t>
      </w:r>
      <w:r>
        <w:t xml:space="preserve">e direct method, using the World </w:t>
      </w:r>
      <w:r w:rsidRPr="001F1FDF">
        <w:t>Health Organization (WHO) wo</w:t>
      </w:r>
      <w:r>
        <w:t>rld population age distribution.</w:t>
      </w:r>
    </w:p>
    <w:p w14:paraId="1235F529" w14:textId="77777777" w:rsidR="00735227" w:rsidRDefault="00735227" w:rsidP="0022758B"/>
    <w:p w14:paraId="3B0ADDCB" w14:textId="77777777" w:rsidR="00735227" w:rsidRPr="00D4150D" w:rsidRDefault="00735227" w:rsidP="0022758B">
      <w:pPr>
        <w:pStyle w:val="Heading3"/>
      </w:pPr>
      <w:bookmarkStart w:id="52" w:name="_Toc400136609"/>
      <w:r w:rsidRPr="00D4150D">
        <w:t>Adjusted rate ratios for comparisons between population groups</w:t>
      </w:r>
      <w:bookmarkEnd w:id="52"/>
    </w:p>
    <w:p w14:paraId="2AEB7B8E" w14:textId="77777777" w:rsidR="00735227" w:rsidRPr="001F1FDF" w:rsidRDefault="00735227" w:rsidP="0022758B">
      <w:r w:rsidRPr="001F1FDF">
        <w:t>This report uses adjusted rate ratios to compa</w:t>
      </w:r>
      <w:r>
        <w:t xml:space="preserve">re prevalences between different population groups. </w:t>
      </w:r>
      <w:r w:rsidRPr="001F1FDF">
        <w:t>A rate ratio tells us how many times larger or smaller the ra</w:t>
      </w:r>
      <w:r>
        <w:t xml:space="preserve">te is for the group of interest </w:t>
      </w:r>
      <w:r w:rsidRPr="001F1FDF">
        <w:t>(e</w:t>
      </w:r>
      <w:r>
        <w:t>g,</w:t>
      </w:r>
      <w:r w:rsidRPr="001F1FDF">
        <w:t xml:space="preserve"> Māori) compared</w:t>
      </w:r>
      <w:r>
        <w:t xml:space="preserve"> with the reference group (eg,</w:t>
      </w:r>
      <w:r w:rsidRPr="001F1FDF">
        <w:t xml:space="preserve"> non-Māori). A rate ratio </w:t>
      </w:r>
      <w:r w:rsidRPr="00A278B3">
        <w:rPr>
          <w:bCs/>
          <w:i/>
        </w:rPr>
        <w:t>above</w:t>
      </w:r>
      <w:r w:rsidRPr="001F1FDF">
        <w:rPr>
          <w:b/>
          <w:bCs/>
        </w:rPr>
        <w:t xml:space="preserve"> </w:t>
      </w:r>
      <w:r>
        <w:t xml:space="preserve">1 means that </w:t>
      </w:r>
      <w:r w:rsidRPr="001F1FDF">
        <w:t xml:space="preserve">the indicator is </w:t>
      </w:r>
      <w:r w:rsidRPr="00A278B3">
        <w:rPr>
          <w:bCs/>
          <w:i/>
        </w:rPr>
        <w:t>more</w:t>
      </w:r>
      <w:r w:rsidRPr="001F1FDF">
        <w:rPr>
          <w:b/>
          <w:bCs/>
        </w:rPr>
        <w:t xml:space="preserve"> </w:t>
      </w:r>
      <w:r w:rsidRPr="001F1FDF">
        <w:t>likely in the group of interest than in th</w:t>
      </w:r>
      <w:r>
        <w:t xml:space="preserve">e reference group; a rate ratio </w:t>
      </w:r>
      <w:r w:rsidRPr="00A278B3">
        <w:rPr>
          <w:bCs/>
          <w:i/>
        </w:rPr>
        <w:t>below</w:t>
      </w:r>
      <w:r w:rsidRPr="009D7820">
        <w:rPr>
          <w:bCs/>
        </w:rPr>
        <w:t xml:space="preserve"> </w:t>
      </w:r>
      <w:r w:rsidRPr="001F1FDF">
        <w:t xml:space="preserve">1 means </w:t>
      </w:r>
      <w:r>
        <w:t xml:space="preserve">that </w:t>
      </w:r>
      <w:r w:rsidRPr="001F1FDF">
        <w:t xml:space="preserve">the indicator is </w:t>
      </w:r>
      <w:r w:rsidRPr="00A278B3">
        <w:rPr>
          <w:bCs/>
          <w:i/>
        </w:rPr>
        <w:t>less</w:t>
      </w:r>
      <w:r w:rsidRPr="001F1FDF">
        <w:rPr>
          <w:b/>
          <w:bCs/>
        </w:rPr>
        <w:t xml:space="preserve"> </w:t>
      </w:r>
      <w:r w:rsidRPr="001F1FDF">
        <w:t>likely. An asterisk (*) indi</w:t>
      </w:r>
      <w:r>
        <w:t xml:space="preserve">cates statistically significant </w:t>
      </w:r>
      <w:r w:rsidRPr="001F1FDF">
        <w:t>rate ratios in the tables.</w:t>
      </w:r>
    </w:p>
    <w:p w14:paraId="26EFC304" w14:textId="77777777" w:rsidR="00735227" w:rsidRDefault="00735227" w:rsidP="0022758B"/>
    <w:p w14:paraId="57192E6B" w14:textId="731B7E5A" w:rsidR="00735227" w:rsidRPr="001F1FDF" w:rsidRDefault="00735227" w:rsidP="0022758B">
      <w:r w:rsidRPr="001F1FDF">
        <w:t>To analyse ethnic differences, each ethnic gr</w:t>
      </w:r>
      <w:r>
        <w:t xml:space="preserve">oup was compared with all other people. This </w:t>
      </w:r>
      <w:r w:rsidRPr="001F1FDF">
        <w:t xml:space="preserve">analysis helps to answer the question, </w:t>
      </w:r>
      <w:r w:rsidR="00AA2408">
        <w:t>‘</w:t>
      </w:r>
      <w:r w:rsidRPr="001F1FDF">
        <w:t>Does each eth</w:t>
      </w:r>
      <w:r>
        <w:t xml:space="preserve">nic group differ from other New </w:t>
      </w:r>
      <w:r w:rsidRPr="001F1FDF">
        <w:t>Zealanders for this outcome?</w:t>
      </w:r>
      <w:r w:rsidR="00AA2408">
        <w:t>’</w:t>
      </w:r>
      <w:r w:rsidR="0022758B">
        <w:t>.</w:t>
      </w:r>
    </w:p>
    <w:p w14:paraId="7C16A106" w14:textId="77777777" w:rsidR="00735227" w:rsidRDefault="00735227" w:rsidP="0022758B"/>
    <w:p w14:paraId="0B2C6170" w14:textId="77777777" w:rsidR="00735227" w:rsidRPr="001F1FDF" w:rsidRDefault="00735227" w:rsidP="0022758B">
      <w:r w:rsidRPr="001F1FDF">
        <w:t>This report presents adjusted rate ratios for the following comparisons:</w:t>
      </w:r>
    </w:p>
    <w:p w14:paraId="40A2BBB6" w14:textId="77777777" w:rsidR="00735227" w:rsidRPr="007D08D9" w:rsidRDefault="00735227" w:rsidP="0022758B">
      <w:pPr>
        <w:pStyle w:val="Bullet"/>
        <w:spacing w:before="60"/>
      </w:pPr>
      <w:r w:rsidRPr="007D08D9">
        <w:t>men and women</w:t>
      </w:r>
    </w:p>
    <w:p w14:paraId="3E080D88" w14:textId="77777777" w:rsidR="00735227" w:rsidRPr="007D08D9" w:rsidRDefault="00735227" w:rsidP="0022758B">
      <w:pPr>
        <w:pStyle w:val="Bullet"/>
        <w:spacing w:before="60"/>
      </w:pPr>
      <w:r w:rsidRPr="007D08D9">
        <w:t>Māori and non-Māori (for total, men, women)</w:t>
      </w:r>
    </w:p>
    <w:p w14:paraId="55FC0122" w14:textId="77777777" w:rsidR="00735227" w:rsidRPr="007D08D9" w:rsidRDefault="00735227" w:rsidP="0022758B">
      <w:pPr>
        <w:pStyle w:val="Bullet"/>
        <w:spacing w:before="60"/>
      </w:pPr>
      <w:r w:rsidRPr="007D08D9">
        <w:t>Pacific and non-Pacific (for total, men, women)</w:t>
      </w:r>
    </w:p>
    <w:p w14:paraId="3FC45051" w14:textId="77777777" w:rsidR="00735227" w:rsidRPr="007D08D9" w:rsidRDefault="00735227" w:rsidP="0022758B">
      <w:pPr>
        <w:pStyle w:val="Bullet"/>
        <w:spacing w:before="60"/>
      </w:pPr>
      <w:r w:rsidRPr="007D08D9">
        <w:t>Asian and non-Asian (for total, men, women)</w:t>
      </w:r>
    </w:p>
    <w:p w14:paraId="6949FA88" w14:textId="77777777" w:rsidR="00735227" w:rsidRPr="007D08D9" w:rsidRDefault="00735227" w:rsidP="0022758B">
      <w:pPr>
        <w:pStyle w:val="Bullet"/>
        <w:spacing w:before="60"/>
      </w:pPr>
      <w:r w:rsidRPr="007D08D9">
        <w:t>people living in the most and least deprived areas.</w:t>
      </w:r>
    </w:p>
    <w:p w14:paraId="561D1BB5" w14:textId="77777777" w:rsidR="00735227" w:rsidRDefault="00735227" w:rsidP="0022758B"/>
    <w:p w14:paraId="35BCC29A" w14:textId="77777777" w:rsidR="00735227" w:rsidRPr="00D4150D" w:rsidRDefault="00735227" w:rsidP="0022758B">
      <w:r w:rsidRPr="00D4150D">
        <w:t xml:space="preserve">The adjusted rate ratios </w:t>
      </w:r>
      <w:r>
        <w:t>have been</w:t>
      </w:r>
      <w:r w:rsidRPr="00D4150D">
        <w:t xml:space="preserve"> </w:t>
      </w:r>
      <w:r w:rsidRPr="00D4150D">
        <w:rPr>
          <w:bCs/>
        </w:rPr>
        <w:t>adjusted</w:t>
      </w:r>
      <w:r w:rsidRPr="009D7820">
        <w:rPr>
          <w:bCs/>
        </w:rPr>
        <w:t xml:space="preserve"> </w:t>
      </w:r>
      <w:r w:rsidRPr="00D4150D">
        <w:t>for other demographic factors that may be influencing (ie</w:t>
      </w:r>
      <w:r>
        <w:t>,</w:t>
      </w:r>
      <w:r w:rsidRPr="00D4150D">
        <w:t xml:space="preserve"> confounding) the comparison, such as age, sex and ethnic group. This means that the comparisons take into account differences in the age, sex and/or ethnicity structure between the population groups.</w:t>
      </w:r>
    </w:p>
    <w:p w14:paraId="25824B3D" w14:textId="77777777" w:rsidR="00735227" w:rsidRPr="00D4150D" w:rsidRDefault="00735227" w:rsidP="0022758B">
      <w:pPr>
        <w:pStyle w:val="Bullet"/>
      </w:pPr>
      <w:r w:rsidRPr="00D4150D">
        <w:t>When comparing men and women (within the total, Māori, Pacific or Asian population</w:t>
      </w:r>
      <w:r>
        <w:t>s</w:t>
      </w:r>
      <w:r w:rsidRPr="00D4150D">
        <w:t xml:space="preserve">), rate ratios </w:t>
      </w:r>
      <w:r>
        <w:t>have been</w:t>
      </w:r>
      <w:r w:rsidRPr="00D4150D">
        <w:t xml:space="preserve"> adjusted for age.</w:t>
      </w:r>
    </w:p>
    <w:p w14:paraId="128D2CF8" w14:textId="77777777" w:rsidR="00735227" w:rsidRPr="00D4150D" w:rsidRDefault="00735227" w:rsidP="0022758B">
      <w:pPr>
        <w:pStyle w:val="Bullet"/>
      </w:pPr>
      <w:r w:rsidRPr="00D4150D">
        <w:t xml:space="preserve">For ethnic comparisons where data on men and women are combined, rate ratios </w:t>
      </w:r>
      <w:r>
        <w:t>have been</w:t>
      </w:r>
      <w:r w:rsidRPr="00D4150D">
        <w:t xml:space="preserve"> adjusted for age and sex.</w:t>
      </w:r>
    </w:p>
    <w:p w14:paraId="4D02D659" w14:textId="77777777" w:rsidR="00735227" w:rsidRPr="00D4150D" w:rsidRDefault="00735227" w:rsidP="0022758B">
      <w:pPr>
        <w:pStyle w:val="Bullet"/>
      </w:pPr>
      <w:r w:rsidRPr="0022758B">
        <w:rPr>
          <w:spacing w:val="-2"/>
        </w:rPr>
        <w:t>Ethnic rate ratios have not been adjusted for neighbourhood deprivation in this report because</w:t>
      </w:r>
      <w:r>
        <w:t xml:space="preserve"> </w:t>
      </w:r>
      <w:r w:rsidRPr="00D4150D">
        <w:t>deprivation is one of the key mechanisms contributing to differences in health status between ethnic groups (</w:t>
      </w:r>
      <w:r>
        <w:t>ie</w:t>
      </w:r>
      <w:r w:rsidRPr="00D4150D">
        <w:t>, deprivation is on the causal pathway between ethnicity and health status).</w:t>
      </w:r>
    </w:p>
    <w:p w14:paraId="00E5ED47" w14:textId="77777777" w:rsidR="00735227" w:rsidRPr="00D4150D" w:rsidRDefault="00735227" w:rsidP="0022758B">
      <w:pPr>
        <w:pStyle w:val="Bullet"/>
      </w:pPr>
      <w:r w:rsidRPr="00D4150D">
        <w:t xml:space="preserve">Deprivation comparisons </w:t>
      </w:r>
      <w:r>
        <w:t xml:space="preserve">have been </w:t>
      </w:r>
      <w:r w:rsidRPr="00D4150D">
        <w:t>adjusted for age, sex and ethnic group.</w:t>
      </w:r>
    </w:p>
    <w:p w14:paraId="0FCC6136" w14:textId="77777777" w:rsidR="00461EBC" w:rsidRPr="000C4C87" w:rsidRDefault="00735227" w:rsidP="00461EBC">
      <w:pPr>
        <w:pStyle w:val="Heading1"/>
      </w:pPr>
      <w:r>
        <w:br w:type="page"/>
      </w:r>
      <w:bookmarkStart w:id="53" w:name="_Toc390178288"/>
      <w:bookmarkStart w:id="54" w:name="_Toc400136610"/>
      <w:bookmarkStart w:id="55" w:name="_Toc404091073"/>
      <w:r w:rsidRPr="007D08D9">
        <w:t xml:space="preserve">Section 1: Are we on track to a </w:t>
      </w:r>
      <w:r>
        <w:t>s</w:t>
      </w:r>
      <w:r w:rsidRPr="007D08D9">
        <w:t>mokefree 2025?</w:t>
      </w:r>
      <w:bookmarkEnd w:id="53"/>
      <w:bookmarkEnd w:id="54"/>
      <w:bookmarkEnd w:id="55"/>
    </w:p>
    <w:p w14:paraId="2EBA12BC" w14:textId="77777777" w:rsidR="00461EBC" w:rsidRPr="004B7288" w:rsidRDefault="00461EBC" w:rsidP="00461EBC">
      <w:pPr>
        <w:pStyle w:val="BoxHeading"/>
      </w:pPr>
      <w:r w:rsidRPr="004B7288">
        <w:t>Key findings</w:t>
      </w:r>
    </w:p>
    <w:p w14:paraId="336D8B87" w14:textId="77777777" w:rsidR="00461EBC" w:rsidRPr="00885122" w:rsidRDefault="00461EBC" w:rsidP="00461EBC">
      <w:pPr>
        <w:pStyle w:val="BoxBullet"/>
      </w:pPr>
      <w:r>
        <w:t>Smoking rates are continuing to decline.</w:t>
      </w:r>
    </w:p>
    <w:p w14:paraId="1E0FAF8D" w14:textId="578F1582" w:rsidR="001C0723" w:rsidRDefault="001C0723" w:rsidP="00461EBC">
      <w:pPr>
        <w:pStyle w:val="BoxBullet"/>
      </w:pPr>
      <w:r>
        <w:t>The European/Others group showed the only decline in smoking prevalence among ethnic groups between 2006 and 2012.</w:t>
      </w:r>
    </w:p>
    <w:p w14:paraId="68D64500" w14:textId="77777777" w:rsidR="00AA2408" w:rsidRDefault="001C0723" w:rsidP="00461EBC">
      <w:pPr>
        <w:pStyle w:val="BoxBullet"/>
      </w:pPr>
      <w:r>
        <w:t>The greatest decline in smoking prevalence occurred among 15- to 19-year-olds.</w:t>
      </w:r>
    </w:p>
    <w:p w14:paraId="5465FE54" w14:textId="77777777" w:rsidR="00AA2408" w:rsidRDefault="001C0723" w:rsidP="00461EBC">
      <w:pPr>
        <w:pStyle w:val="BoxBullet"/>
      </w:pPr>
      <w:r>
        <w:t>There were similar declines in smoking prevalence for males and females.</w:t>
      </w:r>
    </w:p>
    <w:p w14:paraId="074CCA7B" w14:textId="7F21F2A1" w:rsidR="00461EBC" w:rsidRPr="00461EBC" w:rsidRDefault="00461EBC" w:rsidP="00461EBC"/>
    <w:p w14:paraId="28009372" w14:textId="77777777" w:rsidR="007066D2" w:rsidRDefault="00735227" w:rsidP="0022758B">
      <w:pPr>
        <w:pStyle w:val="Heading2"/>
      </w:pPr>
      <w:bookmarkStart w:id="56" w:name="_Toc390178289"/>
      <w:bookmarkStart w:id="57" w:name="_Toc400136611"/>
      <w:bookmarkStart w:id="58" w:name="_Toc404091074"/>
      <w:r w:rsidRPr="007D08D9">
        <w:t>Smoking rates are continuing to decline</w:t>
      </w:r>
      <w:bookmarkEnd w:id="56"/>
      <w:bookmarkEnd w:id="57"/>
      <w:bookmarkEnd w:id="58"/>
    </w:p>
    <w:p w14:paraId="3925502F" w14:textId="77777777" w:rsidR="007066D2" w:rsidRDefault="00735227" w:rsidP="0022758B">
      <w:r w:rsidRPr="0053454E">
        <w:t xml:space="preserve">The significant decrease in </w:t>
      </w:r>
      <w:r>
        <w:t xml:space="preserve">current and </w:t>
      </w:r>
      <w:r w:rsidRPr="0053454E">
        <w:t xml:space="preserve">daily smoking </w:t>
      </w:r>
      <w:r>
        <w:t xml:space="preserve">rates </w:t>
      </w:r>
      <w:r w:rsidRPr="0053454E">
        <w:t xml:space="preserve">in New Zealand seen since 1996/97 has continued (Figure 1). </w:t>
      </w:r>
      <w:r>
        <w:t xml:space="preserve">In 1996/97, a quarter (just over 25%) of the adult population reported being current smokers, and by </w:t>
      </w:r>
      <w:r w:rsidRPr="0053454E">
        <w:t xml:space="preserve">2012/13 </w:t>
      </w:r>
      <w:r>
        <w:t>this rate had dropped to around one in six adults (18</w:t>
      </w:r>
      <w:r w:rsidRPr="0053454E">
        <w:t>%)</w:t>
      </w:r>
      <w:r>
        <w:t>. About 16</w:t>
      </w:r>
      <w:r w:rsidRPr="0053454E">
        <w:t xml:space="preserve">% </w:t>
      </w:r>
      <w:r>
        <w:t xml:space="preserve">of the adult population </w:t>
      </w:r>
      <w:r w:rsidRPr="0053454E">
        <w:t>smoked daily</w:t>
      </w:r>
      <w:r>
        <w:t xml:space="preserve">, equating to </w:t>
      </w:r>
      <w:r w:rsidRPr="0053454E">
        <w:t xml:space="preserve">554,000 </w:t>
      </w:r>
      <w:r>
        <w:t xml:space="preserve">adult </w:t>
      </w:r>
      <w:r w:rsidRPr="0053454E">
        <w:t>daily smokers.</w:t>
      </w:r>
    </w:p>
    <w:p w14:paraId="6781F7C2" w14:textId="77777777" w:rsidR="00735227" w:rsidRDefault="00735227" w:rsidP="0022758B"/>
    <w:p w14:paraId="000AC1C5" w14:textId="77777777" w:rsidR="00735227" w:rsidRDefault="00735227" w:rsidP="0022758B">
      <w:pPr>
        <w:pStyle w:val="Figure"/>
      </w:pPr>
      <w:bookmarkStart w:id="59" w:name="_Toc399920484"/>
      <w:bookmarkStart w:id="60" w:name="_Toc404258410"/>
      <w:r>
        <w:t xml:space="preserve">Figure </w:t>
      </w:r>
      <w:r w:rsidR="0022758B">
        <w:t>1</w:t>
      </w:r>
      <w:r>
        <w:t>:</w:t>
      </w:r>
      <w:r w:rsidR="0022758B">
        <w:t xml:space="preserve"> </w:t>
      </w:r>
      <w:r w:rsidRPr="005A5E52">
        <w:t>Daily smoking, 1996/97</w:t>
      </w:r>
      <w:r>
        <w:t>–</w:t>
      </w:r>
      <w:r w:rsidRPr="005A5E52">
        <w:t>2012/13 (age-standardised prevalence)</w:t>
      </w:r>
      <w:bookmarkEnd w:id="59"/>
      <w:bookmarkEnd w:id="60"/>
    </w:p>
    <w:p w14:paraId="37B85272" w14:textId="77777777" w:rsidR="00735227" w:rsidRPr="002C3D20" w:rsidRDefault="00484CDA" w:rsidP="00484CDA">
      <w:r w:rsidRPr="00484CDA">
        <w:rPr>
          <w:noProof/>
          <w:lang w:eastAsia="en-NZ"/>
        </w:rPr>
        <w:drawing>
          <wp:inline distT="0" distB="0" distL="0" distR="0" wp14:anchorId="6DF64BFF" wp14:editId="1CCE7671">
            <wp:extent cx="4405745" cy="2523544"/>
            <wp:effectExtent l="0" t="0" r="0" b="0"/>
            <wp:docPr id="33" name="Picture 33" title="Figure 1: Daily smoking, 1996/97–2012/13 (age-standardised pre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r="11572" b="16972"/>
                    <a:stretch/>
                  </pic:blipFill>
                  <pic:spPr bwMode="auto">
                    <a:xfrm>
                      <a:off x="0" y="0"/>
                      <a:ext cx="4405215" cy="2523240"/>
                    </a:xfrm>
                    <a:prstGeom prst="rect">
                      <a:avLst/>
                    </a:prstGeom>
                    <a:ln>
                      <a:noFill/>
                    </a:ln>
                    <a:extLst>
                      <a:ext uri="{53640926-AAD7-44D8-BBD7-CCE9431645EC}">
                        <a14:shadowObscured xmlns:a14="http://schemas.microsoft.com/office/drawing/2010/main"/>
                      </a:ext>
                    </a:extLst>
                  </pic:spPr>
                </pic:pic>
              </a:graphicData>
            </a:graphic>
          </wp:inline>
        </w:drawing>
      </w:r>
    </w:p>
    <w:p w14:paraId="353FBBE1" w14:textId="77777777" w:rsidR="00735227" w:rsidRDefault="00735227" w:rsidP="0022758B">
      <w:pPr>
        <w:pStyle w:val="Source"/>
        <w:ind w:left="0" w:firstLine="0"/>
      </w:pPr>
      <w:r>
        <w:t>Sources: 1996 = 1996/97 New Zealand Health Survey (NZHS); 2002 = 2002/03 NZHS; 2006 = 2006/07 NZHS; 2011 = 2011/12 NZHS; 2012 = 2012/13 NZHS</w:t>
      </w:r>
      <w:r w:rsidRPr="0022758B">
        <w:rPr>
          <w:rStyle w:val="FootnoteReference"/>
        </w:rPr>
        <w:footnoteReference w:id="3"/>
      </w:r>
    </w:p>
    <w:p w14:paraId="69176D65" w14:textId="77777777" w:rsidR="00735227" w:rsidRDefault="00735227" w:rsidP="0022758B"/>
    <w:p w14:paraId="42CCA08C" w14:textId="77777777" w:rsidR="00735227" w:rsidRPr="007D08D9" w:rsidRDefault="00735227" w:rsidP="0022758B">
      <w:pPr>
        <w:pStyle w:val="Heading3"/>
      </w:pPr>
      <w:r w:rsidRPr="007D08D9">
        <w:t xml:space="preserve">Smoking </w:t>
      </w:r>
      <w:r>
        <w:t xml:space="preserve">rates are </w:t>
      </w:r>
      <w:r w:rsidRPr="007D08D9">
        <w:t xml:space="preserve">driven </w:t>
      </w:r>
      <w:r>
        <w:t>by both</w:t>
      </w:r>
      <w:r w:rsidRPr="007D08D9">
        <w:t xml:space="preserve"> flow</w:t>
      </w:r>
      <w:r>
        <w:t xml:space="preserve"> </w:t>
      </w:r>
      <w:r w:rsidRPr="007D08D9">
        <w:t>in and flow</w:t>
      </w:r>
      <w:r>
        <w:t xml:space="preserve"> </w:t>
      </w:r>
      <w:r w:rsidRPr="007D08D9">
        <w:t>out</w:t>
      </w:r>
    </w:p>
    <w:p w14:paraId="4B8A1EA1" w14:textId="77777777" w:rsidR="00AA2408" w:rsidRDefault="00735227" w:rsidP="0022758B">
      <w:r w:rsidRPr="0053454E">
        <w:t>The decline in smoking</w:t>
      </w:r>
      <w:r>
        <w:t xml:space="preserve"> prevalence</w:t>
      </w:r>
      <w:r w:rsidRPr="0053454E">
        <w:t xml:space="preserve"> </w:t>
      </w:r>
      <w:r w:rsidR="00B252AD">
        <w:t xml:space="preserve">reflects both </w:t>
      </w:r>
      <w:r>
        <w:t>decreasing</w:t>
      </w:r>
      <w:r w:rsidR="00B252AD">
        <w:t xml:space="preserve"> smoking initiation, or </w:t>
      </w:r>
      <w:r w:rsidR="00AA2408">
        <w:t>‘</w:t>
      </w:r>
      <w:r w:rsidR="00B252AD">
        <w:t>flow in</w:t>
      </w:r>
      <w:r w:rsidR="00AA2408">
        <w:t>’</w:t>
      </w:r>
      <w:r w:rsidR="00B252AD">
        <w:t xml:space="preserve">, </w:t>
      </w:r>
      <w:r>
        <w:t xml:space="preserve">and increasing successful </w:t>
      </w:r>
      <w:r w:rsidRPr="0053454E">
        <w:t>quitting</w:t>
      </w:r>
      <w:r w:rsidR="00B252AD">
        <w:t xml:space="preserve">, or </w:t>
      </w:r>
      <w:r w:rsidR="00AA2408">
        <w:t>‘</w:t>
      </w:r>
      <w:r w:rsidR="00B252AD">
        <w:t>flow out</w:t>
      </w:r>
      <w:r w:rsidR="00AA2408">
        <w:t>’</w:t>
      </w:r>
      <w:r w:rsidRPr="0053454E">
        <w:t xml:space="preserve">. </w:t>
      </w:r>
      <w:r>
        <w:t xml:space="preserve">There has been a significant decrease in the rate of current smoking in 15- to 19-year-olds, from 20% in 2006 to 13% in 2012 (Figure </w:t>
      </w:r>
      <w:r w:rsidR="00D47D19">
        <w:t>2). At the same time, there has</w:t>
      </w:r>
      <w:r>
        <w:t xml:space="preserve"> been a significant increase in the prevalence of people who have successfully quit smoking, from 8% in 2006 to 11% in 2012.</w:t>
      </w:r>
    </w:p>
    <w:p w14:paraId="5DC22A95" w14:textId="67DAAF76" w:rsidR="00735227" w:rsidRDefault="00735227" w:rsidP="0022758B"/>
    <w:p w14:paraId="7CE8750F" w14:textId="77777777" w:rsidR="007066D2" w:rsidRDefault="00735227" w:rsidP="0022758B">
      <w:pPr>
        <w:pStyle w:val="Figure"/>
      </w:pPr>
      <w:bookmarkStart w:id="61" w:name="_Toc399920485"/>
      <w:bookmarkStart w:id="62" w:name="_Toc404258411"/>
      <w:r>
        <w:t xml:space="preserve">Figure </w:t>
      </w:r>
      <w:r w:rsidR="0022758B">
        <w:t>2</w:t>
      </w:r>
      <w:r>
        <w:t>:</w:t>
      </w:r>
      <w:r w:rsidR="0022758B">
        <w:t xml:space="preserve"> </w:t>
      </w:r>
      <w:r w:rsidRPr="00593FCA">
        <w:t>Time trends of current smoking prevalence for 15-</w:t>
      </w:r>
      <w:r>
        <w:t xml:space="preserve"> to </w:t>
      </w:r>
      <w:r w:rsidRPr="00593FCA">
        <w:t>19</w:t>
      </w:r>
      <w:r>
        <w:t>-</w:t>
      </w:r>
      <w:r w:rsidRPr="00593FCA">
        <w:t>year</w:t>
      </w:r>
      <w:r>
        <w:t>-</w:t>
      </w:r>
      <w:r w:rsidRPr="00593FCA">
        <w:t xml:space="preserve">olds and prevalence of successful </w:t>
      </w:r>
      <w:r>
        <w:t>quitting between 2006 and 2012</w:t>
      </w:r>
      <w:bookmarkEnd w:id="61"/>
      <w:bookmarkEnd w:id="62"/>
    </w:p>
    <w:p w14:paraId="7CDFC5F8" w14:textId="77777777" w:rsidR="00735227" w:rsidRPr="005C4229" w:rsidRDefault="00EF404E" w:rsidP="0053113B">
      <w:pPr>
        <w:rPr>
          <w:lang w:eastAsia="en-US"/>
        </w:rPr>
      </w:pPr>
      <w:r w:rsidRPr="00EF404E">
        <w:rPr>
          <w:noProof/>
          <w:lang w:eastAsia="en-NZ"/>
        </w:rPr>
        <w:drawing>
          <wp:inline distT="0" distB="0" distL="0" distR="0" wp14:anchorId="37A289D2" wp14:editId="718DFCAD">
            <wp:extent cx="4854633" cy="2770875"/>
            <wp:effectExtent l="0" t="0" r="3175" b="0"/>
            <wp:docPr id="47" name="Picture 47" title="Figure 2: Time trends of current smoking prevalence for 15- to 19-year-olds and prevalence of successful quitting between 2006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9053" b="14908"/>
                    <a:stretch/>
                  </pic:blipFill>
                  <pic:spPr bwMode="auto">
                    <a:xfrm>
                      <a:off x="0" y="0"/>
                      <a:ext cx="4854047" cy="2770541"/>
                    </a:xfrm>
                    <a:prstGeom prst="rect">
                      <a:avLst/>
                    </a:prstGeom>
                    <a:ln>
                      <a:noFill/>
                    </a:ln>
                    <a:extLst>
                      <a:ext uri="{53640926-AAD7-44D8-BBD7-CCE9431645EC}">
                        <a14:shadowObscured xmlns:a14="http://schemas.microsoft.com/office/drawing/2010/main"/>
                      </a:ext>
                    </a:extLst>
                  </pic:spPr>
                </pic:pic>
              </a:graphicData>
            </a:graphic>
          </wp:inline>
        </w:drawing>
      </w:r>
    </w:p>
    <w:p w14:paraId="2FBAAF4F" w14:textId="77777777" w:rsidR="00735227" w:rsidRPr="00E42454" w:rsidRDefault="00735227" w:rsidP="0022758B">
      <w:pPr>
        <w:pStyle w:val="Source"/>
      </w:pPr>
      <w:r>
        <w:t>Sources: 2006 = 2006/07 NZHS; 2012 = 2012/13 NZHS</w:t>
      </w:r>
    </w:p>
    <w:p w14:paraId="27E4390D" w14:textId="77777777" w:rsidR="00735227" w:rsidRDefault="00735227" w:rsidP="0022758B"/>
    <w:p w14:paraId="796D68E8" w14:textId="77777777" w:rsidR="007066D2" w:rsidRDefault="00735227" w:rsidP="0022758B">
      <w:pPr>
        <w:pStyle w:val="Heading3"/>
      </w:pPr>
      <w:bookmarkStart w:id="63" w:name="_Toc400136612"/>
      <w:r w:rsidRPr="00645772">
        <w:t>Flow</w:t>
      </w:r>
      <w:r>
        <w:t xml:space="preserve"> </w:t>
      </w:r>
      <w:r w:rsidRPr="00645772">
        <w:t>in</w:t>
      </w:r>
      <w:bookmarkEnd w:id="63"/>
    </w:p>
    <w:p w14:paraId="755E8D88" w14:textId="77777777" w:rsidR="007066D2" w:rsidRDefault="00735227" w:rsidP="0022758B">
      <w:r w:rsidRPr="00645772">
        <w:t>The decline in current smoking prevalence among 15-</w:t>
      </w:r>
      <w:r>
        <w:t xml:space="preserve"> to </w:t>
      </w:r>
      <w:r w:rsidRPr="00645772">
        <w:t>19</w:t>
      </w:r>
      <w:r>
        <w:t>-</w:t>
      </w:r>
      <w:r w:rsidRPr="00645772">
        <w:t>year</w:t>
      </w:r>
      <w:r>
        <w:t>-</w:t>
      </w:r>
      <w:r w:rsidRPr="00645772">
        <w:t>olds has occurred at the same time as an increase in the average age of first use. The average age that current smokers over the age of 20 tried or smoked their first cigarette was 14.8 years.</w:t>
      </w:r>
      <w:r w:rsidR="008505C6">
        <w:t xml:space="preserve"> </w:t>
      </w:r>
      <w:r w:rsidR="008505C6" w:rsidRPr="00D176E5">
        <w:t>Only current smokers over the age of 20 have been considered</w:t>
      </w:r>
      <w:r w:rsidR="008505C6">
        <w:t xml:space="preserve"> in this analysis in order</w:t>
      </w:r>
      <w:r w:rsidR="008505C6" w:rsidRPr="00D176E5">
        <w:t xml:space="preserve"> </w:t>
      </w:r>
      <w:r w:rsidR="008505C6">
        <w:t xml:space="preserve">to capture </w:t>
      </w:r>
      <w:r w:rsidR="008505C6" w:rsidRPr="00D176E5">
        <w:t>smokers who start</w:t>
      </w:r>
      <w:r w:rsidR="008505C6">
        <w:t>ed</w:t>
      </w:r>
      <w:r w:rsidR="008505C6" w:rsidRPr="00D176E5">
        <w:t xml:space="preserve"> smoking later in their teens </w:t>
      </w:r>
      <w:r w:rsidR="008505C6">
        <w:t xml:space="preserve">(eg, 16–19 years) </w:t>
      </w:r>
      <w:r w:rsidR="008505C6" w:rsidRPr="00D176E5">
        <w:t xml:space="preserve">compared </w:t>
      </w:r>
      <w:r w:rsidR="008505C6">
        <w:t>with</w:t>
      </w:r>
      <w:r w:rsidR="008505C6" w:rsidRPr="00D176E5">
        <w:t xml:space="preserve"> those who </w:t>
      </w:r>
      <w:r w:rsidR="008505C6">
        <w:t xml:space="preserve">may have </w:t>
      </w:r>
      <w:r w:rsidR="008505C6" w:rsidRPr="00D176E5">
        <w:t>started earlier.</w:t>
      </w:r>
    </w:p>
    <w:p w14:paraId="476880FC" w14:textId="77777777" w:rsidR="00735227" w:rsidRDefault="00735227" w:rsidP="0022758B"/>
    <w:p w14:paraId="0F2910A7" w14:textId="4C3CC9F8" w:rsidR="00735227" w:rsidRPr="00E12B79" w:rsidRDefault="00735227" w:rsidP="0022758B">
      <w:pPr>
        <w:rPr>
          <w:color w:val="1A1A1A"/>
          <w:spacing w:val="-2"/>
        </w:rPr>
      </w:pPr>
      <w:r w:rsidRPr="00E12B79">
        <w:rPr>
          <w:spacing w:val="-2"/>
        </w:rPr>
        <w:t xml:space="preserve">Comparison to the 2006/07 NZHS figures was not possible because of differences in questions asked. For this reason, comparison was made with figures from the bi-annual Youth Insights Survey </w:t>
      </w:r>
      <w:r w:rsidR="00F33C1D">
        <w:rPr>
          <w:spacing w:val="-2"/>
        </w:rPr>
        <w:t xml:space="preserve">(YIS) </w:t>
      </w:r>
      <w:r w:rsidRPr="00E12B79">
        <w:rPr>
          <w:spacing w:val="-2"/>
        </w:rPr>
        <w:t xml:space="preserve">(2006, 2008, 2010 and 2012). </w:t>
      </w:r>
      <w:r w:rsidRPr="00E12B79">
        <w:rPr>
          <w:color w:val="1A1A1A"/>
          <w:spacing w:val="-2"/>
        </w:rPr>
        <w:t>The former Health Sponsorship Council</w:t>
      </w:r>
      <w:r w:rsidR="00AA2408">
        <w:rPr>
          <w:color w:val="1A1A1A"/>
          <w:spacing w:val="-2"/>
        </w:rPr>
        <w:t>’</w:t>
      </w:r>
      <w:r w:rsidRPr="00E12B79">
        <w:rPr>
          <w:color w:val="1A1A1A"/>
          <w:spacing w:val="-2"/>
        </w:rPr>
        <w:t>s</w:t>
      </w:r>
      <w:r w:rsidRPr="007E56E3">
        <w:rPr>
          <w:rStyle w:val="FootnoteReference"/>
        </w:rPr>
        <w:footnoteReference w:id="4"/>
      </w:r>
      <w:r w:rsidRPr="00E12B79">
        <w:rPr>
          <w:color w:val="1A1A1A"/>
          <w:spacing w:val="-2"/>
        </w:rPr>
        <w:t xml:space="preserve"> (HSC</w:t>
      </w:r>
      <w:r w:rsidR="00AA2408">
        <w:rPr>
          <w:color w:val="1A1A1A"/>
          <w:spacing w:val="-2"/>
        </w:rPr>
        <w:t>’</w:t>
      </w:r>
      <w:r w:rsidRPr="00E12B79">
        <w:rPr>
          <w:color w:val="1A1A1A"/>
          <w:spacing w:val="-2"/>
        </w:rPr>
        <w:t>s) Yo</w:t>
      </w:r>
      <w:r w:rsidR="00572AD6">
        <w:rPr>
          <w:color w:val="1A1A1A"/>
          <w:spacing w:val="-2"/>
        </w:rPr>
        <w:t>uth Insights Survey</w:t>
      </w:r>
      <w:r w:rsidR="00AA2408">
        <w:rPr>
          <w:color w:val="1A1A1A"/>
          <w:spacing w:val="-2"/>
        </w:rPr>
        <w:t xml:space="preserve"> </w:t>
      </w:r>
      <w:r w:rsidR="00AF2D63">
        <w:rPr>
          <w:color w:val="1A1A1A"/>
          <w:spacing w:val="-2"/>
        </w:rPr>
        <w:t>is a</w:t>
      </w:r>
      <w:r w:rsidRPr="00E12B79">
        <w:rPr>
          <w:color w:val="1A1A1A"/>
          <w:spacing w:val="-2"/>
        </w:rPr>
        <w:t xml:space="preserve"> national youth survey and includes topics relevant to New Zealand</w:t>
      </w:r>
      <w:r w:rsidR="00AA2408">
        <w:rPr>
          <w:color w:val="1A1A1A"/>
          <w:spacing w:val="-2"/>
        </w:rPr>
        <w:t>’</w:t>
      </w:r>
      <w:r w:rsidRPr="00E12B79">
        <w:rPr>
          <w:color w:val="1A1A1A"/>
          <w:spacing w:val="-2"/>
        </w:rPr>
        <w:t xml:space="preserve">s tobacco control sector. </w:t>
      </w:r>
      <w:r w:rsidR="00F33C1D">
        <w:rPr>
          <w:color w:val="1A1A1A"/>
          <w:spacing w:val="-2"/>
        </w:rPr>
        <w:t>R</w:t>
      </w:r>
      <w:r w:rsidRPr="00E12B79">
        <w:rPr>
          <w:color w:val="1A1A1A"/>
          <w:spacing w:val="-2"/>
        </w:rPr>
        <w:t>espondents were Year 10 students</w:t>
      </w:r>
      <w:r w:rsidR="00F33C1D">
        <w:rPr>
          <w:color w:val="1A1A1A"/>
          <w:spacing w:val="-2"/>
        </w:rPr>
        <w:t xml:space="preserve"> </w:t>
      </w:r>
      <w:r w:rsidRPr="00E12B79">
        <w:rPr>
          <w:color w:val="1A1A1A"/>
          <w:spacing w:val="-2"/>
        </w:rPr>
        <w:t xml:space="preserve">mainly </w:t>
      </w:r>
      <w:r w:rsidR="007E56E3">
        <w:rPr>
          <w:color w:val="1A1A1A"/>
          <w:spacing w:val="-2"/>
        </w:rPr>
        <w:t>aged around 14 and 15 years.</w:t>
      </w:r>
    </w:p>
    <w:p w14:paraId="357086A0" w14:textId="77777777" w:rsidR="00735227" w:rsidRDefault="00735227" w:rsidP="0022758B"/>
    <w:p w14:paraId="38E96531" w14:textId="77777777" w:rsidR="007066D2" w:rsidRDefault="00735227" w:rsidP="0022758B">
      <w:r>
        <w:t xml:space="preserve">The YIS findings show a slight delay in smoking initiation over the </w:t>
      </w:r>
      <w:r w:rsidRPr="00990CA2">
        <w:t>four</w:t>
      </w:r>
      <w:r>
        <w:t xml:space="preserve"> years recorded, with an increase in the mean age of initiation from 11.3 to 11.6 years (J White, Health Promotion Agency, personal communication 20 March 2014).</w:t>
      </w:r>
    </w:p>
    <w:p w14:paraId="6CDBE410" w14:textId="77777777" w:rsidR="00735227" w:rsidRDefault="00735227" w:rsidP="0022758B"/>
    <w:p w14:paraId="4AC91CCB" w14:textId="77777777" w:rsidR="007066D2" w:rsidRDefault="00735227" w:rsidP="0022758B">
      <w:pPr>
        <w:rPr>
          <w:lang w:eastAsia="en-NZ"/>
        </w:rPr>
      </w:pPr>
      <w:r w:rsidRPr="00645772">
        <w:rPr>
          <w:lang w:eastAsia="en-NZ"/>
        </w:rPr>
        <w:t xml:space="preserve">The figure for age of initiation will be lower </w:t>
      </w:r>
      <w:r>
        <w:rPr>
          <w:lang w:eastAsia="en-NZ"/>
        </w:rPr>
        <w:t xml:space="preserve">in the YIS </w:t>
      </w:r>
      <w:r w:rsidRPr="00645772">
        <w:rPr>
          <w:lang w:eastAsia="en-NZ"/>
        </w:rPr>
        <w:t xml:space="preserve">than would be found for all young smokers (&lt;20 years) as the average age of YIS respondents in 2012 was 14.1 years, and </w:t>
      </w:r>
      <w:r>
        <w:rPr>
          <w:lang w:eastAsia="en-NZ"/>
        </w:rPr>
        <w:t xml:space="preserve">a number </w:t>
      </w:r>
      <w:r w:rsidRPr="00645772">
        <w:rPr>
          <w:lang w:eastAsia="en-NZ"/>
        </w:rPr>
        <w:t>will first try a cigarette at an older age.</w:t>
      </w:r>
    </w:p>
    <w:p w14:paraId="20626FA4" w14:textId="77777777" w:rsidR="0022758B" w:rsidRDefault="0022758B" w:rsidP="0022758B">
      <w:pPr>
        <w:rPr>
          <w:lang w:eastAsia="en-NZ"/>
        </w:rPr>
      </w:pPr>
    </w:p>
    <w:p w14:paraId="7B619C86" w14:textId="77777777" w:rsidR="00735227" w:rsidRPr="00645772" w:rsidRDefault="00735227" w:rsidP="0022758B">
      <w:pPr>
        <w:pStyle w:val="Heading3"/>
        <w:rPr>
          <w:lang w:eastAsia="en-NZ"/>
        </w:rPr>
      </w:pPr>
      <w:bookmarkStart w:id="64" w:name="_Toc400136613"/>
      <w:r w:rsidRPr="00645772">
        <w:rPr>
          <w:lang w:eastAsia="en-NZ"/>
        </w:rPr>
        <w:t>Flow</w:t>
      </w:r>
      <w:r>
        <w:rPr>
          <w:lang w:eastAsia="en-NZ"/>
        </w:rPr>
        <w:t xml:space="preserve"> </w:t>
      </w:r>
      <w:r w:rsidRPr="00645772">
        <w:rPr>
          <w:lang w:eastAsia="en-NZ"/>
        </w:rPr>
        <w:t>out</w:t>
      </w:r>
      <w:bookmarkEnd w:id="64"/>
    </w:p>
    <w:p w14:paraId="6ABEB87D" w14:textId="77777777" w:rsidR="007066D2" w:rsidRDefault="00735227" w:rsidP="0022758B">
      <w:r>
        <w:t>Approximately 81,500 smokers (11%) successfully quit smoking in 2012/13. This number is calculated from the pool of recent quit attempters and current smokers from the beginning of the survey year.</w:t>
      </w:r>
    </w:p>
    <w:p w14:paraId="31B87E56" w14:textId="77777777" w:rsidR="00735227" w:rsidRDefault="00735227" w:rsidP="0022758B">
      <w:pPr>
        <w:rPr>
          <w:lang w:eastAsia="en-NZ"/>
        </w:rPr>
      </w:pPr>
    </w:p>
    <w:p w14:paraId="0DD36470" w14:textId="77777777" w:rsidR="007066D2" w:rsidRDefault="00735227" w:rsidP="0022758B">
      <w:r>
        <w:t>Successful quitting has been defined in this report as those respondents who had quit smoking between a month and a year from when they participated in the survey, and had remained abstinent.</w:t>
      </w:r>
    </w:p>
    <w:p w14:paraId="01C0E333" w14:textId="77777777" w:rsidR="00735227" w:rsidRPr="00945EA6" w:rsidRDefault="00735227" w:rsidP="0022758B"/>
    <w:p w14:paraId="5FD8CC14" w14:textId="77777777" w:rsidR="00735227" w:rsidRPr="00D63EDA" w:rsidRDefault="00735227" w:rsidP="0022758B">
      <w:pPr>
        <w:pStyle w:val="Heading2"/>
      </w:pPr>
      <w:bookmarkStart w:id="65" w:name="_Toc390178290"/>
      <w:bookmarkStart w:id="66" w:name="_Toc400136614"/>
      <w:bookmarkStart w:id="67" w:name="_Toc404091075"/>
      <w:r w:rsidRPr="00D63EDA">
        <w:t>Are smoking rates declining for everyone?</w:t>
      </w:r>
      <w:bookmarkEnd w:id="65"/>
      <w:bookmarkEnd w:id="66"/>
      <w:bookmarkEnd w:id="67"/>
    </w:p>
    <w:p w14:paraId="1B1A1015" w14:textId="77777777" w:rsidR="00735227" w:rsidRDefault="00735227" w:rsidP="0022758B">
      <w:r>
        <w:t xml:space="preserve">Although </w:t>
      </w:r>
      <w:r w:rsidRPr="0053454E">
        <w:t xml:space="preserve">there has been a general decline in the overall </w:t>
      </w:r>
      <w:r>
        <w:t xml:space="preserve">prevalence of smoking in recent years, </w:t>
      </w:r>
      <w:r w:rsidRPr="0053454E">
        <w:t>the observed decline in smoking rate</w:t>
      </w:r>
      <w:r>
        <w:t>s</w:t>
      </w:r>
      <w:r w:rsidRPr="0053454E">
        <w:t xml:space="preserve"> </w:t>
      </w:r>
      <w:r>
        <w:t>is not occurring a</w:t>
      </w:r>
      <w:r w:rsidRPr="0053454E">
        <w:t>t the same rate acro</w:t>
      </w:r>
      <w:r>
        <w:t>ss all population groups, with some groups showing greater declines than others.</w:t>
      </w:r>
    </w:p>
    <w:p w14:paraId="51E7C6ED" w14:textId="77777777" w:rsidR="00735227" w:rsidRDefault="00735227" w:rsidP="0022758B"/>
    <w:p w14:paraId="43C74F02" w14:textId="77777777" w:rsidR="00735227" w:rsidRPr="000C4C87" w:rsidRDefault="00735227" w:rsidP="0022758B">
      <w:pPr>
        <w:pStyle w:val="Heading3"/>
      </w:pPr>
      <w:r>
        <w:t xml:space="preserve">The </w:t>
      </w:r>
      <w:r w:rsidR="00AF2D63">
        <w:t>only</w:t>
      </w:r>
      <w:r w:rsidRPr="000C4C87">
        <w:t xml:space="preserve"> decline in smoking prevalence </w:t>
      </w:r>
      <w:r w:rsidR="00AF2D63">
        <w:t xml:space="preserve">among ethnic groups </w:t>
      </w:r>
      <w:r w:rsidRPr="000C4C87">
        <w:t>occurred among European/Others</w:t>
      </w:r>
    </w:p>
    <w:p w14:paraId="502EE28E" w14:textId="1DA6B82E" w:rsidR="007066D2" w:rsidRDefault="00735227" w:rsidP="0022758B">
      <w:r>
        <w:t>As shown in Table 1, the European/Other g</w:t>
      </w:r>
      <w:r w:rsidR="00C30CF1">
        <w:t>roup showed a</w:t>
      </w:r>
      <w:r w:rsidR="00120D3E">
        <w:t xml:space="preserve"> decline (18</w:t>
      </w:r>
      <w:r>
        <w:t xml:space="preserve">%) </w:t>
      </w:r>
      <w:r w:rsidR="00046233">
        <w:t>in smoking between 2006 and 2012, but other ethnic groups did not.</w:t>
      </w:r>
    </w:p>
    <w:p w14:paraId="31B651D4" w14:textId="77777777" w:rsidR="00735227" w:rsidRDefault="00735227" w:rsidP="0022758B"/>
    <w:p w14:paraId="3A6E0F9A" w14:textId="77777777" w:rsidR="00735227" w:rsidRDefault="00735227" w:rsidP="0022758B">
      <w:pPr>
        <w:pStyle w:val="Table"/>
        <w:rPr>
          <w:szCs w:val="24"/>
        </w:rPr>
      </w:pPr>
      <w:bookmarkStart w:id="68" w:name="_Toc399920512"/>
      <w:bookmarkStart w:id="69" w:name="_Toc404091101"/>
      <w:r>
        <w:t xml:space="preserve">Table </w:t>
      </w:r>
      <w:r w:rsidR="0022758B">
        <w:t>1</w:t>
      </w:r>
      <w:r>
        <w:t>:</w:t>
      </w:r>
      <w:r w:rsidR="0022758B">
        <w:t xml:space="preserve"> </w:t>
      </w:r>
      <w:r w:rsidRPr="004903BE">
        <w:t>Changes in current smoking prevalence by ethnicity between 2006 and 2012</w:t>
      </w:r>
      <w:bookmarkEnd w:id="68"/>
      <w:bookmarkEnd w:id="6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417"/>
        <w:gridCol w:w="1418"/>
        <w:gridCol w:w="2127"/>
      </w:tblGrid>
      <w:tr w:rsidR="00735227" w:rsidRPr="005E0155" w14:paraId="13C4D413" w14:textId="77777777" w:rsidTr="009C3A17">
        <w:trPr>
          <w:cantSplit/>
        </w:trPr>
        <w:tc>
          <w:tcPr>
            <w:tcW w:w="2268" w:type="dxa"/>
            <w:tcBorders>
              <w:top w:val="single" w:sz="4" w:space="0" w:color="auto"/>
              <w:bottom w:val="single" w:sz="4" w:space="0" w:color="auto"/>
              <w:right w:val="nil"/>
            </w:tcBorders>
            <w:shd w:val="clear" w:color="auto" w:fill="auto"/>
            <w:noWrap/>
            <w:hideMark/>
          </w:tcPr>
          <w:p w14:paraId="2B595BC4" w14:textId="77777777" w:rsidR="00735227" w:rsidRPr="005E0155" w:rsidRDefault="00735227" w:rsidP="005E0155">
            <w:pPr>
              <w:pStyle w:val="TableText"/>
              <w:rPr>
                <w:b/>
                <w:lang w:eastAsia="en-NZ"/>
              </w:rPr>
            </w:pPr>
            <w:r w:rsidRPr="005E0155">
              <w:rPr>
                <w:b/>
                <w:lang w:eastAsia="en-NZ"/>
              </w:rPr>
              <w:t>Ethnic group</w:t>
            </w:r>
          </w:p>
        </w:tc>
        <w:tc>
          <w:tcPr>
            <w:tcW w:w="1417" w:type="dxa"/>
            <w:tcBorders>
              <w:top w:val="single" w:sz="4" w:space="0" w:color="auto"/>
              <w:left w:val="nil"/>
              <w:bottom w:val="single" w:sz="4" w:space="0" w:color="auto"/>
              <w:right w:val="nil"/>
            </w:tcBorders>
            <w:shd w:val="clear" w:color="auto" w:fill="auto"/>
            <w:noWrap/>
            <w:hideMark/>
          </w:tcPr>
          <w:p w14:paraId="1E22395C" w14:textId="77777777" w:rsidR="00735227" w:rsidRPr="005E0155" w:rsidRDefault="00735227" w:rsidP="005E0155">
            <w:pPr>
              <w:pStyle w:val="TableText"/>
              <w:jc w:val="center"/>
              <w:rPr>
                <w:b/>
                <w:lang w:eastAsia="en-NZ"/>
              </w:rPr>
            </w:pPr>
            <w:r w:rsidRPr="005E0155">
              <w:rPr>
                <w:b/>
                <w:lang w:eastAsia="en-NZ"/>
              </w:rPr>
              <w:t>2006</w:t>
            </w:r>
            <w:r w:rsidR="005E0155" w:rsidRPr="005E0155">
              <w:rPr>
                <w:b/>
                <w:lang w:eastAsia="en-NZ"/>
              </w:rPr>
              <w:br/>
            </w:r>
            <w:r w:rsidRPr="005E0155">
              <w:rPr>
                <w:b/>
                <w:lang w:eastAsia="en-NZ"/>
              </w:rPr>
              <w:t>(%)</w:t>
            </w:r>
          </w:p>
        </w:tc>
        <w:tc>
          <w:tcPr>
            <w:tcW w:w="1418" w:type="dxa"/>
            <w:tcBorders>
              <w:top w:val="single" w:sz="4" w:space="0" w:color="auto"/>
              <w:left w:val="nil"/>
              <w:bottom w:val="single" w:sz="4" w:space="0" w:color="auto"/>
              <w:right w:val="nil"/>
            </w:tcBorders>
            <w:shd w:val="clear" w:color="auto" w:fill="auto"/>
            <w:noWrap/>
            <w:hideMark/>
          </w:tcPr>
          <w:p w14:paraId="21FF3905" w14:textId="77777777" w:rsidR="00735227" w:rsidRPr="005E0155" w:rsidRDefault="00735227" w:rsidP="005E0155">
            <w:pPr>
              <w:pStyle w:val="TableText"/>
              <w:jc w:val="center"/>
              <w:rPr>
                <w:b/>
                <w:lang w:eastAsia="en-NZ"/>
              </w:rPr>
            </w:pPr>
            <w:r w:rsidRPr="005E0155">
              <w:rPr>
                <w:b/>
                <w:lang w:eastAsia="en-NZ"/>
              </w:rPr>
              <w:t>2012</w:t>
            </w:r>
            <w:r w:rsidR="005E0155" w:rsidRPr="005E0155">
              <w:rPr>
                <w:b/>
                <w:lang w:eastAsia="en-NZ"/>
              </w:rPr>
              <w:br/>
            </w:r>
            <w:r w:rsidRPr="005E0155">
              <w:rPr>
                <w:b/>
                <w:lang w:eastAsia="en-NZ"/>
              </w:rPr>
              <w:t>(%)</w:t>
            </w:r>
          </w:p>
        </w:tc>
        <w:tc>
          <w:tcPr>
            <w:tcW w:w="2127" w:type="dxa"/>
            <w:tcBorders>
              <w:top w:val="single" w:sz="4" w:space="0" w:color="auto"/>
              <w:left w:val="nil"/>
              <w:bottom w:val="single" w:sz="4" w:space="0" w:color="auto"/>
            </w:tcBorders>
            <w:shd w:val="clear" w:color="auto" w:fill="auto"/>
            <w:noWrap/>
            <w:hideMark/>
          </w:tcPr>
          <w:p w14:paraId="573B29F1" w14:textId="77777777" w:rsidR="00735227" w:rsidRPr="005E0155" w:rsidRDefault="00735227" w:rsidP="005E0155">
            <w:pPr>
              <w:pStyle w:val="TableText"/>
              <w:jc w:val="center"/>
              <w:rPr>
                <w:b/>
                <w:lang w:eastAsia="en-NZ"/>
              </w:rPr>
            </w:pPr>
            <w:r w:rsidRPr="005E0155">
              <w:rPr>
                <w:b/>
                <w:lang w:eastAsia="en-NZ"/>
              </w:rPr>
              <w:t>Relative percentage change (%)</w:t>
            </w:r>
          </w:p>
        </w:tc>
      </w:tr>
      <w:tr w:rsidR="00735227" w:rsidRPr="00D670ED" w14:paraId="09CE3742" w14:textId="77777777" w:rsidTr="009C3A17">
        <w:trPr>
          <w:cantSplit/>
        </w:trPr>
        <w:tc>
          <w:tcPr>
            <w:tcW w:w="2268" w:type="dxa"/>
            <w:tcBorders>
              <w:top w:val="single" w:sz="4" w:space="0" w:color="auto"/>
              <w:bottom w:val="single" w:sz="4" w:space="0" w:color="A6A6A6" w:themeColor="background1" w:themeShade="A6"/>
              <w:right w:val="nil"/>
            </w:tcBorders>
            <w:shd w:val="clear" w:color="auto" w:fill="auto"/>
            <w:noWrap/>
            <w:hideMark/>
          </w:tcPr>
          <w:p w14:paraId="0108A85C" w14:textId="77777777" w:rsidR="00735227" w:rsidRPr="007B7915" w:rsidRDefault="00735227" w:rsidP="005E0155">
            <w:pPr>
              <w:pStyle w:val="TableText"/>
              <w:rPr>
                <w:lang w:eastAsia="en-NZ"/>
              </w:rPr>
            </w:pPr>
            <w:r w:rsidRPr="007B7915">
              <w:rPr>
                <w:lang w:eastAsia="en-NZ"/>
              </w:rPr>
              <w:t>Māori</w:t>
            </w:r>
          </w:p>
        </w:tc>
        <w:tc>
          <w:tcPr>
            <w:tcW w:w="1417" w:type="dxa"/>
            <w:tcBorders>
              <w:top w:val="single" w:sz="4" w:space="0" w:color="auto"/>
              <w:left w:val="nil"/>
              <w:bottom w:val="single" w:sz="4" w:space="0" w:color="A6A6A6" w:themeColor="background1" w:themeShade="A6"/>
              <w:right w:val="nil"/>
            </w:tcBorders>
            <w:shd w:val="clear" w:color="auto" w:fill="auto"/>
            <w:noWrap/>
            <w:hideMark/>
          </w:tcPr>
          <w:p w14:paraId="442F8187" w14:textId="77777777" w:rsidR="00735227" w:rsidRPr="007B7915" w:rsidRDefault="00120D3E" w:rsidP="005E0155">
            <w:pPr>
              <w:pStyle w:val="TableText"/>
              <w:jc w:val="center"/>
              <w:rPr>
                <w:lang w:eastAsia="en-NZ"/>
              </w:rPr>
            </w:pPr>
            <w:r>
              <w:rPr>
                <w:lang w:eastAsia="en-NZ"/>
              </w:rPr>
              <w:t>42</w:t>
            </w:r>
          </w:p>
        </w:tc>
        <w:tc>
          <w:tcPr>
            <w:tcW w:w="1418" w:type="dxa"/>
            <w:tcBorders>
              <w:top w:val="single" w:sz="4" w:space="0" w:color="auto"/>
              <w:left w:val="nil"/>
              <w:bottom w:val="single" w:sz="4" w:space="0" w:color="A6A6A6" w:themeColor="background1" w:themeShade="A6"/>
              <w:right w:val="nil"/>
            </w:tcBorders>
            <w:shd w:val="clear" w:color="auto" w:fill="auto"/>
            <w:noWrap/>
            <w:hideMark/>
          </w:tcPr>
          <w:p w14:paraId="6D88E30B" w14:textId="77777777" w:rsidR="00735227" w:rsidRPr="007B7915" w:rsidRDefault="00120D3E" w:rsidP="005E0155">
            <w:pPr>
              <w:pStyle w:val="TableText"/>
              <w:jc w:val="center"/>
              <w:rPr>
                <w:lang w:eastAsia="en-NZ"/>
              </w:rPr>
            </w:pPr>
            <w:r>
              <w:rPr>
                <w:lang w:eastAsia="en-NZ"/>
              </w:rPr>
              <w:t>39</w:t>
            </w:r>
          </w:p>
        </w:tc>
        <w:tc>
          <w:tcPr>
            <w:tcW w:w="2127" w:type="dxa"/>
            <w:tcBorders>
              <w:top w:val="single" w:sz="4" w:space="0" w:color="auto"/>
              <w:left w:val="nil"/>
              <w:bottom w:val="single" w:sz="4" w:space="0" w:color="A6A6A6" w:themeColor="background1" w:themeShade="A6"/>
            </w:tcBorders>
            <w:shd w:val="clear" w:color="auto" w:fill="auto"/>
            <w:noWrap/>
            <w:hideMark/>
          </w:tcPr>
          <w:p w14:paraId="377B21D8" w14:textId="77777777" w:rsidR="00735227" w:rsidRPr="007B7915" w:rsidRDefault="00120D3E" w:rsidP="00B1296B">
            <w:pPr>
              <w:pStyle w:val="TableText"/>
              <w:tabs>
                <w:tab w:val="decimal" w:pos="1078"/>
              </w:tabs>
              <w:rPr>
                <w:lang w:eastAsia="en-NZ"/>
              </w:rPr>
            </w:pPr>
            <w:r>
              <w:t>-7</w:t>
            </w:r>
          </w:p>
        </w:tc>
      </w:tr>
      <w:tr w:rsidR="00735227" w:rsidRPr="00D670ED" w14:paraId="057E1EB6"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472AA602" w14:textId="77777777" w:rsidR="00735227" w:rsidRPr="007B7915" w:rsidRDefault="00735227" w:rsidP="005E0155">
            <w:pPr>
              <w:pStyle w:val="TableText"/>
              <w:rPr>
                <w:lang w:eastAsia="en-NZ"/>
              </w:rPr>
            </w:pPr>
            <w:r w:rsidRPr="007B7915">
              <w:rPr>
                <w:lang w:eastAsia="en-NZ"/>
              </w:rPr>
              <w:t>Pacific</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4A2F7C0F" w14:textId="77777777" w:rsidR="00735227" w:rsidRPr="007B7915" w:rsidRDefault="00120D3E" w:rsidP="005E0155">
            <w:pPr>
              <w:pStyle w:val="TableText"/>
              <w:jc w:val="center"/>
              <w:rPr>
                <w:lang w:eastAsia="en-NZ"/>
              </w:rPr>
            </w:pPr>
            <w:r>
              <w:rPr>
                <w:lang w:eastAsia="en-NZ"/>
              </w:rPr>
              <w:t>27</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AB7236B" w14:textId="77777777" w:rsidR="00735227" w:rsidRPr="007B7915" w:rsidRDefault="00120D3E" w:rsidP="005E0155">
            <w:pPr>
              <w:pStyle w:val="TableText"/>
              <w:jc w:val="center"/>
              <w:rPr>
                <w:lang w:eastAsia="en-NZ"/>
              </w:rPr>
            </w:pPr>
            <w:r>
              <w:rPr>
                <w:lang w:eastAsia="en-NZ"/>
              </w:rPr>
              <w:t>25</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7ED67CC9" w14:textId="77777777" w:rsidR="00735227" w:rsidRPr="007B7915" w:rsidRDefault="00735227" w:rsidP="00B1296B">
            <w:pPr>
              <w:pStyle w:val="TableText"/>
              <w:tabs>
                <w:tab w:val="decimal" w:pos="1078"/>
              </w:tabs>
              <w:rPr>
                <w:lang w:eastAsia="en-NZ"/>
              </w:rPr>
            </w:pPr>
            <w:r w:rsidRPr="007B7915">
              <w:t>-9</w:t>
            </w:r>
          </w:p>
        </w:tc>
      </w:tr>
      <w:tr w:rsidR="00735227" w:rsidRPr="00D670ED" w14:paraId="39F02F66"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526CF0FA" w14:textId="77777777" w:rsidR="00735227" w:rsidRPr="007B7915" w:rsidRDefault="00735227" w:rsidP="005E0155">
            <w:pPr>
              <w:pStyle w:val="TableText"/>
              <w:rPr>
                <w:lang w:eastAsia="en-NZ"/>
              </w:rPr>
            </w:pPr>
            <w:r w:rsidRPr="007B7915">
              <w:rPr>
                <w:lang w:eastAsia="en-NZ"/>
              </w:rPr>
              <w:t>Asian</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8657DE3" w14:textId="77777777" w:rsidR="00735227" w:rsidRPr="007B7915" w:rsidRDefault="00735227" w:rsidP="005E0155">
            <w:pPr>
              <w:pStyle w:val="TableText"/>
              <w:jc w:val="center"/>
              <w:rPr>
                <w:lang w:eastAsia="en-NZ"/>
              </w:rPr>
            </w:pPr>
            <w:r>
              <w:rPr>
                <w:lang w:eastAsia="en-NZ"/>
              </w:rPr>
              <w:t>11</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89B49DA" w14:textId="77777777" w:rsidR="00735227" w:rsidRPr="007B7915" w:rsidRDefault="00735227" w:rsidP="005E0155">
            <w:pPr>
              <w:pStyle w:val="TableText"/>
              <w:jc w:val="center"/>
              <w:rPr>
                <w:lang w:eastAsia="en-NZ"/>
              </w:rPr>
            </w:pPr>
            <w:r>
              <w:rPr>
                <w:lang w:eastAsia="en-NZ"/>
              </w:rPr>
              <w:t>10</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686D089C" w14:textId="77777777" w:rsidR="00735227" w:rsidRPr="007B7915" w:rsidRDefault="00120D3E" w:rsidP="00B1296B">
            <w:pPr>
              <w:pStyle w:val="TableText"/>
              <w:tabs>
                <w:tab w:val="decimal" w:pos="1078"/>
              </w:tabs>
              <w:rPr>
                <w:lang w:eastAsia="en-NZ"/>
              </w:rPr>
            </w:pPr>
            <w:r>
              <w:t>-10</w:t>
            </w:r>
          </w:p>
        </w:tc>
      </w:tr>
      <w:tr w:rsidR="00735227" w:rsidRPr="00D670ED" w14:paraId="36C32732" w14:textId="77777777" w:rsidTr="009C3A17">
        <w:trPr>
          <w:cantSplit/>
        </w:trPr>
        <w:tc>
          <w:tcPr>
            <w:tcW w:w="2268" w:type="dxa"/>
            <w:tcBorders>
              <w:top w:val="single" w:sz="4" w:space="0" w:color="A6A6A6" w:themeColor="background1" w:themeShade="A6"/>
              <w:right w:val="nil"/>
            </w:tcBorders>
            <w:shd w:val="clear" w:color="auto" w:fill="auto"/>
            <w:noWrap/>
            <w:hideMark/>
          </w:tcPr>
          <w:p w14:paraId="4E573704" w14:textId="77777777" w:rsidR="00735227" w:rsidRPr="007B7915" w:rsidRDefault="00735227" w:rsidP="005E0155">
            <w:pPr>
              <w:pStyle w:val="TableText"/>
              <w:rPr>
                <w:lang w:eastAsia="en-NZ"/>
              </w:rPr>
            </w:pPr>
            <w:r w:rsidRPr="007B7915">
              <w:rPr>
                <w:lang w:eastAsia="en-NZ"/>
              </w:rPr>
              <w:t>European/Other</w:t>
            </w:r>
          </w:p>
        </w:tc>
        <w:tc>
          <w:tcPr>
            <w:tcW w:w="1417" w:type="dxa"/>
            <w:tcBorders>
              <w:top w:val="single" w:sz="4" w:space="0" w:color="A6A6A6" w:themeColor="background1" w:themeShade="A6"/>
              <w:left w:val="nil"/>
              <w:bottom w:val="single" w:sz="4" w:space="0" w:color="auto"/>
              <w:right w:val="nil"/>
            </w:tcBorders>
            <w:shd w:val="clear" w:color="auto" w:fill="auto"/>
            <w:noWrap/>
            <w:hideMark/>
          </w:tcPr>
          <w:p w14:paraId="02E681ED" w14:textId="77777777" w:rsidR="00735227" w:rsidRPr="007B7915" w:rsidRDefault="00120D3E" w:rsidP="005E0155">
            <w:pPr>
              <w:pStyle w:val="TableText"/>
              <w:jc w:val="center"/>
              <w:rPr>
                <w:lang w:eastAsia="en-NZ"/>
              </w:rPr>
            </w:pPr>
            <w:r>
              <w:rPr>
                <w:lang w:eastAsia="en-NZ"/>
              </w:rPr>
              <w:t>19</w:t>
            </w:r>
          </w:p>
        </w:tc>
        <w:tc>
          <w:tcPr>
            <w:tcW w:w="1418" w:type="dxa"/>
            <w:tcBorders>
              <w:top w:val="single" w:sz="4" w:space="0" w:color="A6A6A6" w:themeColor="background1" w:themeShade="A6"/>
              <w:left w:val="nil"/>
              <w:bottom w:val="single" w:sz="4" w:space="0" w:color="auto"/>
              <w:right w:val="nil"/>
            </w:tcBorders>
            <w:shd w:val="clear" w:color="auto" w:fill="auto"/>
            <w:noWrap/>
            <w:hideMark/>
          </w:tcPr>
          <w:p w14:paraId="60132308" w14:textId="77777777" w:rsidR="00735227" w:rsidRPr="007B7915" w:rsidRDefault="00120D3E" w:rsidP="005E0155">
            <w:pPr>
              <w:pStyle w:val="TableText"/>
              <w:jc w:val="center"/>
              <w:rPr>
                <w:lang w:eastAsia="en-NZ"/>
              </w:rPr>
            </w:pPr>
            <w:r>
              <w:rPr>
                <w:lang w:eastAsia="en-NZ"/>
              </w:rPr>
              <w:t>15</w:t>
            </w:r>
          </w:p>
        </w:tc>
        <w:tc>
          <w:tcPr>
            <w:tcW w:w="2127" w:type="dxa"/>
            <w:tcBorders>
              <w:top w:val="single" w:sz="4" w:space="0" w:color="A6A6A6" w:themeColor="background1" w:themeShade="A6"/>
              <w:left w:val="nil"/>
            </w:tcBorders>
            <w:shd w:val="clear" w:color="auto" w:fill="auto"/>
            <w:noWrap/>
            <w:hideMark/>
          </w:tcPr>
          <w:p w14:paraId="5933E41E" w14:textId="77777777" w:rsidR="00735227" w:rsidRPr="007B7915" w:rsidRDefault="00120D3E" w:rsidP="00B1296B">
            <w:pPr>
              <w:pStyle w:val="TableText"/>
              <w:tabs>
                <w:tab w:val="decimal" w:pos="1078"/>
              </w:tabs>
              <w:rPr>
                <w:lang w:eastAsia="en-NZ"/>
              </w:rPr>
            </w:pPr>
            <w:r>
              <w:t>-18</w:t>
            </w:r>
            <w:r w:rsidR="00735227" w:rsidRPr="007B7915">
              <w:t>*</w:t>
            </w:r>
          </w:p>
        </w:tc>
      </w:tr>
    </w:tbl>
    <w:p w14:paraId="77C369E6" w14:textId="77777777" w:rsidR="00735227" w:rsidRDefault="00735227" w:rsidP="009C3A17">
      <w:pPr>
        <w:pStyle w:val="TableSource"/>
        <w:ind w:right="2155"/>
      </w:pPr>
      <w:r>
        <w:t>Sources: 2006 = 2006/07 NZHS; 2012 = 2012/13 NZHS</w:t>
      </w:r>
    </w:p>
    <w:p w14:paraId="758CD8A0" w14:textId="7A41C31D" w:rsidR="00F308CD" w:rsidRPr="00F308CD" w:rsidRDefault="00F308CD" w:rsidP="00BB2866">
      <w:pPr>
        <w:spacing w:line="240" w:lineRule="auto"/>
        <w:rPr>
          <w:rFonts w:ascii="Arial" w:hAnsi="Arial" w:cs="Arial"/>
          <w:color w:val="000000"/>
          <w:sz w:val="18"/>
          <w:szCs w:val="18"/>
          <w:lang w:eastAsia="en-NZ"/>
        </w:rPr>
      </w:pPr>
      <w:r w:rsidRPr="00F308CD">
        <w:rPr>
          <w:rFonts w:ascii="Arial" w:hAnsi="Arial" w:cs="Arial"/>
          <w:color w:val="000000"/>
          <w:sz w:val="18"/>
          <w:szCs w:val="18"/>
          <w:lang w:eastAsia="en-NZ"/>
        </w:rPr>
        <w:t>This tab</w:t>
      </w:r>
      <w:r>
        <w:rPr>
          <w:rFonts w:ascii="Arial" w:hAnsi="Arial" w:cs="Arial"/>
          <w:color w:val="000000"/>
          <w:sz w:val="18"/>
          <w:szCs w:val="18"/>
          <w:lang w:eastAsia="en-NZ"/>
        </w:rPr>
        <w:t>le presents unadjusted prevalence results in 2006 and 2012.</w:t>
      </w:r>
    </w:p>
    <w:p w14:paraId="7F41DE95" w14:textId="28BD6AB4" w:rsidR="003B75D9" w:rsidRDefault="00F308CD" w:rsidP="003B75D9">
      <w:pPr>
        <w:pStyle w:val="TableNote"/>
        <w:spacing w:line="240" w:lineRule="auto"/>
        <w:ind w:right="2155"/>
      </w:pPr>
      <w:r>
        <w:t xml:space="preserve">* </w:t>
      </w:r>
      <w:r w:rsidR="005E0155">
        <w:t>T</w:t>
      </w:r>
      <w:r w:rsidR="00735227">
        <w:t>here is a statistically significant difference (p&lt;0.05) between 2006 and 2012.</w:t>
      </w:r>
      <w:r w:rsidR="003B75D9">
        <w:t xml:space="preserve"> The p-values have been adjusted for differences in the age structures of the underlying populations over time. </w:t>
      </w:r>
    </w:p>
    <w:p w14:paraId="2AA8945D" w14:textId="77777777" w:rsidR="00735227" w:rsidRDefault="00735227" w:rsidP="005E0155"/>
    <w:p w14:paraId="20507E91" w14:textId="77777777" w:rsidR="00735227" w:rsidRPr="000C4C87" w:rsidRDefault="00735227" w:rsidP="005E0155">
      <w:pPr>
        <w:pStyle w:val="Heading3"/>
      </w:pPr>
      <w:r>
        <w:t>The g</w:t>
      </w:r>
      <w:r w:rsidRPr="000C4C87">
        <w:t>reatest decline in smoking prevalence occurred among</w:t>
      </w:r>
      <w:r w:rsidR="005E0155">
        <w:br/>
      </w:r>
      <w:r w:rsidRPr="000C4C87">
        <w:t>15</w:t>
      </w:r>
      <w:r w:rsidR="005E0155">
        <w:t>–</w:t>
      </w:r>
      <w:r>
        <w:t xml:space="preserve">to </w:t>
      </w:r>
      <w:r w:rsidRPr="000C4C87">
        <w:t>19</w:t>
      </w:r>
      <w:r>
        <w:t>-</w:t>
      </w:r>
      <w:r w:rsidRPr="000C4C87">
        <w:t>year</w:t>
      </w:r>
      <w:r>
        <w:t>-</w:t>
      </w:r>
      <w:r w:rsidRPr="000C4C87">
        <w:t>olds</w:t>
      </w:r>
    </w:p>
    <w:p w14:paraId="4B143ECA" w14:textId="77777777" w:rsidR="007066D2" w:rsidRDefault="00735227" w:rsidP="007E56E3">
      <w:pPr>
        <w:keepNext/>
      </w:pPr>
      <w:r>
        <w:t>Between 2006 and 2012, the largest relative declines in current smoking prevalence occurred among 15- to 19-year-olds (36%) followed by those aged 65–74 years (27%) (Table 2). The third largest decline was recorded with smokers in the 25–34 years age group (13%).</w:t>
      </w:r>
    </w:p>
    <w:p w14:paraId="62B9BB79" w14:textId="77777777" w:rsidR="00735227" w:rsidRDefault="00735227" w:rsidP="007E56E3">
      <w:pPr>
        <w:keepNext/>
      </w:pPr>
    </w:p>
    <w:p w14:paraId="0A5A06F9" w14:textId="77777777" w:rsidR="00735227" w:rsidRDefault="00735227" w:rsidP="005E0155">
      <w:pPr>
        <w:pStyle w:val="Table"/>
        <w:rPr>
          <w:szCs w:val="24"/>
        </w:rPr>
      </w:pPr>
      <w:bookmarkStart w:id="70" w:name="_Toc399920513"/>
      <w:bookmarkStart w:id="71" w:name="_Toc404091102"/>
      <w:r>
        <w:t xml:space="preserve">Table </w:t>
      </w:r>
      <w:r w:rsidR="005E0155">
        <w:t>2</w:t>
      </w:r>
      <w:r w:rsidRPr="0089733F">
        <w:t>:</w:t>
      </w:r>
      <w:r w:rsidR="005E0155">
        <w:t xml:space="preserve"> </w:t>
      </w:r>
      <w:r w:rsidRPr="0089733F">
        <w:t>Changes in current smoking prevalence by age group between 2006 and 2012</w:t>
      </w:r>
      <w:bookmarkEnd w:id="70"/>
      <w:bookmarkEnd w:id="7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417"/>
        <w:gridCol w:w="1418"/>
        <w:gridCol w:w="2127"/>
      </w:tblGrid>
      <w:tr w:rsidR="00735227" w:rsidRPr="009C3A17" w14:paraId="33E268B0" w14:textId="77777777" w:rsidTr="009C3A17">
        <w:trPr>
          <w:cantSplit/>
        </w:trPr>
        <w:tc>
          <w:tcPr>
            <w:tcW w:w="2268" w:type="dxa"/>
            <w:tcBorders>
              <w:top w:val="single" w:sz="4" w:space="0" w:color="auto"/>
              <w:bottom w:val="single" w:sz="4" w:space="0" w:color="auto"/>
              <w:right w:val="nil"/>
            </w:tcBorders>
            <w:shd w:val="clear" w:color="auto" w:fill="auto"/>
            <w:noWrap/>
            <w:hideMark/>
          </w:tcPr>
          <w:p w14:paraId="3ACA3528" w14:textId="77777777" w:rsidR="00735227" w:rsidRPr="009C3A17" w:rsidRDefault="00735227" w:rsidP="00EF1A37">
            <w:pPr>
              <w:pStyle w:val="TableText"/>
              <w:keepNext/>
              <w:rPr>
                <w:b/>
                <w:lang w:eastAsia="en-NZ"/>
              </w:rPr>
            </w:pPr>
            <w:r w:rsidRPr="009C3A17">
              <w:rPr>
                <w:b/>
                <w:lang w:eastAsia="en-NZ"/>
              </w:rPr>
              <w:t>Age group</w:t>
            </w:r>
          </w:p>
        </w:tc>
        <w:tc>
          <w:tcPr>
            <w:tcW w:w="1417" w:type="dxa"/>
            <w:tcBorders>
              <w:top w:val="single" w:sz="4" w:space="0" w:color="auto"/>
              <w:left w:val="nil"/>
              <w:bottom w:val="single" w:sz="4" w:space="0" w:color="auto"/>
              <w:right w:val="nil"/>
            </w:tcBorders>
            <w:shd w:val="clear" w:color="auto" w:fill="auto"/>
            <w:noWrap/>
            <w:hideMark/>
          </w:tcPr>
          <w:p w14:paraId="7A6609EF" w14:textId="77777777" w:rsidR="00735227" w:rsidRPr="009C3A17" w:rsidRDefault="00735227" w:rsidP="00EF1A37">
            <w:pPr>
              <w:pStyle w:val="TableText"/>
              <w:keepNext/>
              <w:jc w:val="center"/>
              <w:rPr>
                <w:b/>
                <w:lang w:eastAsia="en-NZ"/>
              </w:rPr>
            </w:pPr>
            <w:r w:rsidRPr="009C3A17">
              <w:rPr>
                <w:b/>
                <w:lang w:eastAsia="en-NZ"/>
              </w:rPr>
              <w:t>2006</w:t>
            </w:r>
            <w:r w:rsidR="009C3A17" w:rsidRPr="009C3A17">
              <w:rPr>
                <w:b/>
                <w:lang w:eastAsia="en-NZ"/>
              </w:rPr>
              <w:br/>
            </w:r>
            <w:r w:rsidRPr="009C3A17">
              <w:rPr>
                <w:b/>
                <w:lang w:eastAsia="en-NZ"/>
              </w:rPr>
              <w:t>(%)</w:t>
            </w:r>
          </w:p>
        </w:tc>
        <w:tc>
          <w:tcPr>
            <w:tcW w:w="1418" w:type="dxa"/>
            <w:tcBorders>
              <w:top w:val="single" w:sz="4" w:space="0" w:color="auto"/>
              <w:left w:val="nil"/>
              <w:bottom w:val="single" w:sz="4" w:space="0" w:color="auto"/>
              <w:right w:val="nil"/>
            </w:tcBorders>
            <w:shd w:val="clear" w:color="auto" w:fill="auto"/>
            <w:noWrap/>
            <w:hideMark/>
          </w:tcPr>
          <w:p w14:paraId="3797FDD3" w14:textId="77777777" w:rsidR="00735227" w:rsidRPr="009C3A17" w:rsidRDefault="00735227" w:rsidP="00EF1A37">
            <w:pPr>
              <w:pStyle w:val="TableText"/>
              <w:keepNext/>
              <w:jc w:val="center"/>
              <w:rPr>
                <w:b/>
                <w:lang w:eastAsia="en-NZ"/>
              </w:rPr>
            </w:pPr>
            <w:r w:rsidRPr="009C3A17">
              <w:rPr>
                <w:b/>
                <w:lang w:eastAsia="en-NZ"/>
              </w:rPr>
              <w:t>2012</w:t>
            </w:r>
            <w:r w:rsidR="009C3A17" w:rsidRPr="009C3A17">
              <w:rPr>
                <w:b/>
                <w:lang w:eastAsia="en-NZ"/>
              </w:rPr>
              <w:br/>
            </w:r>
            <w:r w:rsidRPr="009C3A17">
              <w:rPr>
                <w:b/>
                <w:lang w:eastAsia="en-NZ"/>
              </w:rPr>
              <w:t>(%)</w:t>
            </w:r>
          </w:p>
        </w:tc>
        <w:tc>
          <w:tcPr>
            <w:tcW w:w="2127" w:type="dxa"/>
            <w:tcBorders>
              <w:top w:val="single" w:sz="4" w:space="0" w:color="auto"/>
              <w:left w:val="nil"/>
              <w:bottom w:val="single" w:sz="4" w:space="0" w:color="auto"/>
            </w:tcBorders>
            <w:shd w:val="clear" w:color="auto" w:fill="auto"/>
            <w:noWrap/>
            <w:hideMark/>
          </w:tcPr>
          <w:p w14:paraId="5CF165FC" w14:textId="77777777" w:rsidR="00735227" w:rsidRPr="009C3A17" w:rsidRDefault="00735227" w:rsidP="00EF1A37">
            <w:pPr>
              <w:pStyle w:val="TableText"/>
              <w:keepNext/>
              <w:jc w:val="center"/>
              <w:rPr>
                <w:b/>
                <w:lang w:eastAsia="en-NZ"/>
              </w:rPr>
            </w:pPr>
            <w:r w:rsidRPr="009C3A17">
              <w:rPr>
                <w:b/>
                <w:lang w:eastAsia="en-NZ"/>
              </w:rPr>
              <w:t>Relative percentage change (%)</w:t>
            </w:r>
          </w:p>
        </w:tc>
      </w:tr>
      <w:tr w:rsidR="00735227" w:rsidRPr="00D670ED" w14:paraId="45EEF6F8" w14:textId="77777777" w:rsidTr="009C3A17">
        <w:trPr>
          <w:cantSplit/>
        </w:trPr>
        <w:tc>
          <w:tcPr>
            <w:tcW w:w="2268" w:type="dxa"/>
            <w:tcBorders>
              <w:top w:val="single" w:sz="4" w:space="0" w:color="auto"/>
              <w:bottom w:val="single" w:sz="4" w:space="0" w:color="A6A6A6" w:themeColor="background1" w:themeShade="A6"/>
              <w:right w:val="nil"/>
            </w:tcBorders>
            <w:shd w:val="clear" w:color="auto" w:fill="auto"/>
            <w:noWrap/>
            <w:hideMark/>
          </w:tcPr>
          <w:p w14:paraId="0FD6F03F" w14:textId="77777777" w:rsidR="00735227" w:rsidRPr="007B7915" w:rsidRDefault="00735227" w:rsidP="00EF1A37">
            <w:pPr>
              <w:pStyle w:val="TableText"/>
              <w:keepNext/>
              <w:rPr>
                <w:lang w:eastAsia="en-NZ"/>
              </w:rPr>
            </w:pPr>
            <w:r w:rsidRPr="007B7915">
              <w:rPr>
                <w:lang w:eastAsia="en-NZ"/>
              </w:rPr>
              <w:t>15</w:t>
            </w:r>
            <w:r>
              <w:rPr>
                <w:lang w:eastAsia="en-NZ"/>
              </w:rPr>
              <w:t>–</w:t>
            </w:r>
            <w:r w:rsidRPr="007B7915">
              <w:rPr>
                <w:lang w:eastAsia="en-NZ"/>
              </w:rPr>
              <w:t>19</w:t>
            </w:r>
          </w:p>
        </w:tc>
        <w:tc>
          <w:tcPr>
            <w:tcW w:w="1417" w:type="dxa"/>
            <w:tcBorders>
              <w:top w:val="single" w:sz="4" w:space="0" w:color="auto"/>
              <w:left w:val="nil"/>
              <w:bottom w:val="single" w:sz="4" w:space="0" w:color="A6A6A6" w:themeColor="background1" w:themeShade="A6"/>
              <w:right w:val="nil"/>
            </w:tcBorders>
            <w:shd w:val="clear" w:color="auto" w:fill="auto"/>
            <w:noWrap/>
            <w:hideMark/>
          </w:tcPr>
          <w:p w14:paraId="43CB5F3A" w14:textId="77777777" w:rsidR="00735227" w:rsidRPr="007B7915" w:rsidRDefault="00735227" w:rsidP="00EF1A37">
            <w:pPr>
              <w:pStyle w:val="TableText"/>
              <w:keepNext/>
              <w:tabs>
                <w:tab w:val="decimal" w:pos="725"/>
              </w:tabs>
              <w:rPr>
                <w:lang w:eastAsia="en-NZ"/>
              </w:rPr>
            </w:pPr>
            <w:r>
              <w:rPr>
                <w:lang w:eastAsia="en-NZ"/>
              </w:rPr>
              <w:t>20</w:t>
            </w:r>
          </w:p>
        </w:tc>
        <w:tc>
          <w:tcPr>
            <w:tcW w:w="1418" w:type="dxa"/>
            <w:tcBorders>
              <w:top w:val="single" w:sz="4" w:space="0" w:color="auto"/>
              <w:left w:val="nil"/>
              <w:bottom w:val="single" w:sz="4" w:space="0" w:color="A6A6A6" w:themeColor="background1" w:themeShade="A6"/>
              <w:right w:val="nil"/>
            </w:tcBorders>
            <w:shd w:val="clear" w:color="auto" w:fill="auto"/>
            <w:noWrap/>
            <w:hideMark/>
          </w:tcPr>
          <w:p w14:paraId="6C1112B4" w14:textId="77777777" w:rsidR="00735227" w:rsidRPr="007B7915" w:rsidRDefault="00735227" w:rsidP="00EF1A37">
            <w:pPr>
              <w:pStyle w:val="TableText"/>
              <w:keepNext/>
              <w:tabs>
                <w:tab w:val="decimal" w:pos="725"/>
              </w:tabs>
              <w:rPr>
                <w:lang w:eastAsia="en-NZ"/>
              </w:rPr>
            </w:pPr>
            <w:r>
              <w:rPr>
                <w:lang w:eastAsia="en-NZ"/>
              </w:rPr>
              <w:t>13</w:t>
            </w:r>
          </w:p>
        </w:tc>
        <w:tc>
          <w:tcPr>
            <w:tcW w:w="2127" w:type="dxa"/>
            <w:tcBorders>
              <w:top w:val="single" w:sz="4" w:space="0" w:color="auto"/>
              <w:left w:val="nil"/>
              <w:bottom w:val="single" w:sz="4" w:space="0" w:color="A6A6A6" w:themeColor="background1" w:themeShade="A6"/>
            </w:tcBorders>
            <w:shd w:val="clear" w:color="auto" w:fill="auto"/>
            <w:noWrap/>
            <w:hideMark/>
          </w:tcPr>
          <w:p w14:paraId="66076D0A" w14:textId="77777777" w:rsidR="00735227" w:rsidRPr="007B7915" w:rsidRDefault="00735227" w:rsidP="00EF1A37">
            <w:pPr>
              <w:pStyle w:val="TableText"/>
              <w:keepNext/>
              <w:tabs>
                <w:tab w:val="decimal" w:pos="1077"/>
              </w:tabs>
              <w:rPr>
                <w:lang w:eastAsia="en-NZ"/>
              </w:rPr>
            </w:pPr>
            <w:r w:rsidRPr="007B7915">
              <w:t>-36*</w:t>
            </w:r>
          </w:p>
        </w:tc>
      </w:tr>
      <w:tr w:rsidR="00735227" w:rsidRPr="00D670ED" w14:paraId="031F634E"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7B8555DE" w14:textId="77777777" w:rsidR="00735227" w:rsidRPr="007B7915" w:rsidRDefault="00735227" w:rsidP="00EF1A37">
            <w:pPr>
              <w:pStyle w:val="TableText"/>
              <w:keepNext/>
              <w:rPr>
                <w:lang w:eastAsia="en-NZ"/>
              </w:rPr>
            </w:pPr>
            <w:r w:rsidRPr="007B7915">
              <w:rPr>
                <w:lang w:eastAsia="en-NZ"/>
              </w:rPr>
              <w:t>20</w:t>
            </w:r>
            <w:r>
              <w:rPr>
                <w:lang w:eastAsia="en-NZ"/>
              </w:rPr>
              <w:t>–</w:t>
            </w:r>
            <w:r w:rsidRPr="007B7915">
              <w:rPr>
                <w:lang w:eastAsia="en-NZ"/>
              </w:rPr>
              <w:t>24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453C1451" w14:textId="77777777" w:rsidR="00735227" w:rsidRPr="007B7915" w:rsidRDefault="00735227" w:rsidP="00EF1A37">
            <w:pPr>
              <w:pStyle w:val="TableText"/>
              <w:keepNext/>
              <w:tabs>
                <w:tab w:val="decimal" w:pos="725"/>
              </w:tabs>
              <w:rPr>
                <w:lang w:eastAsia="en-NZ"/>
              </w:rPr>
            </w:pPr>
            <w:r>
              <w:rPr>
                <w:lang w:eastAsia="en-NZ"/>
              </w:rPr>
              <w:t>27</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CE44C35" w14:textId="77777777" w:rsidR="00735227" w:rsidRPr="007B7915" w:rsidRDefault="00735227" w:rsidP="00EF1A37">
            <w:pPr>
              <w:pStyle w:val="TableText"/>
              <w:keepNext/>
              <w:tabs>
                <w:tab w:val="decimal" w:pos="725"/>
              </w:tabs>
              <w:rPr>
                <w:lang w:eastAsia="en-NZ"/>
              </w:rPr>
            </w:pPr>
            <w:r>
              <w:rPr>
                <w:lang w:eastAsia="en-NZ"/>
              </w:rPr>
              <w:t>25</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4D4C4C7E" w14:textId="77777777" w:rsidR="00735227" w:rsidRPr="007B7915" w:rsidRDefault="00735227" w:rsidP="00EF1A37">
            <w:pPr>
              <w:pStyle w:val="TableText"/>
              <w:keepNext/>
              <w:tabs>
                <w:tab w:val="decimal" w:pos="1077"/>
              </w:tabs>
              <w:rPr>
                <w:lang w:eastAsia="en-NZ"/>
              </w:rPr>
            </w:pPr>
            <w:r w:rsidRPr="007B7915">
              <w:t>-7</w:t>
            </w:r>
          </w:p>
        </w:tc>
      </w:tr>
      <w:tr w:rsidR="00735227" w:rsidRPr="00D670ED" w14:paraId="0C2F1F58"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66315F88" w14:textId="77777777" w:rsidR="00735227" w:rsidRPr="007B7915" w:rsidRDefault="00735227" w:rsidP="00EF1A37">
            <w:pPr>
              <w:pStyle w:val="TableText"/>
              <w:keepNext/>
              <w:rPr>
                <w:lang w:eastAsia="en-NZ"/>
              </w:rPr>
            </w:pPr>
            <w:r w:rsidRPr="007B7915">
              <w:rPr>
                <w:lang w:eastAsia="en-NZ"/>
              </w:rPr>
              <w:t>25</w:t>
            </w:r>
            <w:r>
              <w:rPr>
                <w:lang w:eastAsia="en-NZ"/>
              </w:rPr>
              <w:t>–</w:t>
            </w:r>
            <w:r w:rsidRPr="007B7915">
              <w:rPr>
                <w:lang w:eastAsia="en-NZ"/>
              </w:rPr>
              <w:t>34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F2AC718" w14:textId="77777777" w:rsidR="00735227" w:rsidRPr="007B7915" w:rsidRDefault="00735227" w:rsidP="00EF1A37">
            <w:pPr>
              <w:pStyle w:val="TableText"/>
              <w:keepNext/>
              <w:tabs>
                <w:tab w:val="decimal" w:pos="725"/>
              </w:tabs>
              <w:rPr>
                <w:lang w:eastAsia="en-NZ"/>
              </w:rPr>
            </w:pPr>
            <w:r>
              <w:rPr>
                <w:lang w:eastAsia="en-NZ"/>
              </w:rPr>
              <w:t>28</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7724904C" w14:textId="72479BFF" w:rsidR="00735227" w:rsidRPr="007B7915" w:rsidRDefault="00735227" w:rsidP="005D6605">
            <w:pPr>
              <w:pStyle w:val="TableText"/>
              <w:keepNext/>
              <w:tabs>
                <w:tab w:val="decimal" w:pos="725"/>
              </w:tabs>
              <w:rPr>
                <w:lang w:eastAsia="en-NZ"/>
              </w:rPr>
            </w:pPr>
            <w:r>
              <w:rPr>
                <w:lang w:eastAsia="en-NZ"/>
              </w:rPr>
              <w:t>2</w:t>
            </w:r>
            <w:r w:rsidR="005D6605">
              <w:rPr>
                <w:lang w:eastAsia="en-NZ"/>
              </w:rPr>
              <w:t>4</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50C0B6BC" w14:textId="77777777" w:rsidR="00735227" w:rsidRPr="007B7915" w:rsidRDefault="00735227" w:rsidP="00EF1A37">
            <w:pPr>
              <w:pStyle w:val="TableText"/>
              <w:keepNext/>
              <w:tabs>
                <w:tab w:val="decimal" w:pos="1077"/>
              </w:tabs>
              <w:rPr>
                <w:lang w:eastAsia="en-NZ"/>
              </w:rPr>
            </w:pPr>
            <w:r w:rsidRPr="007B7915">
              <w:t>-13*</w:t>
            </w:r>
          </w:p>
        </w:tc>
      </w:tr>
      <w:tr w:rsidR="00735227" w:rsidRPr="00D670ED" w14:paraId="1CC36366"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06D22CAB" w14:textId="77777777" w:rsidR="00735227" w:rsidRPr="007B7915" w:rsidRDefault="00735227" w:rsidP="00EF1A37">
            <w:pPr>
              <w:pStyle w:val="TableText"/>
              <w:keepNext/>
              <w:rPr>
                <w:lang w:eastAsia="en-NZ"/>
              </w:rPr>
            </w:pPr>
            <w:r w:rsidRPr="007B7915">
              <w:rPr>
                <w:lang w:eastAsia="en-NZ"/>
              </w:rPr>
              <w:t>35</w:t>
            </w:r>
            <w:r>
              <w:rPr>
                <w:lang w:eastAsia="en-NZ"/>
              </w:rPr>
              <w:t>–</w:t>
            </w:r>
            <w:r w:rsidRPr="007B7915">
              <w:rPr>
                <w:lang w:eastAsia="en-NZ"/>
              </w:rPr>
              <w:t>44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48084A5A" w14:textId="77777777" w:rsidR="00735227" w:rsidRPr="007B7915" w:rsidRDefault="00735227" w:rsidP="00EF1A37">
            <w:pPr>
              <w:pStyle w:val="TableText"/>
              <w:keepNext/>
              <w:tabs>
                <w:tab w:val="decimal" w:pos="725"/>
              </w:tabs>
              <w:rPr>
                <w:lang w:eastAsia="en-NZ"/>
              </w:rPr>
            </w:pPr>
            <w:r>
              <w:rPr>
                <w:lang w:eastAsia="en-NZ"/>
              </w:rPr>
              <w:t>22</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1193B50" w14:textId="77777777" w:rsidR="00735227" w:rsidRPr="007B7915" w:rsidRDefault="00735227" w:rsidP="00EF1A37">
            <w:pPr>
              <w:pStyle w:val="TableText"/>
              <w:keepNext/>
              <w:tabs>
                <w:tab w:val="decimal" w:pos="725"/>
              </w:tabs>
              <w:rPr>
                <w:lang w:eastAsia="en-NZ"/>
              </w:rPr>
            </w:pPr>
            <w:r>
              <w:rPr>
                <w:lang w:eastAsia="en-NZ"/>
              </w:rPr>
              <w:t>21</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40050CA8" w14:textId="77777777" w:rsidR="00735227" w:rsidRPr="007B7915" w:rsidRDefault="00735227" w:rsidP="00EF1A37">
            <w:pPr>
              <w:pStyle w:val="TableText"/>
              <w:keepNext/>
              <w:tabs>
                <w:tab w:val="decimal" w:pos="1077"/>
              </w:tabs>
              <w:rPr>
                <w:lang w:eastAsia="en-NZ"/>
              </w:rPr>
            </w:pPr>
            <w:r w:rsidRPr="007B7915">
              <w:t>-8</w:t>
            </w:r>
          </w:p>
        </w:tc>
      </w:tr>
      <w:tr w:rsidR="00735227" w:rsidRPr="00D670ED" w14:paraId="3E58CD55"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0EC9013F" w14:textId="77777777" w:rsidR="00735227" w:rsidRPr="007B7915" w:rsidRDefault="00735227" w:rsidP="00EF1A37">
            <w:pPr>
              <w:pStyle w:val="TableText"/>
              <w:keepNext/>
              <w:rPr>
                <w:lang w:eastAsia="en-NZ"/>
              </w:rPr>
            </w:pPr>
            <w:r w:rsidRPr="007B7915">
              <w:rPr>
                <w:lang w:eastAsia="en-NZ"/>
              </w:rPr>
              <w:t>45</w:t>
            </w:r>
            <w:r>
              <w:rPr>
                <w:lang w:eastAsia="en-NZ"/>
              </w:rPr>
              <w:t>–</w:t>
            </w:r>
            <w:r w:rsidRPr="007B7915">
              <w:rPr>
                <w:lang w:eastAsia="en-NZ"/>
              </w:rPr>
              <w:t>54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0418269" w14:textId="77777777" w:rsidR="00735227" w:rsidRPr="007B7915" w:rsidRDefault="00735227" w:rsidP="00EF1A37">
            <w:pPr>
              <w:pStyle w:val="TableText"/>
              <w:keepNext/>
              <w:tabs>
                <w:tab w:val="decimal" w:pos="725"/>
              </w:tabs>
              <w:rPr>
                <w:lang w:eastAsia="en-NZ"/>
              </w:rPr>
            </w:pPr>
            <w:r>
              <w:rPr>
                <w:lang w:eastAsia="en-NZ"/>
              </w:rPr>
              <w:t>21</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7C34DCA5" w14:textId="77777777" w:rsidR="00735227" w:rsidRPr="007B7915" w:rsidRDefault="00735227" w:rsidP="00EF1A37">
            <w:pPr>
              <w:pStyle w:val="TableText"/>
              <w:keepNext/>
              <w:tabs>
                <w:tab w:val="decimal" w:pos="725"/>
              </w:tabs>
              <w:rPr>
                <w:lang w:eastAsia="en-NZ"/>
              </w:rPr>
            </w:pPr>
            <w:r>
              <w:rPr>
                <w:lang w:eastAsia="en-NZ"/>
              </w:rPr>
              <w:t>20</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1301925E" w14:textId="77777777" w:rsidR="00735227" w:rsidRPr="007B7915" w:rsidRDefault="00735227" w:rsidP="00EF1A37">
            <w:pPr>
              <w:pStyle w:val="TableText"/>
              <w:keepNext/>
              <w:tabs>
                <w:tab w:val="decimal" w:pos="1077"/>
              </w:tabs>
              <w:rPr>
                <w:lang w:eastAsia="en-NZ"/>
              </w:rPr>
            </w:pPr>
            <w:r w:rsidRPr="007B7915">
              <w:t>-7</w:t>
            </w:r>
          </w:p>
        </w:tc>
      </w:tr>
      <w:tr w:rsidR="00735227" w:rsidRPr="00D670ED" w14:paraId="7479D5E0"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6FC9FDA8" w14:textId="77777777" w:rsidR="00735227" w:rsidRPr="007B7915" w:rsidRDefault="00735227" w:rsidP="00EF1A37">
            <w:pPr>
              <w:pStyle w:val="TableText"/>
              <w:keepNext/>
              <w:rPr>
                <w:lang w:eastAsia="en-NZ"/>
              </w:rPr>
            </w:pPr>
            <w:r w:rsidRPr="007B7915">
              <w:rPr>
                <w:lang w:eastAsia="en-NZ"/>
              </w:rPr>
              <w:t>55</w:t>
            </w:r>
            <w:r>
              <w:rPr>
                <w:lang w:eastAsia="en-NZ"/>
              </w:rPr>
              <w:t>–</w:t>
            </w:r>
            <w:r w:rsidRPr="007B7915">
              <w:rPr>
                <w:lang w:eastAsia="en-NZ"/>
              </w:rPr>
              <w:t>64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31516AF" w14:textId="77777777" w:rsidR="00735227" w:rsidRPr="007B7915" w:rsidRDefault="00735227" w:rsidP="00EF1A37">
            <w:pPr>
              <w:pStyle w:val="TableText"/>
              <w:keepNext/>
              <w:tabs>
                <w:tab w:val="decimal" w:pos="725"/>
              </w:tabs>
              <w:rPr>
                <w:lang w:eastAsia="en-NZ"/>
              </w:rPr>
            </w:pPr>
            <w:r>
              <w:rPr>
                <w:lang w:eastAsia="en-NZ"/>
              </w:rPr>
              <w:t>15</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4B140CC4" w14:textId="77777777" w:rsidR="00735227" w:rsidRPr="007B7915" w:rsidRDefault="00735227" w:rsidP="00EF1A37">
            <w:pPr>
              <w:pStyle w:val="TableText"/>
              <w:keepNext/>
              <w:tabs>
                <w:tab w:val="decimal" w:pos="725"/>
              </w:tabs>
              <w:rPr>
                <w:lang w:eastAsia="en-NZ"/>
              </w:rPr>
            </w:pPr>
            <w:r>
              <w:rPr>
                <w:lang w:eastAsia="en-NZ"/>
              </w:rPr>
              <w:t>15</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5B3AA932" w14:textId="77777777" w:rsidR="00735227" w:rsidRPr="007B7915" w:rsidRDefault="00735227" w:rsidP="00EF1A37">
            <w:pPr>
              <w:pStyle w:val="TableText"/>
              <w:keepNext/>
              <w:tabs>
                <w:tab w:val="decimal" w:pos="1077"/>
              </w:tabs>
              <w:rPr>
                <w:lang w:eastAsia="en-NZ"/>
              </w:rPr>
            </w:pPr>
            <w:r w:rsidRPr="007B7915">
              <w:t>-2</w:t>
            </w:r>
          </w:p>
        </w:tc>
      </w:tr>
      <w:tr w:rsidR="00735227" w:rsidRPr="00D670ED" w14:paraId="3D79DC7D"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hideMark/>
          </w:tcPr>
          <w:p w14:paraId="010EF61A" w14:textId="77777777" w:rsidR="00735227" w:rsidRPr="007B7915" w:rsidRDefault="00735227" w:rsidP="009C3A17">
            <w:pPr>
              <w:pStyle w:val="TableText"/>
              <w:rPr>
                <w:lang w:eastAsia="en-NZ"/>
              </w:rPr>
            </w:pPr>
            <w:r w:rsidRPr="007B7915">
              <w:rPr>
                <w:lang w:eastAsia="en-NZ"/>
              </w:rPr>
              <w:t>65</w:t>
            </w:r>
            <w:r>
              <w:rPr>
                <w:lang w:eastAsia="en-NZ"/>
              </w:rPr>
              <w:t>–</w:t>
            </w:r>
            <w:r w:rsidRPr="007B7915">
              <w:rPr>
                <w:lang w:eastAsia="en-NZ"/>
              </w:rPr>
              <w:t>74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6040383" w14:textId="77777777" w:rsidR="00735227" w:rsidRPr="007B7915" w:rsidRDefault="00735227" w:rsidP="009C3A17">
            <w:pPr>
              <w:pStyle w:val="TableText"/>
              <w:tabs>
                <w:tab w:val="decimal" w:pos="725"/>
              </w:tabs>
              <w:rPr>
                <w:lang w:eastAsia="en-NZ"/>
              </w:rPr>
            </w:pPr>
            <w:r>
              <w:rPr>
                <w:lang w:eastAsia="en-NZ"/>
              </w:rPr>
              <w:t>11</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30777AE" w14:textId="77777777" w:rsidR="00735227" w:rsidRPr="007B7915" w:rsidRDefault="00735227" w:rsidP="009C3A17">
            <w:pPr>
              <w:pStyle w:val="TableText"/>
              <w:tabs>
                <w:tab w:val="decimal" w:pos="725"/>
              </w:tabs>
              <w:rPr>
                <w:lang w:eastAsia="en-NZ"/>
              </w:rPr>
            </w:pPr>
            <w:r>
              <w:rPr>
                <w:lang w:eastAsia="en-NZ"/>
              </w:rPr>
              <w:t>8</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hideMark/>
          </w:tcPr>
          <w:p w14:paraId="60873144" w14:textId="77777777" w:rsidR="00735227" w:rsidRPr="007B7915" w:rsidRDefault="00735227" w:rsidP="009C3A17">
            <w:pPr>
              <w:pStyle w:val="TableText"/>
              <w:tabs>
                <w:tab w:val="decimal" w:pos="1077"/>
              </w:tabs>
              <w:rPr>
                <w:lang w:eastAsia="en-NZ"/>
              </w:rPr>
            </w:pPr>
            <w:r w:rsidRPr="007B7915">
              <w:t>-27*</w:t>
            </w:r>
          </w:p>
        </w:tc>
      </w:tr>
      <w:tr w:rsidR="00735227" w:rsidRPr="00D670ED" w14:paraId="3749D484" w14:textId="77777777" w:rsidTr="009C3A17">
        <w:trPr>
          <w:cantSplit/>
        </w:trPr>
        <w:tc>
          <w:tcPr>
            <w:tcW w:w="2268" w:type="dxa"/>
            <w:tcBorders>
              <w:top w:val="single" w:sz="4" w:space="0" w:color="A6A6A6" w:themeColor="background1" w:themeShade="A6"/>
              <w:right w:val="nil"/>
            </w:tcBorders>
            <w:shd w:val="clear" w:color="auto" w:fill="auto"/>
            <w:noWrap/>
            <w:hideMark/>
          </w:tcPr>
          <w:p w14:paraId="070C78A3" w14:textId="77777777" w:rsidR="00735227" w:rsidRPr="007B7915" w:rsidRDefault="00735227" w:rsidP="009C3A17">
            <w:pPr>
              <w:pStyle w:val="TableText"/>
              <w:rPr>
                <w:lang w:eastAsia="en-NZ"/>
              </w:rPr>
            </w:pPr>
            <w:r w:rsidRPr="007B7915">
              <w:rPr>
                <w:lang w:eastAsia="en-NZ"/>
              </w:rPr>
              <w:t>75+</w:t>
            </w:r>
          </w:p>
        </w:tc>
        <w:tc>
          <w:tcPr>
            <w:tcW w:w="1417" w:type="dxa"/>
            <w:tcBorders>
              <w:top w:val="single" w:sz="4" w:space="0" w:color="A6A6A6" w:themeColor="background1" w:themeShade="A6"/>
              <w:left w:val="nil"/>
              <w:bottom w:val="single" w:sz="4" w:space="0" w:color="auto"/>
              <w:right w:val="nil"/>
            </w:tcBorders>
            <w:shd w:val="clear" w:color="auto" w:fill="auto"/>
            <w:noWrap/>
            <w:hideMark/>
          </w:tcPr>
          <w:p w14:paraId="047CB4CC" w14:textId="77777777" w:rsidR="00735227" w:rsidRPr="007B7915" w:rsidRDefault="00735227" w:rsidP="009C3A17">
            <w:pPr>
              <w:pStyle w:val="TableText"/>
              <w:tabs>
                <w:tab w:val="decimal" w:pos="725"/>
              </w:tabs>
              <w:rPr>
                <w:lang w:eastAsia="en-NZ"/>
              </w:rPr>
            </w:pPr>
            <w:r>
              <w:rPr>
                <w:lang w:eastAsia="en-NZ"/>
              </w:rPr>
              <w:t>4</w:t>
            </w:r>
          </w:p>
        </w:tc>
        <w:tc>
          <w:tcPr>
            <w:tcW w:w="1418" w:type="dxa"/>
            <w:tcBorders>
              <w:top w:val="single" w:sz="4" w:space="0" w:color="A6A6A6" w:themeColor="background1" w:themeShade="A6"/>
              <w:left w:val="nil"/>
              <w:bottom w:val="single" w:sz="4" w:space="0" w:color="auto"/>
              <w:right w:val="nil"/>
            </w:tcBorders>
            <w:shd w:val="clear" w:color="auto" w:fill="auto"/>
            <w:noWrap/>
            <w:hideMark/>
          </w:tcPr>
          <w:p w14:paraId="3F30B6B3" w14:textId="77777777" w:rsidR="00735227" w:rsidRPr="007B7915" w:rsidRDefault="00735227" w:rsidP="009C3A17">
            <w:pPr>
              <w:pStyle w:val="TableText"/>
              <w:tabs>
                <w:tab w:val="decimal" w:pos="725"/>
              </w:tabs>
              <w:rPr>
                <w:lang w:eastAsia="en-NZ"/>
              </w:rPr>
            </w:pPr>
            <w:r>
              <w:rPr>
                <w:lang w:eastAsia="en-NZ"/>
              </w:rPr>
              <w:t>4</w:t>
            </w:r>
          </w:p>
        </w:tc>
        <w:tc>
          <w:tcPr>
            <w:tcW w:w="2127" w:type="dxa"/>
            <w:tcBorders>
              <w:top w:val="single" w:sz="4" w:space="0" w:color="A6A6A6" w:themeColor="background1" w:themeShade="A6"/>
              <w:left w:val="nil"/>
            </w:tcBorders>
            <w:shd w:val="clear" w:color="auto" w:fill="auto"/>
            <w:noWrap/>
            <w:hideMark/>
          </w:tcPr>
          <w:p w14:paraId="4ADDBA88" w14:textId="77777777" w:rsidR="00735227" w:rsidRPr="007B7915" w:rsidRDefault="00735227" w:rsidP="009C3A17">
            <w:pPr>
              <w:pStyle w:val="TableText"/>
              <w:tabs>
                <w:tab w:val="decimal" w:pos="1077"/>
              </w:tabs>
              <w:rPr>
                <w:lang w:eastAsia="en-NZ"/>
              </w:rPr>
            </w:pPr>
            <w:r w:rsidRPr="007B7915">
              <w:t>9</w:t>
            </w:r>
          </w:p>
        </w:tc>
      </w:tr>
    </w:tbl>
    <w:p w14:paraId="266A8F04" w14:textId="77777777" w:rsidR="00735227" w:rsidRDefault="00735227" w:rsidP="009C3A17">
      <w:pPr>
        <w:pStyle w:val="TableNote"/>
        <w:ind w:right="2155"/>
      </w:pPr>
      <w:r>
        <w:t>Sources: 2006 = 2006/07 NZHS; 2012 = 2012/13 NZHS</w:t>
      </w:r>
    </w:p>
    <w:p w14:paraId="60FD55BB" w14:textId="77777777" w:rsidR="007066D2" w:rsidRDefault="00735227" w:rsidP="009C3A17">
      <w:pPr>
        <w:pStyle w:val="TableNote"/>
        <w:ind w:right="2155"/>
      </w:pPr>
      <w:r>
        <w:t>*</w:t>
      </w:r>
      <w:r w:rsidR="009C3A17">
        <w:tab/>
      </w:r>
      <w:r>
        <w:t>There is a statistically significant difference (p&lt;0.05) between 2006 and 2012.</w:t>
      </w:r>
    </w:p>
    <w:p w14:paraId="71CED97F" w14:textId="77777777" w:rsidR="00735227" w:rsidRDefault="00735227" w:rsidP="009C3A17"/>
    <w:p w14:paraId="277AD2ED" w14:textId="77777777" w:rsidR="00735227" w:rsidRPr="000C4C87" w:rsidRDefault="004F3D5F" w:rsidP="009C3A17">
      <w:pPr>
        <w:pStyle w:val="Heading3"/>
      </w:pPr>
      <w:r>
        <w:t>Smoking declined in the middle</w:t>
      </w:r>
      <w:r w:rsidR="00735227" w:rsidRPr="000C4C87">
        <w:t xml:space="preserve"> neighbourhood deprivation groups</w:t>
      </w:r>
    </w:p>
    <w:p w14:paraId="2DFA9641" w14:textId="34305F3A" w:rsidR="007066D2" w:rsidRDefault="00735227" w:rsidP="009C3A17">
      <w:r>
        <w:t>Adults living in the middle</w:t>
      </w:r>
      <w:r w:rsidR="00AF2D63">
        <w:t xml:space="preserve"> neighbourhood deprivation</w:t>
      </w:r>
      <w:r>
        <w:t xml:space="preserve"> quintiles</w:t>
      </w:r>
      <w:r w:rsidR="00AF2D63" w:rsidRPr="009C3A17">
        <w:rPr>
          <w:rStyle w:val="FootnoteReference"/>
        </w:rPr>
        <w:footnoteReference w:id="5"/>
      </w:r>
      <w:r>
        <w:t xml:space="preserve"> (2, 3 and 4) showed the biggest declines </w:t>
      </w:r>
      <w:r w:rsidR="00AF2D63">
        <w:t>(22%, 17% and 17% respectively) in current smoking prevalence b</w:t>
      </w:r>
      <w:r w:rsidR="00EF1A37">
        <w:t>etween 2006 and 2012 (Table 3).</w:t>
      </w:r>
    </w:p>
    <w:p w14:paraId="01631262" w14:textId="77777777" w:rsidR="00735227" w:rsidRPr="00606FCD" w:rsidRDefault="00735227" w:rsidP="009C3A17"/>
    <w:p w14:paraId="50C4FA1D" w14:textId="77777777" w:rsidR="00735227" w:rsidRDefault="00735227" w:rsidP="009C3A17">
      <w:pPr>
        <w:pStyle w:val="Table"/>
      </w:pPr>
      <w:bookmarkStart w:id="72" w:name="_Toc399920514"/>
      <w:bookmarkStart w:id="73" w:name="_Toc404091103"/>
      <w:r>
        <w:t xml:space="preserve">Table </w:t>
      </w:r>
      <w:r w:rsidR="009C3A17">
        <w:t>3</w:t>
      </w:r>
      <w:r w:rsidRPr="00952305">
        <w:t>:</w:t>
      </w:r>
      <w:r w:rsidR="009C3A17">
        <w:t xml:space="preserve"> </w:t>
      </w:r>
      <w:r w:rsidRPr="00952305">
        <w:t>Changes in current smoking prevalence by neighbourhood deprivation between 2006 and 2012</w:t>
      </w:r>
      <w:bookmarkEnd w:id="72"/>
      <w:bookmarkEnd w:id="7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417"/>
        <w:gridCol w:w="1418"/>
        <w:gridCol w:w="2127"/>
      </w:tblGrid>
      <w:tr w:rsidR="009C3A17" w:rsidRPr="005E0155" w14:paraId="277B8944" w14:textId="77777777" w:rsidTr="009C3A17">
        <w:trPr>
          <w:cantSplit/>
        </w:trPr>
        <w:tc>
          <w:tcPr>
            <w:tcW w:w="2268" w:type="dxa"/>
            <w:tcBorders>
              <w:top w:val="single" w:sz="4" w:space="0" w:color="auto"/>
              <w:bottom w:val="single" w:sz="4" w:space="0" w:color="auto"/>
              <w:right w:val="nil"/>
            </w:tcBorders>
            <w:shd w:val="clear" w:color="auto" w:fill="auto"/>
            <w:noWrap/>
            <w:hideMark/>
          </w:tcPr>
          <w:p w14:paraId="2FBC1370" w14:textId="77777777" w:rsidR="009C3A17" w:rsidRPr="005E0155" w:rsidRDefault="009C3A17" w:rsidP="009C3A17">
            <w:pPr>
              <w:pStyle w:val="TableText"/>
              <w:rPr>
                <w:b/>
                <w:lang w:eastAsia="en-NZ"/>
              </w:rPr>
            </w:pPr>
            <w:r>
              <w:rPr>
                <w:b/>
                <w:lang w:eastAsia="en-NZ"/>
              </w:rPr>
              <w:t>Neighbourhood deprivation</w:t>
            </w:r>
          </w:p>
        </w:tc>
        <w:tc>
          <w:tcPr>
            <w:tcW w:w="1417" w:type="dxa"/>
            <w:tcBorders>
              <w:top w:val="single" w:sz="4" w:space="0" w:color="auto"/>
              <w:left w:val="nil"/>
              <w:bottom w:val="single" w:sz="4" w:space="0" w:color="auto"/>
              <w:right w:val="nil"/>
            </w:tcBorders>
            <w:shd w:val="clear" w:color="auto" w:fill="auto"/>
            <w:noWrap/>
            <w:hideMark/>
          </w:tcPr>
          <w:p w14:paraId="5D427A04" w14:textId="77777777" w:rsidR="009C3A17" w:rsidRPr="005E0155" w:rsidRDefault="009C3A17" w:rsidP="009C3A17">
            <w:pPr>
              <w:pStyle w:val="TableText"/>
              <w:jc w:val="center"/>
              <w:rPr>
                <w:b/>
                <w:lang w:eastAsia="en-NZ"/>
              </w:rPr>
            </w:pPr>
            <w:r w:rsidRPr="005E0155">
              <w:rPr>
                <w:b/>
                <w:lang w:eastAsia="en-NZ"/>
              </w:rPr>
              <w:t>2006</w:t>
            </w:r>
            <w:r w:rsidRPr="005E0155">
              <w:rPr>
                <w:b/>
                <w:lang w:eastAsia="en-NZ"/>
              </w:rPr>
              <w:br/>
              <w:t>(%)</w:t>
            </w:r>
          </w:p>
        </w:tc>
        <w:tc>
          <w:tcPr>
            <w:tcW w:w="1418" w:type="dxa"/>
            <w:tcBorders>
              <w:top w:val="single" w:sz="4" w:space="0" w:color="auto"/>
              <w:left w:val="nil"/>
              <w:bottom w:val="single" w:sz="4" w:space="0" w:color="auto"/>
              <w:right w:val="nil"/>
            </w:tcBorders>
            <w:shd w:val="clear" w:color="auto" w:fill="auto"/>
            <w:noWrap/>
            <w:hideMark/>
          </w:tcPr>
          <w:p w14:paraId="5A4FCC7C" w14:textId="77777777" w:rsidR="009C3A17" w:rsidRPr="005E0155" w:rsidRDefault="009C3A17" w:rsidP="009C3A17">
            <w:pPr>
              <w:pStyle w:val="TableText"/>
              <w:jc w:val="center"/>
              <w:rPr>
                <w:b/>
                <w:lang w:eastAsia="en-NZ"/>
              </w:rPr>
            </w:pPr>
            <w:r w:rsidRPr="005E0155">
              <w:rPr>
                <w:b/>
                <w:lang w:eastAsia="en-NZ"/>
              </w:rPr>
              <w:t>2012</w:t>
            </w:r>
            <w:r w:rsidRPr="005E0155">
              <w:rPr>
                <w:b/>
                <w:lang w:eastAsia="en-NZ"/>
              </w:rPr>
              <w:br/>
              <w:t>(%)</w:t>
            </w:r>
          </w:p>
        </w:tc>
        <w:tc>
          <w:tcPr>
            <w:tcW w:w="2127" w:type="dxa"/>
            <w:tcBorders>
              <w:top w:val="single" w:sz="4" w:space="0" w:color="auto"/>
              <w:left w:val="nil"/>
              <w:bottom w:val="single" w:sz="4" w:space="0" w:color="auto"/>
            </w:tcBorders>
            <w:shd w:val="clear" w:color="auto" w:fill="auto"/>
            <w:noWrap/>
            <w:hideMark/>
          </w:tcPr>
          <w:p w14:paraId="42649381" w14:textId="77777777" w:rsidR="009C3A17" w:rsidRPr="005E0155" w:rsidRDefault="009C3A17" w:rsidP="009C3A17">
            <w:pPr>
              <w:pStyle w:val="TableText"/>
              <w:jc w:val="center"/>
              <w:rPr>
                <w:b/>
                <w:lang w:eastAsia="en-NZ"/>
              </w:rPr>
            </w:pPr>
            <w:r w:rsidRPr="005E0155">
              <w:rPr>
                <w:b/>
                <w:lang w:eastAsia="en-NZ"/>
              </w:rPr>
              <w:t>Relative percentage change (%)</w:t>
            </w:r>
          </w:p>
        </w:tc>
      </w:tr>
      <w:tr w:rsidR="009C3A17" w:rsidRPr="007B7915" w14:paraId="2EBE5A2D" w14:textId="77777777" w:rsidTr="009C3A17">
        <w:trPr>
          <w:cantSplit/>
        </w:trPr>
        <w:tc>
          <w:tcPr>
            <w:tcW w:w="2268" w:type="dxa"/>
            <w:tcBorders>
              <w:top w:val="single" w:sz="4" w:space="0" w:color="auto"/>
              <w:bottom w:val="single" w:sz="4" w:space="0" w:color="A6A6A6" w:themeColor="background1" w:themeShade="A6"/>
              <w:right w:val="nil"/>
            </w:tcBorders>
            <w:shd w:val="clear" w:color="auto" w:fill="auto"/>
            <w:noWrap/>
          </w:tcPr>
          <w:p w14:paraId="494DC188" w14:textId="77777777" w:rsidR="009C3A17" w:rsidRPr="007B7915" w:rsidRDefault="009C3A17" w:rsidP="009C3A17">
            <w:pPr>
              <w:pStyle w:val="TableText"/>
              <w:rPr>
                <w:lang w:eastAsia="en-NZ"/>
              </w:rPr>
            </w:pPr>
            <w:r w:rsidRPr="007B7915">
              <w:rPr>
                <w:lang w:eastAsia="en-NZ"/>
              </w:rPr>
              <w:t>Quintile 1</w:t>
            </w:r>
            <w:r>
              <w:rPr>
                <w:lang w:eastAsia="en-NZ"/>
              </w:rPr>
              <w:br/>
              <w:t>(most deprived)</w:t>
            </w:r>
          </w:p>
        </w:tc>
        <w:tc>
          <w:tcPr>
            <w:tcW w:w="1417" w:type="dxa"/>
            <w:tcBorders>
              <w:top w:val="single" w:sz="4" w:space="0" w:color="auto"/>
              <w:left w:val="nil"/>
              <w:bottom w:val="single" w:sz="4" w:space="0" w:color="A6A6A6" w:themeColor="background1" w:themeShade="A6"/>
              <w:right w:val="nil"/>
            </w:tcBorders>
            <w:shd w:val="clear" w:color="auto" w:fill="auto"/>
            <w:noWrap/>
          </w:tcPr>
          <w:p w14:paraId="4706515A" w14:textId="77777777" w:rsidR="009C3A17" w:rsidRPr="007B7915" w:rsidRDefault="00C30CF1" w:rsidP="009C3A17">
            <w:pPr>
              <w:pStyle w:val="TableText"/>
              <w:jc w:val="center"/>
              <w:rPr>
                <w:lang w:eastAsia="en-NZ"/>
              </w:rPr>
            </w:pPr>
            <w:r>
              <w:rPr>
                <w:lang w:eastAsia="en-NZ"/>
              </w:rPr>
              <w:t>11</w:t>
            </w:r>
          </w:p>
        </w:tc>
        <w:tc>
          <w:tcPr>
            <w:tcW w:w="1418" w:type="dxa"/>
            <w:tcBorders>
              <w:top w:val="single" w:sz="4" w:space="0" w:color="auto"/>
              <w:left w:val="nil"/>
              <w:bottom w:val="single" w:sz="4" w:space="0" w:color="A6A6A6" w:themeColor="background1" w:themeShade="A6"/>
              <w:right w:val="nil"/>
            </w:tcBorders>
            <w:shd w:val="clear" w:color="auto" w:fill="auto"/>
            <w:noWrap/>
          </w:tcPr>
          <w:p w14:paraId="586BC675" w14:textId="77777777" w:rsidR="009C3A17" w:rsidRPr="007B7915" w:rsidRDefault="00C30CF1" w:rsidP="009C3A17">
            <w:pPr>
              <w:pStyle w:val="TableText"/>
              <w:jc w:val="center"/>
              <w:rPr>
                <w:lang w:eastAsia="en-NZ"/>
              </w:rPr>
            </w:pPr>
            <w:r>
              <w:rPr>
                <w:lang w:eastAsia="en-NZ"/>
              </w:rPr>
              <w:t>11</w:t>
            </w:r>
          </w:p>
        </w:tc>
        <w:tc>
          <w:tcPr>
            <w:tcW w:w="2127" w:type="dxa"/>
            <w:tcBorders>
              <w:top w:val="single" w:sz="4" w:space="0" w:color="auto"/>
              <w:left w:val="nil"/>
              <w:bottom w:val="single" w:sz="4" w:space="0" w:color="A6A6A6" w:themeColor="background1" w:themeShade="A6"/>
            </w:tcBorders>
            <w:shd w:val="clear" w:color="auto" w:fill="auto"/>
            <w:noWrap/>
          </w:tcPr>
          <w:p w14:paraId="39A94B66" w14:textId="77777777" w:rsidR="009C3A17" w:rsidRPr="007B7915" w:rsidRDefault="00C30CF1" w:rsidP="009C3A17">
            <w:pPr>
              <w:pStyle w:val="TableText"/>
              <w:tabs>
                <w:tab w:val="decimal" w:pos="1097"/>
              </w:tabs>
              <w:rPr>
                <w:lang w:eastAsia="en-NZ"/>
              </w:rPr>
            </w:pPr>
            <w:r>
              <w:rPr>
                <w:lang w:eastAsia="en-NZ"/>
              </w:rPr>
              <w:t>-2</w:t>
            </w:r>
          </w:p>
        </w:tc>
      </w:tr>
      <w:tr w:rsidR="009C3A17" w:rsidRPr="007B7915" w14:paraId="0101D6A6"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tcPr>
          <w:p w14:paraId="57964D2F" w14:textId="77777777" w:rsidR="009C3A17" w:rsidRPr="007B7915" w:rsidRDefault="009C3A17" w:rsidP="009C3A17">
            <w:pPr>
              <w:pStyle w:val="TableText"/>
              <w:rPr>
                <w:lang w:eastAsia="en-NZ"/>
              </w:rPr>
            </w:pPr>
            <w:r w:rsidRPr="007B7915">
              <w:rPr>
                <w:lang w:eastAsia="en-NZ"/>
              </w:rPr>
              <w:t>Quintile 2</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1BDFF0" w14:textId="77777777" w:rsidR="009C3A17" w:rsidRPr="007B7915" w:rsidRDefault="00C30CF1" w:rsidP="009C3A17">
            <w:pPr>
              <w:pStyle w:val="TableText"/>
              <w:jc w:val="center"/>
              <w:rPr>
                <w:lang w:eastAsia="en-NZ"/>
              </w:rPr>
            </w:pPr>
            <w:r>
              <w:rPr>
                <w:lang w:eastAsia="en-NZ"/>
              </w:rPr>
              <w:t>16</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6AC831" w14:textId="77777777" w:rsidR="009C3A17" w:rsidRPr="007B7915" w:rsidRDefault="00C30CF1" w:rsidP="009C3A17">
            <w:pPr>
              <w:pStyle w:val="TableText"/>
              <w:jc w:val="center"/>
              <w:rPr>
                <w:lang w:eastAsia="en-NZ"/>
              </w:rPr>
            </w:pPr>
            <w:r>
              <w:rPr>
                <w:lang w:eastAsia="en-NZ"/>
              </w:rPr>
              <w:t>12</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tcPr>
          <w:p w14:paraId="5F8EB6A6" w14:textId="77777777" w:rsidR="009C3A17" w:rsidRPr="007B7915" w:rsidRDefault="00C30CF1" w:rsidP="009C3A17">
            <w:pPr>
              <w:pStyle w:val="TableText"/>
              <w:tabs>
                <w:tab w:val="decimal" w:pos="1097"/>
              </w:tabs>
              <w:rPr>
                <w:lang w:eastAsia="en-NZ"/>
              </w:rPr>
            </w:pPr>
            <w:r>
              <w:rPr>
                <w:lang w:eastAsia="en-NZ"/>
              </w:rPr>
              <w:t>-23</w:t>
            </w:r>
            <w:r w:rsidR="009C3A17">
              <w:rPr>
                <w:lang w:eastAsia="en-NZ"/>
              </w:rPr>
              <w:t>*</w:t>
            </w:r>
          </w:p>
        </w:tc>
      </w:tr>
      <w:tr w:rsidR="009C3A17" w:rsidRPr="007B7915" w14:paraId="350A4A67" w14:textId="77777777" w:rsidTr="009C3A17">
        <w:trPr>
          <w:cantSplit/>
        </w:trPr>
        <w:tc>
          <w:tcPr>
            <w:tcW w:w="2268" w:type="dxa"/>
            <w:tcBorders>
              <w:top w:val="single" w:sz="4" w:space="0" w:color="A6A6A6" w:themeColor="background1" w:themeShade="A6"/>
              <w:bottom w:val="single" w:sz="4" w:space="0" w:color="A6A6A6" w:themeColor="background1" w:themeShade="A6"/>
              <w:right w:val="nil"/>
            </w:tcBorders>
            <w:shd w:val="clear" w:color="auto" w:fill="auto"/>
            <w:noWrap/>
          </w:tcPr>
          <w:p w14:paraId="3E9457B3" w14:textId="77777777" w:rsidR="009C3A17" w:rsidRPr="007B7915" w:rsidRDefault="009C3A17" w:rsidP="009C3A17">
            <w:pPr>
              <w:pStyle w:val="TableText"/>
              <w:rPr>
                <w:lang w:eastAsia="en-NZ"/>
              </w:rPr>
            </w:pPr>
            <w:r w:rsidRPr="007B7915">
              <w:rPr>
                <w:lang w:eastAsia="en-NZ"/>
              </w:rPr>
              <w:t>Quintile 3</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F54D1C" w14:textId="77777777" w:rsidR="009C3A17" w:rsidRPr="007B7915" w:rsidRDefault="00C30CF1" w:rsidP="009C3A17">
            <w:pPr>
              <w:pStyle w:val="TableText"/>
              <w:jc w:val="center"/>
              <w:rPr>
                <w:lang w:eastAsia="en-NZ"/>
              </w:rPr>
            </w:pPr>
            <w:r>
              <w:rPr>
                <w:lang w:eastAsia="en-NZ"/>
              </w:rPr>
              <w:t>19</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9C23BB" w14:textId="77777777" w:rsidR="009C3A17" w:rsidRPr="007B7915" w:rsidRDefault="009C3A17" w:rsidP="00C30CF1">
            <w:pPr>
              <w:pStyle w:val="TableText"/>
              <w:jc w:val="center"/>
              <w:rPr>
                <w:lang w:eastAsia="en-NZ"/>
              </w:rPr>
            </w:pPr>
            <w:r>
              <w:rPr>
                <w:lang w:eastAsia="en-NZ"/>
              </w:rPr>
              <w:t>1</w:t>
            </w:r>
            <w:r w:rsidR="00C30CF1">
              <w:rPr>
                <w:lang w:eastAsia="en-NZ"/>
              </w:rPr>
              <w:t>6</w:t>
            </w:r>
          </w:p>
        </w:tc>
        <w:tc>
          <w:tcPr>
            <w:tcW w:w="2127" w:type="dxa"/>
            <w:tcBorders>
              <w:top w:val="single" w:sz="4" w:space="0" w:color="A6A6A6" w:themeColor="background1" w:themeShade="A6"/>
              <w:left w:val="nil"/>
              <w:bottom w:val="single" w:sz="4" w:space="0" w:color="A6A6A6" w:themeColor="background1" w:themeShade="A6"/>
            </w:tcBorders>
            <w:shd w:val="clear" w:color="auto" w:fill="auto"/>
            <w:noWrap/>
          </w:tcPr>
          <w:p w14:paraId="3D13A0BD" w14:textId="77777777" w:rsidR="009C3A17" w:rsidRPr="007B7915" w:rsidRDefault="00C30CF1" w:rsidP="009C3A17">
            <w:pPr>
              <w:pStyle w:val="TableText"/>
              <w:tabs>
                <w:tab w:val="decimal" w:pos="1097"/>
              </w:tabs>
              <w:rPr>
                <w:lang w:eastAsia="en-NZ"/>
              </w:rPr>
            </w:pPr>
            <w:r>
              <w:rPr>
                <w:lang w:eastAsia="en-NZ"/>
              </w:rPr>
              <w:t>-18</w:t>
            </w:r>
            <w:r w:rsidR="009C3A17">
              <w:rPr>
                <w:lang w:eastAsia="en-NZ"/>
              </w:rPr>
              <w:t>*</w:t>
            </w:r>
          </w:p>
        </w:tc>
      </w:tr>
      <w:tr w:rsidR="009C3A17" w:rsidRPr="007B7915" w14:paraId="1BE37620" w14:textId="77777777" w:rsidTr="009C3A17">
        <w:trPr>
          <w:cantSplit/>
        </w:trPr>
        <w:tc>
          <w:tcPr>
            <w:tcW w:w="2268" w:type="dxa"/>
            <w:tcBorders>
              <w:top w:val="single" w:sz="4" w:space="0" w:color="A6A6A6" w:themeColor="background1" w:themeShade="A6"/>
              <w:right w:val="nil"/>
            </w:tcBorders>
            <w:shd w:val="clear" w:color="auto" w:fill="auto"/>
            <w:noWrap/>
          </w:tcPr>
          <w:p w14:paraId="66D51FCA" w14:textId="77777777" w:rsidR="009C3A17" w:rsidRPr="007B7915" w:rsidRDefault="009C3A17" w:rsidP="009C3A17">
            <w:pPr>
              <w:pStyle w:val="TableText"/>
              <w:rPr>
                <w:lang w:eastAsia="en-NZ"/>
              </w:rPr>
            </w:pPr>
            <w:r w:rsidRPr="007B7915">
              <w:rPr>
                <w:lang w:eastAsia="en-NZ"/>
              </w:rPr>
              <w:t>Quintile 4</w:t>
            </w:r>
          </w:p>
        </w:tc>
        <w:tc>
          <w:tcPr>
            <w:tcW w:w="141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18870" w14:textId="77777777" w:rsidR="009C3A17" w:rsidRPr="007B7915" w:rsidRDefault="00C30CF1" w:rsidP="009C3A17">
            <w:pPr>
              <w:pStyle w:val="TableText"/>
              <w:jc w:val="center"/>
              <w:rPr>
                <w:lang w:eastAsia="en-NZ"/>
              </w:rPr>
            </w:pPr>
            <w:r>
              <w:rPr>
                <w:lang w:eastAsia="en-NZ"/>
              </w:rPr>
              <w:t>24</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BF46D" w14:textId="77777777" w:rsidR="009C3A17" w:rsidRPr="007B7915" w:rsidRDefault="00C30CF1" w:rsidP="009C3A17">
            <w:pPr>
              <w:pStyle w:val="TableText"/>
              <w:jc w:val="center"/>
              <w:rPr>
                <w:lang w:eastAsia="en-NZ"/>
              </w:rPr>
            </w:pPr>
            <w:r>
              <w:rPr>
                <w:lang w:eastAsia="en-NZ"/>
              </w:rPr>
              <w:t>20</w:t>
            </w:r>
          </w:p>
        </w:tc>
        <w:tc>
          <w:tcPr>
            <w:tcW w:w="2127" w:type="dxa"/>
            <w:tcBorders>
              <w:top w:val="single" w:sz="4" w:space="0" w:color="A6A6A6" w:themeColor="background1" w:themeShade="A6"/>
              <w:left w:val="nil"/>
            </w:tcBorders>
            <w:shd w:val="clear" w:color="auto" w:fill="auto"/>
            <w:noWrap/>
          </w:tcPr>
          <w:p w14:paraId="28ECB4DE" w14:textId="77777777" w:rsidR="009C3A17" w:rsidRPr="007B7915" w:rsidRDefault="00C30CF1" w:rsidP="009C3A17">
            <w:pPr>
              <w:pStyle w:val="TableText"/>
              <w:tabs>
                <w:tab w:val="decimal" w:pos="1097"/>
              </w:tabs>
              <w:rPr>
                <w:lang w:eastAsia="en-NZ"/>
              </w:rPr>
            </w:pPr>
            <w:r>
              <w:rPr>
                <w:lang w:eastAsia="en-NZ"/>
              </w:rPr>
              <w:t>-16</w:t>
            </w:r>
            <w:r w:rsidR="009C3A17">
              <w:rPr>
                <w:lang w:eastAsia="en-NZ"/>
              </w:rPr>
              <w:t>*</w:t>
            </w:r>
          </w:p>
        </w:tc>
      </w:tr>
      <w:tr w:rsidR="009C3A17" w:rsidRPr="007B7915" w14:paraId="09073635" w14:textId="77777777" w:rsidTr="009C3A17">
        <w:trPr>
          <w:cantSplit/>
        </w:trPr>
        <w:tc>
          <w:tcPr>
            <w:tcW w:w="2268" w:type="dxa"/>
            <w:tcBorders>
              <w:top w:val="single" w:sz="4" w:space="0" w:color="A6A6A6" w:themeColor="background1" w:themeShade="A6"/>
              <w:right w:val="nil"/>
            </w:tcBorders>
            <w:shd w:val="clear" w:color="auto" w:fill="auto"/>
            <w:noWrap/>
          </w:tcPr>
          <w:p w14:paraId="00377C6D" w14:textId="77777777" w:rsidR="009C3A17" w:rsidRPr="007B7915" w:rsidRDefault="009C3A17" w:rsidP="009C3A17">
            <w:pPr>
              <w:pStyle w:val="TableText"/>
              <w:rPr>
                <w:lang w:eastAsia="en-NZ"/>
              </w:rPr>
            </w:pPr>
            <w:r w:rsidRPr="007B7915">
              <w:rPr>
                <w:lang w:eastAsia="en-NZ"/>
              </w:rPr>
              <w:t>Quintile 5</w:t>
            </w:r>
            <w:r>
              <w:rPr>
                <w:lang w:eastAsia="en-NZ"/>
              </w:rPr>
              <w:br/>
              <w:t>(least deprived)</w:t>
            </w:r>
          </w:p>
        </w:tc>
        <w:tc>
          <w:tcPr>
            <w:tcW w:w="1417" w:type="dxa"/>
            <w:tcBorders>
              <w:top w:val="single" w:sz="4" w:space="0" w:color="A6A6A6" w:themeColor="background1" w:themeShade="A6"/>
              <w:left w:val="nil"/>
              <w:bottom w:val="single" w:sz="4" w:space="0" w:color="auto"/>
              <w:right w:val="nil"/>
            </w:tcBorders>
            <w:shd w:val="clear" w:color="auto" w:fill="auto"/>
            <w:noWrap/>
          </w:tcPr>
          <w:p w14:paraId="6BAD0A0E" w14:textId="77777777" w:rsidR="009C3A17" w:rsidRPr="007B7915" w:rsidRDefault="00C30CF1" w:rsidP="009C3A17">
            <w:pPr>
              <w:pStyle w:val="TableText"/>
              <w:jc w:val="center"/>
              <w:rPr>
                <w:lang w:eastAsia="en-NZ"/>
              </w:rPr>
            </w:pPr>
            <w:r>
              <w:rPr>
                <w:lang w:eastAsia="en-NZ"/>
              </w:rPr>
              <w:t>32</w:t>
            </w:r>
          </w:p>
        </w:tc>
        <w:tc>
          <w:tcPr>
            <w:tcW w:w="1418" w:type="dxa"/>
            <w:tcBorders>
              <w:top w:val="single" w:sz="4" w:space="0" w:color="A6A6A6" w:themeColor="background1" w:themeShade="A6"/>
              <w:left w:val="nil"/>
              <w:bottom w:val="single" w:sz="4" w:space="0" w:color="auto"/>
              <w:right w:val="nil"/>
            </w:tcBorders>
            <w:shd w:val="clear" w:color="auto" w:fill="auto"/>
            <w:noWrap/>
          </w:tcPr>
          <w:p w14:paraId="6867BE96" w14:textId="77777777" w:rsidR="009C3A17" w:rsidRPr="007B7915" w:rsidRDefault="00C30CF1" w:rsidP="009C3A17">
            <w:pPr>
              <w:pStyle w:val="TableText"/>
              <w:jc w:val="center"/>
              <w:rPr>
                <w:lang w:eastAsia="en-NZ"/>
              </w:rPr>
            </w:pPr>
            <w:r>
              <w:rPr>
                <w:lang w:eastAsia="en-NZ"/>
              </w:rPr>
              <w:t>30</w:t>
            </w:r>
          </w:p>
        </w:tc>
        <w:tc>
          <w:tcPr>
            <w:tcW w:w="2127" w:type="dxa"/>
            <w:tcBorders>
              <w:top w:val="single" w:sz="4" w:space="0" w:color="A6A6A6" w:themeColor="background1" w:themeShade="A6"/>
              <w:left w:val="nil"/>
            </w:tcBorders>
            <w:shd w:val="clear" w:color="auto" w:fill="auto"/>
            <w:noWrap/>
          </w:tcPr>
          <w:p w14:paraId="6F076053" w14:textId="77777777" w:rsidR="009C3A17" w:rsidRPr="007B7915" w:rsidRDefault="00C30CF1" w:rsidP="009C3A17">
            <w:pPr>
              <w:pStyle w:val="TableText"/>
              <w:tabs>
                <w:tab w:val="decimal" w:pos="1097"/>
              </w:tabs>
              <w:rPr>
                <w:lang w:eastAsia="en-NZ"/>
              </w:rPr>
            </w:pPr>
            <w:r>
              <w:rPr>
                <w:lang w:eastAsia="en-NZ"/>
              </w:rPr>
              <w:t>-6</w:t>
            </w:r>
          </w:p>
        </w:tc>
      </w:tr>
    </w:tbl>
    <w:p w14:paraId="74B75203" w14:textId="77777777" w:rsidR="00735227" w:rsidRDefault="00735227" w:rsidP="009C3A17">
      <w:pPr>
        <w:pStyle w:val="TableNote"/>
        <w:ind w:right="2155"/>
      </w:pPr>
      <w:r>
        <w:t>Sources: 2006 = 2006/07 NZHS; 2012 = 2012/13 NZHS</w:t>
      </w:r>
    </w:p>
    <w:p w14:paraId="2236279A" w14:textId="059881E4" w:rsidR="00F308CD" w:rsidRDefault="00F308CD" w:rsidP="00BB2866">
      <w:pPr>
        <w:pStyle w:val="TableNote"/>
        <w:spacing w:line="240" w:lineRule="auto"/>
        <w:ind w:right="2155"/>
      </w:pPr>
      <w:r>
        <w:t xml:space="preserve">This table presents unadjusted prevalence results in 2006 and 2012. </w:t>
      </w:r>
    </w:p>
    <w:p w14:paraId="37D23739" w14:textId="087B5816" w:rsidR="007066D2" w:rsidRDefault="00735227" w:rsidP="003B75D9">
      <w:pPr>
        <w:pStyle w:val="TableNote"/>
        <w:spacing w:line="240" w:lineRule="auto"/>
        <w:ind w:right="2155"/>
      </w:pPr>
      <w:r>
        <w:t>*</w:t>
      </w:r>
      <w:r w:rsidR="00BB2866">
        <w:t xml:space="preserve"> </w:t>
      </w:r>
      <w:r>
        <w:t>There is a statistically significant difference (p&lt;0.05) between 2006 and 2012.</w:t>
      </w:r>
      <w:r w:rsidR="003B75D9">
        <w:t xml:space="preserve"> The p-values have been adjusted for differences in the age structures of the underlying populations over time.</w:t>
      </w:r>
    </w:p>
    <w:p w14:paraId="169D628C" w14:textId="77777777" w:rsidR="00735227" w:rsidRPr="00D670ED" w:rsidRDefault="00735227" w:rsidP="009C3A17"/>
    <w:p w14:paraId="2EDA4A5C" w14:textId="77777777" w:rsidR="00735227" w:rsidRPr="000C4C87" w:rsidRDefault="00735227" w:rsidP="009C3A17">
      <w:pPr>
        <w:pStyle w:val="Heading3"/>
      </w:pPr>
      <w:r>
        <w:t>There were s</w:t>
      </w:r>
      <w:r w:rsidRPr="000C4C87">
        <w:t>imilar declines in smoking prevalence for males and females</w:t>
      </w:r>
    </w:p>
    <w:p w14:paraId="0763796D" w14:textId="4413F682" w:rsidR="00735227" w:rsidRPr="00BB43DC" w:rsidRDefault="00735227" w:rsidP="009C3A17">
      <w:r>
        <w:t xml:space="preserve">Current smoking prevalence fell significantly by a similar amount for males and </w:t>
      </w:r>
      <w:r w:rsidR="004F3D5F">
        <w:t>females (relative declines of 12</w:t>
      </w:r>
      <w:r>
        <w:t>% and 13% respectively) between 2006 and 2012 (Table 4). The proportio</w:t>
      </w:r>
      <w:r w:rsidR="004F3D5F">
        <w:t>n of females smok</w:t>
      </w:r>
      <w:r w:rsidR="00D27246">
        <w:t>ing in 2012 (16</w:t>
      </w:r>
      <w:r>
        <w:t>%) was significantly lower than the</w:t>
      </w:r>
      <w:r w:rsidR="004F3D5F">
        <w:t xml:space="preserve"> proportion of males smoking (19</w:t>
      </w:r>
      <w:r>
        <w:t>%).</w:t>
      </w:r>
    </w:p>
    <w:p w14:paraId="0E360173" w14:textId="77777777" w:rsidR="00735227" w:rsidRDefault="00735227" w:rsidP="009C3A17"/>
    <w:p w14:paraId="48E24AC1" w14:textId="77777777" w:rsidR="00735227" w:rsidRDefault="00735227" w:rsidP="009C3A17">
      <w:pPr>
        <w:pStyle w:val="Table"/>
      </w:pPr>
      <w:bookmarkStart w:id="74" w:name="_Toc399920515"/>
      <w:bookmarkStart w:id="75" w:name="_Toc404091104"/>
      <w:r>
        <w:t xml:space="preserve">Table </w:t>
      </w:r>
      <w:r w:rsidR="009C3A17">
        <w:t>4</w:t>
      </w:r>
      <w:r w:rsidRPr="00CF6F54">
        <w:t>:</w:t>
      </w:r>
      <w:r w:rsidR="009C3A17">
        <w:t xml:space="preserve"> </w:t>
      </w:r>
      <w:r w:rsidRPr="00CF6F54">
        <w:t xml:space="preserve">Changes in current smoking prevalence by </w:t>
      </w:r>
      <w:r>
        <w:t>sex</w:t>
      </w:r>
      <w:r w:rsidRPr="00CF6F54">
        <w:t xml:space="preserve"> between 2006 and 2012</w:t>
      </w:r>
      <w:bookmarkEnd w:id="74"/>
      <w:bookmarkEnd w:id="7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417"/>
        <w:gridCol w:w="1418"/>
        <w:gridCol w:w="2127"/>
      </w:tblGrid>
      <w:tr w:rsidR="009C3A17" w:rsidRPr="005E0155" w14:paraId="340D0F0D" w14:textId="77777777" w:rsidTr="009C3A17">
        <w:trPr>
          <w:cantSplit/>
        </w:trPr>
        <w:tc>
          <w:tcPr>
            <w:tcW w:w="2268" w:type="dxa"/>
            <w:tcBorders>
              <w:top w:val="single" w:sz="4" w:space="0" w:color="auto"/>
              <w:bottom w:val="single" w:sz="4" w:space="0" w:color="auto"/>
              <w:right w:val="nil"/>
            </w:tcBorders>
            <w:shd w:val="clear" w:color="auto" w:fill="auto"/>
            <w:noWrap/>
          </w:tcPr>
          <w:p w14:paraId="2C5AADE0" w14:textId="77777777" w:rsidR="009C3A17" w:rsidRPr="005E0155" w:rsidRDefault="009C3A17" w:rsidP="009C3A17">
            <w:pPr>
              <w:pStyle w:val="TableText"/>
              <w:rPr>
                <w:b/>
                <w:lang w:eastAsia="en-NZ"/>
              </w:rPr>
            </w:pPr>
            <w:r>
              <w:rPr>
                <w:b/>
                <w:lang w:eastAsia="en-NZ"/>
              </w:rPr>
              <w:t>Sex</w:t>
            </w:r>
          </w:p>
        </w:tc>
        <w:tc>
          <w:tcPr>
            <w:tcW w:w="1417" w:type="dxa"/>
            <w:tcBorders>
              <w:top w:val="single" w:sz="4" w:space="0" w:color="auto"/>
              <w:left w:val="nil"/>
              <w:bottom w:val="single" w:sz="4" w:space="0" w:color="auto"/>
              <w:right w:val="nil"/>
            </w:tcBorders>
            <w:shd w:val="clear" w:color="auto" w:fill="auto"/>
            <w:noWrap/>
            <w:hideMark/>
          </w:tcPr>
          <w:p w14:paraId="2DCD2319" w14:textId="77777777" w:rsidR="009C3A17" w:rsidRPr="005E0155" w:rsidRDefault="009C3A17" w:rsidP="009C3A17">
            <w:pPr>
              <w:pStyle w:val="TableText"/>
              <w:jc w:val="center"/>
              <w:rPr>
                <w:b/>
                <w:lang w:eastAsia="en-NZ"/>
              </w:rPr>
            </w:pPr>
            <w:r w:rsidRPr="005E0155">
              <w:rPr>
                <w:b/>
                <w:lang w:eastAsia="en-NZ"/>
              </w:rPr>
              <w:t>2006</w:t>
            </w:r>
            <w:r w:rsidRPr="005E0155">
              <w:rPr>
                <w:b/>
                <w:lang w:eastAsia="en-NZ"/>
              </w:rPr>
              <w:br/>
              <w:t>(%)</w:t>
            </w:r>
          </w:p>
        </w:tc>
        <w:tc>
          <w:tcPr>
            <w:tcW w:w="1418" w:type="dxa"/>
            <w:tcBorders>
              <w:top w:val="single" w:sz="4" w:space="0" w:color="auto"/>
              <w:left w:val="nil"/>
              <w:bottom w:val="single" w:sz="4" w:space="0" w:color="auto"/>
              <w:right w:val="nil"/>
            </w:tcBorders>
            <w:shd w:val="clear" w:color="auto" w:fill="auto"/>
            <w:noWrap/>
            <w:hideMark/>
          </w:tcPr>
          <w:p w14:paraId="31C83CD1" w14:textId="77777777" w:rsidR="009C3A17" w:rsidRPr="005E0155" w:rsidRDefault="009C3A17" w:rsidP="009C3A17">
            <w:pPr>
              <w:pStyle w:val="TableText"/>
              <w:jc w:val="center"/>
              <w:rPr>
                <w:b/>
                <w:lang w:eastAsia="en-NZ"/>
              </w:rPr>
            </w:pPr>
            <w:r w:rsidRPr="005E0155">
              <w:rPr>
                <w:b/>
                <w:lang w:eastAsia="en-NZ"/>
              </w:rPr>
              <w:t>2012</w:t>
            </w:r>
            <w:r w:rsidRPr="005E0155">
              <w:rPr>
                <w:b/>
                <w:lang w:eastAsia="en-NZ"/>
              </w:rPr>
              <w:br/>
              <w:t>(%)</w:t>
            </w:r>
          </w:p>
        </w:tc>
        <w:tc>
          <w:tcPr>
            <w:tcW w:w="2127" w:type="dxa"/>
            <w:tcBorders>
              <w:top w:val="single" w:sz="4" w:space="0" w:color="auto"/>
              <w:left w:val="nil"/>
              <w:bottom w:val="single" w:sz="4" w:space="0" w:color="auto"/>
            </w:tcBorders>
            <w:shd w:val="clear" w:color="auto" w:fill="auto"/>
            <w:noWrap/>
            <w:hideMark/>
          </w:tcPr>
          <w:p w14:paraId="69D1E362" w14:textId="77777777" w:rsidR="009C3A17" w:rsidRPr="005E0155" w:rsidRDefault="009C3A17" w:rsidP="009C3A17">
            <w:pPr>
              <w:pStyle w:val="TableText"/>
              <w:jc w:val="center"/>
              <w:rPr>
                <w:b/>
                <w:lang w:eastAsia="en-NZ"/>
              </w:rPr>
            </w:pPr>
            <w:r w:rsidRPr="005E0155">
              <w:rPr>
                <w:b/>
                <w:lang w:eastAsia="en-NZ"/>
              </w:rPr>
              <w:t>Relative percentage change (%)</w:t>
            </w:r>
          </w:p>
        </w:tc>
      </w:tr>
      <w:tr w:rsidR="009C3A17" w:rsidRPr="007B7915" w14:paraId="3D6B5060" w14:textId="77777777" w:rsidTr="009C3A17">
        <w:trPr>
          <w:cantSplit/>
        </w:trPr>
        <w:tc>
          <w:tcPr>
            <w:tcW w:w="2268" w:type="dxa"/>
            <w:tcBorders>
              <w:top w:val="single" w:sz="4" w:space="0" w:color="auto"/>
              <w:bottom w:val="single" w:sz="4" w:space="0" w:color="A6A6A6" w:themeColor="background1" w:themeShade="A6"/>
              <w:right w:val="nil"/>
            </w:tcBorders>
            <w:shd w:val="clear" w:color="auto" w:fill="auto"/>
            <w:noWrap/>
          </w:tcPr>
          <w:p w14:paraId="74074780" w14:textId="77777777" w:rsidR="009C3A17" w:rsidRPr="007B7915" w:rsidRDefault="009C3A17" w:rsidP="009C3A17">
            <w:pPr>
              <w:pStyle w:val="TableText"/>
            </w:pPr>
            <w:r w:rsidRPr="007B7915">
              <w:t>Male</w:t>
            </w:r>
          </w:p>
        </w:tc>
        <w:tc>
          <w:tcPr>
            <w:tcW w:w="1417" w:type="dxa"/>
            <w:tcBorders>
              <w:top w:val="single" w:sz="4" w:space="0" w:color="auto"/>
              <w:left w:val="nil"/>
              <w:bottom w:val="single" w:sz="4" w:space="0" w:color="A6A6A6" w:themeColor="background1" w:themeShade="A6"/>
              <w:right w:val="nil"/>
            </w:tcBorders>
            <w:shd w:val="clear" w:color="auto" w:fill="auto"/>
            <w:noWrap/>
            <w:vAlign w:val="bottom"/>
          </w:tcPr>
          <w:p w14:paraId="564EFB46" w14:textId="77777777" w:rsidR="009C3A17" w:rsidRPr="009C3A17" w:rsidRDefault="00D20266" w:rsidP="009C3A17">
            <w:pPr>
              <w:pStyle w:val="TableText"/>
              <w:jc w:val="center"/>
            </w:pPr>
            <w:r>
              <w:rPr>
                <w:rFonts w:cs="Arial"/>
                <w:color w:val="000000"/>
              </w:rPr>
              <w:t>21</w:t>
            </w:r>
          </w:p>
        </w:tc>
        <w:tc>
          <w:tcPr>
            <w:tcW w:w="1418" w:type="dxa"/>
            <w:tcBorders>
              <w:top w:val="single" w:sz="4" w:space="0" w:color="auto"/>
              <w:left w:val="nil"/>
              <w:bottom w:val="single" w:sz="4" w:space="0" w:color="A6A6A6" w:themeColor="background1" w:themeShade="A6"/>
              <w:right w:val="nil"/>
            </w:tcBorders>
            <w:shd w:val="clear" w:color="auto" w:fill="auto"/>
            <w:noWrap/>
            <w:vAlign w:val="bottom"/>
          </w:tcPr>
          <w:p w14:paraId="2F0A9D59" w14:textId="77777777" w:rsidR="009C3A17" w:rsidRPr="009C3A17" w:rsidRDefault="00D20266" w:rsidP="009C3A17">
            <w:pPr>
              <w:pStyle w:val="TableText"/>
              <w:jc w:val="center"/>
            </w:pPr>
            <w:r>
              <w:rPr>
                <w:rFonts w:cs="Arial"/>
                <w:color w:val="000000"/>
              </w:rPr>
              <w:t>19</w:t>
            </w:r>
          </w:p>
        </w:tc>
        <w:tc>
          <w:tcPr>
            <w:tcW w:w="2127" w:type="dxa"/>
            <w:tcBorders>
              <w:top w:val="single" w:sz="4" w:space="0" w:color="auto"/>
              <w:left w:val="nil"/>
              <w:bottom w:val="single" w:sz="4" w:space="0" w:color="A6A6A6" w:themeColor="background1" w:themeShade="A6"/>
            </w:tcBorders>
            <w:shd w:val="clear" w:color="auto" w:fill="auto"/>
            <w:noWrap/>
            <w:vAlign w:val="bottom"/>
          </w:tcPr>
          <w:p w14:paraId="45432EE8" w14:textId="77777777" w:rsidR="009C3A17" w:rsidRPr="009C3A17" w:rsidRDefault="00D20266" w:rsidP="009C3A17">
            <w:pPr>
              <w:pStyle w:val="TableText"/>
              <w:jc w:val="center"/>
            </w:pPr>
            <w:r>
              <w:rPr>
                <w:rFonts w:cs="Arial"/>
                <w:color w:val="000000"/>
              </w:rPr>
              <w:t>-12</w:t>
            </w:r>
            <w:r w:rsidR="009C3A17" w:rsidRPr="009C3A17">
              <w:rPr>
                <w:rFonts w:cs="Arial"/>
                <w:color w:val="000000"/>
              </w:rPr>
              <w:t>*</w:t>
            </w:r>
          </w:p>
        </w:tc>
      </w:tr>
      <w:tr w:rsidR="009C3A17" w:rsidRPr="007B7915" w14:paraId="73988861" w14:textId="77777777" w:rsidTr="009C3A17">
        <w:trPr>
          <w:cantSplit/>
        </w:trPr>
        <w:tc>
          <w:tcPr>
            <w:tcW w:w="2268" w:type="dxa"/>
            <w:tcBorders>
              <w:top w:val="single" w:sz="4" w:space="0" w:color="A6A6A6" w:themeColor="background1" w:themeShade="A6"/>
              <w:right w:val="nil"/>
            </w:tcBorders>
            <w:shd w:val="clear" w:color="auto" w:fill="auto"/>
            <w:noWrap/>
          </w:tcPr>
          <w:p w14:paraId="58F74166" w14:textId="77777777" w:rsidR="009C3A17" w:rsidRPr="007B7915" w:rsidRDefault="009C3A17" w:rsidP="009C3A17">
            <w:pPr>
              <w:pStyle w:val="TableText"/>
            </w:pPr>
            <w:r w:rsidRPr="007B7915">
              <w:t>Female</w:t>
            </w:r>
          </w:p>
        </w:tc>
        <w:tc>
          <w:tcPr>
            <w:tcW w:w="1417" w:type="dxa"/>
            <w:tcBorders>
              <w:top w:val="single" w:sz="4" w:space="0" w:color="A6A6A6" w:themeColor="background1" w:themeShade="A6"/>
              <w:left w:val="nil"/>
              <w:bottom w:val="single" w:sz="4" w:space="0" w:color="auto"/>
              <w:right w:val="nil"/>
            </w:tcBorders>
            <w:shd w:val="clear" w:color="auto" w:fill="auto"/>
            <w:noWrap/>
            <w:vAlign w:val="bottom"/>
          </w:tcPr>
          <w:p w14:paraId="2094CDAF" w14:textId="77777777" w:rsidR="009C3A17" w:rsidRPr="009C3A17" w:rsidRDefault="00D20266" w:rsidP="009C3A17">
            <w:pPr>
              <w:pStyle w:val="TableText"/>
              <w:jc w:val="center"/>
            </w:pPr>
            <w:r>
              <w:rPr>
                <w:rFonts w:cs="Arial"/>
                <w:color w:val="000000"/>
              </w:rPr>
              <w:t>19</w:t>
            </w:r>
          </w:p>
        </w:tc>
        <w:tc>
          <w:tcPr>
            <w:tcW w:w="1418" w:type="dxa"/>
            <w:tcBorders>
              <w:top w:val="single" w:sz="4" w:space="0" w:color="A6A6A6" w:themeColor="background1" w:themeShade="A6"/>
              <w:left w:val="nil"/>
              <w:bottom w:val="single" w:sz="4" w:space="0" w:color="auto"/>
              <w:right w:val="nil"/>
            </w:tcBorders>
            <w:shd w:val="clear" w:color="auto" w:fill="auto"/>
            <w:noWrap/>
            <w:vAlign w:val="bottom"/>
          </w:tcPr>
          <w:p w14:paraId="07A36E12" w14:textId="043024C0" w:rsidR="009C3A17" w:rsidRPr="009C3A17" w:rsidRDefault="005D6605" w:rsidP="009C3A17">
            <w:pPr>
              <w:pStyle w:val="TableText"/>
              <w:jc w:val="center"/>
            </w:pPr>
            <w:r>
              <w:rPr>
                <w:rFonts w:cs="Arial"/>
                <w:color w:val="000000"/>
              </w:rPr>
              <w:t>16</w:t>
            </w:r>
          </w:p>
        </w:tc>
        <w:tc>
          <w:tcPr>
            <w:tcW w:w="2127" w:type="dxa"/>
            <w:tcBorders>
              <w:top w:val="single" w:sz="4" w:space="0" w:color="A6A6A6" w:themeColor="background1" w:themeShade="A6"/>
              <w:left w:val="nil"/>
            </w:tcBorders>
            <w:shd w:val="clear" w:color="auto" w:fill="auto"/>
            <w:noWrap/>
            <w:vAlign w:val="bottom"/>
          </w:tcPr>
          <w:p w14:paraId="23C2648F" w14:textId="77777777" w:rsidR="009C3A17" w:rsidRPr="009C3A17" w:rsidRDefault="009C3A17" w:rsidP="009C3A17">
            <w:pPr>
              <w:pStyle w:val="TableText"/>
              <w:jc w:val="center"/>
            </w:pPr>
            <w:r w:rsidRPr="009C3A17">
              <w:rPr>
                <w:rFonts w:cs="Arial"/>
                <w:color w:val="000000"/>
              </w:rPr>
              <w:t>-13*</w:t>
            </w:r>
          </w:p>
        </w:tc>
      </w:tr>
    </w:tbl>
    <w:p w14:paraId="3DB4E78D" w14:textId="77777777" w:rsidR="00735227" w:rsidRDefault="00735227" w:rsidP="009C3A17">
      <w:pPr>
        <w:pStyle w:val="TableNote"/>
        <w:ind w:right="2155"/>
      </w:pPr>
      <w:r>
        <w:t>Sources: 2006 = 2006/07 NZHS; 2012 = 2012/13 NZHS</w:t>
      </w:r>
    </w:p>
    <w:p w14:paraId="4564C7FD" w14:textId="32053D13" w:rsidR="00541F52" w:rsidRDefault="00541F52" w:rsidP="009C3A17">
      <w:pPr>
        <w:pStyle w:val="TableNote"/>
        <w:ind w:right="2155"/>
      </w:pPr>
      <w:r>
        <w:t xml:space="preserve">This table presents unadjusted prevalence </w:t>
      </w:r>
      <w:r w:rsidR="003B75D9">
        <w:t xml:space="preserve">results in 2006 and 2012. </w:t>
      </w:r>
    </w:p>
    <w:p w14:paraId="6023DEDE" w14:textId="181D4C07" w:rsidR="007066D2" w:rsidRDefault="00735227" w:rsidP="003B75D9">
      <w:pPr>
        <w:pStyle w:val="TableNote"/>
        <w:ind w:right="2155"/>
      </w:pPr>
      <w:r>
        <w:t>*There is a statistically significant difference (p&lt;0.05) between 2006 and 2012.</w:t>
      </w:r>
      <w:r w:rsidR="003B75D9">
        <w:t xml:space="preserve"> The p-values have been adjusted for differences in the age structures of the underlying populations over time.</w:t>
      </w:r>
    </w:p>
    <w:p w14:paraId="5B29D1E6" w14:textId="77777777" w:rsidR="00735227" w:rsidRDefault="00735227" w:rsidP="009C3A17"/>
    <w:p w14:paraId="6E6649EE" w14:textId="77777777" w:rsidR="00735227" w:rsidRPr="00D41EBF" w:rsidRDefault="00735227" w:rsidP="009C3A17">
      <w:pPr>
        <w:pStyle w:val="Heading2"/>
      </w:pPr>
      <w:bookmarkStart w:id="76" w:name="_Toc400136615"/>
      <w:bookmarkStart w:id="77" w:name="_Toc404091076"/>
      <w:r w:rsidRPr="00D41EBF">
        <w:t>Summary</w:t>
      </w:r>
      <w:bookmarkEnd w:id="76"/>
      <w:bookmarkEnd w:id="77"/>
    </w:p>
    <w:p w14:paraId="652F2672" w14:textId="77777777" w:rsidR="00735227" w:rsidRDefault="00735227" w:rsidP="00EF1A37">
      <w:r>
        <w:t>Since 1996, smoking prevalence rates declined steadily, and that decline continued between 2006 and 2012. The decline is likely to be driven by two things; a decline or delay in smoking initiation and an</w:t>
      </w:r>
      <w:r w:rsidR="00AF2D63">
        <w:t xml:space="preserve"> increase in smoking cessation.</w:t>
      </w:r>
    </w:p>
    <w:p w14:paraId="5CE2CE56" w14:textId="77777777" w:rsidR="00AF2D63" w:rsidRDefault="00AF2D63" w:rsidP="00EF1A37"/>
    <w:p w14:paraId="1D7E10BA" w14:textId="77777777" w:rsidR="00AA2408" w:rsidRDefault="00F33C1D" w:rsidP="00EF1A37">
      <w:r>
        <w:t>Although smoking prevalence is declining across all deprivation groups, among both sexes and most age groups, th</w:t>
      </w:r>
      <w:r w:rsidR="008467DC">
        <w:t xml:space="preserve">ese </w:t>
      </w:r>
      <w:r>
        <w:t>decline</w:t>
      </w:r>
      <w:r w:rsidR="008467DC">
        <w:t xml:space="preserve">s are not </w:t>
      </w:r>
      <w:r>
        <w:t>occurring</w:t>
      </w:r>
      <w:r w:rsidR="008467DC">
        <w:t xml:space="preserve"> at a fast enough speed to reach the </w:t>
      </w:r>
      <w:r w:rsidR="00735227">
        <w:t>aspirational goal of being a smokefree nation by the year 2025.</w:t>
      </w:r>
    </w:p>
    <w:p w14:paraId="58C970FB" w14:textId="0CC5DB63" w:rsidR="009C3A17" w:rsidRDefault="009C3A17" w:rsidP="009C3A17"/>
    <w:p w14:paraId="4300241A" w14:textId="77777777" w:rsidR="00735227" w:rsidRPr="000C4C87" w:rsidRDefault="00735227" w:rsidP="009C3A17">
      <w:pPr>
        <w:pStyle w:val="Heading1"/>
      </w:pPr>
      <w:r>
        <w:br w:type="page"/>
      </w:r>
      <w:bookmarkStart w:id="78" w:name="_Toc390178291"/>
      <w:bookmarkStart w:id="79" w:name="_Toc400136616"/>
      <w:bookmarkStart w:id="80" w:name="_Toc404091077"/>
      <w:r w:rsidRPr="000C4C87">
        <w:t xml:space="preserve">Section 2: Smoking </w:t>
      </w:r>
      <w:r>
        <w:t>p</w:t>
      </w:r>
      <w:r w:rsidRPr="000C4C87">
        <w:t>rofile in New Zealand</w:t>
      </w:r>
      <w:bookmarkEnd w:id="78"/>
      <w:bookmarkEnd w:id="79"/>
      <w:bookmarkEnd w:id="80"/>
    </w:p>
    <w:p w14:paraId="7775C7E4" w14:textId="77777777" w:rsidR="00735227" w:rsidRPr="000C4C87" w:rsidRDefault="00735227" w:rsidP="009C3A17">
      <w:pPr>
        <w:pStyle w:val="Heading2"/>
      </w:pPr>
      <w:bookmarkStart w:id="81" w:name="_Toc390178292"/>
      <w:bookmarkStart w:id="82" w:name="_Toc400136617"/>
      <w:bookmarkStart w:id="83" w:name="_Toc404091078"/>
      <w:r w:rsidRPr="000C4C87">
        <w:t>Who is smoking, what are they smoking and where are they purchasing their tobacco products?</w:t>
      </w:r>
      <w:bookmarkEnd w:id="81"/>
      <w:bookmarkEnd w:id="82"/>
      <w:bookmarkEnd w:id="83"/>
    </w:p>
    <w:p w14:paraId="7C827CD8" w14:textId="77777777" w:rsidR="009C3A17" w:rsidRPr="004B7288" w:rsidRDefault="009C3A17" w:rsidP="009C3A17">
      <w:pPr>
        <w:pStyle w:val="BoxHeading"/>
      </w:pPr>
      <w:bookmarkStart w:id="84" w:name="_Toc400136619"/>
      <w:r w:rsidRPr="004B7288">
        <w:t>Key findings</w:t>
      </w:r>
      <w:bookmarkEnd w:id="84"/>
    </w:p>
    <w:p w14:paraId="34FC76F6" w14:textId="77777777" w:rsidR="009C3A17" w:rsidRPr="00885122" w:rsidRDefault="009C3A17" w:rsidP="009C3A17">
      <w:pPr>
        <w:pStyle w:val="BoxBullet"/>
      </w:pPr>
      <w:r w:rsidRPr="00885122">
        <w:t>One in six people smoke</w:t>
      </w:r>
      <w:r>
        <w:t>d.</w:t>
      </w:r>
    </w:p>
    <w:p w14:paraId="546C8505" w14:textId="77777777" w:rsidR="009C3A17" w:rsidRPr="00885122" w:rsidRDefault="009C3A17" w:rsidP="009C3A17">
      <w:pPr>
        <w:pStyle w:val="BoxBullet"/>
      </w:pPr>
      <w:r w:rsidRPr="00885122">
        <w:t>Māori continue</w:t>
      </w:r>
      <w:r>
        <w:t>d</w:t>
      </w:r>
      <w:r w:rsidRPr="00885122">
        <w:t xml:space="preserve"> to have the highest rates of smoking</w:t>
      </w:r>
      <w:r>
        <w:t xml:space="preserve"> among adults and youth.</w:t>
      </w:r>
    </w:p>
    <w:p w14:paraId="6237FFDC" w14:textId="77777777" w:rsidR="009C3A17" w:rsidRPr="00885122" w:rsidRDefault="009C3A17" w:rsidP="009C3A17">
      <w:pPr>
        <w:pStyle w:val="BoxBullet"/>
      </w:pPr>
      <w:r w:rsidRPr="00885122">
        <w:t>One in four smokers reported a diagnosed mental health condition(s)</w:t>
      </w:r>
      <w:r>
        <w:t>.</w:t>
      </w:r>
    </w:p>
    <w:p w14:paraId="195F7C1B" w14:textId="77777777" w:rsidR="009C3A17" w:rsidRPr="00885122" w:rsidRDefault="009C3A17" w:rsidP="009C3A17">
      <w:pPr>
        <w:pStyle w:val="BoxBullet"/>
      </w:pPr>
      <w:r w:rsidRPr="00885122">
        <w:t>Four out of ten smokers had a drinking pattern that was considered potentially hazardous</w:t>
      </w:r>
      <w:r>
        <w:t>.</w:t>
      </w:r>
    </w:p>
    <w:p w14:paraId="7F28E1D6" w14:textId="77777777" w:rsidR="009C3A17" w:rsidRDefault="009C3A17" w:rsidP="009C3A17">
      <w:pPr>
        <w:pStyle w:val="BoxBullet"/>
      </w:pPr>
      <w:r w:rsidRPr="00885122">
        <w:t xml:space="preserve">Hazardous drinking patterns were higher in smokers </w:t>
      </w:r>
      <w:r>
        <w:t>than</w:t>
      </w:r>
      <w:r w:rsidRPr="00885122">
        <w:t xml:space="preserve"> non-smokers</w:t>
      </w:r>
      <w:r>
        <w:t>.</w:t>
      </w:r>
    </w:p>
    <w:p w14:paraId="5E6CBA43" w14:textId="77777777" w:rsidR="009C3A17" w:rsidRDefault="009C3A17" w:rsidP="009C3A17">
      <w:pPr>
        <w:pStyle w:val="BoxBullet"/>
      </w:pPr>
      <w:r w:rsidRPr="00885122">
        <w:t xml:space="preserve">Younger adults were more likely to smoke </w:t>
      </w:r>
      <w:r>
        <w:t>r</w:t>
      </w:r>
      <w:r w:rsidRPr="00885122">
        <w:t>oll</w:t>
      </w:r>
      <w:r>
        <w:t>-y</w:t>
      </w:r>
      <w:r w:rsidRPr="00885122">
        <w:t>our</w:t>
      </w:r>
      <w:r>
        <w:t>-o</w:t>
      </w:r>
      <w:r w:rsidRPr="00885122">
        <w:t>wn cigarettes (RYOs)</w:t>
      </w:r>
      <w:r>
        <w:t>,</w:t>
      </w:r>
      <w:r w:rsidRPr="00885122">
        <w:t xml:space="preserve"> and older adults </w:t>
      </w:r>
      <w:r>
        <w:t xml:space="preserve">were </w:t>
      </w:r>
      <w:r w:rsidRPr="00885122">
        <w:t>more likely t</w:t>
      </w:r>
      <w:r>
        <w:t>o smoke manufactured cigarettes.</w:t>
      </w:r>
    </w:p>
    <w:p w14:paraId="0C328F5C" w14:textId="77777777" w:rsidR="009C3A17" w:rsidRPr="00885122" w:rsidRDefault="009C3A17" w:rsidP="009C3A17">
      <w:pPr>
        <w:pStyle w:val="BoxBullet"/>
      </w:pPr>
      <w:r>
        <w:t>Almost half of all smokers purchased their tobacco products from dairies.</w:t>
      </w:r>
    </w:p>
    <w:p w14:paraId="0AB268EF" w14:textId="77777777" w:rsidR="00735227" w:rsidRDefault="00735227" w:rsidP="009C3A17"/>
    <w:p w14:paraId="79704840" w14:textId="77777777" w:rsidR="00735227" w:rsidRPr="000C4C87" w:rsidRDefault="00735227" w:rsidP="009C3A17">
      <w:pPr>
        <w:pStyle w:val="Heading3"/>
      </w:pPr>
      <w:r w:rsidRPr="000C4C87">
        <w:t>One in six people smoke</w:t>
      </w:r>
      <w:r>
        <w:t>d</w:t>
      </w:r>
      <w:r w:rsidRPr="000C4C87">
        <w:t>, with more male smokers than females</w:t>
      </w:r>
    </w:p>
    <w:p w14:paraId="6390BEA0" w14:textId="77777777" w:rsidR="007066D2" w:rsidRDefault="00735227" w:rsidP="009C3A17">
      <w:r>
        <w:t>Aro</w:t>
      </w:r>
      <w:r w:rsidR="001E3188">
        <w:t>und one in six adults (18%) was a current smoker</w:t>
      </w:r>
      <w:r>
        <w:t xml:space="preserve"> in 2012/13, including 16% who smoked daily. This is an estimated </w:t>
      </w:r>
      <w:r w:rsidRPr="0053454E">
        <w:t xml:space="preserve">554,000 </w:t>
      </w:r>
      <w:r>
        <w:t>daily smokers.</w:t>
      </w:r>
    </w:p>
    <w:p w14:paraId="42EDF83C" w14:textId="77777777" w:rsidR="00735227" w:rsidRDefault="00735227" w:rsidP="009C3A17"/>
    <w:p w14:paraId="3E58F628" w14:textId="77777777" w:rsidR="00735227" w:rsidRPr="000C4C87" w:rsidRDefault="00735227" w:rsidP="009C3A17">
      <w:pPr>
        <w:pStyle w:val="Heading3"/>
      </w:pPr>
      <w:r w:rsidRPr="000C4C87">
        <w:t xml:space="preserve">Smoking </w:t>
      </w:r>
      <w:r>
        <w:t>wa</w:t>
      </w:r>
      <w:r w:rsidRPr="000C4C87">
        <w:t>s most common among adults aged 20</w:t>
      </w:r>
      <w:r>
        <w:t>–</w:t>
      </w:r>
      <w:r w:rsidRPr="000C4C87">
        <w:t>34 years</w:t>
      </w:r>
    </w:p>
    <w:p w14:paraId="75E826A2" w14:textId="77777777" w:rsidR="007066D2" w:rsidRDefault="00735227" w:rsidP="009C3A17">
      <w:r>
        <w:t>The highest rates of smoking occurred in the 20–24 years age group for females and 25–34 years group for males, while the lowest rates were observed in those aged 75 and over (Figure 3). In most age groups, more males than females were current smokers. Current smoking prevalence increased with age for males until aged 25–34. From the age of 35, a steady decline was observed. From the age of 55, both male and female smoking prevalence declined at a similar rate.</w:t>
      </w:r>
    </w:p>
    <w:p w14:paraId="661F0757" w14:textId="77777777" w:rsidR="00735227" w:rsidRDefault="00735227" w:rsidP="009C3A17"/>
    <w:p w14:paraId="4F69836C" w14:textId="77777777" w:rsidR="007066D2" w:rsidRDefault="00735227" w:rsidP="009C3A17">
      <w:pPr>
        <w:pStyle w:val="Figure"/>
      </w:pPr>
      <w:bookmarkStart w:id="85" w:name="_Toc399920486"/>
      <w:bookmarkStart w:id="86" w:name="_Toc404258412"/>
      <w:r>
        <w:t xml:space="preserve">Figure </w:t>
      </w:r>
      <w:r w:rsidR="009C3A17">
        <w:t>3</w:t>
      </w:r>
      <w:r w:rsidRPr="00C74AC2">
        <w:t>:</w:t>
      </w:r>
      <w:r w:rsidR="009C3A17">
        <w:t xml:space="preserve"> </w:t>
      </w:r>
      <w:r w:rsidRPr="00C74AC2">
        <w:t>Current smoking among the total population, by age group and sex</w:t>
      </w:r>
      <w:bookmarkEnd w:id="85"/>
      <w:bookmarkEnd w:id="86"/>
    </w:p>
    <w:p w14:paraId="1DE3B8E1" w14:textId="77777777" w:rsidR="00735227" w:rsidRDefault="00003DA0" w:rsidP="00985815">
      <w:pPr>
        <w:rPr>
          <w:lang w:eastAsia="en-US"/>
        </w:rPr>
      </w:pPr>
      <w:r w:rsidRPr="00003DA0">
        <w:rPr>
          <w:noProof/>
          <w:lang w:eastAsia="en-NZ"/>
        </w:rPr>
        <w:drawing>
          <wp:inline distT="0" distB="0" distL="0" distR="0" wp14:anchorId="6F236C4F" wp14:editId="3CFF0F75">
            <wp:extent cx="4397432" cy="2577805"/>
            <wp:effectExtent l="0" t="0" r="3175" b="0"/>
            <wp:docPr id="36" name="Picture 36" title="Figure 3: Current smoking among the total population, by age group and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r="10732" b="14221"/>
                    <a:stretch/>
                  </pic:blipFill>
                  <pic:spPr bwMode="auto">
                    <a:xfrm>
                      <a:off x="0" y="0"/>
                      <a:ext cx="4396903" cy="2577495"/>
                    </a:xfrm>
                    <a:prstGeom prst="rect">
                      <a:avLst/>
                    </a:prstGeom>
                    <a:ln>
                      <a:noFill/>
                    </a:ln>
                    <a:extLst>
                      <a:ext uri="{53640926-AAD7-44D8-BBD7-CCE9431645EC}">
                        <a14:shadowObscured xmlns:a14="http://schemas.microsoft.com/office/drawing/2010/main"/>
                      </a:ext>
                    </a:extLst>
                  </pic:spPr>
                </pic:pic>
              </a:graphicData>
            </a:graphic>
          </wp:inline>
        </w:drawing>
      </w:r>
    </w:p>
    <w:p w14:paraId="44383FC4" w14:textId="77777777" w:rsidR="00735227" w:rsidRPr="0098233C" w:rsidRDefault="00735227" w:rsidP="009C3A17">
      <w:pPr>
        <w:pStyle w:val="Source"/>
      </w:pPr>
      <w:r>
        <w:t>Source: 2012/13 NZHS</w:t>
      </w:r>
    </w:p>
    <w:p w14:paraId="3CF32C9A" w14:textId="77777777" w:rsidR="00735227" w:rsidRDefault="00735227" w:rsidP="009C3A17"/>
    <w:p w14:paraId="5802E716" w14:textId="77777777" w:rsidR="00735227" w:rsidRPr="000C4C87" w:rsidRDefault="00735227" w:rsidP="009C3A17">
      <w:pPr>
        <w:pStyle w:val="Heading3"/>
      </w:pPr>
      <w:r w:rsidRPr="000C4C87">
        <w:t>Smoking prevalence is declining for both males and females</w:t>
      </w:r>
    </w:p>
    <w:p w14:paraId="02681A5A" w14:textId="1BC6B630" w:rsidR="007066D2" w:rsidRDefault="00735227" w:rsidP="009C3A17">
      <w:r>
        <w:t xml:space="preserve">Overall, the current age-standardised adult smoking prevalence rate fell from 21% in 2006 to 19% in 2012, with a significant decrease observed for both males </w:t>
      </w:r>
      <w:r w:rsidR="007E56E3">
        <w:t>and females during this period.</w:t>
      </w:r>
    </w:p>
    <w:p w14:paraId="6EC79CA0" w14:textId="77777777" w:rsidR="00735227" w:rsidRDefault="00735227" w:rsidP="009C3A17"/>
    <w:p w14:paraId="7AD08D3A" w14:textId="77777777" w:rsidR="00735227" w:rsidRPr="000C4C87" w:rsidRDefault="00735227" w:rsidP="009C3A17">
      <w:pPr>
        <w:pStyle w:val="Heading3"/>
      </w:pPr>
      <w:r>
        <w:t>The h</w:t>
      </w:r>
      <w:r w:rsidRPr="000C4C87">
        <w:t>ighest smoking rates persist among Māori adults</w:t>
      </w:r>
    </w:p>
    <w:p w14:paraId="2DC6D897" w14:textId="77777777" w:rsidR="007066D2" w:rsidRDefault="00735227" w:rsidP="009C3A17">
      <w:r>
        <w:t>As has been the case for many years, in 2012/13, Māori continued to have the highest rates of daily and current smoking (Table 5).</w:t>
      </w:r>
    </w:p>
    <w:p w14:paraId="406FEFB3" w14:textId="77777777" w:rsidR="009C3A17" w:rsidRDefault="009C3A17" w:rsidP="009C3A17"/>
    <w:p w14:paraId="214B6D83" w14:textId="4AB58458" w:rsidR="00735227" w:rsidRDefault="00735227" w:rsidP="009C3A17">
      <w:r>
        <w:t>Around four in ten (39%) Māori adults were current smokers, and there were significantly more Māori female smokers (42%) than Māori male smokers (37%). Māori were 2.</w:t>
      </w:r>
      <w:r w:rsidR="005440CD">
        <w:t>5</w:t>
      </w:r>
      <w:r>
        <w:t xml:space="preserve"> times more likely to be smokers than non-Māori after adjusting for age and sex differences (Table 6).</w:t>
      </w:r>
    </w:p>
    <w:p w14:paraId="65B4F901" w14:textId="77777777" w:rsidR="009C3A17" w:rsidRDefault="009C3A17" w:rsidP="009C3A17"/>
    <w:p w14:paraId="6AC180F7" w14:textId="77777777" w:rsidR="007066D2" w:rsidRDefault="00735227" w:rsidP="009C3A17">
      <w:r>
        <w:t>One in four Pacific adults (25%) was a current smoker. Pacific adults were 1.3 times more likely than non-Pacific adults to be smokers, after adjusting for age and sex.</w:t>
      </w:r>
    </w:p>
    <w:p w14:paraId="1C7D6943" w14:textId="77777777" w:rsidR="009C3A17" w:rsidRDefault="009C3A17" w:rsidP="009C3A17"/>
    <w:p w14:paraId="123BE78A" w14:textId="77777777" w:rsidR="007066D2" w:rsidRDefault="00735227" w:rsidP="009C3A17">
      <w:r>
        <w:t>One in ten Asians (10%) was a smoker, with significantly more Asian males than Asian females being smokers. Asians were half as likely as non-Asians to be smokers, after adjusting for age and sex differences.</w:t>
      </w:r>
    </w:p>
    <w:p w14:paraId="1F2E5574" w14:textId="77777777" w:rsidR="00735227" w:rsidRDefault="00735227" w:rsidP="009C3A17"/>
    <w:p w14:paraId="4F90FF15" w14:textId="54787CC1" w:rsidR="00735227" w:rsidRPr="007D169D" w:rsidRDefault="00735227" w:rsidP="009C3A17">
      <w:pPr>
        <w:pStyle w:val="Table"/>
      </w:pPr>
      <w:bookmarkStart w:id="87" w:name="_Toc399920516"/>
      <w:bookmarkStart w:id="88" w:name="_Toc404091105"/>
      <w:r>
        <w:t xml:space="preserve">Table </w:t>
      </w:r>
      <w:r w:rsidR="009C3A17">
        <w:t>5</w:t>
      </w:r>
      <w:r w:rsidRPr="00C15E1E">
        <w:t>:</w:t>
      </w:r>
      <w:r w:rsidR="009C3A17">
        <w:t xml:space="preserve"> </w:t>
      </w:r>
      <w:r w:rsidRPr="00C15E1E">
        <w:t>Current smoking among the total population aged 15 and above, by ethnic group</w:t>
      </w:r>
      <w:r w:rsidR="009C3A17">
        <w:t xml:space="preserve"> </w:t>
      </w:r>
      <w:r w:rsidRPr="00C15E1E">
        <w:t>and sex</w:t>
      </w:r>
      <w:bookmarkEnd w:id="87"/>
      <w:bookmarkEnd w:id="88"/>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1252"/>
        <w:gridCol w:w="1252"/>
        <w:gridCol w:w="1252"/>
        <w:gridCol w:w="1252"/>
        <w:gridCol w:w="1252"/>
        <w:gridCol w:w="1253"/>
      </w:tblGrid>
      <w:tr w:rsidR="008C4014" w:rsidRPr="00D66766" w14:paraId="2E33D5B5" w14:textId="77777777" w:rsidTr="00D66766">
        <w:trPr>
          <w:cantSplit/>
        </w:trPr>
        <w:tc>
          <w:tcPr>
            <w:tcW w:w="1843" w:type="dxa"/>
            <w:vMerge w:val="restart"/>
            <w:tcBorders>
              <w:left w:val="nil"/>
              <w:bottom w:val="nil"/>
              <w:right w:val="nil"/>
            </w:tcBorders>
            <w:shd w:val="clear" w:color="auto" w:fill="auto"/>
          </w:tcPr>
          <w:p w14:paraId="0896AE76" w14:textId="77777777" w:rsidR="00735227" w:rsidRPr="00D66766" w:rsidRDefault="00735227" w:rsidP="007E56E3">
            <w:pPr>
              <w:pStyle w:val="TableText"/>
              <w:rPr>
                <w:b/>
              </w:rPr>
            </w:pPr>
            <w:r w:rsidRPr="00D66766">
              <w:rPr>
                <w:b/>
              </w:rPr>
              <w:t>Ethnic group</w:t>
            </w:r>
          </w:p>
        </w:tc>
        <w:tc>
          <w:tcPr>
            <w:tcW w:w="2504" w:type="dxa"/>
            <w:gridSpan w:val="2"/>
            <w:tcBorders>
              <w:left w:val="nil"/>
              <w:bottom w:val="single" w:sz="4" w:space="0" w:color="A6A6A6" w:themeColor="background1" w:themeShade="A6"/>
              <w:right w:val="single" w:sz="4" w:space="0" w:color="A6A6A6" w:themeColor="background1" w:themeShade="A6"/>
            </w:tcBorders>
            <w:shd w:val="clear" w:color="auto" w:fill="auto"/>
          </w:tcPr>
          <w:p w14:paraId="17AF9294" w14:textId="77777777" w:rsidR="00735227" w:rsidRPr="00D66766" w:rsidRDefault="00735227" w:rsidP="007E56E3">
            <w:pPr>
              <w:pStyle w:val="TableText"/>
              <w:jc w:val="center"/>
              <w:rPr>
                <w:b/>
              </w:rPr>
            </w:pPr>
            <w:r w:rsidRPr="00D66766">
              <w:rPr>
                <w:b/>
              </w:rPr>
              <w:t>Males</w:t>
            </w:r>
          </w:p>
        </w:tc>
        <w:tc>
          <w:tcPr>
            <w:tcW w:w="2504"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96E399" w14:textId="77777777" w:rsidR="00735227" w:rsidRPr="00D66766" w:rsidRDefault="00735227" w:rsidP="007E56E3">
            <w:pPr>
              <w:pStyle w:val="TableText"/>
              <w:jc w:val="center"/>
              <w:rPr>
                <w:b/>
              </w:rPr>
            </w:pPr>
            <w:r w:rsidRPr="00D66766">
              <w:rPr>
                <w:b/>
              </w:rPr>
              <w:t>Females</w:t>
            </w:r>
          </w:p>
        </w:tc>
        <w:tc>
          <w:tcPr>
            <w:tcW w:w="2505" w:type="dxa"/>
            <w:gridSpan w:val="2"/>
            <w:tcBorders>
              <w:left w:val="single" w:sz="4" w:space="0" w:color="A6A6A6" w:themeColor="background1" w:themeShade="A6"/>
              <w:bottom w:val="single" w:sz="4" w:space="0" w:color="A6A6A6" w:themeColor="background1" w:themeShade="A6"/>
              <w:right w:val="nil"/>
            </w:tcBorders>
            <w:shd w:val="clear" w:color="auto" w:fill="auto"/>
          </w:tcPr>
          <w:p w14:paraId="48A64863" w14:textId="77777777" w:rsidR="00735227" w:rsidRPr="00D66766" w:rsidRDefault="00735227" w:rsidP="007E56E3">
            <w:pPr>
              <w:pStyle w:val="TableText"/>
              <w:jc w:val="center"/>
              <w:rPr>
                <w:b/>
              </w:rPr>
            </w:pPr>
            <w:r w:rsidRPr="00D66766">
              <w:rPr>
                <w:b/>
              </w:rPr>
              <w:t>Total</w:t>
            </w:r>
          </w:p>
        </w:tc>
      </w:tr>
      <w:tr w:rsidR="008C4014" w:rsidRPr="00D66766" w14:paraId="09302AA5" w14:textId="77777777" w:rsidTr="00D66766">
        <w:trPr>
          <w:cantSplit/>
        </w:trPr>
        <w:tc>
          <w:tcPr>
            <w:tcW w:w="1843" w:type="dxa"/>
            <w:vMerge/>
            <w:tcBorders>
              <w:top w:val="nil"/>
              <w:left w:val="nil"/>
              <w:bottom w:val="single" w:sz="4" w:space="0" w:color="auto"/>
              <w:right w:val="nil"/>
            </w:tcBorders>
            <w:shd w:val="clear" w:color="auto" w:fill="auto"/>
          </w:tcPr>
          <w:p w14:paraId="159A4F22" w14:textId="77777777" w:rsidR="00735227" w:rsidRPr="00D66766" w:rsidRDefault="00735227" w:rsidP="007E56E3">
            <w:pPr>
              <w:pStyle w:val="TableText"/>
              <w:rPr>
                <w:b/>
                <w:u w:val="single"/>
              </w:rPr>
            </w:pPr>
          </w:p>
        </w:tc>
        <w:tc>
          <w:tcPr>
            <w:tcW w:w="1252" w:type="dxa"/>
            <w:tcBorders>
              <w:top w:val="single" w:sz="4" w:space="0" w:color="A6A6A6" w:themeColor="background1" w:themeShade="A6"/>
              <w:left w:val="nil"/>
              <w:bottom w:val="single" w:sz="4" w:space="0" w:color="auto"/>
              <w:right w:val="nil"/>
            </w:tcBorders>
            <w:shd w:val="clear" w:color="auto" w:fill="auto"/>
          </w:tcPr>
          <w:p w14:paraId="5BDA7EAD" w14:textId="77777777" w:rsidR="00735227" w:rsidRPr="00D66766" w:rsidRDefault="00735227" w:rsidP="007E56E3">
            <w:pPr>
              <w:pStyle w:val="TableText"/>
              <w:jc w:val="center"/>
              <w:rPr>
                <w:b/>
                <w:szCs w:val="18"/>
              </w:rPr>
            </w:pPr>
            <w:r w:rsidRPr="00D66766">
              <w:rPr>
                <w:b/>
                <w:szCs w:val="18"/>
              </w:rPr>
              <w:t>Prevalence</w:t>
            </w:r>
          </w:p>
        </w:tc>
        <w:tc>
          <w:tcPr>
            <w:tcW w:w="1252"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tcPr>
          <w:p w14:paraId="683A9CF2" w14:textId="77777777" w:rsidR="00735227" w:rsidRPr="00D66766" w:rsidRDefault="00735227" w:rsidP="007E56E3">
            <w:pPr>
              <w:pStyle w:val="TableText"/>
              <w:jc w:val="center"/>
              <w:rPr>
                <w:b/>
                <w:szCs w:val="18"/>
              </w:rPr>
            </w:pPr>
            <w:r w:rsidRPr="00D66766">
              <w:rPr>
                <w:b/>
                <w:szCs w:val="18"/>
              </w:rPr>
              <w:t>Estimated number</w:t>
            </w:r>
          </w:p>
        </w:tc>
        <w:tc>
          <w:tcPr>
            <w:tcW w:w="1252"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tcPr>
          <w:p w14:paraId="2BA3D18C" w14:textId="77777777" w:rsidR="00735227" w:rsidRPr="00D66766" w:rsidRDefault="00735227" w:rsidP="007E56E3">
            <w:pPr>
              <w:pStyle w:val="TableText"/>
              <w:jc w:val="center"/>
              <w:rPr>
                <w:b/>
                <w:szCs w:val="18"/>
                <w:u w:val="single"/>
              </w:rPr>
            </w:pPr>
            <w:r w:rsidRPr="00D66766">
              <w:rPr>
                <w:b/>
                <w:szCs w:val="18"/>
              </w:rPr>
              <w:t>Prevalence</w:t>
            </w:r>
          </w:p>
        </w:tc>
        <w:tc>
          <w:tcPr>
            <w:tcW w:w="1252"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tcPr>
          <w:p w14:paraId="46AAB556" w14:textId="77777777" w:rsidR="00735227" w:rsidRPr="00D66766" w:rsidRDefault="00735227" w:rsidP="007E56E3">
            <w:pPr>
              <w:pStyle w:val="TableText"/>
              <w:jc w:val="center"/>
              <w:rPr>
                <w:b/>
                <w:szCs w:val="18"/>
                <w:u w:val="single"/>
              </w:rPr>
            </w:pPr>
            <w:r w:rsidRPr="00D66766">
              <w:rPr>
                <w:b/>
                <w:szCs w:val="18"/>
              </w:rPr>
              <w:t>Estimated number</w:t>
            </w:r>
          </w:p>
        </w:tc>
        <w:tc>
          <w:tcPr>
            <w:tcW w:w="1252"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tcPr>
          <w:p w14:paraId="1DFB770A" w14:textId="77777777" w:rsidR="00735227" w:rsidRPr="00D66766" w:rsidRDefault="00735227" w:rsidP="007E56E3">
            <w:pPr>
              <w:pStyle w:val="TableText"/>
              <w:jc w:val="center"/>
              <w:rPr>
                <w:b/>
                <w:szCs w:val="18"/>
                <w:u w:val="single"/>
              </w:rPr>
            </w:pPr>
            <w:r w:rsidRPr="00D66766">
              <w:rPr>
                <w:b/>
                <w:szCs w:val="18"/>
              </w:rPr>
              <w:t>Prevalence</w:t>
            </w:r>
          </w:p>
        </w:tc>
        <w:tc>
          <w:tcPr>
            <w:tcW w:w="1253" w:type="dxa"/>
            <w:tcBorders>
              <w:top w:val="single" w:sz="4" w:space="0" w:color="A6A6A6" w:themeColor="background1" w:themeShade="A6"/>
              <w:left w:val="nil"/>
              <w:bottom w:val="single" w:sz="4" w:space="0" w:color="auto"/>
              <w:right w:val="nil"/>
            </w:tcBorders>
            <w:shd w:val="clear" w:color="auto" w:fill="auto"/>
          </w:tcPr>
          <w:p w14:paraId="53128975" w14:textId="77777777" w:rsidR="00735227" w:rsidRPr="00D66766" w:rsidRDefault="00735227" w:rsidP="007E56E3">
            <w:pPr>
              <w:pStyle w:val="TableText"/>
              <w:jc w:val="center"/>
              <w:rPr>
                <w:b/>
                <w:szCs w:val="18"/>
                <w:u w:val="single"/>
              </w:rPr>
            </w:pPr>
            <w:r w:rsidRPr="00D66766">
              <w:rPr>
                <w:b/>
                <w:szCs w:val="18"/>
              </w:rPr>
              <w:t>Estimated number</w:t>
            </w:r>
          </w:p>
        </w:tc>
      </w:tr>
      <w:tr w:rsidR="008C4014" w14:paraId="38A215A8" w14:textId="77777777" w:rsidTr="00D66766">
        <w:trPr>
          <w:cantSplit/>
        </w:trPr>
        <w:tc>
          <w:tcPr>
            <w:tcW w:w="1843" w:type="dxa"/>
            <w:tcBorders>
              <w:top w:val="single" w:sz="4" w:space="0" w:color="auto"/>
              <w:left w:val="nil"/>
              <w:bottom w:val="single" w:sz="4" w:space="0" w:color="A6A6A6" w:themeColor="background1" w:themeShade="A6"/>
              <w:right w:val="nil"/>
            </w:tcBorders>
            <w:shd w:val="clear" w:color="auto" w:fill="auto"/>
          </w:tcPr>
          <w:p w14:paraId="17E0A6F4" w14:textId="77777777" w:rsidR="00735227" w:rsidRPr="007B7915" w:rsidRDefault="00735227" w:rsidP="007E56E3">
            <w:pPr>
              <w:pStyle w:val="TableText"/>
            </w:pPr>
            <w:r w:rsidRPr="007B7915">
              <w:t>Māori</w:t>
            </w:r>
          </w:p>
        </w:tc>
        <w:tc>
          <w:tcPr>
            <w:tcW w:w="1252" w:type="dxa"/>
            <w:tcBorders>
              <w:top w:val="single" w:sz="4" w:space="0" w:color="auto"/>
              <w:left w:val="nil"/>
              <w:bottom w:val="single" w:sz="4" w:space="0" w:color="A6A6A6" w:themeColor="background1" w:themeShade="A6"/>
              <w:right w:val="nil"/>
            </w:tcBorders>
            <w:shd w:val="clear" w:color="auto" w:fill="auto"/>
          </w:tcPr>
          <w:p w14:paraId="20719C29" w14:textId="4A7B192D" w:rsidR="00735227" w:rsidRPr="007B7915" w:rsidRDefault="00735227" w:rsidP="00310B27">
            <w:pPr>
              <w:pStyle w:val="TableText"/>
              <w:jc w:val="center"/>
              <w:rPr>
                <w:rFonts w:cs="Arial"/>
                <w:color w:val="000000"/>
                <w:szCs w:val="24"/>
              </w:rPr>
            </w:pPr>
            <w:r>
              <w:rPr>
                <w:rFonts w:cs="Arial"/>
                <w:color w:val="000000"/>
                <w:szCs w:val="24"/>
              </w:rPr>
              <w:t>3</w:t>
            </w:r>
            <w:r w:rsidR="00310B27">
              <w:rPr>
                <w:rFonts w:cs="Arial"/>
                <w:color w:val="000000"/>
                <w:szCs w:val="24"/>
              </w:rPr>
              <w:t>6</w:t>
            </w:r>
          </w:p>
        </w:tc>
        <w:tc>
          <w:tcPr>
            <w:tcW w:w="1252" w:type="dxa"/>
            <w:tcBorders>
              <w:top w:val="single" w:sz="4" w:space="0" w:color="auto"/>
              <w:left w:val="nil"/>
              <w:bottom w:val="single" w:sz="4" w:space="0" w:color="A6A6A6" w:themeColor="background1" w:themeShade="A6"/>
              <w:right w:val="single" w:sz="4" w:space="0" w:color="A6A6A6" w:themeColor="background1" w:themeShade="A6"/>
            </w:tcBorders>
            <w:shd w:val="clear" w:color="auto" w:fill="auto"/>
          </w:tcPr>
          <w:p w14:paraId="4180893E" w14:textId="77777777" w:rsidR="00735227" w:rsidRPr="007B7915" w:rsidRDefault="00735227" w:rsidP="007E56E3">
            <w:pPr>
              <w:pStyle w:val="TableText"/>
              <w:tabs>
                <w:tab w:val="decimal" w:pos="817"/>
              </w:tabs>
              <w:rPr>
                <w:rFonts w:cs="Arial"/>
                <w:color w:val="000000"/>
                <w:szCs w:val="24"/>
              </w:rPr>
            </w:pPr>
            <w:r w:rsidRPr="007B7915">
              <w:rPr>
                <w:rFonts w:cs="Arial"/>
                <w:color w:val="000000"/>
                <w:szCs w:val="24"/>
              </w:rPr>
              <w:t>79,000</w:t>
            </w:r>
          </w:p>
        </w:tc>
        <w:tc>
          <w:tcPr>
            <w:tcW w:w="1252" w:type="dxa"/>
            <w:tcBorders>
              <w:top w:val="single" w:sz="4" w:space="0" w:color="auto"/>
              <w:left w:val="single" w:sz="4" w:space="0" w:color="A6A6A6" w:themeColor="background1" w:themeShade="A6"/>
              <w:bottom w:val="single" w:sz="4" w:space="0" w:color="A6A6A6" w:themeColor="background1" w:themeShade="A6"/>
              <w:right w:val="nil"/>
            </w:tcBorders>
            <w:shd w:val="clear" w:color="auto" w:fill="auto"/>
          </w:tcPr>
          <w:p w14:paraId="7B1DD9C6" w14:textId="77777777" w:rsidR="00735227" w:rsidRPr="007B7915" w:rsidRDefault="00735227" w:rsidP="007E56E3">
            <w:pPr>
              <w:pStyle w:val="TableText"/>
              <w:jc w:val="center"/>
              <w:rPr>
                <w:rFonts w:cs="Arial"/>
                <w:color w:val="000000"/>
                <w:szCs w:val="24"/>
              </w:rPr>
            </w:pPr>
            <w:r>
              <w:rPr>
                <w:rFonts w:cs="Arial"/>
                <w:color w:val="000000"/>
                <w:szCs w:val="24"/>
              </w:rPr>
              <w:t>42</w:t>
            </w:r>
          </w:p>
        </w:tc>
        <w:tc>
          <w:tcPr>
            <w:tcW w:w="1252" w:type="dxa"/>
            <w:tcBorders>
              <w:top w:val="single" w:sz="4" w:space="0" w:color="auto"/>
              <w:left w:val="nil"/>
              <w:bottom w:val="single" w:sz="4" w:space="0" w:color="A6A6A6" w:themeColor="background1" w:themeShade="A6"/>
              <w:right w:val="single" w:sz="4" w:space="0" w:color="A6A6A6" w:themeColor="background1" w:themeShade="A6"/>
            </w:tcBorders>
            <w:shd w:val="clear" w:color="auto" w:fill="auto"/>
          </w:tcPr>
          <w:p w14:paraId="4338815B" w14:textId="77777777" w:rsidR="00735227" w:rsidRPr="007B7915" w:rsidRDefault="00735227" w:rsidP="007E56E3">
            <w:pPr>
              <w:pStyle w:val="TableText"/>
              <w:tabs>
                <w:tab w:val="decimal" w:pos="863"/>
              </w:tabs>
              <w:rPr>
                <w:rFonts w:cs="Arial"/>
                <w:color w:val="000000"/>
                <w:szCs w:val="24"/>
              </w:rPr>
            </w:pPr>
            <w:r>
              <w:rPr>
                <w:rFonts w:cs="Arial"/>
                <w:color w:val="000000"/>
                <w:szCs w:val="24"/>
              </w:rPr>
              <w:t>98,0</w:t>
            </w:r>
            <w:r w:rsidRPr="007B7915">
              <w:rPr>
                <w:rFonts w:cs="Arial"/>
                <w:color w:val="000000"/>
                <w:szCs w:val="24"/>
              </w:rPr>
              <w:t>00</w:t>
            </w:r>
          </w:p>
        </w:tc>
        <w:tc>
          <w:tcPr>
            <w:tcW w:w="1252" w:type="dxa"/>
            <w:tcBorders>
              <w:top w:val="single" w:sz="4" w:space="0" w:color="auto"/>
              <w:left w:val="single" w:sz="4" w:space="0" w:color="A6A6A6" w:themeColor="background1" w:themeShade="A6"/>
              <w:bottom w:val="single" w:sz="4" w:space="0" w:color="A6A6A6" w:themeColor="background1" w:themeShade="A6"/>
              <w:right w:val="nil"/>
            </w:tcBorders>
            <w:shd w:val="clear" w:color="auto" w:fill="auto"/>
          </w:tcPr>
          <w:p w14:paraId="69C766C8" w14:textId="77777777" w:rsidR="00735227" w:rsidRPr="007B7915" w:rsidRDefault="00735227" w:rsidP="007E56E3">
            <w:pPr>
              <w:pStyle w:val="TableText"/>
              <w:jc w:val="center"/>
              <w:rPr>
                <w:rFonts w:cs="Arial"/>
                <w:color w:val="000000"/>
                <w:szCs w:val="24"/>
              </w:rPr>
            </w:pPr>
            <w:r>
              <w:rPr>
                <w:rFonts w:cs="Arial"/>
                <w:color w:val="000000"/>
                <w:szCs w:val="24"/>
              </w:rPr>
              <w:t>39</w:t>
            </w:r>
          </w:p>
        </w:tc>
        <w:tc>
          <w:tcPr>
            <w:tcW w:w="1253" w:type="dxa"/>
            <w:tcBorders>
              <w:top w:val="single" w:sz="4" w:space="0" w:color="auto"/>
              <w:left w:val="nil"/>
              <w:bottom w:val="single" w:sz="4" w:space="0" w:color="A6A6A6" w:themeColor="background1" w:themeShade="A6"/>
              <w:right w:val="nil"/>
            </w:tcBorders>
            <w:shd w:val="clear" w:color="auto" w:fill="auto"/>
          </w:tcPr>
          <w:p w14:paraId="21BF07FC" w14:textId="77777777" w:rsidR="00735227" w:rsidRPr="007B7915" w:rsidRDefault="00735227" w:rsidP="007E56E3">
            <w:pPr>
              <w:pStyle w:val="TableText"/>
              <w:tabs>
                <w:tab w:val="decimal" w:pos="820"/>
              </w:tabs>
              <w:rPr>
                <w:rFonts w:cs="Arial"/>
                <w:color w:val="000000"/>
                <w:szCs w:val="24"/>
              </w:rPr>
            </w:pPr>
            <w:r>
              <w:rPr>
                <w:rFonts w:cs="Arial"/>
                <w:color w:val="000000"/>
                <w:szCs w:val="24"/>
              </w:rPr>
              <w:t>177,0</w:t>
            </w:r>
            <w:r w:rsidRPr="007B7915">
              <w:rPr>
                <w:rFonts w:cs="Arial"/>
                <w:color w:val="000000"/>
                <w:szCs w:val="24"/>
              </w:rPr>
              <w:t>00</w:t>
            </w:r>
          </w:p>
        </w:tc>
      </w:tr>
      <w:tr w:rsidR="008C4014" w14:paraId="1ACC493B" w14:textId="77777777" w:rsidTr="00D6676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3D258FF8" w14:textId="77777777" w:rsidR="00735227" w:rsidRPr="007B7915" w:rsidRDefault="00735227" w:rsidP="007E56E3">
            <w:pPr>
              <w:pStyle w:val="TableText"/>
            </w:pPr>
            <w:r w:rsidRPr="007B7915">
              <w:t>Pacific</w:t>
            </w:r>
          </w:p>
        </w:tc>
        <w:tc>
          <w:tcPr>
            <w:tcW w:w="1252" w:type="dxa"/>
            <w:tcBorders>
              <w:top w:val="single" w:sz="4" w:space="0" w:color="A6A6A6" w:themeColor="background1" w:themeShade="A6"/>
              <w:left w:val="nil"/>
              <w:bottom w:val="single" w:sz="4" w:space="0" w:color="A6A6A6" w:themeColor="background1" w:themeShade="A6"/>
              <w:right w:val="nil"/>
            </w:tcBorders>
            <w:shd w:val="clear" w:color="auto" w:fill="auto"/>
          </w:tcPr>
          <w:p w14:paraId="6510F0F0" w14:textId="77777777" w:rsidR="00735227" w:rsidRPr="007B7915" w:rsidRDefault="00735227" w:rsidP="007E56E3">
            <w:pPr>
              <w:pStyle w:val="TableText"/>
              <w:jc w:val="center"/>
              <w:rPr>
                <w:rFonts w:cs="Arial"/>
                <w:color w:val="000000"/>
                <w:szCs w:val="24"/>
              </w:rPr>
            </w:pPr>
            <w:r>
              <w:rPr>
                <w:rFonts w:cs="Arial"/>
                <w:color w:val="000000"/>
                <w:szCs w:val="24"/>
              </w:rPr>
              <w:t>27</w:t>
            </w:r>
          </w:p>
        </w:tc>
        <w:tc>
          <w:tcPr>
            <w:tcW w:w="125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5F80AD7" w14:textId="77777777" w:rsidR="00735227" w:rsidRPr="007B7915" w:rsidRDefault="00735227" w:rsidP="007E56E3">
            <w:pPr>
              <w:pStyle w:val="TableText"/>
              <w:tabs>
                <w:tab w:val="decimal" w:pos="817"/>
              </w:tabs>
              <w:rPr>
                <w:rFonts w:cs="Arial"/>
                <w:color w:val="000000"/>
                <w:szCs w:val="24"/>
              </w:rPr>
            </w:pPr>
            <w:r>
              <w:rPr>
                <w:rFonts w:cs="Arial"/>
                <w:color w:val="000000"/>
                <w:szCs w:val="24"/>
              </w:rPr>
              <w:t>26,0</w:t>
            </w:r>
            <w:r w:rsidRPr="007B7915">
              <w:rPr>
                <w:rFonts w:cs="Arial"/>
                <w:color w:val="000000"/>
                <w:szCs w:val="24"/>
              </w:rPr>
              <w:t>00</w:t>
            </w:r>
          </w:p>
        </w:tc>
        <w:tc>
          <w:tcPr>
            <w:tcW w:w="12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7C4CA46" w14:textId="77777777" w:rsidR="00735227" w:rsidRPr="007B7915" w:rsidRDefault="00735227" w:rsidP="007E56E3">
            <w:pPr>
              <w:pStyle w:val="TableText"/>
              <w:jc w:val="center"/>
              <w:rPr>
                <w:rFonts w:cs="Arial"/>
                <w:color w:val="000000"/>
                <w:szCs w:val="24"/>
              </w:rPr>
            </w:pPr>
            <w:r>
              <w:rPr>
                <w:rFonts w:cs="Arial"/>
                <w:color w:val="000000"/>
                <w:szCs w:val="24"/>
              </w:rPr>
              <w:t>23</w:t>
            </w:r>
          </w:p>
        </w:tc>
        <w:tc>
          <w:tcPr>
            <w:tcW w:w="125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390B60C" w14:textId="77777777" w:rsidR="00735227" w:rsidRPr="007B7915" w:rsidRDefault="00735227" w:rsidP="007E56E3">
            <w:pPr>
              <w:pStyle w:val="TableText"/>
              <w:tabs>
                <w:tab w:val="decimal" w:pos="863"/>
              </w:tabs>
              <w:rPr>
                <w:rFonts w:cs="Arial"/>
                <w:color w:val="000000"/>
                <w:szCs w:val="24"/>
              </w:rPr>
            </w:pPr>
            <w:r w:rsidRPr="004B6830">
              <w:rPr>
                <w:rFonts w:cs="Arial"/>
                <w:color w:val="000000"/>
                <w:szCs w:val="24"/>
              </w:rPr>
              <w:t>25,00</w:t>
            </w:r>
            <w:r w:rsidR="004B6830">
              <w:rPr>
                <w:rFonts w:cs="Arial"/>
                <w:color w:val="000000"/>
                <w:szCs w:val="24"/>
              </w:rPr>
              <w:t>0</w:t>
            </w:r>
          </w:p>
        </w:tc>
        <w:tc>
          <w:tcPr>
            <w:tcW w:w="12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1A4C34D" w14:textId="77777777" w:rsidR="00735227" w:rsidRPr="007B7915" w:rsidRDefault="00735227" w:rsidP="007E56E3">
            <w:pPr>
              <w:pStyle w:val="TableText"/>
              <w:jc w:val="center"/>
              <w:rPr>
                <w:rFonts w:cs="Arial"/>
                <w:color w:val="000000"/>
                <w:szCs w:val="24"/>
              </w:rPr>
            </w:pPr>
            <w:r>
              <w:rPr>
                <w:rFonts w:cs="Arial"/>
                <w:color w:val="000000"/>
                <w:szCs w:val="24"/>
              </w:rPr>
              <w:t>25</w:t>
            </w:r>
          </w:p>
        </w:tc>
        <w:tc>
          <w:tcPr>
            <w:tcW w:w="1253" w:type="dxa"/>
            <w:tcBorders>
              <w:top w:val="single" w:sz="4" w:space="0" w:color="A6A6A6" w:themeColor="background1" w:themeShade="A6"/>
              <w:left w:val="nil"/>
              <w:bottom w:val="single" w:sz="4" w:space="0" w:color="A6A6A6" w:themeColor="background1" w:themeShade="A6"/>
              <w:right w:val="nil"/>
            </w:tcBorders>
            <w:shd w:val="clear" w:color="auto" w:fill="auto"/>
          </w:tcPr>
          <w:p w14:paraId="48E52BC0" w14:textId="77777777" w:rsidR="00735227" w:rsidRPr="007B7915" w:rsidRDefault="00735227" w:rsidP="007E56E3">
            <w:pPr>
              <w:pStyle w:val="TableText"/>
              <w:tabs>
                <w:tab w:val="decimal" w:pos="820"/>
              </w:tabs>
              <w:rPr>
                <w:rFonts w:cs="Arial"/>
                <w:color w:val="000000"/>
                <w:szCs w:val="24"/>
              </w:rPr>
            </w:pPr>
            <w:r>
              <w:rPr>
                <w:rFonts w:cs="Arial"/>
                <w:color w:val="000000"/>
                <w:szCs w:val="24"/>
              </w:rPr>
              <w:t>50,0</w:t>
            </w:r>
            <w:r w:rsidRPr="007B7915">
              <w:rPr>
                <w:rFonts w:cs="Arial"/>
                <w:color w:val="000000"/>
                <w:szCs w:val="24"/>
              </w:rPr>
              <w:t>00</w:t>
            </w:r>
          </w:p>
        </w:tc>
      </w:tr>
      <w:tr w:rsidR="008C4014" w14:paraId="3CE1FF9F" w14:textId="77777777" w:rsidTr="00D6676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2A22262A" w14:textId="77777777" w:rsidR="00735227" w:rsidRPr="007B7915" w:rsidRDefault="00735227" w:rsidP="007E56E3">
            <w:pPr>
              <w:pStyle w:val="TableText"/>
            </w:pPr>
            <w:r w:rsidRPr="007B7915">
              <w:t>Asian</w:t>
            </w:r>
          </w:p>
        </w:tc>
        <w:tc>
          <w:tcPr>
            <w:tcW w:w="1252" w:type="dxa"/>
            <w:tcBorders>
              <w:top w:val="single" w:sz="4" w:space="0" w:color="A6A6A6" w:themeColor="background1" w:themeShade="A6"/>
              <w:left w:val="nil"/>
              <w:bottom w:val="single" w:sz="4" w:space="0" w:color="A6A6A6" w:themeColor="background1" w:themeShade="A6"/>
              <w:right w:val="nil"/>
            </w:tcBorders>
            <w:shd w:val="clear" w:color="auto" w:fill="auto"/>
          </w:tcPr>
          <w:p w14:paraId="7B1EE8E7" w14:textId="77777777" w:rsidR="00735227" w:rsidRPr="007B7915" w:rsidRDefault="00735227" w:rsidP="007E56E3">
            <w:pPr>
              <w:pStyle w:val="TableText"/>
              <w:jc w:val="center"/>
              <w:rPr>
                <w:rFonts w:cs="Arial"/>
                <w:color w:val="000000"/>
                <w:szCs w:val="24"/>
              </w:rPr>
            </w:pPr>
            <w:r>
              <w:rPr>
                <w:rFonts w:cs="Arial"/>
                <w:color w:val="000000"/>
                <w:szCs w:val="24"/>
              </w:rPr>
              <w:t>1</w:t>
            </w:r>
            <w:r w:rsidRPr="007B7915">
              <w:rPr>
                <w:rFonts w:cs="Arial"/>
                <w:color w:val="000000"/>
                <w:szCs w:val="24"/>
              </w:rPr>
              <w:t>6</w:t>
            </w:r>
          </w:p>
        </w:tc>
        <w:tc>
          <w:tcPr>
            <w:tcW w:w="125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BD9E957" w14:textId="77777777" w:rsidR="00735227" w:rsidRPr="007B7915" w:rsidRDefault="00735227" w:rsidP="007E56E3">
            <w:pPr>
              <w:pStyle w:val="TableText"/>
              <w:tabs>
                <w:tab w:val="decimal" w:pos="817"/>
              </w:tabs>
              <w:rPr>
                <w:rFonts w:cs="Arial"/>
                <w:color w:val="000000"/>
                <w:szCs w:val="24"/>
              </w:rPr>
            </w:pPr>
            <w:r w:rsidRPr="007B7915">
              <w:rPr>
                <w:rFonts w:cs="Arial"/>
                <w:color w:val="000000"/>
                <w:szCs w:val="24"/>
              </w:rPr>
              <w:t>33,000</w:t>
            </w:r>
          </w:p>
        </w:tc>
        <w:tc>
          <w:tcPr>
            <w:tcW w:w="12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1D99F86" w14:textId="77777777" w:rsidR="00735227" w:rsidRPr="007B7915" w:rsidRDefault="00735227" w:rsidP="007E56E3">
            <w:pPr>
              <w:pStyle w:val="TableText"/>
              <w:jc w:val="center"/>
              <w:rPr>
                <w:rFonts w:cs="Arial"/>
                <w:color w:val="000000"/>
                <w:szCs w:val="24"/>
              </w:rPr>
            </w:pPr>
            <w:r w:rsidRPr="007B7915">
              <w:rPr>
                <w:rFonts w:cs="Arial"/>
                <w:color w:val="000000"/>
                <w:szCs w:val="24"/>
              </w:rPr>
              <w:t>4.3</w:t>
            </w:r>
          </w:p>
        </w:tc>
        <w:tc>
          <w:tcPr>
            <w:tcW w:w="125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4C9A754" w14:textId="77777777" w:rsidR="00735227" w:rsidRPr="007B7915" w:rsidRDefault="00735227" w:rsidP="007E56E3">
            <w:pPr>
              <w:pStyle w:val="TableText"/>
              <w:tabs>
                <w:tab w:val="decimal" w:pos="863"/>
              </w:tabs>
              <w:rPr>
                <w:rFonts w:cs="Arial"/>
                <w:color w:val="000000"/>
                <w:szCs w:val="24"/>
              </w:rPr>
            </w:pPr>
            <w:r>
              <w:rPr>
                <w:rFonts w:cs="Arial"/>
                <w:color w:val="000000"/>
                <w:szCs w:val="24"/>
              </w:rPr>
              <w:t>80</w:t>
            </w:r>
            <w:r w:rsidRPr="007B7915">
              <w:rPr>
                <w:rFonts w:cs="Arial"/>
                <w:color w:val="000000"/>
                <w:szCs w:val="24"/>
              </w:rPr>
              <w:t>00</w:t>
            </w:r>
          </w:p>
        </w:tc>
        <w:tc>
          <w:tcPr>
            <w:tcW w:w="12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37251E94" w14:textId="77777777" w:rsidR="00735227" w:rsidRPr="007B7915" w:rsidRDefault="00735227" w:rsidP="007E56E3">
            <w:pPr>
              <w:pStyle w:val="TableText"/>
              <w:jc w:val="center"/>
              <w:rPr>
                <w:rFonts w:cs="Arial"/>
                <w:color w:val="000000"/>
                <w:szCs w:val="24"/>
              </w:rPr>
            </w:pPr>
            <w:r>
              <w:rPr>
                <w:rFonts w:cs="Arial"/>
                <w:color w:val="000000"/>
                <w:szCs w:val="24"/>
              </w:rPr>
              <w:t>10</w:t>
            </w:r>
          </w:p>
        </w:tc>
        <w:tc>
          <w:tcPr>
            <w:tcW w:w="1253" w:type="dxa"/>
            <w:tcBorders>
              <w:top w:val="single" w:sz="4" w:space="0" w:color="A6A6A6" w:themeColor="background1" w:themeShade="A6"/>
              <w:left w:val="nil"/>
              <w:bottom w:val="single" w:sz="4" w:space="0" w:color="A6A6A6" w:themeColor="background1" w:themeShade="A6"/>
              <w:right w:val="nil"/>
            </w:tcBorders>
            <w:shd w:val="clear" w:color="auto" w:fill="auto"/>
          </w:tcPr>
          <w:p w14:paraId="2612DE2C" w14:textId="77777777" w:rsidR="00735227" w:rsidRPr="007B7915" w:rsidRDefault="00735227" w:rsidP="007E56E3">
            <w:pPr>
              <w:pStyle w:val="TableText"/>
              <w:tabs>
                <w:tab w:val="decimal" w:pos="820"/>
              </w:tabs>
              <w:rPr>
                <w:rFonts w:cs="Arial"/>
                <w:color w:val="000000"/>
                <w:szCs w:val="24"/>
              </w:rPr>
            </w:pPr>
            <w:r>
              <w:rPr>
                <w:rFonts w:cs="Arial"/>
                <w:color w:val="000000"/>
                <w:szCs w:val="24"/>
              </w:rPr>
              <w:t>41,0</w:t>
            </w:r>
            <w:r w:rsidRPr="007B7915">
              <w:rPr>
                <w:rFonts w:cs="Arial"/>
                <w:color w:val="000000"/>
                <w:szCs w:val="24"/>
              </w:rPr>
              <w:t>00</w:t>
            </w:r>
          </w:p>
        </w:tc>
      </w:tr>
      <w:tr w:rsidR="00735227" w14:paraId="147AD76E" w14:textId="77777777" w:rsidTr="00D66766">
        <w:trPr>
          <w:cantSplit/>
        </w:trPr>
        <w:tc>
          <w:tcPr>
            <w:tcW w:w="1843" w:type="dxa"/>
            <w:tcBorders>
              <w:top w:val="single" w:sz="4" w:space="0" w:color="A6A6A6" w:themeColor="background1" w:themeShade="A6"/>
              <w:left w:val="nil"/>
              <w:right w:val="nil"/>
            </w:tcBorders>
            <w:shd w:val="clear" w:color="auto" w:fill="auto"/>
          </w:tcPr>
          <w:p w14:paraId="45185519" w14:textId="77777777" w:rsidR="00735227" w:rsidRPr="007B7915" w:rsidRDefault="00735227" w:rsidP="007E56E3">
            <w:pPr>
              <w:pStyle w:val="TableText"/>
            </w:pPr>
            <w:r w:rsidRPr="007B7915">
              <w:t>European/Other</w:t>
            </w:r>
          </w:p>
        </w:tc>
        <w:tc>
          <w:tcPr>
            <w:tcW w:w="1252" w:type="dxa"/>
            <w:tcBorders>
              <w:top w:val="single" w:sz="4" w:space="0" w:color="A6A6A6" w:themeColor="background1" w:themeShade="A6"/>
              <w:left w:val="nil"/>
              <w:right w:val="nil"/>
            </w:tcBorders>
            <w:shd w:val="clear" w:color="auto" w:fill="auto"/>
          </w:tcPr>
          <w:p w14:paraId="51856DDB" w14:textId="77777777" w:rsidR="00735227" w:rsidRPr="007B7915" w:rsidRDefault="00735227" w:rsidP="007E56E3">
            <w:pPr>
              <w:pStyle w:val="TableText"/>
              <w:jc w:val="center"/>
              <w:rPr>
                <w:rFonts w:cs="Arial"/>
                <w:color w:val="000000"/>
                <w:szCs w:val="24"/>
              </w:rPr>
            </w:pPr>
            <w:r>
              <w:rPr>
                <w:rFonts w:cs="Arial"/>
                <w:color w:val="000000"/>
                <w:szCs w:val="24"/>
              </w:rPr>
              <w:t>16</w:t>
            </w:r>
          </w:p>
        </w:tc>
        <w:tc>
          <w:tcPr>
            <w:tcW w:w="1252" w:type="dxa"/>
            <w:tcBorders>
              <w:top w:val="single" w:sz="4" w:space="0" w:color="A6A6A6" w:themeColor="background1" w:themeShade="A6"/>
              <w:left w:val="nil"/>
              <w:right w:val="single" w:sz="4" w:space="0" w:color="A6A6A6" w:themeColor="background1" w:themeShade="A6"/>
            </w:tcBorders>
            <w:shd w:val="clear" w:color="auto" w:fill="auto"/>
          </w:tcPr>
          <w:p w14:paraId="06D4593B" w14:textId="77777777" w:rsidR="00735227" w:rsidRPr="007B7915" w:rsidRDefault="00735227" w:rsidP="007E56E3">
            <w:pPr>
              <w:pStyle w:val="TableText"/>
              <w:tabs>
                <w:tab w:val="decimal" w:pos="817"/>
              </w:tabs>
              <w:rPr>
                <w:rFonts w:cs="Arial"/>
                <w:color w:val="000000"/>
                <w:szCs w:val="24"/>
              </w:rPr>
            </w:pPr>
            <w:r>
              <w:rPr>
                <w:rFonts w:cs="Arial"/>
                <w:color w:val="000000"/>
                <w:szCs w:val="24"/>
              </w:rPr>
              <w:t>217,0</w:t>
            </w:r>
            <w:r w:rsidRPr="007B7915">
              <w:rPr>
                <w:rFonts w:cs="Arial"/>
                <w:color w:val="000000"/>
                <w:szCs w:val="24"/>
              </w:rPr>
              <w:t>00</w:t>
            </w:r>
          </w:p>
        </w:tc>
        <w:tc>
          <w:tcPr>
            <w:tcW w:w="1252" w:type="dxa"/>
            <w:tcBorders>
              <w:top w:val="single" w:sz="4" w:space="0" w:color="A6A6A6" w:themeColor="background1" w:themeShade="A6"/>
              <w:left w:val="single" w:sz="4" w:space="0" w:color="A6A6A6" w:themeColor="background1" w:themeShade="A6"/>
              <w:right w:val="nil"/>
            </w:tcBorders>
            <w:shd w:val="clear" w:color="auto" w:fill="auto"/>
          </w:tcPr>
          <w:p w14:paraId="1B6FEAC7" w14:textId="77777777" w:rsidR="00735227" w:rsidRPr="007B7915" w:rsidRDefault="00735227" w:rsidP="007E56E3">
            <w:pPr>
              <w:pStyle w:val="TableText"/>
              <w:jc w:val="center"/>
              <w:rPr>
                <w:rFonts w:cs="Arial"/>
                <w:color w:val="000000"/>
                <w:szCs w:val="24"/>
              </w:rPr>
            </w:pPr>
            <w:r>
              <w:rPr>
                <w:rFonts w:cs="Arial"/>
                <w:color w:val="000000"/>
                <w:szCs w:val="24"/>
              </w:rPr>
              <w:t>14</w:t>
            </w:r>
          </w:p>
        </w:tc>
        <w:tc>
          <w:tcPr>
            <w:tcW w:w="1252" w:type="dxa"/>
            <w:tcBorders>
              <w:top w:val="single" w:sz="4" w:space="0" w:color="A6A6A6" w:themeColor="background1" w:themeShade="A6"/>
              <w:left w:val="nil"/>
              <w:right w:val="single" w:sz="4" w:space="0" w:color="A6A6A6" w:themeColor="background1" w:themeShade="A6"/>
            </w:tcBorders>
            <w:shd w:val="clear" w:color="auto" w:fill="auto"/>
          </w:tcPr>
          <w:p w14:paraId="2F8E8C91" w14:textId="77777777" w:rsidR="00735227" w:rsidRPr="007B7915" w:rsidRDefault="00735227" w:rsidP="007E56E3">
            <w:pPr>
              <w:pStyle w:val="TableText"/>
              <w:tabs>
                <w:tab w:val="decimal" w:pos="863"/>
              </w:tabs>
              <w:rPr>
                <w:rFonts w:cs="Arial"/>
                <w:color w:val="000000"/>
                <w:szCs w:val="24"/>
              </w:rPr>
            </w:pPr>
            <w:r>
              <w:rPr>
                <w:rFonts w:cs="Arial"/>
                <w:color w:val="000000"/>
                <w:szCs w:val="24"/>
              </w:rPr>
              <w:t>201,0</w:t>
            </w:r>
            <w:r w:rsidRPr="007B7915">
              <w:rPr>
                <w:rFonts w:cs="Arial"/>
                <w:color w:val="000000"/>
                <w:szCs w:val="24"/>
              </w:rPr>
              <w:t>00</w:t>
            </w:r>
          </w:p>
        </w:tc>
        <w:tc>
          <w:tcPr>
            <w:tcW w:w="1252" w:type="dxa"/>
            <w:tcBorders>
              <w:top w:val="single" w:sz="4" w:space="0" w:color="A6A6A6" w:themeColor="background1" w:themeShade="A6"/>
              <w:left w:val="single" w:sz="4" w:space="0" w:color="A6A6A6" w:themeColor="background1" w:themeShade="A6"/>
              <w:right w:val="nil"/>
            </w:tcBorders>
            <w:shd w:val="clear" w:color="auto" w:fill="auto"/>
          </w:tcPr>
          <w:p w14:paraId="0AB359F7" w14:textId="77777777" w:rsidR="00735227" w:rsidRPr="007B7915" w:rsidRDefault="00735227" w:rsidP="007E56E3">
            <w:pPr>
              <w:pStyle w:val="TableText"/>
              <w:jc w:val="center"/>
              <w:rPr>
                <w:rFonts w:cs="Arial"/>
                <w:color w:val="000000"/>
                <w:szCs w:val="24"/>
              </w:rPr>
            </w:pPr>
            <w:r>
              <w:rPr>
                <w:rFonts w:cs="Arial"/>
                <w:color w:val="000000"/>
                <w:szCs w:val="24"/>
              </w:rPr>
              <w:t>15</w:t>
            </w:r>
          </w:p>
        </w:tc>
        <w:tc>
          <w:tcPr>
            <w:tcW w:w="1253" w:type="dxa"/>
            <w:tcBorders>
              <w:top w:val="single" w:sz="4" w:space="0" w:color="A6A6A6" w:themeColor="background1" w:themeShade="A6"/>
              <w:left w:val="nil"/>
              <w:right w:val="nil"/>
            </w:tcBorders>
            <w:shd w:val="clear" w:color="auto" w:fill="auto"/>
          </w:tcPr>
          <w:p w14:paraId="1D8F108E" w14:textId="77777777" w:rsidR="00735227" w:rsidRPr="007B7915" w:rsidRDefault="00735227" w:rsidP="007E56E3">
            <w:pPr>
              <w:pStyle w:val="TableText"/>
              <w:tabs>
                <w:tab w:val="decimal" w:pos="820"/>
              </w:tabs>
              <w:rPr>
                <w:rFonts w:cs="Arial"/>
                <w:color w:val="000000"/>
                <w:szCs w:val="24"/>
              </w:rPr>
            </w:pPr>
            <w:r>
              <w:rPr>
                <w:rFonts w:cs="Arial"/>
                <w:color w:val="000000"/>
                <w:szCs w:val="24"/>
              </w:rPr>
              <w:t>418,0</w:t>
            </w:r>
            <w:r w:rsidRPr="007B7915">
              <w:rPr>
                <w:rFonts w:cs="Arial"/>
                <w:color w:val="000000"/>
                <w:szCs w:val="24"/>
              </w:rPr>
              <w:t>00</w:t>
            </w:r>
          </w:p>
        </w:tc>
      </w:tr>
    </w:tbl>
    <w:p w14:paraId="47A74125" w14:textId="77777777" w:rsidR="00735227" w:rsidRPr="00E42454" w:rsidRDefault="00735227" w:rsidP="009C3A17">
      <w:pPr>
        <w:pStyle w:val="TableNote"/>
      </w:pPr>
      <w:r>
        <w:t>Source: 2012/13 NZHS</w:t>
      </w:r>
    </w:p>
    <w:p w14:paraId="767B0C65" w14:textId="77777777" w:rsidR="00735227" w:rsidRDefault="00735227" w:rsidP="009C3A17"/>
    <w:p w14:paraId="6997645E" w14:textId="77777777" w:rsidR="00735227" w:rsidRPr="00E97B61" w:rsidRDefault="00735227" w:rsidP="009C3A17">
      <w:pPr>
        <w:pStyle w:val="Table"/>
      </w:pPr>
      <w:bookmarkStart w:id="89" w:name="_Toc399920517"/>
      <w:bookmarkStart w:id="90" w:name="_Toc404091106"/>
      <w:r>
        <w:t xml:space="preserve">Table </w:t>
      </w:r>
      <w:r w:rsidR="009C3A17">
        <w:t>6</w:t>
      </w:r>
      <w:r w:rsidRPr="0074760D">
        <w:t>:</w:t>
      </w:r>
      <w:r w:rsidR="009C3A17">
        <w:t xml:space="preserve"> </w:t>
      </w:r>
      <w:r w:rsidRPr="0074760D">
        <w:t>Adjusted rate ratios for current smoking</w:t>
      </w:r>
      <w:bookmarkEnd w:id="89"/>
      <w:bookmarkEnd w:id="90"/>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276"/>
      </w:tblGrid>
      <w:tr w:rsidR="00735227" w:rsidRPr="00361706" w14:paraId="72C4202E" w14:textId="77777777" w:rsidTr="00D66766">
        <w:trPr>
          <w:cantSplit/>
        </w:trPr>
        <w:tc>
          <w:tcPr>
            <w:tcW w:w="3119" w:type="dxa"/>
            <w:shd w:val="clear" w:color="auto" w:fill="auto"/>
          </w:tcPr>
          <w:p w14:paraId="6FF256B8" w14:textId="77777777" w:rsidR="00735227" w:rsidRPr="007B7915" w:rsidRDefault="00735227" w:rsidP="00D66766">
            <w:pPr>
              <w:pStyle w:val="TableText"/>
            </w:pPr>
            <w:r w:rsidRPr="007B7915">
              <w:t>Men v</w:t>
            </w:r>
            <w:r>
              <w:t>ersu</w:t>
            </w:r>
            <w:r w:rsidRPr="007B7915">
              <w:t>s women</w:t>
            </w:r>
          </w:p>
        </w:tc>
        <w:tc>
          <w:tcPr>
            <w:tcW w:w="1276" w:type="dxa"/>
            <w:shd w:val="clear" w:color="auto" w:fill="auto"/>
          </w:tcPr>
          <w:p w14:paraId="3EF5B240" w14:textId="77777777" w:rsidR="00735227" w:rsidRPr="007B7915" w:rsidRDefault="00735227" w:rsidP="00D66766">
            <w:pPr>
              <w:pStyle w:val="TableText"/>
              <w:jc w:val="center"/>
            </w:pPr>
            <w:r w:rsidRPr="007B7915">
              <w:t>1.1*</w:t>
            </w:r>
          </w:p>
        </w:tc>
      </w:tr>
      <w:tr w:rsidR="00735227" w:rsidRPr="00361706" w14:paraId="116BC895" w14:textId="77777777" w:rsidTr="00D66766">
        <w:trPr>
          <w:cantSplit/>
        </w:trPr>
        <w:tc>
          <w:tcPr>
            <w:tcW w:w="3119" w:type="dxa"/>
            <w:shd w:val="clear" w:color="auto" w:fill="auto"/>
          </w:tcPr>
          <w:p w14:paraId="69138A3B" w14:textId="77777777" w:rsidR="00735227" w:rsidRPr="007B7915" w:rsidRDefault="00735227" w:rsidP="00D66766">
            <w:pPr>
              <w:pStyle w:val="TableText"/>
            </w:pPr>
            <w:r w:rsidRPr="007B7915">
              <w:t>Māori v</w:t>
            </w:r>
            <w:r>
              <w:t>ersu</w:t>
            </w:r>
            <w:r w:rsidRPr="007B7915">
              <w:t>s non-Māori</w:t>
            </w:r>
          </w:p>
        </w:tc>
        <w:tc>
          <w:tcPr>
            <w:tcW w:w="1276" w:type="dxa"/>
            <w:shd w:val="clear" w:color="auto" w:fill="auto"/>
          </w:tcPr>
          <w:p w14:paraId="2DAAEDA6" w14:textId="68D1FBAB" w:rsidR="00735227" w:rsidRPr="007B7915" w:rsidRDefault="005440CD" w:rsidP="00D66766">
            <w:pPr>
              <w:pStyle w:val="TableText"/>
              <w:jc w:val="center"/>
            </w:pPr>
            <w:r>
              <w:t>2.5</w:t>
            </w:r>
            <w:r w:rsidR="00735227" w:rsidRPr="007B7915">
              <w:t>*</w:t>
            </w:r>
          </w:p>
        </w:tc>
      </w:tr>
      <w:tr w:rsidR="00735227" w:rsidRPr="00361706" w14:paraId="5CB416BB" w14:textId="77777777" w:rsidTr="00D66766">
        <w:trPr>
          <w:cantSplit/>
        </w:trPr>
        <w:tc>
          <w:tcPr>
            <w:tcW w:w="3119" w:type="dxa"/>
            <w:shd w:val="clear" w:color="auto" w:fill="auto"/>
          </w:tcPr>
          <w:p w14:paraId="6EFAB658" w14:textId="77777777" w:rsidR="00735227" w:rsidRPr="007B7915" w:rsidRDefault="00735227" w:rsidP="00D66766">
            <w:pPr>
              <w:pStyle w:val="TableText"/>
            </w:pPr>
            <w:r w:rsidRPr="007B7915">
              <w:t>Pacific v</w:t>
            </w:r>
            <w:r>
              <w:t>ersu</w:t>
            </w:r>
            <w:r w:rsidRPr="007B7915">
              <w:t>s non-Pacific</w:t>
            </w:r>
          </w:p>
        </w:tc>
        <w:tc>
          <w:tcPr>
            <w:tcW w:w="1276" w:type="dxa"/>
            <w:shd w:val="clear" w:color="auto" w:fill="auto"/>
          </w:tcPr>
          <w:p w14:paraId="23325358" w14:textId="77777777" w:rsidR="00735227" w:rsidRPr="007B7915" w:rsidRDefault="00735227" w:rsidP="00D66766">
            <w:pPr>
              <w:pStyle w:val="TableText"/>
              <w:jc w:val="center"/>
            </w:pPr>
            <w:r w:rsidRPr="007B7915">
              <w:t>1.3*</w:t>
            </w:r>
          </w:p>
        </w:tc>
      </w:tr>
      <w:tr w:rsidR="00735227" w:rsidRPr="00361706" w14:paraId="5EB3E114" w14:textId="77777777" w:rsidTr="00D66766">
        <w:trPr>
          <w:cantSplit/>
        </w:trPr>
        <w:tc>
          <w:tcPr>
            <w:tcW w:w="3119" w:type="dxa"/>
            <w:shd w:val="clear" w:color="auto" w:fill="auto"/>
          </w:tcPr>
          <w:p w14:paraId="03D8F3E1" w14:textId="77777777" w:rsidR="00735227" w:rsidRPr="007B7915" w:rsidRDefault="00735227" w:rsidP="00D66766">
            <w:pPr>
              <w:pStyle w:val="TableText"/>
            </w:pPr>
            <w:r w:rsidRPr="007B7915">
              <w:t>Asian v</w:t>
            </w:r>
            <w:r>
              <w:t>ersu</w:t>
            </w:r>
            <w:r w:rsidRPr="007B7915">
              <w:t>s non-Asian</w:t>
            </w:r>
          </w:p>
        </w:tc>
        <w:tc>
          <w:tcPr>
            <w:tcW w:w="1276" w:type="dxa"/>
            <w:shd w:val="clear" w:color="auto" w:fill="auto"/>
          </w:tcPr>
          <w:p w14:paraId="3510C074" w14:textId="77777777" w:rsidR="00735227" w:rsidRPr="007B7915" w:rsidRDefault="00735227" w:rsidP="00D66766">
            <w:pPr>
              <w:pStyle w:val="TableText"/>
              <w:jc w:val="center"/>
            </w:pPr>
            <w:r w:rsidRPr="007B7915">
              <w:t>0.5*</w:t>
            </w:r>
          </w:p>
        </w:tc>
      </w:tr>
      <w:tr w:rsidR="00735227" w:rsidRPr="00361706" w14:paraId="2069C6B6" w14:textId="77777777" w:rsidTr="00D66766">
        <w:trPr>
          <w:cantSplit/>
        </w:trPr>
        <w:tc>
          <w:tcPr>
            <w:tcW w:w="3119" w:type="dxa"/>
            <w:shd w:val="clear" w:color="auto" w:fill="auto"/>
          </w:tcPr>
          <w:p w14:paraId="35CEAC49" w14:textId="77777777" w:rsidR="00735227" w:rsidRPr="007B7915" w:rsidRDefault="00735227" w:rsidP="00D66766">
            <w:pPr>
              <w:pStyle w:val="TableText"/>
            </w:pPr>
            <w:r w:rsidRPr="007B7915">
              <w:t>Most v</w:t>
            </w:r>
            <w:r>
              <w:t>ersu</w:t>
            </w:r>
            <w:r w:rsidRPr="007B7915">
              <w:t>s least deprived</w:t>
            </w:r>
          </w:p>
        </w:tc>
        <w:tc>
          <w:tcPr>
            <w:tcW w:w="1276" w:type="dxa"/>
            <w:shd w:val="clear" w:color="auto" w:fill="auto"/>
          </w:tcPr>
          <w:p w14:paraId="54B43533" w14:textId="77777777" w:rsidR="00735227" w:rsidRPr="007B7915" w:rsidRDefault="00735227" w:rsidP="00D66766">
            <w:pPr>
              <w:pStyle w:val="TableText"/>
              <w:jc w:val="center"/>
            </w:pPr>
            <w:r w:rsidRPr="007B7915">
              <w:t>2.8*</w:t>
            </w:r>
          </w:p>
        </w:tc>
      </w:tr>
    </w:tbl>
    <w:p w14:paraId="14F8FE26" w14:textId="77777777" w:rsidR="00735227" w:rsidRDefault="00735227" w:rsidP="009C3A17">
      <w:pPr>
        <w:pStyle w:val="TableNote"/>
      </w:pPr>
      <w:r>
        <w:t>Source: 2012/13 NZHS</w:t>
      </w:r>
    </w:p>
    <w:p w14:paraId="2F3ABCF7" w14:textId="77777777" w:rsidR="00735227" w:rsidRDefault="00735227" w:rsidP="009C3A17">
      <w:pPr>
        <w:pStyle w:val="TableNote"/>
      </w:pPr>
      <w:r>
        <w:t>*</w:t>
      </w:r>
      <w:r w:rsidR="009C3A17">
        <w:tab/>
      </w:r>
      <w:r>
        <w:t>There is a statistically significant difference between the two groups.</w:t>
      </w:r>
    </w:p>
    <w:p w14:paraId="7B701C4E" w14:textId="77777777" w:rsidR="00735227" w:rsidRDefault="00735227" w:rsidP="009C3A17">
      <w:pPr>
        <w:pStyle w:val="TableNote"/>
        <w:ind w:left="0" w:firstLine="0"/>
      </w:pPr>
      <w:r>
        <w:t>Notes: The sex comparison is adjusted for age. Ethnic comparisons are adjusted for age and sex. Deprivation comparisons are adjusted for age, sex and ethnicity. Total response ethnicity has been used.</w:t>
      </w:r>
    </w:p>
    <w:p w14:paraId="16FACE9B" w14:textId="77777777" w:rsidR="00735227" w:rsidRPr="00E42454" w:rsidRDefault="00735227" w:rsidP="00D66766"/>
    <w:p w14:paraId="2ED4C3F0" w14:textId="77777777" w:rsidR="00735227" w:rsidRPr="000C4C87" w:rsidRDefault="00735227" w:rsidP="00D66766">
      <w:pPr>
        <w:pStyle w:val="Heading3"/>
      </w:pPr>
      <w:r w:rsidRPr="000C4C87">
        <w:t>Smoking is more common in the most deprived neighbourhoods</w:t>
      </w:r>
    </w:p>
    <w:p w14:paraId="336D876F" w14:textId="32A87755" w:rsidR="007066D2" w:rsidRDefault="00735227" w:rsidP="00D66766">
      <w:r>
        <w:t xml:space="preserve">There was a clear gradient seen </w:t>
      </w:r>
      <w:r w:rsidR="00236EFC">
        <w:t>in</w:t>
      </w:r>
      <w:r>
        <w:t xml:space="preserve"> smoking</w:t>
      </w:r>
      <w:r w:rsidR="00236EFC">
        <w:t xml:space="preserve"> prevalence by</w:t>
      </w:r>
      <w:r>
        <w:t xml:space="preserve"> neighbourhood deprivation (Figure</w:t>
      </w:r>
      <w:r w:rsidR="00EF1A37">
        <w:t> </w:t>
      </w:r>
      <w:r>
        <w:t>4). Three in ten people living in the most deprived areas were smokers compared to one in ten people living in the least deprived areas. After adjusting for age, sex and ethnic group, people who lived in the most deprived</w:t>
      </w:r>
      <w:r w:rsidR="005D12FD">
        <w:t xml:space="preserve"> areas were almost three times </w:t>
      </w:r>
      <w:r>
        <w:t>more likely to be smokers than people who lived in the least deprived areas (Table 6).</w:t>
      </w:r>
    </w:p>
    <w:p w14:paraId="0BF17E7A" w14:textId="77777777" w:rsidR="00735227" w:rsidRDefault="00735227" w:rsidP="00D66766"/>
    <w:p w14:paraId="4A8DB6EE" w14:textId="4CE4ACEC" w:rsidR="00735227" w:rsidRDefault="00735227" w:rsidP="00D66766">
      <w:pPr>
        <w:pStyle w:val="Figure"/>
      </w:pPr>
      <w:bookmarkStart w:id="91" w:name="_Toc399920487"/>
      <w:bookmarkStart w:id="92" w:name="_Toc404258413"/>
      <w:r>
        <w:t xml:space="preserve">Figure </w:t>
      </w:r>
      <w:r w:rsidR="00D66766">
        <w:t>4</w:t>
      </w:r>
      <w:r w:rsidRPr="00D4255D">
        <w:t>:</w:t>
      </w:r>
      <w:r w:rsidR="00D66766">
        <w:t xml:space="preserve"> </w:t>
      </w:r>
      <w:r w:rsidRPr="00D4255D">
        <w:t>Current smoking among the total population, by neighbourhood deprivation</w:t>
      </w:r>
      <w:bookmarkEnd w:id="91"/>
      <w:r w:rsidR="00D27246">
        <w:t xml:space="preserve"> (age-standardised)</w:t>
      </w:r>
      <w:bookmarkEnd w:id="92"/>
    </w:p>
    <w:p w14:paraId="39AFB389" w14:textId="77777777" w:rsidR="00735227" w:rsidRPr="00155649" w:rsidRDefault="008D4441" w:rsidP="00003DA0">
      <w:pPr>
        <w:rPr>
          <w:lang w:eastAsia="en-US"/>
        </w:rPr>
      </w:pPr>
      <w:r w:rsidRPr="008D4441">
        <w:rPr>
          <w:noProof/>
          <w:lang w:eastAsia="en-NZ"/>
        </w:rPr>
        <w:drawing>
          <wp:inline distT="0" distB="0" distL="0" distR="0" wp14:anchorId="2000BF9E" wp14:editId="57C3C825">
            <wp:extent cx="4389120" cy="2578608"/>
            <wp:effectExtent l="0" t="0" r="0" b="0"/>
            <wp:docPr id="39" name="Picture 39" title="Figure 4: Current smoking among the total population, by neighbourhood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10452" b="13762"/>
                    <a:stretch/>
                  </pic:blipFill>
                  <pic:spPr bwMode="auto">
                    <a:xfrm>
                      <a:off x="0" y="0"/>
                      <a:ext cx="4388592" cy="2578298"/>
                    </a:xfrm>
                    <a:prstGeom prst="rect">
                      <a:avLst/>
                    </a:prstGeom>
                    <a:ln>
                      <a:noFill/>
                    </a:ln>
                    <a:extLst>
                      <a:ext uri="{53640926-AAD7-44D8-BBD7-CCE9431645EC}">
                        <a14:shadowObscured xmlns:a14="http://schemas.microsoft.com/office/drawing/2010/main"/>
                      </a:ext>
                    </a:extLst>
                  </pic:spPr>
                </pic:pic>
              </a:graphicData>
            </a:graphic>
          </wp:inline>
        </w:drawing>
      </w:r>
    </w:p>
    <w:p w14:paraId="248757E7" w14:textId="77777777" w:rsidR="00735227" w:rsidRPr="00E42454" w:rsidRDefault="00735227" w:rsidP="00D66766">
      <w:pPr>
        <w:pStyle w:val="Source"/>
      </w:pPr>
      <w:r>
        <w:t>Source: 2012/13 NZHS</w:t>
      </w:r>
    </w:p>
    <w:p w14:paraId="7743F72E" w14:textId="77777777" w:rsidR="00735227" w:rsidRDefault="00735227" w:rsidP="00D66766"/>
    <w:p w14:paraId="056E9DBF" w14:textId="77777777" w:rsidR="00735227" w:rsidRDefault="00735227" w:rsidP="00D66766">
      <w:pPr>
        <w:pStyle w:val="Heading2"/>
      </w:pPr>
      <w:bookmarkStart w:id="93" w:name="_Toc400136620"/>
      <w:bookmarkStart w:id="94" w:name="_Toc404091079"/>
      <w:r>
        <w:t>Profile of smokers</w:t>
      </w:r>
      <w:bookmarkEnd w:id="93"/>
      <w:bookmarkEnd w:id="94"/>
    </w:p>
    <w:p w14:paraId="7FA64994" w14:textId="2D56E4E9" w:rsidR="007066D2" w:rsidRDefault="00735227" w:rsidP="007E56E3">
      <w:pPr>
        <w:keepNext/>
      </w:pPr>
      <w:r>
        <w:t>Table 7 shows a snapshot of what the smoking population look</w:t>
      </w:r>
      <w:r w:rsidR="008467DC">
        <w:t xml:space="preserve">ed </w:t>
      </w:r>
      <w:r>
        <w:t>like</w:t>
      </w:r>
      <w:r w:rsidR="005D12FD">
        <w:t xml:space="preserve"> in 2012/13</w:t>
      </w:r>
      <w:r>
        <w:t xml:space="preserve"> compared with the non-smoking population. In general, smokers are more likely to be </w:t>
      </w:r>
      <w:r w:rsidR="005D12FD">
        <w:t>younger males of Māori descent living</w:t>
      </w:r>
      <w:r>
        <w:t xml:space="preserve"> in the most deprived neighbourhood areas.</w:t>
      </w:r>
    </w:p>
    <w:p w14:paraId="29619E84" w14:textId="77777777" w:rsidR="00735227" w:rsidRDefault="00735227" w:rsidP="007E56E3">
      <w:pPr>
        <w:keepNext/>
      </w:pPr>
    </w:p>
    <w:p w14:paraId="210AE939" w14:textId="15A8B912" w:rsidR="00735227" w:rsidRPr="009F7137" w:rsidRDefault="00735227" w:rsidP="00D66766">
      <w:pPr>
        <w:pStyle w:val="Table"/>
      </w:pPr>
      <w:bookmarkStart w:id="95" w:name="_Toc399920518"/>
      <w:bookmarkStart w:id="96" w:name="_Toc404091107"/>
      <w:r>
        <w:t xml:space="preserve">Table </w:t>
      </w:r>
      <w:r w:rsidR="00D66766">
        <w:t>7</w:t>
      </w:r>
      <w:r w:rsidRPr="00015BB8">
        <w:t>:</w:t>
      </w:r>
      <w:r w:rsidR="00D66766">
        <w:t xml:space="preserve"> </w:t>
      </w:r>
      <w:r w:rsidRPr="00015BB8">
        <w:t>Profile of smoking population compared with non-smoking population in New</w:t>
      </w:r>
      <w:r w:rsidR="007E56E3">
        <w:t> </w:t>
      </w:r>
      <w:r w:rsidRPr="00015BB8">
        <w:t>Zealand</w:t>
      </w:r>
      <w:bookmarkEnd w:id="95"/>
      <w:bookmarkEnd w:id="9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544"/>
        <w:gridCol w:w="1843"/>
        <w:gridCol w:w="1843"/>
      </w:tblGrid>
      <w:tr w:rsidR="00735227" w14:paraId="610119E0" w14:textId="77777777" w:rsidTr="00D66766">
        <w:trPr>
          <w:cantSplit/>
        </w:trPr>
        <w:tc>
          <w:tcPr>
            <w:tcW w:w="3544" w:type="dxa"/>
            <w:tcBorders>
              <w:top w:val="single" w:sz="4" w:space="0" w:color="auto"/>
              <w:bottom w:val="single" w:sz="4" w:space="0" w:color="auto"/>
            </w:tcBorders>
            <w:shd w:val="clear" w:color="auto" w:fill="auto"/>
          </w:tcPr>
          <w:p w14:paraId="3AA1FD2F" w14:textId="77777777" w:rsidR="00735227" w:rsidRPr="007B7915" w:rsidRDefault="00735227" w:rsidP="00EF1A37">
            <w:pPr>
              <w:pStyle w:val="TableText"/>
              <w:keepNext/>
            </w:pPr>
          </w:p>
        </w:tc>
        <w:tc>
          <w:tcPr>
            <w:tcW w:w="1843" w:type="dxa"/>
            <w:tcBorders>
              <w:top w:val="single" w:sz="4" w:space="0" w:color="auto"/>
              <w:bottom w:val="single" w:sz="4" w:space="0" w:color="auto"/>
            </w:tcBorders>
            <w:shd w:val="clear" w:color="auto" w:fill="auto"/>
          </w:tcPr>
          <w:p w14:paraId="737AC6DE" w14:textId="77777777" w:rsidR="00735227" w:rsidRPr="00D66766" w:rsidRDefault="00735227" w:rsidP="00EF1A37">
            <w:pPr>
              <w:pStyle w:val="TableText"/>
              <w:keepNext/>
              <w:jc w:val="center"/>
              <w:rPr>
                <w:b/>
              </w:rPr>
            </w:pPr>
            <w:r w:rsidRPr="00D66766">
              <w:rPr>
                <w:b/>
              </w:rPr>
              <w:t>Smokers</w:t>
            </w:r>
          </w:p>
        </w:tc>
        <w:tc>
          <w:tcPr>
            <w:tcW w:w="1843" w:type="dxa"/>
            <w:tcBorders>
              <w:top w:val="single" w:sz="4" w:space="0" w:color="auto"/>
              <w:bottom w:val="single" w:sz="4" w:space="0" w:color="auto"/>
            </w:tcBorders>
            <w:shd w:val="clear" w:color="auto" w:fill="auto"/>
          </w:tcPr>
          <w:p w14:paraId="482C27D6" w14:textId="77777777" w:rsidR="00735227" w:rsidRPr="00D66766" w:rsidRDefault="00735227" w:rsidP="00EF1A37">
            <w:pPr>
              <w:pStyle w:val="TableText"/>
              <w:keepNext/>
              <w:jc w:val="center"/>
              <w:rPr>
                <w:b/>
              </w:rPr>
            </w:pPr>
            <w:r w:rsidRPr="00D66766">
              <w:rPr>
                <w:b/>
              </w:rPr>
              <w:t>Non-smokers</w:t>
            </w:r>
          </w:p>
        </w:tc>
      </w:tr>
      <w:tr w:rsidR="00735227" w14:paraId="7B12CC92" w14:textId="77777777" w:rsidTr="00D66766">
        <w:trPr>
          <w:cantSplit/>
        </w:trPr>
        <w:tc>
          <w:tcPr>
            <w:tcW w:w="3544" w:type="dxa"/>
            <w:tcBorders>
              <w:top w:val="single" w:sz="4" w:space="0" w:color="auto"/>
              <w:bottom w:val="single" w:sz="4" w:space="0" w:color="A6A6A6" w:themeColor="background1" w:themeShade="A6"/>
            </w:tcBorders>
            <w:shd w:val="clear" w:color="auto" w:fill="auto"/>
          </w:tcPr>
          <w:p w14:paraId="024A9E1D" w14:textId="77777777" w:rsidR="00735227" w:rsidRPr="007B7915" w:rsidRDefault="00735227" w:rsidP="00EF1A37">
            <w:pPr>
              <w:pStyle w:val="TableText"/>
              <w:keepNext/>
            </w:pPr>
            <w:r w:rsidRPr="007B7915">
              <w:t>Total estimated number</w:t>
            </w:r>
          </w:p>
        </w:tc>
        <w:tc>
          <w:tcPr>
            <w:tcW w:w="1843" w:type="dxa"/>
            <w:tcBorders>
              <w:top w:val="single" w:sz="4" w:space="0" w:color="auto"/>
              <w:bottom w:val="single" w:sz="4" w:space="0" w:color="A6A6A6" w:themeColor="background1" w:themeShade="A6"/>
            </w:tcBorders>
            <w:shd w:val="clear" w:color="auto" w:fill="auto"/>
          </w:tcPr>
          <w:p w14:paraId="03A07C0E" w14:textId="77777777" w:rsidR="00735227" w:rsidRPr="007B7915" w:rsidRDefault="00735227" w:rsidP="00EF1A37">
            <w:pPr>
              <w:pStyle w:val="TableText"/>
              <w:keepNext/>
              <w:tabs>
                <w:tab w:val="decimal" w:pos="1219"/>
              </w:tabs>
            </w:pPr>
            <w:r>
              <w:t>626,0</w:t>
            </w:r>
            <w:r w:rsidRPr="007B7915">
              <w:t>00</w:t>
            </w:r>
          </w:p>
        </w:tc>
        <w:tc>
          <w:tcPr>
            <w:tcW w:w="1843" w:type="dxa"/>
            <w:tcBorders>
              <w:top w:val="single" w:sz="4" w:space="0" w:color="auto"/>
              <w:bottom w:val="single" w:sz="4" w:space="0" w:color="A6A6A6" w:themeColor="background1" w:themeShade="A6"/>
            </w:tcBorders>
            <w:shd w:val="clear" w:color="auto" w:fill="auto"/>
          </w:tcPr>
          <w:p w14:paraId="3EC3DD6F" w14:textId="77777777" w:rsidR="00735227" w:rsidRPr="007B7915" w:rsidRDefault="00735227" w:rsidP="00EF1A37">
            <w:pPr>
              <w:pStyle w:val="TableText"/>
              <w:keepNext/>
              <w:tabs>
                <w:tab w:val="decimal" w:pos="1360"/>
              </w:tabs>
            </w:pPr>
            <w:r>
              <w:t>2,897,0</w:t>
            </w:r>
            <w:r w:rsidRPr="007B7915">
              <w:t>00</w:t>
            </w:r>
          </w:p>
        </w:tc>
      </w:tr>
      <w:tr w:rsidR="00735227" w14:paraId="7EA42668" w14:textId="77777777" w:rsidTr="00D66766">
        <w:trPr>
          <w:cantSplit/>
        </w:trPr>
        <w:tc>
          <w:tcPr>
            <w:tcW w:w="3544" w:type="dxa"/>
            <w:tcBorders>
              <w:top w:val="single" w:sz="4" w:space="0" w:color="A6A6A6" w:themeColor="background1" w:themeShade="A6"/>
              <w:bottom w:val="single" w:sz="4" w:space="0" w:color="A6A6A6" w:themeColor="background1" w:themeShade="A6"/>
            </w:tcBorders>
            <w:shd w:val="clear" w:color="auto" w:fill="auto"/>
          </w:tcPr>
          <w:p w14:paraId="1B3EE51E" w14:textId="77777777" w:rsidR="00735227" w:rsidRPr="007B7915" w:rsidRDefault="00735227" w:rsidP="00EF1A37">
            <w:pPr>
              <w:pStyle w:val="TableText"/>
              <w:keepNext/>
            </w:pPr>
            <w:r w:rsidRPr="007B7915">
              <w:t>Males (%)</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56E86EE9" w14:textId="77777777" w:rsidR="00735227" w:rsidRPr="007B7915" w:rsidRDefault="00735227" w:rsidP="00EF1A37">
            <w:pPr>
              <w:pStyle w:val="TableText"/>
              <w:keepNext/>
              <w:tabs>
                <w:tab w:val="decimal" w:pos="1219"/>
              </w:tabs>
            </w:pPr>
            <w:r>
              <w:t>52</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2DF3D7A2" w14:textId="77777777" w:rsidR="00735227" w:rsidRPr="007B7915" w:rsidRDefault="00735227" w:rsidP="00EF1A37">
            <w:pPr>
              <w:pStyle w:val="TableText"/>
              <w:keepNext/>
              <w:tabs>
                <w:tab w:val="decimal" w:pos="1360"/>
              </w:tabs>
            </w:pPr>
            <w:r>
              <w:t>48</w:t>
            </w:r>
          </w:p>
        </w:tc>
      </w:tr>
      <w:tr w:rsidR="00735227" w14:paraId="012E0810" w14:textId="77777777" w:rsidTr="00D66766">
        <w:trPr>
          <w:cantSplit/>
        </w:trPr>
        <w:tc>
          <w:tcPr>
            <w:tcW w:w="3544" w:type="dxa"/>
            <w:tcBorders>
              <w:top w:val="single" w:sz="4" w:space="0" w:color="A6A6A6" w:themeColor="background1" w:themeShade="A6"/>
              <w:bottom w:val="single" w:sz="4" w:space="0" w:color="A6A6A6" w:themeColor="background1" w:themeShade="A6"/>
            </w:tcBorders>
            <w:shd w:val="clear" w:color="auto" w:fill="auto"/>
          </w:tcPr>
          <w:p w14:paraId="7A626BB3" w14:textId="77777777" w:rsidR="00735227" w:rsidRPr="007B7915" w:rsidRDefault="00735227" w:rsidP="00D66766">
            <w:pPr>
              <w:pStyle w:val="TableText"/>
            </w:pPr>
            <w:r w:rsidRPr="007B7915">
              <w:t>Females (%)</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2CCA9F0D" w14:textId="77777777" w:rsidR="00735227" w:rsidRPr="007B7915" w:rsidRDefault="00735227" w:rsidP="00D66766">
            <w:pPr>
              <w:pStyle w:val="TableText"/>
              <w:tabs>
                <w:tab w:val="decimal" w:pos="1219"/>
              </w:tabs>
            </w:pPr>
            <w:r>
              <w:t>48</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74447449" w14:textId="77777777" w:rsidR="00735227" w:rsidRPr="007B7915" w:rsidRDefault="00735227" w:rsidP="00D66766">
            <w:pPr>
              <w:pStyle w:val="TableText"/>
              <w:tabs>
                <w:tab w:val="decimal" w:pos="1360"/>
              </w:tabs>
            </w:pPr>
            <w:r>
              <w:t>52</w:t>
            </w:r>
          </w:p>
        </w:tc>
      </w:tr>
      <w:tr w:rsidR="00735227" w14:paraId="4A0977D5" w14:textId="77777777" w:rsidTr="00D66766">
        <w:trPr>
          <w:cantSplit/>
        </w:trPr>
        <w:tc>
          <w:tcPr>
            <w:tcW w:w="3544" w:type="dxa"/>
            <w:tcBorders>
              <w:top w:val="single" w:sz="4" w:space="0" w:color="A6A6A6" w:themeColor="background1" w:themeShade="A6"/>
              <w:bottom w:val="single" w:sz="4" w:space="0" w:color="A6A6A6" w:themeColor="background1" w:themeShade="A6"/>
            </w:tcBorders>
            <w:shd w:val="clear" w:color="auto" w:fill="auto"/>
          </w:tcPr>
          <w:p w14:paraId="5DF804E2" w14:textId="77777777" w:rsidR="00735227" w:rsidRPr="007B7915" w:rsidRDefault="00735227" w:rsidP="00D66766">
            <w:pPr>
              <w:pStyle w:val="TableText"/>
            </w:pPr>
            <w:r w:rsidRPr="007B7915">
              <w:t>Age distribution (%)</w:t>
            </w:r>
          </w:p>
          <w:p w14:paraId="0EE03F5A" w14:textId="77777777" w:rsidR="00735227" w:rsidRPr="007B7915" w:rsidRDefault="00735227" w:rsidP="00D66766">
            <w:pPr>
              <w:pStyle w:val="TableText"/>
              <w:ind w:left="284"/>
            </w:pPr>
            <w:r w:rsidRPr="007B7915">
              <w:t>15</w:t>
            </w:r>
            <w:r>
              <w:t>–</w:t>
            </w:r>
            <w:r w:rsidRPr="007B7915">
              <w:t>19 years</w:t>
            </w:r>
          </w:p>
          <w:p w14:paraId="4BEB1831" w14:textId="77777777" w:rsidR="00735227" w:rsidRPr="007B7915" w:rsidRDefault="00735227" w:rsidP="00D66766">
            <w:pPr>
              <w:pStyle w:val="TableText"/>
              <w:ind w:left="284"/>
            </w:pPr>
            <w:r w:rsidRPr="007B7915">
              <w:t>20</w:t>
            </w:r>
            <w:r>
              <w:t>–</w:t>
            </w:r>
            <w:r w:rsidRPr="007B7915">
              <w:t>24 years</w:t>
            </w:r>
          </w:p>
          <w:p w14:paraId="150BE7FF" w14:textId="77777777" w:rsidR="00735227" w:rsidRPr="007B7915" w:rsidRDefault="00735227" w:rsidP="00D66766">
            <w:pPr>
              <w:pStyle w:val="TableText"/>
              <w:ind w:left="284"/>
            </w:pPr>
            <w:r w:rsidRPr="007B7915">
              <w:t>25</w:t>
            </w:r>
            <w:r>
              <w:t>–</w:t>
            </w:r>
            <w:r w:rsidRPr="007B7915">
              <w:t>34 years</w:t>
            </w:r>
          </w:p>
          <w:p w14:paraId="04CFCD19" w14:textId="77777777" w:rsidR="00735227" w:rsidRPr="007B7915" w:rsidRDefault="00735227" w:rsidP="00D66766">
            <w:pPr>
              <w:pStyle w:val="TableText"/>
              <w:ind w:left="284"/>
            </w:pPr>
            <w:r w:rsidRPr="007B7915">
              <w:t>35</w:t>
            </w:r>
            <w:r>
              <w:t>–</w:t>
            </w:r>
            <w:r w:rsidRPr="007B7915">
              <w:t>44 years</w:t>
            </w:r>
          </w:p>
          <w:p w14:paraId="32FBF90C" w14:textId="77777777" w:rsidR="00735227" w:rsidRPr="007B7915" w:rsidRDefault="00735227" w:rsidP="00D66766">
            <w:pPr>
              <w:pStyle w:val="TableText"/>
              <w:ind w:left="284"/>
            </w:pPr>
            <w:r w:rsidRPr="007B7915">
              <w:t>45</w:t>
            </w:r>
            <w:r>
              <w:t>–</w:t>
            </w:r>
            <w:r w:rsidRPr="007B7915">
              <w:t>54 years</w:t>
            </w:r>
          </w:p>
          <w:p w14:paraId="078E0759" w14:textId="77777777" w:rsidR="00735227" w:rsidRPr="007B7915" w:rsidRDefault="00735227" w:rsidP="00D66766">
            <w:pPr>
              <w:pStyle w:val="TableText"/>
              <w:ind w:left="284"/>
            </w:pPr>
            <w:r w:rsidRPr="007B7915">
              <w:t>55</w:t>
            </w:r>
            <w:r>
              <w:t>–</w:t>
            </w:r>
            <w:r w:rsidRPr="007B7915">
              <w:t>64 years</w:t>
            </w:r>
          </w:p>
          <w:p w14:paraId="6EBC8778" w14:textId="77777777" w:rsidR="00735227" w:rsidRPr="007B7915" w:rsidRDefault="00735227" w:rsidP="00D66766">
            <w:pPr>
              <w:pStyle w:val="TableText"/>
              <w:ind w:left="284"/>
            </w:pPr>
            <w:r w:rsidRPr="007B7915">
              <w:t>65</w:t>
            </w:r>
            <w:r>
              <w:t>–</w:t>
            </w:r>
            <w:r w:rsidRPr="007B7915">
              <w:t>74 years</w:t>
            </w:r>
          </w:p>
          <w:p w14:paraId="51A5F1E4" w14:textId="77777777" w:rsidR="00735227" w:rsidRPr="007B7915" w:rsidRDefault="00735227" w:rsidP="00D66766">
            <w:pPr>
              <w:pStyle w:val="TableText"/>
              <w:ind w:left="284"/>
            </w:pPr>
            <w:r w:rsidRPr="007B7915">
              <w:t>75+ years</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663D95DC" w14:textId="77777777" w:rsidR="00735227" w:rsidRPr="007B7915" w:rsidRDefault="00735227" w:rsidP="00D66766">
            <w:pPr>
              <w:pStyle w:val="TableText"/>
              <w:tabs>
                <w:tab w:val="decimal" w:pos="1219"/>
              </w:tabs>
            </w:pPr>
          </w:p>
          <w:p w14:paraId="63AB178D" w14:textId="77777777" w:rsidR="00735227" w:rsidRDefault="00735227" w:rsidP="00D66766">
            <w:pPr>
              <w:pStyle w:val="TableText"/>
              <w:tabs>
                <w:tab w:val="decimal" w:pos="1219"/>
              </w:tabs>
            </w:pPr>
            <w:r>
              <w:t>6</w:t>
            </w:r>
          </w:p>
          <w:p w14:paraId="35B35503" w14:textId="77777777" w:rsidR="00735227" w:rsidRDefault="00735227" w:rsidP="00D66766">
            <w:pPr>
              <w:pStyle w:val="TableText"/>
              <w:tabs>
                <w:tab w:val="decimal" w:pos="1219"/>
              </w:tabs>
            </w:pPr>
            <w:r>
              <w:t>13</w:t>
            </w:r>
          </w:p>
          <w:p w14:paraId="3BD1374C" w14:textId="77777777" w:rsidR="00735227" w:rsidRDefault="00735227" w:rsidP="00D66766">
            <w:pPr>
              <w:pStyle w:val="TableText"/>
              <w:tabs>
                <w:tab w:val="decimal" w:pos="1219"/>
              </w:tabs>
            </w:pPr>
            <w:r>
              <w:t>23</w:t>
            </w:r>
          </w:p>
          <w:p w14:paraId="644324F7" w14:textId="77777777" w:rsidR="00735227" w:rsidRDefault="00735227" w:rsidP="00D66766">
            <w:pPr>
              <w:pStyle w:val="TableText"/>
              <w:tabs>
                <w:tab w:val="decimal" w:pos="1219"/>
              </w:tabs>
            </w:pPr>
            <w:r>
              <w:t>19</w:t>
            </w:r>
          </w:p>
          <w:p w14:paraId="7EEE0712" w14:textId="77777777" w:rsidR="00735227" w:rsidRDefault="00735227" w:rsidP="00D66766">
            <w:pPr>
              <w:pStyle w:val="TableText"/>
              <w:tabs>
                <w:tab w:val="decimal" w:pos="1219"/>
              </w:tabs>
            </w:pPr>
            <w:r>
              <w:t>20</w:t>
            </w:r>
          </w:p>
          <w:p w14:paraId="0C923A99" w14:textId="77777777" w:rsidR="00735227" w:rsidRDefault="00735227" w:rsidP="00D66766">
            <w:pPr>
              <w:pStyle w:val="TableText"/>
              <w:tabs>
                <w:tab w:val="decimal" w:pos="1219"/>
              </w:tabs>
            </w:pPr>
            <w:r>
              <w:t>12</w:t>
            </w:r>
          </w:p>
          <w:p w14:paraId="60DEB933" w14:textId="77777777" w:rsidR="00735227" w:rsidRDefault="00735227" w:rsidP="00D66766">
            <w:pPr>
              <w:pStyle w:val="TableText"/>
              <w:tabs>
                <w:tab w:val="decimal" w:pos="1219"/>
              </w:tabs>
            </w:pPr>
            <w:r>
              <w:t>5</w:t>
            </w:r>
          </w:p>
          <w:p w14:paraId="5B73CD84" w14:textId="0D461E02" w:rsidR="00735227" w:rsidRPr="007B7915" w:rsidRDefault="00236EFC" w:rsidP="00D66766">
            <w:pPr>
              <w:pStyle w:val="TableText"/>
              <w:tabs>
                <w:tab w:val="decimal" w:pos="1219"/>
              </w:tabs>
            </w:pPr>
            <w:r>
              <w:t>2</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04A021B1" w14:textId="77777777" w:rsidR="00735227" w:rsidRPr="007B7915" w:rsidRDefault="00735227" w:rsidP="00D66766">
            <w:pPr>
              <w:pStyle w:val="TableText"/>
              <w:tabs>
                <w:tab w:val="decimal" w:pos="1360"/>
              </w:tabs>
            </w:pPr>
          </w:p>
          <w:p w14:paraId="0E392386" w14:textId="77777777" w:rsidR="00735227" w:rsidRDefault="00735227" w:rsidP="00D66766">
            <w:pPr>
              <w:pStyle w:val="TableText"/>
              <w:tabs>
                <w:tab w:val="decimal" w:pos="1360"/>
              </w:tabs>
            </w:pPr>
            <w:r>
              <w:t>9</w:t>
            </w:r>
          </w:p>
          <w:p w14:paraId="41148334" w14:textId="77777777" w:rsidR="00735227" w:rsidRDefault="00735227" w:rsidP="00D66766">
            <w:pPr>
              <w:pStyle w:val="TableText"/>
              <w:tabs>
                <w:tab w:val="decimal" w:pos="1360"/>
              </w:tabs>
            </w:pPr>
            <w:r>
              <w:t>8</w:t>
            </w:r>
          </w:p>
          <w:p w14:paraId="4AFA2C38" w14:textId="77777777" w:rsidR="00735227" w:rsidRDefault="00735227" w:rsidP="00D66766">
            <w:pPr>
              <w:pStyle w:val="TableText"/>
              <w:tabs>
                <w:tab w:val="decimal" w:pos="1360"/>
              </w:tabs>
            </w:pPr>
            <w:r>
              <w:t>15</w:t>
            </w:r>
          </w:p>
          <w:p w14:paraId="7A7F415F" w14:textId="77777777" w:rsidR="00735227" w:rsidRDefault="00735227" w:rsidP="00D66766">
            <w:pPr>
              <w:pStyle w:val="TableText"/>
              <w:tabs>
                <w:tab w:val="decimal" w:pos="1360"/>
              </w:tabs>
            </w:pPr>
            <w:r>
              <w:t>16</w:t>
            </w:r>
          </w:p>
          <w:p w14:paraId="7EFBE254" w14:textId="77777777" w:rsidR="00735227" w:rsidRDefault="00735227" w:rsidP="00D66766">
            <w:pPr>
              <w:pStyle w:val="TableText"/>
              <w:tabs>
                <w:tab w:val="decimal" w:pos="1360"/>
              </w:tabs>
            </w:pPr>
            <w:r>
              <w:t>17</w:t>
            </w:r>
          </w:p>
          <w:p w14:paraId="2026A46F" w14:textId="77777777" w:rsidR="00735227" w:rsidRDefault="00735227" w:rsidP="00D66766">
            <w:pPr>
              <w:pStyle w:val="TableText"/>
              <w:tabs>
                <w:tab w:val="decimal" w:pos="1360"/>
              </w:tabs>
            </w:pPr>
            <w:r>
              <w:t>15</w:t>
            </w:r>
          </w:p>
          <w:p w14:paraId="057EE9CE" w14:textId="77777777" w:rsidR="00735227" w:rsidRDefault="00735227" w:rsidP="00D66766">
            <w:pPr>
              <w:pStyle w:val="TableText"/>
              <w:tabs>
                <w:tab w:val="decimal" w:pos="1360"/>
              </w:tabs>
            </w:pPr>
            <w:r>
              <w:t>11</w:t>
            </w:r>
          </w:p>
          <w:p w14:paraId="70DC2F24" w14:textId="77777777" w:rsidR="00735227" w:rsidRPr="007B7915" w:rsidRDefault="00735227" w:rsidP="00D66766">
            <w:pPr>
              <w:pStyle w:val="TableText"/>
              <w:tabs>
                <w:tab w:val="decimal" w:pos="1360"/>
              </w:tabs>
            </w:pPr>
            <w:r>
              <w:t>9</w:t>
            </w:r>
          </w:p>
        </w:tc>
      </w:tr>
      <w:tr w:rsidR="00735227" w14:paraId="29FBBD78" w14:textId="77777777" w:rsidTr="00D66766">
        <w:trPr>
          <w:cantSplit/>
        </w:trPr>
        <w:tc>
          <w:tcPr>
            <w:tcW w:w="3544" w:type="dxa"/>
            <w:tcBorders>
              <w:top w:val="single" w:sz="4" w:space="0" w:color="A6A6A6" w:themeColor="background1" w:themeShade="A6"/>
              <w:bottom w:val="single" w:sz="4" w:space="0" w:color="A6A6A6" w:themeColor="background1" w:themeShade="A6"/>
            </w:tcBorders>
            <w:shd w:val="clear" w:color="auto" w:fill="auto"/>
          </w:tcPr>
          <w:p w14:paraId="6846F4AD" w14:textId="77777777" w:rsidR="00735227" w:rsidRPr="007B7915" w:rsidRDefault="00735227" w:rsidP="00D66766">
            <w:pPr>
              <w:pStyle w:val="TableText"/>
            </w:pPr>
            <w:r w:rsidRPr="007B7915">
              <w:t>Mean age</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052589F0" w14:textId="77777777" w:rsidR="00735227" w:rsidRPr="007B7915" w:rsidRDefault="00735227" w:rsidP="00D66766">
            <w:pPr>
              <w:pStyle w:val="TableText"/>
              <w:tabs>
                <w:tab w:val="decimal" w:pos="1219"/>
              </w:tabs>
            </w:pPr>
            <w:r>
              <w:t>40</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0C295DAF" w14:textId="77777777" w:rsidR="00735227" w:rsidRPr="007B7915" w:rsidRDefault="00735227" w:rsidP="00D66766">
            <w:pPr>
              <w:pStyle w:val="TableText"/>
              <w:tabs>
                <w:tab w:val="decimal" w:pos="1360"/>
              </w:tabs>
            </w:pPr>
            <w:r>
              <w:t>46</w:t>
            </w:r>
          </w:p>
        </w:tc>
      </w:tr>
      <w:tr w:rsidR="00735227" w14:paraId="32264BE0" w14:textId="77777777" w:rsidTr="00D66766">
        <w:trPr>
          <w:cantSplit/>
        </w:trPr>
        <w:tc>
          <w:tcPr>
            <w:tcW w:w="3544" w:type="dxa"/>
            <w:tcBorders>
              <w:top w:val="single" w:sz="4" w:space="0" w:color="A6A6A6" w:themeColor="background1" w:themeShade="A6"/>
              <w:bottom w:val="single" w:sz="4" w:space="0" w:color="A6A6A6" w:themeColor="background1" w:themeShade="A6"/>
            </w:tcBorders>
            <w:shd w:val="clear" w:color="auto" w:fill="auto"/>
          </w:tcPr>
          <w:p w14:paraId="39A07598" w14:textId="77777777" w:rsidR="00735227" w:rsidRPr="007B7915" w:rsidRDefault="00735227" w:rsidP="00D66766">
            <w:pPr>
              <w:pStyle w:val="TableText"/>
            </w:pPr>
            <w:r w:rsidRPr="007B7915">
              <w:t>Ethnicity (%)</w:t>
            </w:r>
          </w:p>
          <w:p w14:paraId="5BCC0941" w14:textId="77777777" w:rsidR="00735227" w:rsidRPr="007B7915" w:rsidRDefault="00735227" w:rsidP="00D66766">
            <w:pPr>
              <w:pStyle w:val="TableText"/>
              <w:ind w:left="284"/>
              <w:rPr>
                <w:szCs w:val="24"/>
              </w:rPr>
            </w:pPr>
            <w:r w:rsidRPr="007B7915">
              <w:rPr>
                <w:szCs w:val="24"/>
              </w:rPr>
              <w:t>Māori</w:t>
            </w:r>
          </w:p>
          <w:p w14:paraId="3D8BF5EE" w14:textId="77777777" w:rsidR="00735227" w:rsidRPr="007B7915" w:rsidRDefault="00735227" w:rsidP="00D66766">
            <w:pPr>
              <w:pStyle w:val="TableText"/>
              <w:ind w:left="284"/>
              <w:rPr>
                <w:szCs w:val="24"/>
              </w:rPr>
            </w:pPr>
            <w:r w:rsidRPr="007B7915">
              <w:rPr>
                <w:szCs w:val="24"/>
              </w:rPr>
              <w:t>Pacific</w:t>
            </w:r>
          </w:p>
          <w:p w14:paraId="3D6673D8" w14:textId="77777777" w:rsidR="00735227" w:rsidRPr="007B7915" w:rsidRDefault="00735227" w:rsidP="00D66766">
            <w:pPr>
              <w:pStyle w:val="TableText"/>
              <w:ind w:left="284"/>
              <w:rPr>
                <w:szCs w:val="24"/>
              </w:rPr>
            </w:pPr>
            <w:r w:rsidRPr="007B7915">
              <w:rPr>
                <w:szCs w:val="24"/>
              </w:rPr>
              <w:t>Asian</w:t>
            </w:r>
          </w:p>
          <w:p w14:paraId="1E76EAC8" w14:textId="77777777" w:rsidR="00735227" w:rsidRPr="007B7915" w:rsidRDefault="00735227" w:rsidP="00D66766">
            <w:pPr>
              <w:pStyle w:val="TableText"/>
              <w:ind w:left="284"/>
              <w:rPr>
                <w:szCs w:val="24"/>
              </w:rPr>
            </w:pPr>
            <w:r w:rsidRPr="007B7915">
              <w:rPr>
                <w:szCs w:val="24"/>
              </w:rPr>
              <w:t>European/Other</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5319AECE" w14:textId="77777777" w:rsidR="00735227" w:rsidRPr="007B7915" w:rsidRDefault="00735227" w:rsidP="00D66766">
            <w:pPr>
              <w:pStyle w:val="TableText"/>
              <w:tabs>
                <w:tab w:val="decimal" w:pos="1219"/>
              </w:tabs>
            </w:pPr>
          </w:p>
          <w:p w14:paraId="1B53FEDD" w14:textId="77777777" w:rsidR="00735227" w:rsidRDefault="00735227" w:rsidP="00D66766">
            <w:pPr>
              <w:pStyle w:val="TableText"/>
              <w:tabs>
                <w:tab w:val="decimal" w:pos="1219"/>
              </w:tabs>
            </w:pPr>
            <w:r>
              <w:t>28</w:t>
            </w:r>
          </w:p>
          <w:p w14:paraId="00651897" w14:textId="77777777" w:rsidR="00735227" w:rsidRDefault="00735227" w:rsidP="00D66766">
            <w:pPr>
              <w:pStyle w:val="TableText"/>
              <w:tabs>
                <w:tab w:val="decimal" w:pos="1219"/>
              </w:tabs>
            </w:pPr>
            <w:r>
              <w:t>8</w:t>
            </w:r>
          </w:p>
          <w:p w14:paraId="416D0417" w14:textId="77777777" w:rsidR="00735227" w:rsidRDefault="00735227" w:rsidP="00D66766">
            <w:pPr>
              <w:pStyle w:val="TableText"/>
              <w:tabs>
                <w:tab w:val="decimal" w:pos="1219"/>
              </w:tabs>
            </w:pPr>
            <w:r>
              <w:t>7</w:t>
            </w:r>
          </w:p>
          <w:p w14:paraId="0E42B8C8" w14:textId="77777777" w:rsidR="00735227" w:rsidRPr="007B7915" w:rsidRDefault="00735227" w:rsidP="00D66766">
            <w:pPr>
              <w:pStyle w:val="TableText"/>
              <w:tabs>
                <w:tab w:val="decimal" w:pos="1219"/>
              </w:tabs>
            </w:pPr>
            <w:r>
              <w:t>67</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30B78B07" w14:textId="77777777" w:rsidR="00735227" w:rsidRPr="007B7915" w:rsidRDefault="00735227" w:rsidP="00D66766">
            <w:pPr>
              <w:pStyle w:val="TableText"/>
              <w:tabs>
                <w:tab w:val="decimal" w:pos="1360"/>
              </w:tabs>
            </w:pPr>
          </w:p>
          <w:p w14:paraId="0C5D5221" w14:textId="77777777" w:rsidR="00735227" w:rsidRDefault="00735227" w:rsidP="00D66766">
            <w:pPr>
              <w:pStyle w:val="TableText"/>
              <w:tabs>
                <w:tab w:val="decimal" w:pos="1360"/>
              </w:tabs>
            </w:pPr>
            <w:r>
              <w:t>9</w:t>
            </w:r>
          </w:p>
          <w:p w14:paraId="73247382" w14:textId="77777777" w:rsidR="00735227" w:rsidRDefault="00735227" w:rsidP="00D66766">
            <w:pPr>
              <w:pStyle w:val="TableText"/>
              <w:tabs>
                <w:tab w:val="decimal" w:pos="1360"/>
              </w:tabs>
            </w:pPr>
            <w:r>
              <w:t>5</w:t>
            </w:r>
          </w:p>
          <w:p w14:paraId="587032EB" w14:textId="77777777" w:rsidR="00735227" w:rsidRDefault="00735227" w:rsidP="00D66766">
            <w:pPr>
              <w:pStyle w:val="TableText"/>
              <w:tabs>
                <w:tab w:val="decimal" w:pos="1360"/>
              </w:tabs>
            </w:pPr>
            <w:r>
              <w:t>12</w:t>
            </w:r>
          </w:p>
          <w:p w14:paraId="635E4267" w14:textId="77777777" w:rsidR="00735227" w:rsidRPr="007B7915" w:rsidRDefault="00735227" w:rsidP="00D66766">
            <w:pPr>
              <w:pStyle w:val="TableText"/>
              <w:tabs>
                <w:tab w:val="decimal" w:pos="1360"/>
              </w:tabs>
            </w:pPr>
            <w:r>
              <w:t>78</w:t>
            </w:r>
          </w:p>
        </w:tc>
      </w:tr>
      <w:tr w:rsidR="00735227" w14:paraId="112FEB07" w14:textId="77777777" w:rsidTr="00D66766">
        <w:trPr>
          <w:cantSplit/>
        </w:trPr>
        <w:tc>
          <w:tcPr>
            <w:tcW w:w="3544" w:type="dxa"/>
            <w:tcBorders>
              <w:top w:val="single" w:sz="4" w:space="0" w:color="A6A6A6" w:themeColor="background1" w:themeShade="A6"/>
            </w:tcBorders>
            <w:shd w:val="clear" w:color="auto" w:fill="auto"/>
          </w:tcPr>
          <w:p w14:paraId="02399DC8" w14:textId="77777777" w:rsidR="00735227" w:rsidRPr="007B7915" w:rsidRDefault="00735227" w:rsidP="00D66766">
            <w:pPr>
              <w:pStyle w:val="TableText"/>
            </w:pPr>
            <w:r w:rsidRPr="007B7915">
              <w:t>Deprivation (%)</w:t>
            </w:r>
          </w:p>
          <w:p w14:paraId="7766A71E" w14:textId="77777777" w:rsidR="00735227" w:rsidRPr="007B7915" w:rsidRDefault="00735227" w:rsidP="00D66766">
            <w:pPr>
              <w:pStyle w:val="TableText"/>
              <w:ind w:left="284"/>
            </w:pPr>
            <w:r w:rsidRPr="007B7915">
              <w:t xml:space="preserve">Quintile </w:t>
            </w:r>
            <w:r>
              <w:t>1</w:t>
            </w:r>
            <w:r w:rsidRPr="007B7915">
              <w:t xml:space="preserve"> (least deprived)</w:t>
            </w:r>
          </w:p>
          <w:p w14:paraId="38262336" w14:textId="77777777" w:rsidR="00735227" w:rsidRPr="007B7915" w:rsidRDefault="00735227" w:rsidP="00D66766">
            <w:pPr>
              <w:pStyle w:val="TableText"/>
              <w:ind w:left="284"/>
            </w:pPr>
            <w:r w:rsidRPr="007B7915">
              <w:t xml:space="preserve">Quintile </w:t>
            </w:r>
            <w:r>
              <w:t>2</w:t>
            </w:r>
          </w:p>
          <w:p w14:paraId="2A219C05" w14:textId="77777777" w:rsidR="00735227" w:rsidRPr="007B7915" w:rsidRDefault="00735227" w:rsidP="00D66766">
            <w:pPr>
              <w:pStyle w:val="TableText"/>
              <w:ind w:left="284"/>
            </w:pPr>
            <w:r w:rsidRPr="007B7915">
              <w:t xml:space="preserve">Quintile </w:t>
            </w:r>
            <w:r>
              <w:t>3</w:t>
            </w:r>
          </w:p>
          <w:p w14:paraId="666B37A4" w14:textId="77777777" w:rsidR="00735227" w:rsidRPr="007B7915" w:rsidRDefault="00735227" w:rsidP="00D66766">
            <w:pPr>
              <w:pStyle w:val="TableText"/>
              <w:ind w:left="284"/>
            </w:pPr>
            <w:r w:rsidRPr="007B7915">
              <w:t xml:space="preserve">Quintile </w:t>
            </w:r>
            <w:r>
              <w:t>4</w:t>
            </w:r>
          </w:p>
          <w:p w14:paraId="3A4287E3" w14:textId="77777777" w:rsidR="00735227" w:rsidRPr="007B7915" w:rsidRDefault="00735227" w:rsidP="00D66766">
            <w:pPr>
              <w:pStyle w:val="TableText"/>
              <w:ind w:left="284"/>
            </w:pPr>
            <w:r w:rsidRPr="007B7915">
              <w:t xml:space="preserve">Quintile </w:t>
            </w:r>
            <w:r>
              <w:t>5</w:t>
            </w:r>
            <w:r w:rsidRPr="007B7915">
              <w:t xml:space="preserve"> (most deprived)</w:t>
            </w:r>
          </w:p>
        </w:tc>
        <w:tc>
          <w:tcPr>
            <w:tcW w:w="1843" w:type="dxa"/>
            <w:tcBorders>
              <w:top w:val="single" w:sz="4" w:space="0" w:color="A6A6A6" w:themeColor="background1" w:themeShade="A6"/>
            </w:tcBorders>
            <w:shd w:val="clear" w:color="auto" w:fill="auto"/>
          </w:tcPr>
          <w:p w14:paraId="2563EC3A" w14:textId="77777777" w:rsidR="00735227" w:rsidRPr="007B7915" w:rsidRDefault="00735227" w:rsidP="00D66766">
            <w:pPr>
              <w:pStyle w:val="TableText"/>
              <w:tabs>
                <w:tab w:val="decimal" w:pos="1219"/>
              </w:tabs>
            </w:pPr>
          </w:p>
          <w:p w14:paraId="056A41F8" w14:textId="77777777" w:rsidR="00735227" w:rsidRPr="007B7915" w:rsidRDefault="00735227" w:rsidP="00D66766">
            <w:pPr>
              <w:pStyle w:val="TableText"/>
              <w:tabs>
                <w:tab w:val="decimal" w:pos="1219"/>
              </w:tabs>
            </w:pPr>
            <w:r>
              <w:t>13</w:t>
            </w:r>
          </w:p>
          <w:p w14:paraId="587172DA" w14:textId="77777777" w:rsidR="00735227" w:rsidRDefault="00735227" w:rsidP="00D66766">
            <w:pPr>
              <w:pStyle w:val="TableText"/>
              <w:tabs>
                <w:tab w:val="decimal" w:pos="1219"/>
              </w:tabs>
            </w:pPr>
            <w:r>
              <w:t>15</w:t>
            </w:r>
          </w:p>
          <w:p w14:paraId="134FF209" w14:textId="77777777" w:rsidR="00735227" w:rsidRDefault="00735227" w:rsidP="00D66766">
            <w:pPr>
              <w:pStyle w:val="TableText"/>
              <w:tabs>
                <w:tab w:val="decimal" w:pos="1219"/>
              </w:tabs>
            </w:pPr>
            <w:r>
              <w:t>18</w:t>
            </w:r>
          </w:p>
          <w:p w14:paraId="7D04F8C4" w14:textId="77777777" w:rsidR="00735227" w:rsidRDefault="00735227" w:rsidP="00D66766">
            <w:pPr>
              <w:pStyle w:val="TableText"/>
              <w:tabs>
                <w:tab w:val="decimal" w:pos="1219"/>
              </w:tabs>
            </w:pPr>
            <w:r>
              <w:t>22</w:t>
            </w:r>
          </w:p>
          <w:p w14:paraId="42C86B91" w14:textId="77777777" w:rsidR="00735227" w:rsidRPr="007B7915" w:rsidRDefault="00735227" w:rsidP="00D66766">
            <w:pPr>
              <w:pStyle w:val="TableText"/>
              <w:tabs>
                <w:tab w:val="decimal" w:pos="1219"/>
              </w:tabs>
            </w:pPr>
            <w:r>
              <w:t>32</w:t>
            </w:r>
          </w:p>
        </w:tc>
        <w:tc>
          <w:tcPr>
            <w:tcW w:w="1843" w:type="dxa"/>
            <w:tcBorders>
              <w:top w:val="single" w:sz="4" w:space="0" w:color="A6A6A6" w:themeColor="background1" w:themeShade="A6"/>
            </w:tcBorders>
            <w:shd w:val="clear" w:color="auto" w:fill="auto"/>
          </w:tcPr>
          <w:p w14:paraId="1DD376F7" w14:textId="77777777" w:rsidR="00735227" w:rsidRPr="007B7915" w:rsidRDefault="00735227" w:rsidP="00D66766">
            <w:pPr>
              <w:pStyle w:val="TableText"/>
              <w:tabs>
                <w:tab w:val="decimal" w:pos="1360"/>
              </w:tabs>
            </w:pPr>
          </w:p>
          <w:p w14:paraId="54879AAD" w14:textId="77777777" w:rsidR="00735227" w:rsidRDefault="00735227" w:rsidP="00D66766">
            <w:pPr>
              <w:pStyle w:val="TableText"/>
              <w:tabs>
                <w:tab w:val="decimal" w:pos="1360"/>
              </w:tabs>
            </w:pPr>
            <w:r>
              <w:t>22</w:t>
            </w:r>
          </w:p>
          <w:p w14:paraId="7145BA7B" w14:textId="77777777" w:rsidR="00735227" w:rsidRDefault="00735227" w:rsidP="00D66766">
            <w:pPr>
              <w:pStyle w:val="TableText"/>
              <w:tabs>
                <w:tab w:val="decimal" w:pos="1360"/>
              </w:tabs>
            </w:pPr>
            <w:r>
              <w:t>22</w:t>
            </w:r>
          </w:p>
          <w:p w14:paraId="1B100682" w14:textId="77777777" w:rsidR="00735227" w:rsidRDefault="00735227" w:rsidP="00D66766">
            <w:pPr>
              <w:pStyle w:val="TableText"/>
              <w:tabs>
                <w:tab w:val="decimal" w:pos="1360"/>
              </w:tabs>
            </w:pPr>
            <w:r>
              <w:t>21</w:t>
            </w:r>
          </w:p>
          <w:p w14:paraId="50D66C96" w14:textId="77777777" w:rsidR="00735227" w:rsidRDefault="00735227" w:rsidP="00D66766">
            <w:pPr>
              <w:pStyle w:val="TableText"/>
              <w:tabs>
                <w:tab w:val="decimal" w:pos="1360"/>
              </w:tabs>
            </w:pPr>
            <w:r>
              <w:t>20</w:t>
            </w:r>
          </w:p>
          <w:p w14:paraId="4D109BA5" w14:textId="77777777" w:rsidR="00735227" w:rsidRPr="007B7915" w:rsidRDefault="00735227" w:rsidP="00D66766">
            <w:pPr>
              <w:pStyle w:val="TableText"/>
              <w:tabs>
                <w:tab w:val="decimal" w:pos="1360"/>
              </w:tabs>
            </w:pPr>
            <w:r>
              <w:t>16</w:t>
            </w:r>
          </w:p>
        </w:tc>
      </w:tr>
    </w:tbl>
    <w:p w14:paraId="76581619" w14:textId="77777777" w:rsidR="00735227" w:rsidRDefault="00735227" w:rsidP="00D66766">
      <w:pPr>
        <w:pStyle w:val="TableNote"/>
        <w:ind w:right="2155"/>
      </w:pPr>
      <w:r>
        <w:t>Source: 2012/13 NZHS</w:t>
      </w:r>
    </w:p>
    <w:p w14:paraId="2C54C3E1" w14:textId="04D09CF8" w:rsidR="00735227" w:rsidRDefault="00735227" w:rsidP="007E56E3">
      <w:pPr>
        <w:pStyle w:val="TableNote"/>
        <w:ind w:left="0" w:right="2155" w:firstLine="0"/>
      </w:pPr>
      <w:r>
        <w:t>Note: Total r</w:t>
      </w:r>
      <w:r w:rsidR="00236EFC">
        <w:t>esponse ethnicity has been used, so the total for all ethnic groups combined is 100%</w:t>
      </w:r>
      <w:r w:rsidR="007E56E3">
        <w:t>.</w:t>
      </w:r>
    </w:p>
    <w:p w14:paraId="4AEB5FE3" w14:textId="77777777" w:rsidR="00735227" w:rsidRDefault="00735227" w:rsidP="00735227"/>
    <w:p w14:paraId="42CA5670" w14:textId="77777777" w:rsidR="00735227" w:rsidRPr="00D66766" w:rsidRDefault="00735227" w:rsidP="00D66766">
      <w:pPr>
        <w:pStyle w:val="Heading2"/>
      </w:pPr>
      <w:bookmarkStart w:id="97" w:name="_Toc400136621"/>
      <w:bookmarkStart w:id="98" w:name="_Toc404091080"/>
      <w:r w:rsidRPr="004B7288">
        <w:t>Smoking in youth</w:t>
      </w:r>
      <w:bookmarkEnd w:id="97"/>
      <w:bookmarkEnd w:id="98"/>
    </w:p>
    <w:p w14:paraId="6762F1C2" w14:textId="77777777" w:rsidR="00735227" w:rsidRPr="008519FF" w:rsidRDefault="00735227" w:rsidP="00D66766">
      <w:pPr>
        <w:pStyle w:val="Heading3"/>
      </w:pPr>
      <w:r>
        <w:t>The y</w:t>
      </w:r>
      <w:r w:rsidRPr="008519FF">
        <w:t>outh smoking rate has fallen</w:t>
      </w:r>
    </w:p>
    <w:p w14:paraId="59E18EF8" w14:textId="77777777" w:rsidR="007066D2" w:rsidRDefault="00735227" w:rsidP="007E56E3">
      <w:pPr>
        <w:keepNext/>
      </w:pPr>
      <w:r>
        <w:t>Since 2006, there has been a significant decline in current smoking among young people aged 15–19 years, from 20% in 2006 to 13% in 2012/13. Although there was a significant decrease in young female smoking rates during this period (21% and 10% respectively), there was no significant change for their male counterparts (Figure 5).</w:t>
      </w:r>
    </w:p>
    <w:p w14:paraId="3D36A4B9" w14:textId="77777777" w:rsidR="00735227" w:rsidRDefault="00735227" w:rsidP="007E56E3">
      <w:pPr>
        <w:keepNext/>
        <w:rPr>
          <w:lang w:eastAsia="en-NZ"/>
        </w:rPr>
      </w:pPr>
    </w:p>
    <w:p w14:paraId="745A24DF" w14:textId="77777777" w:rsidR="007066D2" w:rsidRDefault="00735227" w:rsidP="007E56E3">
      <w:pPr>
        <w:keepNext/>
        <w:rPr>
          <w:lang w:eastAsia="en-NZ"/>
        </w:rPr>
      </w:pPr>
      <w:r>
        <w:rPr>
          <w:lang w:eastAsia="en-NZ"/>
        </w:rPr>
        <w:t>One in ten (10%) young people aged 15–19 years was a daily smoker in 2012/13.</w:t>
      </w:r>
      <w:r w:rsidRPr="00B21A81">
        <w:rPr>
          <w:lang w:eastAsia="en-NZ"/>
        </w:rPr>
        <w:t xml:space="preserve"> </w:t>
      </w:r>
      <w:r>
        <w:rPr>
          <w:lang w:eastAsia="en-NZ"/>
        </w:rPr>
        <w:t>There were no significant differences by sex for current or daily smoking.</w:t>
      </w:r>
    </w:p>
    <w:p w14:paraId="41456CC8" w14:textId="77777777" w:rsidR="00735227" w:rsidRDefault="00735227" w:rsidP="007E56E3">
      <w:pPr>
        <w:keepNext/>
      </w:pPr>
    </w:p>
    <w:p w14:paraId="1F6B128B" w14:textId="77777777" w:rsidR="00735227" w:rsidRDefault="00735227" w:rsidP="00D66766">
      <w:pPr>
        <w:pStyle w:val="Figure"/>
      </w:pPr>
      <w:bookmarkStart w:id="99" w:name="_Toc399920488"/>
      <w:bookmarkStart w:id="100" w:name="OLE_LINK2"/>
      <w:bookmarkStart w:id="101" w:name="_Toc404258414"/>
      <w:r>
        <w:t xml:space="preserve">Figure </w:t>
      </w:r>
      <w:r w:rsidR="00D66766">
        <w:t>5</w:t>
      </w:r>
      <w:r w:rsidRPr="002D5917">
        <w:t>:</w:t>
      </w:r>
      <w:r w:rsidR="00D66766">
        <w:t xml:space="preserve"> </w:t>
      </w:r>
      <w:r w:rsidRPr="002D5917">
        <w:t>Current smoking among young people aged 15</w:t>
      </w:r>
      <w:r>
        <w:t>–</w:t>
      </w:r>
      <w:r w:rsidRPr="002D5917">
        <w:t>19 years, by sex, between 2006 and 2012</w:t>
      </w:r>
      <w:bookmarkEnd w:id="99"/>
      <w:bookmarkEnd w:id="100"/>
      <w:bookmarkEnd w:id="101"/>
    </w:p>
    <w:p w14:paraId="69B328D3" w14:textId="77777777" w:rsidR="00735227" w:rsidRPr="00155649" w:rsidRDefault="004C36FA" w:rsidP="004C36FA">
      <w:pPr>
        <w:rPr>
          <w:lang w:eastAsia="en-US"/>
        </w:rPr>
      </w:pPr>
      <w:r w:rsidRPr="004C36FA">
        <w:rPr>
          <w:noProof/>
          <w:lang w:eastAsia="en-NZ"/>
        </w:rPr>
        <w:drawing>
          <wp:inline distT="0" distB="0" distL="0" distR="0" wp14:anchorId="0CE212AE" wp14:editId="57F34B84">
            <wp:extent cx="4380808" cy="2534807"/>
            <wp:effectExtent l="0" t="0" r="1270" b="0"/>
            <wp:docPr id="10" name="Picture 10" title="Figure 5: Current smoking among young people aged 15–19 years, by sex, between 2006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r="11012" b="15596"/>
                    <a:stretch/>
                  </pic:blipFill>
                  <pic:spPr bwMode="auto">
                    <a:xfrm>
                      <a:off x="0" y="0"/>
                      <a:ext cx="4380280" cy="2534501"/>
                    </a:xfrm>
                    <a:prstGeom prst="rect">
                      <a:avLst/>
                    </a:prstGeom>
                    <a:ln>
                      <a:noFill/>
                    </a:ln>
                    <a:extLst>
                      <a:ext uri="{53640926-AAD7-44D8-BBD7-CCE9431645EC}">
                        <a14:shadowObscured xmlns:a14="http://schemas.microsoft.com/office/drawing/2010/main"/>
                      </a:ext>
                    </a:extLst>
                  </pic:spPr>
                </pic:pic>
              </a:graphicData>
            </a:graphic>
          </wp:inline>
        </w:drawing>
      </w:r>
    </w:p>
    <w:p w14:paraId="193207B0" w14:textId="77777777" w:rsidR="00735227" w:rsidRPr="00E42454" w:rsidRDefault="00735227" w:rsidP="00D66766">
      <w:pPr>
        <w:pStyle w:val="Source"/>
      </w:pPr>
      <w:r>
        <w:t>Source: 2006/07 NZHS, 2012/13 NZHS</w:t>
      </w:r>
    </w:p>
    <w:p w14:paraId="2F5DA708" w14:textId="77777777" w:rsidR="00735227" w:rsidRDefault="00735227" w:rsidP="00D66766"/>
    <w:p w14:paraId="36DDAB4F" w14:textId="77777777" w:rsidR="00735227" w:rsidRPr="008519FF" w:rsidRDefault="00735227" w:rsidP="00D66766">
      <w:pPr>
        <w:pStyle w:val="Heading3"/>
      </w:pPr>
      <w:r w:rsidRPr="008519FF">
        <w:t>Smoking is most common among Māori youth</w:t>
      </w:r>
    </w:p>
    <w:p w14:paraId="7101C186" w14:textId="77777777" w:rsidR="00735227" w:rsidRDefault="00735227" w:rsidP="00D66766">
      <w:r>
        <w:t xml:space="preserve">Like their adult counterparts, Māori young people had the highest prevalence of current smoking (Table 8). One in four Māori </w:t>
      </w:r>
      <w:r w:rsidR="001E3188">
        <w:t>(25%) aged 15–19 years was a smoker</w:t>
      </w:r>
      <w:r>
        <w:t xml:space="preserve">. After adjusting for age and sex differences, Māori </w:t>
      </w:r>
      <w:r w:rsidR="005D12FD">
        <w:t xml:space="preserve">young people </w:t>
      </w:r>
      <w:r>
        <w:t>were 2.5 times more likely than non-Māori to be smokers (Table 9).</w:t>
      </w:r>
    </w:p>
    <w:p w14:paraId="6B6A2AFC" w14:textId="77777777" w:rsidR="00735227" w:rsidRDefault="00735227" w:rsidP="00D66766"/>
    <w:p w14:paraId="630008BF" w14:textId="77777777" w:rsidR="00735227" w:rsidRPr="009D7A24" w:rsidRDefault="00735227" w:rsidP="00D66766">
      <w:pPr>
        <w:pStyle w:val="Table"/>
      </w:pPr>
      <w:bookmarkStart w:id="102" w:name="_Toc399920519"/>
      <w:bookmarkStart w:id="103" w:name="_Toc404091108"/>
      <w:r>
        <w:t xml:space="preserve">Table </w:t>
      </w:r>
      <w:r w:rsidR="00D66766">
        <w:t>8</w:t>
      </w:r>
      <w:r w:rsidRPr="00CF063F">
        <w:t>:</w:t>
      </w:r>
      <w:r w:rsidR="00D66766">
        <w:t xml:space="preserve"> </w:t>
      </w:r>
      <w:r w:rsidRPr="00CF063F">
        <w:t>Current smoking in youth aged 15</w:t>
      </w:r>
      <w:r>
        <w:t>–</w:t>
      </w:r>
      <w:r w:rsidRPr="00CF063F">
        <w:t>19 years, by ethnic group, 2012</w:t>
      </w:r>
      <w:bookmarkEnd w:id="102"/>
      <w:bookmarkEnd w:id="10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735227" w:rsidRPr="00D66766" w14:paraId="1A17376A" w14:textId="77777777" w:rsidTr="00D66766">
        <w:trPr>
          <w:cantSplit/>
        </w:trPr>
        <w:tc>
          <w:tcPr>
            <w:tcW w:w="3080" w:type="dxa"/>
            <w:tcBorders>
              <w:top w:val="single" w:sz="4" w:space="0" w:color="auto"/>
              <w:bottom w:val="single" w:sz="4" w:space="0" w:color="auto"/>
            </w:tcBorders>
            <w:shd w:val="clear" w:color="auto" w:fill="auto"/>
          </w:tcPr>
          <w:p w14:paraId="135C6354" w14:textId="77777777" w:rsidR="00735227" w:rsidRPr="00D66766" w:rsidRDefault="00735227" w:rsidP="00D66766">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5A5B3C1F" w14:textId="77777777" w:rsidR="00735227" w:rsidRPr="00D66766" w:rsidRDefault="00735227" w:rsidP="00D66766">
            <w:pPr>
              <w:pStyle w:val="TableText"/>
              <w:jc w:val="center"/>
              <w:rPr>
                <w:b/>
              </w:rPr>
            </w:pPr>
            <w:r w:rsidRPr="00D66766">
              <w:rPr>
                <w:b/>
              </w:rPr>
              <w:t>Prevalence</w:t>
            </w:r>
            <w:r w:rsidR="00ED26A0">
              <w:rPr>
                <w:b/>
              </w:rPr>
              <w:t xml:space="preserve"> (%)</w:t>
            </w:r>
          </w:p>
        </w:tc>
        <w:tc>
          <w:tcPr>
            <w:tcW w:w="2075" w:type="dxa"/>
            <w:tcBorders>
              <w:top w:val="single" w:sz="4" w:space="0" w:color="auto"/>
              <w:bottom w:val="single" w:sz="4" w:space="0" w:color="auto"/>
            </w:tcBorders>
            <w:shd w:val="clear" w:color="auto" w:fill="auto"/>
          </w:tcPr>
          <w:p w14:paraId="791E4A59" w14:textId="77777777" w:rsidR="00735227" w:rsidRPr="00D66766" w:rsidRDefault="00735227" w:rsidP="00D66766">
            <w:pPr>
              <w:pStyle w:val="TableText"/>
              <w:jc w:val="center"/>
              <w:rPr>
                <w:b/>
              </w:rPr>
            </w:pPr>
            <w:r w:rsidRPr="00D66766">
              <w:rPr>
                <w:b/>
              </w:rPr>
              <w:t>Estimated number</w:t>
            </w:r>
          </w:p>
        </w:tc>
      </w:tr>
      <w:tr w:rsidR="00735227" w14:paraId="0F3BF704" w14:textId="77777777" w:rsidTr="00D66766">
        <w:trPr>
          <w:cantSplit/>
        </w:trPr>
        <w:tc>
          <w:tcPr>
            <w:tcW w:w="3080" w:type="dxa"/>
            <w:tcBorders>
              <w:top w:val="single" w:sz="4" w:space="0" w:color="auto"/>
              <w:bottom w:val="single" w:sz="4" w:space="0" w:color="A6A6A6" w:themeColor="background1" w:themeShade="A6"/>
            </w:tcBorders>
            <w:shd w:val="clear" w:color="auto" w:fill="auto"/>
          </w:tcPr>
          <w:p w14:paraId="07B59363" w14:textId="77777777" w:rsidR="00735227" w:rsidRPr="007B7915" w:rsidRDefault="00735227" w:rsidP="00D66766">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tcPr>
          <w:p w14:paraId="5BE3E114" w14:textId="77777777" w:rsidR="00735227" w:rsidRPr="007B7915" w:rsidRDefault="00735227" w:rsidP="00D66766">
            <w:pPr>
              <w:pStyle w:val="TableText"/>
              <w:tabs>
                <w:tab w:val="decimal" w:pos="1116"/>
              </w:tabs>
              <w:rPr>
                <w:rFonts w:cs="Arial"/>
                <w:color w:val="000000"/>
                <w:szCs w:val="24"/>
              </w:rPr>
            </w:pPr>
            <w:r>
              <w:rPr>
                <w:rFonts w:cs="Arial"/>
                <w:color w:val="000000"/>
                <w:szCs w:val="24"/>
              </w:rPr>
              <w:t>25</w:t>
            </w:r>
          </w:p>
        </w:tc>
        <w:tc>
          <w:tcPr>
            <w:tcW w:w="2075" w:type="dxa"/>
            <w:tcBorders>
              <w:top w:val="single" w:sz="4" w:space="0" w:color="auto"/>
              <w:bottom w:val="single" w:sz="4" w:space="0" w:color="A6A6A6" w:themeColor="background1" w:themeShade="A6"/>
            </w:tcBorders>
            <w:shd w:val="clear" w:color="auto" w:fill="auto"/>
          </w:tcPr>
          <w:p w14:paraId="503EAB3C" w14:textId="77777777" w:rsidR="00735227" w:rsidRPr="007B7915" w:rsidRDefault="00735227" w:rsidP="00D66766">
            <w:pPr>
              <w:pStyle w:val="TableText"/>
              <w:tabs>
                <w:tab w:val="decimal" w:pos="1216"/>
              </w:tabs>
              <w:rPr>
                <w:rFonts w:cs="Arial"/>
                <w:color w:val="000000"/>
                <w:szCs w:val="24"/>
              </w:rPr>
            </w:pPr>
            <w:r>
              <w:rPr>
                <w:rFonts w:cs="Arial"/>
                <w:color w:val="000000"/>
                <w:szCs w:val="24"/>
              </w:rPr>
              <w:t>15,0</w:t>
            </w:r>
            <w:r w:rsidRPr="007B7915">
              <w:rPr>
                <w:rFonts w:cs="Arial"/>
                <w:color w:val="000000"/>
                <w:szCs w:val="24"/>
              </w:rPr>
              <w:t>00</w:t>
            </w:r>
          </w:p>
        </w:tc>
      </w:tr>
      <w:tr w:rsidR="00735227" w14:paraId="3F8873B1" w14:textId="77777777" w:rsidTr="00D66766">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0A7FFC3E" w14:textId="77777777" w:rsidR="00735227" w:rsidRPr="007B7915" w:rsidRDefault="00735227" w:rsidP="00D66766">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6AFC9B4E" w14:textId="77777777" w:rsidR="00735227" w:rsidRPr="007B7915" w:rsidRDefault="00735227" w:rsidP="00D66766">
            <w:pPr>
              <w:pStyle w:val="TableText"/>
              <w:tabs>
                <w:tab w:val="decimal" w:pos="1116"/>
              </w:tabs>
              <w:rPr>
                <w:rFonts w:cs="Arial"/>
                <w:color w:val="000000"/>
                <w:szCs w:val="24"/>
              </w:rPr>
            </w:pPr>
            <w:r>
              <w:rPr>
                <w:rFonts w:cs="Arial"/>
                <w:color w:val="000000"/>
                <w:szCs w:val="24"/>
              </w:rPr>
              <w:t>11</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77DEF5CB" w14:textId="77777777" w:rsidR="00735227" w:rsidRPr="007B7915" w:rsidRDefault="00735227" w:rsidP="00D66766">
            <w:pPr>
              <w:pStyle w:val="TableText"/>
              <w:tabs>
                <w:tab w:val="decimal" w:pos="1216"/>
              </w:tabs>
              <w:rPr>
                <w:rFonts w:cs="Arial"/>
                <w:color w:val="000000"/>
                <w:szCs w:val="24"/>
              </w:rPr>
            </w:pPr>
            <w:r>
              <w:rPr>
                <w:rFonts w:cs="Arial"/>
                <w:color w:val="000000"/>
                <w:szCs w:val="24"/>
              </w:rPr>
              <w:t>30</w:t>
            </w:r>
            <w:r w:rsidRPr="007B7915">
              <w:rPr>
                <w:rFonts w:cs="Arial"/>
                <w:color w:val="000000"/>
                <w:szCs w:val="24"/>
              </w:rPr>
              <w:t>00</w:t>
            </w:r>
          </w:p>
        </w:tc>
      </w:tr>
      <w:tr w:rsidR="00735227" w14:paraId="1A430D80" w14:textId="77777777" w:rsidTr="00D66766">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70CB2C62" w14:textId="77777777" w:rsidR="00735227" w:rsidRPr="007B7915" w:rsidRDefault="00735227" w:rsidP="00D66766">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3D7298B3" w14:textId="773D87E3" w:rsidR="00735227" w:rsidRPr="007B7915" w:rsidRDefault="005440CD" w:rsidP="00D66766">
            <w:pPr>
              <w:pStyle w:val="TableText"/>
              <w:tabs>
                <w:tab w:val="decimal" w:pos="1116"/>
              </w:tabs>
              <w:rPr>
                <w:rFonts w:cs="Arial"/>
                <w:color w:val="000000"/>
                <w:szCs w:val="24"/>
              </w:rPr>
            </w:pPr>
            <w:r>
              <w:rPr>
                <w:rFonts w:cs="Arial"/>
                <w:color w:val="000000"/>
                <w:szCs w:val="24"/>
              </w:rPr>
              <w:t>6</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7058D07C" w14:textId="77777777" w:rsidR="00735227" w:rsidRPr="007B7915" w:rsidRDefault="00735227" w:rsidP="00D66766">
            <w:pPr>
              <w:pStyle w:val="TableText"/>
              <w:tabs>
                <w:tab w:val="decimal" w:pos="1216"/>
              </w:tabs>
              <w:rPr>
                <w:rFonts w:cs="Arial"/>
                <w:color w:val="000000"/>
                <w:szCs w:val="24"/>
              </w:rPr>
            </w:pPr>
            <w:r>
              <w:rPr>
                <w:rFonts w:cs="Arial"/>
                <w:color w:val="000000"/>
                <w:szCs w:val="24"/>
              </w:rPr>
              <w:t>30</w:t>
            </w:r>
            <w:r w:rsidRPr="007B7915">
              <w:rPr>
                <w:rFonts w:cs="Arial"/>
                <w:color w:val="000000"/>
                <w:szCs w:val="24"/>
              </w:rPr>
              <w:t>00</w:t>
            </w:r>
          </w:p>
        </w:tc>
      </w:tr>
      <w:tr w:rsidR="00735227" w14:paraId="2E906862" w14:textId="77777777" w:rsidTr="00D66766">
        <w:trPr>
          <w:cantSplit/>
        </w:trPr>
        <w:tc>
          <w:tcPr>
            <w:tcW w:w="3080" w:type="dxa"/>
            <w:tcBorders>
              <w:top w:val="single" w:sz="4" w:space="0" w:color="A6A6A6" w:themeColor="background1" w:themeShade="A6"/>
            </w:tcBorders>
            <w:shd w:val="clear" w:color="auto" w:fill="auto"/>
          </w:tcPr>
          <w:p w14:paraId="1969A312" w14:textId="77777777" w:rsidR="00735227" w:rsidRPr="007B7915" w:rsidRDefault="00735227" w:rsidP="00D66766">
            <w:pPr>
              <w:pStyle w:val="TableText"/>
            </w:pPr>
            <w:r w:rsidRPr="007B7915">
              <w:t>European/Other</w:t>
            </w:r>
          </w:p>
        </w:tc>
        <w:tc>
          <w:tcPr>
            <w:tcW w:w="2075" w:type="dxa"/>
            <w:tcBorders>
              <w:top w:val="single" w:sz="4" w:space="0" w:color="A6A6A6" w:themeColor="background1" w:themeShade="A6"/>
            </w:tcBorders>
            <w:shd w:val="clear" w:color="auto" w:fill="auto"/>
          </w:tcPr>
          <w:p w14:paraId="04A1AC87" w14:textId="77777777" w:rsidR="00735227" w:rsidRPr="007B7915" w:rsidRDefault="00735227" w:rsidP="00D66766">
            <w:pPr>
              <w:pStyle w:val="TableText"/>
              <w:tabs>
                <w:tab w:val="decimal" w:pos="1116"/>
              </w:tabs>
              <w:rPr>
                <w:rFonts w:cs="Arial"/>
                <w:color w:val="000000"/>
                <w:szCs w:val="24"/>
              </w:rPr>
            </w:pPr>
            <w:r>
              <w:rPr>
                <w:rFonts w:cs="Arial"/>
                <w:color w:val="000000"/>
                <w:szCs w:val="24"/>
              </w:rPr>
              <w:t>12</w:t>
            </w:r>
          </w:p>
        </w:tc>
        <w:tc>
          <w:tcPr>
            <w:tcW w:w="2075" w:type="dxa"/>
            <w:tcBorders>
              <w:top w:val="single" w:sz="4" w:space="0" w:color="A6A6A6" w:themeColor="background1" w:themeShade="A6"/>
            </w:tcBorders>
            <w:shd w:val="clear" w:color="auto" w:fill="auto"/>
          </w:tcPr>
          <w:p w14:paraId="4964795B" w14:textId="77777777" w:rsidR="00735227" w:rsidRPr="007B7915" w:rsidRDefault="00735227" w:rsidP="00D66766">
            <w:pPr>
              <w:pStyle w:val="TableText"/>
              <w:tabs>
                <w:tab w:val="decimal" w:pos="1216"/>
              </w:tabs>
              <w:rPr>
                <w:rFonts w:cs="Arial"/>
                <w:color w:val="000000"/>
                <w:szCs w:val="24"/>
              </w:rPr>
            </w:pPr>
            <w:r>
              <w:rPr>
                <w:rFonts w:cs="Arial"/>
                <w:color w:val="000000"/>
                <w:szCs w:val="24"/>
              </w:rPr>
              <w:t>26,0</w:t>
            </w:r>
            <w:r w:rsidRPr="007B7915">
              <w:rPr>
                <w:rFonts w:cs="Arial"/>
                <w:color w:val="000000"/>
                <w:szCs w:val="24"/>
              </w:rPr>
              <w:t>00</w:t>
            </w:r>
          </w:p>
        </w:tc>
      </w:tr>
    </w:tbl>
    <w:p w14:paraId="750146A6" w14:textId="77777777" w:rsidR="00735227" w:rsidRPr="00E42454" w:rsidRDefault="00735227" w:rsidP="00D66766">
      <w:pPr>
        <w:pStyle w:val="TableNote"/>
        <w:ind w:right="2155"/>
      </w:pPr>
      <w:r>
        <w:t>Source: 2012/13 NZHS</w:t>
      </w:r>
    </w:p>
    <w:p w14:paraId="4D004058" w14:textId="77777777" w:rsidR="00735227" w:rsidRPr="00E42454" w:rsidRDefault="00735227" w:rsidP="00D66766">
      <w:pPr>
        <w:pStyle w:val="TableNote"/>
        <w:ind w:right="2155"/>
      </w:pPr>
      <w:r>
        <w:t>Note: Total response ethnicity has been used.</w:t>
      </w:r>
    </w:p>
    <w:p w14:paraId="1DB15B7E" w14:textId="77777777" w:rsidR="00D66766" w:rsidRDefault="00D66766" w:rsidP="00D66766"/>
    <w:p w14:paraId="380FBD5A" w14:textId="6C88BA93" w:rsidR="00735227" w:rsidRPr="008519FF" w:rsidRDefault="00442D01" w:rsidP="00D66766">
      <w:pPr>
        <w:pStyle w:val="Heading3"/>
      </w:pPr>
      <w:r>
        <w:t>Smoking rates were highest</w:t>
      </w:r>
      <w:r w:rsidR="00735227" w:rsidRPr="008519FF">
        <w:t xml:space="preserve"> in young people </w:t>
      </w:r>
      <w:r w:rsidR="00735227">
        <w:t>who lived</w:t>
      </w:r>
      <w:r w:rsidR="00735227" w:rsidRPr="008519FF">
        <w:t xml:space="preserve"> in the most deprived neighbourhoods</w:t>
      </w:r>
    </w:p>
    <w:p w14:paraId="4EDFF199" w14:textId="77777777" w:rsidR="007066D2" w:rsidRDefault="00735227" w:rsidP="00D66766">
      <w:pPr>
        <w:keepNext/>
      </w:pPr>
      <w:r>
        <w:t>Young people aged 15–19 years living in the most deprived areas were 6.1 times more likely than young people living in the least deprived areas to be smokers, after adjusting for age, sex and ethnicity differences (Table 9).</w:t>
      </w:r>
    </w:p>
    <w:p w14:paraId="00445480" w14:textId="77777777" w:rsidR="00735227" w:rsidRDefault="00735227" w:rsidP="00D66766">
      <w:pPr>
        <w:keepNext/>
      </w:pPr>
    </w:p>
    <w:p w14:paraId="586A64C7" w14:textId="77777777" w:rsidR="00735227" w:rsidRDefault="00735227" w:rsidP="00D66766">
      <w:pPr>
        <w:pStyle w:val="Table"/>
      </w:pPr>
      <w:bookmarkStart w:id="104" w:name="_Toc399920520"/>
      <w:bookmarkStart w:id="105" w:name="_Toc404091109"/>
      <w:r>
        <w:t xml:space="preserve">Table </w:t>
      </w:r>
      <w:r w:rsidR="00D66766">
        <w:t>9</w:t>
      </w:r>
      <w:r w:rsidRPr="002B4008">
        <w:t>:</w:t>
      </w:r>
      <w:r w:rsidR="00D66766">
        <w:t xml:space="preserve"> </w:t>
      </w:r>
      <w:r w:rsidRPr="002B4008">
        <w:t>Adjusted rate ratios for current smoking for young people aged 15–19 years</w:t>
      </w:r>
      <w:bookmarkEnd w:id="104"/>
      <w:bookmarkEnd w:id="105"/>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276"/>
      </w:tblGrid>
      <w:tr w:rsidR="00D66766" w:rsidRPr="007B7915" w14:paraId="425D6D69" w14:textId="77777777" w:rsidTr="008C4014">
        <w:trPr>
          <w:cantSplit/>
        </w:trPr>
        <w:tc>
          <w:tcPr>
            <w:tcW w:w="3119" w:type="dxa"/>
            <w:shd w:val="clear" w:color="auto" w:fill="auto"/>
          </w:tcPr>
          <w:p w14:paraId="04A8FB91" w14:textId="77777777" w:rsidR="00D66766" w:rsidRPr="007B7915" w:rsidRDefault="00D66766" w:rsidP="00D66766">
            <w:pPr>
              <w:pStyle w:val="TableText"/>
              <w:keepNext/>
            </w:pPr>
            <w:r w:rsidRPr="007B7915">
              <w:t>Men v</w:t>
            </w:r>
            <w:r>
              <w:t>ersu</w:t>
            </w:r>
            <w:r w:rsidRPr="007B7915">
              <w:t>s women</w:t>
            </w:r>
          </w:p>
        </w:tc>
        <w:tc>
          <w:tcPr>
            <w:tcW w:w="1276" w:type="dxa"/>
          </w:tcPr>
          <w:p w14:paraId="61C7A04C" w14:textId="77777777" w:rsidR="00D66766" w:rsidRPr="007B7915" w:rsidRDefault="00D66766" w:rsidP="00D66766">
            <w:pPr>
              <w:pStyle w:val="TableText"/>
              <w:keepNext/>
              <w:tabs>
                <w:tab w:val="decimal" w:pos="568"/>
              </w:tabs>
            </w:pPr>
            <w:r w:rsidRPr="007B7915">
              <w:t>1.4</w:t>
            </w:r>
          </w:p>
        </w:tc>
      </w:tr>
      <w:tr w:rsidR="00D66766" w:rsidRPr="007B7915" w14:paraId="3B49A209" w14:textId="77777777" w:rsidTr="008C4014">
        <w:trPr>
          <w:cantSplit/>
        </w:trPr>
        <w:tc>
          <w:tcPr>
            <w:tcW w:w="3119" w:type="dxa"/>
            <w:shd w:val="clear" w:color="auto" w:fill="auto"/>
          </w:tcPr>
          <w:p w14:paraId="153B1AE8" w14:textId="77777777" w:rsidR="00D66766" w:rsidRPr="007B7915" w:rsidRDefault="00D66766" w:rsidP="00D66766">
            <w:pPr>
              <w:pStyle w:val="TableText"/>
              <w:keepNext/>
            </w:pPr>
            <w:r w:rsidRPr="007B7915">
              <w:t>Māori v</w:t>
            </w:r>
            <w:r>
              <w:t>ersu</w:t>
            </w:r>
            <w:r w:rsidRPr="007B7915">
              <w:t>s non-Māori</w:t>
            </w:r>
          </w:p>
        </w:tc>
        <w:tc>
          <w:tcPr>
            <w:tcW w:w="1276" w:type="dxa"/>
          </w:tcPr>
          <w:p w14:paraId="1783EDE1" w14:textId="77777777" w:rsidR="00D66766" w:rsidRPr="007B7915" w:rsidRDefault="00D66766" w:rsidP="00D66766">
            <w:pPr>
              <w:pStyle w:val="TableText"/>
              <w:keepNext/>
              <w:tabs>
                <w:tab w:val="decimal" w:pos="568"/>
              </w:tabs>
            </w:pPr>
            <w:r w:rsidRPr="007B7915">
              <w:t>2.5*</w:t>
            </w:r>
          </w:p>
        </w:tc>
      </w:tr>
      <w:tr w:rsidR="00D66766" w:rsidRPr="007B7915" w14:paraId="1BE17961" w14:textId="77777777" w:rsidTr="008C4014">
        <w:trPr>
          <w:cantSplit/>
        </w:trPr>
        <w:tc>
          <w:tcPr>
            <w:tcW w:w="3119" w:type="dxa"/>
            <w:shd w:val="clear" w:color="auto" w:fill="auto"/>
          </w:tcPr>
          <w:p w14:paraId="12DA102F" w14:textId="77777777" w:rsidR="00D66766" w:rsidRPr="007B7915" w:rsidRDefault="00D66766" w:rsidP="00D66766">
            <w:pPr>
              <w:pStyle w:val="TableText"/>
              <w:keepNext/>
            </w:pPr>
            <w:r w:rsidRPr="007B7915">
              <w:t>Pacific v</w:t>
            </w:r>
            <w:r>
              <w:t>ersu</w:t>
            </w:r>
            <w:r w:rsidRPr="007B7915">
              <w:t>s non-Pacific</w:t>
            </w:r>
          </w:p>
        </w:tc>
        <w:tc>
          <w:tcPr>
            <w:tcW w:w="1276" w:type="dxa"/>
          </w:tcPr>
          <w:p w14:paraId="52AB978A" w14:textId="77777777" w:rsidR="00D66766" w:rsidRPr="007B7915" w:rsidRDefault="00D66766" w:rsidP="00D66766">
            <w:pPr>
              <w:pStyle w:val="TableText"/>
              <w:keepNext/>
              <w:tabs>
                <w:tab w:val="decimal" w:pos="568"/>
              </w:tabs>
            </w:pPr>
            <w:r w:rsidRPr="007B7915">
              <w:t>0.8</w:t>
            </w:r>
          </w:p>
        </w:tc>
      </w:tr>
      <w:tr w:rsidR="00D66766" w:rsidRPr="007B7915" w14:paraId="10435F18" w14:textId="77777777" w:rsidTr="008C4014">
        <w:trPr>
          <w:cantSplit/>
        </w:trPr>
        <w:tc>
          <w:tcPr>
            <w:tcW w:w="3119" w:type="dxa"/>
            <w:shd w:val="clear" w:color="auto" w:fill="auto"/>
          </w:tcPr>
          <w:p w14:paraId="33FA3576" w14:textId="77777777" w:rsidR="00D66766" w:rsidRPr="007B7915" w:rsidRDefault="00D66766" w:rsidP="00D66766">
            <w:pPr>
              <w:pStyle w:val="TableText"/>
              <w:keepNext/>
            </w:pPr>
            <w:r w:rsidRPr="007B7915">
              <w:t>Asian v</w:t>
            </w:r>
            <w:r>
              <w:t>ersu</w:t>
            </w:r>
            <w:r w:rsidRPr="007B7915">
              <w:t>s non-Asian</w:t>
            </w:r>
          </w:p>
        </w:tc>
        <w:tc>
          <w:tcPr>
            <w:tcW w:w="1276" w:type="dxa"/>
          </w:tcPr>
          <w:p w14:paraId="20E1C4B0" w14:textId="77777777" w:rsidR="00D66766" w:rsidRPr="007B7915" w:rsidRDefault="00D66766" w:rsidP="00D66766">
            <w:pPr>
              <w:pStyle w:val="TableText"/>
              <w:keepNext/>
              <w:tabs>
                <w:tab w:val="decimal" w:pos="568"/>
              </w:tabs>
            </w:pPr>
            <w:r w:rsidRPr="007B7915">
              <w:t>0.5</w:t>
            </w:r>
          </w:p>
        </w:tc>
      </w:tr>
      <w:tr w:rsidR="00D66766" w:rsidRPr="007B7915" w14:paraId="1DD970BF" w14:textId="77777777" w:rsidTr="008C4014">
        <w:trPr>
          <w:cantSplit/>
        </w:trPr>
        <w:tc>
          <w:tcPr>
            <w:tcW w:w="3119" w:type="dxa"/>
            <w:shd w:val="clear" w:color="auto" w:fill="auto"/>
          </w:tcPr>
          <w:p w14:paraId="03A3D651" w14:textId="77777777" w:rsidR="00D66766" w:rsidRPr="007B7915" w:rsidRDefault="00D66766" w:rsidP="009C131D">
            <w:pPr>
              <w:pStyle w:val="TableText"/>
              <w:keepNext/>
            </w:pPr>
            <w:r w:rsidRPr="007B7915">
              <w:t>Most v</w:t>
            </w:r>
            <w:r>
              <w:t>ersu</w:t>
            </w:r>
            <w:r w:rsidRPr="007B7915">
              <w:t>s least deprived</w:t>
            </w:r>
          </w:p>
        </w:tc>
        <w:tc>
          <w:tcPr>
            <w:tcW w:w="1276" w:type="dxa"/>
          </w:tcPr>
          <w:p w14:paraId="3F61968D" w14:textId="77777777" w:rsidR="00D66766" w:rsidRPr="007B7915" w:rsidRDefault="00D66766" w:rsidP="009C131D">
            <w:pPr>
              <w:pStyle w:val="TableText"/>
              <w:keepNext/>
              <w:tabs>
                <w:tab w:val="decimal" w:pos="568"/>
              </w:tabs>
            </w:pPr>
            <w:r w:rsidRPr="007B7915">
              <w:t>6.1*</w:t>
            </w:r>
          </w:p>
        </w:tc>
      </w:tr>
    </w:tbl>
    <w:p w14:paraId="39C71AD7" w14:textId="77777777" w:rsidR="00735227" w:rsidRDefault="00735227" w:rsidP="00D66766">
      <w:pPr>
        <w:pStyle w:val="TableNote"/>
      </w:pPr>
      <w:r>
        <w:t>Source: 2012/13 NZHS</w:t>
      </w:r>
    </w:p>
    <w:p w14:paraId="265D8093" w14:textId="77777777" w:rsidR="00735227" w:rsidRDefault="00735227" w:rsidP="00D66766">
      <w:pPr>
        <w:pStyle w:val="TableNote"/>
      </w:pPr>
      <w:r>
        <w:t>*</w:t>
      </w:r>
      <w:r w:rsidR="00D66766">
        <w:tab/>
      </w:r>
      <w:r>
        <w:t>There is a statistically significant difference between the two groups.</w:t>
      </w:r>
    </w:p>
    <w:p w14:paraId="6C1A5267" w14:textId="77777777" w:rsidR="007066D2" w:rsidRDefault="00735227" w:rsidP="00D66766">
      <w:pPr>
        <w:pStyle w:val="TableNote"/>
        <w:ind w:left="0" w:firstLine="0"/>
      </w:pPr>
      <w:r>
        <w:t>Notes: The sex comparison is adjusted for age. Ethnic comparisons are adjusted for age and sex.</w:t>
      </w:r>
      <w:r w:rsidR="00D66766">
        <w:t xml:space="preserve"> </w:t>
      </w:r>
      <w:r>
        <w:t>Deprivation comparisons are adjusted for age, sex and ethnic group.</w:t>
      </w:r>
    </w:p>
    <w:p w14:paraId="48D832CD" w14:textId="77777777" w:rsidR="00735227" w:rsidRPr="00CD5D25" w:rsidRDefault="00735227" w:rsidP="00D66766"/>
    <w:p w14:paraId="2921C634" w14:textId="77777777" w:rsidR="00735227" w:rsidRPr="000C4C87" w:rsidRDefault="00735227" w:rsidP="00D66766">
      <w:pPr>
        <w:pStyle w:val="Heading2"/>
      </w:pPr>
      <w:bookmarkStart w:id="106" w:name="_Toc400136622"/>
      <w:bookmarkStart w:id="107" w:name="_Toc404091081"/>
      <w:r>
        <w:t>Mental health and hazardous alcohol consumption</w:t>
      </w:r>
      <w:bookmarkEnd w:id="106"/>
      <w:bookmarkEnd w:id="107"/>
    </w:p>
    <w:p w14:paraId="0FBD89AB" w14:textId="77777777" w:rsidR="00735227" w:rsidRDefault="00735227" w:rsidP="00D66766">
      <w:r>
        <w:t>There are well-established associations between smoking and poor mental health and smoking and excessive alcohol use. This section reports on these associations.</w:t>
      </w:r>
    </w:p>
    <w:p w14:paraId="75571140" w14:textId="77777777" w:rsidR="00735227" w:rsidRDefault="00735227" w:rsidP="00D66766"/>
    <w:p w14:paraId="283DC3EE" w14:textId="77777777" w:rsidR="00735227" w:rsidRPr="000C4C87" w:rsidRDefault="00735227" w:rsidP="00D66766">
      <w:pPr>
        <w:pStyle w:val="Heading3"/>
      </w:pPr>
      <w:bookmarkStart w:id="108" w:name="_Toc390178295"/>
      <w:bookmarkStart w:id="109" w:name="_Toc400136623"/>
      <w:r w:rsidRPr="000C4C87">
        <w:t xml:space="preserve">Smoking and </w:t>
      </w:r>
      <w:r>
        <w:t>m</w:t>
      </w:r>
      <w:r w:rsidRPr="000C4C87">
        <w:t xml:space="preserve">ental </w:t>
      </w:r>
      <w:bookmarkEnd w:id="108"/>
      <w:r>
        <w:t>h</w:t>
      </w:r>
      <w:r w:rsidRPr="000C4C87">
        <w:t>ealth</w:t>
      </w:r>
      <w:bookmarkEnd w:id="109"/>
    </w:p>
    <w:p w14:paraId="649248B7" w14:textId="77777777" w:rsidR="00735227" w:rsidRDefault="005D12FD" w:rsidP="00D66766">
      <w:r>
        <w:t>Strong evidence exists</w:t>
      </w:r>
      <w:r w:rsidR="00735227">
        <w:t xml:space="preserve"> that smoking increases stress, anxiety, the chances of developing depression, anxiety disorders and other mental illnesses, as well as increasing the risk of suicidal ideation and suicide related acts (Fergusson </w:t>
      </w:r>
      <w:r w:rsidR="00AC6FF3">
        <w:t>et al</w:t>
      </w:r>
      <w:r w:rsidR="00735227">
        <w:t xml:space="preserve"> 2003; Breslau </w:t>
      </w:r>
      <w:r w:rsidR="00AC6FF3">
        <w:t>et al</w:t>
      </w:r>
      <w:r w:rsidR="00735227">
        <w:t xml:space="preserve"> 2005; Zvolensky </w:t>
      </w:r>
      <w:r w:rsidR="00AC6FF3">
        <w:t>et al</w:t>
      </w:r>
      <w:r w:rsidR="00735227">
        <w:t xml:space="preserve"> 2005; Morissette </w:t>
      </w:r>
      <w:r w:rsidR="00AC6FF3">
        <w:t>et al</w:t>
      </w:r>
      <w:r w:rsidR="00735227">
        <w:t xml:space="preserve"> 2007; Ziedonis </w:t>
      </w:r>
      <w:r w:rsidR="00AC6FF3">
        <w:t>et al</w:t>
      </w:r>
      <w:r w:rsidR="00735227">
        <w:t xml:space="preserve"> 2008; Cosci </w:t>
      </w:r>
      <w:r w:rsidR="00AC6FF3">
        <w:t>et al</w:t>
      </w:r>
      <w:r w:rsidR="00735227">
        <w:t xml:space="preserve"> 2009).</w:t>
      </w:r>
    </w:p>
    <w:p w14:paraId="5AFC8AB7" w14:textId="77777777" w:rsidR="00735227" w:rsidRDefault="00735227" w:rsidP="00D66766"/>
    <w:p w14:paraId="25628073" w14:textId="77777777" w:rsidR="007066D2" w:rsidRDefault="00735227" w:rsidP="00D66766">
      <w:pPr>
        <w:rPr>
          <w:rFonts w:cs="Arial"/>
          <w:szCs w:val="24"/>
        </w:rPr>
      </w:pPr>
      <w:r>
        <w:t xml:space="preserve">In this report, </w:t>
      </w:r>
      <w:r>
        <w:rPr>
          <w:b/>
        </w:rPr>
        <w:t xml:space="preserve">diagnosed mental health conditions </w:t>
      </w:r>
      <w:r>
        <w:t xml:space="preserve">relates to those people who reported they have been told at some time in their life by a doctor that they had depression, bipolar disorder, anxiety disorder, an alcohol-related disorder or a drug-related disorder, which had lasted or was expected to last for more than six months. </w:t>
      </w:r>
      <w:r>
        <w:rPr>
          <w:rFonts w:cs="Arial"/>
          <w:szCs w:val="24"/>
        </w:rPr>
        <w:t xml:space="preserve">It must be noted that this is self-reported and </w:t>
      </w:r>
      <w:r w:rsidRPr="001903BD">
        <w:rPr>
          <w:rFonts w:cs="Arial"/>
          <w:szCs w:val="24"/>
        </w:rPr>
        <w:t>not everyone with a particular condition will have had it diagnosed by a doctor.</w:t>
      </w:r>
    </w:p>
    <w:p w14:paraId="4EE679D1" w14:textId="77777777" w:rsidR="00735227" w:rsidRDefault="00735227" w:rsidP="00D66766"/>
    <w:p w14:paraId="7ADC300C" w14:textId="77777777" w:rsidR="00735227" w:rsidRPr="000C4C87" w:rsidRDefault="00735227" w:rsidP="00D66766">
      <w:pPr>
        <w:pStyle w:val="Heading3"/>
      </w:pPr>
      <w:r w:rsidRPr="000C4C87">
        <w:t>Around</w:t>
      </w:r>
      <w:r w:rsidR="00B7465A">
        <w:t xml:space="preserve"> one in four smokers reported one or more </w:t>
      </w:r>
      <w:r w:rsidRPr="000C4C87">
        <w:t>diag</w:t>
      </w:r>
      <w:r w:rsidR="00B7465A">
        <w:t>nosed mental health conditions</w:t>
      </w:r>
    </w:p>
    <w:p w14:paraId="7E753DB6" w14:textId="1EA30FE6" w:rsidR="007066D2" w:rsidRDefault="00735227" w:rsidP="00D66766">
      <w:r>
        <w:t>Almost one-quarter (24%) of current smokers reported one or more diagnosed mental health conditions co</w:t>
      </w:r>
      <w:r w:rsidR="00236EFC">
        <w:t>mpared with 15% of non-smokers. This higher rate of mental health conditions among smokers was evident at all ages except over 75 years</w:t>
      </w:r>
      <w:r>
        <w:t xml:space="preserve"> (Figure 6).</w:t>
      </w:r>
    </w:p>
    <w:p w14:paraId="72CD7589" w14:textId="77777777" w:rsidR="00735227" w:rsidRDefault="00735227" w:rsidP="00D66766"/>
    <w:p w14:paraId="4F2303E0" w14:textId="77777777" w:rsidR="007066D2" w:rsidRDefault="00735227" w:rsidP="00D66766">
      <w:r>
        <w:t>The prevalence of smokers reporting diagnosed mental health conditions increased with age, peaking in the 35–44 and 45–54 year age groups (31% and 29% respectively) (Figure 6). These rates then declined, with the lowest rates of mental health conditions reported in those aged 75</w:t>
      </w:r>
      <w:r w:rsidR="00D66766">
        <w:t> </w:t>
      </w:r>
      <w:r>
        <w:t>years and over (8%).</w:t>
      </w:r>
    </w:p>
    <w:p w14:paraId="0D589300" w14:textId="77777777" w:rsidR="00735227" w:rsidRDefault="00735227" w:rsidP="00D66766"/>
    <w:p w14:paraId="1A0C2CB0" w14:textId="77777777" w:rsidR="00735227" w:rsidRDefault="00735227" w:rsidP="00D66766">
      <w:pPr>
        <w:pStyle w:val="Figure"/>
      </w:pPr>
      <w:bookmarkStart w:id="110" w:name="_Toc399920489"/>
      <w:bookmarkStart w:id="111" w:name="_Toc404258415"/>
      <w:r>
        <w:t xml:space="preserve">Figure </w:t>
      </w:r>
      <w:r w:rsidR="00D66766">
        <w:t>6</w:t>
      </w:r>
      <w:r w:rsidRPr="00B615C7">
        <w:t>:</w:t>
      </w:r>
      <w:r w:rsidR="00D66766">
        <w:t xml:space="preserve"> </w:t>
      </w:r>
      <w:r w:rsidRPr="00B615C7">
        <w:t>Current smokers reporting diagnosed mental health conditions versus non-smokers reporting diagnosed mental health conditions, by age group</w:t>
      </w:r>
      <w:bookmarkEnd w:id="110"/>
      <w:bookmarkEnd w:id="111"/>
    </w:p>
    <w:p w14:paraId="601B0C90" w14:textId="77777777" w:rsidR="00735227" w:rsidRPr="00572F0F" w:rsidRDefault="005F7B73" w:rsidP="005F7B73">
      <w:pPr>
        <w:rPr>
          <w:lang w:eastAsia="en-US"/>
        </w:rPr>
      </w:pPr>
      <w:r w:rsidRPr="005F7B73">
        <w:rPr>
          <w:noProof/>
          <w:lang w:eastAsia="en-NZ"/>
        </w:rPr>
        <w:drawing>
          <wp:inline distT="0" distB="0" distL="0" distR="0" wp14:anchorId="2BA4EA89" wp14:editId="70C64C9A">
            <wp:extent cx="4372495" cy="2546618"/>
            <wp:effectExtent l="0" t="0" r="9525" b="6350"/>
            <wp:docPr id="11" name="Picture 11" title="Figure 6: Current smokers reporting diagnosed mental health conditions versus non-smokers reporting diagnosed mental health condition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r="10872" b="14908"/>
                    <a:stretch/>
                  </pic:blipFill>
                  <pic:spPr bwMode="auto">
                    <a:xfrm>
                      <a:off x="0" y="0"/>
                      <a:ext cx="4371969" cy="2546312"/>
                    </a:xfrm>
                    <a:prstGeom prst="rect">
                      <a:avLst/>
                    </a:prstGeom>
                    <a:ln>
                      <a:noFill/>
                    </a:ln>
                    <a:extLst>
                      <a:ext uri="{53640926-AAD7-44D8-BBD7-CCE9431645EC}">
                        <a14:shadowObscured xmlns:a14="http://schemas.microsoft.com/office/drawing/2010/main"/>
                      </a:ext>
                    </a:extLst>
                  </pic:spPr>
                </pic:pic>
              </a:graphicData>
            </a:graphic>
          </wp:inline>
        </w:drawing>
      </w:r>
    </w:p>
    <w:p w14:paraId="08BDEC19" w14:textId="77777777" w:rsidR="00735227" w:rsidRPr="00B658E9" w:rsidRDefault="00735227" w:rsidP="00D66766">
      <w:pPr>
        <w:pStyle w:val="Source"/>
      </w:pPr>
      <w:r>
        <w:t>Source: 2012/13 NZHS</w:t>
      </w:r>
    </w:p>
    <w:p w14:paraId="79173141" w14:textId="77777777" w:rsidR="00735227" w:rsidRDefault="00735227" w:rsidP="00D66766"/>
    <w:p w14:paraId="09C970F8" w14:textId="77777777" w:rsidR="007066D2" w:rsidRDefault="00735227" w:rsidP="00D66766">
      <w:pPr>
        <w:pStyle w:val="Heading3"/>
      </w:pPr>
      <w:r>
        <w:t>European/Other smokers</w:t>
      </w:r>
      <w:r w:rsidDel="005F5EB8">
        <w:t xml:space="preserve"> </w:t>
      </w:r>
      <w:r>
        <w:t>showed a greater excess prevalence of mental health conditions</w:t>
      </w:r>
    </w:p>
    <w:p w14:paraId="0FFF925E" w14:textId="748E0589" w:rsidR="00357E03" w:rsidRDefault="00735227" w:rsidP="00D66766">
      <w:r>
        <w:t>Almost one-third (30%) of smokers of European/Others ethnicity reported a diagnosed mental health condition(s) (Table 10). One in five Māori smokers (21%) had diagnosed mental health conditions. After adjusting for age, sex and deprivation differences, Māori smokers were shown to be 1.3 times more likely to have a mental health condition compared with Māori non-smokers (Table</w:t>
      </w:r>
      <w:r w:rsidR="00D66766">
        <w:t> </w:t>
      </w:r>
      <w:r w:rsidR="007E56E3">
        <w:t>11).</w:t>
      </w:r>
    </w:p>
    <w:p w14:paraId="5A9EE36F" w14:textId="77777777" w:rsidR="00357E03" w:rsidRDefault="00357E03" w:rsidP="00D66766"/>
    <w:p w14:paraId="1C87F783" w14:textId="7AB56636" w:rsidR="00B2785D" w:rsidRDefault="00735227" w:rsidP="00D66766">
      <w:pPr>
        <w:rPr>
          <w:rFonts w:cs="Arial"/>
          <w:szCs w:val="22"/>
        </w:rPr>
      </w:pPr>
      <w:r>
        <w:t xml:space="preserve">Although fewer Pacific smokers (11%) reported having </w:t>
      </w:r>
      <w:r w:rsidR="008467DC">
        <w:t xml:space="preserve">been </w:t>
      </w:r>
      <w:r>
        <w:t>diagnosed with a mental health condition, they w</w:t>
      </w:r>
      <w:r w:rsidR="00357E03">
        <w:t xml:space="preserve">ere almost 3 times more likely </w:t>
      </w:r>
      <w:r>
        <w:t xml:space="preserve">than Pacific non-smokers to have reported having a diagnosed mental </w:t>
      </w:r>
      <w:r w:rsidR="00954B49">
        <w:t>health condition(s) (Table 11).</w:t>
      </w:r>
      <w:r w:rsidR="008F0775">
        <w:t xml:space="preserve"> T</w:t>
      </w:r>
      <w:r>
        <w:t>he prevalence of diagnosed mental health conditions</w:t>
      </w:r>
      <w:r w:rsidR="009B2C97">
        <w:t xml:space="preserve"> however,</w:t>
      </w:r>
      <w:r>
        <w:t xml:space="preserve"> might not be an accurate measure of mental illness among the Pacific populations. </w:t>
      </w:r>
      <w:r w:rsidR="00B2785D">
        <w:t>Te Rau Hinengaro, the New Zealand Mental Health Survey, showed that Pacific people had high prevalence rates of mental disorders compared to the general population (</w:t>
      </w:r>
      <w:r w:rsidR="00B2785D">
        <w:rPr>
          <w:rFonts w:cs="Arial"/>
          <w:szCs w:val="22"/>
        </w:rPr>
        <w:t>Oak</w:t>
      </w:r>
      <w:r w:rsidR="009B2C97">
        <w:rPr>
          <w:rFonts w:cs="Arial"/>
          <w:szCs w:val="22"/>
        </w:rPr>
        <w:t>ley Browne et al 2006). It also showed</w:t>
      </w:r>
      <w:r w:rsidR="00AA2408">
        <w:rPr>
          <w:rFonts w:cs="Arial"/>
          <w:szCs w:val="22"/>
        </w:rPr>
        <w:t xml:space="preserve"> </w:t>
      </w:r>
      <w:r w:rsidR="00B2785D">
        <w:rPr>
          <w:rFonts w:cs="Arial"/>
          <w:szCs w:val="22"/>
        </w:rPr>
        <w:t>that Pacific people who had serious mental disorders were l</w:t>
      </w:r>
      <w:r w:rsidR="007E56E3">
        <w:rPr>
          <w:rFonts w:cs="Arial"/>
          <w:szCs w:val="22"/>
        </w:rPr>
        <w:t>ess likely to access treatment.</w:t>
      </w:r>
    </w:p>
    <w:p w14:paraId="272F1C6E" w14:textId="77777777" w:rsidR="00B2785D" w:rsidRDefault="00B2785D" w:rsidP="00D66766"/>
    <w:p w14:paraId="55627882" w14:textId="77777777" w:rsidR="00735227" w:rsidRDefault="00735227" w:rsidP="00D66766">
      <w:r>
        <w:t xml:space="preserve">The NZHS 2012/13 results showed the </w:t>
      </w:r>
      <w:r>
        <w:rPr>
          <w:szCs w:val="22"/>
        </w:rPr>
        <w:t>Kessler 10-item Psychological Distress Scale (K10), which is a self-reporting instrument, as a better</w:t>
      </w:r>
      <w:r>
        <w:t xml:space="preserve"> measure of mental illness among the Pacific group. </w:t>
      </w:r>
      <w:r>
        <w:rPr>
          <w:szCs w:val="22"/>
        </w:rPr>
        <w:t>The K10 measures non-specific psychological (mental) distress in the population and is strongly correlated with having an anxiety or depressive disorder.</w:t>
      </w:r>
    </w:p>
    <w:p w14:paraId="3DB5F72E" w14:textId="77777777" w:rsidR="00D66766" w:rsidRDefault="00D66766" w:rsidP="00D66766"/>
    <w:p w14:paraId="08D88564" w14:textId="77777777" w:rsidR="007066D2" w:rsidRDefault="00735227" w:rsidP="00D66766">
      <w:r>
        <w:t>The NZHS 2012/13 results reported the Pacific populations as showing a 4% prevalence of diagnosed common mental disorders. However, the K10 measure of psychological distress among Pacific peoples showed a prevalence of 9%.</w:t>
      </w:r>
    </w:p>
    <w:p w14:paraId="75821375" w14:textId="77777777" w:rsidR="00735227" w:rsidRDefault="00735227" w:rsidP="00D66766"/>
    <w:p w14:paraId="1A31704F" w14:textId="77777777" w:rsidR="00735227" w:rsidRDefault="00735227" w:rsidP="00D66766">
      <w:pPr>
        <w:pStyle w:val="Table"/>
      </w:pPr>
      <w:bookmarkStart w:id="112" w:name="_Toc399920521"/>
      <w:bookmarkStart w:id="113" w:name="_Toc404091110"/>
      <w:r>
        <w:t xml:space="preserve">Table </w:t>
      </w:r>
      <w:r w:rsidR="00D66766">
        <w:t>10</w:t>
      </w:r>
      <w:r w:rsidRPr="0069360D">
        <w:t>:</w:t>
      </w:r>
      <w:r w:rsidR="00D66766">
        <w:t xml:space="preserve"> </w:t>
      </w:r>
      <w:r w:rsidRPr="0069360D">
        <w:t>Prevalence of diagnosed mental health conditions among smokers and non-smokers, by ethnicity</w:t>
      </w:r>
      <w:bookmarkEnd w:id="112"/>
      <w:bookmarkEnd w:id="113"/>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2480"/>
        <w:gridCol w:w="2481"/>
      </w:tblGrid>
      <w:tr w:rsidR="00AC6FF3" w:rsidRPr="00D66766" w14:paraId="681B1F5C" w14:textId="77777777" w:rsidTr="00AC6FF3">
        <w:trPr>
          <w:cantSplit/>
        </w:trPr>
        <w:tc>
          <w:tcPr>
            <w:tcW w:w="4395" w:type="dxa"/>
            <w:tcBorders>
              <w:top w:val="single" w:sz="4" w:space="0" w:color="auto"/>
              <w:bottom w:val="single" w:sz="4" w:space="0" w:color="auto"/>
              <w:right w:val="nil"/>
            </w:tcBorders>
            <w:shd w:val="clear" w:color="auto" w:fill="auto"/>
          </w:tcPr>
          <w:p w14:paraId="75AE4377" w14:textId="77777777" w:rsidR="00AC6FF3" w:rsidRPr="00D66766" w:rsidRDefault="00AC6FF3" w:rsidP="00EF1A37">
            <w:pPr>
              <w:pStyle w:val="TableText"/>
              <w:keepNext/>
              <w:rPr>
                <w:b/>
              </w:rPr>
            </w:pPr>
            <w:r w:rsidRPr="00D66766">
              <w:rPr>
                <w:b/>
              </w:rPr>
              <w:t>Ethnic group</w:t>
            </w:r>
          </w:p>
        </w:tc>
        <w:tc>
          <w:tcPr>
            <w:tcW w:w="2480" w:type="dxa"/>
            <w:tcBorders>
              <w:top w:val="single" w:sz="4" w:space="0" w:color="auto"/>
              <w:left w:val="nil"/>
              <w:bottom w:val="single" w:sz="4" w:space="0" w:color="auto"/>
              <w:right w:val="nil"/>
            </w:tcBorders>
          </w:tcPr>
          <w:p w14:paraId="395F11FC" w14:textId="77777777" w:rsidR="00AC6FF3" w:rsidRPr="00AC6FF3" w:rsidRDefault="00AC6FF3" w:rsidP="00EF1A37">
            <w:pPr>
              <w:pStyle w:val="TableText"/>
              <w:keepNext/>
              <w:jc w:val="center"/>
              <w:rPr>
                <w:b/>
              </w:rPr>
            </w:pPr>
            <w:r w:rsidRPr="00AC6FF3">
              <w:rPr>
                <w:b/>
              </w:rPr>
              <w:t>Smokers (%)</w:t>
            </w:r>
          </w:p>
        </w:tc>
        <w:tc>
          <w:tcPr>
            <w:tcW w:w="2481" w:type="dxa"/>
            <w:tcBorders>
              <w:top w:val="single" w:sz="4" w:space="0" w:color="auto"/>
              <w:left w:val="nil"/>
              <w:bottom w:val="single" w:sz="4" w:space="0" w:color="auto"/>
            </w:tcBorders>
          </w:tcPr>
          <w:p w14:paraId="0F41BDCD" w14:textId="77777777" w:rsidR="00AC6FF3" w:rsidRPr="00AC6FF3" w:rsidRDefault="00AC6FF3" w:rsidP="00EF1A37">
            <w:pPr>
              <w:pStyle w:val="TableText"/>
              <w:keepNext/>
              <w:jc w:val="center"/>
              <w:rPr>
                <w:b/>
              </w:rPr>
            </w:pPr>
            <w:r w:rsidRPr="00AC6FF3">
              <w:rPr>
                <w:b/>
              </w:rPr>
              <w:t>Non-smokers (%)</w:t>
            </w:r>
          </w:p>
        </w:tc>
      </w:tr>
      <w:tr w:rsidR="00AC6FF3" w:rsidRPr="007B7915" w14:paraId="7D131E5F" w14:textId="77777777" w:rsidTr="00AC6FF3">
        <w:trPr>
          <w:cantSplit/>
        </w:trPr>
        <w:tc>
          <w:tcPr>
            <w:tcW w:w="4395" w:type="dxa"/>
            <w:tcBorders>
              <w:top w:val="single" w:sz="4" w:space="0" w:color="auto"/>
              <w:bottom w:val="single" w:sz="4" w:space="0" w:color="A6A6A6" w:themeColor="background1" w:themeShade="A6"/>
              <w:right w:val="nil"/>
            </w:tcBorders>
            <w:shd w:val="clear" w:color="auto" w:fill="auto"/>
          </w:tcPr>
          <w:p w14:paraId="738F0DF8" w14:textId="77777777" w:rsidR="00AC6FF3" w:rsidRPr="007B7915" w:rsidRDefault="00AC6FF3" w:rsidP="00EF1A37">
            <w:pPr>
              <w:pStyle w:val="TableText"/>
              <w:keepNext/>
            </w:pPr>
            <w:r w:rsidRPr="007B7915">
              <w:t>Māori</w:t>
            </w:r>
          </w:p>
        </w:tc>
        <w:tc>
          <w:tcPr>
            <w:tcW w:w="2480" w:type="dxa"/>
            <w:tcBorders>
              <w:top w:val="single" w:sz="4" w:space="0" w:color="auto"/>
              <w:left w:val="nil"/>
              <w:bottom w:val="single" w:sz="4" w:space="0" w:color="A6A6A6" w:themeColor="background1" w:themeShade="A6"/>
              <w:right w:val="nil"/>
            </w:tcBorders>
            <w:vAlign w:val="bottom"/>
          </w:tcPr>
          <w:p w14:paraId="5217E578" w14:textId="77777777" w:rsidR="00AC6FF3" w:rsidRPr="007B7915" w:rsidRDefault="00AC6FF3" w:rsidP="00EF1A37">
            <w:pPr>
              <w:pStyle w:val="TableText"/>
              <w:keepNext/>
              <w:tabs>
                <w:tab w:val="decimal" w:pos="1218"/>
              </w:tabs>
              <w:rPr>
                <w:rFonts w:cs="Arial"/>
                <w:color w:val="000000"/>
                <w:szCs w:val="24"/>
              </w:rPr>
            </w:pPr>
            <w:r>
              <w:rPr>
                <w:rFonts w:cs="Arial"/>
                <w:color w:val="000000"/>
                <w:szCs w:val="24"/>
              </w:rPr>
              <w:t>21</w:t>
            </w:r>
          </w:p>
        </w:tc>
        <w:tc>
          <w:tcPr>
            <w:tcW w:w="2481" w:type="dxa"/>
            <w:tcBorders>
              <w:top w:val="single" w:sz="4" w:space="0" w:color="auto"/>
              <w:left w:val="nil"/>
              <w:bottom w:val="single" w:sz="4" w:space="0" w:color="A6A6A6" w:themeColor="background1" w:themeShade="A6"/>
            </w:tcBorders>
            <w:vAlign w:val="bottom"/>
          </w:tcPr>
          <w:p w14:paraId="79CB0887" w14:textId="77777777" w:rsidR="00AC6FF3" w:rsidRPr="007B7915" w:rsidRDefault="00AC6FF3" w:rsidP="00EF1A37">
            <w:pPr>
              <w:pStyle w:val="TableText"/>
              <w:keepNext/>
              <w:tabs>
                <w:tab w:val="decimal" w:pos="1290"/>
              </w:tabs>
              <w:rPr>
                <w:rFonts w:cs="Arial"/>
                <w:color w:val="000000"/>
                <w:szCs w:val="24"/>
              </w:rPr>
            </w:pPr>
            <w:r>
              <w:rPr>
                <w:rFonts w:cs="Arial"/>
                <w:color w:val="000000"/>
                <w:szCs w:val="24"/>
              </w:rPr>
              <w:t>15</w:t>
            </w:r>
          </w:p>
        </w:tc>
      </w:tr>
      <w:tr w:rsidR="00AC6FF3" w:rsidRPr="007B7915" w14:paraId="258AC972" w14:textId="77777777" w:rsidTr="00AC6FF3">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6181221D" w14:textId="77777777" w:rsidR="00AC6FF3" w:rsidRPr="007B7915" w:rsidRDefault="00AC6FF3" w:rsidP="00EF1A37">
            <w:pPr>
              <w:pStyle w:val="TableText"/>
              <w:keepNext/>
            </w:pPr>
            <w:r w:rsidRPr="007B7915">
              <w:t>Pacific</w:t>
            </w:r>
          </w:p>
        </w:tc>
        <w:tc>
          <w:tcPr>
            <w:tcW w:w="2480" w:type="dxa"/>
            <w:tcBorders>
              <w:top w:val="single" w:sz="4" w:space="0" w:color="A6A6A6" w:themeColor="background1" w:themeShade="A6"/>
              <w:left w:val="nil"/>
              <w:bottom w:val="single" w:sz="4" w:space="0" w:color="A6A6A6" w:themeColor="background1" w:themeShade="A6"/>
              <w:right w:val="nil"/>
            </w:tcBorders>
            <w:vAlign w:val="bottom"/>
          </w:tcPr>
          <w:p w14:paraId="32069943" w14:textId="77777777" w:rsidR="00AC6FF3" w:rsidRPr="007B7915" w:rsidRDefault="00AC6FF3" w:rsidP="00EF1A37">
            <w:pPr>
              <w:pStyle w:val="TableText"/>
              <w:keepNext/>
              <w:tabs>
                <w:tab w:val="decimal" w:pos="1218"/>
              </w:tabs>
              <w:rPr>
                <w:rFonts w:cs="Arial"/>
                <w:color w:val="000000"/>
                <w:szCs w:val="24"/>
              </w:rPr>
            </w:pPr>
            <w:r>
              <w:rPr>
                <w:rFonts w:cs="Arial"/>
                <w:color w:val="000000"/>
                <w:szCs w:val="24"/>
              </w:rPr>
              <w:t>11</w:t>
            </w:r>
          </w:p>
        </w:tc>
        <w:tc>
          <w:tcPr>
            <w:tcW w:w="2481" w:type="dxa"/>
            <w:tcBorders>
              <w:top w:val="single" w:sz="4" w:space="0" w:color="A6A6A6" w:themeColor="background1" w:themeShade="A6"/>
              <w:left w:val="nil"/>
              <w:bottom w:val="single" w:sz="4" w:space="0" w:color="A6A6A6" w:themeColor="background1" w:themeShade="A6"/>
            </w:tcBorders>
            <w:vAlign w:val="bottom"/>
          </w:tcPr>
          <w:p w14:paraId="42327A4E" w14:textId="77777777" w:rsidR="00AC6FF3" w:rsidRPr="007B7915" w:rsidRDefault="00AC6FF3" w:rsidP="00EF1A37">
            <w:pPr>
              <w:pStyle w:val="TableText"/>
              <w:keepNext/>
              <w:tabs>
                <w:tab w:val="decimal" w:pos="1290"/>
              </w:tabs>
              <w:rPr>
                <w:rFonts w:cs="Arial"/>
                <w:color w:val="000000"/>
                <w:szCs w:val="24"/>
              </w:rPr>
            </w:pPr>
            <w:r>
              <w:rPr>
                <w:rFonts w:cs="Arial"/>
                <w:color w:val="000000"/>
                <w:szCs w:val="24"/>
              </w:rPr>
              <w:t>3</w:t>
            </w:r>
          </w:p>
        </w:tc>
      </w:tr>
      <w:tr w:rsidR="00AC6FF3" w:rsidRPr="007B7915" w14:paraId="0055D831" w14:textId="77777777" w:rsidTr="00AC6FF3">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585EDC5A" w14:textId="77777777" w:rsidR="00AC6FF3" w:rsidRPr="007B7915" w:rsidRDefault="00AC6FF3" w:rsidP="008C4014">
            <w:pPr>
              <w:pStyle w:val="TableText"/>
            </w:pPr>
            <w:r w:rsidRPr="007B7915">
              <w:t>Asian</w:t>
            </w:r>
          </w:p>
        </w:tc>
        <w:tc>
          <w:tcPr>
            <w:tcW w:w="2480" w:type="dxa"/>
            <w:tcBorders>
              <w:top w:val="single" w:sz="4" w:space="0" w:color="A6A6A6" w:themeColor="background1" w:themeShade="A6"/>
              <w:left w:val="nil"/>
              <w:bottom w:val="single" w:sz="4" w:space="0" w:color="A6A6A6" w:themeColor="background1" w:themeShade="A6"/>
              <w:right w:val="nil"/>
            </w:tcBorders>
            <w:vAlign w:val="bottom"/>
          </w:tcPr>
          <w:p w14:paraId="4A383C8A" w14:textId="77777777" w:rsidR="00AC6FF3" w:rsidRPr="007B7915" w:rsidRDefault="00AC6FF3" w:rsidP="00AC6FF3">
            <w:pPr>
              <w:pStyle w:val="TableText"/>
              <w:tabs>
                <w:tab w:val="decimal" w:pos="1218"/>
              </w:tabs>
              <w:rPr>
                <w:rFonts w:cs="Arial"/>
                <w:color w:val="000000"/>
                <w:szCs w:val="24"/>
              </w:rPr>
            </w:pPr>
            <w:r>
              <w:rPr>
                <w:rFonts w:cs="Arial"/>
                <w:color w:val="000000"/>
                <w:szCs w:val="24"/>
              </w:rPr>
              <w:t>8</w:t>
            </w:r>
          </w:p>
        </w:tc>
        <w:tc>
          <w:tcPr>
            <w:tcW w:w="2481" w:type="dxa"/>
            <w:tcBorders>
              <w:top w:val="single" w:sz="4" w:space="0" w:color="A6A6A6" w:themeColor="background1" w:themeShade="A6"/>
              <w:left w:val="nil"/>
              <w:bottom w:val="single" w:sz="4" w:space="0" w:color="A6A6A6" w:themeColor="background1" w:themeShade="A6"/>
            </w:tcBorders>
            <w:vAlign w:val="bottom"/>
          </w:tcPr>
          <w:p w14:paraId="6A775DC9" w14:textId="77777777" w:rsidR="00AC6FF3" w:rsidRPr="007B7915" w:rsidRDefault="00AC6FF3" w:rsidP="00AC6FF3">
            <w:pPr>
              <w:pStyle w:val="TableText"/>
              <w:tabs>
                <w:tab w:val="decimal" w:pos="1290"/>
              </w:tabs>
              <w:rPr>
                <w:rFonts w:cs="Arial"/>
                <w:color w:val="000000"/>
                <w:szCs w:val="24"/>
              </w:rPr>
            </w:pPr>
            <w:r>
              <w:rPr>
                <w:rFonts w:cs="Arial"/>
                <w:color w:val="000000"/>
                <w:szCs w:val="24"/>
              </w:rPr>
              <w:t>6</w:t>
            </w:r>
          </w:p>
        </w:tc>
      </w:tr>
      <w:tr w:rsidR="00AC6FF3" w:rsidRPr="007B7915" w14:paraId="6A3C924E" w14:textId="77777777" w:rsidTr="00AC6FF3">
        <w:trPr>
          <w:cantSplit/>
        </w:trPr>
        <w:tc>
          <w:tcPr>
            <w:tcW w:w="4395" w:type="dxa"/>
            <w:tcBorders>
              <w:top w:val="single" w:sz="4" w:space="0" w:color="A6A6A6" w:themeColor="background1" w:themeShade="A6"/>
              <w:right w:val="nil"/>
            </w:tcBorders>
            <w:shd w:val="clear" w:color="auto" w:fill="auto"/>
          </w:tcPr>
          <w:p w14:paraId="7853800D" w14:textId="77777777" w:rsidR="00AC6FF3" w:rsidRPr="007B7915" w:rsidRDefault="00AC6FF3" w:rsidP="008C4014">
            <w:pPr>
              <w:pStyle w:val="TableText"/>
            </w:pPr>
            <w:r w:rsidRPr="007B7915">
              <w:t>European/Other</w:t>
            </w:r>
          </w:p>
        </w:tc>
        <w:tc>
          <w:tcPr>
            <w:tcW w:w="2480" w:type="dxa"/>
            <w:tcBorders>
              <w:top w:val="single" w:sz="4" w:space="0" w:color="A6A6A6" w:themeColor="background1" w:themeShade="A6"/>
              <w:left w:val="nil"/>
              <w:bottom w:val="single" w:sz="4" w:space="0" w:color="auto"/>
              <w:right w:val="nil"/>
            </w:tcBorders>
            <w:vAlign w:val="bottom"/>
          </w:tcPr>
          <w:p w14:paraId="36647207" w14:textId="77777777" w:rsidR="00AC6FF3" w:rsidRPr="007B7915" w:rsidRDefault="00AC6FF3" w:rsidP="00AC6FF3">
            <w:pPr>
              <w:pStyle w:val="TableText"/>
              <w:tabs>
                <w:tab w:val="decimal" w:pos="1218"/>
              </w:tabs>
              <w:rPr>
                <w:rFonts w:cs="Arial"/>
                <w:color w:val="000000"/>
                <w:szCs w:val="24"/>
              </w:rPr>
            </w:pPr>
            <w:r>
              <w:rPr>
                <w:rFonts w:cs="Arial"/>
                <w:color w:val="000000"/>
                <w:szCs w:val="24"/>
              </w:rPr>
              <w:t>30</w:t>
            </w:r>
          </w:p>
        </w:tc>
        <w:tc>
          <w:tcPr>
            <w:tcW w:w="2481" w:type="dxa"/>
            <w:tcBorders>
              <w:top w:val="single" w:sz="4" w:space="0" w:color="A6A6A6" w:themeColor="background1" w:themeShade="A6"/>
              <w:left w:val="nil"/>
            </w:tcBorders>
            <w:vAlign w:val="bottom"/>
          </w:tcPr>
          <w:p w14:paraId="46774FC8" w14:textId="77777777" w:rsidR="00AC6FF3" w:rsidRPr="007B7915" w:rsidRDefault="00AC6FF3" w:rsidP="00AC6FF3">
            <w:pPr>
              <w:pStyle w:val="TableText"/>
              <w:tabs>
                <w:tab w:val="decimal" w:pos="1290"/>
              </w:tabs>
              <w:rPr>
                <w:rFonts w:cs="Arial"/>
                <w:color w:val="000000"/>
                <w:szCs w:val="24"/>
              </w:rPr>
            </w:pPr>
            <w:r>
              <w:rPr>
                <w:rFonts w:cs="Arial"/>
                <w:color w:val="000000"/>
                <w:szCs w:val="24"/>
              </w:rPr>
              <w:t>18</w:t>
            </w:r>
          </w:p>
        </w:tc>
      </w:tr>
    </w:tbl>
    <w:p w14:paraId="30C5B4B2" w14:textId="77777777" w:rsidR="00735227" w:rsidRDefault="00735227" w:rsidP="00AC6FF3">
      <w:pPr>
        <w:pStyle w:val="TableNote"/>
      </w:pPr>
      <w:r>
        <w:t>Source: 2012/13 NZHS</w:t>
      </w:r>
    </w:p>
    <w:p w14:paraId="2BB1DBE5" w14:textId="77777777" w:rsidR="00735227" w:rsidRDefault="00735227" w:rsidP="00AC6FF3">
      <w:pPr>
        <w:pStyle w:val="TableNote"/>
      </w:pPr>
      <w:r>
        <w:t>Note: Total response ethnicity has been used.</w:t>
      </w:r>
    </w:p>
    <w:p w14:paraId="614DA1C1" w14:textId="77777777" w:rsidR="00735227" w:rsidRDefault="00735227" w:rsidP="00AC6FF3"/>
    <w:p w14:paraId="7A43407A" w14:textId="77777777" w:rsidR="00735227" w:rsidRDefault="00735227" w:rsidP="00AC6FF3">
      <w:pPr>
        <w:pStyle w:val="Table"/>
      </w:pPr>
      <w:bookmarkStart w:id="114" w:name="_Toc399920522"/>
      <w:bookmarkStart w:id="115" w:name="_Toc404091111"/>
      <w:r>
        <w:t xml:space="preserve">Table </w:t>
      </w:r>
      <w:r w:rsidR="00AC6FF3">
        <w:t>11</w:t>
      </w:r>
      <w:r w:rsidRPr="0078570F">
        <w:t>:</w:t>
      </w:r>
      <w:r w:rsidR="00AC6FF3">
        <w:t xml:space="preserve"> </w:t>
      </w:r>
      <w:r w:rsidRPr="0078570F">
        <w:t xml:space="preserve">Comparisons of prevalence of mental health conditions among smokers and non-smokers, by </w:t>
      </w:r>
      <w:r>
        <w:t>sex</w:t>
      </w:r>
      <w:r w:rsidRPr="0078570F">
        <w:t>, ethnicity and neighbourhood deprivation</w:t>
      </w:r>
      <w:bookmarkEnd w:id="114"/>
      <w:bookmarkEnd w:id="11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2480"/>
        <w:gridCol w:w="2481"/>
      </w:tblGrid>
      <w:tr w:rsidR="00AC6FF3" w:rsidRPr="00D66766" w14:paraId="4D38D627" w14:textId="77777777" w:rsidTr="00AC6FF3">
        <w:trPr>
          <w:cantSplit/>
        </w:trPr>
        <w:tc>
          <w:tcPr>
            <w:tcW w:w="4395" w:type="dxa"/>
            <w:tcBorders>
              <w:top w:val="single" w:sz="4" w:space="0" w:color="auto"/>
              <w:bottom w:val="single" w:sz="4" w:space="0" w:color="auto"/>
              <w:right w:val="nil"/>
            </w:tcBorders>
            <w:shd w:val="clear" w:color="auto" w:fill="auto"/>
          </w:tcPr>
          <w:p w14:paraId="010D8096" w14:textId="77777777" w:rsidR="00AC6FF3" w:rsidRPr="007B7915" w:rsidRDefault="00AC6FF3" w:rsidP="008C4014">
            <w:pPr>
              <w:pStyle w:val="TableText"/>
            </w:pPr>
          </w:p>
        </w:tc>
        <w:tc>
          <w:tcPr>
            <w:tcW w:w="2480" w:type="dxa"/>
            <w:tcBorders>
              <w:top w:val="single" w:sz="4" w:space="0" w:color="auto"/>
              <w:left w:val="nil"/>
              <w:bottom w:val="single" w:sz="4" w:space="0" w:color="auto"/>
              <w:right w:val="nil"/>
            </w:tcBorders>
            <w:shd w:val="clear" w:color="auto" w:fill="auto"/>
          </w:tcPr>
          <w:p w14:paraId="7E0A9C22" w14:textId="77777777" w:rsidR="00AC6FF3" w:rsidRPr="00D66766" w:rsidRDefault="00AC6FF3" w:rsidP="008C4014">
            <w:pPr>
              <w:pStyle w:val="TableText"/>
              <w:jc w:val="center"/>
              <w:rPr>
                <w:b/>
              </w:rPr>
            </w:pPr>
            <w:r>
              <w:rPr>
                <w:b/>
              </w:rPr>
              <w:t>Adjusted rate ratio</w:t>
            </w:r>
          </w:p>
        </w:tc>
        <w:tc>
          <w:tcPr>
            <w:tcW w:w="2481" w:type="dxa"/>
            <w:tcBorders>
              <w:top w:val="single" w:sz="4" w:space="0" w:color="auto"/>
              <w:left w:val="nil"/>
              <w:bottom w:val="single" w:sz="4" w:space="0" w:color="auto"/>
            </w:tcBorders>
            <w:shd w:val="clear" w:color="auto" w:fill="auto"/>
          </w:tcPr>
          <w:p w14:paraId="7814B38B" w14:textId="77777777" w:rsidR="00AC6FF3" w:rsidRPr="00D66766" w:rsidRDefault="00AC6FF3" w:rsidP="008C4014">
            <w:pPr>
              <w:pStyle w:val="TableText"/>
              <w:jc w:val="center"/>
              <w:rPr>
                <w:b/>
              </w:rPr>
            </w:pPr>
            <w:r>
              <w:rPr>
                <w:b/>
              </w:rPr>
              <w:t>Adjusted variables</w:t>
            </w:r>
          </w:p>
        </w:tc>
      </w:tr>
      <w:tr w:rsidR="00AC6FF3" w:rsidRPr="007B7915" w14:paraId="28C55A7F" w14:textId="77777777" w:rsidTr="00AC6FF3">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187C7D59" w14:textId="77777777" w:rsidR="00AC6FF3" w:rsidRDefault="00AC6FF3" w:rsidP="008C4014">
            <w:pPr>
              <w:pStyle w:val="TableText"/>
            </w:pPr>
            <w:r>
              <w:t>Sex</w:t>
            </w:r>
          </w:p>
          <w:p w14:paraId="7AE17760" w14:textId="77777777" w:rsidR="00AC6FF3" w:rsidRDefault="00AC6FF3" w:rsidP="00AC6FF3">
            <w:pPr>
              <w:pStyle w:val="TableText"/>
              <w:ind w:left="284"/>
            </w:pPr>
            <w:r w:rsidRPr="007B7915">
              <w:t>Male</w:t>
            </w:r>
            <w:r>
              <w:t xml:space="preserve"> smokers vs male non-smokers</w:t>
            </w:r>
          </w:p>
          <w:p w14:paraId="36AD98FC" w14:textId="77777777" w:rsidR="00AC6FF3" w:rsidRPr="007B7915" w:rsidRDefault="00AC6FF3" w:rsidP="00AC6FF3">
            <w:pPr>
              <w:pStyle w:val="TableText"/>
              <w:ind w:left="284"/>
            </w:pPr>
            <w:r>
              <w:t>Female smokers vs female non-smokers</w:t>
            </w:r>
          </w:p>
        </w:tc>
        <w:tc>
          <w:tcPr>
            <w:tcW w:w="2480" w:type="dxa"/>
            <w:tcBorders>
              <w:top w:val="single" w:sz="4" w:space="0" w:color="A6A6A6" w:themeColor="background1" w:themeShade="A6"/>
              <w:left w:val="nil"/>
              <w:bottom w:val="single" w:sz="4" w:space="0" w:color="A6A6A6" w:themeColor="background1" w:themeShade="A6"/>
              <w:right w:val="nil"/>
            </w:tcBorders>
            <w:shd w:val="clear" w:color="auto" w:fill="auto"/>
          </w:tcPr>
          <w:p w14:paraId="3CD2BFCF" w14:textId="77777777" w:rsidR="00AC6FF3" w:rsidRPr="00C41413" w:rsidRDefault="00AC6FF3" w:rsidP="00AC6FF3">
            <w:pPr>
              <w:pStyle w:val="TableText"/>
              <w:jc w:val="center"/>
            </w:pPr>
          </w:p>
          <w:p w14:paraId="7C152DE1" w14:textId="77777777" w:rsidR="00AC6FF3" w:rsidRPr="00C41413" w:rsidRDefault="00AC6FF3" w:rsidP="00AC6FF3">
            <w:pPr>
              <w:pStyle w:val="TableText"/>
              <w:jc w:val="center"/>
            </w:pPr>
            <w:r w:rsidRPr="00C41413">
              <w:t>1.6*</w:t>
            </w:r>
          </w:p>
          <w:p w14:paraId="538E0E18" w14:textId="77777777" w:rsidR="00AC6FF3" w:rsidRPr="00C41413" w:rsidRDefault="00AC6FF3" w:rsidP="00AC6FF3">
            <w:pPr>
              <w:pStyle w:val="TableText"/>
              <w:jc w:val="center"/>
            </w:pPr>
            <w:r w:rsidRPr="00C41413">
              <w:t>1.5*</w:t>
            </w:r>
          </w:p>
        </w:tc>
        <w:tc>
          <w:tcPr>
            <w:tcW w:w="2481" w:type="dxa"/>
            <w:tcBorders>
              <w:top w:val="single" w:sz="4" w:space="0" w:color="A6A6A6" w:themeColor="background1" w:themeShade="A6"/>
              <w:left w:val="nil"/>
              <w:bottom w:val="single" w:sz="4" w:space="0" w:color="A6A6A6" w:themeColor="background1" w:themeShade="A6"/>
            </w:tcBorders>
            <w:shd w:val="clear" w:color="auto" w:fill="auto"/>
          </w:tcPr>
          <w:p w14:paraId="0BBF8437" w14:textId="77777777" w:rsidR="00AC6FF3" w:rsidRPr="00C41413" w:rsidRDefault="00AC6FF3" w:rsidP="00AC6FF3">
            <w:pPr>
              <w:pStyle w:val="TableText"/>
              <w:jc w:val="center"/>
            </w:pPr>
          </w:p>
          <w:p w14:paraId="4D3FEF1F" w14:textId="77777777" w:rsidR="00AC6FF3" w:rsidRPr="00C41413" w:rsidRDefault="00AC6FF3" w:rsidP="00AC6FF3">
            <w:pPr>
              <w:pStyle w:val="TableText"/>
              <w:jc w:val="center"/>
            </w:pPr>
            <w:r w:rsidRPr="00C41413">
              <w:t>Age, ethnicity, deprivation</w:t>
            </w:r>
          </w:p>
        </w:tc>
      </w:tr>
      <w:tr w:rsidR="00AC6FF3" w:rsidRPr="007B7915" w14:paraId="57C61874" w14:textId="77777777" w:rsidTr="00AC6FF3">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362D72A2" w14:textId="77777777" w:rsidR="00AC6FF3" w:rsidRPr="007B7915" w:rsidRDefault="00AC6FF3" w:rsidP="008C4014">
            <w:pPr>
              <w:pStyle w:val="TableText"/>
            </w:pPr>
            <w:r w:rsidRPr="007B7915">
              <w:t>Ethnicity (%)</w:t>
            </w:r>
          </w:p>
          <w:p w14:paraId="0893890C" w14:textId="77777777" w:rsidR="00AC6FF3" w:rsidRPr="007B7915" w:rsidRDefault="00AC6FF3" w:rsidP="008C4014">
            <w:pPr>
              <w:pStyle w:val="TableText"/>
              <w:ind w:left="284"/>
              <w:rPr>
                <w:szCs w:val="24"/>
              </w:rPr>
            </w:pPr>
            <w:r w:rsidRPr="007B7915">
              <w:rPr>
                <w:szCs w:val="24"/>
              </w:rPr>
              <w:t>Māori</w:t>
            </w:r>
            <w:r>
              <w:rPr>
                <w:szCs w:val="24"/>
              </w:rPr>
              <w:t xml:space="preserve"> smokers vs Māori non-smokers</w:t>
            </w:r>
          </w:p>
          <w:p w14:paraId="1EFD3CD2" w14:textId="77777777" w:rsidR="00AC6FF3" w:rsidRPr="007B7915" w:rsidRDefault="00AC6FF3" w:rsidP="008C4014">
            <w:pPr>
              <w:pStyle w:val="TableText"/>
              <w:ind w:left="284"/>
              <w:rPr>
                <w:szCs w:val="24"/>
              </w:rPr>
            </w:pPr>
            <w:r w:rsidRPr="007B7915">
              <w:rPr>
                <w:szCs w:val="24"/>
              </w:rPr>
              <w:t>Pacific</w:t>
            </w:r>
            <w:r>
              <w:rPr>
                <w:szCs w:val="24"/>
              </w:rPr>
              <w:t xml:space="preserve"> smokers vs Pacific non-smokers</w:t>
            </w:r>
          </w:p>
          <w:p w14:paraId="74130540" w14:textId="77777777" w:rsidR="00AC6FF3" w:rsidRPr="007B7915" w:rsidRDefault="00AC6FF3" w:rsidP="00AC6FF3">
            <w:pPr>
              <w:pStyle w:val="TableText"/>
              <w:ind w:left="284"/>
              <w:rPr>
                <w:szCs w:val="24"/>
              </w:rPr>
            </w:pPr>
            <w:r w:rsidRPr="007B7915">
              <w:rPr>
                <w:szCs w:val="24"/>
              </w:rPr>
              <w:t>Asian</w:t>
            </w:r>
            <w:r>
              <w:rPr>
                <w:szCs w:val="24"/>
              </w:rPr>
              <w:t xml:space="preserve"> smokers vs Asian non-smokers</w:t>
            </w:r>
          </w:p>
        </w:tc>
        <w:tc>
          <w:tcPr>
            <w:tcW w:w="2480" w:type="dxa"/>
            <w:tcBorders>
              <w:top w:val="single" w:sz="4" w:space="0" w:color="A6A6A6" w:themeColor="background1" w:themeShade="A6"/>
              <w:left w:val="nil"/>
              <w:bottom w:val="single" w:sz="4" w:space="0" w:color="A6A6A6" w:themeColor="background1" w:themeShade="A6"/>
              <w:right w:val="nil"/>
            </w:tcBorders>
            <w:shd w:val="clear" w:color="auto" w:fill="auto"/>
          </w:tcPr>
          <w:p w14:paraId="18BD5499" w14:textId="77777777" w:rsidR="00AC6FF3" w:rsidRPr="00C41413" w:rsidRDefault="00AC6FF3" w:rsidP="00AC6FF3">
            <w:pPr>
              <w:pStyle w:val="TableText"/>
              <w:jc w:val="center"/>
            </w:pPr>
          </w:p>
          <w:p w14:paraId="32633E3C" w14:textId="77777777" w:rsidR="00AC6FF3" w:rsidRPr="00C41413" w:rsidRDefault="00AC6FF3" w:rsidP="00AC6FF3">
            <w:pPr>
              <w:pStyle w:val="TableText"/>
              <w:jc w:val="center"/>
            </w:pPr>
            <w:r w:rsidRPr="00C41413">
              <w:t>1.3*</w:t>
            </w:r>
          </w:p>
          <w:p w14:paraId="245756AB" w14:textId="77777777" w:rsidR="00AC6FF3" w:rsidRPr="00C41413" w:rsidRDefault="00AC6FF3" w:rsidP="00AC6FF3">
            <w:pPr>
              <w:pStyle w:val="TableText"/>
              <w:jc w:val="center"/>
            </w:pPr>
            <w:r w:rsidRPr="00C41413">
              <w:t>2.8*</w:t>
            </w:r>
          </w:p>
          <w:p w14:paraId="45A4B3EA" w14:textId="77777777" w:rsidR="00AC6FF3" w:rsidRPr="00C41413" w:rsidRDefault="00AC6FF3" w:rsidP="00AC6FF3">
            <w:pPr>
              <w:pStyle w:val="TableText"/>
              <w:jc w:val="center"/>
            </w:pPr>
            <w:r w:rsidRPr="00C41413">
              <w:t>1.7</w:t>
            </w:r>
          </w:p>
        </w:tc>
        <w:tc>
          <w:tcPr>
            <w:tcW w:w="2481" w:type="dxa"/>
            <w:tcBorders>
              <w:top w:val="single" w:sz="4" w:space="0" w:color="A6A6A6" w:themeColor="background1" w:themeShade="A6"/>
              <w:left w:val="nil"/>
              <w:bottom w:val="single" w:sz="4" w:space="0" w:color="A6A6A6" w:themeColor="background1" w:themeShade="A6"/>
            </w:tcBorders>
            <w:shd w:val="clear" w:color="auto" w:fill="auto"/>
          </w:tcPr>
          <w:p w14:paraId="5A96F105" w14:textId="77777777" w:rsidR="00AC6FF3" w:rsidRPr="00C41413" w:rsidRDefault="00AC6FF3" w:rsidP="00AC6FF3">
            <w:pPr>
              <w:pStyle w:val="TableText"/>
              <w:jc w:val="center"/>
            </w:pPr>
          </w:p>
          <w:p w14:paraId="6BA944ED" w14:textId="77777777" w:rsidR="00AC6FF3" w:rsidRPr="00C41413" w:rsidRDefault="00AC6FF3" w:rsidP="00AC6FF3">
            <w:pPr>
              <w:pStyle w:val="TableText"/>
              <w:jc w:val="center"/>
            </w:pPr>
            <w:r w:rsidRPr="00C41413">
              <w:t xml:space="preserve">Age, </w:t>
            </w:r>
            <w:r>
              <w:t>sex</w:t>
            </w:r>
            <w:r w:rsidRPr="00C41413">
              <w:t>, deprivation</w:t>
            </w:r>
          </w:p>
        </w:tc>
      </w:tr>
      <w:tr w:rsidR="00AC6FF3" w:rsidRPr="007B7915" w14:paraId="22AE95FC" w14:textId="77777777" w:rsidTr="00AC6FF3">
        <w:trPr>
          <w:cantSplit/>
        </w:trPr>
        <w:tc>
          <w:tcPr>
            <w:tcW w:w="4395" w:type="dxa"/>
            <w:tcBorders>
              <w:top w:val="single" w:sz="4" w:space="0" w:color="A6A6A6" w:themeColor="background1" w:themeShade="A6"/>
              <w:right w:val="nil"/>
            </w:tcBorders>
            <w:shd w:val="clear" w:color="auto" w:fill="auto"/>
          </w:tcPr>
          <w:p w14:paraId="65A50AC2" w14:textId="77777777" w:rsidR="00AC6FF3" w:rsidRPr="007B7915" w:rsidRDefault="00AC6FF3" w:rsidP="008C4014">
            <w:pPr>
              <w:pStyle w:val="TableText"/>
            </w:pPr>
            <w:r w:rsidRPr="007B7915">
              <w:t>Deprivation (%)</w:t>
            </w:r>
          </w:p>
          <w:p w14:paraId="079A8E8B" w14:textId="77777777" w:rsidR="00AC6FF3" w:rsidRPr="007B7915" w:rsidRDefault="00AC6FF3" w:rsidP="008C4014">
            <w:pPr>
              <w:pStyle w:val="TableText"/>
              <w:ind w:left="284"/>
            </w:pPr>
            <w:r>
              <w:t>Q1 smokers vs Q1 non-smokers</w:t>
            </w:r>
          </w:p>
          <w:p w14:paraId="4F5B2AB6" w14:textId="77777777" w:rsidR="00AC6FF3" w:rsidRPr="007B7915" w:rsidRDefault="00AC6FF3" w:rsidP="008C4014">
            <w:pPr>
              <w:pStyle w:val="TableText"/>
              <w:ind w:left="284"/>
            </w:pPr>
            <w:r>
              <w:t>Q2 smokers vs Q2 non-smokers</w:t>
            </w:r>
          </w:p>
          <w:p w14:paraId="77825524" w14:textId="77777777" w:rsidR="00AC6FF3" w:rsidRPr="007B7915" w:rsidRDefault="00AC6FF3" w:rsidP="008C4014">
            <w:pPr>
              <w:pStyle w:val="TableText"/>
              <w:ind w:left="284"/>
            </w:pPr>
            <w:r>
              <w:t>Q3 smokers vs Q3 non-smokers</w:t>
            </w:r>
          </w:p>
          <w:p w14:paraId="5E093BCA" w14:textId="77777777" w:rsidR="00AC6FF3" w:rsidRPr="00AC6FF3" w:rsidRDefault="00AC6FF3" w:rsidP="008C4014">
            <w:pPr>
              <w:pStyle w:val="TableText"/>
              <w:ind w:left="284"/>
            </w:pPr>
            <w:r>
              <w:t>Q4 smokers vs Q4 non-smokers</w:t>
            </w:r>
          </w:p>
          <w:p w14:paraId="23479C03" w14:textId="77777777" w:rsidR="00AC6FF3" w:rsidRPr="007B7915" w:rsidRDefault="00AC6FF3" w:rsidP="00AC6FF3">
            <w:pPr>
              <w:pStyle w:val="TableText"/>
              <w:ind w:left="284"/>
            </w:pPr>
            <w:r>
              <w:t>Q5 smokers vs Q5 non-smokers</w:t>
            </w:r>
          </w:p>
        </w:tc>
        <w:tc>
          <w:tcPr>
            <w:tcW w:w="2480" w:type="dxa"/>
            <w:tcBorders>
              <w:top w:val="single" w:sz="4" w:space="0" w:color="A6A6A6" w:themeColor="background1" w:themeShade="A6"/>
              <w:left w:val="nil"/>
              <w:bottom w:val="single" w:sz="4" w:space="0" w:color="auto"/>
              <w:right w:val="nil"/>
            </w:tcBorders>
            <w:shd w:val="clear" w:color="auto" w:fill="auto"/>
          </w:tcPr>
          <w:p w14:paraId="0D38DA96" w14:textId="77777777" w:rsidR="00AC6FF3" w:rsidRPr="00C41413" w:rsidRDefault="00AC6FF3" w:rsidP="00AC6FF3">
            <w:pPr>
              <w:pStyle w:val="TableText"/>
              <w:jc w:val="center"/>
            </w:pPr>
          </w:p>
          <w:p w14:paraId="59266882" w14:textId="77777777" w:rsidR="00AC6FF3" w:rsidRPr="00C41413" w:rsidRDefault="00AC6FF3" w:rsidP="00AC6FF3">
            <w:pPr>
              <w:pStyle w:val="TableText"/>
              <w:jc w:val="center"/>
            </w:pPr>
            <w:r w:rsidRPr="00C41413">
              <w:t>1.6*</w:t>
            </w:r>
          </w:p>
          <w:p w14:paraId="31843006" w14:textId="77777777" w:rsidR="00AC6FF3" w:rsidRPr="00C41413" w:rsidRDefault="00AC6FF3" w:rsidP="00AC6FF3">
            <w:pPr>
              <w:pStyle w:val="TableText"/>
              <w:jc w:val="center"/>
            </w:pPr>
            <w:r w:rsidRPr="00C41413">
              <w:t>1.7*</w:t>
            </w:r>
          </w:p>
          <w:p w14:paraId="37332621" w14:textId="77777777" w:rsidR="00AC6FF3" w:rsidRPr="00C41413" w:rsidRDefault="00AC6FF3" w:rsidP="00AC6FF3">
            <w:pPr>
              <w:pStyle w:val="TableText"/>
              <w:jc w:val="center"/>
            </w:pPr>
            <w:r w:rsidRPr="00C41413">
              <w:t>1.2</w:t>
            </w:r>
          </w:p>
          <w:p w14:paraId="404A928F" w14:textId="77777777" w:rsidR="00AC6FF3" w:rsidRPr="00C41413" w:rsidRDefault="00AC6FF3" w:rsidP="00AC6FF3">
            <w:pPr>
              <w:pStyle w:val="TableText"/>
              <w:jc w:val="center"/>
            </w:pPr>
            <w:r w:rsidRPr="00C41413">
              <w:t>1.6*</w:t>
            </w:r>
          </w:p>
          <w:p w14:paraId="07E5583C" w14:textId="77777777" w:rsidR="00AC6FF3" w:rsidRPr="00C41413" w:rsidRDefault="00AC6FF3" w:rsidP="00AC6FF3">
            <w:pPr>
              <w:pStyle w:val="TableText"/>
              <w:jc w:val="center"/>
            </w:pPr>
            <w:r w:rsidRPr="00C41413">
              <w:t>1.5*</w:t>
            </w:r>
          </w:p>
        </w:tc>
        <w:tc>
          <w:tcPr>
            <w:tcW w:w="2481" w:type="dxa"/>
            <w:tcBorders>
              <w:top w:val="single" w:sz="4" w:space="0" w:color="A6A6A6" w:themeColor="background1" w:themeShade="A6"/>
              <w:left w:val="nil"/>
            </w:tcBorders>
            <w:shd w:val="clear" w:color="auto" w:fill="auto"/>
          </w:tcPr>
          <w:p w14:paraId="0476B8F0" w14:textId="77777777" w:rsidR="00AC6FF3" w:rsidRPr="00C41413" w:rsidRDefault="00AC6FF3" w:rsidP="00AC6FF3">
            <w:pPr>
              <w:pStyle w:val="TableText"/>
              <w:jc w:val="center"/>
            </w:pPr>
          </w:p>
          <w:p w14:paraId="59A17912" w14:textId="77777777" w:rsidR="00AC6FF3" w:rsidRPr="00C41413" w:rsidRDefault="00AC6FF3" w:rsidP="00AC6FF3">
            <w:pPr>
              <w:pStyle w:val="TableText"/>
              <w:jc w:val="center"/>
            </w:pPr>
            <w:r w:rsidRPr="00C41413">
              <w:t xml:space="preserve">Age, </w:t>
            </w:r>
            <w:r>
              <w:t>sex</w:t>
            </w:r>
            <w:r w:rsidRPr="00C41413">
              <w:t>, ethnicity</w:t>
            </w:r>
          </w:p>
        </w:tc>
      </w:tr>
    </w:tbl>
    <w:p w14:paraId="1EBCB459" w14:textId="77777777" w:rsidR="00735227" w:rsidRDefault="00735227" w:rsidP="00AC6FF3">
      <w:pPr>
        <w:pStyle w:val="TableNote"/>
      </w:pPr>
      <w:r>
        <w:t>Source: 2012/13 NZHS</w:t>
      </w:r>
    </w:p>
    <w:p w14:paraId="485F7EF7" w14:textId="77777777" w:rsidR="00735227" w:rsidRDefault="00735227" w:rsidP="00AC6FF3">
      <w:pPr>
        <w:pStyle w:val="TableNote"/>
      </w:pPr>
      <w:r>
        <w:t>*</w:t>
      </w:r>
      <w:r w:rsidR="00AC6FF3">
        <w:tab/>
      </w:r>
      <w:r>
        <w:t>Statistically significant rate ratio</w:t>
      </w:r>
    </w:p>
    <w:p w14:paraId="1296B242" w14:textId="77777777" w:rsidR="00735227" w:rsidRDefault="00735227" w:rsidP="00AC6FF3">
      <w:pPr>
        <w:pStyle w:val="TableNote"/>
      </w:pPr>
      <w:r>
        <w:t>Note: Total response ethnicity has been used.</w:t>
      </w:r>
    </w:p>
    <w:p w14:paraId="3A41505D" w14:textId="77777777" w:rsidR="00735227" w:rsidRDefault="00735227" w:rsidP="00AC6FF3"/>
    <w:p w14:paraId="76B4D713" w14:textId="77777777" w:rsidR="00735227" w:rsidRPr="008519FF" w:rsidRDefault="00735227" w:rsidP="00AC6FF3">
      <w:pPr>
        <w:pStyle w:val="Heading3"/>
      </w:pPr>
      <w:r w:rsidRPr="008519FF">
        <w:t xml:space="preserve">Smokers </w:t>
      </w:r>
      <w:r>
        <w:t xml:space="preserve">were more likely to have reported </w:t>
      </w:r>
      <w:r w:rsidRPr="008519FF">
        <w:t xml:space="preserve">diagnosed mental health conditions </w:t>
      </w:r>
      <w:r>
        <w:t>regardless of levels of deprivation</w:t>
      </w:r>
    </w:p>
    <w:p w14:paraId="12ABE532" w14:textId="77777777" w:rsidR="00735227" w:rsidRDefault="00735227" w:rsidP="00AC6FF3">
      <w:r>
        <w:t>In all neighbourhood deprivation groups, smokers were more likely to have reported diagnosed mental health conditions compared to non-smokers (Figure 7). After adjusting for age, sex and ethnic group differences, smokers living in the least deprived areas (quintiles 1 and 2) were 1.6</w:t>
      </w:r>
      <w:r w:rsidR="00AC6FF3">
        <w:t> </w:t>
      </w:r>
      <w:r>
        <w:t>and 1.7 times respectively</w:t>
      </w:r>
      <w:r w:rsidR="00DA24AE">
        <w:t>,</w:t>
      </w:r>
      <w:r>
        <w:t xml:space="preserve"> more likely than non-smokers living in the same areas to report having diagnosed mental health conditions (Table 11). Similarly, smokers in the most deprived areas (quintiles 4 and 5) were 1.6 and 1.5 times respectively more likely to have reported diagnosed mental health conditions than non-smokers living in the same areas.</w:t>
      </w:r>
    </w:p>
    <w:p w14:paraId="67847B37" w14:textId="77777777" w:rsidR="00735227" w:rsidRDefault="00735227" w:rsidP="00AC6FF3"/>
    <w:p w14:paraId="6077D4D4" w14:textId="7BCAAF73" w:rsidR="00735227" w:rsidRDefault="00735227" w:rsidP="00AC6FF3">
      <w:pPr>
        <w:pStyle w:val="Figure"/>
      </w:pPr>
      <w:bookmarkStart w:id="116" w:name="_Toc399920490"/>
      <w:bookmarkStart w:id="117" w:name="_Toc404258416"/>
      <w:r>
        <w:t xml:space="preserve">Figure </w:t>
      </w:r>
      <w:r w:rsidR="00AC6FF3">
        <w:t>7</w:t>
      </w:r>
      <w:r w:rsidRPr="00EF612D">
        <w:t>:</w:t>
      </w:r>
      <w:r w:rsidR="00AC6FF3">
        <w:t xml:space="preserve"> </w:t>
      </w:r>
      <w:r w:rsidRPr="00EF612D">
        <w:t>Prevalence of diagnosed mental health conditions by neighbourhood deprivation, smokers compared to non-smokers</w:t>
      </w:r>
      <w:bookmarkEnd w:id="116"/>
      <w:r w:rsidR="00D27246">
        <w:t xml:space="preserve"> (age-standardised)</w:t>
      </w:r>
      <w:bookmarkEnd w:id="117"/>
    </w:p>
    <w:p w14:paraId="702CBFC6" w14:textId="77777777" w:rsidR="00735227" w:rsidRPr="00572F0F" w:rsidRDefault="007F4DD4" w:rsidP="007F4DD4">
      <w:pPr>
        <w:rPr>
          <w:lang w:eastAsia="en-US"/>
        </w:rPr>
      </w:pPr>
      <w:r w:rsidRPr="007F4DD4">
        <w:rPr>
          <w:noProof/>
          <w:lang w:eastAsia="en-NZ"/>
        </w:rPr>
        <w:drawing>
          <wp:inline distT="0" distB="0" distL="0" distR="0" wp14:anchorId="0275B10D" wp14:editId="7815F1FF">
            <wp:extent cx="4397433" cy="2541196"/>
            <wp:effectExtent l="0" t="0" r="3175" b="0"/>
            <wp:docPr id="12" name="Picture 12" title="Figure 7: Prevalence of diagnosed mental health conditions by neighbourhood deprivation, smokers compared to non-smo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r="10172" b="14908"/>
                    <a:stretch/>
                  </pic:blipFill>
                  <pic:spPr bwMode="auto">
                    <a:xfrm>
                      <a:off x="0" y="0"/>
                      <a:ext cx="4396903" cy="2540889"/>
                    </a:xfrm>
                    <a:prstGeom prst="rect">
                      <a:avLst/>
                    </a:prstGeom>
                    <a:ln>
                      <a:noFill/>
                    </a:ln>
                    <a:extLst>
                      <a:ext uri="{53640926-AAD7-44D8-BBD7-CCE9431645EC}">
                        <a14:shadowObscured xmlns:a14="http://schemas.microsoft.com/office/drawing/2010/main"/>
                      </a:ext>
                    </a:extLst>
                  </pic:spPr>
                </pic:pic>
              </a:graphicData>
            </a:graphic>
          </wp:inline>
        </w:drawing>
      </w:r>
    </w:p>
    <w:p w14:paraId="7FC60B4F" w14:textId="77777777" w:rsidR="00735227" w:rsidRDefault="00735227" w:rsidP="00AC6FF3">
      <w:pPr>
        <w:pStyle w:val="Source"/>
      </w:pPr>
      <w:r>
        <w:t>Source: 2012/13 NZHS</w:t>
      </w:r>
    </w:p>
    <w:p w14:paraId="6BACC39E" w14:textId="77777777" w:rsidR="00735227" w:rsidRDefault="00735227" w:rsidP="00AC6FF3"/>
    <w:p w14:paraId="5DD97038" w14:textId="77777777" w:rsidR="00735227" w:rsidRPr="008519FF" w:rsidRDefault="00735227" w:rsidP="00AC6FF3">
      <w:pPr>
        <w:pStyle w:val="Heading3"/>
      </w:pPr>
      <w:bookmarkStart w:id="118" w:name="_Toc390178296"/>
      <w:bookmarkStart w:id="119" w:name="_Toc400136624"/>
      <w:r w:rsidRPr="008519FF">
        <w:t xml:space="preserve">Smoking and </w:t>
      </w:r>
      <w:bookmarkEnd w:id="118"/>
      <w:r>
        <w:t>hazardous alcohol consumption</w:t>
      </w:r>
      <w:bookmarkEnd w:id="119"/>
    </w:p>
    <w:p w14:paraId="28DB8FDC" w14:textId="77777777" w:rsidR="00AA2408" w:rsidRDefault="00735227" w:rsidP="00AC6FF3">
      <w:r>
        <w:t xml:space="preserve">Not only is there a well-established relationship between smoking and alcohol consumption, but higher levels of alcohol use are associated with higher levels of smoking (Sorlie and Kannel 1990; Anthony and Echeagaray-Wagner 2000; Dawson 2000; Chiolero </w:t>
      </w:r>
      <w:r w:rsidR="00AC6FF3">
        <w:t>et al</w:t>
      </w:r>
      <w:r>
        <w:t xml:space="preserve"> 2006; Falk </w:t>
      </w:r>
      <w:r w:rsidR="00AC6FF3">
        <w:t>et al</w:t>
      </w:r>
      <w:r>
        <w:t xml:space="preserve"> 2006; Kahler </w:t>
      </w:r>
      <w:r w:rsidR="00AC6FF3">
        <w:t>et al</w:t>
      </w:r>
      <w:r>
        <w:t xml:space="preserve"> 2008;</w:t>
      </w:r>
      <w:r w:rsidRPr="00AB7A6F">
        <w:t xml:space="preserve"> </w:t>
      </w:r>
      <w:r>
        <w:t xml:space="preserve">Kypri </w:t>
      </w:r>
      <w:r w:rsidR="00AC6FF3">
        <w:t>et al</w:t>
      </w:r>
      <w:r>
        <w:t xml:space="preserve"> 2002; Bramley </w:t>
      </w:r>
      <w:r w:rsidR="00AC6FF3">
        <w:t>et al</w:t>
      </w:r>
      <w:r>
        <w:t xml:space="preserve"> 2006</w:t>
      </w:r>
      <w:r w:rsidR="00DA24AE">
        <w:t>; Wilson et al 2012</w:t>
      </w:r>
      <w:r>
        <w:t xml:space="preserve">) and lower rates of quitting (Augustson </w:t>
      </w:r>
      <w:r w:rsidR="00AC6FF3">
        <w:t>et al</w:t>
      </w:r>
      <w:r>
        <w:t xml:space="preserve"> 2008; Hymowitz </w:t>
      </w:r>
      <w:r w:rsidR="00AC6FF3">
        <w:t>et al</w:t>
      </w:r>
      <w:r>
        <w:t xml:space="preserve"> 1997; Osler </w:t>
      </w:r>
      <w:r w:rsidR="00AC6FF3">
        <w:t>et al</w:t>
      </w:r>
      <w:r>
        <w:t xml:space="preserve"> 1999; Dollar </w:t>
      </w:r>
      <w:r w:rsidR="00AC6FF3">
        <w:t>et al</w:t>
      </w:r>
      <w:r>
        <w:t xml:space="preserve"> 2009).</w:t>
      </w:r>
    </w:p>
    <w:p w14:paraId="629BB965" w14:textId="0854660C" w:rsidR="00DA24AE" w:rsidRDefault="00DA24AE" w:rsidP="00AC6FF3"/>
    <w:p w14:paraId="0B245580" w14:textId="73A9E7A2" w:rsidR="007066D2" w:rsidRDefault="00735227" w:rsidP="00AC6FF3">
      <w:r>
        <w:t xml:space="preserve">In this </w:t>
      </w:r>
      <w:r w:rsidR="008467DC">
        <w:t>report, potentially hazardous</w:t>
      </w:r>
      <w:r w:rsidR="00572AD6">
        <w:t xml:space="preserve"> drinking is measured using the international </w:t>
      </w:r>
      <w:r>
        <w:t>definition</w:t>
      </w:r>
      <w:r w:rsidR="00AA2408">
        <w:t xml:space="preserve"> </w:t>
      </w:r>
      <w:r w:rsidR="008467DC">
        <w:t xml:space="preserve">being an </w:t>
      </w:r>
      <w:r>
        <w:t>AUDIT score of eight or m</w:t>
      </w:r>
      <w:r w:rsidR="00572AD6">
        <w:t>ore</w:t>
      </w:r>
      <w:r w:rsidR="00DA24AE">
        <w:t>. It is important to note that s</w:t>
      </w:r>
      <w:r>
        <w:t>ince men and women have been assigned the same minimum starting point on the score, this may underestimate hazardous drinking in women, who generally have lower alcohol tolerance than men (Alcohol Advisory Council of New Zealand 2008).</w:t>
      </w:r>
    </w:p>
    <w:p w14:paraId="0BF0C201" w14:textId="77777777" w:rsidR="00735227" w:rsidRDefault="00735227" w:rsidP="00AC6FF3"/>
    <w:p w14:paraId="2E4F642D" w14:textId="77777777" w:rsidR="00735227" w:rsidRPr="008519FF" w:rsidRDefault="00735227" w:rsidP="00AC6FF3">
      <w:pPr>
        <w:pStyle w:val="Heading4"/>
      </w:pPr>
      <w:r w:rsidRPr="008519FF">
        <w:t>Four out of ten smokers had a drinking pattern that was considered potentially hazardous</w:t>
      </w:r>
    </w:p>
    <w:p w14:paraId="36C2D496" w14:textId="77777777" w:rsidR="007066D2" w:rsidRDefault="00DA24AE" w:rsidP="00AC6FF3">
      <w:r>
        <w:t>All smokers had drunk</w:t>
      </w:r>
      <w:r w:rsidR="00735227">
        <w:t xml:space="preserve"> an alcoholic drink in the past 12 months. Of these, four out of ten smokers (40%) had a potentially hazardous drinking pattern compared with 14% of non-smokers.</w:t>
      </w:r>
    </w:p>
    <w:p w14:paraId="6B6247D8" w14:textId="77777777" w:rsidR="00735227" w:rsidRDefault="00735227" w:rsidP="00AC6FF3"/>
    <w:p w14:paraId="346B2301" w14:textId="77777777" w:rsidR="00735227" w:rsidRPr="008519FF" w:rsidRDefault="00735227" w:rsidP="00AC6FF3">
      <w:pPr>
        <w:pStyle w:val="Heading4"/>
      </w:pPr>
      <w:r w:rsidRPr="008519FF">
        <w:t xml:space="preserve">Hazardous drinking </w:t>
      </w:r>
      <w:r>
        <w:t>rates</w:t>
      </w:r>
      <w:r w:rsidRPr="008519FF">
        <w:t xml:space="preserve"> </w:t>
      </w:r>
      <w:r>
        <w:t xml:space="preserve">were </w:t>
      </w:r>
      <w:r w:rsidRPr="008519FF">
        <w:t>higher in smokers than non-smokers across all age groups</w:t>
      </w:r>
    </w:p>
    <w:p w14:paraId="0D2AA8D2" w14:textId="77777777" w:rsidR="00735227" w:rsidRPr="00107735" w:rsidRDefault="00735227" w:rsidP="00AC6FF3">
      <w:r>
        <w:t>The proportion of current smokers who had drunk alcohol in the last year with a potentially hazardous drinking pattern was markedly more than non-smokers across all age groups (Figure</w:t>
      </w:r>
      <w:r w:rsidR="00AC6FF3">
        <w:t> </w:t>
      </w:r>
      <w:r>
        <w:t>8).</w:t>
      </w:r>
    </w:p>
    <w:p w14:paraId="389B3065" w14:textId="77777777" w:rsidR="00735227" w:rsidRDefault="00735227" w:rsidP="00735227">
      <w:pPr>
        <w:jc w:val="both"/>
        <w:rPr>
          <w:b/>
          <w:sz w:val="24"/>
          <w:szCs w:val="24"/>
        </w:rPr>
      </w:pPr>
    </w:p>
    <w:p w14:paraId="349C5DB2" w14:textId="77777777" w:rsidR="007066D2" w:rsidRDefault="00735227" w:rsidP="00735227">
      <w:pPr>
        <w:jc w:val="both"/>
      </w:pPr>
      <w:r>
        <w:t xml:space="preserve">Hazardous drinking rates were highest </w:t>
      </w:r>
      <w:r w:rsidR="00DA24AE">
        <w:t>in the younger age groups (15–34 years</w:t>
      </w:r>
      <w:r>
        <w:t>) with over half in each of these age groups having a hazardous drinking pattern. The proportion of smokers with potentially hazardous drinking patterns declined markedly with age.</w:t>
      </w:r>
    </w:p>
    <w:p w14:paraId="6DC348AF" w14:textId="77777777" w:rsidR="00735227" w:rsidRDefault="00735227" w:rsidP="00AC6FF3"/>
    <w:p w14:paraId="77C8454D" w14:textId="77777777" w:rsidR="00735227" w:rsidRDefault="00735227" w:rsidP="00AC6FF3">
      <w:pPr>
        <w:pStyle w:val="Figure"/>
      </w:pPr>
      <w:bookmarkStart w:id="120" w:name="_Toc399920491"/>
      <w:bookmarkStart w:id="121" w:name="_Toc404258417"/>
      <w:r>
        <w:t xml:space="preserve">Figure </w:t>
      </w:r>
      <w:r w:rsidR="00AC6FF3">
        <w:t>8</w:t>
      </w:r>
      <w:r w:rsidRPr="003252FF">
        <w:t>:</w:t>
      </w:r>
      <w:r w:rsidR="00AC6FF3">
        <w:t xml:space="preserve"> </w:t>
      </w:r>
      <w:r w:rsidRPr="003252FF">
        <w:t>Hazardous drinking among current smokers and non-smokers who had had a</w:t>
      </w:r>
      <w:r>
        <w:t xml:space="preserve">n alcoholic </w:t>
      </w:r>
      <w:r w:rsidRPr="003252FF">
        <w:t>drink in the past year, by age group</w:t>
      </w:r>
      <w:bookmarkEnd w:id="120"/>
      <w:bookmarkEnd w:id="121"/>
    </w:p>
    <w:p w14:paraId="5917922F" w14:textId="77777777" w:rsidR="00735227" w:rsidRPr="00572F0F" w:rsidRDefault="00476A18" w:rsidP="00476A18">
      <w:pPr>
        <w:rPr>
          <w:lang w:eastAsia="en-US"/>
        </w:rPr>
      </w:pPr>
      <w:r w:rsidRPr="00476A18">
        <w:rPr>
          <w:noProof/>
          <w:lang w:eastAsia="en-NZ"/>
        </w:rPr>
        <w:drawing>
          <wp:inline distT="0" distB="0" distL="0" distR="0" wp14:anchorId="7CF1BF44" wp14:editId="61439FBE">
            <wp:extent cx="4397432" cy="2561142"/>
            <wp:effectExtent l="0" t="0" r="3175" b="0"/>
            <wp:docPr id="13" name="Picture 13" title="Figure 8: Hazardous drinking among current smokers and non-smokers who had had an alcoholic drink in the past year,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r="10872" b="14908"/>
                    <a:stretch/>
                  </pic:blipFill>
                  <pic:spPr bwMode="auto">
                    <a:xfrm>
                      <a:off x="0" y="0"/>
                      <a:ext cx="4396902" cy="2560833"/>
                    </a:xfrm>
                    <a:prstGeom prst="rect">
                      <a:avLst/>
                    </a:prstGeom>
                    <a:ln>
                      <a:noFill/>
                    </a:ln>
                    <a:extLst>
                      <a:ext uri="{53640926-AAD7-44D8-BBD7-CCE9431645EC}">
                        <a14:shadowObscured xmlns:a14="http://schemas.microsoft.com/office/drawing/2010/main"/>
                      </a:ext>
                    </a:extLst>
                  </pic:spPr>
                </pic:pic>
              </a:graphicData>
            </a:graphic>
          </wp:inline>
        </w:drawing>
      </w:r>
    </w:p>
    <w:p w14:paraId="784FEE9C" w14:textId="77777777" w:rsidR="00735227" w:rsidRPr="00E42454" w:rsidRDefault="00735227" w:rsidP="00AC6FF3">
      <w:pPr>
        <w:pStyle w:val="Source"/>
      </w:pPr>
      <w:r>
        <w:t>Source: 2012/13 NZHS</w:t>
      </w:r>
    </w:p>
    <w:p w14:paraId="2D81D933" w14:textId="77777777" w:rsidR="00735227" w:rsidRDefault="00735227" w:rsidP="00AC6FF3"/>
    <w:p w14:paraId="69763D2F" w14:textId="77777777" w:rsidR="00735227" w:rsidRPr="008519FF" w:rsidRDefault="00735227" w:rsidP="00AC6FF3">
      <w:pPr>
        <w:pStyle w:val="Heading4"/>
      </w:pPr>
      <w:r w:rsidRPr="008519FF">
        <w:t xml:space="preserve">Hazardous drinking patterns </w:t>
      </w:r>
      <w:r>
        <w:t xml:space="preserve">were </w:t>
      </w:r>
      <w:r w:rsidRPr="008519FF">
        <w:t>higher in smokers than non-smokers in all ethnic groups</w:t>
      </w:r>
    </w:p>
    <w:p w14:paraId="78163519" w14:textId="77777777" w:rsidR="00735227" w:rsidRPr="009D7820" w:rsidRDefault="00735227" w:rsidP="00AC6FF3">
      <w:r>
        <w:t>Table 12 shows that the proportion of current smokers who had drunk alcohol in the last year with a potentially hazardous drinking pattern was markedly more than non-smokers in all ethnic groups.</w:t>
      </w:r>
    </w:p>
    <w:p w14:paraId="06FFF80C" w14:textId="77777777" w:rsidR="00735227" w:rsidRDefault="00735227" w:rsidP="00AC6FF3"/>
    <w:p w14:paraId="24DB907E" w14:textId="77777777" w:rsidR="007066D2" w:rsidRDefault="00735227" w:rsidP="00AC6FF3">
      <w:r>
        <w:t>Just over half of Māori (53%) and P</w:t>
      </w:r>
      <w:r w:rsidR="00DA24AE">
        <w:t>acific (54%) smokers who had dru</w:t>
      </w:r>
      <w:r>
        <w:t>nk in the past 12</w:t>
      </w:r>
      <w:r w:rsidR="00AC6FF3">
        <w:t> </w:t>
      </w:r>
      <w:r>
        <w:t>months had a potentially hazardous drinking pattern (Table 12). After adjusting for age and sex differences, Māori smokers were 1.7 times more likely to have a potentially hazardous drinking pattern than Māori non-smokers (Table 13).</w:t>
      </w:r>
    </w:p>
    <w:p w14:paraId="16430B17" w14:textId="77777777" w:rsidR="00735227" w:rsidRDefault="00735227" w:rsidP="00AC6FF3"/>
    <w:p w14:paraId="250D389D" w14:textId="77777777" w:rsidR="00735227" w:rsidRDefault="00735227" w:rsidP="00AC6FF3">
      <w:pPr>
        <w:pStyle w:val="Table"/>
      </w:pPr>
      <w:bookmarkStart w:id="122" w:name="_Toc399920523"/>
      <w:bookmarkStart w:id="123" w:name="_Toc404091112"/>
      <w:r>
        <w:t xml:space="preserve">Table </w:t>
      </w:r>
      <w:r w:rsidR="00AC6FF3">
        <w:t>12</w:t>
      </w:r>
      <w:r w:rsidRPr="00C93614">
        <w:t>:</w:t>
      </w:r>
      <w:r w:rsidR="00AC6FF3">
        <w:t xml:space="preserve"> </w:t>
      </w:r>
      <w:r w:rsidRPr="00C93614">
        <w:t>Prevalence of hazardous drinking among smokers and non-smokers who had had a drink in the past year, by ethnicity</w:t>
      </w:r>
      <w:bookmarkEnd w:id="122"/>
      <w:bookmarkEnd w:id="123"/>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2480"/>
        <w:gridCol w:w="2481"/>
      </w:tblGrid>
      <w:tr w:rsidR="00AC6FF3" w:rsidRPr="00D66766" w14:paraId="7CDF2D01" w14:textId="77777777" w:rsidTr="008C4014">
        <w:trPr>
          <w:cantSplit/>
        </w:trPr>
        <w:tc>
          <w:tcPr>
            <w:tcW w:w="4395" w:type="dxa"/>
            <w:tcBorders>
              <w:top w:val="single" w:sz="4" w:space="0" w:color="auto"/>
              <w:bottom w:val="single" w:sz="4" w:space="0" w:color="auto"/>
              <w:right w:val="nil"/>
            </w:tcBorders>
            <w:shd w:val="clear" w:color="auto" w:fill="auto"/>
          </w:tcPr>
          <w:p w14:paraId="0741AEEA" w14:textId="77777777" w:rsidR="00AC6FF3" w:rsidRPr="00D66766" w:rsidRDefault="00AC6FF3" w:rsidP="008C4014">
            <w:pPr>
              <w:pStyle w:val="TableText"/>
              <w:rPr>
                <w:b/>
              </w:rPr>
            </w:pPr>
            <w:r w:rsidRPr="00D66766">
              <w:rPr>
                <w:b/>
              </w:rPr>
              <w:t>Ethnic group</w:t>
            </w:r>
          </w:p>
        </w:tc>
        <w:tc>
          <w:tcPr>
            <w:tcW w:w="2480" w:type="dxa"/>
            <w:tcBorders>
              <w:top w:val="single" w:sz="4" w:space="0" w:color="auto"/>
              <w:left w:val="nil"/>
              <w:bottom w:val="single" w:sz="4" w:space="0" w:color="auto"/>
              <w:right w:val="nil"/>
            </w:tcBorders>
          </w:tcPr>
          <w:p w14:paraId="7DDFEC3E" w14:textId="77777777" w:rsidR="00AC6FF3" w:rsidRPr="00AC6FF3" w:rsidRDefault="00AC6FF3" w:rsidP="008C4014">
            <w:pPr>
              <w:pStyle w:val="TableText"/>
              <w:jc w:val="center"/>
              <w:rPr>
                <w:b/>
              </w:rPr>
            </w:pPr>
            <w:r w:rsidRPr="00AC6FF3">
              <w:rPr>
                <w:b/>
              </w:rPr>
              <w:t>Smokers (%)</w:t>
            </w:r>
          </w:p>
        </w:tc>
        <w:tc>
          <w:tcPr>
            <w:tcW w:w="2481" w:type="dxa"/>
            <w:tcBorders>
              <w:top w:val="single" w:sz="4" w:space="0" w:color="auto"/>
              <w:left w:val="nil"/>
              <w:bottom w:val="single" w:sz="4" w:space="0" w:color="auto"/>
            </w:tcBorders>
          </w:tcPr>
          <w:p w14:paraId="1277114B" w14:textId="77777777" w:rsidR="00AC6FF3" w:rsidRPr="00AC6FF3" w:rsidRDefault="00AC6FF3" w:rsidP="008C4014">
            <w:pPr>
              <w:pStyle w:val="TableText"/>
              <w:jc w:val="center"/>
              <w:rPr>
                <w:b/>
              </w:rPr>
            </w:pPr>
            <w:r w:rsidRPr="00AC6FF3">
              <w:rPr>
                <w:b/>
              </w:rPr>
              <w:t>Non-smokers (%)</w:t>
            </w:r>
          </w:p>
        </w:tc>
      </w:tr>
      <w:tr w:rsidR="00AC6FF3" w:rsidRPr="007B7915" w14:paraId="67C974CA" w14:textId="77777777" w:rsidTr="008C4014">
        <w:trPr>
          <w:cantSplit/>
        </w:trPr>
        <w:tc>
          <w:tcPr>
            <w:tcW w:w="4395" w:type="dxa"/>
            <w:tcBorders>
              <w:top w:val="single" w:sz="4" w:space="0" w:color="auto"/>
              <w:bottom w:val="single" w:sz="4" w:space="0" w:color="A6A6A6" w:themeColor="background1" w:themeShade="A6"/>
              <w:right w:val="nil"/>
            </w:tcBorders>
            <w:shd w:val="clear" w:color="auto" w:fill="auto"/>
          </w:tcPr>
          <w:p w14:paraId="18CE7980" w14:textId="77777777" w:rsidR="00AC6FF3" w:rsidRPr="007B7915" w:rsidRDefault="00AC6FF3" w:rsidP="008C4014">
            <w:pPr>
              <w:pStyle w:val="TableText"/>
            </w:pPr>
            <w:r w:rsidRPr="007B7915">
              <w:t>Māori</w:t>
            </w:r>
          </w:p>
        </w:tc>
        <w:tc>
          <w:tcPr>
            <w:tcW w:w="2480" w:type="dxa"/>
            <w:tcBorders>
              <w:top w:val="single" w:sz="4" w:space="0" w:color="auto"/>
              <w:left w:val="nil"/>
              <w:bottom w:val="single" w:sz="4" w:space="0" w:color="A6A6A6" w:themeColor="background1" w:themeShade="A6"/>
              <w:right w:val="nil"/>
            </w:tcBorders>
            <w:vAlign w:val="bottom"/>
          </w:tcPr>
          <w:p w14:paraId="4417D9F9" w14:textId="77777777" w:rsidR="00AC6FF3" w:rsidRPr="007B7915" w:rsidRDefault="00AC6FF3" w:rsidP="00AC6FF3">
            <w:pPr>
              <w:pStyle w:val="TableText"/>
              <w:jc w:val="center"/>
            </w:pPr>
            <w:r>
              <w:t>53</w:t>
            </w:r>
          </w:p>
        </w:tc>
        <w:tc>
          <w:tcPr>
            <w:tcW w:w="2481" w:type="dxa"/>
            <w:tcBorders>
              <w:top w:val="single" w:sz="4" w:space="0" w:color="auto"/>
              <w:left w:val="nil"/>
              <w:bottom w:val="single" w:sz="4" w:space="0" w:color="A6A6A6" w:themeColor="background1" w:themeShade="A6"/>
            </w:tcBorders>
            <w:vAlign w:val="bottom"/>
          </w:tcPr>
          <w:p w14:paraId="62120151" w14:textId="77777777" w:rsidR="00AC6FF3" w:rsidRPr="007B7915" w:rsidRDefault="00AC6FF3" w:rsidP="00AC6FF3">
            <w:pPr>
              <w:pStyle w:val="TableText"/>
              <w:tabs>
                <w:tab w:val="decimal" w:pos="1290"/>
              </w:tabs>
            </w:pPr>
            <w:r>
              <w:t>27</w:t>
            </w:r>
          </w:p>
        </w:tc>
      </w:tr>
      <w:tr w:rsidR="00AC6FF3" w:rsidRPr="007B7915" w14:paraId="53F22CD6"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36924698" w14:textId="77777777" w:rsidR="00AC6FF3" w:rsidRPr="007B7915" w:rsidRDefault="00AC6FF3" w:rsidP="008C4014">
            <w:pPr>
              <w:pStyle w:val="TableText"/>
            </w:pPr>
            <w:r w:rsidRPr="007B7915">
              <w:t>Pacific</w:t>
            </w:r>
          </w:p>
        </w:tc>
        <w:tc>
          <w:tcPr>
            <w:tcW w:w="2480" w:type="dxa"/>
            <w:tcBorders>
              <w:top w:val="single" w:sz="4" w:space="0" w:color="A6A6A6" w:themeColor="background1" w:themeShade="A6"/>
              <w:left w:val="nil"/>
              <w:bottom w:val="single" w:sz="4" w:space="0" w:color="A6A6A6" w:themeColor="background1" w:themeShade="A6"/>
              <w:right w:val="nil"/>
            </w:tcBorders>
            <w:vAlign w:val="bottom"/>
          </w:tcPr>
          <w:p w14:paraId="24AB0D90" w14:textId="77777777" w:rsidR="00AC6FF3" w:rsidRPr="007B7915" w:rsidRDefault="00AC6FF3" w:rsidP="00AC6FF3">
            <w:pPr>
              <w:pStyle w:val="TableText"/>
              <w:jc w:val="center"/>
            </w:pPr>
            <w:r>
              <w:t>54</w:t>
            </w:r>
          </w:p>
        </w:tc>
        <w:tc>
          <w:tcPr>
            <w:tcW w:w="2481" w:type="dxa"/>
            <w:tcBorders>
              <w:top w:val="single" w:sz="4" w:space="0" w:color="A6A6A6" w:themeColor="background1" w:themeShade="A6"/>
              <w:left w:val="nil"/>
              <w:bottom w:val="single" w:sz="4" w:space="0" w:color="A6A6A6" w:themeColor="background1" w:themeShade="A6"/>
            </w:tcBorders>
            <w:vAlign w:val="bottom"/>
          </w:tcPr>
          <w:p w14:paraId="513406B5" w14:textId="77777777" w:rsidR="00AC6FF3" w:rsidRPr="007B7915" w:rsidRDefault="00AC6FF3" w:rsidP="00AC6FF3">
            <w:pPr>
              <w:pStyle w:val="TableText"/>
              <w:tabs>
                <w:tab w:val="decimal" w:pos="1290"/>
              </w:tabs>
            </w:pPr>
            <w:r>
              <w:t>21</w:t>
            </w:r>
          </w:p>
        </w:tc>
      </w:tr>
      <w:tr w:rsidR="00AC6FF3" w:rsidRPr="007B7915" w14:paraId="65EFAD9F"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0CAEFAD7" w14:textId="77777777" w:rsidR="00AC6FF3" w:rsidRPr="007B7915" w:rsidRDefault="00AC6FF3" w:rsidP="008C4014">
            <w:pPr>
              <w:pStyle w:val="TableText"/>
            </w:pPr>
            <w:r w:rsidRPr="007B7915">
              <w:t>Asian</w:t>
            </w:r>
          </w:p>
        </w:tc>
        <w:tc>
          <w:tcPr>
            <w:tcW w:w="2480" w:type="dxa"/>
            <w:tcBorders>
              <w:top w:val="single" w:sz="4" w:space="0" w:color="A6A6A6" w:themeColor="background1" w:themeShade="A6"/>
              <w:left w:val="nil"/>
              <w:bottom w:val="single" w:sz="4" w:space="0" w:color="A6A6A6" w:themeColor="background1" w:themeShade="A6"/>
              <w:right w:val="nil"/>
            </w:tcBorders>
            <w:vAlign w:val="bottom"/>
          </w:tcPr>
          <w:p w14:paraId="2FD9CF91" w14:textId="77777777" w:rsidR="00AC6FF3" w:rsidRPr="007B7915" w:rsidRDefault="00AC6FF3" w:rsidP="00AC6FF3">
            <w:pPr>
              <w:pStyle w:val="TableText"/>
              <w:jc w:val="center"/>
            </w:pPr>
            <w:r>
              <w:t>19</w:t>
            </w:r>
          </w:p>
        </w:tc>
        <w:tc>
          <w:tcPr>
            <w:tcW w:w="2481" w:type="dxa"/>
            <w:tcBorders>
              <w:top w:val="single" w:sz="4" w:space="0" w:color="A6A6A6" w:themeColor="background1" w:themeShade="A6"/>
              <w:left w:val="nil"/>
              <w:bottom w:val="single" w:sz="4" w:space="0" w:color="A6A6A6" w:themeColor="background1" w:themeShade="A6"/>
            </w:tcBorders>
            <w:vAlign w:val="bottom"/>
          </w:tcPr>
          <w:p w14:paraId="51FCAFC3" w14:textId="77777777" w:rsidR="00AC6FF3" w:rsidRPr="007B7915" w:rsidRDefault="00AC6FF3" w:rsidP="00AC6FF3">
            <w:pPr>
              <w:pStyle w:val="TableText"/>
              <w:tabs>
                <w:tab w:val="decimal" w:pos="1290"/>
              </w:tabs>
            </w:pPr>
            <w:r w:rsidRPr="007B7915">
              <w:t>7</w:t>
            </w:r>
          </w:p>
        </w:tc>
      </w:tr>
      <w:tr w:rsidR="00AC6FF3" w:rsidRPr="007B7915" w14:paraId="5FFCC104" w14:textId="77777777" w:rsidTr="008C4014">
        <w:trPr>
          <w:cantSplit/>
        </w:trPr>
        <w:tc>
          <w:tcPr>
            <w:tcW w:w="4395" w:type="dxa"/>
            <w:tcBorders>
              <w:top w:val="single" w:sz="4" w:space="0" w:color="A6A6A6" w:themeColor="background1" w:themeShade="A6"/>
              <w:right w:val="nil"/>
            </w:tcBorders>
            <w:shd w:val="clear" w:color="auto" w:fill="auto"/>
          </w:tcPr>
          <w:p w14:paraId="36E4882D" w14:textId="77777777" w:rsidR="00AC6FF3" w:rsidRPr="007B7915" w:rsidRDefault="00AC6FF3" w:rsidP="008C4014">
            <w:pPr>
              <w:pStyle w:val="TableText"/>
            </w:pPr>
            <w:r w:rsidRPr="007B7915">
              <w:t>European/Other</w:t>
            </w:r>
          </w:p>
        </w:tc>
        <w:tc>
          <w:tcPr>
            <w:tcW w:w="2480" w:type="dxa"/>
            <w:tcBorders>
              <w:top w:val="single" w:sz="4" w:space="0" w:color="A6A6A6" w:themeColor="background1" w:themeShade="A6"/>
              <w:left w:val="nil"/>
              <w:bottom w:val="single" w:sz="4" w:space="0" w:color="auto"/>
              <w:right w:val="nil"/>
            </w:tcBorders>
            <w:vAlign w:val="bottom"/>
          </w:tcPr>
          <w:p w14:paraId="7848F0E6" w14:textId="77777777" w:rsidR="00AC6FF3" w:rsidRPr="007B7915" w:rsidRDefault="00AC6FF3" w:rsidP="00AC6FF3">
            <w:pPr>
              <w:pStyle w:val="TableText"/>
              <w:jc w:val="center"/>
            </w:pPr>
            <w:r>
              <w:t>38</w:t>
            </w:r>
          </w:p>
        </w:tc>
        <w:tc>
          <w:tcPr>
            <w:tcW w:w="2481" w:type="dxa"/>
            <w:tcBorders>
              <w:top w:val="single" w:sz="4" w:space="0" w:color="A6A6A6" w:themeColor="background1" w:themeShade="A6"/>
              <w:left w:val="nil"/>
            </w:tcBorders>
            <w:vAlign w:val="bottom"/>
          </w:tcPr>
          <w:p w14:paraId="214E9D7E" w14:textId="77777777" w:rsidR="00AC6FF3" w:rsidRPr="007B7915" w:rsidRDefault="00AC6FF3" w:rsidP="00AC6FF3">
            <w:pPr>
              <w:pStyle w:val="TableText"/>
              <w:tabs>
                <w:tab w:val="decimal" w:pos="1290"/>
              </w:tabs>
            </w:pPr>
            <w:r>
              <w:t>14</w:t>
            </w:r>
          </w:p>
        </w:tc>
      </w:tr>
    </w:tbl>
    <w:p w14:paraId="7E8592E9" w14:textId="77777777" w:rsidR="00AC6FF3" w:rsidRDefault="00AC6FF3" w:rsidP="00AC6FF3">
      <w:pPr>
        <w:pStyle w:val="TableNote"/>
      </w:pPr>
      <w:r>
        <w:t>Source: 2012/13 NZHS</w:t>
      </w:r>
    </w:p>
    <w:p w14:paraId="6561FA64" w14:textId="77777777" w:rsidR="00AC6FF3" w:rsidRDefault="00AC6FF3" w:rsidP="00AC6FF3">
      <w:pPr>
        <w:pStyle w:val="TableNote"/>
      </w:pPr>
      <w:r>
        <w:t>Note: Total response ethnicity has been used.</w:t>
      </w:r>
    </w:p>
    <w:p w14:paraId="7ACFB101" w14:textId="77777777" w:rsidR="00AC6FF3" w:rsidRDefault="00AC6FF3" w:rsidP="00AC6FF3"/>
    <w:p w14:paraId="0CC67C09" w14:textId="77777777" w:rsidR="00735227" w:rsidRPr="008519FF" w:rsidRDefault="00735227" w:rsidP="00AC6FF3">
      <w:pPr>
        <w:pStyle w:val="Heading4"/>
      </w:pPr>
      <w:r w:rsidRPr="008519FF">
        <w:t xml:space="preserve">Hazardous drinking patterns </w:t>
      </w:r>
      <w:r>
        <w:t xml:space="preserve">were </w:t>
      </w:r>
      <w:r w:rsidRPr="008519FF">
        <w:t xml:space="preserve">higher in smokers than non-smokers regardless of </w:t>
      </w:r>
      <w:r>
        <w:t>deprivation levels</w:t>
      </w:r>
    </w:p>
    <w:p w14:paraId="359124BC" w14:textId="77777777" w:rsidR="00735227" w:rsidRPr="009D7820" w:rsidRDefault="00735227" w:rsidP="00AC6FF3">
      <w:r>
        <w:t>The proportion of current smokers who had drunk alcohol in the last year with a potentially hazardous drinking pattern was markedly more than the proportion of non-smokers across all neighbourhood deprivation quintiles (Figure 9). After adjusting for age, sex and ethnicity differences, smokers who had drunk alcohol in the last year and lived in quintiles 2–5, were between 1.9 and 2.2 times more likely to have a potentially hazardous drinking pattern than non-smokers who lived in the same areas (Table 13).</w:t>
      </w:r>
    </w:p>
    <w:p w14:paraId="1C3B145E" w14:textId="77777777" w:rsidR="00735227" w:rsidRDefault="00735227" w:rsidP="00AC6FF3"/>
    <w:p w14:paraId="21892C59" w14:textId="29B9C730" w:rsidR="00735227" w:rsidRDefault="00735227" w:rsidP="00AC6FF3">
      <w:pPr>
        <w:pStyle w:val="Figure"/>
      </w:pPr>
      <w:bookmarkStart w:id="124" w:name="_Toc399920492"/>
      <w:bookmarkStart w:id="125" w:name="_Toc404258418"/>
      <w:r>
        <w:t xml:space="preserve">Figure </w:t>
      </w:r>
      <w:r w:rsidR="00AC6FF3">
        <w:t>9</w:t>
      </w:r>
      <w:r w:rsidRPr="003614F3">
        <w:t>:</w:t>
      </w:r>
      <w:r w:rsidR="00AC6FF3">
        <w:t xml:space="preserve"> </w:t>
      </w:r>
      <w:r w:rsidRPr="003614F3">
        <w:t>Hazardous drinking among current smokers and non-smokers who had had a</w:t>
      </w:r>
      <w:r w:rsidR="00B7465A">
        <w:t>n alcoholic</w:t>
      </w:r>
      <w:r w:rsidRPr="003614F3">
        <w:t xml:space="preserve"> drink in the past year, by neighbourhood deprivation</w:t>
      </w:r>
      <w:bookmarkEnd w:id="124"/>
      <w:r w:rsidR="00D27246">
        <w:t xml:space="preserve"> (age-standardised)</w:t>
      </w:r>
      <w:bookmarkEnd w:id="125"/>
    </w:p>
    <w:p w14:paraId="26770FC6" w14:textId="77777777" w:rsidR="00735227" w:rsidRPr="00572F0F" w:rsidRDefault="005E1877" w:rsidP="005E1877">
      <w:pPr>
        <w:rPr>
          <w:lang w:eastAsia="en-US"/>
        </w:rPr>
      </w:pPr>
      <w:r w:rsidRPr="005E1877">
        <w:rPr>
          <w:noProof/>
          <w:lang w:eastAsia="en-NZ"/>
        </w:rPr>
        <w:drawing>
          <wp:inline distT="0" distB="0" distL="0" distR="0" wp14:anchorId="7A542897" wp14:editId="09A630A1">
            <wp:extent cx="4405746" cy="2574608"/>
            <wp:effectExtent l="0" t="0" r="0" b="0"/>
            <wp:docPr id="14" name="Picture 14" title="Figure 9: Hazardous drinking among current smokers and non-smokers who had had a drink in the past year, by neighbourhood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10452" b="14221"/>
                    <a:stretch/>
                  </pic:blipFill>
                  <pic:spPr bwMode="auto">
                    <a:xfrm>
                      <a:off x="0" y="0"/>
                      <a:ext cx="4405215" cy="2574298"/>
                    </a:xfrm>
                    <a:prstGeom prst="rect">
                      <a:avLst/>
                    </a:prstGeom>
                    <a:ln>
                      <a:noFill/>
                    </a:ln>
                    <a:extLst>
                      <a:ext uri="{53640926-AAD7-44D8-BBD7-CCE9431645EC}">
                        <a14:shadowObscured xmlns:a14="http://schemas.microsoft.com/office/drawing/2010/main"/>
                      </a:ext>
                    </a:extLst>
                  </pic:spPr>
                </pic:pic>
              </a:graphicData>
            </a:graphic>
          </wp:inline>
        </w:drawing>
      </w:r>
    </w:p>
    <w:p w14:paraId="40A4F6AC" w14:textId="77777777" w:rsidR="00735227" w:rsidRPr="000D31F7" w:rsidRDefault="00735227" w:rsidP="00AC6FF3">
      <w:pPr>
        <w:pStyle w:val="Source"/>
      </w:pPr>
      <w:r>
        <w:t>Source: 2012/13 NZHS</w:t>
      </w:r>
    </w:p>
    <w:p w14:paraId="1397F2DD" w14:textId="77777777" w:rsidR="00735227" w:rsidRDefault="00735227" w:rsidP="00AC6FF3"/>
    <w:p w14:paraId="474CBB9C" w14:textId="77777777" w:rsidR="00735227" w:rsidRDefault="00735227" w:rsidP="00AC6FF3">
      <w:pPr>
        <w:pStyle w:val="Table"/>
      </w:pPr>
      <w:bookmarkStart w:id="126" w:name="_Toc399920524"/>
      <w:bookmarkStart w:id="127" w:name="_Toc404091113"/>
      <w:r>
        <w:t xml:space="preserve">Table </w:t>
      </w:r>
      <w:r w:rsidR="00AC6FF3">
        <w:t>13</w:t>
      </w:r>
      <w:r>
        <w:t>:</w:t>
      </w:r>
      <w:r w:rsidR="00AC6FF3">
        <w:t xml:space="preserve"> </w:t>
      </w:r>
      <w:r>
        <w:t>Comparisons</w:t>
      </w:r>
      <w:r w:rsidRPr="00BF6374">
        <w:t xml:space="preserve"> of prevalence of hazardous drinking among smokers and non-smokers, by </w:t>
      </w:r>
      <w:r>
        <w:t>sex</w:t>
      </w:r>
      <w:r w:rsidRPr="00BF6374">
        <w:t>, ethnicity and neighbourhood deprivation</w:t>
      </w:r>
      <w:bookmarkEnd w:id="126"/>
      <w:bookmarkEnd w:id="12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653"/>
        <w:gridCol w:w="1654"/>
        <w:gridCol w:w="1654"/>
      </w:tblGrid>
      <w:tr w:rsidR="008C4014" w:rsidRPr="00D66766" w14:paraId="4A068238" w14:textId="77777777" w:rsidTr="008C4014">
        <w:trPr>
          <w:cantSplit/>
        </w:trPr>
        <w:tc>
          <w:tcPr>
            <w:tcW w:w="4395" w:type="dxa"/>
            <w:tcBorders>
              <w:top w:val="single" w:sz="4" w:space="0" w:color="auto"/>
              <w:bottom w:val="single" w:sz="4" w:space="0" w:color="auto"/>
              <w:right w:val="nil"/>
            </w:tcBorders>
            <w:shd w:val="clear" w:color="auto" w:fill="auto"/>
          </w:tcPr>
          <w:p w14:paraId="65C639C5" w14:textId="77777777" w:rsidR="008C4014" w:rsidRPr="007B7915" w:rsidRDefault="008C4014" w:rsidP="008C4014">
            <w:pPr>
              <w:pStyle w:val="TableText"/>
            </w:pPr>
          </w:p>
        </w:tc>
        <w:tc>
          <w:tcPr>
            <w:tcW w:w="1653" w:type="dxa"/>
            <w:tcBorders>
              <w:top w:val="single" w:sz="4" w:space="0" w:color="auto"/>
              <w:left w:val="nil"/>
              <w:bottom w:val="single" w:sz="4" w:space="0" w:color="auto"/>
              <w:right w:val="nil"/>
            </w:tcBorders>
            <w:shd w:val="clear" w:color="auto" w:fill="auto"/>
          </w:tcPr>
          <w:p w14:paraId="00A31C34" w14:textId="77777777" w:rsidR="008C4014" w:rsidRPr="00D66766" w:rsidRDefault="008C4014" w:rsidP="008C4014">
            <w:pPr>
              <w:pStyle w:val="TableText"/>
              <w:jc w:val="center"/>
              <w:rPr>
                <w:b/>
              </w:rPr>
            </w:pPr>
            <w:r>
              <w:rPr>
                <w:b/>
              </w:rPr>
              <w:t>Unadjusted rate ratio</w:t>
            </w:r>
          </w:p>
        </w:tc>
        <w:tc>
          <w:tcPr>
            <w:tcW w:w="1654" w:type="dxa"/>
            <w:tcBorders>
              <w:top w:val="single" w:sz="4" w:space="0" w:color="auto"/>
              <w:left w:val="nil"/>
              <w:bottom w:val="single" w:sz="4" w:space="0" w:color="auto"/>
              <w:right w:val="nil"/>
            </w:tcBorders>
            <w:shd w:val="clear" w:color="auto" w:fill="auto"/>
          </w:tcPr>
          <w:p w14:paraId="0C7D9E02" w14:textId="77777777" w:rsidR="008C4014" w:rsidRPr="00D66766" w:rsidRDefault="008C4014" w:rsidP="008C4014">
            <w:pPr>
              <w:pStyle w:val="TableText"/>
              <w:jc w:val="center"/>
              <w:rPr>
                <w:b/>
              </w:rPr>
            </w:pPr>
            <w:r>
              <w:rPr>
                <w:b/>
              </w:rPr>
              <w:t>Adjusted rate ratio</w:t>
            </w:r>
          </w:p>
        </w:tc>
        <w:tc>
          <w:tcPr>
            <w:tcW w:w="1654" w:type="dxa"/>
            <w:tcBorders>
              <w:top w:val="single" w:sz="4" w:space="0" w:color="auto"/>
              <w:left w:val="nil"/>
              <w:bottom w:val="single" w:sz="4" w:space="0" w:color="auto"/>
            </w:tcBorders>
            <w:shd w:val="clear" w:color="auto" w:fill="auto"/>
          </w:tcPr>
          <w:p w14:paraId="4A235F29" w14:textId="77777777" w:rsidR="008C4014" w:rsidRPr="00D66766" w:rsidRDefault="008C4014" w:rsidP="008C4014">
            <w:pPr>
              <w:pStyle w:val="TableText"/>
              <w:jc w:val="center"/>
              <w:rPr>
                <w:b/>
              </w:rPr>
            </w:pPr>
            <w:r>
              <w:rPr>
                <w:b/>
              </w:rPr>
              <w:t>Adjusted variables</w:t>
            </w:r>
          </w:p>
        </w:tc>
      </w:tr>
      <w:tr w:rsidR="008C4014" w:rsidRPr="00C41413" w14:paraId="05CF3673"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76BE8A16" w14:textId="77777777" w:rsidR="008C4014" w:rsidRDefault="008C4014" w:rsidP="008C4014">
            <w:pPr>
              <w:pStyle w:val="TableText"/>
            </w:pPr>
            <w:r>
              <w:t>Sex</w:t>
            </w:r>
          </w:p>
          <w:p w14:paraId="06C475D7" w14:textId="77777777" w:rsidR="008C4014" w:rsidRDefault="008C4014" w:rsidP="008C4014">
            <w:pPr>
              <w:pStyle w:val="TableText"/>
              <w:ind w:left="284"/>
            </w:pPr>
            <w:r w:rsidRPr="007B7915">
              <w:t>Male</w:t>
            </w:r>
            <w:r>
              <w:t xml:space="preserve"> smokers vs male non-smokers</w:t>
            </w:r>
          </w:p>
          <w:p w14:paraId="39E978B8" w14:textId="77777777" w:rsidR="008C4014" w:rsidRPr="007B7915" w:rsidRDefault="008C4014" w:rsidP="008C4014">
            <w:pPr>
              <w:pStyle w:val="TableText"/>
              <w:ind w:left="284"/>
            </w:pPr>
            <w:r>
              <w:t>Female smokers vs female non-smokers</w:t>
            </w:r>
          </w:p>
        </w:tc>
        <w:tc>
          <w:tcPr>
            <w:tcW w:w="1653" w:type="dxa"/>
            <w:tcBorders>
              <w:top w:val="single" w:sz="4" w:space="0" w:color="A6A6A6" w:themeColor="background1" w:themeShade="A6"/>
              <w:left w:val="nil"/>
              <w:bottom w:val="single" w:sz="4" w:space="0" w:color="A6A6A6" w:themeColor="background1" w:themeShade="A6"/>
              <w:right w:val="nil"/>
            </w:tcBorders>
            <w:shd w:val="clear" w:color="auto" w:fill="auto"/>
          </w:tcPr>
          <w:p w14:paraId="4CC90CD9" w14:textId="77777777" w:rsidR="008C4014" w:rsidRPr="00C41413" w:rsidRDefault="008C4014" w:rsidP="008C4014">
            <w:pPr>
              <w:pStyle w:val="TableText"/>
              <w:jc w:val="center"/>
            </w:pPr>
          </w:p>
          <w:p w14:paraId="57FED126" w14:textId="77777777" w:rsidR="008C4014" w:rsidRPr="00C41413" w:rsidRDefault="008C4014" w:rsidP="008C4014">
            <w:pPr>
              <w:pStyle w:val="TableText"/>
              <w:jc w:val="center"/>
            </w:pPr>
            <w:r w:rsidRPr="00C41413">
              <w:t>2.4*</w:t>
            </w:r>
          </w:p>
          <w:p w14:paraId="65AA835B" w14:textId="77777777" w:rsidR="008C4014" w:rsidRPr="00C41413" w:rsidRDefault="008C4014" w:rsidP="008C4014">
            <w:pPr>
              <w:pStyle w:val="TableText"/>
              <w:jc w:val="center"/>
            </w:pPr>
            <w:r w:rsidRPr="00C41413">
              <w:t>4.0*</w:t>
            </w:r>
          </w:p>
        </w:tc>
        <w:tc>
          <w:tcPr>
            <w:tcW w:w="1654" w:type="dxa"/>
            <w:tcBorders>
              <w:top w:val="single" w:sz="4" w:space="0" w:color="A6A6A6" w:themeColor="background1" w:themeShade="A6"/>
              <w:left w:val="nil"/>
              <w:bottom w:val="single" w:sz="4" w:space="0" w:color="A6A6A6" w:themeColor="background1" w:themeShade="A6"/>
              <w:right w:val="nil"/>
            </w:tcBorders>
            <w:shd w:val="clear" w:color="auto" w:fill="auto"/>
          </w:tcPr>
          <w:p w14:paraId="597E311E" w14:textId="77777777" w:rsidR="008C4014" w:rsidRPr="00C41413" w:rsidRDefault="008C4014" w:rsidP="008C4014">
            <w:pPr>
              <w:pStyle w:val="TableText"/>
              <w:tabs>
                <w:tab w:val="decimal" w:pos="699"/>
              </w:tabs>
            </w:pPr>
          </w:p>
          <w:p w14:paraId="592F3DCA" w14:textId="77777777" w:rsidR="008C4014" w:rsidRPr="00C41413" w:rsidRDefault="008C4014" w:rsidP="008C4014">
            <w:pPr>
              <w:pStyle w:val="TableText"/>
              <w:tabs>
                <w:tab w:val="decimal" w:pos="699"/>
              </w:tabs>
            </w:pPr>
            <w:r w:rsidRPr="00C41413">
              <w:t>1.9*</w:t>
            </w:r>
          </w:p>
          <w:p w14:paraId="04624BD3" w14:textId="77777777" w:rsidR="008C4014" w:rsidRPr="00C41413" w:rsidRDefault="008C4014" w:rsidP="008C4014">
            <w:pPr>
              <w:pStyle w:val="TableText"/>
              <w:tabs>
                <w:tab w:val="decimal" w:pos="699"/>
              </w:tabs>
            </w:pPr>
            <w:r w:rsidRPr="00C41413">
              <w:t>2.6*</w:t>
            </w:r>
          </w:p>
        </w:tc>
        <w:tc>
          <w:tcPr>
            <w:tcW w:w="1654" w:type="dxa"/>
            <w:tcBorders>
              <w:top w:val="single" w:sz="4" w:space="0" w:color="A6A6A6" w:themeColor="background1" w:themeShade="A6"/>
              <w:left w:val="nil"/>
              <w:bottom w:val="single" w:sz="4" w:space="0" w:color="A6A6A6" w:themeColor="background1" w:themeShade="A6"/>
            </w:tcBorders>
            <w:shd w:val="clear" w:color="auto" w:fill="auto"/>
          </w:tcPr>
          <w:p w14:paraId="4A037E2C" w14:textId="77777777" w:rsidR="008C4014" w:rsidRPr="00C41413" w:rsidRDefault="008C4014" w:rsidP="008C4014">
            <w:pPr>
              <w:pStyle w:val="TableText"/>
              <w:jc w:val="center"/>
            </w:pPr>
          </w:p>
          <w:p w14:paraId="030C3162" w14:textId="77777777" w:rsidR="008C4014" w:rsidRPr="00C41413" w:rsidRDefault="008C4014" w:rsidP="008C4014">
            <w:pPr>
              <w:pStyle w:val="TableText"/>
              <w:jc w:val="center"/>
            </w:pPr>
            <w:r w:rsidRPr="00C41413">
              <w:t>Age, ethnicity, deprivation</w:t>
            </w:r>
          </w:p>
        </w:tc>
      </w:tr>
      <w:tr w:rsidR="008C4014" w:rsidRPr="00C41413" w14:paraId="594ED4EE"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796895F2" w14:textId="77777777" w:rsidR="008C4014" w:rsidRPr="007B7915" w:rsidRDefault="008C4014" w:rsidP="008C4014">
            <w:pPr>
              <w:pStyle w:val="TableText"/>
            </w:pPr>
            <w:r w:rsidRPr="007B7915">
              <w:t>Ethnicity (%)</w:t>
            </w:r>
          </w:p>
          <w:p w14:paraId="3C4D5047" w14:textId="77777777" w:rsidR="008C4014" w:rsidRPr="007B7915" w:rsidRDefault="008C4014" w:rsidP="008C4014">
            <w:pPr>
              <w:pStyle w:val="TableText"/>
              <w:ind w:left="284"/>
              <w:rPr>
                <w:szCs w:val="24"/>
              </w:rPr>
            </w:pPr>
            <w:r w:rsidRPr="007B7915">
              <w:rPr>
                <w:szCs w:val="24"/>
              </w:rPr>
              <w:t>Māori</w:t>
            </w:r>
            <w:r>
              <w:rPr>
                <w:szCs w:val="24"/>
              </w:rPr>
              <w:t xml:space="preserve"> smokers vs Māori non-smokers</w:t>
            </w:r>
          </w:p>
          <w:p w14:paraId="7D0D8995" w14:textId="77777777" w:rsidR="008C4014" w:rsidRPr="007B7915" w:rsidRDefault="008C4014" w:rsidP="008C4014">
            <w:pPr>
              <w:pStyle w:val="TableText"/>
              <w:ind w:left="284"/>
              <w:rPr>
                <w:szCs w:val="24"/>
              </w:rPr>
            </w:pPr>
            <w:r w:rsidRPr="007B7915">
              <w:rPr>
                <w:szCs w:val="24"/>
              </w:rPr>
              <w:t>Pacific</w:t>
            </w:r>
            <w:r>
              <w:rPr>
                <w:szCs w:val="24"/>
              </w:rPr>
              <w:t xml:space="preserve"> smokers vs Pacific non-smokers</w:t>
            </w:r>
          </w:p>
          <w:p w14:paraId="0B641883" w14:textId="77777777" w:rsidR="008C4014" w:rsidRPr="007B7915" w:rsidRDefault="008C4014" w:rsidP="008C4014">
            <w:pPr>
              <w:pStyle w:val="TableText"/>
              <w:ind w:left="284"/>
              <w:rPr>
                <w:szCs w:val="24"/>
              </w:rPr>
            </w:pPr>
            <w:r w:rsidRPr="007B7915">
              <w:rPr>
                <w:szCs w:val="24"/>
              </w:rPr>
              <w:t>Asian</w:t>
            </w:r>
            <w:r>
              <w:rPr>
                <w:szCs w:val="24"/>
              </w:rPr>
              <w:t xml:space="preserve"> smokers vs Asian non-smokers</w:t>
            </w:r>
          </w:p>
        </w:tc>
        <w:tc>
          <w:tcPr>
            <w:tcW w:w="1653" w:type="dxa"/>
            <w:tcBorders>
              <w:top w:val="single" w:sz="4" w:space="0" w:color="A6A6A6" w:themeColor="background1" w:themeShade="A6"/>
              <w:left w:val="nil"/>
              <w:bottom w:val="single" w:sz="4" w:space="0" w:color="A6A6A6" w:themeColor="background1" w:themeShade="A6"/>
              <w:right w:val="nil"/>
            </w:tcBorders>
            <w:shd w:val="clear" w:color="auto" w:fill="auto"/>
          </w:tcPr>
          <w:p w14:paraId="1A0D04FA" w14:textId="77777777" w:rsidR="008C4014" w:rsidRPr="00C41413" w:rsidRDefault="008C4014" w:rsidP="008C4014">
            <w:pPr>
              <w:pStyle w:val="TableText"/>
              <w:jc w:val="center"/>
            </w:pPr>
          </w:p>
          <w:p w14:paraId="0084A4D2" w14:textId="77777777" w:rsidR="008C4014" w:rsidRPr="00C41413" w:rsidRDefault="008C4014" w:rsidP="008C4014">
            <w:pPr>
              <w:pStyle w:val="TableText"/>
              <w:jc w:val="center"/>
            </w:pPr>
            <w:r w:rsidRPr="00C41413">
              <w:t>1.9*</w:t>
            </w:r>
          </w:p>
          <w:p w14:paraId="7BB3B007" w14:textId="77777777" w:rsidR="008C4014" w:rsidRPr="00C41413" w:rsidRDefault="008C4014" w:rsidP="008C4014">
            <w:pPr>
              <w:pStyle w:val="TableText"/>
              <w:jc w:val="center"/>
            </w:pPr>
            <w:r w:rsidRPr="00C41413">
              <w:t>2.5*</w:t>
            </w:r>
          </w:p>
          <w:p w14:paraId="3774EF09" w14:textId="77777777" w:rsidR="008C4014" w:rsidRPr="00C41413" w:rsidRDefault="008C4014" w:rsidP="008C4014">
            <w:pPr>
              <w:pStyle w:val="TableText"/>
              <w:jc w:val="center"/>
            </w:pPr>
            <w:r w:rsidRPr="00C41413">
              <w:t>2.8*</w:t>
            </w:r>
          </w:p>
        </w:tc>
        <w:tc>
          <w:tcPr>
            <w:tcW w:w="1654" w:type="dxa"/>
            <w:tcBorders>
              <w:top w:val="single" w:sz="4" w:space="0" w:color="A6A6A6" w:themeColor="background1" w:themeShade="A6"/>
              <w:left w:val="nil"/>
              <w:bottom w:val="single" w:sz="4" w:space="0" w:color="A6A6A6" w:themeColor="background1" w:themeShade="A6"/>
              <w:right w:val="nil"/>
            </w:tcBorders>
            <w:shd w:val="clear" w:color="auto" w:fill="auto"/>
          </w:tcPr>
          <w:p w14:paraId="1C030044" w14:textId="77777777" w:rsidR="008C4014" w:rsidRPr="00C41413" w:rsidRDefault="008C4014" w:rsidP="008C4014">
            <w:pPr>
              <w:pStyle w:val="TableText"/>
              <w:tabs>
                <w:tab w:val="decimal" w:pos="699"/>
              </w:tabs>
            </w:pPr>
          </w:p>
          <w:p w14:paraId="3A2DFBEF" w14:textId="77777777" w:rsidR="008C4014" w:rsidRPr="00C41413" w:rsidRDefault="008C4014" w:rsidP="008C4014">
            <w:pPr>
              <w:pStyle w:val="TableText"/>
              <w:tabs>
                <w:tab w:val="decimal" w:pos="699"/>
              </w:tabs>
            </w:pPr>
            <w:r w:rsidRPr="00C41413">
              <w:t>1.7*</w:t>
            </w:r>
          </w:p>
          <w:p w14:paraId="1126C164" w14:textId="77777777" w:rsidR="008C4014" w:rsidRPr="00C41413" w:rsidRDefault="008C4014" w:rsidP="008C4014">
            <w:pPr>
              <w:pStyle w:val="TableText"/>
              <w:tabs>
                <w:tab w:val="decimal" w:pos="699"/>
              </w:tabs>
            </w:pPr>
            <w:r w:rsidRPr="00C41413">
              <w:t>2.5</w:t>
            </w:r>
          </w:p>
          <w:p w14:paraId="16D5CA56" w14:textId="77777777" w:rsidR="008C4014" w:rsidRPr="00C41413" w:rsidRDefault="008C4014" w:rsidP="008C4014">
            <w:pPr>
              <w:pStyle w:val="TableText"/>
              <w:tabs>
                <w:tab w:val="decimal" w:pos="699"/>
              </w:tabs>
            </w:pPr>
            <w:r w:rsidRPr="00C41413">
              <w:t>2.6</w:t>
            </w:r>
          </w:p>
        </w:tc>
        <w:tc>
          <w:tcPr>
            <w:tcW w:w="1654" w:type="dxa"/>
            <w:tcBorders>
              <w:top w:val="single" w:sz="4" w:space="0" w:color="A6A6A6" w:themeColor="background1" w:themeShade="A6"/>
              <w:left w:val="nil"/>
              <w:bottom w:val="single" w:sz="4" w:space="0" w:color="A6A6A6" w:themeColor="background1" w:themeShade="A6"/>
            </w:tcBorders>
            <w:shd w:val="clear" w:color="auto" w:fill="auto"/>
          </w:tcPr>
          <w:p w14:paraId="22BFF0C7" w14:textId="77777777" w:rsidR="008C4014" w:rsidRPr="00C41413" w:rsidRDefault="008C4014" w:rsidP="008C4014">
            <w:pPr>
              <w:pStyle w:val="TableText"/>
              <w:jc w:val="center"/>
            </w:pPr>
          </w:p>
          <w:p w14:paraId="3884CA3A" w14:textId="77777777" w:rsidR="008C4014" w:rsidRPr="00C41413" w:rsidRDefault="008C4014" w:rsidP="008C4014">
            <w:pPr>
              <w:pStyle w:val="TableText"/>
              <w:jc w:val="center"/>
            </w:pPr>
            <w:r w:rsidRPr="00C41413">
              <w:t xml:space="preserve">Age, </w:t>
            </w:r>
            <w:r>
              <w:t>sex</w:t>
            </w:r>
            <w:r w:rsidRPr="00C41413">
              <w:t>, deprivation</w:t>
            </w:r>
          </w:p>
        </w:tc>
      </w:tr>
      <w:tr w:rsidR="008C4014" w:rsidRPr="00C41413" w14:paraId="060AC21B" w14:textId="77777777" w:rsidTr="008C4014">
        <w:trPr>
          <w:cantSplit/>
        </w:trPr>
        <w:tc>
          <w:tcPr>
            <w:tcW w:w="4395" w:type="dxa"/>
            <w:tcBorders>
              <w:top w:val="single" w:sz="4" w:space="0" w:color="A6A6A6" w:themeColor="background1" w:themeShade="A6"/>
              <w:right w:val="nil"/>
            </w:tcBorders>
            <w:shd w:val="clear" w:color="auto" w:fill="auto"/>
          </w:tcPr>
          <w:p w14:paraId="404BA1B3" w14:textId="77777777" w:rsidR="008C4014" w:rsidRPr="007B7915" w:rsidRDefault="008C4014" w:rsidP="008C4014">
            <w:pPr>
              <w:pStyle w:val="TableText"/>
            </w:pPr>
            <w:r w:rsidRPr="007B7915">
              <w:t>Deprivation (%)</w:t>
            </w:r>
          </w:p>
          <w:p w14:paraId="308737CE" w14:textId="77777777" w:rsidR="008C4014" w:rsidRPr="007B7915" w:rsidRDefault="008C4014" w:rsidP="008C4014">
            <w:pPr>
              <w:pStyle w:val="TableText"/>
              <w:ind w:left="284"/>
            </w:pPr>
            <w:r>
              <w:t>Q1 smokers vs Q1 non-smokers</w:t>
            </w:r>
          </w:p>
          <w:p w14:paraId="4E74A344" w14:textId="77777777" w:rsidR="008C4014" w:rsidRPr="007B7915" w:rsidRDefault="008C4014" w:rsidP="008C4014">
            <w:pPr>
              <w:pStyle w:val="TableText"/>
              <w:ind w:left="284"/>
            </w:pPr>
            <w:r>
              <w:t>Q2 smokers vs Q2 non-smokers</w:t>
            </w:r>
          </w:p>
          <w:p w14:paraId="6BA841D7" w14:textId="77777777" w:rsidR="008C4014" w:rsidRPr="007B7915" w:rsidRDefault="008C4014" w:rsidP="008C4014">
            <w:pPr>
              <w:pStyle w:val="TableText"/>
              <w:ind w:left="284"/>
            </w:pPr>
            <w:r>
              <w:t>Q3 smokers vs Q3 non-smokers</w:t>
            </w:r>
          </w:p>
          <w:p w14:paraId="30F2C2A7" w14:textId="77777777" w:rsidR="008C4014" w:rsidRPr="00AC6FF3" w:rsidRDefault="008C4014" w:rsidP="008C4014">
            <w:pPr>
              <w:pStyle w:val="TableText"/>
              <w:ind w:left="284"/>
            </w:pPr>
            <w:r>
              <w:t>Q4 smokers vs Q4 non-smokers</w:t>
            </w:r>
          </w:p>
          <w:p w14:paraId="6C2249B8" w14:textId="77777777" w:rsidR="008C4014" w:rsidRPr="007B7915" w:rsidRDefault="008C4014" w:rsidP="008C4014">
            <w:pPr>
              <w:pStyle w:val="TableText"/>
              <w:ind w:left="284"/>
            </w:pPr>
            <w:r>
              <w:t>Q5 smokers vs Q5 non-smokers</w:t>
            </w:r>
          </w:p>
        </w:tc>
        <w:tc>
          <w:tcPr>
            <w:tcW w:w="1653" w:type="dxa"/>
            <w:tcBorders>
              <w:top w:val="single" w:sz="4" w:space="0" w:color="A6A6A6" w:themeColor="background1" w:themeShade="A6"/>
              <w:left w:val="nil"/>
              <w:bottom w:val="single" w:sz="4" w:space="0" w:color="auto"/>
              <w:right w:val="nil"/>
            </w:tcBorders>
            <w:shd w:val="clear" w:color="auto" w:fill="auto"/>
          </w:tcPr>
          <w:p w14:paraId="7A731BDD" w14:textId="77777777" w:rsidR="008C4014" w:rsidRPr="00C41413" w:rsidRDefault="008C4014" w:rsidP="008C4014">
            <w:pPr>
              <w:pStyle w:val="TableText"/>
              <w:jc w:val="center"/>
            </w:pPr>
          </w:p>
          <w:p w14:paraId="2D00EF96" w14:textId="77777777" w:rsidR="008C4014" w:rsidRPr="00C41413" w:rsidRDefault="008C4014" w:rsidP="008C4014">
            <w:pPr>
              <w:pStyle w:val="TableText"/>
              <w:jc w:val="center"/>
            </w:pPr>
            <w:r w:rsidRPr="00C41413">
              <w:t>3.1*</w:t>
            </w:r>
          </w:p>
          <w:p w14:paraId="17F4228A" w14:textId="77777777" w:rsidR="008C4014" w:rsidRPr="00C41413" w:rsidRDefault="008C4014" w:rsidP="008C4014">
            <w:pPr>
              <w:pStyle w:val="TableText"/>
              <w:jc w:val="center"/>
            </w:pPr>
            <w:r w:rsidRPr="00C41413">
              <w:t>3.1*</w:t>
            </w:r>
          </w:p>
          <w:p w14:paraId="0BDDC1D5" w14:textId="77777777" w:rsidR="008C4014" w:rsidRPr="00C41413" w:rsidRDefault="008C4014" w:rsidP="008C4014">
            <w:pPr>
              <w:pStyle w:val="TableText"/>
              <w:jc w:val="center"/>
            </w:pPr>
            <w:r w:rsidRPr="00C41413">
              <w:t>2.5*</w:t>
            </w:r>
          </w:p>
          <w:p w14:paraId="5561B69C" w14:textId="77777777" w:rsidR="008C4014" w:rsidRPr="00C41413" w:rsidRDefault="008C4014" w:rsidP="008C4014">
            <w:pPr>
              <w:pStyle w:val="TableText"/>
              <w:jc w:val="center"/>
            </w:pPr>
            <w:r w:rsidRPr="00C41413">
              <w:t>2.6*</w:t>
            </w:r>
          </w:p>
          <w:p w14:paraId="20A75B49" w14:textId="77777777" w:rsidR="008C4014" w:rsidRPr="00C41413" w:rsidRDefault="008C4014" w:rsidP="008C4014">
            <w:pPr>
              <w:pStyle w:val="TableText"/>
              <w:jc w:val="center"/>
            </w:pPr>
            <w:r w:rsidRPr="00C41413">
              <w:t>2.4*</w:t>
            </w:r>
          </w:p>
        </w:tc>
        <w:tc>
          <w:tcPr>
            <w:tcW w:w="1654" w:type="dxa"/>
            <w:tcBorders>
              <w:top w:val="single" w:sz="4" w:space="0" w:color="A6A6A6" w:themeColor="background1" w:themeShade="A6"/>
              <w:left w:val="nil"/>
              <w:bottom w:val="single" w:sz="4" w:space="0" w:color="auto"/>
              <w:right w:val="nil"/>
            </w:tcBorders>
            <w:shd w:val="clear" w:color="auto" w:fill="auto"/>
          </w:tcPr>
          <w:p w14:paraId="4F65C67A" w14:textId="77777777" w:rsidR="008C4014" w:rsidRPr="00C41413" w:rsidRDefault="008C4014" w:rsidP="008C4014">
            <w:pPr>
              <w:pStyle w:val="TableText"/>
              <w:tabs>
                <w:tab w:val="decimal" w:pos="699"/>
              </w:tabs>
            </w:pPr>
          </w:p>
          <w:p w14:paraId="0E7C10B0" w14:textId="77777777" w:rsidR="008C4014" w:rsidRPr="00C41413" w:rsidRDefault="008C4014" w:rsidP="008C4014">
            <w:pPr>
              <w:pStyle w:val="TableText"/>
              <w:tabs>
                <w:tab w:val="decimal" w:pos="699"/>
              </w:tabs>
            </w:pPr>
            <w:r w:rsidRPr="00C41413">
              <w:t>2.3</w:t>
            </w:r>
          </w:p>
          <w:p w14:paraId="4898E5A9" w14:textId="77777777" w:rsidR="008C4014" w:rsidRPr="00C41413" w:rsidRDefault="008C4014" w:rsidP="008C4014">
            <w:pPr>
              <w:pStyle w:val="TableText"/>
              <w:tabs>
                <w:tab w:val="decimal" w:pos="699"/>
              </w:tabs>
            </w:pPr>
            <w:r w:rsidRPr="00C41413">
              <w:t>2.2*</w:t>
            </w:r>
          </w:p>
          <w:p w14:paraId="2CAF674D" w14:textId="77777777" w:rsidR="008C4014" w:rsidRPr="00C41413" w:rsidRDefault="008C4014" w:rsidP="008C4014">
            <w:pPr>
              <w:pStyle w:val="TableText"/>
              <w:tabs>
                <w:tab w:val="decimal" w:pos="699"/>
              </w:tabs>
            </w:pPr>
            <w:r w:rsidRPr="00C41413">
              <w:t>2.0</w:t>
            </w:r>
          </w:p>
          <w:p w14:paraId="601AC5D2" w14:textId="77777777" w:rsidR="008C4014" w:rsidRPr="00C41413" w:rsidRDefault="008C4014" w:rsidP="008C4014">
            <w:pPr>
              <w:pStyle w:val="TableText"/>
              <w:tabs>
                <w:tab w:val="decimal" w:pos="699"/>
              </w:tabs>
            </w:pPr>
            <w:r w:rsidRPr="00C41413">
              <w:t>2.2*</w:t>
            </w:r>
          </w:p>
          <w:p w14:paraId="7E23E2C0" w14:textId="77777777" w:rsidR="008C4014" w:rsidRPr="00C41413" w:rsidRDefault="008C4014" w:rsidP="008C4014">
            <w:pPr>
              <w:pStyle w:val="TableText"/>
              <w:tabs>
                <w:tab w:val="decimal" w:pos="699"/>
              </w:tabs>
            </w:pPr>
            <w:r w:rsidRPr="00C41413">
              <w:t>1.9*</w:t>
            </w:r>
          </w:p>
        </w:tc>
        <w:tc>
          <w:tcPr>
            <w:tcW w:w="1654" w:type="dxa"/>
            <w:tcBorders>
              <w:top w:val="single" w:sz="4" w:space="0" w:color="A6A6A6" w:themeColor="background1" w:themeShade="A6"/>
              <w:left w:val="nil"/>
            </w:tcBorders>
            <w:shd w:val="clear" w:color="auto" w:fill="auto"/>
          </w:tcPr>
          <w:p w14:paraId="41BEDB4F" w14:textId="77777777" w:rsidR="008C4014" w:rsidRPr="00C41413" w:rsidRDefault="008C4014" w:rsidP="008C4014">
            <w:pPr>
              <w:pStyle w:val="TableText"/>
              <w:jc w:val="center"/>
            </w:pPr>
          </w:p>
          <w:p w14:paraId="51F02D68" w14:textId="77777777" w:rsidR="008C4014" w:rsidRPr="00C41413" w:rsidRDefault="008C4014" w:rsidP="008C4014">
            <w:pPr>
              <w:pStyle w:val="TableText"/>
              <w:jc w:val="center"/>
            </w:pPr>
            <w:r w:rsidRPr="00C41413">
              <w:t xml:space="preserve">Age, </w:t>
            </w:r>
            <w:r>
              <w:t>sex</w:t>
            </w:r>
            <w:r w:rsidRPr="00C41413">
              <w:t>, ethnicity</w:t>
            </w:r>
          </w:p>
        </w:tc>
      </w:tr>
    </w:tbl>
    <w:p w14:paraId="65C538AF" w14:textId="77777777" w:rsidR="00735227" w:rsidRDefault="00735227" w:rsidP="008C4014">
      <w:pPr>
        <w:pStyle w:val="TableNote"/>
      </w:pPr>
      <w:r>
        <w:t>Source: 2012/13 NZHS</w:t>
      </w:r>
    </w:p>
    <w:p w14:paraId="5A1C783A" w14:textId="77777777" w:rsidR="00735227" w:rsidRDefault="00735227" w:rsidP="008C4014">
      <w:pPr>
        <w:pStyle w:val="TableNote"/>
      </w:pPr>
      <w:r>
        <w:t>*</w:t>
      </w:r>
      <w:r w:rsidR="008C4014">
        <w:tab/>
      </w:r>
      <w:r>
        <w:t>Statistically significant rate ratio</w:t>
      </w:r>
    </w:p>
    <w:p w14:paraId="113D1D11" w14:textId="77777777" w:rsidR="00735227" w:rsidRDefault="00735227" w:rsidP="008C4014">
      <w:pPr>
        <w:pStyle w:val="TableNote"/>
      </w:pPr>
      <w:r>
        <w:t>Note: Total response ethnicity has been used.</w:t>
      </w:r>
    </w:p>
    <w:p w14:paraId="7090E067" w14:textId="77777777" w:rsidR="00735227" w:rsidRDefault="00735227" w:rsidP="008C4014"/>
    <w:p w14:paraId="00FDB759" w14:textId="77777777" w:rsidR="00735227" w:rsidRPr="00B33F26" w:rsidRDefault="00735227" w:rsidP="008C4014">
      <w:pPr>
        <w:pStyle w:val="Heading2"/>
      </w:pPr>
      <w:bookmarkStart w:id="128" w:name="_Toc390178298"/>
      <w:bookmarkStart w:id="129" w:name="_Toc400136625"/>
      <w:bookmarkStart w:id="130" w:name="_Toc404091082"/>
      <w:r>
        <w:t>What are smokers</w:t>
      </w:r>
      <w:r w:rsidRPr="00B33F26">
        <w:t xml:space="preserve"> smoking?</w:t>
      </w:r>
      <w:bookmarkEnd w:id="128"/>
      <w:bookmarkEnd w:id="129"/>
      <w:bookmarkEnd w:id="130"/>
    </w:p>
    <w:p w14:paraId="206F826A" w14:textId="474D23AE" w:rsidR="00142180" w:rsidRDefault="00735227" w:rsidP="00E24DFD">
      <w:pPr>
        <w:keepNext/>
      </w:pPr>
      <w:r>
        <w:t>This section looks at the most commonly smoked types of cigarettes or tobacco products in New Zealand. In the survey, smokers were asked which tobacco products they smoked the most.</w:t>
      </w:r>
    </w:p>
    <w:p w14:paraId="70EACF02" w14:textId="77777777" w:rsidR="00142180" w:rsidRDefault="00142180" w:rsidP="00E24DFD">
      <w:pPr>
        <w:keepNext/>
      </w:pPr>
    </w:p>
    <w:p w14:paraId="7B147566" w14:textId="77777777" w:rsidR="00735227" w:rsidRDefault="00142180" w:rsidP="00E24DFD">
      <w:pPr>
        <w:keepNext/>
      </w:pPr>
      <w:r>
        <w:t xml:space="preserve">Most smokers (45%) smoke mainly </w:t>
      </w:r>
      <w:r>
        <w:rPr>
          <w:szCs w:val="24"/>
        </w:rPr>
        <w:t xml:space="preserve">manufactured cigarettes; </w:t>
      </w:r>
      <w:r>
        <w:t>42% primarily smoked roll-your-own (RYOs); and the balance (13%) smoked a combination of RYOs and manufactured cigarettes.</w:t>
      </w:r>
    </w:p>
    <w:p w14:paraId="5AE8C16A" w14:textId="77777777" w:rsidR="00735227" w:rsidRDefault="00735227" w:rsidP="00E24DFD">
      <w:pPr>
        <w:keepNext/>
      </w:pPr>
    </w:p>
    <w:p w14:paraId="2E50E6FC" w14:textId="77777777" w:rsidR="00735227" w:rsidRPr="00B33F26" w:rsidRDefault="00735227" w:rsidP="00E24DFD">
      <w:pPr>
        <w:pStyle w:val="Heading3"/>
      </w:pPr>
      <w:r w:rsidRPr="00B33F26">
        <w:t>Few smokers reported using e-cigarettes</w:t>
      </w:r>
    </w:p>
    <w:p w14:paraId="70BA2577" w14:textId="1F666B77" w:rsidR="007066D2" w:rsidRDefault="00735227" w:rsidP="00E24DFD">
      <w:pPr>
        <w:keepNext/>
      </w:pPr>
      <w:r>
        <w:t>Very few smokers reported using e-cigarettes, with only nine participants aged 15 years and over stating they had ever use</w:t>
      </w:r>
      <w:r w:rsidR="00FE2E6E">
        <w:t xml:space="preserve">d e-cigarettes. </w:t>
      </w:r>
      <w:r w:rsidR="008467DC">
        <w:t>Due to these small numbers,</w:t>
      </w:r>
      <w:r w:rsidR="00572AD6">
        <w:t xml:space="preserve"> </w:t>
      </w:r>
      <w:r w:rsidR="008467DC">
        <w:t xml:space="preserve">this report </w:t>
      </w:r>
      <w:r w:rsidR="00FE2E6E">
        <w:t>cannot make any</w:t>
      </w:r>
      <w:r>
        <w:t xml:space="preserve"> meaningful analysis of e</w:t>
      </w:r>
      <w:r w:rsidR="008C4014">
        <w:noBreakHyphen/>
      </w:r>
      <w:r>
        <w:t>cigarette use</w:t>
      </w:r>
      <w:r w:rsidR="00572AD6">
        <w:t>.</w:t>
      </w:r>
    </w:p>
    <w:p w14:paraId="303C30DB" w14:textId="77777777" w:rsidR="00735227" w:rsidRDefault="00735227" w:rsidP="008C4014"/>
    <w:p w14:paraId="102B0752" w14:textId="77777777" w:rsidR="00735227" w:rsidRPr="00B33F26" w:rsidRDefault="00735227" w:rsidP="008C4014">
      <w:pPr>
        <w:pStyle w:val="Heading3"/>
      </w:pPr>
      <w:r w:rsidRPr="00B33F26">
        <w:t xml:space="preserve">Younger adults were more likely to smoke RYOs and older adults </w:t>
      </w:r>
      <w:r>
        <w:t xml:space="preserve">were </w:t>
      </w:r>
      <w:r w:rsidRPr="00B33F26">
        <w:t>more likely to smoke manufactured cigarettes</w:t>
      </w:r>
    </w:p>
    <w:p w14:paraId="5DC48C62" w14:textId="67DE552C" w:rsidR="007066D2" w:rsidRDefault="00735227" w:rsidP="008C4014">
      <w:r>
        <w:t xml:space="preserve">The </w:t>
      </w:r>
      <w:r w:rsidRPr="009A301E">
        <w:t>prevalence of smoking</w:t>
      </w:r>
      <w:r>
        <w:t xml:space="preserve"> roll-your-own cigarettes (RYOs) </w:t>
      </w:r>
      <w:r w:rsidRPr="009A301E">
        <w:t>was higher in younger than older age</w:t>
      </w:r>
      <w:r>
        <w:t xml:space="preserve"> groups, with the rate peaking at 47% in the 35–44 years age group (Figure 10). From age 45 onwards, RYO consumption declined so that by the age of 75 years and above, only 24% preferred RYO cigarettes.</w:t>
      </w:r>
    </w:p>
    <w:p w14:paraId="584A8343" w14:textId="77777777" w:rsidR="00735227" w:rsidRDefault="00735227" w:rsidP="008C4014"/>
    <w:p w14:paraId="3D9A7E40" w14:textId="77777777" w:rsidR="007066D2" w:rsidRDefault="00735227" w:rsidP="008C4014">
      <w:r>
        <w:t>Conversely, from age 15 years and throughout the lifespan, the rate of consumption of manufactured cigarettes steadily increased with age, so that by 75 years, 70% of smokers were most likely to smoke manufactured cigarettes.</w:t>
      </w:r>
    </w:p>
    <w:p w14:paraId="6AEA4014" w14:textId="77777777" w:rsidR="00735227" w:rsidRDefault="00735227" w:rsidP="008C4014"/>
    <w:p w14:paraId="37A92F82" w14:textId="77777777" w:rsidR="007066D2" w:rsidRDefault="00735227" w:rsidP="008C4014">
      <w:r>
        <w:t>Young people aged 15–19 years were the most likely to smoke a combination of both RYOs and manufactured cigarettes (41%). This preference of smoking both RYOs and manufactured cigarettes declined from age 20–24 years, with people aged 75 years and over being the least likely to smoke both (5%).</w:t>
      </w:r>
    </w:p>
    <w:p w14:paraId="70906BF6" w14:textId="77777777" w:rsidR="00735227" w:rsidRDefault="00735227" w:rsidP="008C4014"/>
    <w:p w14:paraId="6F8A9F1F" w14:textId="77777777" w:rsidR="00735227" w:rsidRDefault="00735227" w:rsidP="008C4014">
      <w:pPr>
        <w:pStyle w:val="Figure"/>
      </w:pPr>
      <w:bookmarkStart w:id="131" w:name="_Toc399920493"/>
      <w:bookmarkStart w:id="132" w:name="_Toc404258419"/>
      <w:r>
        <w:t xml:space="preserve">Figure </w:t>
      </w:r>
      <w:r w:rsidR="008C4014">
        <w:t>10</w:t>
      </w:r>
      <w:r w:rsidRPr="00D11C4F">
        <w:t>:</w:t>
      </w:r>
      <w:r w:rsidR="008C4014">
        <w:t xml:space="preserve"> </w:t>
      </w:r>
      <w:r w:rsidRPr="00D11C4F">
        <w:t>Roll-your-own, manufactured and both roll-your-own and manufactured cigarette consumption, among current smokers, by age group</w:t>
      </w:r>
      <w:bookmarkEnd w:id="131"/>
      <w:bookmarkEnd w:id="132"/>
    </w:p>
    <w:p w14:paraId="340751B0" w14:textId="77777777" w:rsidR="00735227" w:rsidRPr="00904F40" w:rsidRDefault="008A7E2C" w:rsidP="007959B5">
      <w:pPr>
        <w:rPr>
          <w:lang w:eastAsia="en-US"/>
        </w:rPr>
      </w:pPr>
      <w:r w:rsidRPr="008A7E2C">
        <w:rPr>
          <w:noProof/>
          <w:lang w:eastAsia="en-NZ"/>
        </w:rPr>
        <w:drawing>
          <wp:inline distT="0" distB="0" distL="0" distR="0" wp14:anchorId="47A4490F" wp14:editId="0493A39D">
            <wp:extent cx="4397432" cy="2565740"/>
            <wp:effectExtent l="0" t="0" r="3175" b="6350"/>
            <wp:docPr id="16" name="Picture 16" title="Figure 10: Roll-your-own, manufactured and both roll-your-own and manufactured cigarette consumption, among current smoker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10312" b="14221"/>
                    <a:stretch/>
                  </pic:blipFill>
                  <pic:spPr bwMode="auto">
                    <a:xfrm>
                      <a:off x="0" y="0"/>
                      <a:ext cx="4396903" cy="2565431"/>
                    </a:xfrm>
                    <a:prstGeom prst="rect">
                      <a:avLst/>
                    </a:prstGeom>
                    <a:ln>
                      <a:noFill/>
                    </a:ln>
                    <a:extLst>
                      <a:ext uri="{53640926-AAD7-44D8-BBD7-CCE9431645EC}">
                        <a14:shadowObscured xmlns:a14="http://schemas.microsoft.com/office/drawing/2010/main"/>
                      </a:ext>
                    </a:extLst>
                  </pic:spPr>
                </pic:pic>
              </a:graphicData>
            </a:graphic>
          </wp:inline>
        </w:drawing>
      </w:r>
    </w:p>
    <w:p w14:paraId="17D5964C" w14:textId="77777777" w:rsidR="00735227" w:rsidRPr="009D7A24" w:rsidRDefault="00735227" w:rsidP="008C4014">
      <w:pPr>
        <w:pStyle w:val="Source"/>
      </w:pPr>
      <w:r>
        <w:t>Source: 2012/13 NZHS</w:t>
      </w:r>
    </w:p>
    <w:p w14:paraId="77F38E6A" w14:textId="77777777" w:rsidR="00735227" w:rsidRDefault="00735227" w:rsidP="008C4014"/>
    <w:p w14:paraId="55AB6A2C" w14:textId="77777777" w:rsidR="007066D2" w:rsidRDefault="00735227" w:rsidP="008C4014">
      <w:pPr>
        <w:pStyle w:val="Heading3"/>
      </w:pPr>
      <w:r w:rsidRPr="00B33F26">
        <w:t>Māori smokers were more likely to smoke RYOs</w:t>
      </w:r>
    </w:p>
    <w:p w14:paraId="2C1508F4" w14:textId="77777777" w:rsidR="00735227" w:rsidRDefault="00735227" w:rsidP="00312920">
      <w:pPr>
        <w:keepNext/>
      </w:pPr>
      <w:r>
        <w:t>One in two (53%) Māori and four in ten (42%) Europeans/Others smokers mostly smoked RYO cigarettes (Figure 11). After adjusting for age and sex differences, Māori smokers were 1.4 times more likely to smoke RYO cigarettes than non-Māori smokers (Table 14).</w:t>
      </w:r>
    </w:p>
    <w:p w14:paraId="3E0552DB" w14:textId="77777777" w:rsidR="00735227" w:rsidRDefault="00735227" w:rsidP="008C4014"/>
    <w:p w14:paraId="6D4869B5" w14:textId="77777777" w:rsidR="007066D2" w:rsidRDefault="00735227" w:rsidP="008C4014">
      <w:r>
        <w:t>One in five (21%) Pacific smokers and one in six (15%) Asian smokers mostly smoked RYO cigarettes. Pacific and Asian smokers were less likely than non-Pacific and non-Asian smokers respectively to smoke RYO cigarettes, after adjusting for age and sex differences (Table 14).</w:t>
      </w:r>
    </w:p>
    <w:p w14:paraId="0E0C2FE8" w14:textId="77777777" w:rsidR="00735227" w:rsidRDefault="00735227" w:rsidP="008C4014"/>
    <w:p w14:paraId="0496812C" w14:textId="77777777" w:rsidR="00735227" w:rsidRPr="00B33F26" w:rsidRDefault="00735227" w:rsidP="008C4014">
      <w:pPr>
        <w:pStyle w:val="Heading3"/>
      </w:pPr>
      <w:r w:rsidRPr="00B33F26">
        <w:t>Asian and Pacific smokers were more likely to smoke manufactured cigarettes</w:t>
      </w:r>
    </w:p>
    <w:p w14:paraId="1CE616B4" w14:textId="77777777" w:rsidR="007066D2" w:rsidRDefault="00735227" w:rsidP="008C4014">
      <w:r>
        <w:t>Three</w:t>
      </w:r>
      <w:r w:rsidR="008C4014">
        <w:t>-</w:t>
      </w:r>
      <w:r>
        <w:t>quarters (73%) of Asian smokers smoked manufactured cigarettes (Figure 11). After adjusting for age and sex differences, Asian adults were almost twice as likely than non-Asian adults to mostly smoke manufactured cigarettes (Table 14).</w:t>
      </w:r>
    </w:p>
    <w:p w14:paraId="4201C731" w14:textId="77777777" w:rsidR="00735227" w:rsidRDefault="00735227" w:rsidP="008C4014"/>
    <w:p w14:paraId="5943676F" w14:textId="77777777" w:rsidR="007066D2" w:rsidRDefault="00735227" w:rsidP="008C4014">
      <w:r>
        <w:t>Two</w:t>
      </w:r>
      <w:r w:rsidR="008C4014">
        <w:t>-</w:t>
      </w:r>
      <w:r>
        <w:t>thirds (65%) of Pacific smokers smoked manufactured cigarettes (Figure 11). Pacific smokers were 1.6 times more likely than non-Pacific smokers to smoke manufactured cigarettes, after adjusting for age and sex differences (Table 14).</w:t>
      </w:r>
    </w:p>
    <w:p w14:paraId="09E3F5DA" w14:textId="77777777" w:rsidR="00735227" w:rsidRDefault="00735227" w:rsidP="008C4014"/>
    <w:p w14:paraId="095B6E96" w14:textId="77777777" w:rsidR="007066D2" w:rsidRDefault="00735227" w:rsidP="008C4014">
      <w:r>
        <w:t>Less than half (45%) of European/Other and less than a third (28%) of Māori smokers smoked manufactured cigarettes. After adjusting for age and sex, Māori smokers were less likely to smoke manufactured cigarettes than non-Māori smokers.</w:t>
      </w:r>
    </w:p>
    <w:p w14:paraId="13AE216C" w14:textId="77777777" w:rsidR="00735227" w:rsidRDefault="00735227" w:rsidP="008C4014"/>
    <w:p w14:paraId="1A44F72A" w14:textId="168243A9" w:rsidR="00735227" w:rsidRDefault="00735227" w:rsidP="008C4014">
      <w:pPr>
        <w:pStyle w:val="Figure"/>
      </w:pPr>
      <w:bookmarkStart w:id="133" w:name="_Toc399920494"/>
      <w:bookmarkStart w:id="134" w:name="_Toc404258420"/>
      <w:r>
        <w:t xml:space="preserve">Figure </w:t>
      </w:r>
      <w:r w:rsidR="008C4014">
        <w:t>11</w:t>
      </w:r>
      <w:r>
        <w:t>:</w:t>
      </w:r>
      <w:r w:rsidR="008C4014">
        <w:t xml:space="preserve"> </w:t>
      </w:r>
      <w:r w:rsidRPr="00C9074E">
        <w:t xml:space="preserve">Consumption of </w:t>
      </w:r>
      <w:r w:rsidR="00AA2408">
        <w:t>‘</w:t>
      </w:r>
      <w:r>
        <w:t>m</w:t>
      </w:r>
      <w:r w:rsidRPr="00C9074E">
        <w:t>ostly RYO</w:t>
      </w:r>
      <w:r w:rsidR="00AA2408">
        <w:t>’</w:t>
      </w:r>
      <w:r w:rsidRPr="00C9074E">
        <w:t xml:space="preserve">, </w:t>
      </w:r>
      <w:r w:rsidR="00AA2408">
        <w:t>‘</w:t>
      </w:r>
      <w:r>
        <w:t>m</w:t>
      </w:r>
      <w:r w:rsidRPr="00C9074E">
        <w:t>ostly manufactured</w:t>
      </w:r>
      <w:r w:rsidR="00AA2408">
        <w:t>’</w:t>
      </w:r>
      <w:r w:rsidRPr="00C9074E">
        <w:t xml:space="preserve"> and </w:t>
      </w:r>
      <w:r w:rsidR="00AA2408">
        <w:t>‘</w:t>
      </w:r>
      <w:r>
        <w:t>m</w:t>
      </w:r>
      <w:r w:rsidRPr="00C9074E">
        <w:t>ostly both RYO and manufactured cigarettes</w:t>
      </w:r>
      <w:r w:rsidR="00AA2408">
        <w:t>’</w:t>
      </w:r>
      <w:r w:rsidRPr="00C9074E">
        <w:t xml:space="preserve"> among current smokers, by ethnic group</w:t>
      </w:r>
      <w:bookmarkEnd w:id="133"/>
      <w:bookmarkEnd w:id="134"/>
    </w:p>
    <w:p w14:paraId="62CAD24F" w14:textId="77777777" w:rsidR="00735227" w:rsidRPr="009B6FC6" w:rsidRDefault="002615AD" w:rsidP="00735227">
      <w:pPr>
        <w:rPr>
          <w:lang w:eastAsia="en-US"/>
        </w:rPr>
      </w:pPr>
      <w:r w:rsidRPr="002615AD">
        <w:rPr>
          <w:noProof/>
          <w:lang w:eastAsia="en-NZ"/>
        </w:rPr>
        <w:drawing>
          <wp:inline distT="0" distB="0" distL="0" distR="0" wp14:anchorId="2EF86560" wp14:editId="0A55D537">
            <wp:extent cx="4397433" cy="2560008"/>
            <wp:effectExtent l="0" t="0" r="3175" b="0"/>
            <wp:docPr id="28" name="Picture 28" title="Figure 11: Consumption of ‘mostly RYO’, ‘mostly manufactured’ and ‘mostly both RYO and manufactured cigarettes’ among current smokers, by ethni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r="10593" b="14679"/>
                    <a:stretch/>
                  </pic:blipFill>
                  <pic:spPr bwMode="auto">
                    <a:xfrm>
                      <a:off x="0" y="0"/>
                      <a:ext cx="4396904" cy="2559700"/>
                    </a:xfrm>
                    <a:prstGeom prst="rect">
                      <a:avLst/>
                    </a:prstGeom>
                    <a:ln>
                      <a:noFill/>
                    </a:ln>
                    <a:extLst>
                      <a:ext uri="{53640926-AAD7-44D8-BBD7-CCE9431645EC}">
                        <a14:shadowObscured xmlns:a14="http://schemas.microsoft.com/office/drawing/2010/main"/>
                      </a:ext>
                    </a:extLst>
                  </pic:spPr>
                </pic:pic>
              </a:graphicData>
            </a:graphic>
          </wp:inline>
        </w:drawing>
      </w:r>
    </w:p>
    <w:p w14:paraId="19F3088D" w14:textId="77777777" w:rsidR="00735227" w:rsidRPr="00E42454" w:rsidRDefault="00735227" w:rsidP="008C4014">
      <w:pPr>
        <w:pStyle w:val="Source"/>
      </w:pPr>
      <w:r>
        <w:t>Source: 2012/13 NZHS</w:t>
      </w:r>
    </w:p>
    <w:p w14:paraId="1B9BD9A0" w14:textId="77777777" w:rsidR="00735227" w:rsidRPr="00904F40" w:rsidRDefault="00735227" w:rsidP="008C4014">
      <w:pPr>
        <w:pStyle w:val="Note"/>
      </w:pPr>
      <w:r w:rsidRPr="00904F40">
        <w:t>Note: Total response ethnicity has been used</w:t>
      </w:r>
      <w:r>
        <w:t>.</w:t>
      </w:r>
    </w:p>
    <w:p w14:paraId="44F87EC8" w14:textId="77777777" w:rsidR="00735227" w:rsidRDefault="00735227" w:rsidP="008C4014"/>
    <w:p w14:paraId="0C248637" w14:textId="64BCED5E" w:rsidR="00735227" w:rsidRDefault="00735227" w:rsidP="008C4014">
      <w:pPr>
        <w:pStyle w:val="Table"/>
      </w:pPr>
      <w:bookmarkStart w:id="135" w:name="_Toc399920525"/>
      <w:bookmarkStart w:id="136" w:name="_Toc404091114"/>
      <w:r>
        <w:t xml:space="preserve">Table </w:t>
      </w:r>
      <w:r w:rsidR="008C4014">
        <w:t>14</w:t>
      </w:r>
      <w:r w:rsidRPr="006330A6">
        <w:t>:</w:t>
      </w:r>
      <w:r w:rsidR="008C4014">
        <w:t xml:space="preserve"> </w:t>
      </w:r>
      <w:r w:rsidRPr="006330A6">
        <w:t xml:space="preserve">Adjusted rate ratios for </w:t>
      </w:r>
      <w:r w:rsidR="00AA2408">
        <w:t>‘</w:t>
      </w:r>
      <w:r w:rsidRPr="006330A6">
        <w:t>mostly RYO</w:t>
      </w:r>
      <w:r w:rsidR="00AA2408">
        <w:t>’</w:t>
      </w:r>
      <w:r w:rsidRPr="006330A6">
        <w:t xml:space="preserve"> and </w:t>
      </w:r>
      <w:r w:rsidR="00AA2408">
        <w:t>‘</w:t>
      </w:r>
      <w:r w:rsidRPr="006330A6">
        <w:t>mostly manufactured cigarette</w:t>
      </w:r>
      <w:r w:rsidR="00AA2408">
        <w:t>’</w:t>
      </w:r>
      <w:r w:rsidRPr="006330A6">
        <w:t xml:space="preserve"> consumption</w:t>
      </w:r>
      <w:bookmarkEnd w:id="135"/>
      <w:bookmarkEnd w:id="13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2480"/>
        <w:gridCol w:w="2481"/>
      </w:tblGrid>
      <w:tr w:rsidR="008C4014" w:rsidRPr="00D66766" w14:paraId="29A58138" w14:textId="77777777" w:rsidTr="008C4014">
        <w:trPr>
          <w:cantSplit/>
        </w:trPr>
        <w:tc>
          <w:tcPr>
            <w:tcW w:w="4395" w:type="dxa"/>
            <w:tcBorders>
              <w:top w:val="single" w:sz="4" w:space="0" w:color="auto"/>
              <w:bottom w:val="single" w:sz="4" w:space="0" w:color="auto"/>
              <w:right w:val="nil"/>
            </w:tcBorders>
            <w:shd w:val="clear" w:color="auto" w:fill="auto"/>
          </w:tcPr>
          <w:p w14:paraId="703DB15D" w14:textId="77777777" w:rsidR="008C4014" w:rsidRPr="007B7915" w:rsidRDefault="008C4014" w:rsidP="003F32F0">
            <w:pPr>
              <w:pStyle w:val="TableText"/>
              <w:keepNext/>
            </w:pPr>
          </w:p>
        </w:tc>
        <w:tc>
          <w:tcPr>
            <w:tcW w:w="2480" w:type="dxa"/>
            <w:tcBorders>
              <w:top w:val="single" w:sz="4" w:space="0" w:color="auto"/>
              <w:left w:val="nil"/>
              <w:bottom w:val="single" w:sz="4" w:space="0" w:color="auto"/>
              <w:right w:val="nil"/>
            </w:tcBorders>
            <w:shd w:val="clear" w:color="auto" w:fill="auto"/>
          </w:tcPr>
          <w:p w14:paraId="09CA1E45" w14:textId="77A50FDD" w:rsidR="008C4014" w:rsidRPr="00D66766" w:rsidRDefault="00A676C2" w:rsidP="003F32F0">
            <w:pPr>
              <w:pStyle w:val="TableText"/>
              <w:keepNext/>
              <w:jc w:val="center"/>
              <w:rPr>
                <w:b/>
              </w:rPr>
            </w:pPr>
            <w:r>
              <w:rPr>
                <w:b/>
              </w:rPr>
              <w:t>Mostly RYO</w:t>
            </w:r>
          </w:p>
        </w:tc>
        <w:tc>
          <w:tcPr>
            <w:tcW w:w="2481" w:type="dxa"/>
            <w:tcBorders>
              <w:top w:val="single" w:sz="4" w:space="0" w:color="auto"/>
              <w:left w:val="nil"/>
              <w:bottom w:val="single" w:sz="4" w:space="0" w:color="auto"/>
            </w:tcBorders>
            <w:shd w:val="clear" w:color="auto" w:fill="auto"/>
          </w:tcPr>
          <w:p w14:paraId="29F7FCAF" w14:textId="4EFDB13B" w:rsidR="008C4014" w:rsidRPr="00D66766" w:rsidRDefault="00A676C2" w:rsidP="003F32F0">
            <w:pPr>
              <w:pStyle w:val="TableText"/>
              <w:keepNext/>
              <w:jc w:val="center"/>
              <w:rPr>
                <w:b/>
              </w:rPr>
            </w:pPr>
            <w:r>
              <w:rPr>
                <w:b/>
              </w:rPr>
              <w:t>Mostly manufactured</w:t>
            </w:r>
          </w:p>
        </w:tc>
      </w:tr>
      <w:tr w:rsidR="008C4014" w:rsidRPr="00C41413" w14:paraId="660ABF17"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4D5B0B4C" w14:textId="77777777" w:rsidR="008C4014" w:rsidRDefault="008C4014" w:rsidP="003F32F0">
            <w:pPr>
              <w:pStyle w:val="TableText"/>
              <w:keepNext/>
            </w:pPr>
            <w:r>
              <w:t>Sex</w:t>
            </w:r>
          </w:p>
          <w:p w14:paraId="38CD472A" w14:textId="77777777" w:rsidR="008C4014" w:rsidRPr="007B7915" w:rsidRDefault="008C4014" w:rsidP="003F32F0">
            <w:pPr>
              <w:pStyle w:val="TableText"/>
              <w:keepNext/>
              <w:ind w:left="284"/>
            </w:pPr>
            <w:r w:rsidRPr="007B7915">
              <w:t>M</w:t>
            </w:r>
            <w:r>
              <w:t>en vs women</w:t>
            </w:r>
          </w:p>
        </w:tc>
        <w:tc>
          <w:tcPr>
            <w:tcW w:w="2480" w:type="dxa"/>
            <w:tcBorders>
              <w:top w:val="single" w:sz="4" w:space="0" w:color="A6A6A6" w:themeColor="background1" w:themeShade="A6"/>
              <w:left w:val="nil"/>
              <w:bottom w:val="single" w:sz="4" w:space="0" w:color="A6A6A6" w:themeColor="background1" w:themeShade="A6"/>
              <w:right w:val="nil"/>
            </w:tcBorders>
            <w:shd w:val="clear" w:color="auto" w:fill="auto"/>
          </w:tcPr>
          <w:p w14:paraId="362FE6F5" w14:textId="77777777" w:rsidR="008C4014" w:rsidRPr="00C41413" w:rsidRDefault="008C4014" w:rsidP="003F32F0">
            <w:pPr>
              <w:pStyle w:val="TableText"/>
              <w:keepNext/>
              <w:tabs>
                <w:tab w:val="decimal" w:pos="1295"/>
              </w:tabs>
            </w:pPr>
          </w:p>
          <w:p w14:paraId="66BC1088" w14:textId="77777777" w:rsidR="008C4014" w:rsidRPr="00C41413" w:rsidRDefault="008C4014" w:rsidP="003F32F0">
            <w:pPr>
              <w:pStyle w:val="TableText"/>
              <w:keepNext/>
              <w:tabs>
                <w:tab w:val="decimal" w:pos="1295"/>
              </w:tabs>
            </w:pPr>
            <w:r w:rsidRPr="00C41413">
              <w:t>1.0</w:t>
            </w:r>
          </w:p>
        </w:tc>
        <w:tc>
          <w:tcPr>
            <w:tcW w:w="2481" w:type="dxa"/>
            <w:tcBorders>
              <w:top w:val="single" w:sz="4" w:space="0" w:color="A6A6A6" w:themeColor="background1" w:themeShade="A6"/>
              <w:left w:val="nil"/>
              <w:bottom w:val="single" w:sz="4" w:space="0" w:color="A6A6A6" w:themeColor="background1" w:themeShade="A6"/>
            </w:tcBorders>
            <w:shd w:val="clear" w:color="auto" w:fill="auto"/>
          </w:tcPr>
          <w:p w14:paraId="57D30ED7" w14:textId="77777777" w:rsidR="008C4014" w:rsidRPr="00C41413" w:rsidRDefault="008C4014" w:rsidP="003F32F0">
            <w:pPr>
              <w:pStyle w:val="TableText"/>
              <w:keepNext/>
              <w:tabs>
                <w:tab w:val="decimal" w:pos="1295"/>
              </w:tabs>
            </w:pPr>
          </w:p>
          <w:p w14:paraId="56ED3B5A" w14:textId="77777777" w:rsidR="008C4014" w:rsidRPr="00C41413" w:rsidRDefault="008C4014" w:rsidP="003F32F0">
            <w:pPr>
              <w:pStyle w:val="TableText"/>
              <w:keepNext/>
              <w:tabs>
                <w:tab w:val="decimal" w:pos="1295"/>
              </w:tabs>
            </w:pPr>
            <w:r w:rsidRPr="00C41413">
              <w:t>1.0</w:t>
            </w:r>
          </w:p>
        </w:tc>
      </w:tr>
      <w:tr w:rsidR="008C4014" w:rsidRPr="00C41413" w14:paraId="5AF2BD72" w14:textId="77777777" w:rsidTr="008C4014">
        <w:trPr>
          <w:cantSplit/>
        </w:trPr>
        <w:tc>
          <w:tcPr>
            <w:tcW w:w="4395" w:type="dxa"/>
            <w:tcBorders>
              <w:top w:val="single" w:sz="4" w:space="0" w:color="A6A6A6" w:themeColor="background1" w:themeShade="A6"/>
              <w:bottom w:val="single" w:sz="4" w:space="0" w:color="A6A6A6" w:themeColor="background1" w:themeShade="A6"/>
              <w:right w:val="nil"/>
            </w:tcBorders>
            <w:shd w:val="clear" w:color="auto" w:fill="auto"/>
          </w:tcPr>
          <w:p w14:paraId="4551B590" w14:textId="77777777" w:rsidR="008C4014" w:rsidRPr="007B7915" w:rsidRDefault="008C4014" w:rsidP="008C4014">
            <w:pPr>
              <w:pStyle w:val="TableText"/>
            </w:pPr>
            <w:r w:rsidRPr="007B7915">
              <w:t>Ethnicity (%)</w:t>
            </w:r>
          </w:p>
          <w:p w14:paraId="6AAF37D7" w14:textId="77777777" w:rsidR="008C4014" w:rsidRPr="007B7915" w:rsidRDefault="008C4014" w:rsidP="008C4014">
            <w:pPr>
              <w:pStyle w:val="TableText"/>
              <w:ind w:left="284"/>
              <w:rPr>
                <w:szCs w:val="24"/>
              </w:rPr>
            </w:pPr>
            <w:r w:rsidRPr="007B7915">
              <w:rPr>
                <w:szCs w:val="24"/>
              </w:rPr>
              <w:t>Māori</w:t>
            </w:r>
            <w:r>
              <w:rPr>
                <w:szCs w:val="24"/>
              </w:rPr>
              <w:t xml:space="preserve"> vs non-Māori</w:t>
            </w:r>
          </w:p>
          <w:p w14:paraId="5EFE2DD6" w14:textId="77777777" w:rsidR="008C4014" w:rsidRPr="007B7915" w:rsidRDefault="008C4014" w:rsidP="008C4014">
            <w:pPr>
              <w:pStyle w:val="TableText"/>
              <w:ind w:left="284"/>
              <w:rPr>
                <w:szCs w:val="24"/>
              </w:rPr>
            </w:pPr>
            <w:r w:rsidRPr="007B7915">
              <w:rPr>
                <w:szCs w:val="24"/>
              </w:rPr>
              <w:t>Pacific</w:t>
            </w:r>
            <w:r>
              <w:rPr>
                <w:szCs w:val="24"/>
              </w:rPr>
              <w:t xml:space="preserve"> vs non-Pacific</w:t>
            </w:r>
          </w:p>
          <w:p w14:paraId="583158D0" w14:textId="77777777" w:rsidR="008C4014" w:rsidRPr="007B7915" w:rsidRDefault="008C4014" w:rsidP="008C4014">
            <w:pPr>
              <w:pStyle w:val="TableText"/>
              <w:ind w:left="284"/>
              <w:rPr>
                <w:szCs w:val="24"/>
              </w:rPr>
            </w:pPr>
            <w:r w:rsidRPr="007B7915">
              <w:rPr>
                <w:szCs w:val="24"/>
              </w:rPr>
              <w:t>Asian</w:t>
            </w:r>
            <w:r>
              <w:rPr>
                <w:szCs w:val="24"/>
              </w:rPr>
              <w:t xml:space="preserve"> vs non-Asian</w:t>
            </w:r>
          </w:p>
        </w:tc>
        <w:tc>
          <w:tcPr>
            <w:tcW w:w="2480" w:type="dxa"/>
            <w:tcBorders>
              <w:top w:val="single" w:sz="4" w:space="0" w:color="A6A6A6" w:themeColor="background1" w:themeShade="A6"/>
              <w:left w:val="nil"/>
              <w:bottom w:val="single" w:sz="4" w:space="0" w:color="A6A6A6" w:themeColor="background1" w:themeShade="A6"/>
              <w:right w:val="nil"/>
            </w:tcBorders>
            <w:shd w:val="clear" w:color="auto" w:fill="auto"/>
          </w:tcPr>
          <w:p w14:paraId="7828F6E1" w14:textId="77777777" w:rsidR="008C4014" w:rsidRPr="00C41413" w:rsidRDefault="008C4014" w:rsidP="008C4014">
            <w:pPr>
              <w:pStyle w:val="TableText"/>
              <w:tabs>
                <w:tab w:val="decimal" w:pos="1295"/>
              </w:tabs>
            </w:pPr>
          </w:p>
          <w:p w14:paraId="56941557" w14:textId="77777777" w:rsidR="008C4014" w:rsidRPr="00C41413" w:rsidRDefault="008C4014" w:rsidP="008C4014">
            <w:pPr>
              <w:pStyle w:val="TableText"/>
              <w:tabs>
                <w:tab w:val="decimal" w:pos="1295"/>
              </w:tabs>
            </w:pPr>
            <w:r w:rsidRPr="00C41413">
              <w:t>1.4*</w:t>
            </w:r>
          </w:p>
          <w:p w14:paraId="0A039156" w14:textId="77777777" w:rsidR="008C4014" w:rsidRPr="00C41413" w:rsidRDefault="008C4014" w:rsidP="008C4014">
            <w:pPr>
              <w:pStyle w:val="TableText"/>
              <w:tabs>
                <w:tab w:val="decimal" w:pos="1295"/>
              </w:tabs>
            </w:pPr>
            <w:r w:rsidRPr="00C41413">
              <w:t>0.4*</w:t>
            </w:r>
          </w:p>
          <w:p w14:paraId="45EB44D8" w14:textId="77777777" w:rsidR="008C4014" w:rsidRPr="00C41413" w:rsidRDefault="008C4014" w:rsidP="008C4014">
            <w:pPr>
              <w:pStyle w:val="TableText"/>
              <w:tabs>
                <w:tab w:val="decimal" w:pos="1295"/>
              </w:tabs>
            </w:pPr>
            <w:r w:rsidRPr="00C41413">
              <w:t>0.3*</w:t>
            </w:r>
          </w:p>
        </w:tc>
        <w:tc>
          <w:tcPr>
            <w:tcW w:w="2481" w:type="dxa"/>
            <w:tcBorders>
              <w:top w:val="single" w:sz="4" w:space="0" w:color="A6A6A6" w:themeColor="background1" w:themeShade="A6"/>
              <w:left w:val="nil"/>
              <w:bottom w:val="single" w:sz="4" w:space="0" w:color="A6A6A6" w:themeColor="background1" w:themeShade="A6"/>
            </w:tcBorders>
            <w:shd w:val="clear" w:color="auto" w:fill="auto"/>
          </w:tcPr>
          <w:p w14:paraId="6DBCD993" w14:textId="77777777" w:rsidR="008C4014" w:rsidRPr="00C41413" w:rsidRDefault="008C4014" w:rsidP="008C4014">
            <w:pPr>
              <w:pStyle w:val="TableText"/>
              <w:tabs>
                <w:tab w:val="decimal" w:pos="1295"/>
              </w:tabs>
            </w:pPr>
          </w:p>
          <w:p w14:paraId="00F3C4B5" w14:textId="77777777" w:rsidR="008C4014" w:rsidRPr="00C41413" w:rsidRDefault="008C4014" w:rsidP="008C4014">
            <w:pPr>
              <w:pStyle w:val="TableText"/>
              <w:tabs>
                <w:tab w:val="decimal" w:pos="1295"/>
              </w:tabs>
            </w:pPr>
            <w:r w:rsidRPr="00C41413">
              <w:t>0.6*</w:t>
            </w:r>
          </w:p>
          <w:p w14:paraId="22CE013D" w14:textId="77777777" w:rsidR="008C4014" w:rsidRPr="00C41413" w:rsidRDefault="008C4014" w:rsidP="008C4014">
            <w:pPr>
              <w:pStyle w:val="TableText"/>
              <w:tabs>
                <w:tab w:val="decimal" w:pos="1295"/>
              </w:tabs>
            </w:pPr>
            <w:r w:rsidRPr="00C41413">
              <w:t>1.6*</w:t>
            </w:r>
          </w:p>
          <w:p w14:paraId="54123E74" w14:textId="77777777" w:rsidR="008C4014" w:rsidRPr="00C41413" w:rsidRDefault="008C4014" w:rsidP="008C4014">
            <w:pPr>
              <w:pStyle w:val="TableText"/>
              <w:tabs>
                <w:tab w:val="decimal" w:pos="1295"/>
              </w:tabs>
            </w:pPr>
            <w:r w:rsidRPr="00C41413">
              <w:t>1.7*</w:t>
            </w:r>
          </w:p>
        </w:tc>
      </w:tr>
      <w:tr w:rsidR="008C4014" w:rsidRPr="00C41413" w14:paraId="2A8CA53B" w14:textId="77777777" w:rsidTr="008C4014">
        <w:trPr>
          <w:cantSplit/>
        </w:trPr>
        <w:tc>
          <w:tcPr>
            <w:tcW w:w="4395" w:type="dxa"/>
            <w:tcBorders>
              <w:top w:val="single" w:sz="4" w:space="0" w:color="A6A6A6" w:themeColor="background1" w:themeShade="A6"/>
              <w:right w:val="nil"/>
            </w:tcBorders>
            <w:shd w:val="clear" w:color="auto" w:fill="auto"/>
          </w:tcPr>
          <w:p w14:paraId="2D5AA3B8" w14:textId="77777777" w:rsidR="008C4014" w:rsidRPr="007B7915" w:rsidRDefault="008C4014" w:rsidP="008C4014">
            <w:pPr>
              <w:pStyle w:val="TableText"/>
            </w:pPr>
            <w:r w:rsidRPr="007B7915">
              <w:t>Deprivation (%)</w:t>
            </w:r>
          </w:p>
          <w:p w14:paraId="09479380" w14:textId="77777777" w:rsidR="008C4014" w:rsidRPr="007B7915" w:rsidRDefault="008C4014" w:rsidP="008C4014">
            <w:pPr>
              <w:pStyle w:val="TableText"/>
              <w:ind w:left="284"/>
            </w:pPr>
            <w:r>
              <w:t>Most versus least deprived</w:t>
            </w:r>
          </w:p>
        </w:tc>
        <w:tc>
          <w:tcPr>
            <w:tcW w:w="2480" w:type="dxa"/>
            <w:tcBorders>
              <w:top w:val="single" w:sz="4" w:space="0" w:color="A6A6A6" w:themeColor="background1" w:themeShade="A6"/>
              <w:left w:val="nil"/>
              <w:bottom w:val="single" w:sz="4" w:space="0" w:color="auto"/>
              <w:right w:val="nil"/>
            </w:tcBorders>
            <w:shd w:val="clear" w:color="auto" w:fill="auto"/>
          </w:tcPr>
          <w:p w14:paraId="19F25E2F" w14:textId="77777777" w:rsidR="008C4014" w:rsidRPr="00C41413" w:rsidRDefault="008C4014" w:rsidP="008C4014">
            <w:pPr>
              <w:pStyle w:val="TableText"/>
              <w:tabs>
                <w:tab w:val="decimal" w:pos="1295"/>
              </w:tabs>
            </w:pPr>
          </w:p>
          <w:p w14:paraId="0213EBE6" w14:textId="77777777" w:rsidR="008C4014" w:rsidRPr="00C41413" w:rsidRDefault="008C4014" w:rsidP="008C4014">
            <w:pPr>
              <w:pStyle w:val="TableText"/>
              <w:tabs>
                <w:tab w:val="decimal" w:pos="1295"/>
              </w:tabs>
            </w:pPr>
            <w:r w:rsidRPr="00C41413">
              <w:t>1.4*</w:t>
            </w:r>
          </w:p>
        </w:tc>
        <w:tc>
          <w:tcPr>
            <w:tcW w:w="2481" w:type="dxa"/>
            <w:tcBorders>
              <w:top w:val="single" w:sz="4" w:space="0" w:color="A6A6A6" w:themeColor="background1" w:themeShade="A6"/>
              <w:left w:val="nil"/>
            </w:tcBorders>
            <w:shd w:val="clear" w:color="auto" w:fill="auto"/>
          </w:tcPr>
          <w:p w14:paraId="514D7A38" w14:textId="77777777" w:rsidR="008C4014" w:rsidRPr="00C41413" w:rsidRDefault="008C4014" w:rsidP="008C4014">
            <w:pPr>
              <w:pStyle w:val="TableText"/>
              <w:tabs>
                <w:tab w:val="decimal" w:pos="1295"/>
              </w:tabs>
            </w:pPr>
          </w:p>
          <w:p w14:paraId="2456A1DF" w14:textId="77777777" w:rsidR="008C4014" w:rsidRPr="00C41413" w:rsidRDefault="008C4014" w:rsidP="008C4014">
            <w:pPr>
              <w:pStyle w:val="TableText"/>
              <w:tabs>
                <w:tab w:val="decimal" w:pos="1295"/>
              </w:tabs>
            </w:pPr>
            <w:r w:rsidRPr="00C41413">
              <w:t>0.7*</w:t>
            </w:r>
          </w:p>
        </w:tc>
      </w:tr>
    </w:tbl>
    <w:p w14:paraId="70AB8B44" w14:textId="77777777" w:rsidR="00735227" w:rsidRDefault="00735227" w:rsidP="008C4014">
      <w:pPr>
        <w:pStyle w:val="TableNote"/>
      </w:pPr>
      <w:r>
        <w:t>Source: 2012/13 NZHS</w:t>
      </w:r>
    </w:p>
    <w:p w14:paraId="000AB0CF" w14:textId="77777777" w:rsidR="00735227" w:rsidRDefault="00735227" w:rsidP="008C4014">
      <w:pPr>
        <w:pStyle w:val="TableNote"/>
      </w:pPr>
      <w:r>
        <w:t>*</w:t>
      </w:r>
      <w:r w:rsidR="008C4014">
        <w:tab/>
      </w:r>
      <w:r>
        <w:t>Statistically significant rate ratio</w:t>
      </w:r>
    </w:p>
    <w:p w14:paraId="352DA77A" w14:textId="77777777" w:rsidR="007066D2" w:rsidRDefault="00735227" w:rsidP="008C4014">
      <w:pPr>
        <w:pStyle w:val="TableNote"/>
        <w:ind w:left="0" w:firstLine="0"/>
      </w:pPr>
      <w:r>
        <w:t>Notes: The sex comparison is adjusted for age. Ethnic comparisons are adjusted for age and sex. Deprivation comparisons are adjusted for age, sex and ethnic group.</w:t>
      </w:r>
    </w:p>
    <w:p w14:paraId="337EC897" w14:textId="77777777" w:rsidR="00735227" w:rsidRPr="00E42454" w:rsidRDefault="00735227" w:rsidP="008C4014"/>
    <w:p w14:paraId="21E22518" w14:textId="77777777" w:rsidR="007066D2" w:rsidRDefault="00735227" w:rsidP="008C4014">
      <w:r>
        <w:t>There was no significant change in the type of cigarettes smoked between 2006 and 2012/13, for all age groups.</w:t>
      </w:r>
    </w:p>
    <w:p w14:paraId="7BB5D432" w14:textId="77777777" w:rsidR="00735227" w:rsidRDefault="00735227" w:rsidP="008C4014"/>
    <w:p w14:paraId="099A7123" w14:textId="77777777" w:rsidR="00735227" w:rsidRPr="00B33F26" w:rsidRDefault="00735227" w:rsidP="008C4014">
      <w:pPr>
        <w:pStyle w:val="Heading3"/>
      </w:pPr>
      <w:r w:rsidRPr="00B33F26">
        <w:t>Smokers living in the most deprived areas were more likely to smoke RYO cigarettes</w:t>
      </w:r>
    </w:p>
    <w:p w14:paraId="04F2FFA5" w14:textId="77777777" w:rsidR="007066D2" w:rsidRDefault="00735227" w:rsidP="008C4014">
      <w:r>
        <w:t>Smokers living in the most deprived areas were 1.4 times more likely than those living in the least deprived areas to smoke RYO cigarettes, after adjusting for age, sex and ethnic group differences (Table 14).</w:t>
      </w:r>
    </w:p>
    <w:p w14:paraId="79460BB2" w14:textId="77777777" w:rsidR="00735227" w:rsidRDefault="00735227" w:rsidP="008C4014"/>
    <w:p w14:paraId="0F3B92B2" w14:textId="77777777" w:rsidR="007066D2" w:rsidRDefault="00735227" w:rsidP="008C4014">
      <w:pPr>
        <w:pStyle w:val="Heading2"/>
      </w:pPr>
      <w:bookmarkStart w:id="137" w:name="_Toc390178299"/>
      <w:bookmarkStart w:id="138" w:name="_Toc400136626"/>
      <w:bookmarkStart w:id="139" w:name="_Toc404091083"/>
      <w:r w:rsidRPr="00B33F26">
        <w:t>Where are smokers purchasing their tobacco/cigarettes?</w:t>
      </w:r>
      <w:bookmarkEnd w:id="137"/>
      <w:bookmarkEnd w:id="138"/>
      <w:bookmarkEnd w:id="139"/>
    </w:p>
    <w:p w14:paraId="7B7760D8" w14:textId="77777777" w:rsidR="007066D2" w:rsidRDefault="00D24FD2" w:rsidP="008C4014">
      <w:r>
        <w:t>In New Zealand s</w:t>
      </w:r>
      <w:r w:rsidR="00735227">
        <w:t>mokers are able to purchase tobacco products from a range of outlets 24 hours a day, seven days a week. The N</w:t>
      </w:r>
      <w:r>
        <w:t>ZHS asked smokers where they</w:t>
      </w:r>
      <w:r w:rsidR="00735227">
        <w:t xml:space="preserve"> bought their current pack of cigarettes.</w:t>
      </w:r>
    </w:p>
    <w:p w14:paraId="2DCB48CA" w14:textId="77777777" w:rsidR="00735227" w:rsidRDefault="00735227" w:rsidP="008C4014"/>
    <w:p w14:paraId="6AB42CD8" w14:textId="77777777" w:rsidR="00735227" w:rsidRPr="00B33F26" w:rsidRDefault="00735227" w:rsidP="008C4014">
      <w:pPr>
        <w:pStyle w:val="Heading3"/>
      </w:pPr>
      <w:r w:rsidRPr="00B33F26">
        <w:t>Most tobacco product</w:t>
      </w:r>
      <w:r>
        <w:t>s are purchased from dairies (and</w:t>
      </w:r>
      <w:r w:rsidRPr="00B33F26">
        <w:t xml:space="preserve"> other shops)</w:t>
      </w:r>
    </w:p>
    <w:p w14:paraId="1D2954E7" w14:textId="5D2B9C65" w:rsidR="007066D2" w:rsidRDefault="00735227" w:rsidP="008C4014">
      <w:r>
        <w:t>There is a clear preference for where adult smokers (aged over 20 years) choose to purchase their cigarettes, with almost half of smokers (48%)</w:t>
      </w:r>
      <w:r>
        <w:rPr>
          <w:rFonts w:cs="Arial"/>
          <w:color w:val="000000"/>
          <w:sz w:val="20"/>
          <w:lang w:eastAsia="en-NZ"/>
        </w:rPr>
        <w:t xml:space="preserve"> </w:t>
      </w:r>
      <w:r>
        <w:t>purchasing their cigarettes or tobacco from dairies (and other shops) (Figure 12). Almost a quarter (23%) of smokers purchased their cigarettes from a superma</w:t>
      </w:r>
      <w:r w:rsidR="00D24FD2">
        <w:t xml:space="preserve">rket followed by 19% </w:t>
      </w:r>
      <w:r>
        <w:t>purchasing from a petrol station. A very low proportion (2.3%) of smokers purchased tobacco products from duty-free shops. There was no reported purchase of a smoker</w:t>
      </w:r>
      <w:r w:rsidR="00AA2408">
        <w:t>’</w:t>
      </w:r>
      <w:r>
        <w:t>s current pack of cigarettes by mail order or internet.</w:t>
      </w:r>
    </w:p>
    <w:p w14:paraId="55AAF41D" w14:textId="77777777" w:rsidR="007066D2" w:rsidRDefault="007066D2" w:rsidP="008C4014"/>
    <w:p w14:paraId="1A63E058" w14:textId="77777777" w:rsidR="00735227" w:rsidRPr="00B33F26" w:rsidRDefault="00735227" w:rsidP="008C4014">
      <w:pPr>
        <w:pStyle w:val="Heading3"/>
      </w:pPr>
      <w:r w:rsidRPr="00B33F26">
        <w:t>Men purchase tobacco products from petrol stations and women from supermarkets</w:t>
      </w:r>
    </w:p>
    <w:p w14:paraId="04A2415A" w14:textId="7436F916" w:rsidR="007066D2" w:rsidRDefault="00735227" w:rsidP="003F32F0">
      <w:pPr>
        <w:keepLines/>
      </w:pPr>
      <w:r>
        <w:t>After adjusting for age, male smokers were significantly more likely than female smokers to purchase cigarettes or tobacco from a petrol station, whereas females were significantly more likely than males to purchase tobacco products fro</w:t>
      </w:r>
      <w:r w:rsidR="00D24FD2">
        <w:t xml:space="preserve">m a supermarket. </w:t>
      </w:r>
      <w:r w:rsidR="008467DC">
        <w:t xml:space="preserve">Regardless of sex, </w:t>
      </w:r>
      <w:r w:rsidR="00D24FD2">
        <w:t>smokers</w:t>
      </w:r>
      <w:r>
        <w:t xml:space="preserve"> were most likely to purchase their tobacco products from a dairy (or other shop).</w:t>
      </w:r>
    </w:p>
    <w:p w14:paraId="5FB1C1B5" w14:textId="77777777" w:rsidR="00735227" w:rsidRDefault="00735227" w:rsidP="008C4014"/>
    <w:p w14:paraId="41611671" w14:textId="77777777" w:rsidR="00735227" w:rsidRDefault="00735227" w:rsidP="008C4014">
      <w:pPr>
        <w:pStyle w:val="Figure"/>
      </w:pPr>
      <w:bookmarkStart w:id="140" w:name="_Toc399920495"/>
      <w:bookmarkStart w:id="141" w:name="_Toc404258421"/>
      <w:r>
        <w:t xml:space="preserve">Figure </w:t>
      </w:r>
      <w:r w:rsidR="008C4014">
        <w:t>12</w:t>
      </w:r>
      <w:r w:rsidRPr="008C5743">
        <w:t>:</w:t>
      </w:r>
      <w:r w:rsidR="008C4014">
        <w:t xml:space="preserve"> </w:t>
      </w:r>
      <w:r w:rsidRPr="008C5743">
        <w:t>Places of purchase of the current packet of cigarette</w:t>
      </w:r>
      <w:r w:rsidR="00B7465A">
        <w:t>s</w:t>
      </w:r>
      <w:r w:rsidRPr="008C5743">
        <w:t xml:space="preserve"> or pouch of tobacco by current smokers aged 20 and above, by sex (age-standardised prevalence)</w:t>
      </w:r>
      <w:bookmarkEnd w:id="140"/>
      <w:bookmarkEnd w:id="141"/>
    </w:p>
    <w:p w14:paraId="44A6D726" w14:textId="77777777" w:rsidR="00735227" w:rsidRPr="00980714" w:rsidRDefault="003F32F0" w:rsidP="003F32F0">
      <w:pPr>
        <w:rPr>
          <w:lang w:eastAsia="en-US"/>
        </w:rPr>
      </w:pPr>
      <w:r w:rsidRPr="003F32F0">
        <w:rPr>
          <w:noProof/>
          <w:lang w:eastAsia="en-NZ"/>
        </w:rPr>
        <w:drawing>
          <wp:inline distT="0" distB="0" distL="0" distR="0" wp14:anchorId="19E16172" wp14:editId="76640A4F">
            <wp:extent cx="4389120" cy="2556300"/>
            <wp:effectExtent l="0" t="0" r="0" b="0"/>
            <wp:docPr id="46" name="Picture 46" title="Figure 12: Places of purchase of the current packet of cigarette or pouch of tobacco by current smokers aged 20 and above, by sex (age-standardised pre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10872" b="14908"/>
                    <a:stretch/>
                  </pic:blipFill>
                  <pic:spPr bwMode="auto">
                    <a:xfrm>
                      <a:off x="0" y="0"/>
                      <a:ext cx="4388591" cy="2555992"/>
                    </a:xfrm>
                    <a:prstGeom prst="rect">
                      <a:avLst/>
                    </a:prstGeom>
                    <a:ln>
                      <a:noFill/>
                    </a:ln>
                    <a:extLst>
                      <a:ext uri="{53640926-AAD7-44D8-BBD7-CCE9431645EC}">
                        <a14:shadowObscured xmlns:a14="http://schemas.microsoft.com/office/drawing/2010/main"/>
                      </a:ext>
                    </a:extLst>
                  </pic:spPr>
                </pic:pic>
              </a:graphicData>
            </a:graphic>
          </wp:inline>
        </w:drawing>
      </w:r>
    </w:p>
    <w:p w14:paraId="4F98AE70" w14:textId="77777777" w:rsidR="00735227" w:rsidRPr="00E42454" w:rsidRDefault="00735227" w:rsidP="008C4014">
      <w:pPr>
        <w:pStyle w:val="Source"/>
      </w:pPr>
      <w:r>
        <w:t>Source: 2012/13 New Zealand Health Survey</w:t>
      </w:r>
    </w:p>
    <w:p w14:paraId="2F68CC2A" w14:textId="77777777" w:rsidR="00735227" w:rsidRDefault="00735227" w:rsidP="008C4014"/>
    <w:p w14:paraId="626D3A0D" w14:textId="77777777" w:rsidR="00735227" w:rsidRPr="00B33F26" w:rsidRDefault="00735227" w:rsidP="00B7465A">
      <w:pPr>
        <w:pStyle w:val="Heading2"/>
      </w:pPr>
      <w:bookmarkStart w:id="142" w:name="_Toc400136627"/>
      <w:bookmarkStart w:id="143" w:name="_Toc404091084"/>
      <w:r w:rsidRPr="00B33F26">
        <w:t>Tobacco access in young people</w:t>
      </w:r>
      <w:bookmarkEnd w:id="142"/>
      <w:bookmarkEnd w:id="143"/>
    </w:p>
    <w:p w14:paraId="1358F9EA" w14:textId="77777777" w:rsidR="007066D2" w:rsidRDefault="00735227" w:rsidP="008C4014">
      <w:r>
        <w:t>The 1997 amendment to the Smoke-free Environments Act 1990 prohibits the sale of cigarettes or other tobacco products to people under the age of 18 years in New Zealand. While it is not illegal for people under 18 to smoke, it is illegal for retailers t</w:t>
      </w:r>
      <w:r w:rsidR="00D24FD2">
        <w:t>o sell tobacco products to people</w:t>
      </w:r>
      <w:r>
        <w:t xml:space="preserve"> younger than 18 years.</w:t>
      </w:r>
    </w:p>
    <w:p w14:paraId="57783CC7" w14:textId="77777777" w:rsidR="00735227" w:rsidRDefault="00735227" w:rsidP="008C4014"/>
    <w:p w14:paraId="3AC09607" w14:textId="77777777" w:rsidR="00735227" w:rsidRPr="00B33F26" w:rsidRDefault="00735227" w:rsidP="008C4014">
      <w:pPr>
        <w:pStyle w:val="Heading3"/>
      </w:pPr>
      <w:r w:rsidRPr="00B33F26">
        <w:t>One in six smokers aged 15</w:t>
      </w:r>
      <w:r>
        <w:t>–</w:t>
      </w:r>
      <w:r w:rsidRPr="00B33F26">
        <w:t>17 years purchased their</w:t>
      </w:r>
      <w:r w:rsidR="00B7465A">
        <w:t xml:space="preserve"> own</w:t>
      </w:r>
      <w:r w:rsidRPr="00B33F26">
        <w:t xml:space="preserve"> tobacco products</w:t>
      </w:r>
    </w:p>
    <w:p w14:paraId="09486E6D" w14:textId="77777777" w:rsidR="007066D2" w:rsidRDefault="00735227" w:rsidP="008C4014">
      <w:r>
        <w:t xml:space="preserve">Just over half (53%) of smokers </w:t>
      </w:r>
      <w:r w:rsidR="00D24FD2">
        <w:t>aged younger than 20 years purchased</w:t>
      </w:r>
      <w:r>
        <w:t xml:space="preserve"> the cigarettes they were smoking, over one-quarter (27%) obtained them from their family, and one-tenth (11%) obtained them from their friends. Despite it being illegal to sell cigarettes or other tobacco products to people u</w:t>
      </w:r>
      <w:r w:rsidR="00D24FD2">
        <w:t>nder 18 years old</w:t>
      </w:r>
      <w:r>
        <w:t>, just over 15% of smokers aged</w:t>
      </w:r>
      <w:r w:rsidR="000422F4">
        <w:t xml:space="preserve"> </w:t>
      </w:r>
      <w:r>
        <w:t>15–17 years reported buying their current smoking products (Figure 13). This equates to around 2000 young people.</w:t>
      </w:r>
    </w:p>
    <w:p w14:paraId="3AC103F2" w14:textId="77777777" w:rsidR="00735227" w:rsidRDefault="00735227" w:rsidP="008C4014"/>
    <w:p w14:paraId="19C1252C" w14:textId="77777777" w:rsidR="00735227" w:rsidRDefault="00735227" w:rsidP="008C4014">
      <w:pPr>
        <w:pStyle w:val="Figure"/>
      </w:pPr>
      <w:bookmarkStart w:id="144" w:name="_Toc399920496"/>
      <w:bookmarkStart w:id="145" w:name="_Toc404258422"/>
      <w:r>
        <w:t xml:space="preserve">Figure </w:t>
      </w:r>
      <w:r w:rsidR="008C4014">
        <w:t xml:space="preserve">13: </w:t>
      </w:r>
      <w:r w:rsidRPr="00204279">
        <w:t xml:space="preserve">Source of cigarettes/tobacco products currently smoked, current smokers aged under 20 </w:t>
      </w:r>
      <w:r>
        <w:t>years</w:t>
      </w:r>
      <w:bookmarkEnd w:id="144"/>
      <w:bookmarkEnd w:id="145"/>
    </w:p>
    <w:p w14:paraId="21BBBCB0" w14:textId="77777777" w:rsidR="00735227" w:rsidRPr="00980714" w:rsidRDefault="00E578F7" w:rsidP="00E578F7">
      <w:pPr>
        <w:rPr>
          <w:lang w:eastAsia="en-US"/>
        </w:rPr>
      </w:pPr>
      <w:r w:rsidRPr="00E578F7">
        <w:rPr>
          <w:noProof/>
          <w:lang w:eastAsia="en-NZ"/>
        </w:rPr>
        <w:drawing>
          <wp:inline distT="0" distB="0" distL="0" distR="0" wp14:anchorId="76EC65DE" wp14:editId="660CE883">
            <wp:extent cx="4397432" cy="2546961"/>
            <wp:effectExtent l="0" t="0" r="3175" b="6350"/>
            <wp:docPr id="31" name="Picture 31" title="Figure 13: Source of cigarettes/tobacco products currently smoked, current smokers aged under 2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r="9892" b="14449"/>
                    <a:stretch/>
                  </pic:blipFill>
                  <pic:spPr bwMode="auto">
                    <a:xfrm>
                      <a:off x="0" y="0"/>
                      <a:ext cx="4396902" cy="2546654"/>
                    </a:xfrm>
                    <a:prstGeom prst="rect">
                      <a:avLst/>
                    </a:prstGeom>
                    <a:ln>
                      <a:noFill/>
                    </a:ln>
                    <a:extLst>
                      <a:ext uri="{53640926-AAD7-44D8-BBD7-CCE9431645EC}">
                        <a14:shadowObscured xmlns:a14="http://schemas.microsoft.com/office/drawing/2010/main"/>
                      </a:ext>
                    </a:extLst>
                  </pic:spPr>
                </pic:pic>
              </a:graphicData>
            </a:graphic>
          </wp:inline>
        </w:drawing>
      </w:r>
    </w:p>
    <w:p w14:paraId="3A426C27" w14:textId="77777777" w:rsidR="00735227" w:rsidRPr="00FD5CF9" w:rsidRDefault="00735227" w:rsidP="008C4014">
      <w:pPr>
        <w:pStyle w:val="Source"/>
      </w:pPr>
      <w:r>
        <w:t>Source: 2012/13 NZHS</w:t>
      </w:r>
    </w:p>
    <w:p w14:paraId="213BE132" w14:textId="77777777" w:rsidR="00735227" w:rsidRDefault="00735227" w:rsidP="008C4014"/>
    <w:p w14:paraId="113B0A84" w14:textId="77777777" w:rsidR="007066D2" w:rsidRDefault="00735227" w:rsidP="008C4014">
      <w:pPr>
        <w:pStyle w:val="Heading3"/>
      </w:pPr>
      <w:r w:rsidRPr="00B33F26">
        <w:t>Most 15</w:t>
      </w:r>
      <w:r>
        <w:t>–</w:t>
      </w:r>
      <w:r w:rsidRPr="00B33F26">
        <w:t>17 year olds get their tobacco from family</w:t>
      </w:r>
    </w:p>
    <w:p w14:paraId="210F2B25" w14:textId="77777777" w:rsidR="007066D2" w:rsidRDefault="000422F4" w:rsidP="008C4014">
      <w:r>
        <w:t>Almost eight out of ten</w:t>
      </w:r>
      <w:r w:rsidR="00735227">
        <w:t xml:space="preserve"> 18–19 year olds (76%) purchased their own packet of cigarettes or pouch of tobacco (Figure 13). 15–17 year olds (57%) were more likely than 18–19 year olds (9%) to get their cigarettes or tobacco from their family.</w:t>
      </w:r>
    </w:p>
    <w:p w14:paraId="5DF6DEF7" w14:textId="77777777" w:rsidR="00735227" w:rsidRDefault="00735227" w:rsidP="008C4014"/>
    <w:p w14:paraId="62D4903B" w14:textId="77777777" w:rsidR="00735227" w:rsidRPr="00B33F26" w:rsidRDefault="00735227" w:rsidP="008C4014">
      <w:pPr>
        <w:pStyle w:val="Heading3"/>
      </w:pPr>
      <w:r w:rsidRPr="00B33F26">
        <w:t>Most young smokers purchased their tobacco products in dairies or other shops</w:t>
      </w:r>
    </w:p>
    <w:p w14:paraId="0FAE13DC" w14:textId="618FB6DD" w:rsidR="007066D2" w:rsidRDefault="000422F4" w:rsidP="008C4014">
      <w:r>
        <w:t xml:space="preserve">The most common place where smokers younger than 20 years purchased </w:t>
      </w:r>
      <w:r w:rsidR="00735227">
        <w:t>their o</w:t>
      </w:r>
      <w:r>
        <w:t xml:space="preserve">wn cigarettes/tobacco products was from a </w:t>
      </w:r>
      <w:r w:rsidR="00897413">
        <w:t>dairy or shop (58%) (Figure 14)</w:t>
      </w:r>
      <w:r>
        <w:t xml:space="preserve">. Almost </w:t>
      </w:r>
      <w:r w:rsidR="00735227">
        <w:t>one-third (28%)</w:t>
      </w:r>
      <w:r>
        <w:t xml:space="preserve"> purchased them</w:t>
      </w:r>
      <w:r w:rsidR="00735227">
        <w:t xml:space="preserve"> from a petrol station and one</w:t>
      </w:r>
      <w:r>
        <w:t xml:space="preserve">-tenth (11%) from a supermarket. </w:t>
      </w:r>
      <w:r w:rsidR="00735227">
        <w:t>Th</w:t>
      </w:r>
      <w:r w:rsidR="00D47D19">
        <w:t xml:space="preserve">is equates </w:t>
      </w:r>
      <w:r w:rsidR="00735227">
        <w:t>to an estimated 12,000, 6,000 and 2,000 young people respectively.</w:t>
      </w:r>
    </w:p>
    <w:p w14:paraId="243C8C08" w14:textId="77777777" w:rsidR="00735227" w:rsidRDefault="00735227" w:rsidP="008C4014"/>
    <w:p w14:paraId="41D4CFB8" w14:textId="77777777" w:rsidR="00735227" w:rsidRDefault="00735227" w:rsidP="008C4014">
      <w:pPr>
        <w:pStyle w:val="Figure"/>
      </w:pPr>
      <w:bookmarkStart w:id="146" w:name="_Toc399920497"/>
      <w:bookmarkStart w:id="147" w:name="_Toc404258423"/>
      <w:r>
        <w:t xml:space="preserve">Figure </w:t>
      </w:r>
      <w:r w:rsidR="008C4014">
        <w:t>14</w:t>
      </w:r>
      <w:r w:rsidRPr="00FE4903">
        <w:t>:</w:t>
      </w:r>
      <w:r w:rsidR="008C4014">
        <w:t xml:space="preserve"> </w:t>
      </w:r>
      <w:r w:rsidRPr="00FE4903">
        <w:t>Place of purchase of the current packet of cigarettes/tobacco products, current smokers aged 20 years and under</w:t>
      </w:r>
      <w:bookmarkEnd w:id="146"/>
      <w:bookmarkEnd w:id="147"/>
    </w:p>
    <w:p w14:paraId="1C31A442" w14:textId="77777777" w:rsidR="00735227" w:rsidRPr="00184C91" w:rsidRDefault="00145064" w:rsidP="00735227">
      <w:pPr>
        <w:rPr>
          <w:lang w:eastAsia="en-US"/>
        </w:rPr>
      </w:pPr>
      <w:r w:rsidRPr="00145064">
        <w:rPr>
          <w:noProof/>
          <w:lang w:eastAsia="en-NZ"/>
        </w:rPr>
        <w:drawing>
          <wp:inline distT="0" distB="0" distL="0" distR="0" wp14:anchorId="1840D4F7" wp14:editId="0A36C660">
            <wp:extent cx="4389120" cy="2530602"/>
            <wp:effectExtent l="0" t="0" r="0" b="3175"/>
            <wp:docPr id="34" name="Picture 34" title="Figure 14: Place of purchase of the current packet of cigarettes/tobacco products, current smokers aged 20 years and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r="10452" b="15367"/>
                    <a:stretch/>
                  </pic:blipFill>
                  <pic:spPr bwMode="auto">
                    <a:xfrm>
                      <a:off x="0" y="0"/>
                      <a:ext cx="4388591" cy="2530297"/>
                    </a:xfrm>
                    <a:prstGeom prst="rect">
                      <a:avLst/>
                    </a:prstGeom>
                    <a:ln>
                      <a:noFill/>
                    </a:ln>
                    <a:extLst>
                      <a:ext uri="{53640926-AAD7-44D8-BBD7-CCE9431645EC}">
                        <a14:shadowObscured xmlns:a14="http://schemas.microsoft.com/office/drawing/2010/main"/>
                      </a:ext>
                    </a:extLst>
                  </pic:spPr>
                </pic:pic>
              </a:graphicData>
            </a:graphic>
          </wp:inline>
        </w:drawing>
      </w:r>
    </w:p>
    <w:p w14:paraId="3777265C" w14:textId="77777777" w:rsidR="00735227" w:rsidRPr="00E42454" w:rsidRDefault="00735227" w:rsidP="008C4014">
      <w:pPr>
        <w:pStyle w:val="Source"/>
      </w:pPr>
      <w:r>
        <w:t>Source: 2012/13 NZHS</w:t>
      </w:r>
    </w:p>
    <w:p w14:paraId="71075B9B" w14:textId="77777777" w:rsidR="008C4014" w:rsidRDefault="008C4014" w:rsidP="008C4014">
      <w:bookmarkStart w:id="148" w:name="_Toc390178300"/>
      <w:bookmarkStart w:id="149" w:name="_Toc400136628"/>
      <w:r>
        <w:br w:type="page"/>
      </w:r>
    </w:p>
    <w:p w14:paraId="42522E63" w14:textId="77777777" w:rsidR="00735227" w:rsidRDefault="00735227" w:rsidP="008C4014">
      <w:pPr>
        <w:pStyle w:val="Heading1"/>
      </w:pPr>
      <w:bookmarkStart w:id="150" w:name="_Toc404091085"/>
      <w:r w:rsidRPr="00B33F26">
        <w:t xml:space="preserve">Section 3: Initiation and </w:t>
      </w:r>
      <w:bookmarkStart w:id="151" w:name="_Toc390178301"/>
      <w:bookmarkEnd w:id="148"/>
      <w:r>
        <w:t>u</w:t>
      </w:r>
      <w:r w:rsidRPr="00B33F26">
        <w:t>ptake</w:t>
      </w:r>
      <w:bookmarkEnd w:id="149"/>
      <w:bookmarkEnd w:id="150"/>
    </w:p>
    <w:p w14:paraId="65CA6727" w14:textId="77777777" w:rsidR="00735227" w:rsidRPr="00B33F26" w:rsidRDefault="00735227" w:rsidP="008C4014">
      <w:pPr>
        <w:pStyle w:val="Heading2"/>
      </w:pPr>
      <w:bookmarkStart w:id="152" w:name="_Toc400136629"/>
      <w:bookmarkStart w:id="153" w:name="_Toc404091086"/>
      <w:r w:rsidRPr="00B33F26">
        <w:t>What is the mean age of smoking initiation and smoking uptake, and how is this changing over time?</w:t>
      </w:r>
      <w:bookmarkEnd w:id="151"/>
      <w:bookmarkEnd w:id="152"/>
      <w:bookmarkEnd w:id="153"/>
    </w:p>
    <w:p w14:paraId="20E41F2F" w14:textId="77777777" w:rsidR="008C4014" w:rsidRPr="00B33F26" w:rsidRDefault="008C4014" w:rsidP="008C4014">
      <w:pPr>
        <w:pStyle w:val="BoxHeading"/>
      </w:pPr>
      <w:bookmarkStart w:id="154" w:name="_Toc400136630"/>
      <w:r w:rsidRPr="00B33F26">
        <w:t>Key findings</w:t>
      </w:r>
      <w:bookmarkEnd w:id="154"/>
    </w:p>
    <w:p w14:paraId="6A8D03A5" w14:textId="77777777" w:rsidR="008C4014" w:rsidRPr="00682829" w:rsidRDefault="008C4014" w:rsidP="008C4014">
      <w:pPr>
        <w:pStyle w:val="BoxBullet"/>
      </w:pPr>
      <w:r w:rsidRPr="00682829">
        <w:t>The mean age of smoking initiation was 14.8 years</w:t>
      </w:r>
      <w:r>
        <w:t>.</w:t>
      </w:r>
    </w:p>
    <w:p w14:paraId="3ED1CC46" w14:textId="77777777" w:rsidR="008C4014" w:rsidRPr="00682829" w:rsidRDefault="008C4014" w:rsidP="008C4014">
      <w:pPr>
        <w:pStyle w:val="BoxBullet"/>
      </w:pPr>
      <w:r w:rsidRPr="00682829">
        <w:t>Māori had the earliest mean age of initiation at 14.1 years</w:t>
      </w:r>
      <w:r>
        <w:t>.</w:t>
      </w:r>
    </w:p>
    <w:p w14:paraId="11967286" w14:textId="77777777" w:rsidR="008C4014" w:rsidRPr="00682829" w:rsidRDefault="008C4014" w:rsidP="008C4014">
      <w:pPr>
        <w:pStyle w:val="BoxBullet"/>
      </w:pPr>
      <w:r w:rsidRPr="00682829">
        <w:t>The mean age of smoking uptake was 17.7 years</w:t>
      </w:r>
      <w:r>
        <w:t>.</w:t>
      </w:r>
    </w:p>
    <w:p w14:paraId="53B43108" w14:textId="77777777" w:rsidR="008C4014" w:rsidRPr="00682829" w:rsidRDefault="008C4014" w:rsidP="008C4014">
      <w:pPr>
        <w:pStyle w:val="BoxBullet"/>
      </w:pPr>
      <w:r w:rsidRPr="00682829">
        <w:t>Pacific smokers had the shortest time lag between initiation and uptake, of 2.7</w:t>
      </w:r>
      <w:r>
        <w:t> </w:t>
      </w:r>
      <w:r w:rsidRPr="00682829">
        <w:t>years</w:t>
      </w:r>
      <w:r>
        <w:t>.</w:t>
      </w:r>
    </w:p>
    <w:p w14:paraId="42C9DC25" w14:textId="77777777" w:rsidR="00735227" w:rsidRDefault="00735227" w:rsidP="008C4014"/>
    <w:p w14:paraId="550F41EB" w14:textId="77777777" w:rsidR="00735227" w:rsidRDefault="00735227" w:rsidP="008C4014">
      <w:r>
        <w:t xml:space="preserve">This section looks at the average age that current smokers over the age of 20 tried their first cigarette (smoking initiation) and the average age at which they started smoking daily (smoking uptake). </w:t>
      </w:r>
      <w:r w:rsidRPr="00D176E5">
        <w:t>Only current smokers over the age of 20 have been considered</w:t>
      </w:r>
      <w:r>
        <w:t xml:space="preserve"> in this analysis in order</w:t>
      </w:r>
      <w:r w:rsidRPr="00D176E5">
        <w:t xml:space="preserve"> </w:t>
      </w:r>
      <w:r>
        <w:t xml:space="preserve">to capture </w:t>
      </w:r>
      <w:r w:rsidRPr="00D176E5">
        <w:t>smokers who start</w:t>
      </w:r>
      <w:r>
        <w:t>ed</w:t>
      </w:r>
      <w:r w:rsidRPr="00D176E5">
        <w:t xml:space="preserve"> smoking later in their teens </w:t>
      </w:r>
      <w:r>
        <w:t xml:space="preserve">(eg, 16–19 years) </w:t>
      </w:r>
      <w:r w:rsidRPr="00D176E5">
        <w:t xml:space="preserve">compared </w:t>
      </w:r>
      <w:r>
        <w:t>with</w:t>
      </w:r>
      <w:r w:rsidRPr="00D176E5">
        <w:t xml:space="preserve"> those who </w:t>
      </w:r>
      <w:r>
        <w:t xml:space="preserve">may have </w:t>
      </w:r>
      <w:r w:rsidRPr="00D176E5">
        <w:t>started earlier.</w:t>
      </w:r>
    </w:p>
    <w:p w14:paraId="4560C357" w14:textId="77777777" w:rsidR="00735227" w:rsidRDefault="00735227" w:rsidP="008C4014"/>
    <w:p w14:paraId="2C32BAD2" w14:textId="77777777" w:rsidR="00735227" w:rsidRPr="00B33F26" w:rsidRDefault="00735227" w:rsidP="008C4014">
      <w:pPr>
        <w:pStyle w:val="Heading3"/>
      </w:pPr>
      <w:r w:rsidRPr="00B33F26">
        <w:t>Māori had the earliest average age of smoking initiation</w:t>
      </w:r>
    </w:p>
    <w:p w14:paraId="3135D871" w14:textId="77777777" w:rsidR="007066D2" w:rsidRDefault="00735227" w:rsidP="008C4014">
      <w:r>
        <w:t>The average age that current smokers aged over 20 smoked their first puff or their first entire cigarette (smoking initiation) was 14.8 years.</w:t>
      </w:r>
    </w:p>
    <w:p w14:paraId="79BD2BD5" w14:textId="77777777" w:rsidR="00735227" w:rsidRDefault="00735227" w:rsidP="008C4014"/>
    <w:p w14:paraId="694780D7" w14:textId="77777777" w:rsidR="007066D2" w:rsidRDefault="00735227" w:rsidP="008C4014">
      <w:r>
        <w:t>There were significant differences in smoking initiation across ethnic groups, with Māori having the earliest average age of initiation, at 14.1 years, and Asian smokers having the latest onset of initiation at 18.4 years (Table 15).</w:t>
      </w:r>
    </w:p>
    <w:p w14:paraId="772698AF" w14:textId="77777777" w:rsidR="00735227" w:rsidRDefault="00735227" w:rsidP="008C4014"/>
    <w:p w14:paraId="1EBC76F3" w14:textId="77777777" w:rsidR="007066D2" w:rsidRDefault="00735227" w:rsidP="008C4014">
      <w:pPr>
        <w:pStyle w:val="Heading3"/>
      </w:pPr>
      <w:r w:rsidRPr="00B33F26">
        <w:t>Asian smokers were the slowest to take up daily smoking</w:t>
      </w:r>
    </w:p>
    <w:p w14:paraId="3F2C080B" w14:textId="19687103" w:rsidR="007066D2" w:rsidRDefault="00735227" w:rsidP="008C4014">
      <w:r>
        <w:t>The average age when smokers started smoking daily</w:t>
      </w:r>
      <w:r w:rsidR="00AA2408">
        <w:t xml:space="preserve"> </w:t>
      </w:r>
      <w:r>
        <w:t>was 17.7 years, but this varied by ethnic group (Table 15). Pacific smokers had a later onset of initiation but had the shortest time period between initiation and uptake compared with smokers of other ethnicities (2.7</w:t>
      </w:r>
      <w:r w:rsidR="008C4014">
        <w:t> </w:t>
      </w:r>
      <w:r>
        <w:t>years). Not only did Asian smokers delay initiation longer than any other ethnic group, they also had the longest delay in progressing to daily smoking (3.7 years).</w:t>
      </w:r>
    </w:p>
    <w:p w14:paraId="173D5794" w14:textId="77777777" w:rsidR="00735227" w:rsidRDefault="00735227" w:rsidP="008C4014"/>
    <w:p w14:paraId="27558A7B" w14:textId="77777777" w:rsidR="00735227" w:rsidRPr="009D2F4B" w:rsidRDefault="00735227" w:rsidP="008C4014">
      <w:pPr>
        <w:pStyle w:val="Table"/>
        <w:rPr>
          <w:szCs w:val="24"/>
        </w:rPr>
      </w:pPr>
      <w:bookmarkStart w:id="155" w:name="_Toc399920526"/>
      <w:bookmarkStart w:id="156" w:name="_Toc404091115"/>
      <w:r>
        <w:t xml:space="preserve">Table </w:t>
      </w:r>
      <w:r w:rsidR="008C4014">
        <w:t>15</w:t>
      </w:r>
      <w:r w:rsidRPr="002E3ECF">
        <w:t>:</w:t>
      </w:r>
      <w:r w:rsidR="008C4014">
        <w:t xml:space="preserve"> </w:t>
      </w:r>
      <w:r>
        <w:t>Mean</w:t>
      </w:r>
      <w:r w:rsidRPr="002E3ECF">
        <w:t xml:space="preserve"> age of smoking initiation and </w:t>
      </w:r>
      <w:r>
        <w:t>mean</w:t>
      </w:r>
      <w:r w:rsidRPr="002E3ECF">
        <w:t xml:space="preserve"> age of smoking uptake of current smokers over the age of 20, by ethnic group (age</w:t>
      </w:r>
      <w:r>
        <w:t xml:space="preserve"> </w:t>
      </w:r>
      <w:r w:rsidRPr="002E3ECF">
        <w:t>standardised)</w:t>
      </w:r>
      <w:bookmarkEnd w:id="155"/>
      <w:bookmarkEnd w:id="15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80"/>
        <w:gridCol w:w="2392"/>
        <w:gridCol w:w="2392"/>
        <w:gridCol w:w="2392"/>
      </w:tblGrid>
      <w:tr w:rsidR="00735227" w:rsidRPr="008C4014" w14:paraId="7AC72AA0" w14:textId="77777777" w:rsidTr="008C4014">
        <w:trPr>
          <w:cantSplit/>
        </w:trPr>
        <w:tc>
          <w:tcPr>
            <w:tcW w:w="2180" w:type="dxa"/>
            <w:tcBorders>
              <w:top w:val="single" w:sz="4" w:space="0" w:color="auto"/>
              <w:bottom w:val="single" w:sz="4" w:space="0" w:color="auto"/>
            </w:tcBorders>
            <w:shd w:val="clear" w:color="auto" w:fill="auto"/>
          </w:tcPr>
          <w:p w14:paraId="17AE4FA0" w14:textId="77777777" w:rsidR="00735227" w:rsidRPr="008C4014" w:rsidRDefault="00735227" w:rsidP="00634A48">
            <w:pPr>
              <w:pStyle w:val="TableText"/>
              <w:keepNext/>
              <w:rPr>
                <w:b/>
              </w:rPr>
            </w:pPr>
            <w:r w:rsidRPr="008C4014">
              <w:rPr>
                <w:b/>
              </w:rPr>
              <w:t>Ethnic group</w:t>
            </w:r>
          </w:p>
        </w:tc>
        <w:tc>
          <w:tcPr>
            <w:tcW w:w="2392" w:type="dxa"/>
            <w:tcBorders>
              <w:top w:val="single" w:sz="4" w:space="0" w:color="auto"/>
              <w:bottom w:val="single" w:sz="4" w:space="0" w:color="auto"/>
            </w:tcBorders>
            <w:shd w:val="clear" w:color="auto" w:fill="auto"/>
          </w:tcPr>
          <w:p w14:paraId="153176C8" w14:textId="77777777" w:rsidR="00735227" w:rsidRPr="008C4014" w:rsidRDefault="00735227" w:rsidP="00634A48">
            <w:pPr>
              <w:pStyle w:val="TableText"/>
              <w:keepNext/>
              <w:jc w:val="center"/>
              <w:rPr>
                <w:b/>
              </w:rPr>
            </w:pPr>
            <w:r w:rsidRPr="008C4014">
              <w:rPr>
                <w:b/>
              </w:rPr>
              <w:t>Mean age of initiation</w:t>
            </w:r>
            <w:r w:rsidR="008C4014">
              <w:rPr>
                <w:b/>
              </w:rPr>
              <w:br/>
            </w:r>
            <w:r w:rsidRPr="008C4014">
              <w:rPr>
                <w:b/>
              </w:rPr>
              <w:t>(years)</w:t>
            </w:r>
          </w:p>
        </w:tc>
        <w:tc>
          <w:tcPr>
            <w:tcW w:w="2392" w:type="dxa"/>
            <w:tcBorders>
              <w:top w:val="single" w:sz="4" w:space="0" w:color="auto"/>
              <w:bottom w:val="single" w:sz="4" w:space="0" w:color="auto"/>
            </w:tcBorders>
            <w:shd w:val="clear" w:color="auto" w:fill="auto"/>
          </w:tcPr>
          <w:p w14:paraId="25A69F57" w14:textId="77777777" w:rsidR="00735227" w:rsidRPr="008C4014" w:rsidRDefault="00735227" w:rsidP="00634A48">
            <w:pPr>
              <w:pStyle w:val="TableText"/>
              <w:keepNext/>
              <w:jc w:val="center"/>
              <w:rPr>
                <w:b/>
              </w:rPr>
            </w:pPr>
            <w:r w:rsidRPr="008C4014">
              <w:rPr>
                <w:b/>
              </w:rPr>
              <w:t>Mean age of uptake</w:t>
            </w:r>
            <w:r w:rsidR="008C4014">
              <w:rPr>
                <w:b/>
              </w:rPr>
              <w:br/>
            </w:r>
            <w:r w:rsidRPr="008C4014">
              <w:rPr>
                <w:b/>
              </w:rPr>
              <w:t>(years)</w:t>
            </w:r>
          </w:p>
        </w:tc>
        <w:tc>
          <w:tcPr>
            <w:tcW w:w="2392" w:type="dxa"/>
            <w:tcBorders>
              <w:top w:val="single" w:sz="4" w:space="0" w:color="auto"/>
              <w:bottom w:val="single" w:sz="4" w:space="0" w:color="auto"/>
            </w:tcBorders>
            <w:shd w:val="clear" w:color="auto" w:fill="auto"/>
          </w:tcPr>
          <w:p w14:paraId="043B876E" w14:textId="77777777" w:rsidR="00735227" w:rsidRPr="008C4014" w:rsidRDefault="00735227" w:rsidP="00634A48">
            <w:pPr>
              <w:pStyle w:val="TableText"/>
              <w:keepNext/>
              <w:jc w:val="center"/>
              <w:rPr>
                <w:b/>
              </w:rPr>
            </w:pPr>
            <w:r w:rsidRPr="008C4014">
              <w:rPr>
                <w:b/>
              </w:rPr>
              <w:t>Difference</w:t>
            </w:r>
            <w:r w:rsidR="008C4014">
              <w:rPr>
                <w:b/>
              </w:rPr>
              <w:br/>
            </w:r>
            <w:r w:rsidRPr="008C4014">
              <w:rPr>
                <w:b/>
              </w:rPr>
              <w:t>(years)</w:t>
            </w:r>
          </w:p>
        </w:tc>
      </w:tr>
      <w:tr w:rsidR="00735227" w:rsidRPr="00C41413" w14:paraId="55DA79A3" w14:textId="77777777" w:rsidTr="008C4014">
        <w:trPr>
          <w:cantSplit/>
        </w:trPr>
        <w:tc>
          <w:tcPr>
            <w:tcW w:w="2180" w:type="dxa"/>
            <w:tcBorders>
              <w:top w:val="single" w:sz="4" w:space="0" w:color="auto"/>
              <w:bottom w:val="single" w:sz="4" w:space="0" w:color="A6A6A6" w:themeColor="background1" w:themeShade="A6"/>
            </w:tcBorders>
            <w:shd w:val="clear" w:color="auto" w:fill="auto"/>
          </w:tcPr>
          <w:p w14:paraId="45BB27A6" w14:textId="77777777" w:rsidR="00735227" w:rsidRPr="00C41413" w:rsidRDefault="00735227" w:rsidP="00634A48">
            <w:pPr>
              <w:pStyle w:val="TableText"/>
              <w:keepNext/>
            </w:pPr>
            <w:r w:rsidRPr="00C41413">
              <w:rPr>
                <w:szCs w:val="22"/>
              </w:rPr>
              <w:t>Māori</w:t>
            </w:r>
          </w:p>
        </w:tc>
        <w:tc>
          <w:tcPr>
            <w:tcW w:w="2392" w:type="dxa"/>
            <w:tcBorders>
              <w:top w:val="single" w:sz="4" w:space="0" w:color="auto"/>
              <w:bottom w:val="single" w:sz="4" w:space="0" w:color="A6A6A6" w:themeColor="background1" w:themeShade="A6"/>
            </w:tcBorders>
            <w:shd w:val="clear" w:color="auto" w:fill="auto"/>
          </w:tcPr>
          <w:p w14:paraId="37ECD7F5" w14:textId="77777777" w:rsidR="00735227" w:rsidRPr="00C41413" w:rsidRDefault="00735227" w:rsidP="00634A48">
            <w:pPr>
              <w:pStyle w:val="TableText"/>
              <w:keepNext/>
              <w:jc w:val="center"/>
            </w:pPr>
            <w:r w:rsidRPr="00C41413">
              <w:t>14.1</w:t>
            </w:r>
          </w:p>
        </w:tc>
        <w:tc>
          <w:tcPr>
            <w:tcW w:w="2392" w:type="dxa"/>
            <w:tcBorders>
              <w:top w:val="single" w:sz="4" w:space="0" w:color="auto"/>
              <w:bottom w:val="single" w:sz="4" w:space="0" w:color="A6A6A6" w:themeColor="background1" w:themeShade="A6"/>
            </w:tcBorders>
            <w:shd w:val="clear" w:color="auto" w:fill="auto"/>
          </w:tcPr>
          <w:p w14:paraId="1425A4E1" w14:textId="77777777" w:rsidR="00735227" w:rsidRPr="00C41413" w:rsidRDefault="00735227" w:rsidP="00634A48">
            <w:pPr>
              <w:pStyle w:val="TableText"/>
              <w:keepNext/>
              <w:jc w:val="center"/>
            </w:pPr>
            <w:r w:rsidRPr="00C41413">
              <w:t>17.1</w:t>
            </w:r>
          </w:p>
        </w:tc>
        <w:tc>
          <w:tcPr>
            <w:tcW w:w="2392" w:type="dxa"/>
            <w:tcBorders>
              <w:top w:val="single" w:sz="4" w:space="0" w:color="auto"/>
              <w:bottom w:val="single" w:sz="4" w:space="0" w:color="A6A6A6" w:themeColor="background1" w:themeShade="A6"/>
            </w:tcBorders>
            <w:shd w:val="clear" w:color="auto" w:fill="auto"/>
          </w:tcPr>
          <w:p w14:paraId="0332FB2C" w14:textId="77777777" w:rsidR="00735227" w:rsidRPr="00C41413" w:rsidRDefault="00735227" w:rsidP="00634A48">
            <w:pPr>
              <w:pStyle w:val="TableText"/>
              <w:keepNext/>
              <w:jc w:val="center"/>
            </w:pPr>
            <w:r w:rsidRPr="00C41413">
              <w:t>3.0</w:t>
            </w:r>
          </w:p>
        </w:tc>
      </w:tr>
      <w:tr w:rsidR="00735227" w:rsidRPr="00C41413" w14:paraId="54E14A86" w14:textId="77777777" w:rsidTr="008C4014">
        <w:trPr>
          <w:cantSplit/>
        </w:trPr>
        <w:tc>
          <w:tcPr>
            <w:tcW w:w="2180" w:type="dxa"/>
            <w:tcBorders>
              <w:top w:val="single" w:sz="4" w:space="0" w:color="A6A6A6" w:themeColor="background1" w:themeShade="A6"/>
              <w:bottom w:val="single" w:sz="4" w:space="0" w:color="A6A6A6" w:themeColor="background1" w:themeShade="A6"/>
            </w:tcBorders>
            <w:shd w:val="clear" w:color="auto" w:fill="auto"/>
          </w:tcPr>
          <w:p w14:paraId="397933F7" w14:textId="77777777" w:rsidR="00735227" w:rsidRPr="00C41413" w:rsidRDefault="00735227" w:rsidP="00634A48">
            <w:pPr>
              <w:pStyle w:val="TableText"/>
              <w:keepNext/>
            </w:pPr>
            <w:r w:rsidRPr="00C41413">
              <w:t>Pacific</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79CB5BBA" w14:textId="77777777" w:rsidR="00735227" w:rsidRPr="00C41413" w:rsidRDefault="00735227" w:rsidP="00634A48">
            <w:pPr>
              <w:pStyle w:val="TableText"/>
              <w:keepNext/>
              <w:jc w:val="center"/>
            </w:pPr>
            <w:r w:rsidRPr="00C41413">
              <w:t>16.6</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098AD5FA" w14:textId="77777777" w:rsidR="00735227" w:rsidRPr="00C41413" w:rsidRDefault="00735227" w:rsidP="00634A48">
            <w:pPr>
              <w:pStyle w:val="TableText"/>
              <w:keepNext/>
              <w:jc w:val="center"/>
            </w:pPr>
            <w:r w:rsidRPr="00C41413">
              <w:t>19.3</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2E3F7E69" w14:textId="77777777" w:rsidR="00735227" w:rsidRPr="00C41413" w:rsidRDefault="00735227" w:rsidP="00634A48">
            <w:pPr>
              <w:pStyle w:val="TableText"/>
              <w:keepNext/>
              <w:jc w:val="center"/>
            </w:pPr>
            <w:r w:rsidRPr="00C41413">
              <w:t>2.7</w:t>
            </w:r>
          </w:p>
        </w:tc>
      </w:tr>
      <w:tr w:rsidR="00735227" w:rsidRPr="00C41413" w14:paraId="0DC0481B" w14:textId="77777777" w:rsidTr="008C4014">
        <w:trPr>
          <w:cantSplit/>
        </w:trPr>
        <w:tc>
          <w:tcPr>
            <w:tcW w:w="2180" w:type="dxa"/>
            <w:tcBorders>
              <w:top w:val="single" w:sz="4" w:space="0" w:color="A6A6A6" w:themeColor="background1" w:themeShade="A6"/>
              <w:bottom w:val="single" w:sz="4" w:space="0" w:color="A6A6A6" w:themeColor="background1" w:themeShade="A6"/>
            </w:tcBorders>
            <w:shd w:val="clear" w:color="auto" w:fill="auto"/>
          </w:tcPr>
          <w:p w14:paraId="61F4E25A" w14:textId="77777777" w:rsidR="00735227" w:rsidRPr="00C41413" w:rsidRDefault="00735227" w:rsidP="008C4014">
            <w:pPr>
              <w:pStyle w:val="TableText"/>
            </w:pPr>
            <w:r w:rsidRPr="00C41413">
              <w:t>Asian</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0A9C7136" w14:textId="77777777" w:rsidR="00735227" w:rsidRPr="00C41413" w:rsidRDefault="00735227" w:rsidP="008C4014">
            <w:pPr>
              <w:pStyle w:val="TableText"/>
              <w:jc w:val="center"/>
            </w:pPr>
            <w:r w:rsidRPr="00C41413">
              <w:t>18.4</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2EAFE847" w14:textId="77777777" w:rsidR="00735227" w:rsidRPr="00C41413" w:rsidRDefault="00735227" w:rsidP="008C4014">
            <w:pPr>
              <w:pStyle w:val="TableText"/>
              <w:jc w:val="center"/>
            </w:pPr>
            <w:r w:rsidRPr="00C41413">
              <w:t>22.1</w:t>
            </w:r>
          </w:p>
        </w:tc>
        <w:tc>
          <w:tcPr>
            <w:tcW w:w="2392" w:type="dxa"/>
            <w:tcBorders>
              <w:top w:val="single" w:sz="4" w:space="0" w:color="A6A6A6" w:themeColor="background1" w:themeShade="A6"/>
              <w:bottom w:val="single" w:sz="4" w:space="0" w:color="A6A6A6" w:themeColor="background1" w:themeShade="A6"/>
            </w:tcBorders>
            <w:shd w:val="clear" w:color="auto" w:fill="auto"/>
          </w:tcPr>
          <w:p w14:paraId="2D6EC675" w14:textId="77777777" w:rsidR="00735227" w:rsidRPr="00C41413" w:rsidRDefault="00735227" w:rsidP="008C4014">
            <w:pPr>
              <w:pStyle w:val="TableText"/>
              <w:jc w:val="center"/>
            </w:pPr>
            <w:r w:rsidRPr="00C41413">
              <w:t>3.7</w:t>
            </w:r>
          </w:p>
        </w:tc>
      </w:tr>
      <w:tr w:rsidR="00735227" w:rsidRPr="00C41413" w14:paraId="2B4636C4" w14:textId="77777777" w:rsidTr="008C4014">
        <w:trPr>
          <w:cantSplit/>
        </w:trPr>
        <w:tc>
          <w:tcPr>
            <w:tcW w:w="2180" w:type="dxa"/>
            <w:tcBorders>
              <w:top w:val="single" w:sz="4" w:space="0" w:color="A6A6A6" w:themeColor="background1" w:themeShade="A6"/>
            </w:tcBorders>
            <w:shd w:val="clear" w:color="auto" w:fill="auto"/>
          </w:tcPr>
          <w:p w14:paraId="249ADFDE" w14:textId="77777777" w:rsidR="00735227" w:rsidRPr="00C41413" w:rsidRDefault="00735227" w:rsidP="008C4014">
            <w:pPr>
              <w:pStyle w:val="TableText"/>
            </w:pPr>
            <w:r w:rsidRPr="00C41413">
              <w:t>European/Other</w:t>
            </w:r>
          </w:p>
        </w:tc>
        <w:tc>
          <w:tcPr>
            <w:tcW w:w="2392" w:type="dxa"/>
            <w:tcBorders>
              <w:top w:val="single" w:sz="4" w:space="0" w:color="A6A6A6" w:themeColor="background1" w:themeShade="A6"/>
            </w:tcBorders>
            <w:shd w:val="clear" w:color="auto" w:fill="auto"/>
          </w:tcPr>
          <w:p w14:paraId="648B19FE" w14:textId="77777777" w:rsidR="00735227" w:rsidRPr="00C41413" w:rsidRDefault="00735227" w:rsidP="008C4014">
            <w:pPr>
              <w:pStyle w:val="TableText"/>
              <w:jc w:val="center"/>
            </w:pPr>
            <w:r w:rsidRPr="00C41413">
              <w:t>14.5</w:t>
            </w:r>
          </w:p>
        </w:tc>
        <w:tc>
          <w:tcPr>
            <w:tcW w:w="2392" w:type="dxa"/>
            <w:tcBorders>
              <w:top w:val="single" w:sz="4" w:space="0" w:color="A6A6A6" w:themeColor="background1" w:themeShade="A6"/>
            </w:tcBorders>
            <w:shd w:val="clear" w:color="auto" w:fill="auto"/>
          </w:tcPr>
          <w:p w14:paraId="47711704" w14:textId="77777777" w:rsidR="00735227" w:rsidRPr="00C41413" w:rsidRDefault="00735227" w:rsidP="008C4014">
            <w:pPr>
              <w:pStyle w:val="TableText"/>
              <w:jc w:val="center"/>
            </w:pPr>
            <w:r w:rsidRPr="00C41413">
              <w:t>17.5</w:t>
            </w:r>
          </w:p>
        </w:tc>
        <w:tc>
          <w:tcPr>
            <w:tcW w:w="2392" w:type="dxa"/>
            <w:tcBorders>
              <w:top w:val="single" w:sz="4" w:space="0" w:color="A6A6A6" w:themeColor="background1" w:themeShade="A6"/>
            </w:tcBorders>
            <w:shd w:val="clear" w:color="auto" w:fill="auto"/>
          </w:tcPr>
          <w:p w14:paraId="588CC3F3" w14:textId="77777777" w:rsidR="00735227" w:rsidRPr="00C41413" w:rsidRDefault="00735227" w:rsidP="008C4014">
            <w:pPr>
              <w:pStyle w:val="TableText"/>
              <w:jc w:val="center"/>
            </w:pPr>
            <w:r w:rsidRPr="00C41413">
              <w:t>3.0</w:t>
            </w:r>
          </w:p>
        </w:tc>
      </w:tr>
    </w:tbl>
    <w:p w14:paraId="3FAFCFD9" w14:textId="77777777" w:rsidR="00735227" w:rsidRPr="00D41EBF" w:rsidRDefault="00735227" w:rsidP="008C4014">
      <w:pPr>
        <w:pStyle w:val="TableNote"/>
      </w:pPr>
      <w:r>
        <w:t xml:space="preserve">Source: 2012/13 </w:t>
      </w:r>
      <w:bookmarkStart w:id="157" w:name="_Toc390178303"/>
      <w:r>
        <w:t>NZHS</w:t>
      </w:r>
    </w:p>
    <w:p w14:paraId="56C59F15" w14:textId="77777777" w:rsidR="00735227" w:rsidRDefault="00735227" w:rsidP="008C4014"/>
    <w:p w14:paraId="7674CE01" w14:textId="77777777" w:rsidR="007066D2" w:rsidRDefault="00735227" w:rsidP="008C4014">
      <w:pPr>
        <w:pStyle w:val="Heading2"/>
      </w:pPr>
      <w:bookmarkStart w:id="158" w:name="_Toc400136631"/>
      <w:bookmarkStart w:id="159" w:name="_Toc404091087"/>
      <w:r w:rsidRPr="00B33F26">
        <w:t>How is smoking initiation and uptake changing over time?</w:t>
      </w:r>
      <w:bookmarkEnd w:id="157"/>
      <w:bookmarkEnd w:id="158"/>
      <w:bookmarkEnd w:id="159"/>
    </w:p>
    <w:p w14:paraId="7A0FF359" w14:textId="77777777" w:rsidR="007066D2" w:rsidRDefault="00735227" w:rsidP="008C4014">
      <w:pPr>
        <w:pStyle w:val="Heading3"/>
      </w:pPr>
      <w:r w:rsidRPr="00B33F26">
        <w:t>Later initia</w:t>
      </w:r>
      <w:r>
        <w:t>tion rates</w:t>
      </w:r>
      <w:r w:rsidRPr="00B33F26">
        <w:t xml:space="preserve"> </w:t>
      </w:r>
      <w:r>
        <w:t xml:space="preserve">are </w:t>
      </w:r>
      <w:r w:rsidRPr="00B33F26">
        <w:t>confirmed by the Youth Insights Survey</w:t>
      </w:r>
    </w:p>
    <w:p w14:paraId="50F78841" w14:textId="3F6D3347" w:rsidR="00735227" w:rsidRDefault="00735227" w:rsidP="008C4014">
      <w:r>
        <w:t xml:space="preserve">Table 16 and Figure 15 report the results from the </w:t>
      </w:r>
      <w:r w:rsidR="0088425B">
        <w:t xml:space="preserve">Year 10 </w:t>
      </w:r>
      <w:r w:rsidR="00D93701">
        <w:t>YIS</w:t>
      </w:r>
      <w:r>
        <w:t xml:space="preserve"> for 2006–2012. A statistically significant increase in the mean age of smoking initiation was reported over this period from 11.3 to 11.6 years</w:t>
      </w:r>
      <w:r w:rsidRPr="008C4014">
        <w:rPr>
          <w:rStyle w:val="FootnoteReference"/>
        </w:rPr>
        <w:footnoteReference w:id="6"/>
      </w:r>
      <w:r>
        <w:t xml:space="preserve"> (Table 16). While the mean age of initiation was 11.6 years in 2012, the most common age of first trying a cigarette was 13 years with the next most frequent </w:t>
      </w:r>
      <w:r w:rsidR="0088425B">
        <w:t>ages of initiation being</w:t>
      </w:r>
      <w:r>
        <w:t xml:space="preserve"> 12 and 14</w:t>
      </w:r>
      <w:r w:rsidR="0088425B">
        <w:t xml:space="preserve"> years</w:t>
      </w:r>
      <w:r>
        <w:t xml:space="preserve"> (Figure 15). No</w:t>
      </w:r>
      <w:r w:rsidR="0088425B">
        <w:t xml:space="preserve"> change in this pattern was</w:t>
      </w:r>
      <w:r>
        <w:t xml:space="preserve"> observed over the 2006–2012 period.</w:t>
      </w:r>
    </w:p>
    <w:p w14:paraId="4333073F" w14:textId="77777777" w:rsidR="00735227" w:rsidRDefault="00735227" w:rsidP="008C4014"/>
    <w:p w14:paraId="17A9C95E" w14:textId="77777777" w:rsidR="00735227" w:rsidRPr="009D2F4B" w:rsidRDefault="00735227" w:rsidP="008C4014">
      <w:pPr>
        <w:pStyle w:val="Table"/>
        <w:rPr>
          <w:rFonts w:cs="Arial"/>
          <w:color w:val="1A1A1A"/>
          <w:szCs w:val="24"/>
        </w:rPr>
      </w:pPr>
      <w:bookmarkStart w:id="160" w:name="_Toc399920527"/>
      <w:bookmarkStart w:id="161" w:name="_Toc404091116"/>
      <w:r>
        <w:t xml:space="preserve">Table </w:t>
      </w:r>
      <w:r w:rsidR="008C4014">
        <w:t>16</w:t>
      </w:r>
      <w:r w:rsidRPr="00B8199E">
        <w:t>:</w:t>
      </w:r>
      <w:r w:rsidR="008C4014">
        <w:t xml:space="preserve"> </w:t>
      </w:r>
      <w:r w:rsidRPr="00B8199E">
        <w:t>Mean age of smoking initiation of Year 10 students from 2006 to 2012</w:t>
      </w:r>
      <w:bookmarkEnd w:id="160"/>
      <w:bookmarkEnd w:id="16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560"/>
        <w:gridCol w:w="2976"/>
      </w:tblGrid>
      <w:tr w:rsidR="00735227" w:rsidRPr="008C4014" w14:paraId="3B9606C7" w14:textId="77777777" w:rsidTr="008C4014">
        <w:trPr>
          <w:cantSplit/>
        </w:trPr>
        <w:tc>
          <w:tcPr>
            <w:tcW w:w="1560" w:type="dxa"/>
            <w:tcBorders>
              <w:top w:val="single" w:sz="4" w:space="0" w:color="auto"/>
              <w:bottom w:val="single" w:sz="4" w:space="0" w:color="auto"/>
            </w:tcBorders>
            <w:shd w:val="clear" w:color="auto" w:fill="auto"/>
          </w:tcPr>
          <w:p w14:paraId="679EC794" w14:textId="77777777" w:rsidR="00735227" w:rsidRPr="008C4014" w:rsidRDefault="00735227" w:rsidP="008C4014">
            <w:pPr>
              <w:pStyle w:val="TableText"/>
              <w:jc w:val="center"/>
              <w:rPr>
                <w:b/>
              </w:rPr>
            </w:pPr>
            <w:r w:rsidRPr="008C4014">
              <w:rPr>
                <w:b/>
              </w:rPr>
              <w:t>Year</w:t>
            </w:r>
          </w:p>
        </w:tc>
        <w:tc>
          <w:tcPr>
            <w:tcW w:w="2976" w:type="dxa"/>
            <w:tcBorders>
              <w:top w:val="single" w:sz="4" w:space="0" w:color="auto"/>
              <w:bottom w:val="single" w:sz="4" w:space="0" w:color="auto"/>
            </w:tcBorders>
            <w:shd w:val="clear" w:color="auto" w:fill="auto"/>
          </w:tcPr>
          <w:p w14:paraId="515B6DF4" w14:textId="77777777" w:rsidR="00735227" w:rsidRPr="008C4014" w:rsidRDefault="00735227" w:rsidP="008C4014">
            <w:pPr>
              <w:pStyle w:val="TableText"/>
              <w:jc w:val="center"/>
              <w:rPr>
                <w:b/>
              </w:rPr>
            </w:pPr>
            <w:r w:rsidRPr="008C4014">
              <w:rPr>
                <w:b/>
              </w:rPr>
              <w:t>Mean age (years)</w:t>
            </w:r>
          </w:p>
        </w:tc>
      </w:tr>
      <w:tr w:rsidR="00735227" w:rsidRPr="00C41413" w14:paraId="66522DEC" w14:textId="77777777" w:rsidTr="008C4014">
        <w:trPr>
          <w:cantSplit/>
        </w:trPr>
        <w:tc>
          <w:tcPr>
            <w:tcW w:w="1560" w:type="dxa"/>
            <w:tcBorders>
              <w:top w:val="single" w:sz="4" w:space="0" w:color="auto"/>
              <w:bottom w:val="single" w:sz="4" w:space="0" w:color="A6A6A6" w:themeColor="background1" w:themeShade="A6"/>
            </w:tcBorders>
            <w:shd w:val="clear" w:color="auto" w:fill="auto"/>
          </w:tcPr>
          <w:p w14:paraId="058ED1AB" w14:textId="77777777" w:rsidR="00735227" w:rsidRPr="00C41413" w:rsidRDefault="00735227" w:rsidP="008C4014">
            <w:pPr>
              <w:pStyle w:val="TableText"/>
              <w:jc w:val="center"/>
            </w:pPr>
            <w:r w:rsidRPr="00C41413">
              <w:t>2006</w:t>
            </w:r>
          </w:p>
        </w:tc>
        <w:tc>
          <w:tcPr>
            <w:tcW w:w="2976" w:type="dxa"/>
            <w:tcBorders>
              <w:top w:val="single" w:sz="4" w:space="0" w:color="auto"/>
              <w:bottom w:val="single" w:sz="4" w:space="0" w:color="A6A6A6" w:themeColor="background1" w:themeShade="A6"/>
            </w:tcBorders>
            <w:shd w:val="clear" w:color="auto" w:fill="auto"/>
          </w:tcPr>
          <w:p w14:paraId="530E4AA3" w14:textId="77777777" w:rsidR="00735227" w:rsidRPr="00C41413" w:rsidRDefault="00735227" w:rsidP="008C4014">
            <w:pPr>
              <w:pStyle w:val="TableText"/>
              <w:jc w:val="center"/>
            </w:pPr>
            <w:r w:rsidRPr="00C41413">
              <w:t>11.3</w:t>
            </w:r>
          </w:p>
        </w:tc>
      </w:tr>
      <w:tr w:rsidR="00735227" w:rsidRPr="00C41413" w14:paraId="5AC55634" w14:textId="77777777" w:rsidTr="008C4014">
        <w:trPr>
          <w:cantSplit/>
        </w:trPr>
        <w:tc>
          <w:tcPr>
            <w:tcW w:w="1560" w:type="dxa"/>
            <w:tcBorders>
              <w:top w:val="single" w:sz="4" w:space="0" w:color="A6A6A6" w:themeColor="background1" w:themeShade="A6"/>
              <w:bottom w:val="single" w:sz="4" w:space="0" w:color="A6A6A6" w:themeColor="background1" w:themeShade="A6"/>
            </w:tcBorders>
            <w:shd w:val="clear" w:color="auto" w:fill="auto"/>
          </w:tcPr>
          <w:p w14:paraId="79B8A759" w14:textId="77777777" w:rsidR="00735227" w:rsidRPr="00C41413" w:rsidRDefault="00735227" w:rsidP="008C4014">
            <w:pPr>
              <w:pStyle w:val="TableText"/>
              <w:jc w:val="center"/>
            </w:pPr>
            <w:r w:rsidRPr="00C41413">
              <w:t>2008</w:t>
            </w:r>
          </w:p>
        </w:tc>
        <w:tc>
          <w:tcPr>
            <w:tcW w:w="2976" w:type="dxa"/>
            <w:tcBorders>
              <w:top w:val="single" w:sz="4" w:space="0" w:color="A6A6A6" w:themeColor="background1" w:themeShade="A6"/>
              <w:bottom w:val="single" w:sz="4" w:space="0" w:color="A6A6A6" w:themeColor="background1" w:themeShade="A6"/>
            </w:tcBorders>
            <w:shd w:val="clear" w:color="auto" w:fill="auto"/>
          </w:tcPr>
          <w:p w14:paraId="3BF901C2" w14:textId="77777777" w:rsidR="00735227" w:rsidRPr="00C41413" w:rsidRDefault="00735227" w:rsidP="008C4014">
            <w:pPr>
              <w:pStyle w:val="TableText"/>
              <w:jc w:val="center"/>
            </w:pPr>
            <w:r w:rsidRPr="00C41413">
              <w:t>11.4</w:t>
            </w:r>
          </w:p>
        </w:tc>
      </w:tr>
      <w:tr w:rsidR="00735227" w:rsidRPr="00C41413" w14:paraId="2E57D50F" w14:textId="77777777" w:rsidTr="008C4014">
        <w:trPr>
          <w:cantSplit/>
        </w:trPr>
        <w:tc>
          <w:tcPr>
            <w:tcW w:w="1560" w:type="dxa"/>
            <w:tcBorders>
              <w:top w:val="single" w:sz="4" w:space="0" w:color="A6A6A6" w:themeColor="background1" w:themeShade="A6"/>
              <w:bottom w:val="single" w:sz="4" w:space="0" w:color="A6A6A6" w:themeColor="background1" w:themeShade="A6"/>
            </w:tcBorders>
            <w:shd w:val="clear" w:color="auto" w:fill="auto"/>
          </w:tcPr>
          <w:p w14:paraId="5F88E3DA" w14:textId="77777777" w:rsidR="00735227" w:rsidRPr="00C41413" w:rsidRDefault="00735227" w:rsidP="008C4014">
            <w:pPr>
              <w:pStyle w:val="TableText"/>
              <w:jc w:val="center"/>
            </w:pPr>
            <w:r w:rsidRPr="00C41413">
              <w:t>2010</w:t>
            </w:r>
          </w:p>
        </w:tc>
        <w:tc>
          <w:tcPr>
            <w:tcW w:w="2976" w:type="dxa"/>
            <w:tcBorders>
              <w:top w:val="single" w:sz="4" w:space="0" w:color="A6A6A6" w:themeColor="background1" w:themeShade="A6"/>
              <w:bottom w:val="single" w:sz="4" w:space="0" w:color="A6A6A6" w:themeColor="background1" w:themeShade="A6"/>
            </w:tcBorders>
            <w:shd w:val="clear" w:color="auto" w:fill="auto"/>
          </w:tcPr>
          <w:p w14:paraId="219A0FAB" w14:textId="77777777" w:rsidR="00735227" w:rsidRPr="00C41413" w:rsidRDefault="00735227" w:rsidP="008C4014">
            <w:pPr>
              <w:pStyle w:val="TableText"/>
              <w:jc w:val="center"/>
            </w:pPr>
            <w:r w:rsidRPr="00C41413">
              <w:t>11.6</w:t>
            </w:r>
          </w:p>
        </w:tc>
      </w:tr>
      <w:tr w:rsidR="00735227" w:rsidRPr="00C41413" w14:paraId="29AF1BE0" w14:textId="77777777" w:rsidTr="008C4014">
        <w:trPr>
          <w:cantSplit/>
        </w:trPr>
        <w:tc>
          <w:tcPr>
            <w:tcW w:w="1560" w:type="dxa"/>
            <w:tcBorders>
              <w:top w:val="single" w:sz="4" w:space="0" w:color="A6A6A6" w:themeColor="background1" w:themeShade="A6"/>
            </w:tcBorders>
            <w:shd w:val="clear" w:color="auto" w:fill="auto"/>
          </w:tcPr>
          <w:p w14:paraId="7A95744A" w14:textId="77777777" w:rsidR="00735227" w:rsidRPr="00C41413" w:rsidRDefault="00735227" w:rsidP="008C4014">
            <w:pPr>
              <w:pStyle w:val="TableText"/>
              <w:jc w:val="center"/>
            </w:pPr>
            <w:r w:rsidRPr="00C41413">
              <w:t>2012</w:t>
            </w:r>
          </w:p>
        </w:tc>
        <w:tc>
          <w:tcPr>
            <w:tcW w:w="2976" w:type="dxa"/>
            <w:tcBorders>
              <w:top w:val="single" w:sz="4" w:space="0" w:color="A6A6A6" w:themeColor="background1" w:themeShade="A6"/>
            </w:tcBorders>
            <w:shd w:val="clear" w:color="auto" w:fill="auto"/>
          </w:tcPr>
          <w:p w14:paraId="529B44E6" w14:textId="77777777" w:rsidR="00735227" w:rsidRPr="00C41413" w:rsidRDefault="00735227" w:rsidP="008C4014">
            <w:pPr>
              <w:pStyle w:val="TableText"/>
              <w:jc w:val="center"/>
            </w:pPr>
            <w:r w:rsidRPr="00C41413">
              <w:t>11.6</w:t>
            </w:r>
          </w:p>
        </w:tc>
      </w:tr>
    </w:tbl>
    <w:p w14:paraId="3DCD1E91" w14:textId="77777777" w:rsidR="007066D2" w:rsidRDefault="00735227" w:rsidP="008C4014">
      <w:pPr>
        <w:pStyle w:val="TableNote"/>
        <w:ind w:right="4820"/>
      </w:pPr>
      <w:r>
        <w:t>Source: Youth Insights Survey 2006, 2008, 2010, 2012.</w:t>
      </w:r>
    </w:p>
    <w:p w14:paraId="011A7161" w14:textId="77777777" w:rsidR="00735227" w:rsidRDefault="00735227" w:rsidP="008C4014"/>
    <w:p w14:paraId="6E7C3B66" w14:textId="77777777" w:rsidR="00735227" w:rsidRDefault="00735227" w:rsidP="008C4014">
      <w:pPr>
        <w:pStyle w:val="Figure"/>
      </w:pPr>
      <w:bookmarkStart w:id="162" w:name="_Toc399920498"/>
      <w:bookmarkStart w:id="163" w:name="_Toc404258424"/>
      <w:r>
        <w:t xml:space="preserve">Figure </w:t>
      </w:r>
      <w:r w:rsidR="008C4014">
        <w:t>15</w:t>
      </w:r>
      <w:r w:rsidRPr="00E468AC">
        <w:t>:</w:t>
      </w:r>
      <w:r w:rsidR="008C4014">
        <w:t xml:space="preserve"> </w:t>
      </w:r>
      <w:r w:rsidR="00B7465A">
        <w:t>Distribution of a</w:t>
      </w:r>
      <w:r>
        <w:t>ge of</w:t>
      </w:r>
      <w:r w:rsidRPr="00E468AC">
        <w:t xml:space="preserve"> sm</w:t>
      </w:r>
      <w:r w:rsidR="00B7465A">
        <w:t xml:space="preserve">oking initiation </w:t>
      </w:r>
      <w:r>
        <w:t>for</w:t>
      </w:r>
      <w:r w:rsidRPr="00E468AC">
        <w:t xml:space="preserve"> Year 10 st</w:t>
      </w:r>
      <w:r>
        <w:t xml:space="preserve">udents, </w:t>
      </w:r>
      <w:r w:rsidRPr="00E468AC">
        <w:t>2012</w:t>
      </w:r>
      <w:bookmarkEnd w:id="162"/>
      <w:bookmarkEnd w:id="163"/>
    </w:p>
    <w:p w14:paraId="2EFFBBDB" w14:textId="77777777" w:rsidR="00735227" w:rsidRDefault="00404F13" w:rsidP="00404F13">
      <w:r w:rsidRPr="00404F13">
        <w:rPr>
          <w:noProof/>
          <w:lang w:eastAsia="en-NZ"/>
        </w:rPr>
        <w:drawing>
          <wp:inline distT="0" distB="0" distL="0" distR="0" wp14:anchorId="7264FEA7" wp14:editId="278A4C33">
            <wp:extent cx="4397433" cy="2881076"/>
            <wp:effectExtent l="0" t="0" r="3175" b="0"/>
            <wp:docPr id="48" name="Picture 48" title="Figure 15: Distribution of age of smoking initiation distribution for Year 10 student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r="18847" b="12844"/>
                    <a:stretch/>
                  </pic:blipFill>
                  <pic:spPr bwMode="auto">
                    <a:xfrm>
                      <a:off x="0" y="0"/>
                      <a:ext cx="4396904" cy="2880729"/>
                    </a:xfrm>
                    <a:prstGeom prst="rect">
                      <a:avLst/>
                    </a:prstGeom>
                    <a:ln>
                      <a:noFill/>
                    </a:ln>
                    <a:extLst>
                      <a:ext uri="{53640926-AAD7-44D8-BBD7-CCE9431645EC}">
                        <a14:shadowObscured xmlns:a14="http://schemas.microsoft.com/office/drawing/2010/main"/>
                      </a:ext>
                    </a:extLst>
                  </pic:spPr>
                </pic:pic>
              </a:graphicData>
            </a:graphic>
          </wp:inline>
        </w:drawing>
      </w:r>
    </w:p>
    <w:p w14:paraId="23D6930F" w14:textId="77777777" w:rsidR="00735227" w:rsidRDefault="00735227" w:rsidP="008C4014">
      <w:pPr>
        <w:pStyle w:val="Source"/>
      </w:pPr>
      <w:r>
        <w:t>Source: Youth Insights Survey 2012</w:t>
      </w:r>
    </w:p>
    <w:p w14:paraId="79D45966" w14:textId="77777777" w:rsidR="00634A48" w:rsidRPr="00634A48" w:rsidRDefault="00634A48" w:rsidP="00634A48"/>
    <w:p w14:paraId="62768BAC" w14:textId="77777777" w:rsidR="00735227" w:rsidRPr="004B7288" w:rsidRDefault="00735227" w:rsidP="008C4014">
      <w:pPr>
        <w:pStyle w:val="Heading1"/>
        <w:rPr>
          <w:u w:val="single"/>
        </w:rPr>
      </w:pPr>
      <w:r>
        <w:rPr>
          <w:u w:val="single"/>
        </w:rPr>
        <w:br w:type="page"/>
      </w:r>
      <w:bookmarkStart w:id="164" w:name="_Toc400136632"/>
      <w:bookmarkStart w:id="165" w:name="_Toc404091088"/>
      <w:r w:rsidRPr="004B7288">
        <w:t xml:space="preserve">Section 4: Smoking </w:t>
      </w:r>
      <w:r>
        <w:t>c</w:t>
      </w:r>
      <w:r w:rsidRPr="004B7288">
        <w:t>essation</w:t>
      </w:r>
      <w:bookmarkEnd w:id="164"/>
      <w:bookmarkEnd w:id="165"/>
    </w:p>
    <w:p w14:paraId="78D93BCB" w14:textId="77777777" w:rsidR="00735227" w:rsidRPr="00B33F26" w:rsidRDefault="00735227" w:rsidP="008C4014">
      <w:pPr>
        <w:pStyle w:val="Heading2"/>
      </w:pPr>
      <w:bookmarkStart w:id="166" w:name="_Toc390178304"/>
      <w:bookmarkStart w:id="167" w:name="_Toc400136633"/>
      <w:bookmarkStart w:id="168" w:name="_Toc404091089"/>
      <w:r>
        <w:t>Quitting: who, why and how</w:t>
      </w:r>
      <w:r w:rsidRPr="00B33F26">
        <w:t>?</w:t>
      </w:r>
      <w:bookmarkEnd w:id="166"/>
      <w:bookmarkEnd w:id="167"/>
      <w:bookmarkEnd w:id="168"/>
    </w:p>
    <w:p w14:paraId="40D7D3AE" w14:textId="77777777" w:rsidR="00FE790A" w:rsidRPr="004B7288" w:rsidRDefault="00FE790A" w:rsidP="00FE790A">
      <w:pPr>
        <w:pStyle w:val="BoxHeading"/>
      </w:pPr>
      <w:bookmarkStart w:id="169" w:name="_Toc400136634"/>
      <w:r w:rsidRPr="004B7288">
        <w:t>Key findings</w:t>
      </w:r>
      <w:bookmarkEnd w:id="169"/>
    </w:p>
    <w:p w14:paraId="32E09AA5" w14:textId="2A32C9CD" w:rsidR="00FE790A" w:rsidRPr="005B74CD" w:rsidRDefault="00FE790A" w:rsidP="00FE790A">
      <w:pPr>
        <w:pStyle w:val="BoxBullet"/>
      </w:pPr>
      <w:r>
        <w:t xml:space="preserve">The majority of smokers quit smoking </w:t>
      </w:r>
      <w:r w:rsidR="0088425B">
        <w:t>for some period in the past year</w:t>
      </w:r>
      <w:r>
        <w:t>.</w:t>
      </w:r>
    </w:p>
    <w:p w14:paraId="6D997D03" w14:textId="77777777" w:rsidR="00FE790A" w:rsidRDefault="00FE790A" w:rsidP="00FE790A">
      <w:pPr>
        <w:pStyle w:val="BoxBullet"/>
      </w:pPr>
      <w:r w:rsidRPr="005B74CD">
        <w:t xml:space="preserve">Health concern was the most common reason </w:t>
      </w:r>
      <w:r>
        <w:t xml:space="preserve">given </w:t>
      </w:r>
      <w:r w:rsidRPr="005B74CD">
        <w:t>for quit attempts</w:t>
      </w:r>
      <w:r>
        <w:t>.</w:t>
      </w:r>
    </w:p>
    <w:p w14:paraId="345DCA76" w14:textId="77777777" w:rsidR="00FE790A" w:rsidRDefault="00FE790A" w:rsidP="00FE790A">
      <w:pPr>
        <w:pStyle w:val="BoxBullet"/>
      </w:pPr>
      <w:r w:rsidRPr="00583025">
        <w:t xml:space="preserve">Half of smokers who </w:t>
      </w:r>
      <w:r>
        <w:t>made a quit attempt</w:t>
      </w:r>
      <w:r w:rsidRPr="00583025">
        <w:t xml:space="preserve"> had used some type of advice or product</w:t>
      </w:r>
      <w:r>
        <w:t>.</w:t>
      </w:r>
    </w:p>
    <w:p w14:paraId="0D2CD9C7" w14:textId="77777777" w:rsidR="00FE790A" w:rsidRPr="005B74CD" w:rsidRDefault="00FE790A" w:rsidP="00FE790A">
      <w:pPr>
        <w:pStyle w:val="BoxBullet"/>
      </w:pPr>
      <w:r w:rsidRPr="005B74CD">
        <w:t xml:space="preserve">Nicotine replacement therapy </w:t>
      </w:r>
      <w:r>
        <w:t xml:space="preserve">(NRT) </w:t>
      </w:r>
      <w:r w:rsidRPr="005B74CD">
        <w:t>was the most used cessation aid</w:t>
      </w:r>
      <w:r>
        <w:t>.</w:t>
      </w:r>
    </w:p>
    <w:p w14:paraId="0CAB50A8" w14:textId="77777777" w:rsidR="00FE790A" w:rsidRPr="005B74CD" w:rsidRDefault="00FE790A" w:rsidP="00FE790A">
      <w:pPr>
        <w:pStyle w:val="BoxBullet"/>
      </w:pPr>
      <w:r w:rsidRPr="005B74CD">
        <w:t xml:space="preserve">Māori smokers were the highest users of NRT </w:t>
      </w:r>
      <w:r>
        <w:t xml:space="preserve">among ethnic groups </w:t>
      </w:r>
      <w:r w:rsidRPr="005B74CD">
        <w:t>during a recent quit attempt</w:t>
      </w:r>
      <w:r>
        <w:t>.</w:t>
      </w:r>
    </w:p>
    <w:p w14:paraId="2341FAB3" w14:textId="77777777" w:rsidR="00FE790A" w:rsidRDefault="00FE790A" w:rsidP="00FE790A">
      <w:pPr>
        <w:pStyle w:val="BoxBullet"/>
      </w:pPr>
      <w:r>
        <w:t>Over half (</w:t>
      </w:r>
      <w:r w:rsidRPr="005B74CD">
        <w:t>56%</w:t>
      </w:r>
      <w:r>
        <w:t>)</w:t>
      </w:r>
      <w:r w:rsidRPr="005B74CD">
        <w:t xml:space="preserve"> of smokers who </w:t>
      </w:r>
      <w:r>
        <w:t>saw</w:t>
      </w:r>
      <w:r w:rsidRPr="005B74CD">
        <w:t xml:space="preserve"> a GP in the last year received </w:t>
      </w:r>
      <w:r w:rsidRPr="005B74CD">
        <w:rPr>
          <w:u w:val="single"/>
        </w:rPr>
        <w:t>B</w:t>
      </w:r>
      <w:r w:rsidRPr="005B74CD">
        <w:t>rief cessation advice</w:t>
      </w:r>
      <w:r>
        <w:t>.</w:t>
      </w:r>
    </w:p>
    <w:p w14:paraId="353B6B50" w14:textId="3155B49D" w:rsidR="00FE790A" w:rsidRPr="00FE790A" w:rsidRDefault="00FE790A" w:rsidP="00FE790A">
      <w:pPr>
        <w:pStyle w:val="BoxBullet"/>
      </w:pPr>
      <w:r w:rsidRPr="005B74CD">
        <w:t>Two</w:t>
      </w:r>
      <w:r>
        <w:t>-</w:t>
      </w:r>
      <w:r w:rsidRPr="005B74CD">
        <w:t xml:space="preserve">thirds of smokers admitted to a public hospital received </w:t>
      </w:r>
      <w:r w:rsidRPr="005B74CD">
        <w:rPr>
          <w:u w:val="single"/>
        </w:rPr>
        <w:t>B</w:t>
      </w:r>
      <w:r w:rsidRPr="005B74CD">
        <w:t xml:space="preserve">rief cessation advice </w:t>
      </w:r>
      <w:r>
        <w:t>from</w:t>
      </w:r>
      <w:r w:rsidRPr="005B74CD">
        <w:t xml:space="preserve"> a health</w:t>
      </w:r>
      <w:r>
        <w:t xml:space="preserve"> </w:t>
      </w:r>
      <w:r w:rsidRPr="005B74CD">
        <w:t>care professional</w:t>
      </w:r>
      <w:r>
        <w:t>.</w:t>
      </w:r>
    </w:p>
    <w:p w14:paraId="43909E13" w14:textId="77777777" w:rsidR="00735227" w:rsidRDefault="00735227" w:rsidP="00FE790A"/>
    <w:p w14:paraId="1E0D19B8" w14:textId="77777777" w:rsidR="00735227" w:rsidRPr="00AA2676" w:rsidRDefault="00735227" w:rsidP="00FE790A">
      <w:r w:rsidRPr="00AA2676">
        <w:t xml:space="preserve">Quitting smoking has immediate health benefits: it reduces the risk of </w:t>
      </w:r>
      <w:r>
        <w:t xml:space="preserve">smoking related disease </w:t>
      </w:r>
      <w:r w:rsidRPr="00AA2676">
        <w:t>and impro</w:t>
      </w:r>
      <w:r>
        <w:t xml:space="preserve">ves general health and wellbeing (US Department of </w:t>
      </w:r>
      <w:r w:rsidRPr="00370208">
        <w:rPr>
          <w:rFonts w:cs="Arial"/>
          <w:szCs w:val="24"/>
        </w:rPr>
        <w:t>Health and Human Services</w:t>
      </w:r>
      <w:r>
        <w:rPr>
          <w:rFonts w:cs="Arial"/>
          <w:szCs w:val="24"/>
        </w:rPr>
        <w:t xml:space="preserve"> 2006).</w:t>
      </w:r>
    </w:p>
    <w:p w14:paraId="77A06103" w14:textId="77777777" w:rsidR="00735227" w:rsidRDefault="00735227" w:rsidP="00FE790A"/>
    <w:p w14:paraId="5EB6A0A1" w14:textId="651DECAD" w:rsidR="00735227" w:rsidRDefault="00735227" w:rsidP="00FE790A">
      <w:r>
        <w:t>This section presents results about the smoking cessation behaviour of smokers, including quit attempts as well as reasons for quitting.</w:t>
      </w:r>
    </w:p>
    <w:p w14:paraId="1F3D3A19" w14:textId="77777777" w:rsidR="00735227" w:rsidRDefault="00735227" w:rsidP="00FE790A">
      <w:bookmarkStart w:id="170" w:name="_Toc390178312"/>
      <w:bookmarkStart w:id="171" w:name="_Toc390178305"/>
    </w:p>
    <w:p w14:paraId="0AEAA35B" w14:textId="77777777" w:rsidR="00735227" w:rsidRPr="009D7820" w:rsidRDefault="00735227" w:rsidP="00FE790A">
      <w:pPr>
        <w:pStyle w:val="Heading2"/>
      </w:pPr>
      <w:bookmarkStart w:id="172" w:name="_Toc400136635"/>
      <w:bookmarkStart w:id="173" w:name="_Toc404091090"/>
      <w:r w:rsidRPr="003130D7">
        <w:t>Successful quitting</w:t>
      </w:r>
      <w:bookmarkEnd w:id="170"/>
      <w:bookmarkEnd w:id="172"/>
      <w:bookmarkEnd w:id="173"/>
    </w:p>
    <w:p w14:paraId="66899E77" w14:textId="065CA694" w:rsidR="007066D2" w:rsidRDefault="00735227" w:rsidP="00FE790A">
      <w:r>
        <w:t>Successful quitting has been define</w:t>
      </w:r>
      <w:r w:rsidR="0088425B">
        <w:t>d in this report as</w:t>
      </w:r>
      <w:r>
        <w:t xml:space="preserve"> respondents who had quit smoking between a month and a year from when they participated in the survey and had remained abstinent.</w:t>
      </w:r>
    </w:p>
    <w:p w14:paraId="48913537" w14:textId="77777777" w:rsidR="00735227" w:rsidRDefault="00735227" w:rsidP="00FE790A"/>
    <w:p w14:paraId="05B34DBC" w14:textId="4444BD82" w:rsidR="007066D2" w:rsidRDefault="00735227" w:rsidP="00FE790A">
      <w:r>
        <w:t>Approximately 81,500 smokers (11%) successfully quit</w:t>
      </w:r>
      <w:r w:rsidR="0088425B">
        <w:t xml:space="preserve"> smoking, according to this</w:t>
      </w:r>
      <w:r>
        <w:t xml:space="preserve"> definition, in</w:t>
      </w:r>
      <w:r w:rsidR="00EF1A37">
        <w:t> </w:t>
      </w:r>
      <w:r>
        <w:t>2012/13.</w:t>
      </w:r>
    </w:p>
    <w:p w14:paraId="4AB9D51A" w14:textId="77777777" w:rsidR="00735227" w:rsidRDefault="00735227" w:rsidP="00FE790A"/>
    <w:p w14:paraId="56311BF0" w14:textId="77777777" w:rsidR="007066D2" w:rsidRDefault="00735227" w:rsidP="00FE790A">
      <w:r>
        <w:t>Successful quitting was more likely to occur among 20–24 year olds and 65–74 year olds (Figure</w:t>
      </w:r>
      <w:r w:rsidR="00FE790A">
        <w:t> </w:t>
      </w:r>
      <w:r>
        <w:t>16). Conversely, people at either end of the age spectrum (15–19 and 75+ year olds) were the least likely to successfully quit smoking.</w:t>
      </w:r>
    </w:p>
    <w:p w14:paraId="3509A9B1" w14:textId="77777777" w:rsidR="00735227" w:rsidRDefault="00735227" w:rsidP="00FE790A"/>
    <w:p w14:paraId="4EBFCD88" w14:textId="77777777" w:rsidR="00735227" w:rsidRDefault="00735227" w:rsidP="00FE790A">
      <w:pPr>
        <w:pStyle w:val="Figure"/>
      </w:pPr>
      <w:bookmarkStart w:id="174" w:name="_Toc399920499"/>
      <w:bookmarkStart w:id="175" w:name="_Toc404258425"/>
      <w:r>
        <w:t xml:space="preserve">Figure </w:t>
      </w:r>
      <w:r w:rsidR="00FE790A">
        <w:t>16</w:t>
      </w:r>
      <w:r w:rsidRPr="009C2AC1">
        <w:t>: Successful quitting by age group, 2012/13</w:t>
      </w:r>
      <w:bookmarkEnd w:id="174"/>
      <w:bookmarkEnd w:id="175"/>
    </w:p>
    <w:p w14:paraId="2F3CB944" w14:textId="77777777" w:rsidR="00735227" w:rsidRPr="00184C91" w:rsidRDefault="00210F60" w:rsidP="00210F60">
      <w:pPr>
        <w:rPr>
          <w:lang w:eastAsia="en-US"/>
        </w:rPr>
      </w:pPr>
      <w:r w:rsidRPr="00210F60">
        <w:rPr>
          <w:noProof/>
          <w:lang w:eastAsia="en-NZ"/>
        </w:rPr>
        <w:drawing>
          <wp:inline distT="0" distB="0" distL="0" distR="0" wp14:anchorId="7F99F9FE" wp14:editId="511891B0">
            <wp:extent cx="4380808" cy="2561193"/>
            <wp:effectExtent l="0" t="0" r="1270" b="0"/>
            <wp:docPr id="4" name="Picture 4" title="Figure 16: Successful quitting by age group,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r="10732" b="14449"/>
                    <a:stretch/>
                  </pic:blipFill>
                  <pic:spPr bwMode="auto">
                    <a:xfrm>
                      <a:off x="0" y="0"/>
                      <a:ext cx="4380281" cy="2560885"/>
                    </a:xfrm>
                    <a:prstGeom prst="rect">
                      <a:avLst/>
                    </a:prstGeom>
                    <a:ln>
                      <a:noFill/>
                    </a:ln>
                    <a:extLst>
                      <a:ext uri="{53640926-AAD7-44D8-BBD7-CCE9431645EC}">
                        <a14:shadowObscured xmlns:a14="http://schemas.microsoft.com/office/drawing/2010/main"/>
                      </a:ext>
                    </a:extLst>
                  </pic:spPr>
                </pic:pic>
              </a:graphicData>
            </a:graphic>
          </wp:inline>
        </w:drawing>
      </w:r>
    </w:p>
    <w:p w14:paraId="479C3DE5" w14:textId="77777777" w:rsidR="00735227" w:rsidRPr="00A627BD" w:rsidRDefault="00735227" w:rsidP="00FE790A">
      <w:pPr>
        <w:pStyle w:val="Source"/>
      </w:pPr>
      <w:r w:rsidRPr="00A627BD">
        <w:t xml:space="preserve">Source: 2012/13 </w:t>
      </w:r>
      <w:r>
        <w:t>NZHS</w:t>
      </w:r>
    </w:p>
    <w:p w14:paraId="4FFF4C03" w14:textId="77777777" w:rsidR="00735227" w:rsidRDefault="00735227" w:rsidP="00FE790A"/>
    <w:p w14:paraId="1013F66B" w14:textId="77777777" w:rsidR="00735227" w:rsidRDefault="00735227" w:rsidP="00FE790A">
      <w:r>
        <w:t>Time-trend analysis showed an increase in the prevalence of people who had successfully quit smoking, from 8% in 2006 to 11% in 2012/13.</w:t>
      </w:r>
    </w:p>
    <w:p w14:paraId="68E12CDA" w14:textId="77777777" w:rsidR="00735227" w:rsidRDefault="00735227" w:rsidP="00FE790A"/>
    <w:p w14:paraId="21829A10" w14:textId="77777777" w:rsidR="007066D2" w:rsidRDefault="00735227" w:rsidP="00FE790A">
      <w:pPr>
        <w:pStyle w:val="Heading2"/>
      </w:pPr>
      <w:bookmarkStart w:id="176" w:name="_Toc400136636"/>
      <w:bookmarkStart w:id="177" w:name="_Toc404091091"/>
      <w:r w:rsidRPr="00583025">
        <w:t>Which smokers are quitting?</w:t>
      </w:r>
      <w:bookmarkEnd w:id="171"/>
      <w:bookmarkEnd w:id="176"/>
      <w:bookmarkEnd w:id="177"/>
    </w:p>
    <w:p w14:paraId="2A5D1CC0" w14:textId="77777777" w:rsidR="007066D2" w:rsidRDefault="00735227" w:rsidP="00FE790A">
      <w:r>
        <w:t>Current smokers and ex-smokers who had quit smoking within the previous 12 months were asked a series of questions, including: whether they had considered quitting smoking, tried to quit and/or made a quit attempt and how long they had been smokefree.</w:t>
      </w:r>
    </w:p>
    <w:p w14:paraId="5124A96C" w14:textId="77777777" w:rsidR="00735227" w:rsidRDefault="00735227" w:rsidP="00FE790A"/>
    <w:p w14:paraId="06846C81" w14:textId="77777777" w:rsidR="007066D2" w:rsidRDefault="00735227" w:rsidP="00FE790A">
      <w:r>
        <w:t>The majority of smokers quit for some period in the past 12 months. Almost 64% of current smokers had quit smoking between 24 hours and one week in the past 12 months. There were no significant differences between age groups in the smokers who had quit smoking for at least 24</w:t>
      </w:r>
      <w:r w:rsidR="00FE790A">
        <w:t> </w:t>
      </w:r>
      <w:r>
        <w:t>hours across all age groups.</w:t>
      </w:r>
    </w:p>
    <w:p w14:paraId="2143434B" w14:textId="77777777" w:rsidR="00735227" w:rsidRDefault="00735227" w:rsidP="00FE790A"/>
    <w:p w14:paraId="2C795117" w14:textId="77777777" w:rsidR="00735227" w:rsidRDefault="00735227" w:rsidP="00FE790A">
      <w:r>
        <w:t>Almost six out of ten smokers (58%) had quit smoking for at least a week in the past 12 months. Males (62%) were significantly more likely than females (54%) to have quit for at least a week, after adjusting for age differences.</w:t>
      </w:r>
    </w:p>
    <w:p w14:paraId="4528A5B7" w14:textId="77777777" w:rsidR="00735227" w:rsidRDefault="00735227" w:rsidP="00FE790A">
      <w:bookmarkStart w:id="178" w:name="_Toc390178307"/>
    </w:p>
    <w:p w14:paraId="436A2676" w14:textId="77777777" w:rsidR="00735227" w:rsidRPr="00583025" w:rsidRDefault="00735227" w:rsidP="00FE790A">
      <w:pPr>
        <w:pStyle w:val="Heading2"/>
      </w:pPr>
      <w:bookmarkStart w:id="179" w:name="_Toc400136637"/>
      <w:bookmarkStart w:id="180" w:name="_Toc404091092"/>
      <w:r w:rsidRPr="00583025">
        <w:t>Why are smokers quitting?</w:t>
      </w:r>
      <w:bookmarkEnd w:id="178"/>
      <w:bookmarkEnd w:id="179"/>
      <w:bookmarkEnd w:id="180"/>
    </w:p>
    <w:p w14:paraId="5A52538F" w14:textId="77777777" w:rsidR="00735227" w:rsidRPr="00583025" w:rsidRDefault="00735227" w:rsidP="00FE790A">
      <w:pPr>
        <w:pStyle w:val="Heading3"/>
      </w:pPr>
      <w:r w:rsidRPr="00583025">
        <w:t>Concern for their own health was the most common reason for smokers making a quit attempt</w:t>
      </w:r>
    </w:p>
    <w:p w14:paraId="235C74DC" w14:textId="3F34EC46" w:rsidR="007066D2" w:rsidRDefault="00735227" w:rsidP="00FE790A">
      <w:r>
        <w:t xml:space="preserve">When asked to state the most common reason for making a quit attempt, over two-thirds (69%) of both male and female recent quit attempters responded </w:t>
      </w:r>
      <w:r w:rsidR="00AA2408">
        <w:t>‘</w:t>
      </w:r>
      <w:r>
        <w:t>for their own health</w:t>
      </w:r>
      <w:r w:rsidR="00AA2408">
        <w:t>’</w:t>
      </w:r>
      <w:r>
        <w:t xml:space="preserve"> (Figure 17). This was a prompted question, and multiple responses were possible. After the age of 65, the cost of smoking </w:t>
      </w:r>
      <w:r w:rsidR="004328F0">
        <w:t>(</w:t>
      </w:r>
      <w:r w:rsidR="00AA2408">
        <w:t>‘</w:t>
      </w:r>
      <w:r w:rsidR="004328F0">
        <w:t>too expensive</w:t>
      </w:r>
      <w:r w:rsidR="00AA2408">
        <w:t>’</w:t>
      </w:r>
      <w:r w:rsidR="004328F0">
        <w:t xml:space="preserve">) </w:t>
      </w:r>
      <w:r>
        <w:t>was a more common reason given for attempting to quit. Although the cost of smoking</w:t>
      </w:r>
      <w:r w:rsidR="00AA2408">
        <w:t xml:space="preserve"> </w:t>
      </w:r>
      <w:r>
        <w:t xml:space="preserve">was the second most common reason given, regardless of sex, fewer than 40% of respondents identified this as a main reason. The least common reason given for quitting was </w:t>
      </w:r>
      <w:r w:rsidR="00AA2408">
        <w:t>‘</w:t>
      </w:r>
      <w:r>
        <w:t>pregnancy</w:t>
      </w:r>
      <w:r w:rsidR="00AA2408">
        <w:t>’</w:t>
      </w:r>
      <w:r>
        <w:t>, with less than 10% of females and 1% of males identifying this as a significant reason for quitting smoking.</w:t>
      </w:r>
    </w:p>
    <w:p w14:paraId="2CFBE295" w14:textId="77777777" w:rsidR="00735227" w:rsidRDefault="00735227" w:rsidP="00FE790A"/>
    <w:p w14:paraId="76822C7F" w14:textId="0DB0EFAF" w:rsidR="007066D2" w:rsidRDefault="004328F0" w:rsidP="00FE790A">
      <w:r>
        <w:t xml:space="preserve">After adjusting for age and </w:t>
      </w:r>
      <w:r w:rsidR="00735227">
        <w:t xml:space="preserve">regardless of neighbourhood deprivation, the three most common reasons identified for making a quit attempt were: </w:t>
      </w:r>
      <w:r w:rsidR="00AA2408">
        <w:t>‘</w:t>
      </w:r>
      <w:r w:rsidR="00735227">
        <w:t>for own health</w:t>
      </w:r>
      <w:r w:rsidR="00AA2408">
        <w:t>’</w:t>
      </w:r>
      <w:r w:rsidR="00735227">
        <w:t xml:space="preserve">, </w:t>
      </w:r>
      <w:r w:rsidR="00AA2408">
        <w:t>‘</w:t>
      </w:r>
      <w:r w:rsidR="00735227">
        <w:t>too expensive</w:t>
      </w:r>
      <w:r w:rsidR="00AA2408">
        <w:t>’</w:t>
      </w:r>
      <w:r w:rsidR="00735227">
        <w:t xml:space="preserve"> and </w:t>
      </w:r>
      <w:r w:rsidR="00AA2408">
        <w:t>‘</w:t>
      </w:r>
      <w:r w:rsidR="00735227">
        <w:t>sick of smoking</w:t>
      </w:r>
      <w:r w:rsidR="00AA2408">
        <w:t>’</w:t>
      </w:r>
      <w:r w:rsidR="00735227">
        <w:t>.</w:t>
      </w:r>
      <w:r>
        <w:t xml:space="preserve"> Regardless of ethnicity t</w:t>
      </w:r>
      <w:r w:rsidR="00735227">
        <w:t xml:space="preserve">he reasons for attempting to quit were the </w:t>
      </w:r>
      <w:r>
        <w:t>same.</w:t>
      </w:r>
    </w:p>
    <w:p w14:paraId="7AF2096E" w14:textId="77777777" w:rsidR="00735227" w:rsidRDefault="00735227" w:rsidP="00FE790A"/>
    <w:p w14:paraId="3260C68F" w14:textId="77777777" w:rsidR="007066D2" w:rsidRDefault="00735227" w:rsidP="00FE790A">
      <w:pPr>
        <w:pStyle w:val="Figure"/>
      </w:pPr>
      <w:bookmarkStart w:id="181" w:name="_Toc399920500"/>
      <w:bookmarkStart w:id="182" w:name="OLE_LINK1"/>
      <w:bookmarkStart w:id="183" w:name="_Toc404258426"/>
      <w:r>
        <w:t xml:space="preserve">Figure </w:t>
      </w:r>
      <w:r w:rsidR="00FE790A">
        <w:t>17</w:t>
      </w:r>
      <w:r w:rsidRPr="0019749A">
        <w:t>:</w:t>
      </w:r>
      <w:r w:rsidR="00FE790A">
        <w:t xml:space="preserve"> </w:t>
      </w:r>
      <w:r w:rsidRPr="0019749A">
        <w:t>Reasons for most recent quit attempt, among recent quit attempters</w:t>
      </w:r>
      <w:bookmarkEnd w:id="181"/>
      <w:bookmarkEnd w:id="182"/>
      <w:bookmarkEnd w:id="183"/>
    </w:p>
    <w:p w14:paraId="45AE30B1" w14:textId="77777777" w:rsidR="00735227" w:rsidRPr="00184C91" w:rsidRDefault="00634A48" w:rsidP="00735227">
      <w:pPr>
        <w:rPr>
          <w:lang w:eastAsia="en-US"/>
        </w:rPr>
      </w:pPr>
      <w:r w:rsidRPr="00634A48">
        <w:rPr>
          <w:noProof/>
          <w:lang w:eastAsia="en-NZ"/>
        </w:rPr>
        <w:drawing>
          <wp:inline distT="0" distB="0" distL="0" distR="0" wp14:anchorId="3699F610" wp14:editId="4B819795">
            <wp:extent cx="4397432" cy="2787105"/>
            <wp:effectExtent l="0" t="0" r="3175" b="0"/>
            <wp:docPr id="35" name="Picture 35" title="Figure 17: Reasons for most recent quit attempt, among recent quit attem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r="10593" b="7110"/>
                    <a:stretch/>
                  </pic:blipFill>
                  <pic:spPr bwMode="auto">
                    <a:xfrm>
                      <a:off x="0" y="0"/>
                      <a:ext cx="4396903" cy="2786770"/>
                    </a:xfrm>
                    <a:prstGeom prst="rect">
                      <a:avLst/>
                    </a:prstGeom>
                    <a:ln>
                      <a:noFill/>
                    </a:ln>
                    <a:extLst>
                      <a:ext uri="{53640926-AAD7-44D8-BBD7-CCE9431645EC}">
                        <a14:shadowObscured xmlns:a14="http://schemas.microsoft.com/office/drawing/2010/main"/>
                      </a:ext>
                    </a:extLst>
                  </pic:spPr>
                </pic:pic>
              </a:graphicData>
            </a:graphic>
          </wp:inline>
        </w:drawing>
      </w:r>
    </w:p>
    <w:p w14:paraId="468EE0D9" w14:textId="77777777" w:rsidR="00735227" w:rsidRDefault="00735227" w:rsidP="00FE790A">
      <w:pPr>
        <w:pStyle w:val="Source"/>
      </w:pPr>
      <w:r>
        <w:t>Source: 2012/13 NZHS</w:t>
      </w:r>
    </w:p>
    <w:p w14:paraId="7254C9E8" w14:textId="77777777" w:rsidR="00735227" w:rsidRDefault="00735227" w:rsidP="00FE790A">
      <w:pPr>
        <w:pStyle w:val="Note"/>
        <w:ind w:left="0" w:firstLine="0"/>
      </w:pPr>
      <w:r>
        <w:t>Note: Recent quit attempters were able to give multiple reasons for their most recent quit attempt, and so may be included in more than one category.</w:t>
      </w:r>
    </w:p>
    <w:p w14:paraId="39D2CAC2" w14:textId="77777777" w:rsidR="00735227" w:rsidRDefault="00735227" w:rsidP="00FE790A">
      <w:bookmarkStart w:id="184" w:name="_Toc390178308"/>
    </w:p>
    <w:p w14:paraId="66B94985" w14:textId="77777777" w:rsidR="00735227" w:rsidRPr="00505235" w:rsidRDefault="00735227" w:rsidP="00FE790A">
      <w:pPr>
        <w:pStyle w:val="Heading2"/>
      </w:pPr>
      <w:bookmarkStart w:id="185" w:name="_Toc400136638"/>
      <w:bookmarkStart w:id="186" w:name="_Toc404091093"/>
      <w:r w:rsidRPr="00505235">
        <w:t>How are smokers quitting?</w:t>
      </w:r>
      <w:bookmarkEnd w:id="184"/>
      <w:bookmarkEnd w:id="185"/>
      <w:bookmarkEnd w:id="186"/>
    </w:p>
    <w:p w14:paraId="6D46535F" w14:textId="3C671F1A" w:rsidR="007066D2" w:rsidRDefault="00735227" w:rsidP="00FE790A">
      <w:pPr>
        <w:rPr>
          <w:rFonts w:cs="Arial"/>
          <w:szCs w:val="24"/>
        </w:rPr>
      </w:pPr>
      <w:r>
        <w:t xml:space="preserve">In 2012/13, over half of recent quit attempters (55%) reduced the number of cigarettes they smoked per day as a strategy to quit smoking. While many smokers make a quit attempt by </w:t>
      </w:r>
      <w:r w:rsidR="00AA2408">
        <w:t>‘</w:t>
      </w:r>
      <w:r>
        <w:t>going cold turkey</w:t>
      </w:r>
      <w:r w:rsidR="00AA2408">
        <w:t>’</w:t>
      </w:r>
      <w:r>
        <w:t xml:space="preserve"> (unaided cessation) and smoking reduction, there are a number </w:t>
      </w:r>
      <w:r>
        <w:rPr>
          <w:rFonts w:cs="Arial"/>
          <w:szCs w:val="24"/>
        </w:rPr>
        <w:t>of products and services available in New Zealand to help people quit smoking.</w:t>
      </w:r>
    </w:p>
    <w:p w14:paraId="3DF95E78" w14:textId="77777777" w:rsidR="00735227" w:rsidRPr="00D90A95" w:rsidRDefault="00735227" w:rsidP="00FE790A"/>
    <w:p w14:paraId="22A9FE48" w14:textId="77777777" w:rsidR="00735227" w:rsidRPr="00D90A95" w:rsidRDefault="00735227" w:rsidP="00FE790A">
      <w:pPr>
        <w:pStyle w:val="Heading3"/>
      </w:pPr>
      <w:bookmarkStart w:id="187" w:name="_Toc390178309"/>
      <w:bookmarkStart w:id="188" w:name="_Toc400136639"/>
      <w:r w:rsidRPr="00D90A95">
        <w:t>What are smokers using to help them quit?</w:t>
      </w:r>
      <w:bookmarkEnd w:id="187"/>
      <w:bookmarkEnd w:id="188"/>
    </w:p>
    <w:p w14:paraId="6E8CDE14" w14:textId="77777777" w:rsidR="00735227" w:rsidRDefault="00735227" w:rsidP="00FE790A">
      <w:r>
        <w:t>In the 2012/13 NZHS, recent quit attempters were asked to identify any help, advice, programmes or products they used to help them quit during their most recent quit attempt. They were able to select multiple responses, which were grouped into the following categories:</w:t>
      </w:r>
    </w:p>
    <w:p w14:paraId="2D30A1DF" w14:textId="77777777" w:rsidR="00735227" w:rsidRDefault="00735227" w:rsidP="00FE790A">
      <w:pPr>
        <w:pStyle w:val="Bullet"/>
      </w:pPr>
      <w:r>
        <w:t>Quitline or Aukati KaiPaipa</w:t>
      </w:r>
    </w:p>
    <w:p w14:paraId="3DBEC48C" w14:textId="77777777" w:rsidR="00735227" w:rsidRDefault="00FE790A" w:rsidP="00FE790A">
      <w:pPr>
        <w:pStyle w:val="Bullet"/>
      </w:pPr>
      <w:r>
        <w:t>g</w:t>
      </w:r>
      <w:r w:rsidR="00735227">
        <w:t>eneral practitioner (GP)</w:t>
      </w:r>
    </w:p>
    <w:p w14:paraId="5A871536" w14:textId="77777777" w:rsidR="00735227" w:rsidRDefault="00735227" w:rsidP="00FE790A">
      <w:pPr>
        <w:pStyle w:val="Bullet"/>
      </w:pPr>
      <w:r>
        <w:t>Māori community health worker</w:t>
      </w:r>
    </w:p>
    <w:p w14:paraId="0B45971B" w14:textId="77777777" w:rsidR="00735227" w:rsidRDefault="00735227" w:rsidP="00FE790A">
      <w:pPr>
        <w:pStyle w:val="Bullet"/>
      </w:pPr>
      <w:r>
        <w:t>other health care worker</w:t>
      </w:r>
    </w:p>
    <w:p w14:paraId="07C29C29" w14:textId="77777777" w:rsidR="00735227" w:rsidRDefault="00735227" w:rsidP="00FE790A">
      <w:pPr>
        <w:pStyle w:val="Bullet"/>
      </w:pPr>
      <w:r>
        <w:t>friend or family member</w:t>
      </w:r>
    </w:p>
    <w:p w14:paraId="4FED90F5" w14:textId="77777777" w:rsidR="00735227" w:rsidRDefault="00735227" w:rsidP="00FE790A">
      <w:pPr>
        <w:pStyle w:val="Bullet"/>
      </w:pPr>
      <w:r>
        <w:t>school counsellor</w:t>
      </w:r>
    </w:p>
    <w:p w14:paraId="67DEEC74" w14:textId="77777777" w:rsidR="00735227" w:rsidRDefault="00735227" w:rsidP="00FE790A">
      <w:pPr>
        <w:pStyle w:val="Bullet"/>
      </w:pPr>
      <w:r>
        <w:t>nicotine replacement therapy (NRT, nicotine patches, nicotine gum, nicotine Micro tab</w:t>
      </w:r>
      <w:r w:rsidR="00FE790A">
        <w:t>,</w:t>
      </w:r>
      <w:r w:rsidRPr="00FE790A">
        <w:rPr>
          <w:rStyle w:val="FootnoteReference"/>
        </w:rPr>
        <w:footnoteReference w:id="7"/>
      </w:r>
      <w:r>
        <w:t xml:space="preserve"> nicotine lozenges, nicotine inhalers)</w:t>
      </w:r>
    </w:p>
    <w:p w14:paraId="6E221C18" w14:textId="77777777" w:rsidR="00735227" w:rsidRDefault="00735227" w:rsidP="00EF1A37">
      <w:pPr>
        <w:pStyle w:val="Bullet"/>
        <w:keepNext/>
      </w:pPr>
      <w:r>
        <w:t>other medicinal therapy (other lozenges, Zyban</w:t>
      </w:r>
      <w:r w:rsidRPr="00FE790A">
        <w:rPr>
          <w:rStyle w:val="FootnoteReference"/>
        </w:rPr>
        <w:footnoteReference w:id="8"/>
      </w:r>
      <w:r>
        <w:t xml:space="preserve"> and Champix</w:t>
      </w:r>
      <w:r w:rsidRPr="00FE790A">
        <w:rPr>
          <w:rStyle w:val="FootnoteReference"/>
        </w:rPr>
        <w:footnoteReference w:id="9"/>
      </w:r>
      <w:r>
        <w:t>)</w:t>
      </w:r>
    </w:p>
    <w:p w14:paraId="2D9CAB86" w14:textId="77777777" w:rsidR="00735227" w:rsidRDefault="00735227" w:rsidP="00FE790A">
      <w:pPr>
        <w:pStyle w:val="Bullet"/>
      </w:pPr>
      <w:r>
        <w:t>e-cigarettes containing nicotine</w:t>
      </w:r>
    </w:p>
    <w:p w14:paraId="6E6CEF3F" w14:textId="77777777" w:rsidR="00735227" w:rsidRDefault="00735227" w:rsidP="00FE790A">
      <w:pPr>
        <w:pStyle w:val="Bullet"/>
      </w:pPr>
      <w:r>
        <w:t>e-cigarettes without nicotine</w:t>
      </w:r>
    </w:p>
    <w:p w14:paraId="64232D3C" w14:textId="77777777" w:rsidR="00735227" w:rsidRDefault="00735227" w:rsidP="00FE790A">
      <w:pPr>
        <w:pStyle w:val="Bullet"/>
      </w:pPr>
      <w:r>
        <w:t>something else (another stop-smoking programme, the internet, a self-help book, some other product not mentioned elsewhere).</w:t>
      </w:r>
    </w:p>
    <w:p w14:paraId="348B3F9F" w14:textId="77777777" w:rsidR="00735227" w:rsidRDefault="00735227" w:rsidP="00FE790A"/>
    <w:p w14:paraId="5D149505" w14:textId="77777777" w:rsidR="00735227" w:rsidRPr="00583025" w:rsidRDefault="00735227" w:rsidP="00FE790A">
      <w:pPr>
        <w:pStyle w:val="Heading3"/>
      </w:pPr>
      <w:r w:rsidRPr="00583025">
        <w:t xml:space="preserve">Half of </w:t>
      </w:r>
      <w:r>
        <w:t xml:space="preserve">the </w:t>
      </w:r>
      <w:r w:rsidRPr="00583025">
        <w:t xml:space="preserve">smokers who </w:t>
      </w:r>
      <w:r>
        <w:t xml:space="preserve">had </w:t>
      </w:r>
      <w:r w:rsidRPr="00583025">
        <w:t>tried to quit smoking had used some type of advice or product to aid their attempt</w:t>
      </w:r>
    </w:p>
    <w:p w14:paraId="79A5CDFC" w14:textId="008C4C8B" w:rsidR="007066D2" w:rsidRDefault="00735227" w:rsidP="00FE790A">
      <w:r>
        <w:t xml:space="preserve">One in two (49%) recent quit attempters used some type of quitting product or advice to assist them in their most recent quit attempt. </w:t>
      </w:r>
      <w:r w:rsidR="00D93701">
        <w:t xml:space="preserve">A </w:t>
      </w:r>
      <w:r w:rsidR="00AA2408">
        <w:t>‘</w:t>
      </w:r>
      <w:r>
        <w:t>R</w:t>
      </w:r>
      <w:r w:rsidRPr="00D27B2E">
        <w:t>ecent quit attempter</w:t>
      </w:r>
      <w:r w:rsidR="00AA2408">
        <w:t>’</w:t>
      </w:r>
      <w:r>
        <w:t xml:space="preserve"> </w:t>
      </w:r>
      <w:r w:rsidR="00D93701">
        <w:t xml:space="preserve">refers to a </w:t>
      </w:r>
      <w:r w:rsidR="004328F0">
        <w:t>smoker</w:t>
      </w:r>
      <w:r>
        <w:t xml:space="preserve"> who has made a quit attempt in the past 12 months. Females (54%) were more likely than males (46%) to have used quitting products or advice in their most recent quit attempt.</w:t>
      </w:r>
    </w:p>
    <w:p w14:paraId="68DC2F56" w14:textId="77777777" w:rsidR="00735227" w:rsidRDefault="00735227" w:rsidP="00FE790A"/>
    <w:p w14:paraId="6210DA92" w14:textId="36215DAA" w:rsidR="007066D2" w:rsidRDefault="00735227" w:rsidP="00FE790A">
      <w:r>
        <w:t>The use of quitting aids or advice</w:t>
      </w:r>
      <w:r w:rsidR="004328F0">
        <w:t xml:space="preserve"> steadily</w:t>
      </w:r>
      <w:r>
        <w:t xml:space="preserve"> increased with age</w:t>
      </w:r>
      <w:r w:rsidR="004328F0">
        <w:t>,</w:t>
      </w:r>
      <w:r>
        <w:t xml:space="preserve"> from 27% for 15–19 year olds up to 72% for those aged 65–74 years (Figure 18).</w:t>
      </w:r>
    </w:p>
    <w:p w14:paraId="3B9DF532" w14:textId="77777777" w:rsidR="00735227" w:rsidRDefault="00735227" w:rsidP="00FE790A"/>
    <w:p w14:paraId="35D4570E" w14:textId="77777777" w:rsidR="00735227" w:rsidRDefault="00735227" w:rsidP="00FE790A">
      <w:pPr>
        <w:pStyle w:val="Figure"/>
      </w:pPr>
      <w:bookmarkStart w:id="189" w:name="_Toc399920501"/>
      <w:bookmarkStart w:id="190" w:name="_Toc404258427"/>
      <w:r>
        <w:t xml:space="preserve">Figure </w:t>
      </w:r>
      <w:r w:rsidR="00FE790A">
        <w:t>18</w:t>
      </w:r>
      <w:r>
        <w:t>:</w:t>
      </w:r>
      <w:r w:rsidR="00FE790A">
        <w:t xml:space="preserve"> </w:t>
      </w:r>
      <w:r>
        <w:t xml:space="preserve">Proportion of recent quit attempters using </w:t>
      </w:r>
      <w:r w:rsidRPr="0060292E">
        <w:t xml:space="preserve">quitting products or advice in </w:t>
      </w:r>
      <w:r>
        <w:t xml:space="preserve">their </w:t>
      </w:r>
      <w:r w:rsidRPr="0060292E">
        <w:t>most recent quit attempt, by age group</w:t>
      </w:r>
      <w:bookmarkEnd w:id="189"/>
      <w:bookmarkEnd w:id="190"/>
    </w:p>
    <w:p w14:paraId="2E1C9066" w14:textId="77777777" w:rsidR="00735227" w:rsidRDefault="00286BD4" w:rsidP="00735227">
      <w:pPr>
        <w:rPr>
          <w:lang w:eastAsia="en-US"/>
        </w:rPr>
      </w:pPr>
      <w:r w:rsidRPr="00286BD4">
        <w:rPr>
          <w:noProof/>
          <w:lang w:eastAsia="en-NZ"/>
        </w:rPr>
        <w:drawing>
          <wp:inline distT="0" distB="0" distL="0" distR="0" wp14:anchorId="45A10BD1" wp14:editId="4E4F1EDA">
            <wp:extent cx="4372495" cy="2575296"/>
            <wp:effectExtent l="0" t="0" r="0" b="0"/>
            <wp:docPr id="17" name="Picture 17" title="Figure 18: Proportion of recent quit attempters using quitting products or advice in their most recent quit attempt,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r="11152" b="14221"/>
                    <a:stretch/>
                  </pic:blipFill>
                  <pic:spPr bwMode="auto">
                    <a:xfrm>
                      <a:off x="0" y="0"/>
                      <a:ext cx="4371968" cy="2574985"/>
                    </a:xfrm>
                    <a:prstGeom prst="rect">
                      <a:avLst/>
                    </a:prstGeom>
                    <a:ln>
                      <a:noFill/>
                    </a:ln>
                    <a:extLst>
                      <a:ext uri="{53640926-AAD7-44D8-BBD7-CCE9431645EC}">
                        <a14:shadowObscured xmlns:a14="http://schemas.microsoft.com/office/drawing/2010/main"/>
                      </a:ext>
                    </a:extLst>
                  </pic:spPr>
                </pic:pic>
              </a:graphicData>
            </a:graphic>
          </wp:inline>
        </w:drawing>
      </w:r>
    </w:p>
    <w:p w14:paraId="18DC6A81" w14:textId="77777777" w:rsidR="00735227" w:rsidRDefault="00735227" w:rsidP="00FE790A">
      <w:pPr>
        <w:pStyle w:val="Source"/>
      </w:pPr>
      <w:r>
        <w:t>Source: 2012/13 NZHS</w:t>
      </w:r>
    </w:p>
    <w:p w14:paraId="5AEE9B59" w14:textId="77777777" w:rsidR="00FE790A" w:rsidRPr="00FE790A" w:rsidRDefault="00FE790A" w:rsidP="00FE790A"/>
    <w:p w14:paraId="0ECA7FEC" w14:textId="77777777" w:rsidR="007066D2" w:rsidRDefault="00735227" w:rsidP="00FE790A">
      <w:pPr>
        <w:pStyle w:val="Heading3"/>
      </w:pPr>
      <w:r w:rsidRPr="00583025">
        <w:t>Over half of all Māori smokers who had made a quit attempt used some type of</w:t>
      </w:r>
      <w:r>
        <w:t xml:space="preserve"> quitting</w:t>
      </w:r>
      <w:r w:rsidRPr="00583025">
        <w:t xml:space="preserve"> product or advice</w:t>
      </w:r>
    </w:p>
    <w:p w14:paraId="099A4B5E" w14:textId="77777777" w:rsidR="007066D2" w:rsidRDefault="00735227" w:rsidP="007E56E3">
      <w:pPr>
        <w:keepNext/>
      </w:pPr>
      <w:r>
        <w:t>Table 17 shows the proportion of recent quit attempters who used quitting products or advice in their most recent quit attempt, by ethnic group. At least half of Māori and European/Other recent quit attempters (52% and 51% respectively) used quitting products or advice in their most recent quit attempt. In comparison, only one in three Pacific (35%) and Asian (35%) recent quit attempters used quitting products or advice when they last attempted to quit smoking.</w:t>
      </w:r>
    </w:p>
    <w:p w14:paraId="7F4A0553" w14:textId="77777777" w:rsidR="00735227" w:rsidRDefault="00735227" w:rsidP="007E56E3">
      <w:pPr>
        <w:keepNext/>
      </w:pPr>
    </w:p>
    <w:p w14:paraId="55BB397C" w14:textId="222BCE6F" w:rsidR="007066D2" w:rsidRDefault="00735227" w:rsidP="00FE790A">
      <w:r>
        <w:t xml:space="preserve">After adjusting for age and sex differences, Māori recent quit attempters were 1.2 times more likely than non-Māori to have used a quitting product or advice in their most recent quit attempt (Table 18). </w:t>
      </w:r>
      <w:r w:rsidR="00122CAC">
        <w:t xml:space="preserve">Conversely Pacific recent quit attempters </w:t>
      </w:r>
      <w:r>
        <w:t>were less likely to have used a quitting product or advice when they last attempted to quit than non-Pacific after adjusting for age and sex differences.</w:t>
      </w:r>
    </w:p>
    <w:p w14:paraId="0A993F77" w14:textId="77777777" w:rsidR="00735227" w:rsidRDefault="00735227" w:rsidP="00FE790A"/>
    <w:p w14:paraId="34245D8C" w14:textId="77777777" w:rsidR="00735227" w:rsidRDefault="00735227" w:rsidP="00FE790A">
      <w:pPr>
        <w:pStyle w:val="Table"/>
      </w:pPr>
      <w:bookmarkStart w:id="191" w:name="_Toc399920528"/>
      <w:bookmarkStart w:id="192" w:name="_Toc404091117"/>
      <w:r>
        <w:t xml:space="preserve">Table </w:t>
      </w:r>
      <w:r w:rsidR="00FE790A">
        <w:t>17</w:t>
      </w:r>
      <w:r w:rsidRPr="000D3D11">
        <w:t>:</w:t>
      </w:r>
      <w:r w:rsidR="00FE790A">
        <w:t xml:space="preserve"> </w:t>
      </w:r>
      <w:r w:rsidRPr="000D3D11">
        <w:t>Used quitting products or advice in most recent quit attempt, among recent quit attempters, by ethnic group</w:t>
      </w:r>
      <w:bookmarkEnd w:id="191"/>
      <w:bookmarkEnd w:id="192"/>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FE790A" w:rsidRPr="00D66766" w14:paraId="3DC70FBA" w14:textId="77777777" w:rsidTr="00936322">
        <w:trPr>
          <w:cantSplit/>
        </w:trPr>
        <w:tc>
          <w:tcPr>
            <w:tcW w:w="3080" w:type="dxa"/>
            <w:tcBorders>
              <w:top w:val="single" w:sz="4" w:space="0" w:color="auto"/>
              <w:bottom w:val="single" w:sz="4" w:space="0" w:color="auto"/>
            </w:tcBorders>
            <w:shd w:val="clear" w:color="auto" w:fill="auto"/>
          </w:tcPr>
          <w:p w14:paraId="722588DE" w14:textId="77777777" w:rsidR="00FE790A" w:rsidRPr="00D66766" w:rsidRDefault="00FE790A" w:rsidP="00936322">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250091A7" w14:textId="77777777" w:rsidR="00FE790A" w:rsidRPr="00D66766" w:rsidRDefault="00FE790A" w:rsidP="00936322">
            <w:pPr>
              <w:pStyle w:val="TableText"/>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21E087D1" w14:textId="77777777" w:rsidR="00FE790A" w:rsidRPr="00D66766" w:rsidRDefault="00FE790A" w:rsidP="00936322">
            <w:pPr>
              <w:pStyle w:val="TableText"/>
              <w:jc w:val="center"/>
              <w:rPr>
                <w:b/>
              </w:rPr>
            </w:pPr>
            <w:r w:rsidRPr="00D66766">
              <w:rPr>
                <w:b/>
              </w:rPr>
              <w:t>Estimated number</w:t>
            </w:r>
          </w:p>
        </w:tc>
      </w:tr>
      <w:tr w:rsidR="00FE790A" w:rsidRPr="007B7915" w14:paraId="542A9177" w14:textId="77777777" w:rsidTr="00936322">
        <w:trPr>
          <w:cantSplit/>
        </w:trPr>
        <w:tc>
          <w:tcPr>
            <w:tcW w:w="3080" w:type="dxa"/>
            <w:tcBorders>
              <w:top w:val="single" w:sz="4" w:space="0" w:color="auto"/>
              <w:bottom w:val="single" w:sz="4" w:space="0" w:color="A6A6A6" w:themeColor="background1" w:themeShade="A6"/>
            </w:tcBorders>
            <w:shd w:val="clear" w:color="auto" w:fill="auto"/>
          </w:tcPr>
          <w:p w14:paraId="18B33242" w14:textId="77777777" w:rsidR="00FE790A" w:rsidRPr="007B7915" w:rsidRDefault="00FE790A" w:rsidP="00936322">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tcPr>
          <w:p w14:paraId="2D9BBFBB" w14:textId="77777777" w:rsidR="00FE790A" w:rsidRPr="007B7915" w:rsidRDefault="00FE790A" w:rsidP="00FE790A">
            <w:pPr>
              <w:pStyle w:val="TableText"/>
              <w:jc w:val="center"/>
            </w:pPr>
            <w:r>
              <w:t>52</w:t>
            </w:r>
          </w:p>
        </w:tc>
        <w:tc>
          <w:tcPr>
            <w:tcW w:w="2075" w:type="dxa"/>
            <w:tcBorders>
              <w:top w:val="single" w:sz="4" w:space="0" w:color="auto"/>
              <w:bottom w:val="single" w:sz="4" w:space="0" w:color="A6A6A6" w:themeColor="background1" w:themeShade="A6"/>
            </w:tcBorders>
            <w:shd w:val="clear" w:color="auto" w:fill="auto"/>
          </w:tcPr>
          <w:p w14:paraId="4B1733C9" w14:textId="77777777" w:rsidR="00FE790A" w:rsidRPr="007B7915" w:rsidRDefault="00FE790A" w:rsidP="00FE790A">
            <w:pPr>
              <w:pStyle w:val="TableText"/>
              <w:tabs>
                <w:tab w:val="decimal" w:pos="1229"/>
              </w:tabs>
            </w:pPr>
            <w:r>
              <w:t>48,0</w:t>
            </w:r>
            <w:r w:rsidRPr="007B7915">
              <w:t>00</w:t>
            </w:r>
          </w:p>
        </w:tc>
      </w:tr>
      <w:tr w:rsidR="00FE790A" w:rsidRPr="007B7915" w14:paraId="0F9DF769"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001B6E35" w14:textId="77777777" w:rsidR="00FE790A" w:rsidRPr="007B7915" w:rsidRDefault="00FE790A" w:rsidP="00936322">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375F90EA" w14:textId="77777777" w:rsidR="00FE790A" w:rsidRPr="007B7915" w:rsidRDefault="00FE790A" w:rsidP="00FE790A">
            <w:pPr>
              <w:pStyle w:val="TableText"/>
              <w:jc w:val="center"/>
            </w:pPr>
            <w:r>
              <w:t>35</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68473A8C" w14:textId="77777777" w:rsidR="00FE790A" w:rsidRPr="007B7915" w:rsidRDefault="00FE790A" w:rsidP="00FE790A">
            <w:pPr>
              <w:pStyle w:val="TableText"/>
              <w:tabs>
                <w:tab w:val="decimal" w:pos="1229"/>
              </w:tabs>
            </w:pPr>
            <w:r>
              <w:t>11,0</w:t>
            </w:r>
            <w:r w:rsidRPr="007B7915">
              <w:t>00</w:t>
            </w:r>
          </w:p>
        </w:tc>
      </w:tr>
      <w:tr w:rsidR="00FE790A" w:rsidRPr="007B7915" w14:paraId="260B471F"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3A2935DC" w14:textId="77777777" w:rsidR="00FE790A" w:rsidRPr="007B7915" w:rsidRDefault="00FE790A" w:rsidP="00936322">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5A041409" w14:textId="77777777" w:rsidR="00FE790A" w:rsidRPr="007B7915" w:rsidRDefault="00FE790A" w:rsidP="00FE790A">
            <w:pPr>
              <w:pStyle w:val="TableText"/>
              <w:jc w:val="center"/>
            </w:pPr>
            <w:r>
              <w:t>35</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69817250" w14:textId="77777777" w:rsidR="00FE790A" w:rsidRPr="007B7915" w:rsidRDefault="00FE790A" w:rsidP="00FE790A">
            <w:pPr>
              <w:pStyle w:val="TableText"/>
              <w:tabs>
                <w:tab w:val="decimal" w:pos="1229"/>
              </w:tabs>
            </w:pPr>
            <w:r>
              <w:t>10,0</w:t>
            </w:r>
            <w:r w:rsidRPr="007B7915">
              <w:t>00</w:t>
            </w:r>
          </w:p>
        </w:tc>
      </w:tr>
      <w:tr w:rsidR="00FE790A" w:rsidRPr="007B7915" w14:paraId="15270FEB" w14:textId="77777777" w:rsidTr="00936322">
        <w:trPr>
          <w:cantSplit/>
        </w:trPr>
        <w:tc>
          <w:tcPr>
            <w:tcW w:w="3080" w:type="dxa"/>
            <w:tcBorders>
              <w:top w:val="single" w:sz="4" w:space="0" w:color="A6A6A6" w:themeColor="background1" w:themeShade="A6"/>
            </w:tcBorders>
            <w:shd w:val="clear" w:color="auto" w:fill="auto"/>
          </w:tcPr>
          <w:p w14:paraId="19B444DC" w14:textId="77777777" w:rsidR="00FE790A" w:rsidRPr="007B7915" w:rsidRDefault="00FE790A" w:rsidP="00936322">
            <w:pPr>
              <w:pStyle w:val="TableText"/>
            </w:pPr>
            <w:r w:rsidRPr="007B7915">
              <w:t>European/Other</w:t>
            </w:r>
          </w:p>
        </w:tc>
        <w:tc>
          <w:tcPr>
            <w:tcW w:w="2075" w:type="dxa"/>
            <w:tcBorders>
              <w:top w:val="single" w:sz="4" w:space="0" w:color="A6A6A6" w:themeColor="background1" w:themeShade="A6"/>
            </w:tcBorders>
            <w:shd w:val="clear" w:color="auto" w:fill="auto"/>
          </w:tcPr>
          <w:p w14:paraId="33C2622C" w14:textId="77777777" w:rsidR="00FE790A" w:rsidRPr="007B7915" w:rsidRDefault="00FE790A" w:rsidP="00FE790A">
            <w:pPr>
              <w:pStyle w:val="TableText"/>
              <w:jc w:val="center"/>
            </w:pPr>
            <w:r>
              <w:t>51</w:t>
            </w:r>
          </w:p>
        </w:tc>
        <w:tc>
          <w:tcPr>
            <w:tcW w:w="2075" w:type="dxa"/>
            <w:tcBorders>
              <w:top w:val="single" w:sz="4" w:space="0" w:color="A6A6A6" w:themeColor="background1" w:themeShade="A6"/>
            </w:tcBorders>
            <w:shd w:val="clear" w:color="auto" w:fill="auto"/>
          </w:tcPr>
          <w:p w14:paraId="433CF8F1" w14:textId="77777777" w:rsidR="00FE790A" w:rsidRPr="007B7915" w:rsidRDefault="00FE790A" w:rsidP="00FE790A">
            <w:pPr>
              <w:pStyle w:val="TableText"/>
              <w:tabs>
                <w:tab w:val="decimal" w:pos="1229"/>
              </w:tabs>
            </w:pPr>
            <w:r>
              <w:t>133,0</w:t>
            </w:r>
            <w:r w:rsidRPr="007B7915">
              <w:t>00</w:t>
            </w:r>
          </w:p>
        </w:tc>
      </w:tr>
    </w:tbl>
    <w:p w14:paraId="169A6019" w14:textId="77777777" w:rsidR="00735227" w:rsidRPr="009321F1" w:rsidRDefault="00735227" w:rsidP="00FE790A">
      <w:pPr>
        <w:pStyle w:val="TableNote"/>
        <w:ind w:right="2155"/>
      </w:pPr>
      <w:r w:rsidRPr="009321F1">
        <w:t>Source: 2012/13 New Zealand Health Survey</w:t>
      </w:r>
    </w:p>
    <w:p w14:paraId="3B655BA0" w14:textId="77777777" w:rsidR="00735227" w:rsidRPr="00932856" w:rsidRDefault="00735227" w:rsidP="00FE790A">
      <w:pPr>
        <w:pStyle w:val="TableNote"/>
        <w:ind w:right="2155"/>
      </w:pPr>
      <w:r w:rsidRPr="009321F1">
        <w:t>Note: Total response ethnicity has been used</w:t>
      </w:r>
      <w:r>
        <w:t>.</w:t>
      </w:r>
    </w:p>
    <w:p w14:paraId="3A78D9F9" w14:textId="77777777" w:rsidR="00735227" w:rsidRDefault="00735227" w:rsidP="00FE790A"/>
    <w:p w14:paraId="494EFEEC" w14:textId="77777777" w:rsidR="00735227" w:rsidRDefault="00735227" w:rsidP="00FE790A">
      <w:pPr>
        <w:pStyle w:val="Table"/>
      </w:pPr>
      <w:bookmarkStart w:id="193" w:name="_Toc399920529"/>
      <w:bookmarkStart w:id="194" w:name="_Toc404091118"/>
      <w:r>
        <w:t xml:space="preserve">Table </w:t>
      </w:r>
      <w:r w:rsidR="00FE790A">
        <w:t>18</w:t>
      </w:r>
      <w:r w:rsidRPr="004E5651">
        <w:t>:</w:t>
      </w:r>
      <w:r w:rsidR="00FE790A">
        <w:t xml:space="preserve"> </w:t>
      </w:r>
      <w:r w:rsidRPr="004E5651">
        <w:t>Adjusted rate ratios for using quitting products or advice in</w:t>
      </w:r>
      <w:r>
        <w:t xml:space="preserve"> the</w:t>
      </w:r>
      <w:r w:rsidRPr="004E5651">
        <w:t xml:space="preserve"> most recent quit attempt</w:t>
      </w:r>
      <w:bookmarkEnd w:id="193"/>
      <w:bookmarkEnd w:id="194"/>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984"/>
      </w:tblGrid>
      <w:tr w:rsidR="00FE790A" w:rsidRPr="007B7915" w14:paraId="67520712" w14:textId="77777777" w:rsidTr="00ED26A0">
        <w:trPr>
          <w:cantSplit/>
        </w:trPr>
        <w:tc>
          <w:tcPr>
            <w:tcW w:w="3119" w:type="dxa"/>
            <w:shd w:val="clear" w:color="auto" w:fill="auto"/>
          </w:tcPr>
          <w:p w14:paraId="769678ED" w14:textId="77777777" w:rsidR="00FE790A" w:rsidRPr="007B7915" w:rsidRDefault="00FE790A" w:rsidP="00312920">
            <w:pPr>
              <w:pStyle w:val="TableText"/>
            </w:pPr>
            <w:r w:rsidRPr="007B7915">
              <w:t>Men v</w:t>
            </w:r>
            <w:r>
              <w:t>ersu</w:t>
            </w:r>
            <w:r w:rsidRPr="007B7915">
              <w:t>s women</w:t>
            </w:r>
          </w:p>
        </w:tc>
        <w:tc>
          <w:tcPr>
            <w:tcW w:w="1984" w:type="dxa"/>
          </w:tcPr>
          <w:p w14:paraId="05AA0A19" w14:textId="77777777" w:rsidR="00FE790A" w:rsidRPr="007B7915" w:rsidRDefault="00FE790A" w:rsidP="00312920">
            <w:pPr>
              <w:pStyle w:val="TableText"/>
              <w:tabs>
                <w:tab w:val="decimal" w:pos="935"/>
              </w:tabs>
            </w:pPr>
            <w:r w:rsidRPr="007B7915">
              <w:t>0.9*</w:t>
            </w:r>
          </w:p>
        </w:tc>
      </w:tr>
      <w:tr w:rsidR="00FE790A" w:rsidRPr="007B7915" w14:paraId="4F0BF5E5" w14:textId="77777777" w:rsidTr="00ED26A0">
        <w:trPr>
          <w:cantSplit/>
        </w:trPr>
        <w:tc>
          <w:tcPr>
            <w:tcW w:w="3119" w:type="dxa"/>
            <w:shd w:val="clear" w:color="auto" w:fill="auto"/>
          </w:tcPr>
          <w:p w14:paraId="50E61AE6" w14:textId="77777777" w:rsidR="00FE790A" w:rsidRPr="007B7915" w:rsidRDefault="00FE790A" w:rsidP="00312920">
            <w:pPr>
              <w:pStyle w:val="TableText"/>
            </w:pPr>
            <w:r w:rsidRPr="007B7915">
              <w:t>Māori v</w:t>
            </w:r>
            <w:r>
              <w:t>ersu</w:t>
            </w:r>
            <w:r w:rsidRPr="007B7915">
              <w:t>s non-Māori</w:t>
            </w:r>
          </w:p>
        </w:tc>
        <w:tc>
          <w:tcPr>
            <w:tcW w:w="1984" w:type="dxa"/>
          </w:tcPr>
          <w:p w14:paraId="26A2CFD5" w14:textId="77777777" w:rsidR="00FE790A" w:rsidRPr="007B7915" w:rsidRDefault="00FE790A" w:rsidP="00312920">
            <w:pPr>
              <w:pStyle w:val="TableText"/>
              <w:tabs>
                <w:tab w:val="decimal" w:pos="935"/>
              </w:tabs>
            </w:pPr>
            <w:r w:rsidRPr="007B7915">
              <w:t>1.2*</w:t>
            </w:r>
          </w:p>
        </w:tc>
      </w:tr>
      <w:tr w:rsidR="00FE790A" w:rsidRPr="007B7915" w14:paraId="0B3F1E69" w14:textId="77777777" w:rsidTr="00ED26A0">
        <w:trPr>
          <w:cantSplit/>
        </w:trPr>
        <w:tc>
          <w:tcPr>
            <w:tcW w:w="3119" w:type="dxa"/>
            <w:shd w:val="clear" w:color="auto" w:fill="auto"/>
          </w:tcPr>
          <w:p w14:paraId="18E53207" w14:textId="77777777" w:rsidR="00FE790A" w:rsidRPr="007B7915" w:rsidRDefault="00FE790A" w:rsidP="00312920">
            <w:pPr>
              <w:pStyle w:val="TableText"/>
            </w:pPr>
            <w:r w:rsidRPr="007B7915">
              <w:t>Pacific v</w:t>
            </w:r>
            <w:r>
              <w:t>ersu</w:t>
            </w:r>
            <w:r w:rsidRPr="007B7915">
              <w:t>s non-Pacific</w:t>
            </w:r>
          </w:p>
        </w:tc>
        <w:tc>
          <w:tcPr>
            <w:tcW w:w="1984" w:type="dxa"/>
          </w:tcPr>
          <w:p w14:paraId="2BBCF63C" w14:textId="77777777" w:rsidR="00FE790A" w:rsidRPr="007B7915" w:rsidRDefault="00FE790A" w:rsidP="00312920">
            <w:pPr>
              <w:pStyle w:val="TableText"/>
              <w:tabs>
                <w:tab w:val="decimal" w:pos="935"/>
              </w:tabs>
            </w:pPr>
            <w:r w:rsidRPr="007B7915">
              <w:t>0.8*</w:t>
            </w:r>
          </w:p>
        </w:tc>
      </w:tr>
      <w:tr w:rsidR="00FE790A" w:rsidRPr="007B7915" w14:paraId="4B4080ED" w14:textId="77777777" w:rsidTr="00ED26A0">
        <w:trPr>
          <w:cantSplit/>
        </w:trPr>
        <w:tc>
          <w:tcPr>
            <w:tcW w:w="3119" w:type="dxa"/>
            <w:shd w:val="clear" w:color="auto" w:fill="auto"/>
          </w:tcPr>
          <w:p w14:paraId="0F7E67FB" w14:textId="77777777" w:rsidR="00FE790A" w:rsidRPr="007B7915" w:rsidRDefault="00FE790A" w:rsidP="00312920">
            <w:pPr>
              <w:pStyle w:val="TableText"/>
            </w:pPr>
            <w:r w:rsidRPr="007B7915">
              <w:t>Asian v</w:t>
            </w:r>
            <w:r>
              <w:t>ersu</w:t>
            </w:r>
            <w:r w:rsidRPr="007B7915">
              <w:t>s non-Asian</w:t>
            </w:r>
          </w:p>
        </w:tc>
        <w:tc>
          <w:tcPr>
            <w:tcW w:w="1984" w:type="dxa"/>
          </w:tcPr>
          <w:p w14:paraId="7F67C6BF" w14:textId="77777777" w:rsidR="00FE790A" w:rsidRPr="007B7915" w:rsidRDefault="00FE790A" w:rsidP="00312920">
            <w:pPr>
              <w:pStyle w:val="TableText"/>
              <w:tabs>
                <w:tab w:val="decimal" w:pos="935"/>
              </w:tabs>
            </w:pPr>
            <w:r w:rsidRPr="007B7915">
              <w:t>0.7</w:t>
            </w:r>
          </w:p>
        </w:tc>
      </w:tr>
      <w:tr w:rsidR="00FE790A" w:rsidRPr="007B7915" w14:paraId="33AED910" w14:textId="77777777" w:rsidTr="00ED26A0">
        <w:trPr>
          <w:cantSplit/>
        </w:trPr>
        <w:tc>
          <w:tcPr>
            <w:tcW w:w="3119" w:type="dxa"/>
            <w:shd w:val="clear" w:color="auto" w:fill="auto"/>
          </w:tcPr>
          <w:p w14:paraId="049EE18A" w14:textId="77777777" w:rsidR="00FE790A" w:rsidRPr="007B7915" w:rsidRDefault="00FE790A" w:rsidP="00936322">
            <w:pPr>
              <w:pStyle w:val="TableText"/>
            </w:pPr>
            <w:r w:rsidRPr="007B7915">
              <w:t>Most v</w:t>
            </w:r>
            <w:r>
              <w:t>ersu</w:t>
            </w:r>
            <w:r w:rsidRPr="007B7915">
              <w:t>s least deprived</w:t>
            </w:r>
          </w:p>
        </w:tc>
        <w:tc>
          <w:tcPr>
            <w:tcW w:w="1984" w:type="dxa"/>
          </w:tcPr>
          <w:p w14:paraId="5E3F0BA6" w14:textId="77777777" w:rsidR="00FE790A" w:rsidRPr="007B7915" w:rsidRDefault="00FE790A" w:rsidP="00ED26A0">
            <w:pPr>
              <w:pStyle w:val="TableText"/>
              <w:tabs>
                <w:tab w:val="decimal" w:pos="935"/>
              </w:tabs>
            </w:pPr>
            <w:r w:rsidRPr="007B7915">
              <w:t>1.1</w:t>
            </w:r>
          </w:p>
        </w:tc>
      </w:tr>
    </w:tbl>
    <w:p w14:paraId="55CA1B05" w14:textId="77777777" w:rsidR="00735227" w:rsidRDefault="00735227" w:rsidP="00FE790A">
      <w:pPr>
        <w:pStyle w:val="TableNote"/>
      </w:pPr>
      <w:r w:rsidRPr="009321F1">
        <w:t>Source: 20</w:t>
      </w:r>
      <w:r>
        <w:t>12/13 NZHS</w:t>
      </w:r>
    </w:p>
    <w:p w14:paraId="457B7159" w14:textId="77777777" w:rsidR="00735227" w:rsidRDefault="00735227" w:rsidP="00FE790A">
      <w:pPr>
        <w:pStyle w:val="TableNote"/>
      </w:pPr>
      <w:r>
        <w:t>*</w:t>
      </w:r>
      <w:r w:rsidR="00FE790A">
        <w:tab/>
      </w:r>
      <w:r>
        <w:t>There is a statistically significant difference between the two groups</w:t>
      </w:r>
      <w:r w:rsidR="00FE790A">
        <w:t>.</w:t>
      </w:r>
    </w:p>
    <w:p w14:paraId="2BB837B4" w14:textId="77777777" w:rsidR="00735227" w:rsidRPr="00CD5D25" w:rsidRDefault="00735227" w:rsidP="00ED26A0">
      <w:pPr>
        <w:pStyle w:val="TableNote"/>
        <w:ind w:left="0" w:firstLine="0"/>
      </w:pPr>
      <w:r>
        <w:t>Notes: The sex comparison is adjusted for age. Ethnic comparisons are adjusted for age and sex.</w:t>
      </w:r>
      <w:r w:rsidR="00FE790A">
        <w:t xml:space="preserve"> </w:t>
      </w:r>
      <w:r>
        <w:t>Deprivation comparisons are adjusted for age, sex and ethnic group.</w:t>
      </w:r>
    </w:p>
    <w:p w14:paraId="553DBC19" w14:textId="77777777" w:rsidR="00735227" w:rsidRPr="00505235" w:rsidRDefault="00735227" w:rsidP="00ED26A0"/>
    <w:p w14:paraId="3C65DE67" w14:textId="77777777" w:rsidR="00735227" w:rsidRPr="00583025" w:rsidRDefault="00735227" w:rsidP="00ED26A0">
      <w:pPr>
        <w:pStyle w:val="Heading3"/>
      </w:pPr>
      <w:r w:rsidRPr="00583025">
        <w:t xml:space="preserve">Medicinal therapy was </w:t>
      </w:r>
      <w:r>
        <w:t xml:space="preserve">the </w:t>
      </w:r>
      <w:r w:rsidRPr="00583025">
        <w:t xml:space="preserve">most commonly used </w:t>
      </w:r>
      <w:r>
        <w:t xml:space="preserve">quitting aid </w:t>
      </w:r>
      <w:r w:rsidRPr="00583025">
        <w:t>in a recent quit attempt</w:t>
      </w:r>
    </w:p>
    <w:p w14:paraId="2B11EEA9" w14:textId="11C28C86" w:rsidR="007066D2" w:rsidRDefault="00735227" w:rsidP="00ED26A0">
      <w:r>
        <w:t>Medicinal therapy was the most common quitting product or service used by recent quit attempters, with NRT being the most used cessation aid (25%) (Figure 19). The next most common was some other medicinal therapy, such as Champix or Zyban (18%). Of the non-pharmaceutical aids, 15% received help from their GP and almost 12% from a service suc</w:t>
      </w:r>
      <w:r w:rsidR="00446C6D">
        <w:t>h as the Quitline or Aukati Kai</w:t>
      </w:r>
      <w:r>
        <w:t>Paipa.</w:t>
      </w:r>
    </w:p>
    <w:p w14:paraId="69FD89AE" w14:textId="77777777" w:rsidR="00735227" w:rsidRDefault="00735227" w:rsidP="00ED26A0"/>
    <w:p w14:paraId="3E97D292" w14:textId="77777777" w:rsidR="007066D2" w:rsidRDefault="00735227" w:rsidP="00312920">
      <w:pPr>
        <w:pStyle w:val="Figure"/>
        <w:spacing w:after="60"/>
      </w:pPr>
      <w:bookmarkStart w:id="195" w:name="_Toc399920502"/>
      <w:bookmarkStart w:id="196" w:name="_Toc404258428"/>
      <w:r>
        <w:t xml:space="preserve">Figure </w:t>
      </w:r>
      <w:r w:rsidR="00ED26A0">
        <w:t>19</w:t>
      </w:r>
      <w:r w:rsidRPr="00FC75D7">
        <w:t>:</w:t>
      </w:r>
      <w:r w:rsidR="00ED26A0">
        <w:t xml:space="preserve"> </w:t>
      </w:r>
      <w:r>
        <w:t>Proportion of recent quit attempters using cessation help in their most recent quit attempt, by s</w:t>
      </w:r>
      <w:r w:rsidRPr="00FC75D7">
        <w:t>ervices used</w:t>
      </w:r>
      <w:bookmarkEnd w:id="195"/>
      <w:bookmarkEnd w:id="196"/>
    </w:p>
    <w:p w14:paraId="6175F644" w14:textId="77777777" w:rsidR="00735227" w:rsidRPr="00DA6B3C" w:rsidRDefault="00286BD4" w:rsidP="00735227">
      <w:pPr>
        <w:rPr>
          <w:lang w:eastAsia="en-US"/>
        </w:rPr>
      </w:pPr>
      <w:r w:rsidRPr="00286BD4">
        <w:rPr>
          <w:noProof/>
          <w:lang w:eastAsia="en-NZ"/>
        </w:rPr>
        <w:drawing>
          <wp:inline distT="0" distB="0" distL="0" distR="0" wp14:anchorId="4C5F6770" wp14:editId="03101027">
            <wp:extent cx="4372495" cy="2542627"/>
            <wp:effectExtent l="0" t="0" r="9525" b="0"/>
            <wp:docPr id="20" name="Picture 20" title="Figure 19: Proportion of recent quit attempters using cessation help in their most recent quit attempt, by service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r="10732" b="14908"/>
                    <a:stretch/>
                  </pic:blipFill>
                  <pic:spPr bwMode="auto">
                    <a:xfrm>
                      <a:off x="0" y="0"/>
                      <a:ext cx="4371968" cy="2542321"/>
                    </a:xfrm>
                    <a:prstGeom prst="rect">
                      <a:avLst/>
                    </a:prstGeom>
                    <a:ln>
                      <a:noFill/>
                    </a:ln>
                    <a:extLst>
                      <a:ext uri="{53640926-AAD7-44D8-BBD7-CCE9431645EC}">
                        <a14:shadowObscured xmlns:a14="http://schemas.microsoft.com/office/drawing/2010/main"/>
                      </a:ext>
                    </a:extLst>
                  </pic:spPr>
                </pic:pic>
              </a:graphicData>
            </a:graphic>
          </wp:inline>
        </w:drawing>
      </w:r>
    </w:p>
    <w:p w14:paraId="057576A2" w14:textId="77777777" w:rsidR="00735227" w:rsidRPr="003B6402" w:rsidRDefault="00735227" w:rsidP="00312920">
      <w:pPr>
        <w:pStyle w:val="Source"/>
        <w:spacing w:before="40"/>
      </w:pPr>
      <w:r w:rsidRPr="003B6402">
        <w:t xml:space="preserve">Source: 2012/13 </w:t>
      </w:r>
      <w:r>
        <w:t>NZHS</w:t>
      </w:r>
    </w:p>
    <w:p w14:paraId="0654D5DC" w14:textId="77777777" w:rsidR="007066D2" w:rsidRDefault="00735227" w:rsidP="00ED26A0">
      <w:pPr>
        <w:pStyle w:val="Note"/>
        <w:ind w:left="0" w:firstLine="0"/>
      </w:pPr>
      <w:r w:rsidRPr="003B6402">
        <w:t>Note: Recent quit attempters were able to s</w:t>
      </w:r>
      <w:r>
        <w:t xml:space="preserve">elect multiple </w:t>
      </w:r>
      <w:r w:rsidRPr="003B6402">
        <w:t>advice, programmes and products used in their most recent quit attempt</w:t>
      </w:r>
      <w:r>
        <w:t>. Therefore, they</w:t>
      </w:r>
      <w:r w:rsidRPr="003B6402">
        <w:t xml:space="preserve"> may be included in more than one category. For example, many Quitline users will also use NRT sourced from the Quitline in a quit attempt.</w:t>
      </w:r>
    </w:p>
    <w:p w14:paraId="7F9D0474" w14:textId="77777777" w:rsidR="00735227" w:rsidRDefault="00735227" w:rsidP="00ED26A0"/>
    <w:p w14:paraId="45C0C46F" w14:textId="77777777" w:rsidR="00735227" w:rsidRPr="006200F6" w:rsidRDefault="00735227" w:rsidP="00ED26A0">
      <w:pPr>
        <w:pStyle w:val="Heading3"/>
      </w:pPr>
      <w:r w:rsidRPr="003130D7">
        <w:t xml:space="preserve">One in five young smokers used </w:t>
      </w:r>
      <w:r>
        <w:t>nicotine replacement therapy</w:t>
      </w:r>
      <w:r w:rsidRPr="003130D7">
        <w:t xml:space="preserve"> to aid their quit attempt</w:t>
      </w:r>
    </w:p>
    <w:p w14:paraId="0F3CBE8E" w14:textId="77777777" w:rsidR="007066D2" w:rsidRPr="00312920" w:rsidRDefault="00735227" w:rsidP="00ED26A0">
      <w:pPr>
        <w:rPr>
          <w:spacing w:val="-2"/>
        </w:rPr>
      </w:pPr>
      <w:r>
        <w:t xml:space="preserve">Nicotine replacement therapy (NRT) has been used in New Zealand for over two decades. NRT comes in a number of forms and controls nicotine addiction and severity of nicotine withdrawal </w:t>
      </w:r>
      <w:r w:rsidRPr="00312920">
        <w:rPr>
          <w:spacing w:val="-2"/>
        </w:rPr>
        <w:t>symptoms by replacing some of the nicotine a smoker usually gets from cigarettes. It is a safe and effective treatment that doubles the chances of long-term quitting success (The Quit Group 2009).</w:t>
      </w:r>
    </w:p>
    <w:p w14:paraId="2866F41A" w14:textId="77777777" w:rsidR="00735227" w:rsidRDefault="00735227" w:rsidP="00ED26A0"/>
    <w:p w14:paraId="10AF4ADC" w14:textId="77777777" w:rsidR="007066D2" w:rsidRDefault="00735227" w:rsidP="00ED26A0">
      <w:r>
        <w:t>The use of NRT to aid cessation was not restricted to the older smokers who were more than likely to have been smoking for some time. Almost one in five (19%) more novice smokers</w:t>
      </w:r>
      <w:r w:rsidR="00ED26A0">
        <w:br/>
      </w:r>
      <w:r>
        <w:t>(15–19 years) reported using NRT during their most recent quit attempt (Figure 20).</w:t>
      </w:r>
    </w:p>
    <w:p w14:paraId="2FD7A35A" w14:textId="77777777" w:rsidR="00735227" w:rsidRDefault="00735227" w:rsidP="00ED26A0"/>
    <w:p w14:paraId="7EA28DD5" w14:textId="77777777" w:rsidR="00735227" w:rsidRDefault="00735227" w:rsidP="00312920">
      <w:pPr>
        <w:pStyle w:val="Figure"/>
        <w:spacing w:before="60" w:after="60"/>
      </w:pPr>
      <w:bookmarkStart w:id="197" w:name="_Toc399920503"/>
      <w:bookmarkStart w:id="198" w:name="_Toc404258429"/>
      <w:r>
        <w:t xml:space="preserve">Figure </w:t>
      </w:r>
      <w:r w:rsidR="00ED26A0">
        <w:t>20</w:t>
      </w:r>
      <w:r w:rsidRPr="001F540B">
        <w:t>:</w:t>
      </w:r>
      <w:r w:rsidR="00ED26A0">
        <w:t xml:space="preserve"> </w:t>
      </w:r>
      <w:r w:rsidRPr="001F540B">
        <w:t xml:space="preserve">Proportion of recent quit attempters who used NRT during </w:t>
      </w:r>
      <w:r w:rsidR="005E07CD">
        <w:t xml:space="preserve">their </w:t>
      </w:r>
      <w:r w:rsidRPr="001F540B">
        <w:t>most recent quit attempt, by age group</w:t>
      </w:r>
      <w:bookmarkEnd w:id="197"/>
      <w:bookmarkEnd w:id="198"/>
    </w:p>
    <w:p w14:paraId="3D2811ED" w14:textId="77777777" w:rsidR="00735227" w:rsidRPr="00DA6B3C" w:rsidRDefault="00222295" w:rsidP="00222295">
      <w:pPr>
        <w:rPr>
          <w:lang w:eastAsia="en-US"/>
        </w:rPr>
      </w:pPr>
      <w:r w:rsidRPr="00222295">
        <w:rPr>
          <w:noProof/>
          <w:lang w:eastAsia="en-NZ"/>
        </w:rPr>
        <w:drawing>
          <wp:inline distT="0" distB="0" distL="0" distR="0" wp14:anchorId="1A486131" wp14:editId="65C5510B">
            <wp:extent cx="4405745" cy="2577464"/>
            <wp:effectExtent l="0" t="0" r="0" b="0"/>
            <wp:docPr id="21" name="Picture 21" title="Figure 20: Proportion of recent quit attempters who used NRT during most recent quit attempt,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r="10312" b="13991"/>
                    <a:stretch/>
                  </pic:blipFill>
                  <pic:spPr bwMode="auto">
                    <a:xfrm>
                      <a:off x="0" y="0"/>
                      <a:ext cx="4405214" cy="2577153"/>
                    </a:xfrm>
                    <a:prstGeom prst="rect">
                      <a:avLst/>
                    </a:prstGeom>
                    <a:ln>
                      <a:noFill/>
                    </a:ln>
                    <a:extLst>
                      <a:ext uri="{53640926-AAD7-44D8-BBD7-CCE9431645EC}">
                        <a14:shadowObscured xmlns:a14="http://schemas.microsoft.com/office/drawing/2010/main"/>
                      </a:ext>
                    </a:extLst>
                  </pic:spPr>
                </pic:pic>
              </a:graphicData>
            </a:graphic>
          </wp:inline>
        </w:drawing>
      </w:r>
    </w:p>
    <w:p w14:paraId="45447A27" w14:textId="77777777" w:rsidR="00735227" w:rsidRPr="003B6402" w:rsidRDefault="00735227" w:rsidP="00312920">
      <w:pPr>
        <w:pStyle w:val="Source"/>
        <w:spacing w:before="40"/>
      </w:pPr>
      <w:r w:rsidRPr="003B6402">
        <w:t xml:space="preserve">Source: 2012/13 </w:t>
      </w:r>
      <w:r>
        <w:t>NZHS</w:t>
      </w:r>
    </w:p>
    <w:p w14:paraId="6F0F07D3" w14:textId="77777777" w:rsidR="00735227" w:rsidRPr="003130D7" w:rsidRDefault="00735227" w:rsidP="00312920">
      <w:pPr>
        <w:pStyle w:val="Heading3"/>
        <w:spacing w:before="360"/>
      </w:pPr>
      <w:r w:rsidRPr="003130D7">
        <w:t xml:space="preserve">Māori smokers were the highest users of </w:t>
      </w:r>
      <w:r>
        <w:t>nicotine replacement therapy</w:t>
      </w:r>
    </w:p>
    <w:p w14:paraId="2EAC2BCE" w14:textId="7F34F896" w:rsidR="007066D2" w:rsidRDefault="00735227" w:rsidP="00ED26A0">
      <w:r>
        <w:t>Table 19 shows that among all ethnic groups, Māori ma</w:t>
      </w:r>
      <w:r w:rsidR="00D27246">
        <w:t>de up the largest proportion (29</w:t>
      </w:r>
      <w:r>
        <w:t>%) of recent quit attempters who reported using NRT during their most recent quit attempt. Close behind were European/Other (25%) and Pacific (23%) recent quit attempters, while Asian smokers had the lowest rate of use of NRT (15%).</w:t>
      </w:r>
    </w:p>
    <w:p w14:paraId="1E1944F2" w14:textId="77777777" w:rsidR="00735227" w:rsidRDefault="00735227" w:rsidP="00ED26A0"/>
    <w:p w14:paraId="4A76B9DA" w14:textId="09CD1306" w:rsidR="007066D2" w:rsidRDefault="00122CAC" w:rsidP="00ED26A0">
      <w:r>
        <w:t xml:space="preserve">Māori </w:t>
      </w:r>
      <w:r w:rsidR="00735227">
        <w:t>were 1.3 times more likely than non-Māori recent quit attempters to have used NRT, after adjusting for age and sex differences (Table 20).</w:t>
      </w:r>
    </w:p>
    <w:p w14:paraId="47C4B40A" w14:textId="77777777" w:rsidR="00735227" w:rsidRDefault="00735227" w:rsidP="00ED26A0"/>
    <w:p w14:paraId="603BC749" w14:textId="77777777" w:rsidR="00735227" w:rsidRDefault="00735227" w:rsidP="00ED26A0">
      <w:pPr>
        <w:pStyle w:val="Table"/>
      </w:pPr>
      <w:bookmarkStart w:id="199" w:name="_Toc399920530"/>
      <w:bookmarkStart w:id="200" w:name="_Toc404091119"/>
      <w:r>
        <w:t xml:space="preserve">Table </w:t>
      </w:r>
      <w:r w:rsidR="00ED26A0">
        <w:t>19</w:t>
      </w:r>
      <w:r w:rsidRPr="007419B1">
        <w:t>:</w:t>
      </w:r>
      <w:r w:rsidR="00ED26A0">
        <w:t xml:space="preserve"> </w:t>
      </w:r>
      <w:r w:rsidRPr="007419B1">
        <w:t>Use of NRT during most recent quit attempt, among recent quit attempters, by ethnic group</w:t>
      </w:r>
      <w:bookmarkEnd w:id="199"/>
      <w:bookmarkEnd w:id="20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ED26A0" w:rsidRPr="00D66766" w14:paraId="6243E2D2" w14:textId="77777777" w:rsidTr="00936322">
        <w:trPr>
          <w:cantSplit/>
        </w:trPr>
        <w:tc>
          <w:tcPr>
            <w:tcW w:w="3080" w:type="dxa"/>
            <w:tcBorders>
              <w:top w:val="single" w:sz="4" w:space="0" w:color="auto"/>
              <w:bottom w:val="single" w:sz="4" w:space="0" w:color="auto"/>
            </w:tcBorders>
            <w:shd w:val="clear" w:color="auto" w:fill="auto"/>
          </w:tcPr>
          <w:p w14:paraId="70592BAF" w14:textId="77777777" w:rsidR="00ED26A0" w:rsidRPr="00D66766" w:rsidRDefault="00ED26A0" w:rsidP="00936322">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27EDD58E" w14:textId="77777777" w:rsidR="00ED26A0" w:rsidRPr="00D66766" w:rsidRDefault="00ED26A0" w:rsidP="00936322">
            <w:pPr>
              <w:pStyle w:val="TableText"/>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6A268186" w14:textId="77777777" w:rsidR="00ED26A0" w:rsidRPr="00D66766" w:rsidRDefault="00ED26A0" w:rsidP="00936322">
            <w:pPr>
              <w:pStyle w:val="TableText"/>
              <w:jc w:val="center"/>
              <w:rPr>
                <w:b/>
              </w:rPr>
            </w:pPr>
            <w:r w:rsidRPr="00D66766">
              <w:rPr>
                <w:b/>
              </w:rPr>
              <w:t>Estimated number</w:t>
            </w:r>
          </w:p>
        </w:tc>
      </w:tr>
      <w:tr w:rsidR="00ED26A0" w:rsidRPr="007B7915" w14:paraId="59159D1C" w14:textId="77777777" w:rsidTr="00936322">
        <w:trPr>
          <w:cantSplit/>
        </w:trPr>
        <w:tc>
          <w:tcPr>
            <w:tcW w:w="3080" w:type="dxa"/>
            <w:tcBorders>
              <w:top w:val="single" w:sz="4" w:space="0" w:color="auto"/>
              <w:bottom w:val="single" w:sz="4" w:space="0" w:color="A6A6A6" w:themeColor="background1" w:themeShade="A6"/>
            </w:tcBorders>
            <w:shd w:val="clear" w:color="auto" w:fill="auto"/>
          </w:tcPr>
          <w:p w14:paraId="616176C4" w14:textId="77777777" w:rsidR="00ED26A0" w:rsidRPr="007B7915" w:rsidRDefault="00ED26A0" w:rsidP="00936322">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vAlign w:val="bottom"/>
          </w:tcPr>
          <w:p w14:paraId="73162D4B" w14:textId="7097856A" w:rsidR="00ED26A0" w:rsidRPr="007B7915" w:rsidRDefault="00A923D9" w:rsidP="00ED26A0">
            <w:pPr>
              <w:pStyle w:val="TableText"/>
              <w:jc w:val="center"/>
            </w:pPr>
            <w:r>
              <w:t>29</w:t>
            </w:r>
          </w:p>
        </w:tc>
        <w:tc>
          <w:tcPr>
            <w:tcW w:w="2075" w:type="dxa"/>
            <w:tcBorders>
              <w:top w:val="single" w:sz="4" w:space="0" w:color="auto"/>
              <w:bottom w:val="single" w:sz="4" w:space="0" w:color="A6A6A6" w:themeColor="background1" w:themeShade="A6"/>
            </w:tcBorders>
            <w:shd w:val="clear" w:color="auto" w:fill="auto"/>
            <w:vAlign w:val="bottom"/>
          </w:tcPr>
          <w:p w14:paraId="34D48C42" w14:textId="77777777" w:rsidR="00ED26A0" w:rsidRPr="007B7915" w:rsidRDefault="00ED26A0" w:rsidP="00ED26A0">
            <w:pPr>
              <w:pStyle w:val="TableText"/>
              <w:tabs>
                <w:tab w:val="decimal" w:pos="1309"/>
              </w:tabs>
            </w:pPr>
            <w:r w:rsidRPr="007B7915">
              <w:t>27</w:t>
            </w:r>
            <w:r>
              <w:t>,0</w:t>
            </w:r>
            <w:r w:rsidRPr="007B7915">
              <w:t>00</w:t>
            </w:r>
          </w:p>
        </w:tc>
      </w:tr>
      <w:tr w:rsidR="00ED26A0" w:rsidRPr="007B7915" w14:paraId="6A1EFD8F"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2D3932E9" w14:textId="77777777" w:rsidR="00ED26A0" w:rsidRPr="007B7915" w:rsidRDefault="00ED26A0" w:rsidP="00936322">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662D22A" w14:textId="77777777" w:rsidR="00ED26A0" w:rsidRPr="007B7915" w:rsidRDefault="00ED26A0" w:rsidP="00ED26A0">
            <w:pPr>
              <w:pStyle w:val="TableText"/>
              <w:jc w:val="center"/>
            </w:pPr>
            <w:r>
              <w:t>23</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18254D9B" w14:textId="77777777" w:rsidR="00ED26A0" w:rsidRPr="007B7915" w:rsidRDefault="00ED26A0" w:rsidP="00ED26A0">
            <w:pPr>
              <w:pStyle w:val="TableText"/>
              <w:tabs>
                <w:tab w:val="decimal" w:pos="1309"/>
              </w:tabs>
            </w:pPr>
            <w:r>
              <w:t>70</w:t>
            </w:r>
            <w:r w:rsidRPr="007B7915">
              <w:t>00</w:t>
            </w:r>
          </w:p>
        </w:tc>
      </w:tr>
      <w:tr w:rsidR="00ED26A0" w:rsidRPr="007B7915" w14:paraId="270957F9"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41F25760" w14:textId="77777777" w:rsidR="00ED26A0" w:rsidRPr="007B7915" w:rsidRDefault="00ED26A0" w:rsidP="00936322">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90EE475" w14:textId="77777777" w:rsidR="00ED26A0" w:rsidRPr="007B7915" w:rsidRDefault="00ED26A0" w:rsidP="00ED26A0">
            <w:pPr>
              <w:pStyle w:val="TableText"/>
              <w:jc w:val="center"/>
            </w:pPr>
            <w:r>
              <w:t>15</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1B5F032B" w14:textId="77777777" w:rsidR="00ED26A0" w:rsidRPr="007B7915" w:rsidRDefault="00ED26A0" w:rsidP="00ED26A0">
            <w:pPr>
              <w:pStyle w:val="TableText"/>
              <w:tabs>
                <w:tab w:val="decimal" w:pos="1309"/>
              </w:tabs>
            </w:pPr>
            <w:r>
              <w:t>40</w:t>
            </w:r>
            <w:r w:rsidRPr="007B7915">
              <w:t>00</w:t>
            </w:r>
          </w:p>
        </w:tc>
      </w:tr>
      <w:tr w:rsidR="00ED26A0" w:rsidRPr="007B7915" w14:paraId="3F656360" w14:textId="77777777" w:rsidTr="00936322">
        <w:trPr>
          <w:cantSplit/>
        </w:trPr>
        <w:tc>
          <w:tcPr>
            <w:tcW w:w="3080" w:type="dxa"/>
            <w:tcBorders>
              <w:top w:val="single" w:sz="4" w:space="0" w:color="A6A6A6" w:themeColor="background1" w:themeShade="A6"/>
            </w:tcBorders>
            <w:shd w:val="clear" w:color="auto" w:fill="auto"/>
          </w:tcPr>
          <w:p w14:paraId="2C80ACA5" w14:textId="77777777" w:rsidR="00ED26A0" w:rsidRPr="007B7915" w:rsidRDefault="00ED26A0" w:rsidP="00936322">
            <w:pPr>
              <w:pStyle w:val="TableText"/>
            </w:pPr>
            <w:r w:rsidRPr="007B7915">
              <w:t>European/Other</w:t>
            </w:r>
          </w:p>
        </w:tc>
        <w:tc>
          <w:tcPr>
            <w:tcW w:w="2075" w:type="dxa"/>
            <w:tcBorders>
              <w:top w:val="single" w:sz="4" w:space="0" w:color="A6A6A6" w:themeColor="background1" w:themeShade="A6"/>
            </w:tcBorders>
            <w:shd w:val="clear" w:color="auto" w:fill="auto"/>
            <w:vAlign w:val="bottom"/>
          </w:tcPr>
          <w:p w14:paraId="5F6C10D4" w14:textId="77777777" w:rsidR="00ED26A0" w:rsidRPr="007B7915" w:rsidRDefault="00ED26A0" w:rsidP="00ED26A0">
            <w:pPr>
              <w:pStyle w:val="TableText"/>
              <w:jc w:val="center"/>
            </w:pPr>
            <w:r>
              <w:t>25</w:t>
            </w:r>
          </w:p>
        </w:tc>
        <w:tc>
          <w:tcPr>
            <w:tcW w:w="2075" w:type="dxa"/>
            <w:tcBorders>
              <w:top w:val="single" w:sz="4" w:space="0" w:color="A6A6A6" w:themeColor="background1" w:themeShade="A6"/>
            </w:tcBorders>
            <w:shd w:val="clear" w:color="auto" w:fill="auto"/>
            <w:vAlign w:val="bottom"/>
          </w:tcPr>
          <w:p w14:paraId="4FCE7B84" w14:textId="53332FFA" w:rsidR="00ED26A0" w:rsidRPr="007B7915" w:rsidRDefault="00A923D9" w:rsidP="00ED26A0">
            <w:pPr>
              <w:pStyle w:val="TableText"/>
              <w:tabs>
                <w:tab w:val="decimal" w:pos="1309"/>
              </w:tabs>
            </w:pPr>
            <w:r>
              <w:t>65</w:t>
            </w:r>
            <w:r w:rsidR="00ED26A0">
              <w:t>,0</w:t>
            </w:r>
            <w:r w:rsidR="00ED26A0" w:rsidRPr="007B7915">
              <w:t>00</w:t>
            </w:r>
          </w:p>
        </w:tc>
      </w:tr>
    </w:tbl>
    <w:p w14:paraId="2FA22D59" w14:textId="77777777" w:rsidR="00ED26A0" w:rsidRPr="009321F1" w:rsidRDefault="00ED26A0" w:rsidP="00ED26A0">
      <w:pPr>
        <w:pStyle w:val="TableNote"/>
        <w:ind w:right="2155"/>
      </w:pPr>
      <w:r w:rsidRPr="009321F1">
        <w:t>Source: 2012/13 New Zealand Health Survey</w:t>
      </w:r>
    </w:p>
    <w:p w14:paraId="7BB27024" w14:textId="77777777" w:rsidR="00ED26A0" w:rsidRPr="00932856" w:rsidRDefault="00ED26A0" w:rsidP="00ED26A0">
      <w:pPr>
        <w:pStyle w:val="TableNote"/>
        <w:ind w:right="2155"/>
      </w:pPr>
      <w:r w:rsidRPr="009321F1">
        <w:t>Note: Total response ethnicity has been used</w:t>
      </w:r>
      <w:r>
        <w:t>.</w:t>
      </w:r>
    </w:p>
    <w:p w14:paraId="078519DB" w14:textId="77777777" w:rsidR="00ED26A0" w:rsidRDefault="00ED26A0" w:rsidP="00ED26A0"/>
    <w:p w14:paraId="183D94F1" w14:textId="77777777" w:rsidR="00735227" w:rsidRDefault="00735227" w:rsidP="00ED26A0">
      <w:pPr>
        <w:pStyle w:val="Table"/>
      </w:pPr>
      <w:bookmarkStart w:id="201" w:name="_Toc399920531"/>
      <w:bookmarkStart w:id="202" w:name="_Toc404091120"/>
      <w:r>
        <w:t xml:space="preserve">Table </w:t>
      </w:r>
      <w:r w:rsidR="00ED26A0">
        <w:t>20</w:t>
      </w:r>
      <w:r w:rsidRPr="00FC65A9">
        <w:t>:</w:t>
      </w:r>
      <w:r w:rsidR="00ED26A0">
        <w:t xml:space="preserve"> </w:t>
      </w:r>
      <w:r w:rsidRPr="00FC65A9">
        <w:t>Adjusted rate ratios for the use of NRT in most recent quit attempt among most recent quit attempters</w:t>
      </w:r>
      <w:bookmarkEnd w:id="201"/>
      <w:bookmarkEnd w:id="202"/>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984"/>
      </w:tblGrid>
      <w:tr w:rsidR="00ED26A0" w:rsidRPr="007B7915" w14:paraId="70DDF7FC" w14:textId="77777777" w:rsidTr="00936322">
        <w:trPr>
          <w:cantSplit/>
        </w:trPr>
        <w:tc>
          <w:tcPr>
            <w:tcW w:w="3119" w:type="dxa"/>
            <w:shd w:val="clear" w:color="auto" w:fill="auto"/>
          </w:tcPr>
          <w:p w14:paraId="0D87A5BD" w14:textId="77777777" w:rsidR="00ED26A0" w:rsidRPr="007B7915" w:rsidRDefault="00ED26A0" w:rsidP="00312920">
            <w:pPr>
              <w:pStyle w:val="TableText"/>
            </w:pPr>
            <w:r w:rsidRPr="007B7915">
              <w:t>Men v</w:t>
            </w:r>
            <w:r>
              <w:t>ersu</w:t>
            </w:r>
            <w:r w:rsidRPr="007B7915">
              <w:t>s women</w:t>
            </w:r>
          </w:p>
        </w:tc>
        <w:tc>
          <w:tcPr>
            <w:tcW w:w="1984" w:type="dxa"/>
          </w:tcPr>
          <w:p w14:paraId="27EE0260" w14:textId="77777777" w:rsidR="00ED26A0" w:rsidRPr="007B7915" w:rsidRDefault="00ED26A0" w:rsidP="00312920">
            <w:pPr>
              <w:pStyle w:val="TableText"/>
              <w:tabs>
                <w:tab w:val="decimal" w:pos="961"/>
              </w:tabs>
            </w:pPr>
            <w:r w:rsidRPr="007B7915">
              <w:t>1.0</w:t>
            </w:r>
          </w:p>
        </w:tc>
      </w:tr>
      <w:tr w:rsidR="00ED26A0" w:rsidRPr="007B7915" w14:paraId="182B387F" w14:textId="77777777" w:rsidTr="00936322">
        <w:trPr>
          <w:cantSplit/>
        </w:trPr>
        <w:tc>
          <w:tcPr>
            <w:tcW w:w="3119" w:type="dxa"/>
            <w:shd w:val="clear" w:color="auto" w:fill="auto"/>
          </w:tcPr>
          <w:p w14:paraId="0E7F79F5" w14:textId="77777777" w:rsidR="00ED26A0" w:rsidRPr="007B7915" w:rsidRDefault="00ED26A0" w:rsidP="00312920">
            <w:pPr>
              <w:pStyle w:val="TableText"/>
            </w:pPr>
            <w:r w:rsidRPr="007B7915">
              <w:t>Māori v</w:t>
            </w:r>
            <w:r>
              <w:t>ersu</w:t>
            </w:r>
            <w:r w:rsidRPr="007B7915">
              <w:t>s non-Māori</w:t>
            </w:r>
          </w:p>
        </w:tc>
        <w:tc>
          <w:tcPr>
            <w:tcW w:w="1984" w:type="dxa"/>
          </w:tcPr>
          <w:p w14:paraId="4B7665C6" w14:textId="77777777" w:rsidR="00ED26A0" w:rsidRPr="007B7915" w:rsidRDefault="00ED26A0" w:rsidP="00312920">
            <w:pPr>
              <w:pStyle w:val="TableText"/>
              <w:tabs>
                <w:tab w:val="decimal" w:pos="961"/>
              </w:tabs>
            </w:pPr>
            <w:r w:rsidRPr="007B7915">
              <w:t>1.3*</w:t>
            </w:r>
          </w:p>
        </w:tc>
      </w:tr>
      <w:tr w:rsidR="00ED26A0" w:rsidRPr="007B7915" w14:paraId="3E096A1D" w14:textId="77777777" w:rsidTr="00936322">
        <w:trPr>
          <w:cantSplit/>
        </w:trPr>
        <w:tc>
          <w:tcPr>
            <w:tcW w:w="3119" w:type="dxa"/>
            <w:shd w:val="clear" w:color="auto" w:fill="auto"/>
          </w:tcPr>
          <w:p w14:paraId="4D231243" w14:textId="77777777" w:rsidR="00ED26A0" w:rsidRPr="007B7915" w:rsidRDefault="00ED26A0" w:rsidP="00312920">
            <w:pPr>
              <w:pStyle w:val="TableText"/>
            </w:pPr>
            <w:r w:rsidRPr="007B7915">
              <w:t>Pacific v</w:t>
            </w:r>
            <w:r>
              <w:t>ersu</w:t>
            </w:r>
            <w:r w:rsidRPr="007B7915">
              <w:t>s non-Pacific</w:t>
            </w:r>
          </w:p>
        </w:tc>
        <w:tc>
          <w:tcPr>
            <w:tcW w:w="1984" w:type="dxa"/>
          </w:tcPr>
          <w:p w14:paraId="55808209" w14:textId="77777777" w:rsidR="00ED26A0" w:rsidRPr="007B7915" w:rsidRDefault="00ED26A0" w:rsidP="00312920">
            <w:pPr>
              <w:pStyle w:val="TableText"/>
              <w:tabs>
                <w:tab w:val="decimal" w:pos="961"/>
              </w:tabs>
            </w:pPr>
            <w:r w:rsidRPr="007B7915">
              <w:t>1.0</w:t>
            </w:r>
          </w:p>
        </w:tc>
      </w:tr>
      <w:tr w:rsidR="00ED26A0" w:rsidRPr="007B7915" w14:paraId="23C1B50A" w14:textId="77777777" w:rsidTr="00936322">
        <w:trPr>
          <w:cantSplit/>
        </w:trPr>
        <w:tc>
          <w:tcPr>
            <w:tcW w:w="3119" w:type="dxa"/>
            <w:shd w:val="clear" w:color="auto" w:fill="auto"/>
          </w:tcPr>
          <w:p w14:paraId="0A38A205" w14:textId="77777777" w:rsidR="00ED26A0" w:rsidRPr="007B7915" w:rsidRDefault="00ED26A0" w:rsidP="00312920">
            <w:pPr>
              <w:pStyle w:val="TableText"/>
            </w:pPr>
            <w:r w:rsidRPr="007B7915">
              <w:t>Asian v</w:t>
            </w:r>
            <w:r>
              <w:t>ersu</w:t>
            </w:r>
            <w:r w:rsidRPr="007B7915">
              <w:t>s non-Asian</w:t>
            </w:r>
          </w:p>
        </w:tc>
        <w:tc>
          <w:tcPr>
            <w:tcW w:w="1984" w:type="dxa"/>
          </w:tcPr>
          <w:p w14:paraId="39AC583B" w14:textId="77777777" w:rsidR="00ED26A0" w:rsidRPr="007B7915" w:rsidRDefault="00ED26A0" w:rsidP="00312920">
            <w:pPr>
              <w:pStyle w:val="TableText"/>
              <w:tabs>
                <w:tab w:val="decimal" w:pos="961"/>
              </w:tabs>
            </w:pPr>
            <w:r w:rsidRPr="007B7915">
              <w:t>0.6</w:t>
            </w:r>
          </w:p>
        </w:tc>
      </w:tr>
      <w:tr w:rsidR="00ED26A0" w:rsidRPr="007B7915" w14:paraId="27B369CE" w14:textId="77777777" w:rsidTr="00936322">
        <w:trPr>
          <w:cantSplit/>
        </w:trPr>
        <w:tc>
          <w:tcPr>
            <w:tcW w:w="3119" w:type="dxa"/>
            <w:shd w:val="clear" w:color="auto" w:fill="auto"/>
          </w:tcPr>
          <w:p w14:paraId="594AFFCC" w14:textId="77777777" w:rsidR="00ED26A0" w:rsidRPr="007B7915" w:rsidRDefault="00ED26A0" w:rsidP="00312920">
            <w:pPr>
              <w:pStyle w:val="TableText"/>
            </w:pPr>
            <w:r w:rsidRPr="007B7915">
              <w:t>Most v</w:t>
            </w:r>
            <w:r>
              <w:t>ersu</w:t>
            </w:r>
            <w:r w:rsidRPr="007B7915">
              <w:t>s least deprived</w:t>
            </w:r>
          </w:p>
        </w:tc>
        <w:tc>
          <w:tcPr>
            <w:tcW w:w="1984" w:type="dxa"/>
          </w:tcPr>
          <w:p w14:paraId="2D4413AC" w14:textId="77777777" w:rsidR="00ED26A0" w:rsidRPr="007B7915" w:rsidRDefault="00ED26A0" w:rsidP="00312920">
            <w:pPr>
              <w:pStyle w:val="TableText"/>
              <w:tabs>
                <w:tab w:val="decimal" w:pos="961"/>
              </w:tabs>
            </w:pPr>
            <w:r w:rsidRPr="007B7915">
              <w:t>1.2</w:t>
            </w:r>
          </w:p>
        </w:tc>
      </w:tr>
    </w:tbl>
    <w:p w14:paraId="28EEBFC8" w14:textId="77777777" w:rsidR="00735227" w:rsidRDefault="00735227" w:rsidP="00ED26A0">
      <w:pPr>
        <w:pStyle w:val="TableNote"/>
      </w:pPr>
      <w:r w:rsidRPr="009E53CE">
        <w:t xml:space="preserve">Source: 2012/13 </w:t>
      </w:r>
      <w:r>
        <w:t>NZHS</w:t>
      </w:r>
    </w:p>
    <w:p w14:paraId="6A401B1E" w14:textId="77777777" w:rsidR="00735227" w:rsidRDefault="00735227" w:rsidP="00ED26A0">
      <w:pPr>
        <w:pStyle w:val="TableNote"/>
      </w:pPr>
      <w:r>
        <w:t>*</w:t>
      </w:r>
      <w:r w:rsidR="00ED26A0">
        <w:tab/>
      </w:r>
      <w:r>
        <w:t>There is a statistically significant difference between the two groups.</w:t>
      </w:r>
    </w:p>
    <w:p w14:paraId="385D4855" w14:textId="77777777" w:rsidR="007066D2" w:rsidRDefault="00735227" w:rsidP="00ED26A0">
      <w:pPr>
        <w:pStyle w:val="TableNote"/>
        <w:ind w:left="0" w:firstLine="0"/>
      </w:pPr>
      <w:r>
        <w:t>Notes: The sex comparison is adjusted for age. Ethnic comparisons are adjusted for age and sex. Deprivation comparisons are adjusted for age, sex and ethnic group.</w:t>
      </w:r>
    </w:p>
    <w:p w14:paraId="6DACB713" w14:textId="77777777" w:rsidR="00735227" w:rsidRPr="009E53CE" w:rsidRDefault="00735227" w:rsidP="00ED26A0"/>
    <w:p w14:paraId="15F837B6" w14:textId="77777777" w:rsidR="00735227" w:rsidRPr="003130D7" w:rsidRDefault="00735227" w:rsidP="00ED26A0">
      <w:pPr>
        <w:pStyle w:val="Heading3"/>
      </w:pPr>
      <w:bookmarkStart w:id="203" w:name="_Toc390178311"/>
      <w:bookmarkStart w:id="204" w:name="_Toc400136640"/>
      <w:r w:rsidRPr="0041023D">
        <w:t>Sources</w:t>
      </w:r>
      <w:r w:rsidRPr="003130D7">
        <w:t xml:space="preserve"> of nicotine replacement therapy</w:t>
      </w:r>
      <w:bookmarkEnd w:id="203"/>
      <w:bookmarkEnd w:id="204"/>
    </w:p>
    <w:p w14:paraId="6E7DF27E" w14:textId="3C38E349" w:rsidR="00735227" w:rsidRDefault="00735227" w:rsidP="00ED26A0">
      <w:r>
        <w:t xml:space="preserve">A </w:t>
      </w:r>
      <w:r w:rsidRPr="0018432C">
        <w:t>national</w:t>
      </w:r>
      <w:r>
        <w:t>ly</w:t>
      </w:r>
      <w:r w:rsidRPr="0018432C">
        <w:t xml:space="preserve"> subsidised NRT </w:t>
      </w:r>
      <w:r>
        <w:t>scheme was introduced in New Zealand in 2000, aiming to support smokers to stop smoking</w:t>
      </w:r>
      <w:r w:rsidRPr="00203CAD">
        <w:t xml:space="preserve"> by providing access to lo</w:t>
      </w:r>
      <w:r>
        <w:t xml:space="preserve">w-cost nicotine patches or gum. Over the following 10 years, access has improved so that, by 2009, subsidised NRT was distributed via Quitcards provided </w:t>
      </w:r>
      <w:r w:rsidR="00122CAC">
        <w:t>by</w:t>
      </w:r>
      <w:r w:rsidRPr="00203CAD">
        <w:t xml:space="preserve"> health</w:t>
      </w:r>
      <w:r>
        <w:t xml:space="preserve"> care</w:t>
      </w:r>
      <w:r w:rsidRPr="00203CAD">
        <w:t xml:space="preserve"> professionals </w:t>
      </w:r>
      <w:r>
        <w:t>who have</w:t>
      </w:r>
      <w:r w:rsidRPr="00203CAD">
        <w:t xml:space="preserve"> prescribing rights</w:t>
      </w:r>
      <w:r>
        <w:t>,</w:t>
      </w:r>
      <w:r w:rsidRPr="00203CAD">
        <w:t xml:space="preserve"> including GPs, </w:t>
      </w:r>
      <w:r>
        <w:t>m</w:t>
      </w:r>
      <w:r w:rsidRPr="00203CAD">
        <w:t>idwives, dentists, optometrists and nurse practitioners</w:t>
      </w:r>
      <w:r>
        <w:t>. Smokers are also able to purchase selected NRT products without a Quitcard at full price from retail outlets, including supermarkets and pharmacies.</w:t>
      </w:r>
    </w:p>
    <w:p w14:paraId="70CCC082" w14:textId="77777777" w:rsidR="00735227" w:rsidRDefault="00735227" w:rsidP="00ED26A0"/>
    <w:p w14:paraId="7A023B6D" w14:textId="77777777" w:rsidR="007066D2" w:rsidRDefault="00735227" w:rsidP="00ED26A0">
      <w:r w:rsidRPr="00A21A3A">
        <w:t xml:space="preserve">In </w:t>
      </w:r>
      <w:r>
        <w:t>the survey</w:t>
      </w:r>
      <w:r w:rsidRPr="00A21A3A">
        <w:t>, respondents were asked where they got their NRT from and whether it was subsidised or not.</w:t>
      </w:r>
    </w:p>
    <w:p w14:paraId="42AEBCB5" w14:textId="77777777" w:rsidR="00735227" w:rsidRDefault="00735227" w:rsidP="00ED26A0"/>
    <w:p w14:paraId="448A4C30" w14:textId="77777777" w:rsidR="00735227" w:rsidRPr="003130D7" w:rsidRDefault="00735227" w:rsidP="00ED26A0">
      <w:pPr>
        <w:pStyle w:val="Heading3"/>
      </w:pPr>
      <w:r w:rsidRPr="003130D7">
        <w:t xml:space="preserve">Most smokers received subsidised </w:t>
      </w:r>
      <w:r>
        <w:t>nicotine replacement therapy</w:t>
      </w:r>
      <w:r w:rsidRPr="003130D7">
        <w:t xml:space="preserve"> via a Quitcard</w:t>
      </w:r>
    </w:p>
    <w:p w14:paraId="08999E83" w14:textId="77777777" w:rsidR="007066D2" w:rsidRDefault="00735227" w:rsidP="00ED26A0">
      <w:r>
        <w:t>Of those smokers who had used NRT in their most recent quit attempt, the majority (59%) received subsidised NRT via a Quitcard, while just over 20% purchased it over the counter at full price.</w:t>
      </w:r>
    </w:p>
    <w:p w14:paraId="0862CF9A" w14:textId="77777777" w:rsidR="00735227" w:rsidRDefault="00735227" w:rsidP="00ED26A0"/>
    <w:p w14:paraId="240512F2" w14:textId="77777777" w:rsidR="00AA2408" w:rsidRDefault="00735227" w:rsidP="00ED26A0">
      <w:r>
        <w:t>Less than half (44%) of smokers who had used NRT received their prescription or Quitcard from their GP, one-third (34%) received it from the Quitline and nearly 17% from somewhere else other than a hospital doctor or pharmacy (Figure 21). Of the 20% of recent quit attempters who purchased non-subsidised NRT, 16% bought it from a pharmacy, and</w:t>
      </w:r>
      <w:r w:rsidR="00AA2408">
        <w:t xml:space="preserve"> </w:t>
      </w:r>
      <w:r>
        <w:t>3.4% from a supermarket.</w:t>
      </w:r>
      <w:r w:rsidR="00732138">
        <w:t xml:space="preserve"> Very few smokers (less than 5%) who had used NRT received it from a Māori community health worker, supermarket or a midwife.</w:t>
      </w:r>
    </w:p>
    <w:p w14:paraId="3D815043" w14:textId="0A2AB8ED" w:rsidR="00735227" w:rsidRDefault="00735227" w:rsidP="00ED26A0"/>
    <w:p w14:paraId="24F1027E" w14:textId="77777777" w:rsidR="00735227" w:rsidRDefault="00735227" w:rsidP="00ED26A0">
      <w:pPr>
        <w:pStyle w:val="Figure"/>
      </w:pPr>
      <w:bookmarkStart w:id="205" w:name="_Toc399920504"/>
      <w:bookmarkStart w:id="206" w:name="_Toc404258430"/>
      <w:r>
        <w:t xml:space="preserve">Figure </w:t>
      </w:r>
      <w:r w:rsidR="00ED26A0">
        <w:t>21</w:t>
      </w:r>
      <w:r w:rsidRPr="0089150B">
        <w:t>:</w:t>
      </w:r>
      <w:r w:rsidR="00ED26A0">
        <w:t xml:space="preserve"> </w:t>
      </w:r>
      <w:r w:rsidRPr="0089150B">
        <w:t>Source of NRT, among recent quit attempters who used NRT in their most recent quit attempt</w:t>
      </w:r>
      <w:bookmarkEnd w:id="205"/>
      <w:bookmarkEnd w:id="206"/>
    </w:p>
    <w:p w14:paraId="4CF961AE" w14:textId="77777777" w:rsidR="00424783" w:rsidRPr="00DA6B3C" w:rsidRDefault="00424783" w:rsidP="00D10325">
      <w:pPr>
        <w:rPr>
          <w:lang w:eastAsia="en-US"/>
        </w:rPr>
      </w:pPr>
      <w:r w:rsidRPr="00424783">
        <w:rPr>
          <w:noProof/>
          <w:lang w:eastAsia="en-NZ"/>
        </w:rPr>
        <w:drawing>
          <wp:inline distT="0" distB="0" distL="0" distR="0" wp14:anchorId="5DC30556" wp14:editId="1DB09520">
            <wp:extent cx="4380808" cy="2599600"/>
            <wp:effectExtent l="0" t="0" r="1270" b="0"/>
            <wp:docPr id="6" name="Picture 6" title="Figure 21: Source of NRT, among recent quit attempters who used NRT in their most recent quit atte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r="10872" b="13303"/>
                    <a:stretch/>
                  </pic:blipFill>
                  <pic:spPr bwMode="auto">
                    <a:xfrm>
                      <a:off x="0" y="0"/>
                      <a:ext cx="4380281" cy="2599287"/>
                    </a:xfrm>
                    <a:prstGeom prst="rect">
                      <a:avLst/>
                    </a:prstGeom>
                    <a:ln>
                      <a:noFill/>
                    </a:ln>
                    <a:extLst>
                      <a:ext uri="{53640926-AAD7-44D8-BBD7-CCE9431645EC}">
                        <a14:shadowObscured xmlns:a14="http://schemas.microsoft.com/office/drawing/2010/main"/>
                      </a:ext>
                    </a:extLst>
                  </pic:spPr>
                </pic:pic>
              </a:graphicData>
            </a:graphic>
          </wp:inline>
        </w:drawing>
      </w:r>
    </w:p>
    <w:p w14:paraId="16253C1C" w14:textId="77777777" w:rsidR="00735227" w:rsidRPr="00A627BD" w:rsidRDefault="00735227" w:rsidP="00ED26A0">
      <w:pPr>
        <w:pStyle w:val="Source"/>
      </w:pPr>
      <w:r w:rsidRPr="00A627BD">
        <w:t xml:space="preserve">Source: 2012/13 </w:t>
      </w:r>
      <w:r>
        <w:t>NZHS</w:t>
      </w:r>
    </w:p>
    <w:p w14:paraId="2D7FC73A" w14:textId="77777777" w:rsidR="00735227" w:rsidRDefault="00735227" w:rsidP="00ED26A0">
      <w:pPr>
        <w:pStyle w:val="Note"/>
        <w:ind w:left="0" w:firstLine="0"/>
      </w:pPr>
      <w:r w:rsidRPr="00A627BD">
        <w:t>Note</w:t>
      </w:r>
      <w:r>
        <w:t>s</w:t>
      </w:r>
      <w:r w:rsidRPr="00A627BD">
        <w:t>: Recent quit attempters were able to select more than one subsidised source of NRT.</w:t>
      </w:r>
    </w:p>
    <w:p w14:paraId="1A0AD9BC" w14:textId="77777777" w:rsidR="00ED26A0" w:rsidRDefault="00ED26A0" w:rsidP="00ED26A0"/>
    <w:p w14:paraId="32C06B7E" w14:textId="77777777" w:rsidR="007066D2" w:rsidRDefault="00735227" w:rsidP="00ED26A0">
      <w:pPr>
        <w:pStyle w:val="Heading2"/>
      </w:pPr>
      <w:bookmarkStart w:id="207" w:name="_Toc390178313"/>
      <w:bookmarkStart w:id="208" w:name="_Toc400136641"/>
      <w:bookmarkStart w:id="209" w:name="_Toc404091094"/>
      <w:r>
        <w:t xml:space="preserve">Health targets and use of the </w:t>
      </w:r>
      <w:r w:rsidRPr="00501AC2">
        <w:t>ABC</w:t>
      </w:r>
      <w:r>
        <w:t xml:space="preserve"> pathway</w:t>
      </w:r>
      <w:bookmarkEnd w:id="207"/>
      <w:bookmarkEnd w:id="208"/>
      <w:bookmarkEnd w:id="209"/>
    </w:p>
    <w:p w14:paraId="1AE898BE" w14:textId="5853EEB0" w:rsidR="007066D2" w:rsidRDefault="00735227" w:rsidP="00ED26A0">
      <w:r>
        <w:t>In 2009, the Ministry of H</w:t>
      </w:r>
      <w:r w:rsidRPr="00ED5589">
        <w:t xml:space="preserve">ealth </w:t>
      </w:r>
      <w:r>
        <w:t xml:space="preserve">implemented the </w:t>
      </w:r>
      <w:r w:rsidR="00AA2408">
        <w:t>‘</w:t>
      </w:r>
      <w:r>
        <w:t>Better help for smokers to quit</w:t>
      </w:r>
      <w:r w:rsidR="00AA2408">
        <w:t>’</w:t>
      </w:r>
      <w:r>
        <w:t xml:space="preserve"> health target </w:t>
      </w:r>
      <w:r w:rsidR="00AD51B2">
        <w:t xml:space="preserve">aiming for 80% of hospitalised smokers would be provided with advice and help to quit </w:t>
      </w:r>
      <w:r>
        <w:t xml:space="preserve">(Ministry of Health 2009). The current 2012/13 health target </w:t>
      </w:r>
      <w:r w:rsidR="00AD51B2">
        <w:t>has increased as it aims</w:t>
      </w:r>
      <w:r>
        <w:t xml:space="preserve"> for 95% of hospitalised patients who smoke and are seen by a health care practitioner in public hospitals and 90% of enrolled patients who smoke and are seen by a health practitioner in general practice to be offered brief advice and support to quit smoking (Ministry o</w:t>
      </w:r>
      <w:r w:rsidR="00AD51B2">
        <w:t xml:space="preserve">f Health 2013). The target </w:t>
      </w:r>
      <w:r>
        <w:t>also include</w:t>
      </w:r>
      <w:r w:rsidR="00AD51B2">
        <w:t>s</w:t>
      </w:r>
      <w:r>
        <w:t xml:space="preserve"> progress towards 90% of pregnant women (who identify as smokers at the time of confirmation of pregnancy in general practice or booking with a Lead Maternity Carer, LMC) being offered advice and support to quit.</w:t>
      </w:r>
    </w:p>
    <w:p w14:paraId="68386DF0" w14:textId="77777777" w:rsidR="00735227" w:rsidRDefault="00735227" w:rsidP="00ED26A0"/>
    <w:p w14:paraId="57DE83E0" w14:textId="4EDFC8EE" w:rsidR="007066D2" w:rsidRDefault="00735227" w:rsidP="00312920">
      <w:pPr>
        <w:keepLines/>
      </w:pPr>
      <w:r w:rsidRPr="00501AC2">
        <w:rPr>
          <w:i/>
        </w:rPr>
        <w:t xml:space="preserve">The </w:t>
      </w:r>
      <w:r>
        <w:rPr>
          <w:i/>
        </w:rPr>
        <w:t xml:space="preserve">New Zealand Guidelines for Helping People to Stop Smoking </w:t>
      </w:r>
      <w:r>
        <w:t xml:space="preserve">provide guidance for health care workers to use during their contact with smokers (Ministry of Health 2014). The guidelines are structured around the ABC pathway for stopping smoking, which requires health care workers to </w:t>
      </w:r>
      <w:r w:rsidR="00AA2408">
        <w:t>‘</w:t>
      </w:r>
      <w:r w:rsidRPr="0024755F">
        <w:rPr>
          <w:b/>
        </w:rPr>
        <w:t>Ask</w:t>
      </w:r>
      <w:r>
        <w:t xml:space="preserve"> about and document every person</w:t>
      </w:r>
      <w:r w:rsidR="00AA2408">
        <w:t>’</w:t>
      </w:r>
      <w:r>
        <w:t xml:space="preserve">s smoking status, give </w:t>
      </w:r>
      <w:r w:rsidRPr="0024755F">
        <w:rPr>
          <w:b/>
        </w:rPr>
        <w:t>Brief</w:t>
      </w:r>
      <w:r>
        <w:t xml:space="preserve"> </w:t>
      </w:r>
      <w:r w:rsidRPr="00471B33">
        <w:rPr>
          <w:b/>
        </w:rPr>
        <w:t>advice</w:t>
      </w:r>
      <w:r>
        <w:t xml:space="preserve"> to stop to every person who smokes, and to strongly encourage every person who smokes to use </w:t>
      </w:r>
      <w:r>
        <w:rPr>
          <w:b/>
        </w:rPr>
        <w:t>Cessation support</w:t>
      </w:r>
      <w:r w:rsidRPr="00312920">
        <w:t xml:space="preserve"> </w:t>
      </w:r>
      <w:r>
        <w:t>(a combination of behavioural support and stop-smoking medicine) and offer to help them access it</w:t>
      </w:r>
      <w:r w:rsidR="00AA2408">
        <w:t>’</w:t>
      </w:r>
      <w:r>
        <w:t xml:space="preserve"> (Ministry of Health 2014).</w:t>
      </w:r>
    </w:p>
    <w:p w14:paraId="0E76139A" w14:textId="77777777" w:rsidR="00735227" w:rsidRDefault="00735227" w:rsidP="00ED26A0"/>
    <w:p w14:paraId="62DAABA6" w14:textId="0AB54C6D" w:rsidR="00735227" w:rsidRDefault="00735227" w:rsidP="00ED26A0">
      <w:r>
        <w:t>This section presents 2012/13 NZHS data relating to the use of the ABC (combined and single component use) by health care workers, particularly GPs and staff in public hospitals. Due to small numbers, we do not report information for midwives.</w:t>
      </w:r>
      <w:r w:rsidR="00AD51B2">
        <w:t xml:space="preserve"> It also presents </w:t>
      </w:r>
      <w:r w:rsidR="00AA2408">
        <w:t>‘</w:t>
      </w:r>
      <w:r w:rsidR="00AD51B2">
        <w:t>Better help for smokers to quit</w:t>
      </w:r>
      <w:r w:rsidR="00AA2408">
        <w:t>’</w:t>
      </w:r>
      <w:r w:rsidR="00AD51B2">
        <w:t xml:space="preserve"> health target data that is collected by general </w:t>
      </w:r>
      <w:r w:rsidR="007E56E3">
        <w:t>practices and public hospitals.</w:t>
      </w:r>
    </w:p>
    <w:p w14:paraId="79F7DBB0" w14:textId="77777777" w:rsidR="00735227" w:rsidRDefault="00735227" w:rsidP="00ED26A0"/>
    <w:p w14:paraId="34B3EDB8" w14:textId="39669B93" w:rsidR="007066D2" w:rsidRDefault="00D93701" w:rsidP="00ED26A0">
      <w:r>
        <w:t xml:space="preserve">Although </w:t>
      </w:r>
      <w:r w:rsidR="00735227">
        <w:t>NZHS data is compared with health target data</w:t>
      </w:r>
      <w:r>
        <w:t>, c</w:t>
      </w:r>
      <w:r w:rsidR="00AD51B2">
        <w:t>aution should be applied in the inte</w:t>
      </w:r>
      <w:r w:rsidR="00FA6942">
        <w:t>r</w:t>
      </w:r>
      <w:r w:rsidR="00AD51B2">
        <w:t xml:space="preserve">pretation of these comparisons </w:t>
      </w:r>
      <w:r>
        <w:t xml:space="preserve">as </w:t>
      </w:r>
      <w:r w:rsidR="00AD51B2">
        <w:t>t</w:t>
      </w:r>
      <w:r w:rsidR="00735227">
        <w:t>here were methodological differences in data collection between</w:t>
      </w:r>
      <w:r w:rsidR="00AD51B2">
        <w:t xml:space="preserve"> the two sets of data. T</w:t>
      </w:r>
      <w:r w:rsidR="00735227">
        <w:t xml:space="preserve">here were also reporting differences, </w:t>
      </w:r>
      <w:r>
        <w:t xml:space="preserve">in that </w:t>
      </w:r>
      <w:r w:rsidR="00735227">
        <w:t>the NZHS data was reported from the consumer</w:t>
      </w:r>
      <w:r w:rsidR="00AA2408">
        <w:t>’</w:t>
      </w:r>
      <w:r w:rsidR="00735227">
        <w:t>s perspective (smokers) whereas the ABC health target data was reported by health care providers.</w:t>
      </w:r>
    </w:p>
    <w:p w14:paraId="75B36C34" w14:textId="77777777" w:rsidR="00735227" w:rsidRDefault="00735227" w:rsidP="00ED26A0"/>
    <w:p w14:paraId="7F4B0837" w14:textId="77777777" w:rsidR="00735227" w:rsidRPr="004B7288" w:rsidRDefault="00735227" w:rsidP="00ED26A0">
      <w:pPr>
        <w:pStyle w:val="Heading3"/>
      </w:pPr>
      <w:bookmarkStart w:id="210" w:name="_Toc400136642"/>
      <w:r w:rsidRPr="004B7288">
        <w:t xml:space="preserve">Use of the </w:t>
      </w:r>
      <w:r w:rsidRPr="00501AC2">
        <w:t>ABC</w:t>
      </w:r>
      <w:r w:rsidRPr="004B7288">
        <w:t xml:space="preserve"> pathway by </w:t>
      </w:r>
      <w:r>
        <w:t>g</w:t>
      </w:r>
      <w:r w:rsidRPr="004B7288">
        <w:t xml:space="preserve">eneral </w:t>
      </w:r>
      <w:r>
        <w:t>p</w:t>
      </w:r>
      <w:r w:rsidRPr="004B7288">
        <w:t>ractitioners</w:t>
      </w:r>
      <w:bookmarkEnd w:id="210"/>
    </w:p>
    <w:p w14:paraId="7C871399" w14:textId="5FA7BFEC" w:rsidR="00735227" w:rsidRPr="000C6155" w:rsidRDefault="00735227" w:rsidP="00ED26A0">
      <w:pPr>
        <w:pStyle w:val="Heading4"/>
      </w:pPr>
      <w:r w:rsidRPr="000C6155">
        <w:t>Three</w:t>
      </w:r>
      <w:r>
        <w:t>-</w:t>
      </w:r>
      <w:r w:rsidRPr="000C6155">
        <w:t xml:space="preserve">quarters of current smokers </w:t>
      </w:r>
      <w:r>
        <w:t>reported being</w:t>
      </w:r>
      <w:r w:rsidRPr="000C6155">
        <w:t xml:space="preserve"> </w:t>
      </w:r>
      <w:r w:rsidRPr="000C6155">
        <w:rPr>
          <w:u w:val="single"/>
        </w:rPr>
        <w:t>A</w:t>
      </w:r>
      <w:r w:rsidRPr="000C6155">
        <w:t>sked their smoking status by a</w:t>
      </w:r>
      <w:r w:rsidR="007E56E3">
        <w:t> </w:t>
      </w:r>
      <w:r w:rsidRPr="000C6155">
        <w:t>GP</w:t>
      </w:r>
    </w:p>
    <w:p w14:paraId="6507CAE4" w14:textId="7C5BCF89" w:rsidR="007066D2" w:rsidRDefault="00735227" w:rsidP="00ED26A0">
      <w:r>
        <w:t>Half (50%) of the total surveyed population</w:t>
      </w:r>
      <w:r w:rsidR="006D4FF0">
        <w:t xml:space="preserve"> regardless of smoking status</w:t>
      </w:r>
      <w:r>
        <w:t xml:space="preserve"> and almost three-quarters (74%) of current smokers who had seen a GP in the previous 12 months reported that a GP had asked if they had ever been or currently were a smoker.</w:t>
      </w:r>
    </w:p>
    <w:p w14:paraId="76FF85D6" w14:textId="77777777" w:rsidR="00735227" w:rsidRDefault="00735227" w:rsidP="00ED26A0"/>
    <w:p w14:paraId="43BE49FE" w14:textId="77777777" w:rsidR="00735227" w:rsidRPr="007B53E2" w:rsidRDefault="00735227" w:rsidP="00ED26A0">
      <w:r>
        <w:t>Of those who had seen a GP in the past 12 months, significantly fewer 15–19 year olds were asked if they had ever been or currently were a smoker compared with some of the older age groups (20–24, 25–34, 35–44 years) (Figure 22). From the 20–34 years</w:t>
      </w:r>
      <w:r w:rsidRPr="00FB67C3">
        <w:t xml:space="preserve"> </w:t>
      </w:r>
      <w:r>
        <w:t>age groups, being asked about smoking status steadily reduced with age.</w:t>
      </w:r>
    </w:p>
    <w:p w14:paraId="76297ACC" w14:textId="77777777" w:rsidR="00735227" w:rsidRDefault="00735227" w:rsidP="00ED26A0"/>
    <w:p w14:paraId="3058E909" w14:textId="77777777" w:rsidR="00735227" w:rsidRDefault="00735227" w:rsidP="00ED26A0">
      <w:pPr>
        <w:pStyle w:val="Figure"/>
      </w:pPr>
      <w:bookmarkStart w:id="211" w:name="_Toc399920505"/>
      <w:bookmarkStart w:id="212" w:name="_Toc404258431"/>
      <w:r>
        <w:t xml:space="preserve">Figure </w:t>
      </w:r>
      <w:r w:rsidR="00ED26A0">
        <w:t>22</w:t>
      </w:r>
      <w:r>
        <w:t>:</w:t>
      </w:r>
      <w:r w:rsidR="00ED26A0">
        <w:t xml:space="preserve"> </w:t>
      </w:r>
      <w:r>
        <w:t>Proportion of the total population who had been a</w:t>
      </w:r>
      <w:r w:rsidRPr="000A10DC">
        <w:t xml:space="preserve">sked </w:t>
      </w:r>
      <w:r w:rsidR="004777D9">
        <w:t xml:space="preserve">their </w:t>
      </w:r>
      <w:r w:rsidRPr="000A10DC">
        <w:t>smoking status</w:t>
      </w:r>
      <w:r>
        <w:t xml:space="preserve"> by a GP in the past 12 months</w:t>
      </w:r>
      <w:r w:rsidRPr="000A10DC">
        <w:t>, by age group</w:t>
      </w:r>
      <w:bookmarkEnd w:id="211"/>
      <w:bookmarkEnd w:id="212"/>
    </w:p>
    <w:p w14:paraId="5DF0BABC" w14:textId="77777777" w:rsidR="00735227" w:rsidRPr="00DA6B3C" w:rsidRDefault="001B2B6F" w:rsidP="001B2B6F">
      <w:pPr>
        <w:rPr>
          <w:lang w:eastAsia="en-US"/>
        </w:rPr>
      </w:pPr>
      <w:r w:rsidRPr="001B2B6F">
        <w:rPr>
          <w:noProof/>
          <w:lang w:eastAsia="en-NZ"/>
        </w:rPr>
        <w:drawing>
          <wp:inline distT="0" distB="0" distL="0" distR="0" wp14:anchorId="1A55C126" wp14:editId="66DF7E15">
            <wp:extent cx="4380807" cy="2606477"/>
            <wp:effectExtent l="0" t="0" r="1270" b="3810"/>
            <wp:docPr id="23" name="Picture 23" title="Figure 22: Proportion of the total population who had been asked smoking status by a GP in the past 12 month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r="10872" b="13074"/>
                    <a:stretch/>
                  </pic:blipFill>
                  <pic:spPr bwMode="auto">
                    <a:xfrm>
                      <a:off x="0" y="0"/>
                      <a:ext cx="4380280" cy="2606163"/>
                    </a:xfrm>
                    <a:prstGeom prst="rect">
                      <a:avLst/>
                    </a:prstGeom>
                    <a:ln>
                      <a:noFill/>
                    </a:ln>
                    <a:extLst>
                      <a:ext uri="{53640926-AAD7-44D8-BBD7-CCE9431645EC}">
                        <a14:shadowObscured xmlns:a14="http://schemas.microsoft.com/office/drawing/2010/main"/>
                      </a:ext>
                    </a:extLst>
                  </pic:spPr>
                </pic:pic>
              </a:graphicData>
            </a:graphic>
          </wp:inline>
        </w:drawing>
      </w:r>
    </w:p>
    <w:p w14:paraId="7738AE89" w14:textId="77777777" w:rsidR="00735227" w:rsidRPr="00A627BD" w:rsidRDefault="00735227" w:rsidP="00ED26A0">
      <w:pPr>
        <w:pStyle w:val="Source"/>
      </w:pPr>
      <w:r w:rsidRPr="00A627BD">
        <w:t xml:space="preserve">Source: 2012/13 </w:t>
      </w:r>
      <w:r>
        <w:t>NZHS</w:t>
      </w:r>
    </w:p>
    <w:p w14:paraId="548CC1B8" w14:textId="77777777" w:rsidR="00735227" w:rsidRDefault="00735227" w:rsidP="00ED26A0"/>
    <w:p w14:paraId="36F084BD" w14:textId="7AD2907D" w:rsidR="00735227" w:rsidRPr="000C6155" w:rsidRDefault="00735227" w:rsidP="00ED26A0">
      <w:pPr>
        <w:pStyle w:val="Heading4"/>
      </w:pPr>
      <w:r w:rsidRPr="000C6155">
        <w:t>Māori and Paci</w:t>
      </w:r>
      <w:r w:rsidR="00344AFF">
        <w:t>fic adults we</w:t>
      </w:r>
      <w:r>
        <w:t>re more likely to report being</w:t>
      </w:r>
      <w:r w:rsidRPr="000C6155">
        <w:t xml:space="preserve"> </w:t>
      </w:r>
      <w:r w:rsidRPr="000C6155">
        <w:rPr>
          <w:u w:val="single"/>
        </w:rPr>
        <w:t>A</w:t>
      </w:r>
      <w:r w:rsidRPr="000C6155">
        <w:t>sked by a GP about their smoking status</w:t>
      </w:r>
    </w:p>
    <w:p w14:paraId="442118C8" w14:textId="77777777" w:rsidR="007066D2" w:rsidRDefault="00735227" w:rsidP="00ED26A0">
      <w:r>
        <w:t>Three out of five Māori (59%) adults and the same number of Pacific (59%) adults were asked by a GP in the past 12 months about their smoking status (Table 21). Māori and Pacific were both 1.2</w:t>
      </w:r>
      <w:r w:rsidR="00ED26A0">
        <w:t> </w:t>
      </w:r>
      <w:r>
        <w:t>times more likely (than non-Māori and non-Pacific respectively) to be asked about their smoking status by a GP (Table 22).</w:t>
      </w:r>
    </w:p>
    <w:p w14:paraId="44C08D7E" w14:textId="77777777" w:rsidR="00735227" w:rsidRDefault="00735227" w:rsidP="00ED26A0"/>
    <w:p w14:paraId="2A00F6A3" w14:textId="77777777" w:rsidR="00735227" w:rsidRDefault="00735227" w:rsidP="00ED26A0">
      <w:pPr>
        <w:pStyle w:val="Table"/>
      </w:pPr>
      <w:bookmarkStart w:id="213" w:name="_Toc399920532"/>
      <w:bookmarkStart w:id="214" w:name="_Toc404091121"/>
      <w:r>
        <w:t xml:space="preserve">Table </w:t>
      </w:r>
      <w:r w:rsidR="00ED26A0">
        <w:t>21</w:t>
      </w:r>
      <w:r w:rsidRPr="008855DA">
        <w:t>:</w:t>
      </w:r>
      <w:r w:rsidR="00A55CE6">
        <w:t xml:space="preserve"> </w:t>
      </w:r>
      <w:r w:rsidRPr="008855DA">
        <w:t>Asked smoking status by a GP in the past 12 months, among the total population, by ethnic group</w:t>
      </w:r>
      <w:bookmarkEnd w:id="213"/>
      <w:bookmarkEnd w:id="21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A55CE6" w:rsidRPr="00D66766" w14:paraId="1A9DFBD8" w14:textId="77777777" w:rsidTr="00936322">
        <w:trPr>
          <w:cantSplit/>
        </w:trPr>
        <w:tc>
          <w:tcPr>
            <w:tcW w:w="3080" w:type="dxa"/>
            <w:tcBorders>
              <w:top w:val="single" w:sz="4" w:space="0" w:color="auto"/>
              <w:bottom w:val="single" w:sz="4" w:space="0" w:color="auto"/>
            </w:tcBorders>
            <w:shd w:val="clear" w:color="auto" w:fill="auto"/>
          </w:tcPr>
          <w:p w14:paraId="02029938" w14:textId="77777777" w:rsidR="00A55CE6" w:rsidRPr="00D66766" w:rsidRDefault="00A55CE6" w:rsidP="00936322">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38BCB031" w14:textId="77777777" w:rsidR="00A55CE6" w:rsidRPr="00D66766" w:rsidRDefault="00A55CE6" w:rsidP="00936322">
            <w:pPr>
              <w:pStyle w:val="TableText"/>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39C02025" w14:textId="77777777" w:rsidR="00A55CE6" w:rsidRPr="00D66766" w:rsidRDefault="00A55CE6" w:rsidP="00936322">
            <w:pPr>
              <w:pStyle w:val="TableText"/>
              <w:jc w:val="center"/>
              <w:rPr>
                <w:b/>
              </w:rPr>
            </w:pPr>
            <w:r w:rsidRPr="00D66766">
              <w:rPr>
                <w:b/>
              </w:rPr>
              <w:t>Estimated number</w:t>
            </w:r>
          </w:p>
        </w:tc>
      </w:tr>
      <w:tr w:rsidR="00A55CE6" w:rsidRPr="007B7915" w14:paraId="394C9623" w14:textId="77777777" w:rsidTr="00936322">
        <w:trPr>
          <w:cantSplit/>
        </w:trPr>
        <w:tc>
          <w:tcPr>
            <w:tcW w:w="3080" w:type="dxa"/>
            <w:tcBorders>
              <w:top w:val="single" w:sz="4" w:space="0" w:color="auto"/>
              <w:bottom w:val="single" w:sz="4" w:space="0" w:color="A6A6A6" w:themeColor="background1" w:themeShade="A6"/>
            </w:tcBorders>
            <w:shd w:val="clear" w:color="auto" w:fill="auto"/>
          </w:tcPr>
          <w:p w14:paraId="39D33D20" w14:textId="77777777" w:rsidR="00A55CE6" w:rsidRPr="007B7915" w:rsidRDefault="00A55CE6" w:rsidP="00936322">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vAlign w:val="bottom"/>
          </w:tcPr>
          <w:p w14:paraId="77DCBC2E" w14:textId="77777777" w:rsidR="00A55CE6" w:rsidRPr="007B7915" w:rsidRDefault="00A55CE6" w:rsidP="00A55CE6">
            <w:pPr>
              <w:pStyle w:val="TableText"/>
              <w:jc w:val="center"/>
            </w:pPr>
            <w:r>
              <w:t>59</w:t>
            </w:r>
          </w:p>
        </w:tc>
        <w:tc>
          <w:tcPr>
            <w:tcW w:w="2075" w:type="dxa"/>
            <w:tcBorders>
              <w:top w:val="single" w:sz="4" w:space="0" w:color="auto"/>
              <w:bottom w:val="single" w:sz="4" w:space="0" w:color="A6A6A6" w:themeColor="background1" w:themeShade="A6"/>
            </w:tcBorders>
            <w:shd w:val="clear" w:color="auto" w:fill="auto"/>
            <w:vAlign w:val="bottom"/>
          </w:tcPr>
          <w:p w14:paraId="6A2C1C75" w14:textId="77777777" w:rsidR="00A55CE6" w:rsidRPr="007B7915" w:rsidRDefault="00A55CE6" w:rsidP="00A55CE6">
            <w:pPr>
              <w:pStyle w:val="TableText"/>
              <w:tabs>
                <w:tab w:val="decimal" w:pos="1309"/>
              </w:tabs>
            </w:pPr>
            <w:r>
              <w:t>192,0</w:t>
            </w:r>
            <w:r w:rsidRPr="007B7915">
              <w:t>00</w:t>
            </w:r>
          </w:p>
        </w:tc>
      </w:tr>
      <w:tr w:rsidR="00A55CE6" w:rsidRPr="007B7915" w14:paraId="1D716AEB"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4A288A31" w14:textId="77777777" w:rsidR="00A55CE6" w:rsidRPr="007B7915" w:rsidRDefault="00A55CE6" w:rsidP="00936322">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104A4C9A" w14:textId="77777777" w:rsidR="00A55CE6" w:rsidRPr="007B7915" w:rsidRDefault="00A55CE6" w:rsidP="00A55CE6">
            <w:pPr>
              <w:pStyle w:val="TableText"/>
              <w:jc w:val="center"/>
            </w:pPr>
            <w:r>
              <w:t>59</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D695869" w14:textId="77777777" w:rsidR="00A55CE6" w:rsidRPr="007B7915" w:rsidRDefault="00A55CE6" w:rsidP="00A55CE6">
            <w:pPr>
              <w:pStyle w:val="TableText"/>
              <w:tabs>
                <w:tab w:val="decimal" w:pos="1309"/>
              </w:tabs>
            </w:pPr>
            <w:r w:rsidRPr="007B7915">
              <w:t>87,000</w:t>
            </w:r>
          </w:p>
        </w:tc>
      </w:tr>
      <w:tr w:rsidR="00A55CE6" w:rsidRPr="007B7915" w14:paraId="199FE4BF"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231F8ABF" w14:textId="77777777" w:rsidR="00A55CE6" w:rsidRPr="007B7915" w:rsidRDefault="00A55CE6" w:rsidP="00936322">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C1A7EE8" w14:textId="77777777" w:rsidR="00A55CE6" w:rsidRPr="007B7915" w:rsidRDefault="00A55CE6" w:rsidP="00A55CE6">
            <w:pPr>
              <w:pStyle w:val="TableText"/>
              <w:jc w:val="center"/>
            </w:pPr>
            <w:r>
              <w:t>45</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6F8342A0" w14:textId="77777777" w:rsidR="00A55CE6" w:rsidRPr="007B7915" w:rsidRDefault="00A55CE6" w:rsidP="00A55CE6">
            <w:pPr>
              <w:pStyle w:val="TableText"/>
              <w:tabs>
                <w:tab w:val="decimal" w:pos="1309"/>
              </w:tabs>
            </w:pPr>
            <w:r>
              <w:t>116,0</w:t>
            </w:r>
            <w:r w:rsidRPr="007B7915">
              <w:t>00</w:t>
            </w:r>
          </w:p>
        </w:tc>
      </w:tr>
      <w:tr w:rsidR="00A55CE6" w:rsidRPr="007B7915" w14:paraId="1C55E6BB" w14:textId="77777777" w:rsidTr="00936322">
        <w:trPr>
          <w:cantSplit/>
        </w:trPr>
        <w:tc>
          <w:tcPr>
            <w:tcW w:w="3080" w:type="dxa"/>
            <w:tcBorders>
              <w:top w:val="single" w:sz="4" w:space="0" w:color="A6A6A6" w:themeColor="background1" w:themeShade="A6"/>
            </w:tcBorders>
            <w:shd w:val="clear" w:color="auto" w:fill="auto"/>
          </w:tcPr>
          <w:p w14:paraId="2617272A" w14:textId="77777777" w:rsidR="00A55CE6" w:rsidRPr="007B7915" w:rsidRDefault="00A55CE6" w:rsidP="00936322">
            <w:pPr>
              <w:pStyle w:val="TableText"/>
            </w:pPr>
            <w:r w:rsidRPr="007B7915">
              <w:t>European/Other</w:t>
            </w:r>
          </w:p>
        </w:tc>
        <w:tc>
          <w:tcPr>
            <w:tcW w:w="2075" w:type="dxa"/>
            <w:tcBorders>
              <w:top w:val="single" w:sz="4" w:space="0" w:color="A6A6A6" w:themeColor="background1" w:themeShade="A6"/>
            </w:tcBorders>
            <w:shd w:val="clear" w:color="auto" w:fill="auto"/>
            <w:vAlign w:val="bottom"/>
          </w:tcPr>
          <w:p w14:paraId="61463D70" w14:textId="77777777" w:rsidR="00A55CE6" w:rsidRPr="007B7915" w:rsidRDefault="00A55CE6" w:rsidP="00A55CE6">
            <w:pPr>
              <w:pStyle w:val="TableText"/>
              <w:jc w:val="center"/>
            </w:pPr>
            <w:r>
              <w:t>46</w:t>
            </w:r>
          </w:p>
        </w:tc>
        <w:tc>
          <w:tcPr>
            <w:tcW w:w="2075" w:type="dxa"/>
            <w:tcBorders>
              <w:top w:val="single" w:sz="4" w:space="0" w:color="A6A6A6" w:themeColor="background1" w:themeShade="A6"/>
            </w:tcBorders>
            <w:shd w:val="clear" w:color="auto" w:fill="auto"/>
            <w:vAlign w:val="bottom"/>
          </w:tcPr>
          <w:p w14:paraId="5EAFE0F4" w14:textId="77777777" w:rsidR="00A55CE6" w:rsidRPr="007B7915" w:rsidRDefault="00A55CE6" w:rsidP="00A55CE6">
            <w:pPr>
              <w:pStyle w:val="TableText"/>
              <w:tabs>
                <w:tab w:val="decimal" w:pos="1309"/>
              </w:tabs>
            </w:pPr>
            <w:r w:rsidRPr="007B7915">
              <w:t>1,000,000</w:t>
            </w:r>
          </w:p>
        </w:tc>
      </w:tr>
    </w:tbl>
    <w:p w14:paraId="2681519A" w14:textId="77777777" w:rsidR="00A55CE6" w:rsidRPr="009321F1" w:rsidRDefault="00A55CE6" w:rsidP="00A55CE6">
      <w:pPr>
        <w:pStyle w:val="TableNote"/>
        <w:ind w:right="2155"/>
      </w:pPr>
      <w:r w:rsidRPr="009321F1">
        <w:t>Source: 2012/13 New Zealand Health Survey</w:t>
      </w:r>
    </w:p>
    <w:p w14:paraId="4A24473A" w14:textId="77777777" w:rsidR="00A55CE6" w:rsidRPr="00932856" w:rsidRDefault="00A55CE6" w:rsidP="00A55CE6">
      <w:pPr>
        <w:pStyle w:val="TableNote"/>
        <w:ind w:right="2155"/>
      </w:pPr>
      <w:r w:rsidRPr="009321F1">
        <w:t>Note: Total response ethnicity has been used</w:t>
      </w:r>
      <w:r>
        <w:t>.</w:t>
      </w:r>
    </w:p>
    <w:p w14:paraId="6CCD6471" w14:textId="77777777" w:rsidR="00A55CE6" w:rsidRDefault="00A55CE6" w:rsidP="00A55CE6"/>
    <w:p w14:paraId="1E93443B" w14:textId="77777777" w:rsidR="00A55CE6" w:rsidRDefault="00A55CE6" w:rsidP="00A55CE6">
      <w:pPr>
        <w:pStyle w:val="Table"/>
      </w:pPr>
      <w:bookmarkStart w:id="215" w:name="_Toc399920533"/>
      <w:bookmarkStart w:id="216" w:name="_Toc404091122"/>
      <w:r>
        <w:t>Table 22</w:t>
      </w:r>
      <w:r w:rsidRPr="00A15E20">
        <w:t>:</w:t>
      </w:r>
      <w:r>
        <w:t xml:space="preserve"> </w:t>
      </w:r>
      <w:r w:rsidRPr="00A15E20">
        <w:t>Adjusted rate ratios for the total population being asked about their smoking status by a GP in the past 12 months</w:t>
      </w:r>
      <w:bookmarkEnd w:id="215"/>
      <w:bookmarkEnd w:id="216"/>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984"/>
      </w:tblGrid>
      <w:tr w:rsidR="00A55CE6" w:rsidRPr="007B7915" w14:paraId="210B6682" w14:textId="77777777" w:rsidTr="00936322">
        <w:trPr>
          <w:cantSplit/>
        </w:trPr>
        <w:tc>
          <w:tcPr>
            <w:tcW w:w="3119" w:type="dxa"/>
            <w:shd w:val="clear" w:color="auto" w:fill="auto"/>
          </w:tcPr>
          <w:p w14:paraId="12AD449B" w14:textId="77777777" w:rsidR="00A55CE6" w:rsidRPr="007B7915" w:rsidRDefault="00A55CE6" w:rsidP="00312920">
            <w:pPr>
              <w:pStyle w:val="TableText"/>
            </w:pPr>
            <w:r w:rsidRPr="007B7915">
              <w:t>Men v</w:t>
            </w:r>
            <w:r>
              <w:t>ersu</w:t>
            </w:r>
            <w:r w:rsidRPr="007B7915">
              <w:t>s women</w:t>
            </w:r>
          </w:p>
        </w:tc>
        <w:tc>
          <w:tcPr>
            <w:tcW w:w="1984" w:type="dxa"/>
          </w:tcPr>
          <w:p w14:paraId="1C2DB87D" w14:textId="77777777" w:rsidR="00A55CE6" w:rsidRPr="007B7915" w:rsidRDefault="00A55CE6" w:rsidP="00312920">
            <w:pPr>
              <w:pStyle w:val="TableText"/>
              <w:tabs>
                <w:tab w:val="decimal" w:pos="935"/>
              </w:tabs>
            </w:pPr>
            <w:r w:rsidRPr="007B7915">
              <w:t>1.0</w:t>
            </w:r>
          </w:p>
        </w:tc>
      </w:tr>
      <w:tr w:rsidR="00A55CE6" w:rsidRPr="007B7915" w14:paraId="4BAC2B9A" w14:textId="77777777" w:rsidTr="00936322">
        <w:trPr>
          <w:cantSplit/>
        </w:trPr>
        <w:tc>
          <w:tcPr>
            <w:tcW w:w="3119" w:type="dxa"/>
            <w:shd w:val="clear" w:color="auto" w:fill="auto"/>
          </w:tcPr>
          <w:p w14:paraId="4D684D90" w14:textId="77777777" w:rsidR="00A55CE6" w:rsidRPr="007B7915" w:rsidRDefault="00A55CE6" w:rsidP="00312920">
            <w:pPr>
              <w:pStyle w:val="TableText"/>
            </w:pPr>
            <w:r w:rsidRPr="007B7915">
              <w:t>Māori v</w:t>
            </w:r>
            <w:r>
              <w:t>ersu</w:t>
            </w:r>
            <w:r w:rsidRPr="007B7915">
              <w:t>s non-Māori</w:t>
            </w:r>
          </w:p>
        </w:tc>
        <w:tc>
          <w:tcPr>
            <w:tcW w:w="1984" w:type="dxa"/>
          </w:tcPr>
          <w:p w14:paraId="357459F7" w14:textId="77777777" w:rsidR="00A55CE6" w:rsidRPr="007B7915" w:rsidRDefault="00A55CE6" w:rsidP="00312920">
            <w:pPr>
              <w:pStyle w:val="TableText"/>
              <w:tabs>
                <w:tab w:val="decimal" w:pos="935"/>
              </w:tabs>
            </w:pPr>
            <w:r w:rsidRPr="007B7915">
              <w:t>1.2*</w:t>
            </w:r>
          </w:p>
        </w:tc>
      </w:tr>
      <w:tr w:rsidR="00A55CE6" w:rsidRPr="007B7915" w14:paraId="2BA92599" w14:textId="77777777" w:rsidTr="00936322">
        <w:trPr>
          <w:cantSplit/>
        </w:trPr>
        <w:tc>
          <w:tcPr>
            <w:tcW w:w="3119" w:type="dxa"/>
            <w:shd w:val="clear" w:color="auto" w:fill="auto"/>
          </w:tcPr>
          <w:p w14:paraId="271188BD" w14:textId="77777777" w:rsidR="00A55CE6" w:rsidRPr="007B7915" w:rsidRDefault="00A55CE6" w:rsidP="00312920">
            <w:pPr>
              <w:pStyle w:val="TableText"/>
            </w:pPr>
            <w:r w:rsidRPr="007B7915">
              <w:t>Pacific v</w:t>
            </w:r>
            <w:r>
              <w:t>ersu</w:t>
            </w:r>
            <w:r w:rsidRPr="007B7915">
              <w:t>s non-Pacific</w:t>
            </w:r>
          </w:p>
        </w:tc>
        <w:tc>
          <w:tcPr>
            <w:tcW w:w="1984" w:type="dxa"/>
          </w:tcPr>
          <w:p w14:paraId="66B793AC" w14:textId="77777777" w:rsidR="00A55CE6" w:rsidRPr="007B7915" w:rsidRDefault="00A55CE6" w:rsidP="00312920">
            <w:pPr>
              <w:pStyle w:val="TableText"/>
              <w:tabs>
                <w:tab w:val="decimal" w:pos="935"/>
              </w:tabs>
            </w:pPr>
            <w:r w:rsidRPr="007B7915">
              <w:t>1.2*</w:t>
            </w:r>
          </w:p>
        </w:tc>
      </w:tr>
      <w:tr w:rsidR="00A55CE6" w:rsidRPr="007B7915" w14:paraId="600ACA23" w14:textId="77777777" w:rsidTr="00936322">
        <w:trPr>
          <w:cantSplit/>
        </w:trPr>
        <w:tc>
          <w:tcPr>
            <w:tcW w:w="3119" w:type="dxa"/>
            <w:shd w:val="clear" w:color="auto" w:fill="auto"/>
          </w:tcPr>
          <w:p w14:paraId="13141894" w14:textId="77777777" w:rsidR="00A55CE6" w:rsidRPr="007B7915" w:rsidRDefault="00A55CE6" w:rsidP="00312920">
            <w:pPr>
              <w:pStyle w:val="TableText"/>
            </w:pPr>
            <w:r w:rsidRPr="007B7915">
              <w:t>Asian v</w:t>
            </w:r>
            <w:r>
              <w:t>ersu</w:t>
            </w:r>
            <w:r w:rsidRPr="007B7915">
              <w:t>s non-Asian</w:t>
            </w:r>
          </w:p>
        </w:tc>
        <w:tc>
          <w:tcPr>
            <w:tcW w:w="1984" w:type="dxa"/>
          </w:tcPr>
          <w:p w14:paraId="04FFAFE0" w14:textId="77777777" w:rsidR="00A55CE6" w:rsidRPr="007B7915" w:rsidRDefault="00A55CE6" w:rsidP="00312920">
            <w:pPr>
              <w:pStyle w:val="TableText"/>
              <w:tabs>
                <w:tab w:val="decimal" w:pos="935"/>
              </w:tabs>
            </w:pPr>
            <w:r w:rsidRPr="007B7915">
              <w:t>0.8*</w:t>
            </w:r>
          </w:p>
        </w:tc>
      </w:tr>
      <w:tr w:rsidR="00A55CE6" w:rsidRPr="007B7915" w14:paraId="74266DC0" w14:textId="77777777" w:rsidTr="00936322">
        <w:trPr>
          <w:cantSplit/>
        </w:trPr>
        <w:tc>
          <w:tcPr>
            <w:tcW w:w="3119" w:type="dxa"/>
            <w:shd w:val="clear" w:color="auto" w:fill="auto"/>
          </w:tcPr>
          <w:p w14:paraId="18F98F89" w14:textId="77777777" w:rsidR="00A55CE6" w:rsidRPr="007B7915" w:rsidRDefault="00A55CE6" w:rsidP="00312920">
            <w:pPr>
              <w:pStyle w:val="TableText"/>
            </w:pPr>
            <w:r w:rsidRPr="007B7915">
              <w:t>Most v</w:t>
            </w:r>
            <w:r>
              <w:t>ersu</w:t>
            </w:r>
            <w:r w:rsidRPr="007B7915">
              <w:t>s least deprived</w:t>
            </w:r>
          </w:p>
        </w:tc>
        <w:tc>
          <w:tcPr>
            <w:tcW w:w="1984" w:type="dxa"/>
          </w:tcPr>
          <w:p w14:paraId="3904470C" w14:textId="77777777" w:rsidR="00A55CE6" w:rsidRPr="007B7915" w:rsidRDefault="00A55CE6" w:rsidP="00312920">
            <w:pPr>
              <w:pStyle w:val="TableText"/>
              <w:tabs>
                <w:tab w:val="decimal" w:pos="935"/>
              </w:tabs>
            </w:pPr>
            <w:r w:rsidRPr="007B7915">
              <w:t>1.3*</w:t>
            </w:r>
          </w:p>
        </w:tc>
      </w:tr>
    </w:tbl>
    <w:p w14:paraId="014D4927" w14:textId="77777777" w:rsidR="00A55CE6" w:rsidRDefault="00A55CE6" w:rsidP="00A55CE6">
      <w:pPr>
        <w:pStyle w:val="TableNote"/>
      </w:pPr>
      <w:r w:rsidRPr="009E53CE">
        <w:t xml:space="preserve">Source: 2012/13 </w:t>
      </w:r>
      <w:r>
        <w:t>NZHS</w:t>
      </w:r>
    </w:p>
    <w:p w14:paraId="0CFC0DF3" w14:textId="77777777" w:rsidR="00A55CE6" w:rsidRDefault="00A55CE6" w:rsidP="00A55CE6">
      <w:pPr>
        <w:pStyle w:val="TableNote"/>
      </w:pPr>
      <w:r>
        <w:t>*</w:t>
      </w:r>
      <w:r>
        <w:tab/>
        <w:t>There is a statistically significant difference between the two groups.</w:t>
      </w:r>
    </w:p>
    <w:p w14:paraId="3CAFE045" w14:textId="77777777" w:rsidR="00A55CE6" w:rsidRDefault="00A55CE6" w:rsidP="00A55CE6">
      <w:pPr>
        <w:pStyle w:val="TableNote"/>
        <w:ind w:left="0" w:firstLine="0"/>
      </w:pPr>
      <w:r>
        <w:t>Notes: The sex comparison is adjusted for age. Ethnic comparisons are adjusted for age and sex. Deprivation comparisons are adjusted for age, sex and ethnic group.</w:t>
      </w:r>
    </w:p>
    <w:p w14:paraId="423B96DD" w14:textId="77777777" w:rsidR="00735227" w:rsidRDefault="00735227" w:rsidP="00A55CE6"/>
    <w:p w14:paraId="03176BB7" w14:textId="77777777" w:rsidR="007066D2" w:rsidRDefault="00735227" w:rsidP="00A55CE6">
      <w:pPr>
        <w:pStyle w:val="Heading4"/>
      </w:pPr>
      <w:r w:rsidRPr="000C6155">
        <w:t xml:space="preserve">More people living in the most deprived neighbourhoods were </w:t>
      </w:r>
      <w:r w:rsidRPr="000C6155">
        <w:rPr>
          <w:u w:val="single"/>
        </w:rPr>
        <w:t>A</w:t>
      </w:r>
      <w:r w:rsidRPr="000C6155">
        <w:t>sked about their smoking status by a GP</w:t>
      </w:r>
    </w:p>
    <w:p w14:paraId="348BED46" w14:textId="77777777" w:rsidR="007066D2" w:rsidRDefault="00735227" w:rsidP="00A55CE6">
      <w:r>
        <w:t>Regardless of smoking status, respondents living in the most deprived areas (quintiles 4 and 5) were significantly more likely to have been asked about their smoking status by a GP they had seen in the past 12 months than those living in the least deprived areas (quintile 1) (Figure 23).</w:t>
      </w:r>
    </w:p>
    <w:p w14:paraId="771A6D32" w14:textId="77777777" w:rsidR="00735227" w:rsidRDefault="00735227" w:rsidP="00A55CE6"/>
    <w:p w14:paraId="4BDC150B" w14:textId="77777777" w:rsidR="007066D2" w:rsidRDefault="00735227" w:rsidP="00A55CE6">
      <w:r>
        <w:t>Adjusting for differences in age, sex and ethnic group showed that people living in the most deprived areas were 1.3 times more likely than those living in the least deprived areas to have been asked about their smoking status by a GP in the past 12 months (Table 22).</w:t>
      </w:r>
    </w:p>
    <w:p w14:paraId="552026D4" w14:textId="77777777" w:rsidR="00735227" w:rsidRDefault="00735227" w:rsidP="00A55CE6"/>
    <w:p w14:paraId="4D7E7911" w14:textId="6DC46096" w:rsidR="00735227" w:rsidRDefault="00735227" w:rsidP="00A55CE6">
      <w:pPr>
        <w:pStyle w:val="Figure"/>
      </w:pPr>
      <w:bookmarkStart w:id="217" w:name="_Toc399920506"/>
      <w:bookmarkStart w:id="218" w:name="_Toc404258432"/>
      <w:r>
        <w:t xml:space="preserve">Figure </w:t>
      </w:r>
      <w:r w:rsidR="00A55CE6">
        <w:t>23</w:t>
      </w:r>
      <w:r w:rsidRPr="00F0072A">
        <w:t>:</w:t>
      </w:r>
      <w:r w:rsidR="00A55CE6">
        <w:t xml:space="preserve"> </w:t>
      </w:r>
      <w:r>
        <w:t>Proportion of the total population who had been a</w:t>
      </w:r>
      <w:r w:rsidRPr="000A10DC">
        <w:t xml:space="preserve">sked </w:t>
      </w:r>
      <w:r w:rsidR="004777D9">
        <w:t xml:space="preserve">their </w:t>
      </w:r>
      <w:r w:rsidRPr="000A10DC">
        <w:t>smoking status</w:t>
      </w:r>
      <w:r>
        <w:t xml:space="preserve"> by a GP in the past 12 months</w:t>
      </w:r>
      <w:r w:rsidRPr="00F0072A">
        <w:t>, by neighbourhood deprivation</w:t>
      </w:r>
      <w:bookmarkEnd w:id="217"/>
      <w:r w:rsidR="00A923D9">
        <w:t xml:space="preserve"> (age-standardised)</w:t>
      </w:r>
      <w:bookmarkEnd w:id="218"/>
    </w:p>
    <w:p w14:paraId="07F76A27" w14:textId="77777777" w:rsidR="00735227" w:rsidRPr="007D2D2B" w:rsidRDefault="00E810D4" w:rsidP="00E062C5">
      <w:pPr>
        <w:rPr>
          <w:lang w:eastAsia="en-US"/>
        </w:rPr>
      </w:pPr>
      <w:r w:rsidRPr="00E810D4">
        <w:rPr>
          <w:noProof/>
          <w:lang w:eastAsia="en-NZ"/>
        </w:rPr>
        <w:drawing>
          <wp:inline distT="0" distB="0" distL="0" distR="0" wp14:anchorId="26F4DD12" wp14:editId="1AD1D588">
            <wp:extent cx="4397432" cy="2637079"/>
            <wp:effectExtent l="0" t="0" r="3175" b="0"/>
            <wp:docPr id="7" name="Picture 7" title="Figure 23: Proportion of the total population who had been asked smoking status by a GP in the past 12 months, by neighbourhood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r="10872" b="12385"/>
                    <a:stretch/>
                  </pic:blipFill>
                  <pic:spPr bwMode="auto">
                    <a:xfrm>
                      <a:off x="0" y="0"/>
                      <a:ext cx="4396902" cy="2636761"/>
                    </a:xfrm>
                    <a:prstGeom prst="rect">
                      <a:avLst/>
                    </a:prstGeom>
                    <a:ln>
                      <a:noFill/>
                    </a:ln>
                    <a:extLst>
                      <a:ext uri="{53640926-AAD7-44D8-BBD7-CCE9431645EC}">
                        <a14:shadowObscured xmlns:a14="http://schemas.microsoft.com/office/drawing/2010/main"/>
                      </a:ext>
                    </a:extLst>
                  </pic:spPr>
                </pic:pic>
              </a:graphicData>
            </a:graphic>
          </wp:inline>
        </w:drawing>
      </w:r>
    </w:p>
    <w:p w14:paraId="39B02000" w14:textId="77777777" w:rsidR="00735227" w:rsidRPr="00750BA8" w:rsidRDefault="00735227" w:rsidP="00A55CE6">
      <w:pPr>
        <w:pStyle w:val="Source"/>
      </w:pPr>
      <w:r w:rsidRPr="00750BA8">
        <w:t xml:space="preserve">Source: 2012/13 </w:t>
      </w:r>
      <w:r>
        <w:t>NZHS</w:t>
      </w:r>
    </w:p>
    <w:p w14:paraId="34C884EE" w14:textId="77777777" w:rsidR="00735227" w:rsidRDefault="00735227" w:rsidP="00A55CE6"/>
    <w:p w14:paraId="0BA06BA4" w14:textId="77777777" w:rsidR="007066D2" w:rsidRDefault="00735227" w:rsidP="00A55CE6">
      <w:pPr>
        <w:pStyle w:val="Heading4"/>
      </w:pPr>
      <w:r w:rsidRPr="000C6155">
        <w:t xml:space="preserve">Over half of current smokers </w:t>
      </w:r>
      <w:r>
        <w:t>reported being</w:t>
      </w:r>
      <w:r w:rsidRPr="000C6155">
        <w:t xml:space="preserve"> provided </w:t>
      </w:r>
      <w:r w:rsidRPr="000C6155">
        <w:rPr>
          <w:u w:val="single"/>
        </w:rPr>
        <w:t>B</w:t>
      </w:r>
      <w:r w:rsidRPr="000C6155">
        <w:t>rief advice by a GP</w:t>
      </w:r>
    </w:p>
    <w:p w14:paraId="244E2981" w14:textId="77777777" w:rsidR="007066D2" w:rsidRDefault="00735227" w:rsidP="00A55CE6">
      <w:r>
        <w:t>Adjusting for age showed that more than half (56%) of current smokers (and those who had quit smoking in the past year) were offered brief advice by a GP to stop smoking. Significantly more female than male smokers were offered brief advice to stop smoking by a GP.</w:t>
      </w:r>
    </w:p>
    <w:p w14:paraId="659AF2CF" w14:textId="77777777" w:rsidR="00735227" w:rsidRDefault="00735227" w:rsidP="00A55CE6"/>
    <w:p w14:paraId="0461CAD7" w14:textId="77777777" w:rsidR="007066D2" w:rsidRDefault="00735227" w:rsidP="00A55CE6">
      <w:r>
        <w:t>Young smokers aged 15–19 years were the least likely to have received brief advice from a GP during the past 12 months (Figure 24). Being given brief quitting advice increased with age except for two declines seen in the 25–34 years and after the 55–64 years</w:t>
      </w:r>
      <w:r w:rsidRPr="00DA46A3">
        <w:t xml:space="preserve"> </w:t>
      </w:r>
      <w:r>
        <w:t>age groups.</w:t>
      </w:r>
    </w:p>
    <w:p w14:paraId="36AF5334" w14:textId="77777777" w:rsidR="00735227" w:rsidRDefault="00735227" w:rsidP="00A55CE6"/>
    <w:p w14:paraId="7F17B519" w14:textId="77777777" w:rsidR="00735227" w:rsidRDefault="00735227" w:rsidP="00A55CE6">
      <w:pPr>
        <w:pStyle w:val="Figure"/>
      </w:pPr>
      <w:bookmarkStart w:id="219" w:name="_Toc399920507"/>
      <w:bookmarkStart w:id="220" w:name="_Toc404258433"/>
      <w:r>
        <w:t xml:space="preserve">Figure </w:t>
      </w:r>
      <w:r w:rsidR="00A55CE6">
        <w:t>24</w:t>
      </w:r>
      <w:r w:rsidRPr="00D92ED0">
        <w:t>:</w:t>
      </w:r>
      <w:r w:rsidR="00A55CE6">
        <w:t xml:space="preserve"> </w:t>
      </w:r>
      <w:r w:rsidRPr="00D92ED0">
        <w:t>Proportion provided with brief advice to stop smoking by a GP in the past 12</w:t>
      </w:r>
      <w:r>
        <w:t> </w:t>
      </w:r>
      <w:r w:rsidRPr="00D92ED0">
        <w:t xml:space="preserve">months, among current smokers and those who quit smoking in the past </w:t>
      </w:r>
      <w:r>
        <w:t>year</w:t>
      </w:r>
      <w:r w:rsidRPr="00D92ED0">
        <w:t>, by age</w:t>
      </w:r>
      <w:bookmarkEnd w:id="219"/>
      <w:bookmarkEnd w:id="220"/>
    </w:p>
    <w:p w14:paraId="4B8B7DA9" w14:textId="77777777" w:rsidR="00735227" w:rsidRPr="007D2D2B" w:rsidRDefault="00E062C5" w:rsidP="00735227">
      <w:pPr>
        <w:rPr>
          <w:lang w:eastAsia="en-US"/>
        </w:rPr>
      </w:pPr>
      <w:r w:rsidRPr="00E062C5">
        <w:rPr>
          <w:noProof/>
          <w:lang w:eastAsia="en-NZ"/>
        </w:rPr>
        <w:drawing>
          <wp:inline distT="0" distB="0" distL="0" distR="0" wp14:anchorId="7EF97BA6" wp14:editId="440986D1">
            <wp:extent cx="4397432" cy="2630175"/>
            <wp:effectExtent l="0" t="0" r="3175" b="0"/>
            <wp:docPr id="25" name="Picture 25" title="Figure 24: Proportion provided with brief advice to stop smoking by a GP in the past 12 months, among current smokers and those who quit smoking in the past year,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r="10872" b="12615"/>
                    <a:stretch/>
                  </pic:blipFill>
                  <pic:spPr bwMode="auto">
                    <a:xfrm>
                      <a:off x="0" y="0"/>
                      <a:ext cx="4396903" cy="2629859"/>
                    </a:xfrm>
                    <a:prstGeom prst="rect">
                      <a:avLst/>
                    </a:prstGeom>
                    <a:ln>
                      <a:noFill/>
                    </a:ln>
                    <a:extLst>
                      <a:ext uri="{53640926-AAD7-44D8-BBD7-CCE9431645EC}">
                        <a14:shadowObscured xmlns:a14="http://schemas.microsoft.com/office/drawing/2010/main"/>
                      </a:ext>
                    </a:extLst>
                  </pic:spPr>
                </pic:pic>
              </a:graphicData>
            </a:graphic>
          </wp:inline>
        </w:drawing>
      </w:r>
    </w:p>
    <w:p w14:paraId="4160A6B8" w14:textId="77777777" w:rsidR="00735227" w:rsidRPr="00465CAE" w:rsidRDefault="00735227" w:rsidP="00A55CE6">
      <w:pPr>
        <w:pStyle w:val="Source"/>
      </w:pPr>
      <w:r w:rsidRPr="00750BA8">
        <w:t xml:space="preserve">Source: 2012/13 </w:t>
      </w:r>
      <w:r>
        <w:t>NZHS</w:t>
      </w:r>
    </w:p>
    <w:p w14:paraId="33E8B105" w14:textId="77777777" w:rsidR="00735227" w:rsidRDefault="00735227" w:rsidP="00A55CE6"/>
    <w:p w14:paraId="00DBCDEF" w14:textId="77777777" w:rsidR="007066D2" w:rsidRDefault="00735227" w:rsidP="00A55CE6">
      <w:pPr>
        <w:pStyle w:val="Heading4"/>
      </w:pPr>
      <w:r w:rsidRPr="000C6155">
        <w:t xml:space="preserve">Māori and Pacific smokers were more likely to be provided </w:t>
      </w:r>
      <w:r w:rsidRPr="000C6155">
        <w:rPr>
          <w:u w:val="single"/>
        </w:rPr>
        <w:t>B</w:t>
      </w:r>
      <w:r w:rsidRPr="000C6155">
        <w:t>rief advice by a GP</w:t>
      </w:r>
    </w:p>
    <w:p w14:paraId="0B77F762" w14:textId="77777777" w:rsidR="00735227" w:rsidRDefault="00735227" w:rsidP="00A55CE6">
      <w:r>
        <w:t>Just over seven in ten Pacific current smokers (72%) were offered brief advice to stop smoking by a GP in the past 12 months (Table 23). After adjusting for differences in age and sex, Pacific smokers were 1.3 times more likely to be given brief advice by a GP they had seen than non-Pacific smokers (Table 24).</w:t>
      </w:r>
    </w:p>
    <w:p w14:paraId="145A2EDE" w14:textId="77777777" w:rsidR="00735227" w:rsidRDefault="00735227" w:rsidP="00A55CE6"/>
    <w:p w14:paraId="62C4A578" w14:textId="77777777" w:rsidR="007066D2" w:rsidRDefault="00735227" w:rsidP="00A55CE6">
      <w:r>
        <w:t>Around three in five (63%) Māori smokers received brief advice from a GP in the past 12 months (Table 23). Similar to Pacific smokers, after adjusting for differences in age and sex, Māori were 1.2</w:t>
      </w:r>
      <w:r w:rsidR="00A55CE6">
        <w:t> </w:t>
      </w:r>
      <w:r>
        <w:t>times more likely than non-Māori smokers to have received advice from a GP in the past 12</w:t>
      </w:r>
      <w:r w:rsidR="00A55CE6">
        <w:t> </w:t>
      </w:r>
      <w:r>
        <w:t>months (Table 24).</w:t>
      </w:r>
    </w:p>
    <w:p w14:paraId="2D0CD23C" w14:textId="77777777" w:rsidR="00735227" w:rsidRDefault="00735227" w:rsidP="00A55CE6"/>
    <w:p w14:paraId="5FEA1DAA" w14:textId="77777777" w:rsidR="00735227" w:rsidRDefault="00735227" w:rsidP="00A55CE6">
      <w:pPr>
        <w:pStyle w:val="Table"/>
      </w:pPr>
      <w:bookmarkStart w:id="221" w:name="_Toc399920534"/>
      <w:bookmarkStart w:id="222" w:name="_Toc404091123"/>
      <w:r>
        <w:t xml:space="preserve">Table </w:t>
      </w:r>
      <w:r w:rsidR="00A55CE6">
        <w:t xml:space="preserve">23: </w:t>
      </w:r>
      <w:r w:rsidRPr="00FE7132">
        <w:t>Proportion provided with brief advice to stop smoking by a GP in the past 12</w:t>
      </w:r>
      <w:r>
        <w:t> </w:t>
      </w:r>
      <w:r w:rsidRPr="00FE7132">
        <w:t xml:space="preserve">months, among current smokers and those who quit smoking in the past </w:t>
      </w:r>
      <w:r>
        <w:t>12 months</w:t>
      </w:r>
      <w:r w:rsidRPr="00FE7132">
        <w:t>, by ethnic group</w:t>
      </w:r>
      <w:bookmarkEnd w:id="221"/>
      <w:bookmarkEnd w:id="222"/>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A55CE6" w:rsidRPr="00D66766" w14:paraId="1095C34B" w14:textId="77777777" w:rsidTr="00936322">
        <w:trPr>
          <w:cantSplit/>
        </w:trPr>
        <w:tc>
          <w:tcPr>
            <w:tcW w:w="3080" w:type="dxa"/>
            <w:tcBorders>
              <w:top w:val="single" w:sz="4" w:space="0" w:color="auto"/>
              <w:bottom w:val="single" w:sz="4" w:space="0" w:color="auto"/>
            </w:tcBorders>
            <w:shd w:val="clear" w:color="auto" w:fill="auto"/>
          </w:tcPr>
          <w:p w14:paraId="3380E2BE" w14:textId="77777777" w:rsidR="00A55CE6" w:rsidRPr="00D66766" w:rsidRDefault="00A55CE6" w:rsidP="00936322">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728760A5" w14:textId="77777777" w:rsidR="00A55CE6" w:rsidRPr="00D66766" w:rsidRDefault="00A55CE6" w:rsidP="00936322">
            <w:pPr>
              <w:pStyle w:val="TableText"/>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4E93A109" w14:textId="77777777" w:rsidR="00A55CE6" w:rsidRPr="00D66766" w:rsidRDefault="00A55CE6" w:rsidP="00936322">
            <w:pPr>
              <w:pStyle w:val="TableText"/>
              <w:jc w:val="center"/>
              <w:rPr>
                <w:b/>
              </w:rPr>
            </w:pPr>
            <w:r w:rsidRPr="00D66766">
              <w:rPr>
                <w:b/>
              </w:rPr>
              <w:t>Estimated number</w:t>
            </w:r>
          </w:p>
        </w:tc>
      </w:tr>
      <w:tr w:rsidR="00A55CE6" w:rsidRPr="007B7915" w14:paraId="36BBB805" w14:textId="77777777" w:rsidTr="00936322">
        <w:trPr>
          <w:cantSplit/>
        </w:trPr>
        <w:tc>
          <w:tcPr>
            <w:tcW w:w="3080" w:type="dxa"/>
            <w:tcBorders>
              <w:top w:val="single" w:sz="4" w:space="0" w:color="auto"/>
              <w:bottom w:val="single" w:sz="4" w:space="0" w:color="A6A6A6" w:themeColor="background1" w:themeShade="A6"/>
            </w:tcBorders>
            <w:shd w:val="clear" w:color="auto" w:fill="auto"/>
          </w:tcPr>
          <w:p w14:paraId="5C71D2BC" w14:textId="77777777" w:rsidR="00A55CE6" w:rsidRPr="007B7915" w:rsidRDefault="00A55CE6" w:rsidP="00936322">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vAlign w:val="bottom"/>
          </w:tcPr>
          <w:p w14:paraId="15AE62DF" w14:textId="77777777" w:rsidR="00A55CE6" w:rsidRPr="007B7915" w:rsidRDefault="00A55CE6" w:rsidP="00A55CE6">
            <w:pPr>
              <w:pStyle w:val="TableText"/>
              <w:jc w:val="center"/>
            </w:pPr>
            <w:r>
              <w:t>63</w:t>
            </w:r>
          </w:p>
        </w:tc>
        <w:tc>
          <w:tcPr>
            <w:tcW w:w="2075" w:type="dxa"/>
            <w:tcBorders>
              <w:top w:val="single" w:sz="4" w:space="0" w:color="auto"/>
              <w:bottom w:val="single" w:sz="4" w:space="0" w:color="A6A6A6" w:themeColor="background1" w:themeShade="A6"/>
            </w:tcBorders>
            <w:shd w:val="clear" w:color="auto" w:fill="auto"/>
            <w:vAlign w:val="bottom"/>
          </w:tcPr>
          <w:p w14:paraId="5E13C00E" w14:textId="77777777" w:rsidR="00A55CE6" w:rsidRPr="007B7915" w:rsidRDefault="00A55CE6" w:rsidP="00A55CE6">
            <w:pPr>
              <w:pStyle w:val="TableText"/>
              <w:tabs>
                <w:tab w:val="decimal" w:pos="1229"/>
              </w:tabs>
            </w:pPr>
            <w:r>
              <w:t>75,0</w:t>
            </w:r>
            <w:r w:rsidRPr="007B7915">
              <w:t>00</w:t>
            </w:r>
          </w:p>
        </w:tc>
      </w:tr>
      <w:tr w:rsidR="00A55CE6" w:rsidRPr="007B7915" w14:paraId="2367F248"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5A8F76F9" w14:textId="77777777" w:rsidR="00A55CE6" w:rsidRPr="007B7915" w:rsidRDefault="00A55CE6" w:rsidP="00936322">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4CD42285" w14:textId="77777777" w:rsidR="00A55CE6" w:rsidRPr="007B7915" w:rsidRDefault="00A55CE6" w:rsidP="00A55CE6">
            <w:pPr>
              <w:pStyle w:val="TableText"/>
              <w:jc w:val="center"/>
            </w:pPr>
            <w:r>
              <w:t>72</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13D3005" w14:textId="77777777" w:rsidR="00A55CE6" w:rsidRPr="007B7915" w:rsidRDefault="00A55CE6" w:rsidP="00A55CE6">
            <w:pPr>
              <w:pStyle w:val="TableText"/>
              <w:tabs>
                <w:tab w:val="decimal" w:pos="1229"/>
              </w:tabs>
            </w:pPr>
            <w:r>
              <w:t>23,0</w:t>
            </w:r>
            <w:r w:rsidRPr="007B7915">
              <w:t>00</w:t>
            </w:r>
          </w:p>
        </w:tc>
      </w:tr>
      <w:tr w:rsidR="00A55CE6" w:rsidRPr="007B7915" w14:paraId="385A3BE1"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65C66C0D" w14:textId="77777777" w:rsidR="00A55CE6" w:rsidRPr="007B7915" w:rsidRDefault="00A55CE6" w:rsidP="00936322">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082C2766" w14:textId="77777777" w:rsidR="00A55CE6" w:rsidRPr="007B7915" w:rsidRDefault="00A55CE6" w:rsidP="00A55CE6">
            <w:pPr>
              <w:pStyle w:val="TableText"/>
              <w:jc w:val="center"/>
            </w:pPr>
            <w:r>
              <w:t>45</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20F028CE" w14:textId="77777777" w:rsidR="00A55CE6" w:rsidRPr="007B7915" w:rsidRDefault="00A55CE6" w:rsidP="00A55CE6">
            <w:pPr>
              <w:pStyle w:val="TableText"/>
              <w:tabs>
                <w:tab w:val="decimal" w:pos="1229"/>
              </w:tabs>
            </w:pPr>
            <w:r>
              <w:t>12,0</w:t>
            </w:r>
            <w:r w:rsidRPr="007B7915">
              <w:t>00</w:t>
            </w:r>
          </w:p>
        </w:tc>
      </w:tr>
      <w:tr w:rsidR="00A55CE6" w:rsidRPr="007B7915" w14:paraId="6DF5BF30" w14:textId="77777777" w:rsidTr="00936322">
        <w:trPr>
          <w:cantSplit/>
        </w:trPr>
        <w:tc>
          <w:tcPr>
            <w:tcW w:w="3080" w:type="dxa"/>
            <w:tcBorders>
              <w:top w:val="single" w:sz="4" w:space="0" w:color="A6A6A6" w:themeColor="background1" w:themeShade="A6"/>
            </w:tcBorders>
            <w:shd w:val="clear" w:color="auto" w:fill="auto"/>
          </w:tcPr>
          <w:p w14:paraId="78B806CB" w14:textId="77777777" w:rsidR="00A55CE6" w:rsidRPr="007B7915" w:rsidRDefault="00A55CE6" w:rsidP="00936322">
            <w:pPr>
              <w:pStyle w:val="TableText"/>
            </w:pPr>
            <w:r w:rsidRPr="007B7915">
              <w:t>European/Other</w:t>
            </w:r>
          </w:p>
        </w:tc>
        <w:tc>
          <w:tcPr>
            <w:tcW w:w="2075" w:type="dxa"/>
            <w:tcBorders>
              <w:top w:val="single" w:sz="4" w:space="0" w:color="A6A6A6" w:themeColor="background1" w:themeShade="A6"/>
            </w:tcBorders>
            <w:shd w:val="clear" w:color="auto" w:fill="auto"/>
            <w:vAlign w:val="bottom"/>
          </w:tcPr>
          <w:p w14:paraId="46E994B4" w14:textId="77777777" w:rsidR="00A55CE6" w:rsidRPr="007B7915" w:rsidRDefault="00A55CE6" w:rsidP="00A55CE6">
            <w:pPr>
              <w:pStyle w:val="TableText"/>
              <w:jc w:val="center"/>
            </w:pPr>
            <w:r>
              <w:t>56</w:t>
            </w:r>
          </w:p>
        </w:tc>
        <w:tc>
          <w:tcPr>
            <w:tcW w:w="2075" w:type="dxa"/>
            <w:tcBorders>
              <w:top w:val="single" w:sz="4" w:space="0" w:color="A6A6A6" w:themeColor="background1" w:themeShade="A6"/>
            </w:tcBorders>
            <w:shd w:val="clear" w:color="auto" w:fill="auto"/>
            <w:vAlign w:val="bottom"/>
          </w:tcPr>
          <w:p w14:paraId="09FA9A15" w14:textId="77777777" w:rsidR="00A55CE6" w:rsidRPr="007B7915" w:rsidRDefault="00A55CE6" w:rsidP="00A55CE6">
            <w:pPr>
              <w:pStyle w:val="TableText"/>
              <w:tabs>
                <w:tab w:val="decimal" w:pos="1229"/>
              </w:tabs>
            </w:pPr>
            <w:r>
              <w:t>174,0</w:t>
            </w:r>
            <w:r w:rsidRPr="007B7915">
              <w:t>00</w:t>
            </w:r>
          </w:p>
        </w:tc>
      </w:tr>
    </w:tbl>
    <w:p w14:paraId="07B4910C" w14:textId="77777777" w:rsidR="00A55CE6" w:rsidRPr="009321F1" w:rsidRDefault="00A55CE6" w:rsidP="00A55CE6">
      <w:pPr>
        <w:pStyle w:val="TableNote"/>
        <w:ind w:right="2155"/>
      </w:pPr>
      <w:r w:rsidRPr="009321F1">
        <w:t>Source: 2012/13 New Zealand Health Survey</w:t>
      </w:r>
    </w:p>
    <w:p w14:paraId="352D2F89" w14:textId="77777777" w:rsidR="00A55CE6" w:rsidRPr="00932856" w:rsidRDefault="00A55CE6" w:rsidP="00A55CE6">
      <w:pPr>
        <w:pStyle w:val="TableNote"/>
        <w:ind w:right="2155"/>
      </w:pPr>
      <w:r w:rsidRPr="009321F1">
        <w:t>Note: Total response ethnicity has been used</w:t>
      </w:r>
      <w:r>
        <w:t>.</w:t>
      </w:r>
    </w:p>
    <w:p w14:paraId="21855AC3" w14:textId="77777777" w:rsidR="00A55CE6" w:rsidRDefault="00A55CE6" w:rsidP="00A55CE6"/>
    <w:p w14:paraId="13F7A2F7" w14:textId="77777777" w:rsidR="00A55CE6" w:rsidRDefault="00A55CE6" w:rsidP="00A55CE6">
      <w:pPr>
        <w:pStyle w:val="Table"/>
      </w:pPr>
      <w:bookmarkStart w:id="223" w:name="_Toc399920535"/>
      <w:bookmarkStart w:id="224" w:name="_Toc404091124"/>
      <w:r>
        <w:t>Table 24</w:t>
      </w:r>
      <w:r w:rsidRPr="006F6A36">
        <w:t>: Adjusted rate ratios for current smokers seen by a GP in the past 12 months who were provided with brief advice</w:t>
      </w:r>
      <w:bookmarkEnd w:id="223"/>
      <w:bookmarkEnd w:id="224"/>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984"/>
      </w:tblGrid>
      <w:tr w:rsidR="00A55CE6" w:rsidRPr="007B7915" w14:paraId="42F107C1" w14:textId="77777777" w:rsidTr="00936322">
        <w:trPr>
          <w:cantSplit/>
        </w:trPr>
        <w:tc>
          <w:tcPr>
            <w:tcW w:w="3119" w:type="dxa"/>
            <w:shd w:val="clear" w:color="auto" w:fill="auto"/>
          </w:tcPr>
          <w:p w14:paraId="1E339315" w14:textId="77777777" w:rsidR="00A55CE6" w:rsidRPr="007B7915" w:rsidRDefault="00A55CE6" w:rsidP="00936322">
            <w:pPr>
              <w:pStyle w:val="TableText"/>
              <w:keepNext/>
            </w:pPr>
            <w:r w:rsidRPr="007B7915">
              <w:t>Men v</w:t>
            </w:r>
            <w:r>
              <w:t>ersu</w:t>
            </w:r>
            <w:r w:rsidRPr="007B7915">
              <w:t>s women</w:t>
            </w:r>
          </w:p>
        </w:tc>
        <w:tc>
          <w:tcPr>
            <w:tcW w:w="1984" w:type="dxa"/>
          </w:tcPr>
          <w:p w14:paraId="3B9E4CB1" w14:textId="77777777" w:rsidR="00A55CE6" w:rsidRPr="007B7915" w:rsidRDefault="00A55CE6" w:rsidP="00A55CE6">
            <w:pPr>
              <w:pStyle w:val="TableText"/>
              <w:tabs>
                <w:tab w:val="decimal" w:pos="935"/>
              </w:tabs>
            </w:pPr>
            <w:r w:rsidRPr="007B7915">
              <w:t>0.9*</w:t>
            </w:r>
          </w:p>
        </w:tc>
      </w:tr>
      <w:tr w:rsidR="00A55CE6" w:rsidRPr="007B7915" w14:paraId="6ABED7BB" w14:textId="77777777" w:rsidTr="00936322">
        <w:trPr>
          <w:cantSplit/>
        </w:trPr>
        <w:tc>
          <w:tcPr>
            <w:tcW w:w="3119" w:type="dxa"/>
            <w:shd w:val="clear" w:color="auto" w:fill="auto"/>
          </w:tcPr>
          <w:p w14:paraId="33C34EB5" w14:textId="77777777" w:rsidR="00A55CE6" w:rsidRPr="007B7915" w:rsidRDefault="00A55CE6" w:rsidP="00936322">
            <w:pPr>
              <w:pStyle w:val="TableText"/>
              <w:keepNext/>
            </w:pPr>
            <w:r w:rsidRPr="007B7915">
              <w:t>Māori v</w:t>
            </w:r>
            <w:r>
              <w:t>ersu</w:t>
            </w:r>
            <w:r w:rsidRPr="007B7915">
              <w:t>s non-Māori</w:t>
            </w:r>
          </w:p>
        </w:tc>
        <w:tc>
          <w:tcPr>
            <w:tcW w:w="1984" w:type="dxa"/>
          </w:tcPr>
          <w:p w14:paraId="66AF3631" w14:textId="77777777" w:rsidR="00A55CE6" w:rsidRPr="007B7915" w:rsidRDefault="00A55CE6" w:rsidP="00A55CE6">
            <w:pPr>
              <w:pStyle w:val="TableText"/>
              <w:tabs>
                <w:tab w:val="decimal" w:pos="935"/>
              </w:tabs>
            </w:pPr>
            <w:r w:rsidRPr="007B7915">
              <w:t>1.2*</w:t>
            </w:r>
          </w:p>
        </w:tc>
      </w:tr>
      <w:tr w:rsidR="00A55CE6" w:rsidRPr="007B7915" w14:paraId="367D3FB4" w14:textId="77777777" w:rsidTr="00936322">
        <w:trPr>
          <w:cantSplit/>
        </w:trPr>
        <w:tc>
          <w:tcPr>
            <w:tcW w:w="3119" w:type="dxa"/>
            <w:shd w:val="clear" w:color="auto" w:fill="auto"/>
          </w:tcPr>
          <w:p w14:paraId="36670A49" w14:textId="77777777" w:rsidR="00A55CE6" w:rsidRPr="007B7915" w:rsidRDefault="00A55CE6" w:rsidP="00936322">
            <w:pPr>
              <w:pStyle w:val="TableText"/>
              <w:keepNext/>
            </w:pPr>
            <w:r w:rsidRPr="007B7915">
              <w:t>Pacific v</w:t>
            </w:r>
            <w:r>
              <w:t>ersu</w:t>
            </w:r>
            <w:r w:rsidRPr="007B7915">
              <w:t>s non-Pacific</w:t>
            </w:r>
          </w:p>
        </w:tc>
        <w:tc>
          <w:tcPr>
            <w:tcW w:w="1984" w:type="dxa"/>
          </w:tcPr>
          <w:p w14:paraId="2A0254D5" w14:textId="77777777" w:rsidR="00A55CE6" w:rsidRPr="007B7915" w:rsidRDefault="00A55CE6" w:rsidP="00A55CE6">
            <w:pPr>
              <w:pStyle w:val="TableText"/>
              <w:tabs>
                <w:tab w:val="decimal" w:pos="935"/>
              </w:tabs>
            </w:pPr>
            <w:r w:rsidRPr="007B7915">
              <w:t>1.3*</w:t>
            </w:r>
          </w:p>
        </w:tc>
      </w:tr>
      <w:tr w:rsidR="00A55CE6" w:rsidRPr="007B7915" w14:paraId="1E1FA018" w14:textId="77777777" w:rsidTr="00936322">
        <w:trPr>
          <w:cantSplit/>
        </w:trPr>
        <w:tc>
          <w:tcPr>
            <w:tcW w:w="3119" w:type="dxa"/>
            <w:shd w:val="clear" w:color="auto" w:fill="auto"/>
          </w:tcPr>
          <w:p w14:paraId="7E01AB70" w14:textId="77777777" w:rsidR="00A55CE6" w:rsidRPr="007B7915" w:rsidRDefault="00A55CE6" w:rsidP="00936322">
            <w:pPr>
              <w:pStyle w:val="TableText"/>
              <w:keepNext/>
            </w:pPr>
            <w:r w:rsidRPr="007B7915">
              <w:t>Asian v</w:t>
            </w:r>
            <w:r>
              <w:t>ersu</w:t>
            </w:r>
            <w:r w:rsidRPr="007B7915">
              <w:t>s non-Asian</w:t>
            </w:r>
          </w:p>
        </w:tc>
        <w:tc>
          <w:tcPr>
            <w:tcW w:w="1984" w:type="dxa"/>
          </w:tcPr>
          <w:p w14:paraId="211AD9BB" w14:textId="77777777" w:rsidR="00A55CE6" w:rsidRPr="007B7915" w:rsidRDefault="00A55CE6" w:rsidP="00A55CE6">
            <w:pPr>
              <w:pStyle w:val="TableText"/>
              <w:tabs>
                <w:tab w:val="decimal" w:pos="935"/>
              </w:tabs>
            </w:pPr>
            <w:r w:rsidRPr="007B7915">
              <w:t>0.8</w:t>
            </w:r>
          </w:p>
        </w:tc>
      </w:tr>
      <w:tr w:rsidR="00A55CE6" w:rsidRPr="007B7915" w14:paraId="6AF1FB80" w14:textId="77777777" w:rsidTr="00936322">
        <w:trPr>
          <w:cantSplit/>
        </w:trPr>
        <w:tc>
          <w:tcPr>
            <w:tcW w:w="3119" w:type="dxa"/>
            <w:shd w:val="clear" w:color="auto" w:fill="auto"/>
          </w:tcPr>
          <w:p w14:paraId="3E4D854C" w14:textId="77777777" w:rsidR="00A55CE6" w:rsidRPr="007B7915" w:rsidRDefault="00A55CE6" w:rsidP="00936322">
            <w:pPr>
              <w:pStyle w:val="TableText"/>
            </w:pPr>
            <w:r w:rsidRPr="007B7915">
              <w:t>Most v</w:t>
            </w:r>
            <w:r>
              <w:t>ersu</w:t>
            </w:r>
            <w:r w:rsidRPr="007B7915">
              <w:t>s least deprived</w:t>
            </w:r>
          </w:p>
        </w:tc>
        <w:tc>
          <w:tcPr>
            <w:tcW w:w="1984" w:type="dxa"/>
          </w:tcPr>
          <w:p w14:paraId="3EFF8083" w14:textId="77777777" w:rsidR="00A55CE6" w:rsidRPr="007B7915" w:rsidRDefault="00A55CE6" w:rsidP="00A55CE6">
            <w:pPr>
              <w:pStyle w:val="TableText"/>
              <w:tabs>
                <w:tab w:val="decimal" w:pos="935"/>
              </w:tabs>
            </w:pPr>
            <w:r w:rsidRPr="007B7915">
              <w:t>1.0</w:t>
            </w:r>
          </w:p>
        </w:tc>
      </w:tr>
    </w:tbl>
    <w:p w14:paraId="604A5C80" w14:textId="77777777" w:rsidR="00A55CE6" w:rsidRDefault="00A55CE6" w:rsidP="00A55CE6">
      <w:pPr>
        <w:pStyle w:val="TableNote"/>
      </w:pPr>
      <w:r w:rsidRPr="009E53CE">
        <w:t xml:space="preserve">Source: 2012/13 </w:t>
      </w:r>
      <w:r>
        <w:t>NZHS</w:t>
      </w:r>
    </w:p>
    <w:p w14:paraId="1FCB9635" w14:textId="77777777" w:rsidR="00A55CE6" w:rsidRDefault="00A55CE6" w:rsidP="00A55CE6">
      <w:pPr>
        <w:pStyle w:val="TableNote"/>
      </w:pPr>
      <w:r>
        <w:t>*</w:t>
      </w:r>
      <w:r>
        <w:tab/>
        <w:t>There is a statistically significant difference between the two groups.</w:t>
      </w:r>
    </w:p>
    <w:p w14:paraId="604E44D2" w14:textId="77777777" w:rsidR="00A55CE6" w:rsidRDefault="00A55CE6" w:rsidP="00A55CE6">
      <w:pPr>
        <w:pStyle w:val="TableNote"/>
        <w:ind w:left="0" w:firstLine="0"/>
      </w:pPr>
      <w:r>
        <w:t>Notes: The sex comparison is adjusted for age. Ethnic comparisons are adjusted for age and sex. Deprivation comparisons are adjusted for age, sex and ethnic group.</w:t>
      </w:r>
    </w:p>
    <w:p w14:paraId="35B316C3" w14:textId="77777777" w:rsidR="00A55CE6" w:rsidRDefault="00A55CE6" w:rsidP="00A55CE6"/>
    <w:p w14:paraId="327D14F3" w14:textId="7CF6CFE3" w:rsidR="007066D2" w:rsidRDefault="00735227" w:rsidP="00A55CE6">
      <w:pPr>
        <w:pStyle w:val="Heading4"/>
      </w:pPr>
      <w:r w:rsidRPr="000C6155">
        <w:t xml:space="preserve">One in two current smokers received </w:t>
      </w:r>
      <w:r w:rsidR="00344AFF">
        <w:t xml:space="preserve">the </w:t>
      </w:r>
      <w:r w:rsidRPr="001F7227">
        <w:t>ABC</w:t>
      </w:r>
      <w:r w:rsidR="00344AFF">
        <w:t xml:space="preserve"> pathway</w:t>
      </w:r>
      <w:r w:rsidRPr="001F7227">
        <w:t xml:space="preserve"> </w:t>
      </w:r>
      <w:r w:rsidRPr="000C6155">
        <w:t>from a GP</w:t>
      </w:r>
    </w:p>
    <w:p w14:paraId="03998D84" w14:textId="77777777" w:rsidR="007066D2" w:rsidRDefault="00735227" w:rsidP="00A55CE6">
      <w:r>
        <w:t>Nearly half (48%) of smokers who had seen a GP in the past 12 months received all three components of the ABC pathway (ie, were asked about their smoking status, offered brief advice to stop smoking and encouraged to use cessation support). Female smokers were significantly more likely to have received all three components from a GP than male smokers.</w:t>
      </w:r>
    </w:p>
    <w:p w14:paraId="34D6AF43" w14:textId="77777777" w:rsidR="00735227" w:rsidRDefault="00735227" w:rsidP="00A55CE6"/>
    <w:p w14:paraId="2B0E5A8F" w14:textId="77777777" w:rsidR="007066D2" w:rsidRDefault="00735227" w:rsidP="00A55CE6">
      <w:r>
        <w:t>Younger smokers (15–19 years) were the least likely group to receive A, B and C (Figure 25). The likelihood of being provided with all three components of the ABC pathway increased with age, except for two declines seen in the 25–34 years and after the 55–64 years age groups.</w:t>
      </w:r>
    </w:p>
    <w:p w14:paraId="60B4E2C9" w14:textId="77777777" w:rsidR="00735227" w:rsidRDefault="00735227" w:rsidP="00A55CE6"/>
    <w:p w14:paraId="166D13C3" w14:textId="77777777" w:rsidR="00735227" w:rsidRDefault="00735227" w:rsidP="00A55CE6">
      <w:pPr>
        <w:pStyle w:val="Figure"/>
      </w:pPr>
      <w:bookmarkStart w:id="225" w:name="_Toc399920508"/>
      <w:bookmarkStart w:id="226" w:name="_Toc404258434"/>
      <w:r>
        <w:t xml:space="preserve">Figure </w:t>
      </w:r>
      <w:r w:rsidR="00A55CE6">
        <w:t>25</w:t>
      </w:r>
      <w:r w:rsidRPr="002623F5">
        <w:t>:</w:t>
      </w:r>
      <w:r w:rsidR="00A55CE6">
        <w:t xml:space="preserve"> </w:t>
      </w:r>
      <w:r w:rsidR="004777D9">
        <w:t>C</w:t>
      </w:r>
      <w:r w:rsidRPr="002623F5">
        <w:t>urrent smokers and those who quit smoking in the past year</w:t>
      </w:r>
      <w:r w:rsidR="004777D9">
        <w:t xml:space="preserve"> who r</w:t>
      </w:r>
      <w:r w:rsidR="004777D9" w:rsidRPr="002623F5">
        <w:t>eceived the ABC pathway from a G</w:t>
      </w:r>
      <w:r w:rsidR="004777D9">
        <w:t>P in the past 12 months</w:t>
      </w:r>
      <w:r w:rsidRPr="002623F5">
        <w:t>, by age group</w:t>
      </w:r>
      <w:bookmarkEnd w:id="225"/>
      <w:bookmarkEnd w:id="226"/>
    </w:p>
    <w:p w14:paraId="719BD20A" w14:textId="77777777" w:rsidR="00735227" w:rsidRPr="00D26D3A" w:rsidRDefault="003D5F87" w:rsidP="003D5F87">
      <w:pPr>
        <w:rPr>
          <w:lang w:eastAsia="en-US"/>
        </w:rPr>
      </w:pPr>
      <w:r w:rsidRPr="003D5F87">
        <w:rPr>
          <w:noProof/>
          <w:lang w:eastAsia="en-NZ"/>
        </w:rPr>
        <w:drawing>
          <wp:inline distT="0" distB="0" distL="0" distR="0" wp14:anchorId="3C85CEFA" wp14:editId="7462187F">
            <wp:extent cx="4422370" cy="2624492"/>
            <wp:effectExtent l="0" t="0" r="0" b="4445"/>
            <wp:docPr id="26" name="Picture 26" title="Figure 25: Received the ABC pathway from a GP in the past 12 months, among current smokers and those who quit smoking in the past year,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srcRect r="10172" b="12615"/>
                    <a:stretch/>
                  </pic:blipFill>
                  <pic:spPr bwMode="auto">
                    <a:xfrm>
                      <a:off x="0" y="0"/>
                      <a:ext cx="4421837" cy="2624176"/>
                    </a:xfrm>
                    <a:prstGeom prst="rect">
                      <a:avLst/>
                    </a:prstGeom>
                    <a:ln>
                      <a:noFill/>
                    </a:ln>
                    <a:extLst>
                      <a:ext uri="{53640926-AAD7-44D8-BBD7-CCE9431645EC}">
                        <a14:shadowObscured xmlns:a14="http://schemas.microsoft.com/office/drawing/2010/main"/>
                      </a:ext>
                    </a:extLst>
                  </pic:spPr>
                </pic:pic>
              </a:graphicData>
            </a:graphic>
          </wp:inline>
        </w:drawing>
      </w:r>
    </w:p>
    <w:p w14:paraId="01D5BE4D" w14:textId="77777777" w:rsidR="00735227" w:rsidRPr="00532239" w:rsidRDefault="00735227" w:rsidP="00A55CE6">
      <w:pPr>
        <w:pStyle w:val="Source"/>
      </w:pPr>
      <w:r w:rsidRPr="00532239">
        <w:t xml:space="preserve">Source: 2012/13 </w:t>
      </w:r>
      <w:r>
        <w:t>NZHS</w:t>
      </w:r>
    </w:p>
    <w:p w14:paraId="7FF23C67" w14:textId="77777777" w:rsidR="00735227" w:rsidRDefault="00735227" w:rsidP="00A55CE6"/>
    <w:p w14:paraId="0B04309D" w14:textId="77777777" w:rsidR="007066D2" w:rsidRDefault="00735227" w:rsidP="00A55CE6">
      <w:pPr>
        <w:pStyle w:val="Heading4"/>
      </w:pPr>
      <w:r w:rsidRPr="000C6155">
        <w:t xml:space="preserve">Over half of Māori and Pacific smokers received </w:t>
      </w:r>
      <w:r w:rsidRPr="001F7227">
        <w:t>ABC</w:t>
      </w:r>
      <w:r w:rsidRPr="00BD49E3">
        <w:t xml:space="preserve"> </w:t>
      </w:r>
      <w:r w:rsidRPr="000C6155">
        <w:t>from a GP</w:t>
      </w:r>
    </w:p>
    <w:p w14:paraId="3AC99E86" w14:textId="77777777" w:rsidR="007066D2" w:rsidRDefault="00735227" w:rsidP="00A55CE6">
      <w:r>
        <w:t>Pacific smokers were more likely (62%) than any other ethnic group to receive the combined ABC pathway from a GP in the past 12 months, with Asian smokers bein</w:t>
      </w:r>
      <w:r w:rsidR="004B6830">
        <w:t xml:space="preserve">g the least likely (43%) (Table </w:t>
      </w:r>
      <w:r>
        <w:t>25). After adjusting for age and sex differences, Pacific smokers were 1.3 times as likely as non-Pacific smokers to receive this intervention (Table 26).</w:t>
      </w:r>
    </w:p>
    <w:p w14:paraId="63D349F4" w14:textId="77777777" w:rsidR="00735227" w:rsidRDefault="00735227" w:rsidP="00A55CE6"/>
    <w:p w14:paraId="3BC8F639" w14:textId="3BE167B2" w:rsidR="00735227" w:rsidRPr="00A22E72" w:rsidRDefault="00344AFF" w:rsidP="00A55CE6">
      <w:r>
        <w:t>O</w:t>
      </w:r>
      <w:r w:rsidR="00735227">
        <w:t>ver half (56%) of Māori smokers received the combined ABC pathway, with Māori smokers more than 1.2 times more likely than non-Māori smokers to receive the ABC pathway from a GP, after adjusting for age and sex differences.</w:t>
      </w:r>
    </w:p>
    <w:p w14:paraId="279AC7B8" w14:textId="77777777" w:rsidR="00735227" w:rsidRDefault="00735227" w:rsidP="00A55CE6"/>
    <w:p w14:paraId="77EC9D9B" w14:textId="77777777" w:rsidR="00735227" w:rsidRDefault="00735227" w:rsidP="00A55CE6">
      <w:pPr>
        <w:pStyle w:val="Table"/>
      </w:pPr>
      <w:bookmarkStart w:id="227" w:name="_Toc399920536"/>
      <w:bookmarkStart w:id="228" w:name="_Toc404091125"/>
      <w:r>
        <w:t xml:space="preserve">Table </w:t>
      </w:r>
      <w:r w:rsidR="00A55CE6">
        <w:t>25</w:t>
      </w:r>
      <w:r w:rsidRPr="00F31BAB">
        <w:t>:</w:t>
      </w:r>
      <w:r w:rsidR="00A55CE6">
        <w:t xml:space="preserve"> </w:t>
      </w:r>
      <w:r w:rsidRPr="00F31BAB">
        <w:t xml:space="preserve">Received the ABC pathway from a GP in the past 12 months, among current smokers and those who quit smoking in the </w:t>
      </w:r>
      <w:r>
        <w:t>p</w:t>
      </w:r>
      <w:r w:rsidRPr="00F31BAB">
        <w:t>ast 12 months, by ethnic group</w:t>
      </w:r>
      <w:bookmarkEnd w:id="227"/>
      <w:bookmarkEnd w:id="22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A55CE6" w:rsidRPr="00D66766" w14:paraId="55C5BCF0" w14:textId="77777777" w:rsidTr="00936322">
        <w:trPr>
          <w:cantSplit/>
        </w:trPr>
        <w:tc>
          <w:tcPr>
            <w:tcW w:w="3080" w:type="dxa"/>
            <w:tcBorders>
              <w:top w:val="single" w:sz="4" w:space="0" w:color="auto"/>
              <w:bottom w:val="single" w:sz="4" w:space="0" w:color="auto"/>
            </w:tcBorders>
            <w:shd w:val="clear" w:color="auto" w:fill="auto"/>
          </w:tcPr>
          <w:p w14:paraId="4B673340" w14:textId="77777777" w:rsidR="00A55CE6" w:rsidRPr="00D66766" w:rsidRDefault="00A55CE6" w:rsidP="00936322">
            <w:pPr>
              <w:pStyle w:val="TableText"/>
              <w:rPr>
                <w:b/>
              </w:rPr>
            </w:pPr>
            <w:r w:rsidRPr="00D66766">
              <w:rPr>
                <w:b/>
              </w:rPr>
              <w:t>Ethnic group</w:t>
            </w:r>
          </w:p>
        </w:tc>
        <w:tc>
          <w:tcPr>
            <w:tcW w:w="2075" w:type="dxa"/>
            <w:tcBorders>
              <w:top w:val="single" w:sz="4" w:space="0" w:color="auto"/>
              <w:bottom w:val="single" w:sz="4" w:space="0" w:color="auto"/>
            </w:tcBorders>
            <w:shd w:val="clear" w:color="auto" w:fill="auto"/>
          </w:tcPr>
          <w:p w14:paraId="51260679" w14:textId="77777777" w:rsidR="00A55CE6" w:rsidRPr="00D66766" w:rsidRDefault="00A55CE6" w:rsidP="00936322">
            <w:pPr>
              <w:pStyle w:val="TableText"/>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3AD34333" w14:textId="77777777" w:rsidR="00A55CE6" w:rsidRPr="00D66766" w:rsidRDefault="00A55CE6" w:rsidP="00936322">
            <w:pPr>
              <w:pStyle w:val="TableText"/>
              <w:jc w:val="center"/>
              <w:rPr>
                <w:b/>
              </w:rPr>
            </w:pPr>
            <w:r w:rsidRPr="00D66766">
              <w:rPr>
                <w:b/>
              </w:rPr>
              <w:t>Estimated number</w:t>
            </w:r>
          </w:p>
        </w:tc>
      </w:tr>
      <w:tr w:rsidR="00A55CE6" w:rsidRPr="007B7915" w14:paraId="799E1025" w14:textId="77777777" w:rsidTr="00936322">
        <w:trPr>
          <w:cantSplit/>
        </w:trPr>
        <w:tc>
          <w:tcPr>
            <w:tcW w:w="3080" w:type="dxa"/>
            <w:tcBorders>
              <w:top w:val="single" w:sz="4" w:space="0" w:color="auto"/>
              <w:bottom w:val="single" w:sz="4" w:space="0" w:color="A6A6A6" w:themeColor="background1" w:themeShade="A6"/>
            </w:tcBorders>
            <w:shd w:val="clear" w:color="auto" w:fill="auto"/>
          </w:tcPr>
          <w:p w14:paraId="1DEE32FC" w14:textId="77777777" w:rsidR="00A55CE6" w:rsidRPr="007B7915" w:rsidRDefault="00A55CE6" w:rsidP="00936322">
            <w:pPr>
              <w:pStyle w:val="TableText"/>
            </w:pPr>
            <w:r w:rsidRPr="007B7915">
              <w:t>Māori</w:t>
            </w:r>
          </w:p>
        </w:tc>
        <w:tc>
          <w:tcPr>
            <w:tcW w:w="2075" w:type="dxa"/>
            <w:tcBorders>
              <w:top w:val="single" w:sz="4" w:space="0" w:color="auto"/>
              <w:bottom w:val="single" w:sz="4" w:space="0" w:color="A6A6A6" w:themeColor="background1" w:themeShade="A6"/>
            </w:tcBorders>
            <w:shd w:val="clear" w:color="auto" w:fill="auto"/>
            <w:vAlign w:val="bottom"/>
          </w:tcPr>
          <w:p w14:paraId="5626A152" w14:textId="77777777" w:rsidR="00A55CE6" w:rsidRPr="007B7915" w:rsidRDefault="00A55CE6" w:rsidP="00A55CE6">
            <w:pPr>
              <w:pStyle w:val="TableText"/>
              <w:jc w:val="center"/>
            </w:pPr>
            <w:r>
              <w:t>56</w:t>
            </w:r>
          </w:p>
        </w:tc>
        <w:tc>
          <w:tcPr>
            <w:tcW w:w="2075" w:type="dxa"/>
            <w:tcBorders>
              <w:top w:val="single" w:sz="4" w:space="0" w:color="auto"/>
              <w:bottom w:val="single" w:sz="4" w:space="0" w:color="A6A6A6" w:themeColor="background1" w:themeShade="A6"/>
            </w:tcBorders>
            <w:shd w:val="clear" w:color="auto" w:fill="auto"/>
            <w:vAlign w:val="bottom"/>
          </w:tcPr>
          <w:p w14:paraId="2307B456" w14:textId="77777777" w:rsidR="00A55CE6" w:rsidRPr="007B7915" w:rsidRDefault="00A55CE6" w:rsidP="00A55CE6">
            <w:pPr>
              <w:pStyle w:val="TableText"/>
              <w:tabs>
                <w:tab w:val="decimal" w:pos="1309"/>
              </w:tabs>
            </w:pPr>
            <w:r>
              <w:t>65,0</w:t>
            </w:r>
            <w:r w:rsidRPr="007B7915">
              <w:t>00</w:t>
            </w:r>
          </w:p>
        </w:tc>
      </w:tr>
      <w:tr w:rsidR="00A55CE6" w:rsidRPr="007B7915" w14:paraId="54DEA273"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3FDE5187" w14:textId="77777777" w:rsidR="00A55CE6" w:rsidRPr="007B7915" w:rsidRDefault="00A55CE6" w:rsidP="00936322">
            <w:pPr>
              <w:pStyle w:val="TableText"/>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4EEA8C12" w14:textId="77777777" w:rsidR="00A55CE6" w:rsidRPr="007B7915" w:rsidRDefault="00A55CE6" w:rsidP="00A55CE6">
            <w:pPr>
              <w:pStyle w:val="TableText"/>
              <w:jc w:val="center"/>
            </w:pPr>
            <w:r>
              <w:t>62</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170C7B30" w14:textId="77777777" w:rsidR="00A55CE6" w:rsidRPr="007B7915" w:rsidRDefault="00A55CE6" w:rsidP="00A55CE6">
            <w:pPr>
              <w:pStyle w:val="TableText"/>
              <w:tabs>
                <w:tab w:val="decimal" w:pos="1309"/>
              </w:tabs>
            </w:pPr>
            <w:r>
              <w:t>20,0</w:t>
            </w:r>
            <w:r w:rsidRPr="007B7915">
              <w:t>00</w:t>
            </w:r>
          </w:p>
        </w:tc>
      </w:tr>
      <w:tr w:rsidR="00A55CE6" w:rsidRPr="007B7915" w14:paraId="5FB44C31" w14:textId="77777777" w:rsidTr="00936322">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7C0AF096" w14:textId="77777777" w:rsidR="00A55CE6" w:rsidRPr="007B7915" w:rsidRDefault="00A55CE6" w:rsidP="00936322">
            <w:pPr>
              <w:pStyle w:val="TableText"/>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4ABCB064" w14:textId="77777777" w:rsidR="00A55CE6" w:rsidRPr="007B7915" w:rsidRDefault="00A55CE6" w:rsidP="00A55CE6">
            <w:pPr>
              <w:pStyle w:val="TableText"/>
              <w:jc w:val="center"/>
            </w:pPr>
            <w:r>
              <w:t>43</w:t>
            </w:r>
          </w:p>
        </w:tc>
        <w:tc>
          <w:tcPr>
            <w:tcW w:w="2075" w:type="dxa"/>
            <w:tcBorders>
              <w:top w:val="single" w:sz="4" w:space="0" w:color="A6A6A6" w:themeColor="background1" w:themeShade="A6"/>
              <w:bottom w:val="single" w:sz="4" w:space="0" w:color="A6A6A6" w:themeColor="background1" w:themeShade="A6"/>
            </w:tcBorders>
            <w:shd w:val="clear" w:color="auto" w:fill="auto"/>
            <w:vAlign w:val="bottom"/>
          </w:tcPr>
          <w:p w14:paraId="43C7B695" w14:textId="77777777" w:rsidR="00A55CE6" w:rsidRPr="007B7915" w:rsidRDefault="00A55CE6" w:rsidP="00A55CE6">
            <w:pPr>
              <w:pStyle w:val="TableText"/>
              <w:tabs>
                <w:tab w:val="decimal" w:pos="1309"/>
              </w:tabs>
            </w:pPr>
            <w:r>
              <w:t>11,0</w:t>
            </w:r>
            <w:r w:rsidRPr="007B7915">
              <w:t>00</w:t>
            </w:r>
          </w:p>
        </w:tc>
      </w:tr>
      <w:tr w:rsidR="00A55CE6" w:rsidRPr="007B7915" w14:paraId="1BF9A247" w14:textId="77777777" w:rsidTr="00936322">
        <w:trPr>
          <w:cantSplit/>
        </w:trPr>
        <w:tc>
          <w:tcPr>
            <w:tcW w:w="3080" w:type="dxa"/>
            <w:tcBorders>
              <w:top w:val="single" w:sz="4" w:space="0" w:color="A6A6A6" w:themeColor="background1" w:themeShade="A6"/>
            </w:tcBorders>
            <w:shd w:val="clear" w:color="auto" w:fill="auto"/>
          </w:tcPr>
          <w:p w14:paraId="22DBDA61" w14:textId="77777777" w:rsidR="00A55CE6" w:rsidRPr="007B7915" w:rsidRDefault="00A55CE6" w:rsidP="00936322">
            <w:pPr>
              <w:pStyle w:val="TableText"/>
            </w:pPr>
            <w:r w:rsidRPr="007B7915">
              <w:t>European/Other</w:t>
            </w:r>
          </w:p>
        </w:tc>
        <w:tc>
          <w:tcPr>
            <w:tcW w:w="2075" w:type="dxa"/>
            <w:tcBorders>
              <w:top w:val="single" w:sz="4" w:space="0" w:color="A6A6A6" w:themeColor="background1" w:themeShade="A6"/>
            </w:tcBorders>
            <w:shd w:val="clear" w:color="auto" w:fill="auto"/>
            <w:vAlign w:val="bottom"/>
          </w:tcPr>
          <w:p w14:paraId="67558843" w14:textId="77777777" w:rsidR="00A55CE6" w:rsidRPr="007B7915" w:rsidRDefault="00A55CE6" w:rsidP="00A55CE6">
            <w:pPr>
              <w:pStyle w:val="TableText"/>
              <w:jc w:val="center"/>
            </w:pPr>
            <w:r>
              <w:t>48</w:t>
            </w:r>
          </w:p>
        </w:tc>
        <w:tc>
          <w:tcPr>
            <w:tcW w:w="2075" w:type="dxa"/>
            <w:tcBorders>
              <w:top w:val="single" w:sz="4" w:space="0" w:color="A6A6A6" w:themeColor="background1" w:themeShade="A6"/>
            </w:tcBorders>
            <w:shd w:val="clear" w:color="auto" w:fill="auto"/>
            <w:vAlign w:val="bottom"/>
          </w:tcPr>
          <w:p w14:paraId="5759680D" w14:textId="77777777" w:rsidR="00A55CE6" w:rsidRPr="007B7915" w:rsidRDefault="00A55CE6" w:rsidP="00A55CE6">
            <w:pPr>
              <w:pStyle w:val="TableText"/>
              <w:tabs>
                <w:tab w:val="decimal" w:pos="1309"/>
              </w:tabs>
            </w:pPr>
            <w:r>
              <w:t>145,0</w:t>
            </w:r>
            <w:r w:rsidRPr="007B7915">
              <w:t>00</w:t>
            </w:r>
          </w:p>
        </w:tc>
      </w:tr>
    </w:tbl>
    <w:p w14:paraId="52D33251" w14:textId="77777777" w:rsidR="00A55CE6" w:rsidRPr="009321F1" w:rsidRDefault="00A55CE6" w:rsidP="00A55CE6">
      <w:pPr>
        <w:pStyle w:val="TableNote"/>
        <w:ind w:right="2155"/>
      </w:pPr>
      <w:r w:rsidRPr="009321F1">
        <w:t>Source: 2012/13 New Zealand Health Survey</w:t>
      </w:r>
    </w:p>
    <w:p w14:paraId="0B3E33EE" w14:textId="77777777" w:rsidR="00A55CE6" w:rsidRPr="00932856" w:rsidRDefault="00A55CE6" w:rsidP="00A55CE6">
      <w:pPr>
        <w:pStyle w:val="TableNote"/>
        <w:ind w:right="2155"/>
      </w:pPr>
      <w:r w:rsidRPr="009321F1">
        <w:t>Note: Total response ethnicity has been used</w:t>
      </w:r>
      <w:r>
        <w:t>.</w:t>
      </w:r>
    </w:p>
    <w:p w14:paraId="6C5AF784" w14:textId="77777777" w:rsidR="00A55CE6" w:rsidRDefault="00A55CE6" w:rsidP="00A55CE6"/>
    <w:p w14:paraId="78D67CC9" w14:textId="77777777" w:rsidR="00A55CE6" w:rsidRDefault="00A55CE6" w:rsidP="00A55CE6">
      <w:pPr>
        <w:pStyle w:val="Table"/>
      </w:pPr>
      <w:bookmarkStart w:id="229" w:name="_Toc399920537"/>
      <w:bookmarkStart w:id="230" w:name="_Toc404091126"/>
      <w:r>
        <w:t>Table 26</w:t>
      </w:r>
      <w:r w:rsidRPr="00102A85">
        <w:t>:</w:t>
      </w:r>
      <w:r>
        <w:t xml:space="preserve"> </w:t>
      </w:r>
      <w:r w:rsidRPr="00102A85">
        <w:t>Adjusted rate ratios for current smokers and those who quit smoking in the past year, who received the ABC pathway from a GP</w:t>
      </w:r>
      <w:bookmarkEnd w:id="229"/>
      <w:bookmarkEnd w:id="230"/>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1984"/>
      </w:tblGrid>
      <w:tr w:rsidR="00A55CE6" w:rsidRPr="007B7915" w14:paraId="07061DCD" w14:textId="77777777" w:rsidTr="00936322">
        <w:trPr>
          <w:cantSplit/>
        </w:trPr>
        <w:tc>
          <w:tcPr>
            <w:tcW w:w="3119" w:type="dxa"/>
            <w:shd w:val="clear" w:color="auto" w:fill="auto"/>
          </w:tcPr>
          <w:p w14:paraId="577E1258" w14:textId="77777777" w:rsidR="00A55CE6" w:rsidRPr="007B7915" w:rsidRDefault="00A55CE6" w:rsidP="001632B8">
            <w:pPr>
              <w:pStyle w:val="TableText"/>
              <w:keepNext/>
              <w:spacing w:before="50" w:after="50"/>
            </w:pPr>
            <w:r w:rsidRPr="007B7915">
              <w:t>Men v</w:t>
            </w:r>
            <w:r>
              <w:t>ersu</w:t>
            </w:r>
            <w:r w:rsidRPr="007B7915">
              <w:t>s women</w:t>
            </w:r>
          </w:p>
        </w:tc>
        <w:tc>
          <w:tcPr>
            <w:tcW w:w="1984" w:type="dxa"/>
          </w:tcPr>
          <w:p w14:paraId="1A92A665" w14:textId="77777777" w:rsidR="00A55CE6" w:rsidRPr="007B7915" w:rsidRDefault="00A55CE6" w:rsidP="001632B8">
            <w:pPr>
              <w:pStyle w:val="TableText"/>
              <w:keepNext/>
              <w:tabs>
                <w:tab w:val="decimal" w:pos="935"/>
              </w:tabs>
              <w:spacing w:before="50" w:after="50"/>
            </w:pPr>
            <w:r w:rsidRPr="007B7915">
              <w:t>0.9*</w:t>
            </w:r>
          </w:p>
        </w:tc>
      </w:tr>
      <w:tr w:rsidR="00A55CE6" w:rsidRPr="007B7915" w14:paraId="00A7E736" w14:textId="77777777" w:rsidTr="00936322">
        <w:trPr>
          <w:cantSplit/>
        </w:trPr>
        <w:tc>
          <w:tcPr>
            <w:tcW w:w="3119" w:type="dxa"/>
            <w:shd w:val="clear" w:color="auto" w:fill="auto"/>
          </w:tcPr>
          <w:p w14:paraId="10B2024A" w14:textId="77777777" w:rsidR="00A55CE6" w:rsidRPr="007B7915" w:rsidRDefault="00A55CE6" w:rsidP="001632B8">
            <w:pPr>
              <w:pStyle w:val="TableText"/>
              <w:keepNext/>
              <w:spacing w:before="50" w:after="50"/>
            </w:pPr>
            <w:r w:rsidRPr="007B7915">
              <w:t>Māori v</w:t>
            </w:r>
            <w:r>
              <w:t>ersu</w:t>
            </w:r>
            <w:r w:rsidRPr="007B7915">
              <w:t>s non-Māori</w:t>
            </w:r>
          </w:p>
        </w:tc>
        <w:tc>
          <w:tcPr>
            <w:tcW w:w="1984" w:type="dxa"/>
          </w:tcPr>
          <w:p w14:paraId="180E88EF" w14:textId="77777777" w:rsidR="00A55CE6" w:rsidRPr="007B7915" w:rsidRDefault="00A55CE6" w:rsidP="001632B8">
            <w:pPr>
              <w:pStyle w:val="TableText"/>
              <w:keepNext/>
              <w:tabs>
                <w:tab w:val="decimal" w:pos="935"/>
              </w:tabs>
              <w:spacing w:before="50" w:after="50"/>
            </w:pPr>
            <w:r w:rsidRPr="007B7915">
              <w:t>1.2*</w:t>
            </w:r>
          </w:p>
        </w:tc>
      </w:tr>
      <w:tr w:rsidR="00A55CE6" w:rsidRPr="007B7915" w14:paraId="0942BEC9" w14:textId="77777777" w:rsidTr="00936322">
        <w:trPr>
          <w:cantSplit/>
        </w:trPr>
        <w:tc>
          <w:tcPr>
            <w:tcW w:w="3119" w:type="dxa"/>
            <w:shd w:val="clear" w:color="auto" w:fill="auto"/>
          </w:tcPr>
          <w:p w14:paraId="445DA070" w14:textId="77777777" w:rsidR="00A55CE6" w:rsidRPr="007B7915" w:rsidRDefault="00A55CE6" w:rsidP="001632B8">
            <w:pPr>
              <w:pStyle w:val="TableText"/>
              <w:keepNext/>
              <w:spacing w:before="50" w:after="50"/>
            </w:pPr>
            <w:r w:rsidRPr="007B7915">
              <w:t>Pacific v</w:t>
            </w:r>
            <w:r>
              <w:t>ersu</w:t>
            </w:r>
            <w:r w:rsidRPr="007B7915">
              <w:t>s non-Pacific</w:t>
            </w:r>
          </w:p>
        </w:tc>
        <w:tc>
          <w:tcPr>
            <w:tcW w:w="1984" w:type="dxa"/>
          </w:tcPr>
          <w:p w14:paraId="56E0CDC4" w14:textId="77777777" w:rsidR="00A55CE6" w:rsidRPr="007B7915" w:rsidRDefault="00A55CE6" w:rsidP="001632B8">
            <w:pPr>
              <w:pStyle w:val="TableText"/>
              <w:keepNext/>
              <w:tabs>
                <w:tab w:val="decimal" w:pos="935"/>
              </w:tabs>
              <w:spacing w:before="50" w:after="50"/>
            </w:pPr>
            <w:r w:rsidRPr="007B7915">
              <w:t>1.3*</w:t>
            </w:r>
          </w:p>
        </w:tc>
      </w:tr>
      <w:tr w:rsidR="00A55CE6" w:rsidRPr="007B7915" w14:paraId="1351904A" w14:textId="77777777" w:rsidTr="00936322">
        <w:trPr>
          <w:cantSplit/>
        </w:trPr>
        <w:tc>
          <w:tcPr>
            <w:tcW w:w="3119" w:type="dxa"/>
            <w:shd w:val="clear" w:color="auto" w:fill="auto"/>
          </w:tcPr>
          <w:p w14:paraId="609DCBAE" w14:textId="77777777" w:rsidR="00A55CE6" w:rsidRPr="007B7915" w:rsidRDefault="00A55CE6" w:rsidP="001632B8">
            <w:pPr>
              <w:pStyle w:val="TableText"/>
              <w:keepNext/>
              <w:spacing w:before="50" w:after="50"/>
            </w:pPr>
            <w:r w:rsidRPr="007B7915">
              <w:t>Asian v</w:t>
            </w:r>
            <w:r>
              <w:t>ersu</w:t>
            </w:r>
            <w:r w:rsidRPr="007B7915">
              <w:t>s non-Asian</w:t>
            </w:r>
          </w:p>
        </w:tc>
        <w:tc>
          <w:tcPr>
            <w:tcW w:w="1984" w:type="dxa"/>
          </w:tcPr>
          <w:p w14:paraId="209BC7ED" w14:textId="77777777" w:rsidR="00A55CE6" w:rsidRPr="007B7915" w:rsidRDefault="00A55CE6" w:rsidP="001632B8">
            <w:pPr>
              <w:pStyle w:val="TableText"/>
              <w:keepNext/>
              <w:tabs>
                <w:tab w:val="decimal" w:pos="935"/>
              </w:tabs>
              <w:spacing w:before="50" w:after="50"/>
            </w:pPr>
            <w:r w:rsidRPr="007B7915">
              <w:t>0.9</w:t>
            </w:r>
          </w:p>
        </w:tc>
      </w:tr>
      <w:tr w:rsidR="00A55CE6" w:rsidRPr="007B7915" w14:paraId="437DF594" w14:textId="77777777" w:rsidTr="00936322">
        <w:trPr>
          <w:cantSplit/>
        </w:trPr>
        <w:tc>
          <w:tcPr>
            <w:tcW w:w="3119" w:type="dxa"/>
            <w:shd w:val="clear" w:color="auto" w:fill="auto"/>
          </w:tcPr>
          <w:p w14:paraId="3B191B68" w14:textId="77777777" w:rsidR="00A55CE6" w:rsidRPr="007B7915" w:rsidRDefault="00A55CE6" w:rsidP="001632B8">
            <w:pPr>
              <w:pStyle w:val="TableText"/>
              <w:keepNext/>
              <w:spacing w:before="50" w:after="50"/>
            </w:pPr>
            <w:r w:rsidRPr="007B7915">
              <w:t>Most v</w:t>
            </w:r>
            <w:r>
              <w:t>ersu</w:t>
            </w:r>
            <w:r w:rsidRPr="007B7915">
              <w:t>s least deprived</w:t>
            </w:r>
          </w:p>
        </w:tc>
        <w:tc>
          <w:tcPr>
            <w:tcW w:w="1984" w:type="dxa"/>
          </w:tcPr>
          <w:p w14:paraId="4D3D4B48" w14:textId="77777777" w:rsidR="00A55CE6" w:rsidRPr="007B7915" w:rsidRDefault="00A55CE6" w:rsidP="001632B8">
            <w:pPr>
              <w:pStyle w:val="TableText"/>
              <w:keepNext/>
              <w:tabs>
                <w:tab w:val="decimal" w:pos="935"/>
              </w:tabs>
              <w:spacing w:before="50" w:after="50"/>
            </w:pPr>
            <w:r w:rsidRPr="007B7915">
              <w:t>0.9</w:t>
            </w:r>
          </w:p>
        </w:tc>
      </w:tr>
    </w:tbl>
    <w:p w14:paraId="5243023C" w14:textId="77777777" w:rsidR="00A55CE6" w:rsidRDefault="00A55CE6" w:rsidP="00312920">
      <w:pPr>
        <w:pStyle w:val="TableNote"/>
        <w:keepNext/>
      </w:pPr>
      <w:r w:rsidRPr="009E53CE">
        <w:t xml:space="preserve">Source: 2012/13 </w:t>
      </w:r>
      <w:r>
        <w:t>NZHS</w:t>
      </w:r>
    </w:p>
    <w:p w14:paraId="6FB99EF8" w14:textId="77777777" w:rsidR="00A55CE6" w:rsidRDefault="00A55CE6" w:rsidP="001632B8">
      <w:pPr>
        <w:pStyle w:val="TableNote"/>
        <w:keepNext/>
        <w:spacing w:before="40"/>
      </w:pPr>
      <w:r>
        <w:t>*</w:t>
      </w:r>
      <w:r>
        <w:tab/>
        <w:t>There is a statistically significant difference between the two groups.</w:t>
      </w:r>
    </w:p>
    <w:p w14:paraId="3F1494DE" w14:textId="77777777" w:rsidR="00A55CE6" w:rsidRDefault="00A55CE6" w:rsidP="00312920">
      <w:pPr>
        <w:pStyle w:val="TableNote"/>
        <w:spacing w:before="40"/>
        <w:ind w:left="0" w:firstLine="0"/>
      </w:pPr>
      <w:r>
        <w:t>Notes: The sex comparison is adjusted for age. Ethnic comparisons are adjusted for age and sex. Deprivation comparisons are adjusted for age, sex and ethnic group.</w:t>
      </w:r>
    </w:p>
    <w:p w14:paraId="139FDD65" w14:textId="77777777" w:rsidR="00A55CE6" w:rsidRDefault="00A55CE6" w:rsidP="00A55CE6"/>
    <w:p w14:paraId="76FD2FE0" w14:textId="77777777" w:rsidR="00735227" w:rsidRPr="009E7B3D" w:rsidRDefault="00735227" w:rsidP="00A55CE6">
      <w:pPr>
        <w:pStyle w:val="Heading4"/>
      </w:pPr>
      <w:bookmarkStart w:id="231" w:name="_Toc400136643"/>
      <w:r w:rsidRPr="009E7B3D">
        <w:t xml:space="preserve">Comparison with </w:t>
      </w:r>
      <w:r>
        <w:t>h</w:t>
      </w:r>
      <w:r w:rsidRPr="009E7B3D">
        <w:t xml:space="preserve">ealth </w:t>
      </w:r>
      <w:r>
        <w:t>t</w:t>
      </w:r>
      <w:r w:rsidRPr="009E7B3D">
        <w:t xml:space="preserve">arget ABC </w:t>
      </w:r>
      <w:r>
        <w:t>p</w:t>
      </w:r>
      <w:r w:rsidRPr="009E7B3D">
        <w:t xml:space="preserve">rimary </w:t>
      </w:r>
      <w:r>
        <w:t>health c</w:t>
      </w:r>
      <w:r w:rsidRPr="009E7B3D">
        <w:t>are data</w:t>
      </w:r>
      <w:bookmarkEnd w:id="231"/>
    </w:p>
    <w:p w14:paraId="6A228973" w14:textId="1D45BB99" w:rsidR="007066D2" w:rsidRDefault="00735227" w:rsidP="00A55CE6">
      <w:r>
        <w:t xml:space="preserve">As outlined above, the current </w:t>
      </w:r>
      <w:r w:rsidR="00AA2408">
        <w:t>‘</w:t>
      </w:r>
      <w:r>
        <w:t>Better help for smokers to quit</w:t>
      </w:r>
      <w:r w:rsidR="00AA2408">
        <w:t>’</w:t>
      </w:r>
      <w:r>
        <w:t xml:space="preserve"> health target aims for </w:t>
      </w:r>
      <w:r w:rsidRPr="005E312C">
        <w:t>90</w:t>
      </w:r>
      <w:r>
        <w:t>%</w:t>
      </w:r>
      <w:r w:rsidRPr="005E312C">
        <w:t xml:space="preserve"> of enrolled patients who smoke and are seen by a health </w:t>
      </w:r>
      <w:r>
        <w:t xml:space="preserve">care </w:t>
      </w:r>
      <w:r w:rsidRPr="005E312C">
        <w:t>prac</w:t>
      </w:r>
      <w:r>
        <w:t>titioner in general practice to be</w:t>
      </w:r>
      <w:r w:rsidRPr="005E312C">
        <w:t xml:space="preserve"> offered brief advice and support to quit smoking</w:t>
      </w:r>
      <w:r>
        <w:t xml:space="preserve"> (Ministry of Health 2013</w:t>
      </w:r>
      <w:r w:rsidRPr="00457370">
        <w:t>)</w:t>
      </w:r>
      <w:r w:rsidRPr="001F7227">
        <w:t>.</w:t>
      </w:r>
    </w:p>
    <w:p w14:paraId="4A000254" w14:textId="77777777" w:rsidR="00735227" w:rsidRDefault="00735227" w:rsidP="00A55CE6"/>
    <w:p w14:paraId="7D662C86" w14:textId="77777777" w:rsidR="007066D2" w:rsidRDefault="00735227" w:rsidP="00A55CE6">
      <w:r>
        <w:t>The primary care health target data</w:t>
      </w:r>
      <w:r>
        <w:rPr>
          <w:rStyle w:val="FootnoteReference"/>
        </w:rPr>
        <w:footnoteReference w:id="10"/>
      </w:r>
      <w:r>
        <w:t xml:space="preserve"> for the 12 months ending 30 June 2013 showed a national rate of 57%.</w:t>
      </w:r>
    </w:p>
    <w:p w14:paraId="53C712FB" w14:textId="77777777" w:rsidR="00735227" w:rsidRDefault="00735227" w:rsidP="00A55CE6"/>
    <w:p w14:paraId="172FFC3B" w14:textId="77777777" w:rsidR="007066D2" w:rsidRDefault="00735227" w:rsidP="00A55CE6">
      <w:r>
        <w:t>In comparison, the 2012/13 NZHS showed a 56% age-standardised prevalence of current smokers and those who quit smoking in the previous year being offered brief advice to stop smoking by a GP.</w:t>
      </w:r>
    </w:p>
    <w:p w14:paraId="26EC1D21" w14:textId="77777777" w:rsidR="00735227" w:rsidRDefault="00735227" w:rsidP="00A55CE6"/>
    <w:p w14:paraId="4B264F95" w14:textId="77777777" w:rsidR="00735227" w:rsidRPr="00FB434A" w:rsidRDefault="00735227" w:rsidP="00A55CE6">
      <w:pPr>
        <w:pStyle w:val="Heading3"/>
      </w:pPr>
      <w:bookmarkStart w:id="232" w:name="_Toc400136644"/>
      <w:r w:rsidRPr="00FB434A">
        <w:t>Use of the ABC pathway by staff in public hospitals</w:t>
      </w:r>
      <w:bookmarkEnd w:id="232"/>
    </w:p>
    <w:p w14:paraId="17C7E3BE" w14:textId="77777777" w:rsidR="007066D2" w:rsidRDefault="00735227" w:rsidP="00A55CE6">
      <w:pPr>
        <w:pStyle w:val="Heading4"/>
      </w:pPr>
      <w:r w:rsidRPr="00FB434A">
        <w:t xml:space="preserve">Almost nine out of </w:t>
      </w:r>
      <w:r>
        <w:t>ten</w:t>
      </w:r>
      <w:r w:rsidRPr="00FB434A">
        <w:t xml:space="preserve"> hospitalised people were </w:t>
      </w:r>
      <w:r w:rsidRPr="00FB434A">
        <w:rPr>
          <w:u w:val="single"/>
        </w:rPr>
        <w:t>A</w:t>
      </w:r>
      <w:r w:rsidRPr="00FB434A">
        <w:t>sked their smoking status by a health professional</w:t>
      </w:r>
    </w:p>
    <w:p w14:paraId="6A78B6FA" w14:textId="77777777" w:rsidR="007066D2" w:rsidRDefault="00735227" w:rsidP="00A55CE6">
      <w:r>
        <w:t>Regardless of ethnicity, sex, age or neighbourhood deprivation, patients admitted to a public hospital were highly likely to be asked about their smoking status. A total of 87% of people who had spent at least one night in hospital over the past 12 months, reported being asked about their smoking status by doctors or staff at the hospital.</w:t>
      </w:r>
    </w:p>
    <w:p w14:paraId="3410958C" w14:textId="77777777" w:rsidR="00735227" w:rsidRDefault="00735227" w:rsidP="00A55CE6"/>
    <w:p w14:paraId="7B45F7F1" w14:textId="77777777" w:rsidR="007066D2" w:rsidRDefault="00735227" w:rsidP="00A55CE6">
      <w:r>
        <w:t>Table 27</w:t>
      </w:r>
      <w:r w:rsidRPr="00723643">
        <w:t xml:space="preserve"> shows that </w:t>
      </w:r>
      <w:r>
        <w:t>high numbers of patients from all four ethnic groups admitted to public hospitals were</w:t>
      </w:r>
      <w:r w:rsidRPr="00723643">
        <w:t xml:space="preserve"> asked by </w:t>
      </w:r>
      <w:r>
        <w:t xml:space="preserve">a health professional </w:t>
      </w:r>
      <w:r w:rsidRPr="00723643">
        <w:t>about their smoking status.</w:t>
      </w:r>
    </w:p>
    <w:p w14:paraId="4645E1D2" w14:textId="77777777" w:rsidR="00735227" w:rsidRDefault="00735227" w:rsidP="00A55CE6"/>
    <w:p w14:paraId="01F50624" w14:textId="77777777" w:rsidR="00735227" w:rsidRDefault="00735227" w:rsidP="00312920">
      <w:pPr>
        <w:pStyle w:val="Table"/>
        <w:spacing w:before="60"/>
      </w:pPr>
      <w:bookmarkStart w:id="233" w:name="_Toc399920538"/>
      <w:bookmarkStart w:id="234" w:name="_Toc404091127"/>
      <w:r>
        <w:t xml:space="preserve">Table </w:t>
      </w:r>
      <w:r w:rsidR="00A55CE6">
        <w:t>27</w:t>
      </w:r>
      <w:r w:rsidRPr="00D95055">
        <w:t>:</w:t>
      </w:r>
      <w:r w:rsidR="00A55CE6">
        <w:t xml:space="preserve"> </w:t>
      </w:r>
      <w:r w:rsidRPr="00D95055">
        <w:t>Asked smoking status by staff in public hospitals in the past 12 months, total population, by ethnic group</w:t>
      </w:r>
      <w:bookmarkEnd w:id="233"/>
      <w:bookmarkEnd w:id="23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0"/>
        <w:gridCol w:w="2075"/>
        <w:gridCol w:w="2075"/>
      </w:tblGrid>
      <w:tr w:rsidR="00A55CE6" w:rsidRPr="00D66766" w14:paraId="472973A8" w14:textId="77777777" w:rsidTr="00936322">
        <w:trPr>
          <w:cantSplit/>
        </w:trPr>
        <w:tc>
          <w:tcPr>
            <w:tcW w:w="3080" w:type="dxa"/>
            <w:tcBorders>
              <w:top w:val="single" w:sz="4" w:space="0" w:color="auto"/>
              <w:bottom w:val="single" w:sz="4" w:space="0" w:color="auto"/>
            </w:tcBorders>
            <w:shd w:val="clear" w:color="auto" w:fill="auto"/>
          </w:tcPr>
          <w:p w14:paraId="2FF9462E" w14:textId="77777777" w:rsidR="00A55CE6" w:rsidRPr="00D66766" w:rsidRDefault="00A55CE6" w:rsidP="001632B8">
            <w:pPr>
              <w:pStyle w:val="TableText"/>
              <w:spacing w:before="50" w:after="50"/>
              <w:rPr>
                <w:b/>
              </w:rPr>
            </w:pPr>
            <w:r w:rsidRPr="00D66766">
              <w:rPr>
                <w:b/>
              </w:rPr>
              <w:t>Ethnic group</w:t>
            </w:r>
          </w:p>
        </w:tc>
        <w:tc>
          <w:tcPr>
            <w:tcW w:w="2075" w:type="dxa"/>
            <w:tcBorders>
              <w:top w:val="single" w:sz="4" w:space="0" w:color="auto"/>
              <w:bottom w:val="single" w:sz="4" w:space="0" w:color="auto"/>
            </w:tcBorders>
            <w:shd w:val="clear" w:color="auto" w:fill="auto"/>
          </w:tcPr>
          <w:p w14:paraId="090627E9" w14:textId="77777777" w:rsidR="00A55CE6" w:rsidRPr="00D66766" w:rsidRDefault="00A55CE6" w:rsidP="001632B8">
            <w:pPr>
              <w:pStyle w:val="TableText"/>
              <w:spacing w:before="50" w:after="50"/>
              <w:jc w:val="center"/>
              <w:rPr>
                <w:b/>
              </w:rPr>
            </w:pPr>
            <w:r w:rsidRPr="00D66766">
              <w:rPr>
                <w:b/>
              </w:rPr>
              <w:t>Prevalence</w:t>
            </w:r>
            <w:r>
              <w:rPr>
                <w:b/>
              </w:rPr>
              <w:t xml:space="preserve"> (%)</w:t>
            </w:r>
          </w:p>
        </w:tc>
        <w:tc>
          <w:tcPr>
            <w:tcW w:w="2075" w:type="dxa"/>
            <w:tcBorders>
              <w:top w:val="single" w:sz="4" w:space="0" w:color="auto"/>
              <w:bottom w:val="single" w:sz="4" w:space="0" w:color="auto"/>
            </w:tcBorders>
            <w:shd w:val="clear" w:color="auto" w:fill="auto"/>
          </w:tcPr>
          <w:p w14:paraId="4C35CDEA" w14:textId="77777777" w:rsidR="00A55CE6" w:rsidRPr="00D66766" w:rsidRDefault="00A55CE6" w:rsidP="001632B8">
            <w:pPr>
              <w:pStyle w:val="TableText"/>
              <w:spacing w:before="50" w:after="50"/>
              <w:jc w:val="center"/>
              <w:rPr>
                <w:b/>
              </w:rPr>
            </w:pPr>
            <w:r w:rsidRPr="00D66766">
              <w:rPr>
                <w:b/>
              </w:rPr>
              <w:t>Estimated number</w:t>
            </w:r>
          </w:p>
        </w:tc>
      </w:tr>
      <w:tr w:rsidR="00A55CE6" w:rsidRPr="007B7915" w14:paraId="167CA4B8" w14:textId="77777777" w:rsidTr="00312920">
        <w:trPr>
          <w:cantSplit/>
        </w:trPr>
        <w:tc>
          <w:tcPr>
            <w:tcW w:w="3080" w:type="dxa"/>
            <w:tcBorders>
              <w:top w:val="single" w:sz="4" w:space="0" w:color="auto"/>
              <w:bottom w:val="single" w:sz="4" w:space="0" w:color="A6A6A6" w:themeColor="background1" w:themeShade="A6"/>
            </w:tcBorders>
            <w:shd w:val="clear" w:color="auto" w:fill="auto"/>
          </w:tcPr>
          <w:p w14:paraId="1C46D238" w14:textId="77777777" w:rsidR="00A55CE6" w:rsidRPr="007B7915" w:rsidRDefault="00A55CE6" w:rsidP="001632B8">
            <w:pPr>
              <w:pStyle w:val="TableText"/>
              <w:spacing w:before="50" w:after="50"/>
            </w:pPr>
            <w:r w:rsidRPr="007B7915">
              <w:t>Māori</w:t>
            </w:r>
          </w:p>
        </w:tc>
        <w:tc>
          <w:tcPr>
            <w:tcW w:w="2075" w:type="dxa"/>
            <w:tcBorders>
              <w:top w:val="single" w:sz="4" w:space="0" w:color="auto"/>
              <w:bottom w:val="single" w:sz="4" w:space="0" w:color="A6A6A6" w:themeColor="background1" w:themeShade="A6"/>
            </w:tcBorders>
            <w:shd w:val="clear" w:color="auto" w:fill="auto"/>
          </w:tcPr>
          <w:p w14:paraId="63FB6E2E" w14:textId="77777777" w:rsidR="00A55CE6" w:rsidRPr="007B7915" w:rsidRDefault="00A55CE6" w:rsidP="001632B8">
            <w:pPr>
              <w:pStyle w:val="TableText"/>
              <w:spacing w:before="50" w:after="50"/>
              <w:jc w:val="center"/>
            </w:pPr>
            <w:r>
              <w:t>91</w:t>
            </w:r>
          </w:p>
        </w:tc>
        <w:tc>
          <w:tcPr>
            <w:tcW w:w="2075" w:type="dxa"/>
            <w:tcBorders>
              <w:top w:val="single" w:sz="4" w:space="0" w:color="auto"/>
              <w:bottom w:val="single" w:sz="4" w:space="0" w:color="A6A6A6" w:themeColor="background1" w:themeShade="A6"/>
            </w:tcBorders>
            <w:shd w:val="clear" w:color="auto" w:fill="auto"/>
          </w:tcPr>
          <w:p w14:paraId="3FBED19F" w14:textId="77777777" w:rsidR="00A55CE6" w:rsidRPr="007B7915" w:rsidRDefault="00A55CE6" w:rsidP="001632B8">
            <w:pPr>
              <w:pStyle w:val="TableText"/>
              <w:tabs>
                <w:tab w:val="decimal" w:pos="1167"/>
              </w:tabs>
              <w:spacing w:before="50" w:after="50"/>
            </w:pPr>
            <w:r>
              <w:t>43,0</w:t>
            </w:r>
            <w:r w:rsidRPr="007B7915">
              <w:t>00</w:t>
            </w:r>
          </w:p>
        </w:tc>
      </w:tr>
      <w:tr w:rsidR="00A55CE6" w:rsidRPr="007B7915" w14:paraId="2D540F51" w14:textId="77777777" w:rsidTr="00312920">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46C7E628" w14:textId="77777777" w:rsidR="00A55CE6" w:rsidRPr="007B7915" w:rsidRDefault="00A55CE6" w:rsidP="001632B8">
            <w:pPr>
              <w:pStyle w:val="TableText"/>
              <w:spacing w:before="50" w:after="50"/>
            </w:pPr>
            <w:r w:rsidRPr="007B7915">
              <w:t>Pacific</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7DD57906" w14:textId="77777777" w:rsidR="00A55CE6" w:rsidRPr="007B7915" w:rsidRDefault="00A55CE6" w:rsidP="001632B8">
            <w:pPr>
              <w:pStyle w:val="TableText"/>
              <w:spacing w:before="50" w:after="50"/>
              <w:jc w:val="center"/>
            </w:pPr>
            <w:r>
              <w:t>88</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0190DBFC" w14:textId="77777777" w:rsidR="00A55CE6" w:rsidRPr="007B7915" w:rsidRDefault="00A55CE6" w:rsidP="001632B8">
            <w:pPr>
              <w:pStyle w:val="TableText"/>
              <w:tabs>
                <w:tab w:val="decimal" w:pos="1167"/>
              </w:tabs>
              <w:spacing w:before="50" w:after="50"/>
            </w:pPr>
            <w:r>
              <w:t>13,0</w:t>
            </w:r>
            <w:r w:rsidRPr="007B7915">
              <w:t>00</w:t>
            </w:r>
          </w:p>
        </w:tc>
      </w:tr>
      <w:tr w:rsidR="00A55CE6" w:rsidRPr="007B7915" w14:paraId="193A739C" w14:textId="77777777" w:rsidTr="00312920">
        <w:trPr>
          <w:cantSplit/>
        </w:trPr>
        <w:tc>
          <w:tcPr>
            <w:tcW w:w="3080" w:type="dxa"/>
            <w:tcBorders>
              <w:top w:val="single" w:sz="4" w:space="0" w:color="A6A6A6" w:themeColor="background1" w:themeShade="A6"/>
              <w:bottom w:val="single" w:sz="4" w:space="0" w:color="A6A6A6" w:themeColor="background1" w:themeShade="A6"/>
            </w:tcBorders>
            <w:shd w:val="clear" w:color="auto" w:fill="auto"/>
          </w:tcPr>
          <w:p w14:paraId="0CDC55D2" w14:textId="77777777" w:rsidR="00A55CE6" w:rsidRPr="007B7915" w:rsidRDefault="00A55CE6" w:rsidP="001632B8">
            <w:pPr>
              <w:pStyle w:val="TableText"/>
              <w:spacing w:before="50" w:after="50"/>
            </w:pPr>
            <w:r w:rsidRPr="007B7915">
              <w:t>Asian</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7BD50B86" w14:textId="4625F91D" w:rsidR="00A55CE6" w:rsidRPr="007B7915" w:rsidRDefault="00B9016A" w:rsidP="001632B8">
            <w:pPr>
              <w:pStyle w:val="TableText"/>
              <w:spacing w:before="50" w:after="50"/>
              <w:jc w:val="center"/>
            </w:pPr>
            <w:r>
              <w:t>86</w:t>
            </w:r>
          </w:p>
        </w:tc>
        <w:tc>
          <w:tcPr>
            <w:tcW w:w="2075" w:type="dxa"/>
            <w:tcBorders>
              <w:top w:val="single" w:sz="4" w:space="0" w:color="A6A6A6" w:themeColor="background1" w:themeShade="A6"/>
              <w:bottom w:val="single" w:sz="4" w:space="0" w:color="A6A6A6" w:themeColor="background1" w:themeShade="A6"/>
            </w:tcBorders>
            <w:shd w:val="clear" w:color="auto" w:fill="auto"/>
          </w:tcPr>
          <w:p w14:paraId="37281F02" w14:textId="77777777" w:rsidR="00A55CE6" w:rsidRPr="007B7915" w:rsidRDefault="00A55CE6" w:rsidP="001632B8">
            <w:pPr>
              <w:pStyle w:val="TableText"/>
              <w:tabs>
                <w:tab w:val="decimal" w:pos="1167"/>
              </w:tabs>
              <w:spacing w:before="50" w:after="50"/>
            </w:pPr>
            <w:r>
              <w:t>20,0</w:t>
            </w:r>
            <w:r w:rsidRPr="007B7915">
              <w:t>00</w:t>
            </w:r>
          </w:p>
        </w:tc>
      </w:tr>
      <w:tr w:rsidR="00A55CE6" w:rsidRPr="007B7915" w14:paraId="44517065" w14:textId="77777777" w:rsidTr="00312920">
        <w:trPr>
          <w:cantSplit/>
        </w:trPr>
        <w:tc>
          <w:tcPr>
            <w:tcW w:w="3080" w:type="dxa"/>
            <w:tcBorders>
              <w:top w:val="single" w:sz="4" w:space="0" w:color="A6A6A6" w:themeColor="background1" w:themeShade="A6"/>
            </w:tcBorders>
            <w:shd w:val="clear" w:color="auto" w:fill="auto"/>
          </w:tcPr>
          <w:p w14:paraId="7271E004" w14:textId="77777777" w:rsidR="00A55CE6" w:rsidRPr="007B7915" w:rsidRDefault="00A55CE6" w:rsidP="001632B8">
            <w:pPr>
              <w:pStyle w:val="TableText"/>
              <w:spacing w:before="50" w:after="50"/>
            </w:pPr>
            <w:r w:rsidRPr="007B7915">
              <w:t>European/Other</w:t>
            </w:r>
          </w:p>
        </w:tc>
        <w:tc>
          <w:tcPr>
            <w:tcW w:w="2075" w:type="dxa"/>
            <w:tcBorders>
              <w:top w:val="single" w:sz="4" w:space="0" w:color="A6A6A6" w:themeColor="background1" w:themeShade="A6"/>
            </w:tcBorders>
            <w:shd w:val="clear" w:color="auto" w:fill="auto"/>
          </w:tcPr>
          <w:p w14:paraId="15ABEA13" w14:textId="77777777" w:rsidR="00A55CE6" w:rsidRPr="007B7915" w:rsidRDefault="00A55CE6" w:rsidP="001632B8">
            <w:pPr>
              <w:pStyle w:val="TableText"/>
              <w:spacing w:before="50" w:after="50"/>
              <w:jc w:val="center"/>
            </w:pPr>
            <w:r>
              <w:t>86</w:t>
            </w:r>
          </w:p>
        </w:tc>
        <w:tc>
          <w:tcPr>
            <w:tcW w:w="2075" w:type="dxa"/>
            <w:tcBorders>
              <w:top w:val="single" w:sz="4" w:space="0" w:color="A6A6A6" w:themeColor="background1" w:themeShade="A6"/>
            </w:tcBorders>
            <w:shd w:val="clear" w:color="auto" w:fill="auto"/>
          </w:tcPr>
          <w:p w14:paraId="7F3F8EAD" w14:textId="77777777" w:rsidR="00A55CE6" w:rsidRPr="007B7915" w:rsidRDefault="00A55CE6" w:rsidP="001632B8">
            <w:pPr>
              <w:pStyle w:val="TableText"/>
              <w:tabs>
                <w:tab w:val="decimal" w:pos="1167"/>
              </w:tabs>
              <w:spacing w:before="50" w:after="50"/>
            </w:pPr>
            <w:r>
              <w:t>198,0</w:t>
            </w:r>
            <w:r w:rsidRPr="007B7915">
              <w:t>00</w:t>
            </w:r>
          </w:p>
        </w:tc>
      </w:tr>
    </w:tbl>
    <w:p w14:paraId="03519BC0" w14:textId="77777777" w:rsidR="00A55CE6" w:rsidRPr="009321F1" w:rsidRDefault="00A55CE6" w:rsidP="00312920">
      <w:pPr>
        <w:pStyle w:val="TableNote"/>
        <w:spacing w:before="40"/>
        <w:ind w:right="2155"/>
      </w:pPr>
      <w:r w:rsidRPr="009321F1">
        <w:t>Source: 2012/13 New Zealand Health Survey</w:t>
      </w:r>
    </w:p>
    <w:p w14:paraId="6CD0CC0B" w14:textId="77777777" w:rsidR="00A55CE6" w:rsidRPr="00932856" w:rsidRDefault="00A55CE6" w:rsidP="00312920">
      <w:pPr>
        <w:pStyle w:val="TableNote"/>
        <w:spacing w:before="40"/>
        <w:ind w:right="2155"/>
      </w:pPr>
      <w:r w:rsidRPr="009321F1">
        <w:t>Note: Total response ethnicity has been used</w:t>
      </w:r>
      <w:r>
        <w:t>.</w:t>
      </w:r>
    </w:p>
    <w:p w14:paraId="2130C427" w14:textId="77777777" w:rsidR="00735227" w:rsidRPr="00FB434A" w:rsidRDefault="00735227" w:rsidP="001632B8">
      <w:pPr>
        <w:pStyle w:val="Heading4"/>
        <w:spacing w:before="360"/>
      </w:pPr>
      <w:r w:rsidRPr="00FB434A">
        <w:t>Two</w:t>
      </w:r>
      <w:r>
        <w:t>-</w:t>
      </w:r>
      <w:r w:rsidRPr="00FB434A">
        <w:t xml:space="preserve">thirds of smokers and those who had quit in the past year were offered </w:t>
      </w:r>
      <w:r w:rsidR="00B7465A">
        <w:rPr>
          <w:u w:val="single"/>
        </w:rPr>
        <w:t>B</w:t>
      </w:r>
      <w:r w:rsidRPr="00FB434A">
        <w:t>rief advice to stop smoking at public hospitals</w:t>
      </w:r>
    </w:p>
    <w:p w14:paraId="66E1C3D6" w14:textId="25D0B108" w:rsidR="00735227" w:rsidRDefault="00735227" w:rsidP="00A55CE6">
      <w:r>
        <w:t>Almost seven out of ten (68%) smokers and those who qui</w:t>
      </w:r>
      <w:r w:rsidR="00344AFF">
        <w:t xml:space="preserve">t smoking in the past year, </w:t>
      </w:r>
      <w:r>
        <w:t>who had been admitted to a public hospital in the past 12 months, were provided with brief advice to stop smoking, regardless of sex, age, ethnicity or neighbourhood deprivation.</w:t>
      </w:r>
    </w:p>
    <w:p w14:paraId="1FFF6D41" w14:textId="77777777" w:rsidR="00735227" w:rsidRDefault="00735227" w:rsidP="00A55CE6"/>
    <w:p w14:paraId="250F23F1" w14:textId="77777777" w:rsidR="00735227" w:rsidRPr="009E7B3D" w:rsidRDefault="00735227" w:rsidP="00A55CE6">
      <w:pPr>
        <w:pStyle w:val="Heading3"/>
      </w:pPr>
      <w:bookmarkStart w:id="235" w:name="_Toc400136645"/>
      <w:r w:rsidRPr="009E7B3D">
        <w:t xml:space="preserve">Comparison with </w:t>
      </w:r>
      <w:r>
        <w:t>h</w:t>
      </w:r>
      <w:r w:rsidRPr="009E7B3D">
        <w:t xml:space="preserve">ealth </w:t>
      </w:r>
      <w:r>
        <w:t>t</w:t>
      </w:r>
      <w:r w:rsidRPr="009E7B3D">
        <w:t xml:space="preserve">arget ABC data for secondary </w:t>
      </w:r>
      <w:r>
        <w:t xml:space="preserve">health </w:t>
      </w:r>
      <w:r w:rsidRPr="009E7B3D">
        <w:t>care</w:t>
      </w:r>
      <w:bookmarkEnd w:id="235"/>
    </w:p>
    <w:p w14:paraId="50E29969" w14:textId="314036F4" w:rsidR="00735227" w:rsidRDefault="00735227" w:rsidP="00A55CE6">
      <w:r>
        <w:t xml:space="preserve">As outlined above, the </w:t>
      </w:r>
      <w:r w:rsidR="00AA2408">
        <w:t>‘</w:t>
      </w:r>
      <w:r>
        <w:t>Better help for smokers to quit</w:t>
      </w:r>
      <w:r w:rsidR="00AA2408">
        <w:t>’</w:t>
      </w:r>
      <w:r>
        <w:t xml:space="preserve"> health target aims for </w:t>
      </w:r>
      <w:r w:rsidRPr="00D55BB4">
        <w:t>95</w:t>
      </w:r>
      <w:r>
        <w:t>%</w:t>
      </w:r>
      <w:r w:rsidRPr="00D55BB4">
        <w:t xml:space="preserve"> of hospitalised patients who smoke and are seen by a health </w:t>
      </w:r>
      <w:r>
        <w:t xml:space="preserve">care </w:t>
      </w:r>
      <w:r w:rsidRPr="00D55BB4">
        <w:t xml:space="preserve">practitioner in </w:t>
      </w:r>
      <w:r>
        <w:t xml:space="preserve">a </w:t>
      </w:r>
      <w:r w:rsidRPr="00D55BB4">
        <w:t>public hospital</w:t>
      </w:r>
      <w:r>
        <w:t xml:space="preserve"> to be</w:t>
      </w:r>
      <w:r w:rsidRPr="00F4750E">
        <w:t xml:space="preserve"> offered brief advice and support to quit smoking</w:t>
      </w:r>
      <w:r>
        <w:t xml:space="preserve"> (Ministry of Health 2013).</w:t>
      </w:r>
    </w:p>
    <w:p w14:paraId="20242837" w14:textId="77777777" w:rsidR="00735227" w:rsidRDefault="00735227" w:rsidP="00A55CE6"/>
    <w:p w14:paraId="26277C01" w14:textId="77777777" w:rsidR="007066D2" w:rsidRDefault="00735227" w:rsidP="00A55CE6">
      <w:r>
        <w:t>The secondary care health target data</w:t>
      </w:r>
      <w:r>
        <w:rPr>
          <w:rStyle w:val="FootnoteReference"/>
        </w:rPr>
        <w:footnoteReference w:id="11"/>
      </w:r>
      <w:r>
        <w:t xml:space="preserve"> for hospitalised patients who smoke and had been given brief advice to stop smoking by a health care practitioner in a public hospital at the end of the 2012/13 reporting period showed an annual national rate of 95%.</w:t>
      </w:r>
    </w:p>
    <w:p w14:paraId="53CD0AC7" w14:textId="77777777" w:rsidR="00735227" w:rsidRDefault="00735227" w:rsidP="00A55CE6"/>
    <w:p w14:paraId="7C235B04" w14:textId="77777777" w:rsidR="007066D2" w:rsidRDefault="00735227" w:rsidP="00A55CE6">
      <w:r>
        <w:t>In comparison, after adjusting for age, the 2012/13 NZHS showed that 68% of current smokers who had been hospitalised for at least a night in a public hospital had been offered brief quitting advice by a health care practitioner.</w:t>
      </w:r>
    </w:p>
    <w:p w14:paraId="7367A9C7" w14:textId="77777777" w:rsidR="00735227" w:rsidRDefault="00735227" w:rsidP="00A55CE6"/>
    <w:p w14:paraId="6AE924E9" w14:textId="52741E68" w:rsidR="007066D2" w:rsidRDefault="00344AFF" w:rsidP="00A55CE6">
      <w:r>
        <w:t>It is important to note the</w:t>
      </w:r>
      <w:r w:rsidR="00735227">
        <w:t xml:space="preserve"> methodological differences in data collection. These include a difference in the definition of </w:t>
      </w:r>
      <w:r w:rsidR="00AA2408">
        <w:t>‘</w:t>
      </w:r>
      <w:r w:rsidR="00735227">
        <w:t>hospitalisation</w:t>
      </w:r>
      <w:r w:rsidR="00AA2408">
        <w:t>’</w:t>
      </w:r>
      <w:r w:rsidR="00735227">
        <w:t xml:space="preserve"> by the two data sets, that is, the 2012/13 NZHS asked respondents whether they had stayed overnight in a public hospital in the last 12 months whereas the health target data captured hospitalised patients as those who had had a hospital admission, which did not necessarily have to be overnight.</w:t>
      </w:r>
    </w:p>
    <w:p w14:paraId="0D39F4F6" w14:textId="77777777" w:rsidR="00735227" w:rsidRDefault="00735227" w:rsidP="00A55CE6"/>
    <w:p w14:paraId="03772DA7" w14:textId="08D9BFB2" w:rsidR="007066D2" w:rsidRDefault="00735227" w:rsidP="00A55CE6">
      <w:r>
        <w:t>Furthermore, there were also reporting differences, that is, the NZHS data was reported from the consumer</w:t>
      </w:r>
      <w:r w:rsidR="00AA2408">
        <w:t>’</w:t>
      </w:r>
      <w:r>
        <w:t>s perspective (smokers) whereas the ABC health target data was reported by health care providers.</w:t>
      </w:r>
    </w:p>
    <w:p w14:paraId="0E1F208F" w14:textId="77777777" w:rsidR="00A55CE6" w:rsidRDefault="00A55CE6" w:rsidP="00A55CE6"/>
    <w:p w14:paraId="5B30CCF6" w14:textId="77777777" w:rsidR="00735227" w:rsidRPr="00FB434A" w:rsidRDefault="00735227" w:rsidP="00A55CE6">
      <w:pPr>
        <w:pStyle w:val="Heading1"/>
      </w:pPr>
      <w:r>
        <w:br w:type="page"/>
      </w:r>
      <w:bookmarkStart w:id="236" w:name="_Toc390178314"/>
      <w:bookmarkStart w:id="237" w:name="_Toc400136646"/>
      <w:bookmarkStart w:id="238" w:name="_Toc404091095"/>
      <w:r w:rsidRPr="00FB434A">
        <w:t xml:space="preserve">Section 5: Exposure to </w:t>
      </w:r>
      <w:r>
        <w:t>s</w:t>
      </w:r>
      <w:r w:rsidRPr="00FB434A">
        <w:t>econd</w:t>
      </w:r>
      <w:r>
        <w:t>-h</w:t>
      </w:r>
      <w:r w:rsidRPr="00FB434A">
        <w:t xml:space="preserve">and </w:t>
      </w:r>
      <w:bookmarkEnd w:id="236"/>
      <w:r>
        <w:t>s</w:t>
      </w:r>
      <w:r w:rsidRPr="00FB434A">
        <w:t>moke</w:t>
      </w:r>
      <w:bookmarkEnd w:id="237"/>
      <w:r w:rsidR="00B7465A">
        <w:t xml:space="preserve"> (SHS)</w:t>
      </w:r>
      <w:bookmarkEnd w:id="238"/>
    </w:p>
    <w:p w14:paraId="7A33F05A" w14:textId="77777777" w:rsidR="00A55CE6" w:rsidRDefault="00A55CE6" w:rsidP="00A55CE6">
      <w:pPr>
        <w:pStyle w:val="BoxHeading"/>
      </w:pPr>
      <w:bookmarkStart w:id="239" w:name="_Toc400136647"/>
      <w:r w:rsidRPr="00FB434A">
        <w:t>Key findings</w:t>
      </w:r>
      <w:bookmarkEnd w:id="239"/>
    </w:p>
    <w:p w14:paraId="3598979E" w14:textId="77777777" w:rsidR="00A55CE6" w:rsidRDefault="00A55CE6" w:rsidP="00A55CE6">
      <w:pPr>
        <w:pStyle w:val="BoxBullet"/>
      </w:pPr>
      <w:r w:rsidRPr="00735DD8">
        <w:t>Around 4</w:t>
      </w:r>
      <w:r>
        <w:t>%</w:t>
      </w:r>
      <w:r w:rsidRPr="00735DD8">
        <w:t xml:space="preserve"> of non-smoking adults were exposed to second-hand smoke (SHS)</w:t>
      </w:r>
      <w:r>
        <w:t>.</w:t>
      </w:r>
    </w:p>
    <w:p w14:paraId="39FD6A08" w14:textId="77777777" w:rsidR="00A55CE6" w:rsidRPr="00735DD8" w:rsidRDefault="00A55CE6" w:rsidP="00A55CE6">
      <w:pPr>
        <w:pStyle w:val="BoxBullet"/>
      </w:pPr>
      <w:r w:rsidRPr="00735DD8">
        <w:t>Younger non-smokers were more likely to be exposed to SHS than older non-smokers</w:t>
      </w:r>
      <w:r>
        <w:t>.</w:t>
      </w:r>
    </w:p>
    <w:p w14:paraId="49D98262" w14:textId="5E678544" w:rsidR="00A55CE6" w:rsidRPr="00735DD8" w:rsidRDefault="00A55CE6" w:rsidP="00A55CE6">
      <w:pPr>
        <w:pStyle w:val="BoxBullet"/>
      </w:pPr>
      <w:r w:rsidRPr="00735DD8">
        <w:t>Māori non-smoking adults were almost three times more likely to be exposed to SHS than non-Māori</w:t>
      </w:r>
      <w:r>
        <w:t>.</w:t>
      </w:r>
    </w:p>
    <w:p w14:paraId="386BBC66" w14:textId="77777777" w:rsidR="00A55CE6" w:rsidRDefault="00A55CE6" w:rsidP="00A55CE6">
      <w:pPr>
        <w:pStyle w:val="BoxBullet"/>
      </w:pPr>
      <w:r w:rsidRPr="00735DD8">
        <w:t>Non-smokers in the most deprived areas had the highest exposure to SHS</w:t>
      </w:r>
      <w:r>
        <w:t>.</w:t>
      </w:r>
    </w:p>
    <w:p w14:paraId="182763E2" w14:textId="77777777" w:rsidR="00A55CE6" w:rsidRPr="00735DD8" w:rsidRDefault="00A55CE6" w:rsidP="00A55CE6">
      <w:pPr>
        <w:pStyle w:val="BoxBullet"/>
      </w:pPr>
      <w:r w:rsidRPr="00735DD8">
        <w:t>SHS exposure in the home for non-smoking adults has halved since 2006</w:t>
      </w:r>
      <w:r>
        <w:t>.</w:t>
      </w:r>
    </w:p>
    <w:p w14:paraId="3A2F8BE0" w14:textId="77777777" w:rsidR="00A55CE6" w:rsidRPr="00735DD8" w:rsidRDefault="00A55CE6" w:rsidP="00A55CE6">
      <w:pPr>
        <w:pStyle w:val="BoxBullet"/>
      </w:pPr>
      <w:r w:rsidRPr="00735DD8">
        <w:t>Around 6</w:t>
      </w:r>
      <w:r>
        <w:t>%</w:t>
      </w:r>
      <w:r w:rsidRPr="00735DD8">
        <w:t xml:space="preserve"> of children were exposed to SHS at home and 5</w:t>
      </w:r>
      <w:r>
        <w:t>%</w:t>
      </w:r>
      <w:r w:rsidRPr="00735DD8">
        <w:t xml:space="preserve"> in the car</w:t>
      </w:r>
      <w:r>
        <w:t>.</w:t>
      </w:r>
    </w:p>
    <w:p w14:paraId="4D15E1BF" w14:textId="77777777" w:rsidR="00A55CE6" w:rsidRPr="00735DD8" w:rsidRDefault="00A55CE6" w:rsidP="00A55CE6">
      <w:pPr>
        <w:pStyle w:val="BoxBullet"/>
      </w:pPr>
      <w:r w:rsidRPr="00735DD8">
        <w:t>Māori children were three times m</w:t>
      </w:r>
      <w:r>
        <w:t>ore likely to be exposed to SHS than non-</w:t>
      </w:r>
      <w:r w:rsidRPr="00735DD8">
        <w:t>Māori</w:t>
      </w:r>
      <w:r>
        <w:t xml:space="preserve"> children.</w:t>
      </w:r>
    </w:p>
    <w:p w14:paraId="5B824044" w14:textId="77777777" w:rsidR="00735227" w:rsidRDefault="00735227" w:rsidP="00810D5F"/>
    <w:p w14:paraId="2EE84F6A" w14:textId="77777777" w:rsidR="007066D2" w:rsidRDefault="00735227" w:rsidP="00810D5F">
      <w:r>
        <w:t>Non-smokers exposure to second-hand smoke (SHS) comes from two places – smoke emitted by a person smoking and smoke from the end of a burning cigarette.</w:t>
      </w:r>
    </w:p>
    <w:p w14:paraId="213B5FC4" w14:textId="77777777" w:rsidR="00735227" w:rsidRDefault="00735227" w:rsidP="00810D5F"/>
    <w:p w14:paraId="7DD595E6" w14:textId="77777777" w:rsidR="00735227" w:rsidRDefault="00735227" w:rsidP="00810D5F">
      <w:r>
        <w:t>There is strong scientific evidence that there is no risk-free level of exposure to second-hand smoke (US Department of Health and Human Services 2006). Since the 1970s, research has linked the inhalation of second-hand smoke by non-smokers to specific diseases and other adverse effects (US Department of Health and Human Services 2006). Children who are exposed to second-hand smoke are at increased risk for sudden unexpected death in infancy (SUDI), chest infections, ear problems and more severe asthma (US Department of Health and Human Services 2006). In non-smoking adults, second-hand smoke causes lung cancer, coronary heart disease and an increased risk of stroke (Woodward and Laugesen 2001; US</w:t>
      </w:r>
      <w:r w:rsidR="00810D5F">
        <w:t> </w:t>
      </w:r>
      <w:r>
        <w:t>Department of Health and Human Services 2014).</w:t>
      </w:r>
    </w:p>
    <w:p w14:paraId="05E4A580" w14:textId="77777777" w:rsidR="00735227" w:rsidRDefault="00735227" w:rsidP="00810D5F"/>
    <w:p w14:paraId="2FADC63D" w14:textId="77777777" w:rsidR="00735227" w:rsidRDefault="00735227" w:rsidP="00810D5F">
      <w:r>
        <w:t>Both smokers and non-smokers can inhale SHS, but this section focuses on exposure to SHS of non-smoking adults (15 years and over) and children (0–14 years).</w:t>
      </w:r>
    </w:p>
    <w:p w14:paraId="389AE87A" w14:textId="77777777" w:rsidR="00735227" w:rsidRPr="00420DC7" w:rsidRDefault="00735227" w:rsidP="00810D5F"/>
    <w:p w14:paraId="29D573C0" w14:textId="77777777" w:rsidR="007066D2" w:rsidRDefault="00735227" w:rsidP="00810D5F">
      <w:pPr>
        <w:pStyle w:val="Heading2"/>
      </w:pPr>
      <w:bookmarkStart w:id="240" w:name="_Toc390178315"/>
      <w:bookmarkStart w:id="241" w:name="_Toc400136648"/>
      <w:bookmarkStart w:id="242" w:name="_Toc404091096"/>
      <w:r>
        <w:t>Non-smoking a</w:t>
      </w:r>
      <w:r w:rsidRPr="00FB434A">
        <w:t>dult exposure to SHS</w:t>
      </w:r>
      <w:bookmarkEnd w:id="240"/>
      <w:bookmarkEnd w:id="241"/>
      <w:bookmarkEnd w:id="242"/>
    </w:p>
    <w:p w14:paraId="7CC66802" w14:textId="0057D498" w:rsidR="00735227" w:rsidRPr="00DE22AF" w:rsidRDefault="00344AFF" w:rsidP="00810D5F">
      <w:r>
        <w:t>All respondents in this</w:t>
      </w:r>
      <w:r w:rsidR="00735227">
        <w:t xml:space="preserve"> survey, regardless of their smoking status were asked the questions </w:t>
      </w:r>
      <w:r w:rsidR="00AA2408">
        <w:t>‘</w:t>
      </w:r>
      <w:r w:rsidR="00735227">
        <w:t>Does anyone smoke inside your house?</w:t>
      </w:r>
      <w:r w:rsidR="00AA2408">
        <w:t>’</w:t>
      </w:r>
      <w:r w:rsidR="00735227">
        <w:t xml:space="preserve"> and </w:t>
      </w:r>
      <w:r w:rsidR="00AA2408">
        <w:t>‘</w:t>
      </w:r>
      <w:r w:rsidR="00735227">
        <w:t>Thinking about the car that you usually travel in, does anyone smoke in that car?</w:t>
      </w:r>
      <w:r w:rsidR="00AA2408">
        <w:t>’</w:t>
      </w:r>
    </w:p>
    <w:p w14:paraId="62911E11" w14:textId="77777777" w:rsidR="00735227" w:rsidRDefault="00735227" w:rsidP="00810D5F"/>
    <w:p w14:paraId="743B706D" w14:textId="77777777" w:rsidR="007066D2" w:rsidRDefault="00735227" w:rsidP="00810D5F">
      <w:pPr>
        <w:pStyle w:val="Heading3"/>
      </w:pPr>
      <w:r w:rsidRPr="00FB434A">
        <w:t>Around 4</w:t>
      </w:r>
      <w:r>
        <w:t>%</w:t>
      </w:r>
      <w:r w:rsidRPr="00FB434A">
        <w:t xml:space="preserve"> of non-smoking adults were exposed to SHS</w:t>
      </w:r>
    </w:p>
    <w:p w14:paraId="27550846" w14:textId="77777777" w:rsidR="00735227" w:rsidRDefault="00735227" w:rsidP="00810D5F">
      <w:r>
        <w:t>Almost 4% of non-smoking adults were exposed to SHS in their homes. After adjusting for age, non-smoking males were 1.4 times more likely than non-smoking females to be exposed to SHS at home (Table 29). Just over 3% of non-smoking adults were exposed to SHS in the car they usually travelled in; males were no more likely than females to be exposed, after adjusting for age differences.</w:t>
      </w:r>
    </w:p>
    <w:p w14:paraId="042B36E1" w14:textId="77777777" w:rsidR="00735227" w:rsidRDefault="00735227" w:rsidP="00810D5F"/>
    <w:p w14:paraId="08E51A3A" w14:textId="77777777" w:rsidR="007066D2" w:rsidRDefault="00735227" w:rsidP="00810D5F">
      <w:pPr>
        <w:pStyle w:val="Heading3"/>
      </w:pPr>
      <w:r w:rsidRPr="00FB434A">
        <w:t xml:space="preserve">Younger non-smokers </w:t>
      </w:r>
      <w:r>
        <w:t xml:space="preserve">were </w:t>
      </w:r>
      <w:r w:rsidRPr="00FB434A">
        <w:t>more likely to be exposed to SHS</w:t>
      </w:r>
    </w:p>
    <w:p w14:paraId="582BD74B" w14:textId="77777777" w:rsidR="007066D2" w:rsidRDefault="00735227" w:rsidP="00810D5F">
      <w:r>
        <w:t>SHS exposure in the home was higher for non-smokers in the younger age groups (15–19 and 20–24 year olds) (9.9% and 6.8% respectively) compared with older non-smokers (25–75+ year olds) (2.2–3.2%) (Figure 26).</w:t>
      </w:r>
    </w:p>
    <w:p w14:paraId="24EF493D" w14:textId="77777777" w:rsidR="00735227" w:rsidRDefault="00735227" w:rsidP="00810D5F"/>
    <w:p w14:paraId="0AD97FB5" w14:textId="04583C11" w:rsidR="007066D2" w:rsidRDefault="00735227" w:rsidP="00810D5F">
      <w:r>
        <w:t>Non-smoking adults</w:t>
      </w:r>
      <w:r w:rsidR="00AA2408">
        <w:t>’</w:t>
      </w:r>
      <w:r>
        <w:t xml:space="preserve"> exposure to SHS in the car was also higher in the younger age groups </w:t>
      </w:r>
      <w:r>
        <w:rPr>
          <w:szCs w:val="24"/>
        </w:rPr>
        <w:t>(15</w:t>
      </w:r>
      <w:r w:rsidR="00810D5F">
        <w:rPr>
          <w:szCs w:val="24"/>
        </w:rPr>
        <w:noBreakHyphen/>
        <w:t> </w:t>
      </w:r>
      <w:r>
        <w:rPr>
          <w:szCs w:val="24"/>
        </w:rPr>
        <w:t xml:space="preserve">to 24-year-olds) </w:t>
      </w:r>
      <w:r>
        <w:t>than the older age groups (25–75+ years).</w:t>
      </w:r>
    </w:p>
    <w:p w14:paraId="5504EE5C" w14:textId="77777777" w:rsidR="00735227" w:rsidRDefault="00735227" w:rsidP="00810D5F"/>
    <w:p w14:paraId="393934AF" w14:textId="77777777" w:rsidR="00735227" w:rsidRDefault="00735227" w:rsidP="00810D5F">
      <w:pPr>
        <w:pStyle w:val="Figure"/>
      </w:pPr>
      <w:bookmarkStart w:id="243" w:name="_Toc399920509"/>
      <w:bookmarkStart w:id="244" w:name="_Toc404258435"/>
      <w:r>
        <w:t xml:space="preserve">Figure </w:t>
      </w:r>
      <w:r w:rsidR="00810D5F">
        <w:t>26</w:t>
      </w:r>
      <w:r w:rsidRPr="00B84969">
        <w:t>:</w:t>
      </w:r>
      <w:r w:rsidR="00810D5F">
        <w:t xml:space="preserve"> </w:t>
      </w:r>
      <w:r w:rsidRPr="00B84969">
        <w:t xml:space="preserve">Exposure to </w:t>
      </w:r>
      <w:r w:rsidR="00B7465A">
        <w:t>SHS</w:t>
      </w:r>
      <w:r w:rsidR="00B7465A" w:rsidRPr="00B84969">
        <w:t xml:space="preserve"> </w:t>
      </w:r>
      <w:r w:rsidRPr="00B84969">
        <w:t>at home and in the car, among total population, by age group</w:t>
      </w:r>
      <w:bookmarkEnd w:id="243"/>
      <w:bookmarkEnd w:id="244"/>
    </w:p>
    <w:p w14:paraId="62A701AD" w14:textId="77777777" w:rsidR="00735227" w:rsidRPr="00D26D3A" w:rsidRDefault="00E135C8" w:rsidP="00735227">
      <w:pPr>
        <w:rPr>
          <w:lang w:eastAsia="en-US"/>
        </w:rPr>
      </w:pPr>
      <w:r w:rsidRPr="00E135C8">
        <w:rPr>
          <w:noProof/>
          <w:lang w:eastAsia="en-NZ"/>
        </w:rPr>
        <w:drawing>
          <wp:inline distT="0" distB="0" distL="0" distR="0" wp14:anchorId="7252AB82" wp14:editId="688A7F4D">
            <wp:extent cx="4447309" cy="2604655"/>
            <wp:effectExtent l="0" t="0" r="0" b="5715"/>
            <wp:docPr id="27" name="Picture 27" title="Figure 26: Exposure to second-hand smoke at home and in the car, among total population,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6"/>
                    <a:srcRect r="10172" b="13762"/>
                    <a:stretch/>
                  </pic:blipFill>
                  <pic:spPr bwMode="auto">
                    <a:xfrm>
                      <a:off x="0" y="0"/>
                      <a:ext cx="4446774" cy="2604342"/>
                    </a:xfrm>
                    <a:prstGeom prst="rect">
                      <a:avLst/>
                    </a:prstGeom>
                    <a:ln>
                      <a:noFill/>
                    </a:ln>
                    <a:extLst>
                      <a:ext uri="{53640926-AAD7-44D8-BBD7-CCE9431645EC}">
                        <a14:shadowObscured xmlns:a14="http://schemas.microsoft.com/office/drawing/2010/main"/>
                      </a:ext>
                    </a:extLst>
                  </pic:spPr>
                </pic:pic>
              </a:graphicData>
            </a:graphic>
          </wp:inline>
        </w:drawing>
      </w:r>
    </w:p>
    <w:p w14:paraId="3BF83D76" w14:textId="77777777" w:rsidR="00735227" w:rsidRDefault="00735227" w:rsidP="00810D5F">
      <w:pPr>
        <w:pStyle w:val="Source"/>
        <w:rPr>
          <w:u w:val="single"/>
        </w:rPr>
      </w:pPr>
      <w:r w:rsidRPr="00532239">
        <w:t xml:space="preserve">Source: 2012/13 </w:t>
      </w:r>
      <w:r>
        <w:t>NZHS</w:t>
      </w:r>
    </w:p>
    <w:p w14:paraId="3D5ABC1F" w14:textId="77777777" w:rsidR="00735227" w:rsidRDefault="00735227" w:rsidP="00810D5F"/>
    <w:p w14:paraId="5CEFCC73" w14:textId="77777777" w:rsidR="007066D2" w:rsidRDefault="00735227" w:rsidP="00810D5F">
      <w:pPr>
        <w:pStyle w:val="Heading3"/>
      </w:pPr>
      <w:r w:rsidRPr="00FB434A">
        <w:t>Māori non-</w:t>
      </w:r>
      <w:r>
        <w:t>smokers were more likely to be exposed to SHS</w:t>
      </w:r>
    </w:p>
    <w:p w14:paraId="768333C9" w14:textId="77777777" w:rsidR="007066D2" w:rsidRDefault="00735227" w:rsidP="00810D5F">
      <w:r>
        <w:t>Around one in ten (9</w:t>
      </w:r>
      <w:r w:rsidR="001E3188">
        <w:t>%) Māori non-smoking adults was</w:t>
      </w:r>
      <w:r>
        <w:t xml:space="preserve"> exposed to SHS at home (Table 28). After adjusting for age and sex differences, Māori non-smoking adults were 2.6 times more likely to be exposed to SHS at home than non-Māori non-smokers (Table 29).</w:t>
      </w:r>
    </w:p>
    <w:p w14:paraId="2266A852" w14:textId="77777777" w:rsidR="00735227" w:rsidRDefault="00735227" w:rsidP="00810D5F"/>
    <w:p w14:paraId="575426D5" w14:textId="77777777" w:rsidR="007066D2" w:rsidRDefault="00735227" w:rsidP="00810D5F">
      <w:r>
        <w:t>Conversely Asian non-smokers were the least likely to be exposed to SHS at home (2.4%), with Asian non-smokers half as likely as non-Asian non-smokers to be exposed to SHS at home, after adjusting for age and sex differences.</w:t>
      </w:r>
    </w:p>
    <w:p w14:paraId="52629970" w14:textId="77777777" w:rsidR="00735227" w:rsidRDefault="00735227" w:rsidP="00810D5F"/>
    <w:p w14:paraId="2BA53248" w14:textId="61673418" w:rsidR="007066D2" w:rsidRDefault="00735227" w:rsidP="00810D5F">
      <w:r>
        <w:t xml:space="preserve">In terms of SHS exposure in the car, Māori and Pacific non-smokers recorded the most exposure (both 8%) (Table 28). After adjusting for age and sex differences, Māori non-smokers were over twice </w:t>
      </w:r>
      <w:r w:rsidR="00344AFF">
        <w:t>as</w:t>
      </w:r>
      <w:r>
        <w:t xml:space="preserve"> likely to be exposed to SHS in their cars than non-Māori non-smokers (Table 29). Similarly, Pacific non-smokers were twice as likely as non-Pacific</w:t>
      </w:r>
      <w:r w:rsidR="00D47D19">
        <w:t xml:space="preserve"> non-smokers</w:t>
      </w:r>
      <w:r>
        <w:t xml:space="preserve"> to experience SHS exposure in their cars.</w:t>
      </w:r>
    </w:p>
    <w:p w14:paraId="7B86D0C4" w14:textId="77777777" w:rsidR="00735227" w:rsidRDefault="00735227" w:rsidP="00810D5F"/>
    <w:p w14:paraId="7E03DC85" w14:textId="77777777" w:rsidR="00735227" w:rsidRPr="002A3510" w:rsidRDefault="00735227" w:rsidP="00810D5F">
      <w:pPr>
        <w:pStyle w:val="Table"/>
        <w:rPr>
          <w:szCs w:val="24"/>
        </w:rPr>
      </w:pPr>
      <w:bookmarkStart w:id="245" w:name="_Toc399920539"/>
      <w:bookmarkStart w:id="246" w:name="_Toc404091128"/>
      <w:r>
        <w:t xml:space="preserve">Table </w:t>
      </w:r>
      <w:r w:rsidR="00810D5F">
        <w:t>28</w:t>
      </w:r>
      <w:r>
        <w:t>:</w:t>
      </w:r>
      <w:r w:rsidR="00810D5F">
        <w:t xml:space="preserve"> </w:t>
      </w:r>
      <w:r>
        <w:t>Prevalence of e</w:t>
      </w:r>
      <w:r w:rsidRPr="006A2A7A">
        <w:t xml:space="preserve">xposure to </w:t>
      </w:r>
      <w:r>
        <w:t>SHS</w:t>
      </w:r>
      <w:r w:rsidRPr="006A2A7A">
        <w:t xml:space="preserve"> at home and in the car, among non-smokers, by ethnic group</w:t>
      </w:r>
      <w:bookmarkEnd w:id="245"/>
      <w:bookmarkEnd w:id="24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1913"/>
        <w:gridCol w:w="1914"/>
        <w:gridCol w:w="1914"/>
        <w:gridCol w:w="1914"/>
      </w:tblGrid>
      <w:tr w:rsidR="00735227" w:rsidRPr="00810D5F" w14:paraId="17A82CF6" w14:textId="77777777" w:rsidTr="00810D5F">
        <w:trPr>
          <w:cantSplit/>
        </w:trPr>
        <w:tc>
          <w:tcPr>
            <w:tcW w:w="1701" w:type="dxa"/>
            <w:tcBorders>
              <w:top w:val="single" w:sz="4" w:space="0" w:color="auto"/>
              <w:bottom w:val="single" w:sz="4" w:space="0" w:color="auto"/>
            </w:tcBorders>
            <w:shd w:val="clear" w:color="auto" w:fill="auto"/>
          </w:tcPr>
          <w:p w14:paraId="752FDB1D" w14:textId="77777777" w:rsidR="00735227" w:rsidRPr="00810D5F" w:rsidRDefault="00735227" w:rsidP="00936322">
            <w:pPr>
              <w:pStyle w:val="TableText"/>
              <w:keepNext/>
              <w:rPr>
                <w:b/>
              </w:rPr>
            </w:pPr>
            <w:r w:rsidRPr="00810D5F">
              <w:rPr>
                <w:b/>
              </w:rPr>
              <w:t>Ethnic group</w:t>
            </w:r>
          </w:p>
        </w:tc>
        <w:tc>
          <w:tcPr>
            <w:tcW w:w="1913" w:type="dxa"/>
            <w:tcBorders>
              <w:top w:val="single" w:sz="4" w:space="0" w:color="auto"/>
              <w:bottom w:val="single" w:sz="4" w:space="0" w:color="auto"/>
            </w:tcBorders>
            <w:shd w:val="clear" w:color="auto" w:fill="auto"/>
          </w:tcPr>
          <w:p w14:paraId="47F5F107" w14:textId="77777777" w:rsidR="00735227" w:rsidRPr="00810D5F" w:rsidRDefault="00735227" w:rsidP="00936322">
            <w:pPr>
              <w:pStyle w:val="TableText"/>
              <w:keepNext/>
              <w:jc w:val="center"/>
              <w:rPr>
                <w:b/>
              </w:rPr>
            </w:pPr>
            <w:r w:rsidRPr="00810D5F">
              <w:rPr>
                <w:b/>
              </w:rPr>
              <w:t>Exposure at home</w:t>
            </w:r>
            <w:r w:rsidR="00810D5F">
              <w:rPr>
                <w:b/>
              </w:rPr>
              <w:br/>
            </w:r>
            <w:r w:rsidRPr="00810D5F">
              <w:rPr>
                <w:b/>
              </w:rPr>
              <w:t>(%)</w:t>
            </w:r>
          </w:p>
        </w:tc>
        <w:tc>
          <w:tcPr>
            <w:tcW w:w="1914" w:type="dxa"/>
            <w:tcBorders>
              <w:top w:val="single" w:sz="4" w:space="0" w:color="auto"/>
              <w:bottom w:val="single" w:sz="4" w:space="0" w:color="auto"/>
            </w:tcBorders>
            <w:shd w:val="clear" w:color="auto" w:fill="auto"/>
          </w:tcPr>
          <w:p w14:paraId="412C7F5F" w14:textId="77777777" w:rsidR="00735227" w:rsidRPr="00810D5F" w:rsidRDefault="00735227" w:rsidP="00936322">
            <w:pPr>
              <w:pStyle w:val="TableText"/>
              <w:keepNext/>
              <w:jc w:val="center"/>
              <w:rPr>
                <w:b/>
              </w:rPr>
            </w:pPr>
            <w:r w:rsidRPr="00810D5F">
              <w:rPr>
                <w:b/>
              </w:rPr>
              <w:t>Estimated</w:t>
            </w:r>
            <w:r w:rsidR="00810D5F">
              <w:rPr>
                <w:b/>
              </w:rPr>
              <w:br/>
            </w:r>
            <w:r w:rsidRPr="00810D5F">
              <w:rPr>
                <w:b/>
              </w:rPr>
              <w:t>number</w:t>
            </w:r>
          </w:p>
        </w:tc>
        <w:tc>
          <w:tcPr>
            <w:tcW w:w="1914" w:type="dxa"/>
            <w:tcBorders>
              <w:top w:val="single" w:sz="4" w:space="0" w:color="auto"/>
              <w:bottom w:val="single" w:sz="4" w:space="0" w:color="auto"/>
            </w:tcBorders>
            <w:shd w:val="clear" w:color="auto" w:fill="auto"/>
          </w:tcPr>
          <w:p w14:paraId="631F3394" w14:textId="77777777" w:rsidR="00735227" w:rsidRPr="00810D5F" w:rsidRDefault="00735227" w:rsidP="00936322">
            <w:pPr>
              <w:pStyle w:val="TableText"/>
              <w:keepNext/>
              <w:jc w:val="center"/>
              <w:rPr>
                <w:b/>
              </w:rPr>
            </w:pPr>
            <w:r w:rsidRPr="00810D5F">
              <w:rPr>
                <w:b/>
              </w:rPr>
              <w:t>Exposure in car</w:t>
            </w:r>
            <w:r w:rsidR="00810D5F">
              <w:rPr>
                <w:b/>
              </w:rPr>
              <w:br/>
            </w:r>
            <w:r w:rsidRPr="00810D5F">
              <w:rPr>
                <w:b/>
              </w:rPr>
              <w:t>(%)</w:t>
            </w:r>
          </w:p>
        </w:tc>
        <w:tc>
          <w:tcPr>
            <w:tcW w:w="1914" w:type="dxa"/>
            <w:tcBorders>
              <w:top w:val="single" w:sz="4" w:space="0" w:color="auto"/>
              <w:bottom w:val="single" w:sz="4" w:space="0" w:color="auto"/>
            </w:tcBorders>
            <w:shd w:val="clear" w:color="auto" w:fill="auto"/>
          </w:tcPr>
          <w:p w14:paraId="3F0AAD53" w14:textId="77777777" w:rsidR="00735227" w:rsidRPr="00810D5F" w:rsidRDefault="00735227" w:rsidP="00936322">
            <w:pPr>
              <w:pStyle w:val="TableText"/>
              <w:keepNext/>
              <w:jc w:val="center"/>
              <w:rPr>
                <w:b/>
              </w:rPr>
            </w:pPr>
            <w:r w:rsidRPr="00810D5F">
              <w:rPr>
                <w:b/>
              </w:rPr>
              <w:t>Estimated</w:t>
            </w:r>
            <w:r w:rsidR="00810D5F">
              <w:rPr>
                <w:b/>
              </w:rPr>
              <w:br/>
            </w:r>
            <w:r w:rsidRPr="00810D5F">
              <w:rPr>
                <w:b/>
              </w:rPr>
              <w:t>number</w:t>
            </w:r>
          </w:p>
        </w:tc>
      </w:tr>
      <w:tr w:rsidR="00735227" w14:paraId="1F6AA798" w14:textId="77777777" w:rsidTr="00936322">
        <w:trPr>
          <w:cantSplit/>
        </w:trPr>
        <w:tc>
          <w:tcPr>
            <w:tcW w:w="1701" w:type="dxa"/>
            <w:tcBorders>
              <w:top w:val="single" w:sz="4" w:space="0" w:color="auto"/>
              <w:bottom w:val="single" w:sz="4" w:space="0" w:color="A6A6A6" w:themeColor="background1" w:themeShade="A6"/>
            </w:tcBorders>
            <w:shd w:val="clear" w:color="auto" w:fill="auto"/>
          </w:tcPr>
          <w:p w14:paraId="29D18ABF" w14:textId="77777777" w:rsidR="00735227" w:rsidRPr="007B7915" w:rsidRDefault="00735227" w:rsidP="00936322">
            <w:pPr>
              <w:pStyle w:val="TableText"/>
              <w:keepNext/>
            </w:pPr>
            <w:r w:rsidRPr="007B7915">
              <w:t>Māori</w:t>
            </w:r>
          </w:p>
        </w:tc>
        <w:tc>
          <w:tcPr>
            <w:tcW w:w="1913" w:type="dxa"/>
            <w:tcBorders>
              <w:top w:val="single" w:sz="4" w:space="0" w:color="auto"/>
              <w:bottom w:val="single" w:sz="4" w:space="0" w:color="A6A6A6" w:themeColor="background1" w:themeShade="A6"/>
            </w:tcBorders>
            <w:shd w:val="clear" w:color="auto" w:fill="auto"/>
          </w:tcPr>
          <w:p w14:paraId="66C48FC2" w14:textId="77777777" w:rsidR="00735227" w:rsidRPr="007B7915" w:rsidRDefault="00735227" w:rsidP="00936322">
            <w:pPr>
              <w:pStyle w:val="TableText"/>
              <w:keepNext/>
              <w:jc w:val="center"/>
              <w:rPr>
                <w:rFonts w:cs="Arial"/>
                <w:color w:val="000000"/>
              </w:rPr>
            </w:pPr>
            <w:r>
              <w:rPr>
                <w:rFonts w:cs="Arial"/>
                <w:color w:val="000000"/>
              </w:rPr>
              <w:t>9</w:t>
            </w:r>
          </w:p>
        </w:tc>
        <w:tc>
          <w:tcPr>
            <w:tcW w:w="1914" w:type="dxa"/>
            <w:tcBorders>
              <w:top w:val="single" w:sz="4" w:space="0" w:color="auto"/>
              <w:bottom w:val="single" w:sz="4" w:space="0" w:color="A6A6A6" w:themeColor="background1" w:themeShade="A6"/>
            </w:tcBorders>
            <w:shd w:val="clear" w:color="auto" w:fill="auto"/>
          </w:tcPr>
          <w:p w14:paraId="1DCC0588" w14:textId="77777777" w:rsidR="00735227" w:rsidRPr="007B7915" w:rsidRDefault="00735227" w:rsidP="00936322">
            <w:pPr>
              <w:pStyle w:val="TableText"/>
              <w:keepNext/>
              <w:tabs>
                <w:tab w:val="decimal" w:pos="1146"/>
              </w:tabs>
              <w:rPr>
                <w:rFonts w:cs="Arial"/>
                <w:color w:val="000000"/>
              </w:rPr>
            </w:pPr>
            <w:r>
              <w:rPr>
                <w:rFonts w:cs="Arial"/>
                <w:color w:val="000000"/>
              </w:rPr>
              <w:t>25,0</w:t>
            </w:r>
            <w:r w:rsidRPr="007B7915">
              <w:rPr>
                <w:rFonts w:cs="Arial"/>
                <w:color w:val="000000"/>
              </w:rPr>
              <w:t>00</w:t>
            </w:r>
          </w:p>
        </w:tc>
        <w:tc>
          <w:tcPr>
            <w:tcW w:w="1914" w:type="dxa"/>
            <w:tcBorders>
              <w:top w:val="single" w:sz="4" w:space="0" w:color="auto"/>
              <w:bottom w:val="single" w:sz="4" w:space="0" w:color="A6A6A6" w:themeColor="background1" w:themeShade="A6"/>
            </w:tcBorders>
            <w:shd w:val="clear" w:color="auto" w:fill="auto"/>
          </w:tcPr>
          <w:p w14:paraId="36FCF624" w14:textId="77777777" w:rsidR="00735227" w:rsidRPr="007B7915" w:rsidRDefault="00735227" w:rsidP="00936322">
            <w:pPr>
              <w:pStyle w:val="TableText"/>
              <w:keepNext/>
              <w:jc w:val="center"/>
              <w:rPr>
                <w:rFonts w:cs="Arial"/>
                <w:color w:val="000000"/>
              </w:rPr>
            </w:pPr>
            <w:r>
              <w:rPr>
                <w:rFonts w:cs="Arial"/>
                <w:color w:val="000000"/>
              </w:rPr>
              <w:t>8</w:t>
            </w:r>
          </w:p>
        </w:tc>
        <w:tc>
          <w:tcPr>
            <w:tcW w:w="1914" w:type="dxa"/>
            <w:tcBorders>
              <w:top w:val="single" w:sz="4" w:space="0" w:color="auto"/>
              <w:bottom w:val="single" w:sz="4" w:space="0" w:color="A6A6A6" w:themeColor="background1" w:themeShade="A6"/>
            </w:tcBorders>
            <w:shd w:val="clear" w:color="auto" w:fill="auto"/>
          </w:tcPr>
          <w:p w14:paraId="217BA4B6" w14:textId="77777777" w:rsidR="00735227" w:rsidRPr="007B7915" w:rsidRDefault="00735227" w:rsidP="00936322">
            <w:pPr>
              <w:pStyle w:val="TableText"/>
              <w:keepNext/>
              <w:tabs>
                <w:tab w:val="decimal" w:pos="1206"/>
              </w:tabs>
              <w:rPr>
                <w:rFonts w:cs="Arial"/>
                <w:color w:val="000000"/>
              </w:rPr>
            </w:pPr>
            <w:r>
              <w:rPr>
                <w:rFonts w:cs="Arial"/>
                <w:color w:val="000000"/>
              </w:rPr>
              <w:t>21,0</w:t>
            </w:r>
            <w:r w:rsidRPr="007B7915">
              <w:rPr>
                <w:rFonts w:cs="Arial"/>
                <w:color w:val="000000"/>
              </w:rPr>
              <w:t>00</w:t>
            </w:r>
          </w:p>
        </w:tc>
      </w:tr>
      <w:tr w:rsidR="00735227" w14:paraId="5564916D"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59AC4503" w14:textId="77777777" w:rsidR="00735227" w:rsidRPr="007B7915" w:rsidRDefault="00735227" w:rsidP="00936322">
            <w:pPr>
              <w:pStyle w:val="TableText"/>
              <w:keepNext/>
            </w:pPr>
            <w:r w:rsidRPr="007B7915">
              <w:t>Pacific</w:t>
            </w:r>
          </w:p>
        </w:tc>
        <w:tc>
          <w:tcPr>
            <w:tcW w:w="1913" w:type="dxa"/>
            <w:tcBorders>
              <w:top w:val="single" w:sz="4" w:space="0" w:color="A6A6A6" w:themeColor="background1" w:themeShade="A6"/>
              <w:bottom w:val="single" w:sz="4" w:space="0" w:color="A6A6A6" w:themeColor="background1" w:themeShade="A6"/>
            </w:tcBorders>
            <w:shd w:val="clear" w:color="auto" w:fill="auto"/>
          </w:tcPr>
          <w:p w14:paraId="40E07947" w14:textId="77777777" w:rsidR="00735227" w:rsidRPr="007B7915" w:rsidRDefault="00735227" w:rsidP="00936322">
            <w:pPr>
              <w:pStyle w:val="TableText"/>
              <w:keepNext/>
              <w:jc w:val="center"/>
              <w:rPr>
                <w:rFonts w:cs="Arial"/>
                <w:color w:val="000000"/>
              </w:rPr>
            </w:pPr>
            <w:r>
              <w:rPr>
                <w:rFonts w:cs="Arial"/>
                <w:color w:val="000000"/>
              </w:rPr>
              <w:t>6</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7E9975ED" w14:textId="77777777" w:rsidR="00735227" w:rsidRPr="007B7915" w:rsidRDefault="00735227" w:rsidP="00936322">
            <w:pPr>
              <w:pStyle w:val="TableText"/>
              <w:keepNext/>
              <w:tabs>
                <w:tab w:val="decimal" w:pos="1146"/>
              </w:tabs>
              <w:rPr>
                <w:rFonts w:cs="Arial"/>
                <w:color w:val="000000"/>
              </w:rPr>
            </w:pPr>
            <w:r>
              <w:rPr>
                <w:rFonts w:cs="Arial"/>
                <w:color w:val="000000"/>
              </w:rPr>
              <w:t>80</w:t>
            </w:r>
            <w:r w:rsidRPr="007B7915">
              <w:rPr>
                <w:rFonts w:cs="Arial"/>
                <w:color w:val="000000"/>
              </w:rPr>
              <w:t>00</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604DFCD5" w14:textId="77777777" w:rsidR="00735227" w:rsidRPr="007B7915" w:rsidRDefault="00735227" w:rsidP="00936322">
            <w:pPr>
              <w:pStyle w:val="TableText"/>
              <w:keepNext/>
              <w:jc w:val="center"/>
              <w:rPr>
                <w:rFonts w:cs="Arial"/>
                <w:color w:val="000000"/>
              </w:rPr>
            </w:pPr>
            <w:r>
              <w:rPr>
                <w:rFonts w:cs="Arial"/>
                <w:color w:val="000000"/>
              </w:rPr>
              <w:t>8</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2AE95B69" w14:textId="77777777" w:rsidR="00735227" w:rsidRPr="007B7915" w:rsidRDefault="00735227" w:rsidP="00936322">
            <w:pPr>
              <w:pStyle w:val="TableText"/>
              <w:keepNext/>
              <w:tabs>
                <w:tab w:val="decimal" w:pos="1206"/>
              </w:tabs>
              <w:rPr>
                <w:rFonts w:cs="Arial"/>
                <w:color w:val="000000"/>
              </w:rPr>
            </w:pPr>
            <w:r>
              <w:rPr>
                <w:rFonts w:cs="Arial"/>
                <w:color w:val="000000"/>
              </w:rPr>
              <w:t>11,0</w:t>
            </w:r>
            <w:r w:rsidRPr="007B7915">
              <w:rPr>
                <w:rFonts w:cs="Arial"/>
                <w:color w:val="000000"/>
              </w:rPr>
              <w:t>00</w:t>
            </w:r>
          </w:p>
        </w:tc>
      </w:tr>
      <w:tr w:rsidR="00735227" w14:paraId="5377FC8A"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0E2BEAFA" w14:textId="77777777" w:rsidR="00735227" w:rsidRPr="007B7915" w:rsidRDefault="00735227" w:rsidP="001632B8">
            <w:pPr>
              <w:pStyle w:val="TableText"/>
              <w:keepNext/>
            </w:pPr>
            <w:r w:rsidRPr="007B7915">
              <w:t>Asian</w:t>
            </w:r>
          </w:p>
        </w:tc>
        <w:tc>
          <w:tcPr>
            <w:tcW w:w="1913" w:type="dxa"/>
            <w:tcBorders>
              <w:top w:val="single" w:sz="4" w:space="0" w:color="A6A6A6" w:themeColor="background1" w:themeShade="A6"/>
              <w:bottom w:val="single" w:sz="4" w:space="0" w:color="A6A6A6" w:themeColor="background1" w:themeShade="A6"/>
            </w:tcBorders>
            <w:shd w:val="clear" w:color="auto" w:fill="auto"/>
          </w:tcPr>
          <w:p w14:paraId="45E22D45" w14:textId="77777777" w:rsidR="00735227" w:rsidRPr="007B7915" w:rsidRDefault="00735227" w:rsidP="001632B8">
            <w:pPr>
              <w:pStyle w:val="TableText"/>
              <w:keepNext/>
              <w:jc w:val="center"/>
              <w:rPr>
                <w:rFonts w:cs="Arial"/>
                <w:color w:val="000000"/>
              </w:rPr>
            </w:pPr>
            <w:r w:rsidRPr="007B7915">
              <w:rPr>
                <w:rFonts w:cs="Arial"/>
                <w:color w:val="000000"/>
              </w:rPr>
              <w:t>2.4</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10EF8F9A" w14:textId="77777777" w:rsidR="00735227" w:rsidRPr="007B7915" w:rsidRDefault="00735227" w:rsidP="001632B8">
            <w:pPr>
              <w:pStyle w:val="TableText"/>
              <w:keepNext/>
              <w:tabs>
                <w:tab w:val="decimal" w:pos="1146"/>
              </w:tabs>
              <w:rPr>
                <w:rFonts w:cs="Arial"/>
                <w:color w:val="000000"/>
              </w:rPr>
            </w:pPr>
            <w:r>
              <w:rPr>
                <w:rFonts w:cs="Arial"/>
                <w:color w:val="000000"/>
              </w:rPr>
              <w:t>90</w:t>
            </w:r>
            <w:r w:rsidRPr="007B7915">
              <w:rPr>
                <w:rFonts w:cs="Arial"/>
                <w:color w:val="000000"/>
              </w:rPr>
              <w:t>00</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5164D120" w14:textId="77777777" w:rsidR="00735227" w:rsidRPr="007B7915" w:rsidRDefault="00735227" w:rsidP="001632B8">
            <w:pPr>
              <w:pStyle w:val="TableText"/>
              <w:keepNext/>
              <w:jc w:val="center"/>
              <w:rPr>
                <w:rFonts w:cs="Arial"/>
                <w:color w:val="000000"/>
              </w:rPr>
            </w:pPr>
            <w:r w:rsidRPr="007B7915">
              <w:rPr>
                <w:rFonts w:cs="Arial"/>
                <w:color w:val="000000"/>
              </w:rPr>
              <w:t>2.4</w:t>
            </w:r>
          </w:p>
        </w:tc>
        <w:tc>
          <w:tcPr>
            <w:tcW w:w="1914" w:type="dxa"/>
            <w:tcBorders>
              <w:top w:val="single" w:sz="4" w:space="0" w:color="A6A6A6" w:themeColor="background1" w:themeShade="A6"/>
              <w:bottom w:val="single" w:sz="4" w:space="0" w:color="A6A6A6" w:themeColor="background1" w:themeShade="A6"/>
            </w:tcBorders>
            <w:shd w:val="clear" w:color="auto" w:fill="auto"/>
          </w:tcPr>
          <w:p w14:paraId="23B78BB9" w14:textId="62D32F61" w:rsidR="00735227" w:rsidRPr="007B7915" w:rsidRDefault="00B9016A" w:rsidP="001632B8">
            <w:pPr>
              <w:pStyle w:val="TableText"/>
              <w:keepNext/>
              <w:tabs>
                <w:tab w:val="decimal" w:pos="1206"/>
              </w:tabs>
              <w:rPr>
                <w:rFonts w:cs="Arial"/>
                <w:color w:val="000000"/>
              </w:rPr>
            </w:pPr>
            <w:r>
              <w:rPr>
                <w:rFonts w:cs="Arial"/>
                <w:color w:val="000000"/>
              </w:rPr>
              <w:t>8</w:t>
            </w:r>
            <w:r w:rsidR="00735227">
              <w:rPr>
                <w:rFonts w:cs="Arial"/>
                <w:color w:val="000000"/>
              </w:rPr>
              <w:t>0</w:t>
            </w:r>
            <w:r w:rsidR="00735227" w:rsidRPr="007B7915">
              <w:rPr>
                <w:rFonts w:cs="Arial"/>
                <w:color w:val="000000"/>
              </w:rPr>
              <w:t>00</w:t>
            </w:r>
          </w:p>
        </w:tc>
      </w:tr>
      <w:tr w:rsidR="00735227" w14:paraId="552F3617" w14:textId="77777777" w:rsidTr="00936322">
        <w:trPr>
          <w:cantSplit/>
        </w:trPr>
        <w:tc>
          <w:tcPr>
            <w:tcW w:w="1701" w:type="dxa"/>
            <w:tcBorders>
              <w:top w:val="single" w:sz="4" w:space="0" w:color="A6A6A6" w:themeColor="background1" w:themeShade="A6"/>
            </w:tcBorders>
            <w:shd w:val="clear" w:color="auto" w:fill="auto"/>
          </w:tcPr>
          <w:p w14:paraId="3D202D26" w14:textId="77777777" w:rsidR="00735227" w:rsidRPr="007B7915" w:rsidRDefault="00735227" w:rsidP="007E56E3">
            <w:pPr>
              <w:pStyle w:val="TableText"/>
              <w:keepNext/>
            </w:pPr>
            <w:r w:rsidRPr="007B7915">
              <w:t>European/Other</w:t>
            </w:r>
          </w:p>
        </w:tc>
        <w:tc>
          <w:tcPr>
            <w:tcW w:w="1913" w:type="dxa"/>
            <w:tcBorders>
              <w:top w:val="single" w:sz="4" w:space="0" w:color="A6A6A6" w:themeColor="background1" w:themeShade="A6"/>
            </w:tcBorders>
            <w:shd w:val="clear" w:color="auto" w:fill="auto"/>
          </w:tcPr>
          <w:p w14:paraId="1670DDAE" w14:textId="77777777" w:rsidR="00735227" w:rsidRPr="007B7915" w:rsidRDefault="00735227" w:rsidP="007E56E3">
            <w:pPr>
              <w:pStyle w:val="TableText"/>
              <w:keepNext/>
              <w:jc w:val="center"/>
              <w:rPr>
                <w:rFonts w:cs="Arial"/>
                <w:color w:val="000000"/>
              </w:rPr>
            </w:pPr>
            <w:r w:rsidRPr="007B7915">
              <w:rPr>
                <w:rFonts w:cs="Arial"/>
                <w:color w:val="000000"/>
              </w:rPr>
              <w:t>3.4</w:t>
            </w:r>
          </w:p>
        </w:tc>
        <w:tc>
          <w:tcPr>
            <w:tcW w:w="1914" w:type="dxa"/>
            <w:tcBorders>
              <w:top w:val="single" w:sz="4" w:space="0" w:color="A6A6A6" w:themeColor="background1" w:themeShade="A6"/>
            </w:tcBorders>
            <w:shd w:val="clear" w:color="auto" w:fill="auto"/>
          </w:tcPr>
          <w:p w14:paraId="02F50BA5" w14:textId="77777777" w:rsidR="00735227" w:rsidRPr="007B7915" w:rsidRDefault="00735227" w:rsidP="007E56E3">
            <w:pPr>
              <w:pStyle w:val="TableText"/>
              <w:keepNext/>
              <w:tabs>
                <w:tab w:val="decimal" w:pos="1146"/>
              </w:tabs>
              <w:rPr>
                <w:rFonts w:cs="Arial"/>
                <w:color w:val="000000"/>
              </w:rPr>
            </w:pPr>
            <w:r>
              <w:rPr>
                <w:rFonts w:cs="Arial"/>
                <w:color w:val="000000"/>
              </w:rPr>
              <w:t>76,0</w:t>
            </w:r>
            <w:r w:rsidRPr="007B7915">
              <w:rPr>
                <w:rFonts w:cs="Arial"/>
                <w:color w:val="000000"/>
              </w:rPr>
              <w:t>00</w:t>
            </w:r>
          </w:p>
        </w:tc>
        <w:tc>
          <w:tcPr>
            <w:tcW w:w="1914" w:type="dxa"/>
            <w:tcBorders>
              <w:top w:val="single" w:sz="4" w:space="0" w:color="A6A6A6" w:themeColor="background1" w:themeShade="A6"/>
            </w:tcBorders>
            <w:shd w:val="clear" w:color="auto" w:fill="auto"/>
          </w:tcPr>
          <w:p w14:paraId="0DCC6B99" w14:textId="77777777" w:rsidR="00735227" w:rsidRPr="007B7915" w:rsidRDefault="00735227" w:rsidP="007E56E3">
            <w:pPr>
              <w:pStyle w:val="TableText"/>
              <w:keepNext/>
              <w:jc w:val="center"/>
              <w:rPr>
                <w:rFonts w:cs="Arial"/>
                <w:color w:val="000000"/>
              </w:rPr>
            </w:pPr>
            <w:r w:rsidRPr="007B7915">
              <w:rPr>
                <w:rFonts w:cs="Arial"/>
                <w:color w:val="000000"/>
              </w:rPr>
              <w:t>2.9</w:t>
            </w:r>
          </w:p>
        </w:tc>
        <w:tc>
          <w:tcPr>
            <w:tcW w:w="1914" w:type="dxa"/>
            <w:tcBorders>
              <w:top w:val="single" w:sz="4" w:space="0" w:color="A6A6A6" w:themeColor="background1" w:themeShade="A6"/>
            </w:tcBorders>
            <w:shd w:val="clear" w:color="auto" w:fill="auto"/>
          </w:tcPr>
          <w:p w14:paraId="764877F7" w14:textId="77777777" w:rsidR="00735227" w:rsidRPr="007B7915" w:rsidRDefault="00735227" w:rsidP="007E56E3">
            <w:pPr>
              <w:pStyle w:val="TableText"/>
              <w:keepNext/>
              <w:tabs>
                <w:tab w:val="decimal" w:pos="1206"/>
              </w:tabs>
              <w:rPr>
                <w:rFonts w:cs="Arial"/>
                <w:color w:val="000000"/>
              </w:rPr>
            </w:pPr>
            <w:r w:rsidRPr="007B7915">
              <w:rPr>
                <w:rFonts w:cs="Arial"/>
                <w:color w:val="000000"/>
              </w:rPr>
              <w:t>65,000</w:t>
            </w:r>
          </w:p>
        </w:tc>
      </w:tr>
    </w:tbl>
    <w:p w14:paraId="0F3AF7D6" w14:textId="77777777" w:rsidR="00735227" w:rsidRPr="00723643" w:rsidRDefault="00735227" w:rsidP="00936322">
      <w:pPr>
        <w:pStyle w:val="TableNote"/>
      </w:pPr>
      <w:r w:rsidRPr="00723643">
        <w:t xml:space="preserve">Source: 2012/13 </w:t>
      </w:r>
      <w:r>
        <w:t>NZHS</w:t>
      </w:r>
    </w:p>
    <w:p w14:paraId="64427A4C" w14:textId="77777777" w:rsidR="00735227" w:rsidRDefault="00735227" w:rsidP="00936322">
      <w:pPr>
        <w:pStyle w:val="TableNote"/>
        <w:rPr>
          <w:u w:val="single"/>
        </w:rPr>
      </w:pPr>
      <w:r w:rsidRPr="00723643">
        <w:t xml:space="preserve">Note: Total </w:t>
      </w:r>
      <w:r>
        <w:t>response ethnicity has been used.</w:t>
      </w:r>
    </w:p>
    <w:p w14:paraId="655AA03B" w14:textId="77777777" w:rsidR="00735227" w:rsidRDefault="00735227" w:rsidP="00936322"/>
    <w:p w14:paraId="60C1E37A" w14:textId="01ABB93A" w:rsidR="00735227" w:rsidRPr="00EF1E64" w:rsidRDefault="00735227" w:rsidP="00936322">
      <w:pPr>
        <w:pStyle w:val="Table"/>
        <w:rPr>
          <w:spacing w:val="-2"/>
          <w:szCs w:val="24"/>
        </w:rPr>
      </w:pPr>
      <w:bookmarkStart w:id="247" w:name="_Toc399920540"/>
      <w:bookmarkStart w:id="248" w:name="_Toc404091129"/>
      <w:r w:rsidRPr="00EF1E64">
        <w:rPr>
          <w:spacing w:val="-2"/>
        </w:rPr>
        <w:t xml:space="preserve">Table </w:t>
      </w:r>
      <w:r w:rsidR="00936322" w:rsidRPr="00EF1E64">
        <w:rPr>
          <w:spacing w:val="-2"/>
        </w:rPr>
        <w:t>29</w:t>
      </w:r>
      <w:r w:rsidRPr="00EF1E64">
        <w:rPr>
          <w:spacing w:val="-2"/>
        </w:rPr>
        <w:t>:</w:t>
      </w:r>
      <w:r w:rsidR="00936322" w:rsidRPr="00EF1E64">
        <w:rPr>
          <w:spacing w:val="-2"/>
        </w:rPr>
        <w:t xml:space="preserve"> </w:t>
      </w:r>
      <w:r w:rsidRPr="00EF1E64">
        <w:rPr>
          <w:spacing w:val="-2"/>
        </w:rPr>
        <w:t>Adjusted rate ratios for non-smoking adults</w:t>
      </w:r>
      <w:r w:rsidR="00AA2408">
        <w:rPr>
          <w:spacing w:val="-2"/>
        </w:rPr>
        <w:t>’</w:t>
      </w:r>
      <w:r w:rsidRPr="00EF1E64">
        <w:rPr>
          <w:spacing w:val="-2"/>
        </w:rPr>
        <w:t xml:space="preserve"> SHS exposure at home and in the car</w:t>
      </w:r>
      <w:bookmarkEnd w:id="247"/>
      <w:bookmarkEnd w:id="24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5"/>
        <w:gridCol w:w="1859"/>
        <w:gridCol w:w="1860"/>
      </w:tblGrid>
      <w:tr w:rsidR="00735227" w:rsidRPr="00936322" w14:paraId="402FC183" w14:textId="77777777" w:rsidTr="00936322">
        <w:trPr>
          <w:cantSplit/>
        </w:trPr>
        <w:tc>
          <w:tcPr>
            <w:tcW w:w="3085" w:type="dxa"/>
            <w:tcBorders>
              <w:top w:val="single" w:sz="4" w:space="0" w:color="auto"/>
              <w:bottom w:val="single" w:sz="4" w:space="0" w:color="auto"/>
            </w:tcBorders>
            <w:shd w:val="clear" w:color="auto" w:fill="auto"/>
          </w:tcPr>
          <w:p w14:paraId="0940BCAE" w14:textId="77777777" w:rsidR="00735227" w:rsidRPr="00936322" w:rsidRDefault="00735227" w:rsidP="00936322">
            <w:pPr>
              <w:pStyle w:val="TableText"/>
              <w:rPr>
                <w:b/>
              </w:rPr>
            </w:pPr>
            <w:r w:rsidRPr="00936322">
              <w:rPr>
                <w:b/>
              </w:rPr>
              <w:t>Population group</w:t>
            </w:r>
          </w:p>
        </w:tc>
        <w:tc>
          <w:tcPr>
            <w:tcW w:w="1859" w:type="dxa"/>
            <w:tcBorders>
              <w:top w:val="single" w:sz="4" w:space="0" w:color="auto"/>
              <w:bottom w:val="single" w:sz="4" w:space="0" w:color="auto"/>
            </w:tcBorders>
            <w:shd w:val="clear" w:color="auto" w:fill="auto"/>
          </w:tcPr>
          <w:p w14:paraId="13930E45" w14:textId="77777777" w:rsidR="00735227" w:rsidRPr="00936322" w:rsidRDefault="00735227" w:rsidP="00936322">
            <w:pPr>
              <w:pStyle w:val="TableText"/>
              <w:jc w:val="center"/>
              <w:rPr>
                <w:b/>
              </w:rPr>
            </w:pPr>
            <w:r w:rsidRPr="00936322">
              <w:rPr>
                <w:b/>
              </w:rPr>
              <w:t>Home</w:t>
            </w:r>
          </w:p>
        </w:tc>
        <w:tc>
          <w:tcPr>
            <w:tcW w:w="1860" w:type="dxa"/>
            <w:tcBorders>
              <w:top w:val="single" w:sz="4" w:space="0" w:color="auto"/>
              <w:bottom w:val="single" w:sz="4" w:space="0" w:color="auto"/>
            </w:tcBorders>
            <w:shd w:val="clear" w:color="auto" w:fill="auto"/>
          </w:tcPr>
          <w:p w14:paraId="0B97233E" w14:textId="77777777" w:rsidR="00735227" w:rsidRPr="00936322" w:rsidRDefault="00735227" w:rsidP="00936322">
            <w:pPr>
              <w:pStyle w:val="TableText"/>
              <w:jc w:val="center"/>
              <w:rPr>
                <w:b/>
              </w:rPr>
            </w:pPr>
            <w:r w:rsidRPr="00936322">
              <w:rPr>
                <w:b/>
              </w:rPr>
              <w:t>Car</w:t>
            </w:r>
          </w:p>
        </w:tc>
      </w:tr>
      <w:tr w:rsidR="00735227" w14:paraId="2C06A953" w14:textId="77777777" w:rsidTr="00936322">
        <w:trPr>
          <w:cantSplit/>
        </w:trPr>
        <w:tc>
          <w:tcPr>
            <w:tcW w:w="3085" w:type="dxa"/>
            <w:tcBorders>
              <w:top w:val="single" w:sz="4" w:space="0" w:color="auto"/>
              <w:bottom w:val="single" w:sz="4" w:space="0" w:color="A6A6A6" w:themeColor="background1" w:themeShade="A6"/>
            </w:tcBorders>
            <w:shd w:val="clear" w:color="auto" w:fill="auto"/>
          </w:tcPr>
          <w:p w14:paraId="031F9D14" w14:textId="77777777" w:rsidR="00735227" w:rsidRPr="007B7915" w:rsidRDefault="00735227" w:rsidP="00936322">
            <w:pPr>
              <w:pStyle w:val="TableText"/>
            </w:pPr>
            <w:r w:rsidRPr="007B7915">
              <w:t>Men v</w:t>
            </w:r>
            <w:r>
              <w:t>ersu</w:t>
            </w:r>
            <w:r w:rsidRPr="007B7915">
              <w:t>s women</w:t>
            </w:r>
          </w:p>
        </w:tc>
        <w:tc>
          <w:tcPr>
            <w:tcW w:w="1859" w:type="dxa"/>
            <w:tcBorders>
              <w:top w:val="single" w:sz="4" w:space="0" w:color="auto"/>
              <w:bottom w:val="single" w:sz="4" w:space="0" w:color="A6A6A6" w:themeColor="background1" w:themeShade="A6"/>
            </w:tcBorders>
            <w:shd w:val="clear" w:color="auto" w:fill="auto"/>
          </w:tcPr>
          <w:p w14:paraId="6ED9BD9D" w14:textId="77777777" w:rsidR="00735227" w:rsidRPr="007B7915" w:rsidRDefault="00735227" w:rsidP="00936322">
            <w:pPr>
              <w:pStyle w:val="TableText"/>
              <w:tabs>
                <w:tab w:val="decimal" w:pos="827"/>
              </w:tabs>
            </w:pPr>
            <w:r w:rsidRPr="007B7915">
              <w:t>1.4*</w:t>
            </w:r>
          </w:p>
        </w:tc>
        <w:tc>
          <w:tcPr>
            <w:tcW w:w="1860" w:type="dxa"/>
            <w:tcBorders>
              <w:top w:val="single" w:sz="4" w:space="0" w:color="auto"/>
              <w:bottom w:val="single" w:sz="4" w:space="0" w:color="A6A6A6" w:themeColor="background1" w:themeShade="A6"/>
            </w:tcBorders>
            <w:shd w:val="clear" w:color="auto" w:fill="auto"/>
          </w:tcPr>
          <w:p w14:paraId="324C1677" w14:textId="77777777" w:rsidR="00735227" w:rsidRPr="007B7915" w:rsidRDefault="00735227" w:rsidP="00936322">
            <w:pPr>
              <w:pStyle w:val="TableText"/>
              <w:tabs>
                <w:tab w:val="decimal" w:pos="827"/>
              </w:tabs>
            </w:pPr>
            <w:r w:rsidRPr="007B7915">
              <w:t>1.2</w:t>
            </w:r>
          </w:p>
        </w:tc>
      </w:tr>
      <w:tr w:rsidR="00735227" w14:paraId="513FC7F1"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169AA3AE" w14:textId="77777777" w:rsidR="00735227" w:rsidRPr="007B7915" w:rsidRDefault="00735227" w:rsidP="00936322">
            <w:pPr>
              <w:pStyle w:val="TableText"/>
            </w:pPr>
            <w:r w:rsidRPr="007B7915">
              <w:t>Māori v</w:t>
            </w:r>
            <w:r>
              <w:t>ersu</w:t>
            </w:r>
            <w:r w:rsidRPr="007B7915">
              <w:t>s non-Māori</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45860B79" w14:textId="77777777" w:rsidR="00735227" w:rsidRPr="007B7915" w:rsidRDefault="00735227" w:rsidP="00936322">
            <w:pPr>
              <w:pStyle w:val="TableText"/>
              <w:tabs>
                <w:tab w:val="decimal" w:pos="827"/>
              </w:tabs>
            </w:pPr>
            <w:r w:rsidRPr="007B7915">
              <w:t>2.6*</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427302D0" w14:textId="77777777" w:rsidR="00735227" w:rsidRPr="007B7915" w:rsidRDefault="00735227" w:rsidP="00936322">
            <w:pPr>
              <w:pStyle w:val="TableText"/>
              <w:tabs>
                <w:tab w:val="decimal" w:pos="827"/>
              </w:tabs>
            </w:pPr>
            <w:r w:rsidRPr="007B7915">
              <w:t>2.2*</w:t>
            </w:r>
          </w:p>
        </w:tc>
      </w:tr>
      <w:tr w:rsidR="00735227" w14:paraId="5761EADA"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16E65559" w14:textId="77777777" w:rsidR="00735227" w:rsidRPr="007B7915" w:rsidRDefault="00735227" w:rsidP="00936322">
            <w:pPr>
              <w:pStyle w:val="TableText"/>
            </w:pPr>
            <w:r w:rsidRPr="007B7915">
              <w:t>Pacific v</w:t>
            </w:r>
            <w:r>
              <w:t>ersu</w:t>
            </w:r>
            <w:r w:rsidRPr="007B7915">
              <w:t>s non-Pacific</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1D650748" w14:textId="77777777" w:rsidR="00735227" w:rsidRPr="007B7915" w:rsidRDefault="00735227" w:rsidP="00936322">
            <w:pPr>
              <w:pStyle w:val="TableText"/>
              <w:tabs>
                <w:tab w:val="decimal" w:pos="827"/>
              </w:tabs>
            </w:pPr>
            <w:r w:rsidRPr="007B7915">
              <w:t>1.3</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47D527BA" w14:textId="77777777" w:rsidR="00735227" w:rsidRPr="007B7915" w:rsidRDefault="00735227" w:rsidP="00936322">
            <w:pPr>
              <w:pStyle w:val="TableText"/>
              <w:tabs>
                <w:tab w:val="decimal" w:pos="827"/>
              </w:tabs>
            </w:pPr>
            <w:r w:rsidRPr="007B7915">
              <w:t>2.0*</w:t>
            </w:r>
          </w:p>
        </w:tc>
      </w:tr>
      <w:tr w:rsidR="00735227" w14:paraId="2DCE6128"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627B96B1" w14:textId="77777777" w:rsidR="00735227" w:rsidRPr="007B7915" w:rsidRDefault="00735227" w:rsidP="00936322">
            <w:pPr>
              <w:pStyle w:val="TableText"/>
            </w:pPr>
            <w:r w:rsidRPr="007B7915">
              <w:t>Asian v</w:t>
            </w:r>
            <w:r>
              <w:t>ersu</w:t>
            </w:r>
            <w:r w:rsidRPr="007B7915">
              <w:t>s non-Asian</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3A50FAEA" w14:textId="77777777" w:rsidR="00735227" w:rsidRPr="007B7915" w:rsidRDefault="00735227" w:rsidP="00936322">
            <w:pPr>
              <w:pStyle w:val="TableText"/>
              <w:tabs>
                <w:tab w:val="decimal" w:pos="827"/>
              </w:tabs>
            </w:pPr>
            <w:r w:rsidRPr="007B7915">
              <w:t>0.5*</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4FB6AB17" w14:textId="77777777" w:rsidR="00735227" w:rsidRPr="007B7915" w:rsidRDefault="00735227" w:rsidP="00936322">
            <w:pPr>
              <w:pStyle w:val="TableText"/>
              <w:tabs>
                <w:tab w:val="decimal" w:pos="827"/>
              </w:tabs>
            </w:pPr>
            <w:r w:rsidRPr="007B7915">
              <w:t>0.5*</w:t>
            </w:r>
          </w:p>
        </w:tc>
      </w:tr>
      <w:tr w:rsidR="00735227" w14:paraId="4A0A3539" w14:textId="77777777" w:rsidTr="00936322">
        <w:trPr>
          <w:cantSplit/>
        </w:trPr>
        <w:tc>
          <w:tcPr>
            <w:tcW w:w="3085" w:type="dxa"/>
            <w:tcBorders>
              <w:top w:val="single" w:sz="4" w:space="0" w:color="A6A6A6" w:themeColor="background1" w:themeShade="A6"/>
            </w:tcBorders>
            <w:shd w:val="clear" w:color="auto" w:fill="auto"/>
          </w:tcPr>
          <w:p w14:paraId="6172002A" w14:textId="77777777" w:rsidR="00735227" w:rsidRPr="007B7915" w:rsidRDefault="00735227" w:rsidP="00936322">
            <w:pPr>
              <w:pStyle w:val="TableText"/>
            </w:pPr>
            <w:r w:rsidRPr="007B7915">
              <w:t>Most v</w:t>
            </w:r>
            <w:r>
              <w:t>ersu</w:t>
            </w:r>
            <w:r w:rsidRPr="007B7915">
              <w:t>s least deprived</w:t>
            </w:r>
          </w:p>
        </w:tc>
        <w:tc>
          <w:tcPr>
            <w:tcW w:w="1859" w:type="dxa"/>
            <w:tcBorders>
              <w:top w:val="single" w:sz="4" w:space="0" w:color="A6A6A6" w:themeColor="background1" w:themeShade="A6"/>
            </w:tcBorders>
            <w:shd w:val="clear" w:color="auto" w:fill="auto"/>
          </w:tcPr>
          <w:p w14:paraId="6D7D33C8" w14:textId="77777777" w:rsidR="00735227" w:rsidRPr="007B7915" w:rsidRDefault="00735227" w:rsidP="00936322">
            <w:pPr>
              <w:pStyle w:val="TableText"/>
              <w:tabs>
                <w:tab w:val="decimal" w:pos="827"/>
              </w:tabs>
            </w:pPr>
            <w:r w:rsidRPr="007B7915">
              <w:t>3.2*</w:t>
            </w:r>
          </w:p>
        </w:tc>
        <w:tc>
          <w:tcPr>
            <w:tcW w:w="1860" w:type="dxa"/>
            <w:tcBorders>
              <w:top w:val="single" w:sz="4" w:space="0" w:color="A6A6A6" w:themeColor="background1" w:themeShade="A6"/>
            </w:tcBorders>
            <w:shd w:val="clear" w:color="auto" w:fill="auto"/>
          </w:tcPr>
          <w:p w14:paraId="77386867" w14:textId="77777777" w:rsidR="00735227" w:rsidRPr="007B7915" w:rsidRDefault="00735227" w:rsidP="00936322">
            <w:pPr>
              <w:pStyle w:val="TableText"/>
              <w:tabs>
                <w:tab w:val="decimal" w:pos="827"/>
              </w:tabs>
            </w:pPr>
            <w:r w:rsidRPr="007B7915">
              <w:t>2.4*</w:t>
            </w:r>
          </w:p>
        </w:tc>
      </w:tr>
    </w:tbl>
    <w:p w14:paraId="04A8A4A7" w14:textId="77777777" w:rsidR="00735227" w:rsidRDefault="00735227" w:rsidP="00936322">
      <w:pPr>
        <w:pStyle w:val="Source"/>
      </w:pPr>
      <w:r w:rsidRPr="00723643">
        <w:t>Source: 20</w:t>
      </w:r>
      <w:r>
        <w:t>12/13 NZHS</w:t>
      </w:r>
    </w:p>
    <w:p w14:paraId="54C13F15" w14:textId="77777777" w:rsidR="00735227" w:rsidRPr="00DE22AF" w:rsidRDefault="00735227" w:rsidP="00936322">
      <w:pPr>
        <w:pStyle w:val="Note"/>
      </w:pPr>
      <w:r>
        <w:t>*</w:t>
      </w:r>
      <w:r w:rsidR="00936322">
        <w:tab/>
        <w:t>T</w:t>
      </w:r>
      <w:r>
        <w:t>here is a statistically significant difference (p&lt;0.05) between the two groups.</w:t>
      </w:r>
    </w:p>
    <w:p w14:paraId="149DED1C" w14:textId="77777777" w:rsidR="00735227" w:rsidRDefault="00735227" w:rsidP="00936322"/>
    <w:p w14:paraId="099E14E8" w14:textId="77777777" w:rsidR="00735227" w:rsidRPr="00FB434A" w:rsidRDefault="00735227" w:rsidP="00936322">
      <w:pPr>
        <w:pStyle w:val="Heading3"/>
      </w:pPr>
      <w:r w:rsidRPr="00FB434A">
        <w:t>Non-smokers in the most deprived areas h</w:t>
      </w:r>
      <w:r>
        <w:t>ad the highest exposure to SHS</w:t>
      </w:r>
    </w:p>
    <w:p w14:paraId="1094B192" w14:textId="77777777" w:rsidR="007066D2" w:rsidRDefault="00735227" w:rsidP="00936322">
      <w:r>
        <w:t>Exposure to SHS among non-smokers in the home showed a clear linear gradient with neighbourhood deprivation, increasing by quintile from the least deprived area to the most deprived (Figure 27). SHS exposure at home in the most deprived areas was 3.2 times that of exposure at home in the least deprived areas (Table 29).</w:t>
      </w:r>
    </w:p>
    <w:p w14:paraId="336CE4BD" w14:textId="77777777" w:rsidR="00735227" w:rsidRDefault="00735227" w:rsidP="00936322"/>
    <w:p w14:paraId="738FF110" w14:textId="77777777" w:rsidR="00735227" w:rsidRPr="004C6CA0" w:rsidRDefault="00735227" w:rsidP="00936322">
      <w:r>
        <w:t>Exposure in the car was similar for non-smokers that lived in the least deprived areas (quintiles</w:t>
      </w:r>
      <w:r w:rsidR="00936322">
        <w:t> </w:t>
      </w:r>
      <w:r>
        <w:t>1 and 2, 2.2% and 2.4% respectively) but more than doubled for those that lived in the most deprived areas (quintile 5, 6%) (Figure 27).</w:t>
      </w:r>
    </w:p>
    <w:p w14:paraId="741FDACF" w14:textId="77777777" w:rsidR="00735227" w:rsidRDefault="00735227" w:rsidP="00936322"/>
    <w:p w14:paraId="051A3BE7" w14:textId="5ACD8B95" w:rsidR="00735227" w:rsidRDefault="00735227" w:rsidP="00936322">
      <w:pPr>
        <w:pStyle w:val="Figure"/>
      </w:pPr>
      <w:bookmarkStart w:id="249" w:name="_Toc399920510"/>
      <w:bookmarkStart w:id="250" w:name="_Toc404258436"/>
      <w:r>
        <w:t xml:space="preserve">Figure </w:t>
      </w:r>
      <w:r w:rsidR="00936322">
        <w:t>27</w:t>
      </w:r>
      <w:r w:rsidRPr="00EA5301">
        <w:t>:</w:t>
      </w:r>
      <w:r w:rsidR="00936322">
        <w:t xml:space="preserve"> </w:t>
      </w:r>
      <w:r w:rsidRPr="00EA5301">
        <w:t xml:space="preserve">Exposure to </w:t>
      </w:r>
      <w:r w:rsidR="00B7465A">
        <w:t>SHS</w:t>
      </w:r>
      <w:r w:rsidRPr="00EA5301">
        <w:t xml:space="preserve"> at home and in the car among non-smokers, by neighbourhood deprivation</w:t>
      </w:r>
      <w:bookmarkEnd w:id="249"/>
      <w:r w:rsidR="00B9016A">
        <w:t xml:space="preserve"> (age-standardised)</w:t>
      </w:r>
      <w:bookmarkEnd w:id="250"/>
    </w:p>
    <w:p w14:paraId="5A78B467" w14:textId="77777777" w:rsidR="004C36FA" w:rsidRDefault="004C36FA" w:rsidP="004C36FA">
      <w:r w:rsidRPr="004C36FA">
        <w:rPr>
          <w:noProof/>
          <w:lang w:eastAsia="en-NZ"/>
        </w:rPr>
        <w:drawing>
          <wp:inline distT="0" distB="0" distL="0" distR="0" wp14:anchorId="2442AE87" wp14:editId="2D2E26B1">
            <wp:extent cx="4422370" cy="2611963"/>
            <wp:effectExtent l="0" t="0" r="0" b="0"/>
            <wp:docPr id="9" name="Picture 9" title="Figure 27: Exposure to second-hand smoke at home and in the car among non-smokers, by neighbourhood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srcRect r="10452" b="13303"/>
                    <a:stretch/>
                  </pic:blipFill>
                  <pic:spPr bwMode="auto">
                    <a:xfrm>
                      <a:off x="0" y="0"/>
                      <a:ext cx="4421838" cy="2611649"/>
                    </a:xfrm>
                    <a:prstGeom prst="rect">
                      <a:avLst/>
                    </a:prstGeom>
                    <a:ln>
                      <a:noFill/>
                    </a:ln>
                    <a:extLst>
                      <a:ext uri="{53640926-AAD7-44D8-BBD7-CCE9431645EC}">
                        <a14:shadowObscured xmlns:a14="http://schemas.microsoft.com/office/drawing/2010/main"/>
                      </a:ext>
                    </a:extLst>
                  </pic:spPr>
                </pic:pic>
              </a:graphicData>
            </a:graphic>
          </wp:inline>
        </w:drawing>
      </w:r>
    </w:p>
    <w:p w14:paraId="63ADC90E" w14:textId="77777777" w:rsidR="00735227" w:rsidRDefault="00735227" w:rsidP="00936322">
      <w:pPr>
        <w:pStyle w:val="Source"/>
        <w:rPr>
          <w:u w:val="single"/>
        </w:rPr>
      </w:pPr>
      <w:r w:rsidRPr="00532239">
        <w:t xml:space="preserve">Source: 2012/13 </w:t>
      </w:r>
      <w:r>
        <w:t>NZHS</w:t>
      </w:r>
    </w:p>
    <w:p w14:paraId="1D06FEAC" w14:textId="77777777" w:rsidR="00735227" w:rsidRDefault="00735227" w:rsidP="00936322"/>
    <w:p w14:paraId="3064C522" w14:textId="77777777" w:rsidR="00735227" w:rsidRPr="00FB434A" w:rsidRDefault="00735227" w:rsidP="00936322">
      <w:pPr>
        <w:pStyle w:val="Heading3"/>
      </w:pPr>
      <w:r w:rsidRPr="00FB434A">
        <w:t>SHS exposure for non-smoking adults has halved since 2006</w:t>
      </w:r>
    </w:p>
    <w:p w14:paraId="24EB691E" w14:textId="77777777" w:rsidR="007066D2" w:rsidRDefault="00735227" w:rsidP="00936322">
      <w:r>
        <w:t>The prevalence of SHS exposure in the home for no</w:t>
      </w:r>
      <w:r w:rsidR="00B9430A">
        <w:t>n-smoking adults in 2012/13 (3.7</w:t>
      </w:r>
      <w:r>
        <w:t>%) has gone down by half compared with 2006/07 (8%) (Table 30).</w:t>
      </w:r>
    </w:p>
    <w:p w14:paraId="762C6D7A" w14:textId="77777777" w:rsidR="00735227" w:rsidRDefault="00735227" w:rsidP="00936322"/>
    <w:p w14:paraId="2170C966" w14:textId="77777777" w:rsidR="007066D2" w:rsidRDefault="00735227" w:rsidP="00936322">
      <w:r>
        <w:t>As also shown in Table 30, all ethnic groups showed significant declines between 2006 and 2012.</w:t>
      </w:r>
    </w:p>
    <w:p w14:paraId="7EEB0D11" w14:textId="77777777" w:rsidR="00735227" w:rsidRDefault="00735227" w:rsidP="00936322"/>
    <w:p w14:paraId="1A613C2A" w14:textId="77777777" w:rsidR="00735227" w:rsidRDefault="00735227" w:rsidP="00936322">
      <w:pPr>
        <w:pStyle w:val="Table"/>
      </w:pPr>
      <w:bookmarkStart w:id="251" w:name="_Toc404091130"/>
      <w:bookmarkStart w:id="252" w:name="_Toc399920541"/>
      <w:r>
        <w:t xml:space="preserve">Table </w:t>
      </w:r>
      <w:r w:rsidR="00936322">
        <w:t>30</w:t>
      </w:r>
      <w:r w:rsidRPr="009110D2">
        <w:t>:</w:t>
      </w:r>
      <w:r w:rsidR="00936322">
        <w:t xml:space="preserve"> </w:t>
      </w:r>
      <w:r w:rsidRPr="009110D2">
        <w:t xml:space="preserve">Changes in </w:t>
      </w:r>
      <w:r w:rsidR="00B7465A">
        <w:t>SHS</w:t>
      </w:r>
      <w:r w:rsidR="00B7465A" w:rsidRPr="009110D2">
        <w:t xml:space="preserve"> </w:t>
      </w:r>
      <w:r w:rsidRPr="009110D2">
        <w:t>exposure prevalence in the home by ethnicity between 2006 and 2012</w:t>
      </w:r>
      <w:bookmarkEnd w:id="251"/>
      <w:r>
        <w:t xml:space="preserve"> </w:t>
      </w:r>
      <w:bookmarkEnd w:id="252"/>
    </w:p>
    <w:tbl>
      <w:tblPr>
        <w:tblW w:w="9354"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2551"/>
        <w:gridCol w:w="2551"/>
        <w:gridCol w:w="2551"/>
      </w:tblGrid>
      <w:tr w:rsidR="00936322" w:rsidRPr="00810D5F" w14:paraId="38284650" w14:textId="77777777" w:rsidTr="00936322">
        <w:trPr>
          <w:cantSplit/>
        </w:trPr>
        <w:tc>
          <w:tcPr>
            <w:tcW w:w="1701" w:type="dxa"/>
            <w:tcBorders>
              <w:top w:val="single" w:sz="4" w:space="0" w:color="auto"/>
              <w:bottom w:val="single" w:sz="4" w:space="0" w:color="auto"/>
            </w:tcBorders>
            <w:shd w:val="clear" w:color="auto" w:fill="auto"/>
          </w:tcPr>
          <w:p w14:paraId="1F4DDBD2" w14:textId="77777777" w:rsidR="00936322" w:rsidRPr="00810D5F" w:rsidRDefault="00936322" w:rsidP="00EF1E64">
            <w:pPr>
              <w:pStyle w:val="TableText"/>
              <w:rPr>
                <w:b/>
              </w:rPr>
            </w:pPr>
            <w:r w:rsidRPr="00810D5F">
              <w:rPr>
                <w:b/>
              </w:rPr>
              <w:t>Ethnic group</w:t>
            </w:r>
          </w:p>
        </w:tc>
        <w:tc>
          <w:tcPr>
            <w:tcW w:w="2551" w:type="dxa"/>
            <w:tcBorders>
              <w:top w:val="single" w:sz="4" w:space="0" w:color="auto"/>
              <w:bottom w:val="single" w:sz="4" w:space="0" w:color="auto"/>
            </w:tcBorders>
          </w:tcPr>
          <w:p w14:paraId="08F6C27C" w14:textId="77777777" w:rsidR="00936322" w:rsidRPr="00936322" w:rsidRDefault="00936322" w:rsidP="00EF1E64">
            <w:pPr>
              <w:pStyle w:val="TableText"/>
              <w:jc w:val="center"/>
              <w:rPr>
                <w:b/>
              </w:rPr>
            </w:pPr>
            <w:r w:rsidRPr="00936322">
              <w:rPr>
                <w:b/>
              </w:rPr>
              <w:t>Exposure prevalence,</w:t>
            </w:r>
            <w:r>
              <w:rPr>
                <w:b/>
              </w:rPr>
              <w:br/>
            </w:r>
            <w:r w:rsidRPr="00936322">
              <w:rPr>
                <w:b/>
              </w:rPr>
              <w:t>2006</w:t>
            </w:r>
            <w:r>
              <w:rPr>
                <w:b/>
              </w:rPr>
              <w:t xml:space="preserve"> </w:t>
            </w:r>
            <w:r w:rsidRPr="00936322">
              <w:rPr>
                <w:b/>
              </w:rPr>
              <w:t>(%)</w:t>
            </w:r>
          </w:p>
        </w:tc>
        <w:tc>
          <w:tcPr>
            <w:tcW w:w="2551" w:type="dxa"/>
            <w:tcBorders>
              <w:top w:val="single" w:sz="4" w:space="0" w:color="auto"/>
              <w:bottom w:val="single" w:sz="4" w:space="0" w:color="auto"/>
            </w:tcBorders>
          </w:tcPr>
          <w:p w14:paraId="7D8FD58D" w14:textId="77777777" w:rsidR="00936322" w:rsidRPr="00936322" w:rsidRDefault="00936322" w:rsidP="00EF1E64">
            <w:pPr>
              <w:pStyle w:val="TableText"/>
              <w:jc w:val="center"/>
              <w:rPr>
                <w:b/>
              </w:rPr>
            </w:pPr>
            <w:r w:rsidRPr="00936322">
              <w:rPr>
                <w:b/>
              </w:rPr>
              <w:t>Exposure prevalence,</w:t>
            </w:r>
            <w:r>
              <w:rPr>
                <w:b/>
              </w:rPr>
              <w:br/>
            </w:r>
            <w:r w:rsidRPr="00936322">
              <w:rPr>
                <w:b/>
              </w:rPr>
              <w:t>2012</w:t>
            </w:r>
            <w:r>
              <w:rPr>
                <w:b/>
              </w:rPr>
              <w:t xml:space="preserve"> </w:t>
            </w:r>
            <w:r w:rsidRPr="00936322">
              <w:rPr>
                <w:b/>
              </w:rPr>
              <w:t>(%)</w:t>
            </w:r>
          </w:p>
        </w:tc>
        <w:tc>
          <w:tcPr>
            <w:tcW w:w="2551" w:type="dxa"/>
            <w:tcBorders>
              <w:top w:val="single" w:sz="4" w:space="0" w:color="auto"/>
              <w:bottom w:val="single" w:sz="4" w:space="0" w:color="auto"/>
            </w:tcBorders>
          </w:tcPr>
          <w:p w14:paraId="12007F82" w14:textId="77777777" w:rsidR="00936322" w:rsidRPr="00936322" w:rsidRDefault="00936322" w:rsidP="00EF1E64">
            <w:pPr>
              <w:pStyle w:val="TableText"/>
              <w:jc w:val="center"/>
              <w:rPr>
                <w:b/>
              </w:rPr>
            </w:pPr>
            <w:r w:rsidRPr="00936322">
              <w:rPr>
                <w:b/>
              </w:rPr>
              <w:t>Relative percentage</w:t>
            </w:r>
            <w:r>
              <w:rPr>
                <w:b/>
              </w:rPr>
              <w:br/>
            </w:r>
            <w:r w:rsidRPr="00936322">
              <w:rPr>
                <w:b/>
              </w:rPr>
              <w:t>change</w:t>
            </w:r>
            <w:r>
              <w:rPr>
                <w:b/>
              </w:rPr>
              <w:t xml:space="preserve"> </w:t>
            </w:r>
            <w:r w:rsidRPr="00936322">
              <w:rPr>
                <w:b/>
              </w:rPr>
              <w:t>(%)</w:t>
            </w:r>
          </w:p>
        </w:tc>
      </w:tr>
      <w:tr w:rsidR="00936322" w14:paraId="249678C2" w14:textId="77777777" w:rsidTr="00936322">
        <w:trPr>
          <w:cantSplit/>
        </w:trPr>
        <w:tc>
          <w:tcPr>
            <w:tcW w:w="1701" w:type="dxa"/>
            <w:tcBorders>
              <w:top w:val="single" w:sz="4" w:space="0" w:color="auto"/>
              <w:bottom w:val="single" w:sz="4" w:space="0" w:color="A6A6A6" w:themeColor="background1" w:themeShade="A6"/>
            </w:tcBorders>
            <w:shd w:val="clear" w:color="auto" w:fill="auto"/>
          </w:tcPr>
          <w:p w14:paraId="7C1E4BB7" w14:textId="77777777" w:rsidR="00936322" w:rsidRPr="007B7915" w:rsidRDefault="00936322" w:rsidP="00EF1E64">
            <w:pPr>
              <w:pStyle w:val="TableText"/>
            </w:pPr>
            <w:r w:rsidRPr="007B7915">
              <w:t>Māori</w:t>
            </w:r>
          </w:p>
        </w:tc>
        <w:tc>
          <w:tcPr>
            <w:tcW w:w="2551" w:type="dxa"/>
            <w:tcBorders>
              <w:top w:val="single" w:sz="4" w:space="0" w:color="auto"/>
              <w:bottom w:val="single" w:sz="4" w:space="0" w:color="A6A6A6" w:themeColor="background1" w:themeShade="A6"/>
            </w:tcBorders>
          </w:tcPr>
          <w:p w14:paraId="314BB7D3" w14:textId="77777777" w:rsidR="00936322" w:rsidRPr="007B7915" w:rsidRDefault="00B9430A" w:rsidP="00EF1E64">
            <w:pPr>
              <w:pStyle w:val="TableText"/>
              <w:tabs>
                <w:tab w:val="decimal" w:pos="1276"/>
              </w:tabs>
            </w:pPr>
            <w:r>
              <w:t>16</w:t>
            </w:r>
          </w:p>
        </w:tc>
        <w:tc>
          <w:tcPr>
            <w:tcW w:w="2551" w:type="dxa"/>
            <w:tcBorders>
              <w:top w:val="single" w:sz="4" w:space="0" w:color="auto"/>
              <w:bottom w:val="single" w:sz="4" w:space="0" w:color="A6A6A6" w:themeColor="background1" w:themeShade="A6"/>
            </w:tcBorders>
          </w:tcPr>
          <w:p w14:paraId="40D7D55F" w14:textId="77777777" w:rsidR="00936322" w:rsidRPr="007B7915" w:rsidRDefault="00936322" w:rsidP="00EF1E64">
            <w:pPr>
              <w:pStyle w:val="TableText"/>
              <w:tabs>
                <w:tab w:val="decimal" w:pos="1276"/>
              </w:tabs>
            </w:pPr>
            <w:r>
              <w:t>9</w:t>
            </w:r>
          </w:p>
        </w:tc>
        <w:tc>
          <w:tcPr>
            <w:tcW w:w="2551" w:type="dxa"/>
            <w:tcBorders>
              <w:top w:val="single" w:sz="4" w:space="0" w:color="auto"/>
              <w:bottom w:val="single" w:sz="4" w:space="0" w:color="A6A6A6" w:themeColor="background1" w:themeShade="A6"/>
            </w:tcBorders>
          </w:tcPr>
          <w:p w14:paraId="33216E6F" w14:textId="77777777" w:rsidR="00936322" w:rsidRPr="007B7915" w:rsidRDefault="00B9430A" w:rsidP="00EF1E64">
            <w:pPr>
              <w:pStyle w:val="TableText"/>
              <w:tabs>
                <w:tab w:val="decimal" w:pos="1276"/>
              </w:tabs>
            </w:pPr>
            <w:r>
              <w:t>-42</w:t>
            </w:r>
            <w:r w:rsidR="00936322" w:rsidRPr="007B7915">
              <w:t>*</w:t>
            </w:r>
          </w:p>
        </w:tc>
      </w:tr>
      <w:tr w:rsidR="00936322" w14:paraId="5E2D7DA7"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3BA37B8D" w14:textId="77777777" w:rsidR="00936322" w:rsidRPr="007B7915" w:rsidRDefault="00936322" w:rsidP="00EF1E64">
            <w:pPr>
              <w:pStyle w:val="TableText"/>
            </w:pPr>
            <w:r w:rsidRPr="007B7915">
              <w:t>Pacific</w:t>
            </w:r>
          </w:p>
        </w:tc>
        <w:tc>
          <w:tcPr>
            <w:tcW w:w="2551" w:type="dxa"/>
            <w:tcBorders>
              <w:top w:val="single" w:sz="4" w:space="0" w:color="A6A6A6" w:themeColor="background1" w:themeShade="A6"/>
              <w:bottom w:val="single" w:sz="4" w:space="0" w:color="A6A6A6" w:themeColor="background1" w:themeShade="A6"/>
            </w:tcBorders>
          </w:tcPr>
          <w:p w14:paraId="09C7983B" w14:textId="77777777" w:rsidR="00936322" w:rsidRPr="007B7915" w:rsidRDefault="00B9430A" w:rsidP="00EF1E64">
            <w:pPr>
              <w:pStyle w:val="TableText"/>
              <w:tabs>
                <w:tab w:val="decimal" w:pos="1276"/>
              </w:tabs>
            </w:pPr>
            <w:r>
              <w:t>17</w:t>
            </w:r>
          </w:p>
        </w:tc>
        <w:tc>
          <w:tcPr>
            <w:tcW w:w="2551" w:type="dxa"/>
            <w:tcBorders>
              <w:top w:val="single" w:sz="4" w:space="0" w:color="A6A6A6" w:themeColor="background1" w:themeShade="A6"/>
              <w:bottom w:val="single" w:sz="4" w:space="0" w:color="A6A6A6" w:themeColor="background1" w:themeShade="A6"/>
            </w:tcBorders>
          </w:tcPr>
          <w:p w14:paraId="4927D843" w14:textId="77777777" w:rsidR="00936322" w:rsidRPr="007B7915" w:rsidRDefault="00B9430A" w:rsidP="00EF1E64">
            <w:pPr>
              <w:pStyle w:val="TableText"/>
              <w:tabs>
                <w:tab w:val="decimal" w:pos="1276"/>
              </w:tabs>
            </w:pPr>
            <w:r>
              <w:t>6</w:t>
            </w:r>
          </w:p>
        </w:tc>
        <w:tc>
          <w:tcPr>
            <w:tcW w:w="2551" w:type="dxa"/>
            <w:tcBorders>
              <w:top w:val="single" w:sz="4" w:space="0" w:color="A6A6A6" w:themeColor="background1" w:themeShade="A6"/>
              <w:bottom w:val="single" w:sz="4" w:space="0" w:color="A6A6A6" w:themeColor="background1" w:themeShade="A6"/>
            </w:tcBorders>
          </w:tcPr>
          <w:p w14:paraId="18A07176" w14:textId="77777777" w:rsidR="00936322" w:rsidRPr="007B7915" w:rsidRDefault="00B9430A" w:rsidP="00EF1E64">
            <w:pPr>
              <w:pStyle w:val="TableText"/>
              <w:tabs>
                <w:tab w:val="decimal" w:pos="1276"/>
              </w:tabs>
            </w:pPr>
            <w:r>
              <w:t>-67</w:t>
            </w:r>
            <w:r w:rsidR="00936322" w:rsidRPr="007B7915">
              <w:t>*</w:t>
            </w:r>
          </w:p>
        </w:tc>
      </w:tr>
      <w:tr w:rsidR="00936322" w14:paraId="754C949A"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123A5BF1" w14:textId="77777777" w:rsidR="00936322" w:rsidRPr="007B7915" w:rsidRDefault="00936322" w:rsidP="00936322">
            <w:pPr>
              <w:pStyle w:val="TableText"/>
            </w:pPr>
            <w:r w:rsidRPr="007B7915">
              <w:t>Asian</w:t>
            </w:r>
          </w:p>
        </w:tc>
        <w:tc>
          <w:tcPr>
            <w:tcW w:w="2551" w:type="dxa"/>
            <w:tcBorders>
              <w:top w:val="single" w:sz="4" w:space="0" w:color="A6A6A6" w:themeColor="background1" w:themeShade="A6"/>
              <w:bottom w:val="single" w:sz="4" w:space="0" w:color="A6A6A6" w:themeColor="background1" w:themeShade="A6"/>
            </w:tcBorders>
          </w:tcPr>
          <w:p w14:paraId="63E5F215" w14:textId="77777777" w:rsidR="00936322" w:rsidRPr="007B7915" w:rsidRDefault="00B9430A" w:rsidP="00936322">
            <w:pPr>
              <w:pStyle w:val="TableText"/>
              <w:tabs>
                <w:tab w:val="decimal" w:pos="1276"/>
              </w:tabs>
            </w:pPr>
            <w:r>
              <w:t>9</w:t>
            </w:r>
          </w:p>
        </w:tc>
        <w:tc>
          <w:tcPr>
            <w:tcW w:w="2551" w:type="dxa"/>
            <w:tcBorders>
              <w:top w:val="single" w:sz="4" w:space="0" w:color="A6A6A6" w:themeColor="background1" w:themeShade="A6"/>
              <w:bottom w:val="single" w:sz="4" w:space="0" w:color="A6A6A6" w:themeColor="background1" w:themeShade="A6"/>
            </w:tcBorders>
          </w:tcPr>
          <w:p w14:paraId="0784FF0D" w14:textId="77777777" w:rsidR="00936322" w:rsidRPr="007B7915" w:rsidRDefault="00B9430A" w:rsidP="00936322">
            <w:pPr>
              <w:pStyle w:val="TableText"/>
              <w:tabs>
                <w:tab w:val="decimal" w:pos="1276"/>
              </w:tabs>
            </w:pPr>
            <w:r>
              <w:t>2.4</w:t>
            </w:r>
          </w:p>
        </w:tc>
        <w:tc>
          <w:tcPr>
            <w:tcW w:w="2551" w:type="dxa"/>
            <w:tcBorders>
              <w:top w:val="single" w:sz="4" w:space="0" w:color="A6A6A6" w:themeColor="background1" w:themeShade="A6"/>
              <w:bottom w:val="single" w:sz="4" w:space="0" w:color="A6A6A6" w:themeColor="background1" w:themeShade="A6"/>
            </w:tcBorders>
          </w:tcPr>
          <w:p w14:paraId="14394D06" w14:textId="77777777" w:rsidR="00936322" w:rsidRPr="007B7915" w:rsidRDefault="00936322" w:rsidP="00936322">
            <w:pPr>
              <w:pStyle w:val="TableText"/>
              <w:tabs>
                <w:tab w:val="decimal" w:pos="1276"/>
              </w:tabs>
            </w:pPr>
            <w:r w:rsidRPr="007B7915">
              <w:t>-72*</w:t>
            </w:r>
          </w:p>
        </w:tc>
      </w:tr>
      <w:tr w:rsidR="00936322" w14:paraId="6185E61A"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15EDC558" w14:textId="77777777" w:rsidR="00936322" w:rsidRPr="007B7915" w:rsidRDefault="00936322" w:rsidP="00936322">
            <w:pPr>
              <w:pStyle w:val="TableText"/>
            </w:pPr>
            <w:r w:rsidRPr="007B7915">
              <w:t>European/Other</w:t>
            </w:r>
          </w:p>
        </w:tc>
        <w:tc>
          <w:tcPr>
            <w:tcW w:w="2551" w:type="dxa"/>
            <w:tcBorders>
              <w:top w:val="single" w:sz="4" w:space="0" w:color="A6A6A6" w:themeColor="background1" w:themeShade="A6"/>
              <w:bottom w:val="single" w:sz="4" w:space="0" w:color="A6A6A6" w:themeColor="background1" w:themeShade="A6"/>
            </w:tcBorders>
          </w:tcPr>
          <w:p w14:paraId="5DB87BF0" w14:textId="77777777" w:rsidR="00936322" w:rsidRPr="007B7915" w:rsidRDefault="00936322" w:rsidP="00936322">
            <w:pPr>
              <w:pStyle w:val="TableText"/>
              <w:tabs>
                <w:tab w:val="decimal" w:pos="1276"/>
              </w:tabs>
            </w:pPr>
            <w:r>
              <w:t>7</w:t>
            </w:r>
          </w:p>
        </w:tc>
        <w:tc>
          <w:tcPr>
            <w:tcW w:w="2551" w:type="dxa"/>
            <w:tcBorders>
              <w:top w:val="single" w:sz="4" w:space="0" w:color="A6A6A6" w:themeColor="background1" w:themeShade="A6"/>
              <w:bottom w:val="single" w:sz="4" w:space="0" w:color="A6A6A6" w:themeColor="background1" w:themeShade="A6"/>
            </w:tcBorders>
          </w:tcPr>
          <w:p w14:paraId="09777E28" w14:textId="77777777" w:rsidR="00936322" w:rsidRPr="007B7915" w:rsidRDefault="00B9430A" w:rsidP="00936322">
            <w:pPr>
              <w:pStyle w:val="TableText"/>
              <w:tabs>
                <w:tab w:val="decimal" w:pos="1276"/>
              </w:tabs>
            </w:pPr>
            <w:r>
              <w:t>3.4</w:t>
            </w:r>
          </w:p>
        </w:tc>
        <w:tc>
          <w:tcPr>
            <w:tcW w:w="2551" w:type="dxa"/>
            <w:tcBorders>
              <w:top w:val="single" w:sz="4" w:space="0" w:color="A6A6A6" w:themeColor="background1" w:themeShade="A6"/>
              <w:bottom w:val="single" w:sz="4" w:space="0" w:color="A6A6A6" w:themeColor="background1" w:themeShade="A6"/>
            </w:tcBorders>
          </w:tcPr>
          <w:p w14:paraId="482F8173" w14:textId="77777777" w:rsidR="00936322" w:rsidRPr="007B7915" w:rsidRDefault="00B9430A" w:rsidP="00936322">
            <w:pPr>
              <w:pStyle w:val="TableText"/>
              <w:tabs>
                <w:tab w:val="decimal" w:pos="1276"/>
              </w:tabs>
            </w:pPr>
            <w:r>
              <w:t>-49</w:t>
            </w:r>
            <w:r w:rsidR="00936322" w:rsidRPr="007B7915">
              <w:t>*</w:t>
            </w:r>
          </w:p>
        </w:tc>
      </w:tr>
      <w:tr w:rsidR="00936322" w14:paraId="4F3AD3C6" w14:textId="77777777" w:rsidTr="00936322">
        <w:trPr>
          <w:cantSplit/>
        </w:trPr>
        <w:tc>
          <w:tcPr>
            <w:tcW w:w="1701" w:type="dxa"/>
            <w:tcBorders>
              <w:top w:val="single" w:sz="4" w:space="0" w:color="A6A6A6" w:themeColor="background1" w:themeShade="A6"/>
            </w:tcBorders>
            <w:shd w:val="clear" w:color="auto" w:fill="auto"/>
          </w:tcPr>
          <w:p w14:paraId="68D95EAA" w14:textId="77777777" w:rsidR="00936322" w:rsidRPr="007B7915" w:rsidRDefault="00936322" w:rsidP="00936322">
            <w:pPr>
              <w:pStyle w:val="TableText"/>
            </w:pPr>
            <w:r>
              <w:t>All</w:t>
            </w:r>
          </w:p>
        </w:tc>
        <w:tc>
          <w:tcPr>
            <w:tcW w:w="2551" w:type="dxa"/>
            <w:tcBorders>
              <w:top w:val="single" w:sz="4" w:space="0" w:color="A6A6A6" w:themeColor="background1" w:themeShade="A6"/>
            </w:tcBorders>
          </w:tcPr>
          <w:p w14:paraId="76119D2F" w14:textId="77777777" w:rsidR="00936322" w:rsidRPr="007B7915" w:rsidRDefault="00936322" w:rsidP="00936322">
            <w:pPr>
              <w:pStyle w:val="TableText"/>
              <w:tabs>
                <w:tab w:val="decimal" w:pos="1276"/>
              </w:tabs>
            </w:pPr>
            <w:r>
              <w:t>8</w:t>
            </w:r>
          </w:p>
        </w:tc>
        <w:tc>
          <w:tcPr>
            <w:tcW w:w="2551" w:type="dxa"/>
            <w:tcBorders>
              <w:top w:val="single" w:sz="4" w:space="0" w:color="A6A6A6" w:themeColor="background1" w:themeShade="A6"/>
            </w:tcBorders>
          </w:tcPr>
          <w:p w14:paraId="1CC816D4" w14:textId="77777777" w:rsidR="00936322" w:rsidRPr="007B7915" w:rsidRDefault="00B9430A" w:rsidP="00936322">
            <w:pPr>
              <w:pStyle w:val="TableText"/>
              <w:tabs>
                <w:tab w:val="decimal" w:pos="1276"/>
              </w:tabs>
            </w:pPr>
            <w:r>
              <w:t>3.7</w:t>
            </w:r>
          </w:p>
        </w:tc>
        <w:tc>
          <w:tcPr>
            <w:tcW w:w="2551" w:type="dxa"/>
            <w:tcBorders>
              <w:top w:val="single" w:sz="4" w:space="0" w:color="A6A6A6" w:themeColor="background1" w:themeShade="A6"/>
            </w:tcBorders>
          </w:tcPr>
          <w:p w14:paraId="43207525" w14:textId="77777777" w:rsidR="00936322" w:rsidRPr="007B7915" w:rsidRDefault="00B9430A" w:rsidP="00936322">
            <w:pPr>
              <w:pStyle w:val="TableText"/>
              <w:tabs>
                <w:tab w:val="decimal" w:pos="1276"/>
              </w:tabs>
            </w:pPr>
            <w:r>
              <w:t>-52</w:t>
            </w:r>
            <w:r w:rsidR="00936322">
              <w:t>*</w:t>
            </w:r>
          </w:p>
        </w:tc>
      </w:tr>
    </w:tbl>
    <w:p w14:paraId="1EDB29C6" w14:textId="77777777" w:rsidR="00735227" w:rsidRPr="00D770F7" w:rsidRDefault="00735227" w:rsidP="00936322">
      <w:pPr>
        <w:pStyle w:val="TableNote"/>
      </w:pPr>
      <w:r>
        <w:t>Sources: 2006 = 2006/07 NZHS; 2012 = 2012/13 NZHS</w:t>
      </w:r>
    </w:p>
    <w:p w14:paraId="58DE5869" w14:textId="77777777" w:rsidR="00735227" w:rsidRPr="00DE22AF" w:rsidRDefault="00735227" w:rsidP="00936322">
      <w:pPr>
        <w:pStyle w:val="TableNote"/>
      </w:pPr>
      <w:r>
        <w:t>*</w:t>
      </w:r>
      <w:r w:rsidR="00936322">
        <w:tab/>
      </w:r>
      <w:r>
        <w:t>There is a statistically significant difference (p&lt;0.05) between the two prevalences in 2006 and 2012.</w:t>
      </w:r>
    </w:p>
    <w:p w14:paraId="64F298EC" w14:textId="77777777" w:rsidR="00735227" w:rsidRDefault="00735227" w:rsidP="00936322"/>
    <w:p w14:paraId="49E17B56" w14:textId="77777777" w:rsidR="007066D2" w:rsidRDefault="00735227" w:rsidP="00936322">
      <w:r>
        <w:t>For non-smoking adults, the prevalence of their SHS exposure in the car they usually tra</w:t>
      </w:r>
      <w:r w:rsidR="00B9430A">
        <w:t>velled in was almost halved (3.3</w:t>
      </w:r>
      <w:r>
        <w:t>%) compared with the 2006 level (</w:t>
      </w:r>
      <w:r w:rsidR="00B9430A">
        <w:t>6</w:t>
      </w:r>
      <w:r>
        <w:t>%) (Table 31).</w:t>
      </w:r>
    </w:p>
    <w:p w14:paraId="6A4577C5" w14:textId="77777777" w:rsidR="00735227" w:rsidRDefault="00735227" w:rsidP="00936322"/>
    <w:p w14:paraId="06109F21" w14:textId="77777777" w:rsidR="00735227" w:rsidRPr="006A5A5E" w:rsidRDefault="00735227" w:rsidP="00936322">
      <w:r>
        <w:t xml:space="preserve">Between 2006 and 2012, the largest relative decline in the prevalence of SHS exposure in the car occurred in the Asian group (64%), with the European/Other </w:t>
      </w:r>
      <w:r w:rsidR="00B9430A">
        <w:t>and Māori groups following at 47% and 44</w:t>
      </w:r>
      <w:r>
        <w:t>% respectively (Table 31).</w:t>
      </w:r>
    </w:p>
    <w:p w14:paraId="46B5714E" w14:textId="77777777" w:rsidR="00735227" w:rsidRDefault="00735227" w:rsidP="00936322"/>
    <w:p w14:paraId="39C89FA4" w14:textId="08D861A7" w:rsidR="00735227" w:rsidRDefault="00735227" w:rsidP="00936322">
      <w:pPr>
        <w:pStyle w:val="Table"/>
      </w:pPr>
      <w:bookmarkStart w:id="253" w:name="_Toc399920542"/>
      <w:bookmarkStart w:id="254" w:name="_Toc404091131"/>
      <w:r>
        <w:t xml:space="preserve">Table </w:t>
      </w:r>
      <w:r w:rsidR="00936322">
        <w:t>31</w:t>
      </w:r>
      <w:r w:rsidRPr="00B756E2">
        <w:t>:</w:t>
      </w:r>
      <w:r w:rsidR="00936322">
        <w:t xml:space="preserve"> </w:t>
      </w:r>
      <w:r w:rsidRPr="00B756E2">
        <w:t xml:space="preserve">Changes in </w:t>
      </w:r>
      <w:r w:rsidR="00B7465A">
        <w:t>SHS</w:t>
      </w:r>
      <w:r w:rsidR="00B7465A" w:rsidRPr="00B756E2">
        <w:t xml:space="preserve"> </w:t>
      </w:r>
      <w:r w:rsidRPr="00B756E2">
        <w:t>exposure prevalence in the car by ethnicity between 2006 and 2012</w:t>
      </w:r>
      <w:bookmarkEnd w:id="253"/>
      <w:bookmarkEnd w:id="254"/>
    </w:p>
    <w:tbl>
      <w:tblPr>
        <w:tblW w:w="9354"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2551"/>
        <w:gridCol w:w="2551"/>
        <w:gridCol w:w="2551"/>
      </w:tblGrid>
      <w:tr w:rsidR="00936322" w:rsidRPr="00936322" w14:paraId="4DCE7E18" w14:textId="77777777" w:rsidTr="00936322">
        <w:trPr>
          <w:cantSplit/>
        </w:trPr>
        <w:tc>
          <w:tcPr>
            <w:tcW w:w="1701" w:type="dxa"/>
            <w:tcBorders>
              <w:top w:val="single" w:sz="4" w:space="0" w:color="auto"/>
              <w:bottom w:val="single" w:sz="4" w:space="0" w:color="auto"/>
            </w:tcBorders>
            <w:shd w:val="clear" w:color="auto" w:fill="auto"/>
          </w:tcPr>
          <w:p w14:paraId="60A13C67" w14:textId="77777777" w:rsidR="00936322" w:rsidRPr="00810D5F" w:rsidRDefault="00936322" w:rsidP="00936322">
            <w:pPr>
              <w:pStyle w:val="TableText"/>
              <w:keepNext/>
              <w:rPr>
                <w:b/>
              </w:rPr>
            </w:pPr>
            <w:r w:rsidRPr="00810D5F">
              <w:rPr>
                <w:b/>
              </w:rPr>
              <w:t>Ethnic group</w:t>
            </w:r>
          </w:p>
        </w:tc>
        <w:tc>
          <w:tcPr>
            <w:tcW w:w="2551" w:type="dxa"/>
            <w:tcBorders>
              <w:top w:val="single" w:sz="4" w:space="0" w:color="auto"/>
              <w:bottom w:val="single" w:sz="4" w:space="0" w:color="auto"/>
            </w:tcBorders>
          </w:tcPr>
          <w:p w14:paraId="249735DA" w14:textId="77777777" w:rsidR="00936322" w:rsidRPr="00936322" w:rsidRDefault="00936322" w:rsidP="00936322">
            <w:pPr>
              <w:pStyle w:val="TableText"/>
              <w:jc w:val="center"/>
              <w:rPr>
                <w:b/>
              </w:rPr>
            </w:pPr>
            <w:r w:rsidRPr="00936322">
              <w:rPr>
                <w:b/>
              </w:rPr>
              <w:t>Exposure prevalence,</w:t>
            </w:r>
            <w:r>
              <w:rPr>
                <w:b/>
              </w:rPr>
              <w:br/>
            </w:r>
            <w:r w:rsidRPr="00936322">
              <w:rPr>
                <w:b/>
              </w:rPr>
              <w:t>2006</w:t>
            </w:r>
            <w:r>
              <w:rPr>
                <w:b/>
              </w:rPr>
              <w:t xml:space="preserve"> </w:t>
            </w:r>
            <w:r w:rsidRPr="00936322">
              <w:rPr>
                <w:b/>
              </w:rPr>
              <w:t>(%)</w:t>
            </w:r>
          </w:p>
        </w:tc>
        <w:tc>
          <w:tcPr>
            <w:tcW w:w="2551" w:type="dxa"/>
            <w:tcBorders>
              <w:top w:val="single" w:sz="4" w:space="0" w:color="auto"/>
              <w:bottom w:val="single" w:sz="4" w:space="0" w:color="auto"/>
            </w:tcBorders>
          </w:tcPr>
          <w:p w14:paraId="57F9BE64" w14:textId="77777777" w:rsidR="00936322" w:rsidRPr="00936322" w:rsidRDefault="00936322" w:rsidP="00936322">
            <w:pPr>
              <w:pStyle w:val="TableText"/>
              <w:jc w:val="center"/>
              <w:rPr>
                <w:b/>
              </w:rPr>
            </w:pPr>
            <w:r w:rsidRPr="00936322">
              <w:rPr>
                <w:b/>
              </w:rPr>
              <w:t>Exposure prevalence,</w:t>
            </w:r>
            <w:r>
              <w:rPr>
                <w:b/>
              </w:rPr>
              <w:br/>
            </w:r>
            <w:r w:rsidRPr="00936322">
              <w:rPr>
                <w:b/>
              </w:rPr>
              <w:t>2012</w:t>
            </w:r>
            <w:r>
              <w:rPr>
                <w:b/>
              </w:rPr>
              <w:t xml:space="preserve"> </w:t>
            </w:r>
            <w:r w:rsidRPr="00936322">
              <w:rPr>
                <w:b/>
              </w:rPr>
              <w:t>(%)</w:t>
            </w:r>
          </w:p>
        </w:tc>
        <w:tc>
          <w:tcPr>
            <w:tcW w:w="2551" w:type="dxa"/>
            <w:tcBorders>
              <w:top w:val="single" w:sz="4" w:space="0" w:color="auto"/>
              <w:bottom w:val="single" w:sz="4" w:space="0" w:color="auto"/>
            </w:tcBorders>
          </w:tcPr>
          <w:p w14:paraId="2309E622" w14:textId="77777777" w:rsidR="00936322" w:rsidRPr="00936322" w:rsidRDefault="00936322" w:rsidP="00936322">
            <w:pPr>
              <w:pStyle w:val="TableText"/>
              <w:jc w:val="center"/>
              <w:rPr>
                <w:b/>
              </w:rPr>
            </w:pPr>
            <w:r w:rsidRPr="00936322">
              <w:rPr>
                <w:b/>
              </w:rPr>
              <w:t>Relative percentage</w:t>
            </w:r>
            <w:r>
              <w:rPr>
                <w:b/>
              </w:rPr>
              <w:br/>
            </w:r>
            <w:r w:rsidRPr="00936322">
              <w:rPr>
                <w:b/>
              </w:rPr>
              <w:t>change</w:t>
            </w:r>
            <w:r>
              <w:rPr>
                <w:b/>
              </w:rPr>
              <w:t xml:space="preserve"> </w:t>
            </w:r>
            <w:r w:rsidRPr="00936322">
              <w:rPr>
                <w:b/>
              </w:rPr>
              <w:t>(%)</w:t>
            </w:r>
          </w:p>
        </w:tc>
      </w:tr>
      <w:tr w:rsidR="00936322" w:rsidRPr="007B7915" w14:paraId="32CB4CFD" w14:textId="77777777" w:rsidTr="00936322">
        <w:trPr>
          <w:cantSplit/>
        </w:trPr>
        <w:tc>
          <w:tcPr>
            <w:tcW w:w="1701" w:type="dxa"/>
            <w:tcBorders>
              <w:top w:val="single" w:sz="4" w:space="0" w:color="auto"/>
              <w:bottom w:val="single" w:sz="4" w:space="0" w:color="A6A6A6" w:themeColor="background1" w:themeShade="A6"/>
            </w:tcBorders>
            <w:shd w:val="clear" w:color="auto" w:fill="auto"/>
          </w:tcPr>
          <w:p w14:paraId="05C82D19" w14:textId="77777777" w:rsidR="00936322" w:rsidRPr="007B7915" w:rsidRDefault="00936322" w:rsidP="00936322">
            <w:pPr>
              <w:pStyle w:val="TableText"/>
              <w:keepNext/>
            </w:pPr>
            <w:r w:rsidRPr="007B7915">
              <w:t>Māori</w:t>
            </w:r>
          </w:p>
        </w:tc>
        <w:tc>
          <w:tcPr>
            <w:tcW w:w="2551" w:type="dxa"/>
            <w:tcBorders>
              <w:top w:val="single" w:sz="4" w:space="0" w:color="auto"/>
              <w:bottom w:val="single" w:sz="4" w:space="0" w:color="A6A6A6" w:themeColor="background1" w:themeShade="A6"/>
            </w:tcBorders>
          </w:tcPr>
          <w:p w14:paraId="6B76CB68" w14:textId="77777777" w:rsidR="00936322" w:rsidRPr="007B7915" w:rsidRDefault="00B9430A" w:rsidP="00936322">
            <w:pPr>
              <w:pStyle w:val="TableText"/>
              <w:tabs>
                <w:tab w:val="decimal" w:pos="1361"/>
              </w:tabs>
            </w:pPr>
            <w:r>
              <w:t>14</w:t>
            </w:r>
          </w:p>
        </w:tc>
        <w:tc>
          <w:tcPr>
            <w:tcW w:w="2551" w:type="dxa"/>
            <w:tcBorders>
              <w:top w:val="single" w:sz="4" w:space="0" w:color="auto"/>
              <w:bottom w:val="single" w:sz="4" w:space="0" w:color="A6A6A6" w:themeColor="background1" w:themeShade="A6"/>
            </w:tcBorders>
          </w:tcPr>
          <w:p w14:paraId="47663EE1" w14:textId="77777777" w:rsidR="00936322" w:rsidRPr="007B7915" w:rsidRDefault="00936322" w:rsidP="00936322">
            <w:pPr>
              <w:pStyle w:val="TableText"/>
              <w:tabs>
                <w:tab w:val="decimal" w:pos="1361"/>
              </w:tabs>
            </w:pPr>
            <w:r>
              <w:t>8</w:t>
            </w:r>
          </w:p>
        </w:tc>
        <w:tc>
          <w:tcPr>
            <w:tcW w:w="2551" w:type="dxa"/>
            <w:tcBorders>
              <w:top w:val="single" w:sz="4" w:space="0" w:color="auto"/>
              <w:bottom w:val="single" w:sz="4" w:space="0" w:color="A6A6A6" w:themeColor="background1" w:themeShade="A6"/>
            </w:tcBorders>
          </w:tcPr>
          <w:p w14:paraId="38871F5F" w14:textId="77777777" w:rsidR="00936322" w:rsidRPr="007B7915" w:rsidRDefault="00B9430A" w:rsidP="00936322">
            <w:pPr>
              <w:pStyle w:val="TableText"/>
              <w:tabs>
                <w:tab w:val="decimal" w:pos="1361"/>
              </w:tabs>
            </w:pPr>
            <w:r>
              <w:t>-44</w:t>
            </w:r>
            <w:r w:rsidR="00936322" w:rsidRPr="007B7915">
              <w:t>*</w:t>
            </w:r>
          </w:p>
        </w:tc>
      </w:tr>
      <w:tr w:rsidR="00936322" w:rsidRPr="007B7915" w14:paraId="247EA5EA"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3C5558B5" w14:textId="77777777" w:rsidR="00936322" w:rsidRPr="007B7915" w:rsidRDefault="00936322" w:rsidP="00936322">
            <w:pPr>
              <w:pStyle w:val="TableText"/>
              <w:keepNext/>
            </w:pPr>
            <w:r w:rsidRPr="007B7915">
              <w:t>Pacific</w:t>
            </w:r>
          </w:p>
        </w:tc>
        <w:tc>
          <w:tcPr>
            <w:tcW w:w="2551" w:type="dxa"/>
            <w:tcBorders>
              <w:top w:val="single" w:sz="4" w:space="0" w:color="A6A6A6" w:themeColor="background1" w:themeShade="A6"/>
              <w:bottom w:val="single" w:sz="4" w:space="0" w:color="A6A6A6" w:themeColor="background1" w:themeShade="A6"/>
            </w:tcBorders>
          </w:tcPr>
          <w:p w14:paraId="3138E694" w14:textId="77777777" w:rsidR="00936322" w:rsidRPr="007B7915" w:rsidRDefault="00B9430A" w:rsidP="00936322">
            <w:pPr>
              <w:pStyle w:val="TableText"/>
              <w:tabs>
                <w:tab w:val="decimal" w:pos="1361"/>
              </w:tabs>
            </w:pPr>
            <w:r>
              <w:t>11</w:t>
            </w:r>
          </w:p>
        </w:tc>
        <w:tc>
          <w:tcPr>
            <w:tcW w:w="2551" w:type="dxa"/>
            <w:tcBorders>
              <w:top w:val="single" w:sz="4" w:space="0" w:color="A6A6A6" w:themeColor="background1" w:themeShade="A6"/>
              <w:bottom w:val="single" w:sz="4" w:space="0" w:color="A6A6A6" w:themeColor="background1" w:themeShade="A6"/>
            </w:tcBorders>
          </w:tcPr>
          <w:p w14:paraId="6EF298E6" w14:textId="77777777" w:rsidR="00936322" w:rsidRPr="007B7915" w:rsidRDefault="00B9430A" w:rsidP="00936322">
            <w:pPr>
              <w:pStyle w:val="TableText"/>
              <w:tabs>
                <w:tab w:val="decimal" w:pos="1361"/>
              </w:tabs>
            </w:pPr>
            <w:r>
              <w:t>8</w:t>
            </w:r>
          </w:p>
        </w:tc>
        <w:tc>
          <w:tcPr>
            <w:tcW w:w="2551" w:type="dxa"/>
            <w:tcBorders>
              <w:top w:val="single" w:sz="4" w:space="0" w:color="A6A6A6" w:themeColor="background1" w:themeShade="A6"/>
              <w:bottom w:val="single" w:sz="4" w:space="0" w:color="A6A6A6" w:themeColor="background1" w:themeShade="A6"/>
            </w:tcBorders>
          </w:tcPr>
          <w:p w14:paraId="6BE0A74A" w14:textId="77777777" w:rsidR="00936322" w:rsidRPr="007B7915" w:rsidRDefault="00B9430A" w:rsidP="00936322">
            <w:pPr>
              <w:pStyle w:val="TableText"/>
              <w:tabs>
                <w:tab w:val="decimal" w:pos="1361"/>
              </w:tabs>
            </w:pPr>
            <w:r>
              <w:t>-30</w:t>
            </w:r>
          </w:p>
        </w:tc>
      </w:tr>
      <w:tr w:rsidR="00936322" w:rsidRPr="007B7915" w14:paraId="6EA05DEB"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29AFC85E" w14:textId="77777777" w:rsidR="00936322" w:rsidRPr="007B7915" w:rsidRDefault="00936322" w:rsidP="00936322">
            <w:pPr>
              <w:pStyle w:val="TableText"/>
            </w:pPr>
            <w:r w:rsidRPr="007B7915">
              <w:t>Asian</w:t>
            </w:r>
          </w:p>
        </w:tc>
        <w:tc>
          <w:tcPr>
            <w:tcW w:w="2551" w:type="dxa"/>
            <w:tcBorders>
              <w:top w:val="single" w:sz="4" w:space="0" w:color="A6A6A6" w:themeColor="background1" w:themeShade="A6"/>
              <w:bottom w:val="single" w:sz="4" w:space="0" w:color="A6A6A6" w:themeColor="background1" w:themeShade="A6"/>
            </w:tcBorders>
          </w:tcPr>
          <w:p w14:paraId="57A68721" w14:textId="77777777" w:rsidR="00936322" w:rsidRPr="007B7915" w:rsidRDefault="00B9430A" w:rsidP="00936322">
            <w:pPr>
              <w:pStyle w:val="TableText"/>
              <w:tabs>
                <w:tab w:val="decimal" w:pos="1361"/>
              </w:tabs>
            </w:pPr>
            <w:r>
              <w:t>7</w:t>
            </w:r>
          </w:p>
        </w:tc>
        <w:tc>
          <w:tcPr>
            <w:tcW w:w="2551" w:type="dxa"/>
            <w:tcBorders>
              <w:top w:val="single" w:sz="4" w:space="0" w:color="A6A6A6" w:themeColor="background1" w:themeShade="A6"/>
              <w:bottom w:val="single" w:sz="4" w:space="0" w:color="A6A6A6" w:themeColor="background1" w:themeShade="A6"/>
            </w:tcBorders>
          </w:tcPr>
          <w:p w14:paraId="2A9AD3AF" w14:textId="77777777" w:rsidR="00936322" w:rsidRPr="007B7915" w:rsidRDefault="00936322" w:rsidP="00936322">
            <w:pPr>
              <w:pStyle w:val="TableText"/>
              <w:tabs>
                <w:tab w:val="decimal" w:pos="1361"/>
              </w:tabs>
            </w:pPr>
            <w:r>
              <w:t>2</w:t>
            </w:r>
            <w:r w:rsidR="00B9430A">
              <w:t>.4</w:t>
            </w:r>
          </w:p>
        </w:tc>
        <w:tc>
          <w:tcPr>
            <w:tcW w:w="2551" w:type="dxa"/>
            <w:tcBorders>
              <w:top w:val="single" w:sz="4" w:space="0" w:color="A6A6A6" w:themeColor="background1" w:themeShade="A6"/>
              <w:bottom w:val="single" w:sz="4" w:space="0" w:color="A6A6A6" w:themeColor="background1" w:themeShade="A6"/>
            </w:tcBorders>
          </w:tcPr>
          <w:p w14:paraId="10B79A1F" w14:textId="77777777" w:rsidR="00936322" w:rsidRPr="007B7915" w:rsidRDefault="00936322" w:rsidP="00936322">
            <w:pPr>
              <w:pStyle w:val="TableText"/>
              <w:tabs>
                <w:tab w:val="decimal" w:pos="1361"/>
              </w:tabs>
            </w:pPr>
            <w:r w:rsidRPr="007B7915">
              <w:t>-64*</w:t>
            </w:r>
          </w:p>
        </w:tc>
      </w:tr>
      <w:tr w:rsidR="00936322" w:rsidRPr="007B7915" w14:paraId="34F57A82"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193FE53A" w14:textId="77777777" w:rsidR="00936322" w:rsidRPr="007B7915" w:rsidRDefault="00936322" w:rsidP="00936322">
            <w:pPr>
              <w:pStyle w:val="TableText"/>
            </w:pPr>
            <w:r w:rsidRPr="007B7915">
              <w:t>European/Other</w:t>
            </w:r>
          </w:p>
        </w:tc>
        <w:tc>
          <w:tcPr>
            <w:tcW w:w="2551" w:type="dxa"/>
            <w:tcBorders>
              <w:top w:val="single" w:sz="4" w:space="0" w:color="A6A6A6" w:themeColor="background1" w:themeShade="A6"/>
              <w:bottom w:val="single" w:sz="4" w:space="0" w:color="A6A6A6" w:themeColor="background1" w:themeShade="A6"/>
            </w:tcBorders>
          </w:tcPr>
          <w:p w14:paraId="4349A86E" w14:textId="77777777" w:rsidR="00936322" w:rsidRPr="007B7915" w:rsidRDefault="00B9430A" w:rsidP="00936322">
            <w:pPr>
              <w:pStyle w:val="TableText"/>
              <w:tabs>
                <w:tab w:val="decimal" w:pos="1361"/>
              </w:tabs>
            </w:pPr>
            <w:r>
              <w:t>5</w:t>
            </w:r>
          </w:p>
        </w:tc>
        <w:tc>
          <w:tcPr>
            <w:tcW w:w="2551" w:type="dxa"/>
            <w:tcBorders>
              <w:top w:val="single" w:sz="4" w:space="0" w:color="A6A6A6" w:themeColor="background1" w:themeShade="A6"/>
              <w:bottom w:val="single" w:sz="4" w:space="0" w:color="A6A6A6" w:themeColor="background1" w:themeShade="A6"/>
            </w:tcBorders>
          </w:tcPr>
          <w:p w14:paraId="7BCF4CF0" w14:textId="77777777" w:rsidR="00936322" w:rsidRPr="007B7915" w:rsidRDefault="00B9430A" w:rsidP="00936322">
            <w:pPr>
              <w:pStyle w:val="TableText"/>
              <w:tabs>
                <w:tab w:val="decimal" w:pos="1361"/>
              </w:tabs>
            </w:pPr>
            <w:r>
              <w:t>2.9</w:t>
            </w:r>
          </w:p>
        </w:tc>
        <w:tc>
          <w:tcPr>
            <w:tcW w:w="2551" w:type="dxa"/>
            <w:tcBorders>
              <w:top w:val="single" w:sz="4" w:space="0" w:color="A6A6A6" w:themeColor="background1" w:themeShade="A6"/>
              <w:bottom w:val="single" w:sz="4" w:space="0" w:color="A6A6A6" w:themeColor="background1" w:themeShade="A6"/>
            </w:tcBorders>
          </w:tcPr>
          <w:p w14:paraId="5AC7903E" w14:textId="77777777" w:rsidR="00936322" w:rsidRPr="007B7915" w:rsidRDefault="00B9430A" w:rsidP="00936322">
            <w:pPr>
              <w:pStyle w:val="TableText"/>
              <w:tabs>
                <w:tab w:val="decimal" w:pos="1361"/>
              </w:tabs>
            </w:pPr>
            <w:r>
              <w:t>-47</w:t>
            </w:r>
            <w:r w:rsidR="00936322" w:rsidRPr="007B7915">
              <w:t>*</w:t>
            </w:r>
          </w:p>
        </w:tc>
      </w:tr>
      <w:tr w:rsidR="00936322" w:rsidRPr="007B7915" w14:paraId="0B046982" w14:textId="77777777" w:rsidTr="00936322">
        <w:trPr>
          <w:cantSplit/>
        </w:trPr>
        <w:tc>
          <w:tcPr>
            <w:tcW w:w="1701" w:type="dxa"/>
            <w:tcBorders>
              <w:top w:val="single" w:sz="4" w:space="0" w:color="A6A6A6" w:themeColor="background1" w:themeShade="A6"/>
            </w:tcBorders>
            <w:shd w:val="clear" w:color="auto" w:fill="auto"/>
          </w:tcPr>
          <w:p w14:paraId="48699ADA" w14:textId="77777777" w:rsidR="00936322" w:rsidRPr="007B7915" w:rsidRDefault="00936322" w:rsidP="00936322">
            <w:pPr>
              <w:pStyle w:val="TableText"/>
            </w:pPr>
            <w:r>
              <w:t>All</w:t>
            </w:r>
          </w:p>
        </w:tc>
        <w:tc>
          <w:tcPr>
            <w:tcW w:w="2551" w:type="dxa"/>
            <w:tcBorders>
              <w:top w:val="single" w:sz="4" w:space="0" w:color="A6A6A6" w:themeColor="background1" w:themeShade="A6"/>
            </w:tcBorders>
          </w:tcPr>
          <w:p w14:paraId="16667DEE" w14:textId="77777777" w:rsidR="00936322" w:rsidRPr="007B7915" w:rsidRDefault="00B9430A" w:rsidP="00936322">
            <w:pPr>
              <w:pStyle w:val="TableText"/>
              <w:tabs>
                <w:tab w:val="decimal" w:pos="1361"/>
              </w:tabs>
            </w:pPr>
            <w:r>
              <w:t>6</w:t>
            </w:r>
          </w:p>
        </w:tc>
        <w:tc>
          <w:tcPr>
            <w:tcW w:w="2551" w:type="dxa"/>
            <w:tcBorders>
              <w:top w:val="single" w:sz="4" w:space="0" w:color="A6A6A6" w:themeColor="background1" w:themeShade="A6"/>
            </w:tcBorders>
          </w:tcPr>
          <w:p w14:paraId="74F9DA0A" w14:textId="77777777" w:rsidR="00936322" w:rsidRPr="007B7915" w:rsidRDefault="00B9430A" w:rsidP="00936322">
            <w:pPr>
              <w:pStyle w:val="TableText"/>
              <w:tabs>
                <w:tab w:val="decimal" w:pos="1361"/>
              </w:tabs>
            </w:pPr>
            <w:r>
              <w:t>3.3</w:t>
            </w:r>
          </w:p>
        </w:tc>
        <w:tc>
          <w:tcPr>
            <w:tcW w:w="2551" w:type="dxa"/>
            <w:tcBorders>
              <w:top w:val="single" w:sz="4" w:space="0" w:color="A6A6A6" w:themeColor="background1" w:themeShade="A6"/>
            </w:tcBorders>
          </w:tcPr>
          <w:p w14:paraId="302EB5E2" w14:textId="77777777" w:rsidR="00936322" w:rsidRPr="007B7915" w:rsidRDefault="00B9430A" w:rsidP="00936322">
            <w:pPr>
              <w:pStyle w:val="TableText"/>
              <w:tabs>
                <w:tab w:val="decimal" w:pos="1361"/>
              </w:tabs>
            </w:pPr>
            <w:r>
              <w:t>-46</w:t>
            </w:r>
            <w:r w:rsidR="00936322">
              <w:t>*</w:t>
            </w:r>
          </w:p>
        </w:tc>
      </w:tr>
    </w:tbl>
    <w:p w14:paraId="435061DD" w14:textId="77777777" w:rsidR="00735227" w:rsidRPr="00D770F7" w:rsidRDefault="00735227" w:rsidP="00936322">
      <w:pPr>
        <w:pStyle w:val="TableNote"/>
      </w:pPr>
      <w:r>
        <w:t>Sources: 2006 = 2006/07 NZHS; 2012 = 2012/13 NZHS</w:t>
      </w:r>
    </w:p>
    <w:p w14:paraId="7DC7399E" w14:textId="77777777" w:rsidR="00735227" w:rsidRPr="00DE22AF" w:rsidRDefault="00735227" w:rsidP="00936322">
      <w:pPr>
        <w:pStyle w:val="TableNote"/>
      </w:pPr>
      <w:r>
        <w:t>*</w:t>
      </w:r>
      <w:r w:rsidR="00936322">
        <w:tab/>
      </w:r>
      <w:r>
        <w:t>There is a statistically significant difference (p&lt;0.05) between the two prevalences in 2006 and 2012.</w:t>
      </w:r>
    </w:p>
    <w:p w14:paraId="5EFA5689" w14:textId="77777777" w:rsidR="00735227" w:rsidRDefault="00735227" w:rsidP="00936322">
      <w:bookmarkStart w:id="255" w:name="_Toc390178316"/>
    </w:p>
    <w:p w14:paraId="44D6B497" w14:textId="3DEBD8BD" w:rsidR="007066D2" w:rsidRDefault="00735227" w:rsidP="00936322">
      <w:pPr>
        <w:pStyle w:val="Heading2"/>
      </w:pPr>
      <w:bookmarkStart w:id="256" w:name="_Toc400136649"/>
      <w:bookmarkStart w:id="257" w:name="_Toc404091097"/>
      <w:r w:rsidRPr="00FB434A">
        <w:t>Children</w:t>
      </w:r>
      <w:r w:rsidR="00AA2408">
        <w:t>’</w:t>
      </w:r>
      <w:r w:rsidRPr="00FB434A">
        <w:t>s exposure to SHS</w:t>
      </w:r>
      <w:bookmarkEnd w:id="255"/>
      <w:bookmarkEnd w:id="256"/>
      <w:bookmarkEnd w:id="257"/>
    </w:p>
    <w:p w14:paraId="7BDAD121" w14:textId="21C1CC7F" w:rsidR="007066D2" w:rsidRDefault="00735227" w:rsidP="00936322">
      <w:r>
        <w:t>Child interviews we</w:t>
      </w:r>
      <w:r w:rsidRPr="00CC7E24">
        <w:t>re conducted with a guardia</w:t>
      </w:r>
      <w:r>
        <w:t xml:space="preserve">n or </w:t>
      </w:r>
      <w:r w:rsidRPr="00CC7E24">
        <w:t xml:space="preserve">primary caregiver of the </w:t>
      </w:r>
      <w:r>
        <w:t>child; that is, a person who had</w:t>
      </w:r>
      <w:r w:rsidRPr="00CC7E24">
        <w:t xml:space="preserve"> day-to-day responsibility for the care of the child.</w:t>
      </w:r>
      <w:r>
        <w:t xml:space="preserve"> The following two questions were asked: </w:t>
      </w:r>
      <w:r w:rsidR="00AA2408">
        <w:t>‘</w:t>
      </w:r>
      <w:r>
        <w:t>Does anyone smoke in your house?</w:t>
      </w:r>
      <w:r w:rsidR="00AA2408">
        <w:t>’</w:t>
      </w:r>
      <w:r>
        <w:t xml:space="preserve"> and </w:t>
      </w:r>
      <w:r w:rsidR="00AA2408">
        <w:t>‘</w:t>
      </w:r>
      <w:r>
        <w:t>Thinking about the car that the concerned child usually travels in, does anyone smoke in that car?</w:t>
      </w:r>
      <w:r w:rsidR="00AA2408">
        <w:t>’</w:t>
      </w:r>
    </w:p>
    <w:p w14:paraId="1495DBBF" w14:textId="77777777" w:rsidR="00735227" w:rsidRDefault="00735227" w:rsidP="00936322"/>
    <w:p w14:paraId="541BF27F" w14:textId="77777777" w:rsidR="00735227" w:rsidRPr="00FB434A" w:rsidRDefault="00735227" w:rsidP="00936322">
      <w:pPr>
        <w:pStyle w:val="Heading3"/>
      </w:pPr>
      <w:r w:rsidRPr="00FB434A">
        <w:t>Around 6</w:t>
      </w:r>
      <w:r>
        <w:t>%</w:t>
      </w:r>
      <w:r w:rsidRPr="00FB434A">
        <w:t xml:space="preserve"> of children were exposed to SHS at home and 5</w:t>
      </w:r>
      <w:r>
        <w:t>%</w:t>
      </w:r>
      <w:r w:rsidRPr="00FB434A">
        <w:t xml:space="preserve"> in the car</w:t>
      </w:r>
    </w:p>
    <w:p w14:paraId="4F32D03F" w14:textId="77777777" w:rsidR="007066D2" w:rsidRDefault="00735227" w:rsidP="00936322">
      <w:r>
        <w:t>Around 6% of children aged 14 years and under were exposed to SHS in their home and 5% were exposed to SHS in the car they usually travelled in.</w:t>
      </w:r>
    </w:p>
    <w:p w14:paraId="6B6BE01E" w14:textId="77777777" w:rsidR="00735227" w:rsidRDefault="00735227" w:rsidP="00936322"/>
    <w:p w14:paraId="2481D9EF" w14:textId="77777777" w:rsidR="007066D2" w:rsidRDefault="00735227" w:rsidP="00936322">
      <w:pPr>
        <w:pStyle w:val="Heading3"/>
      </w:pPr>
      <w:r w:rsidRPr="00FB434A">
        <w:t>Māori chi</w:t>
      </w:r>
      <w:r>
        <w:t>ldren were almost three times more</w:t>
      </w:r>
      <w:r w:rsidRPr="00FB434A">
        <w:t xml:space="preserve"> likely to be exposed to SHS</w:t>
      </w:r>
    </w:p>
    <w:p w14:paraId="24926331" w14:textId="77777777" w:rsidR="007066D2" w:rsidRDefault="00735227" w:rsidP="00936322">
      <w:r>
        <w:t>Similar to Māori adults, one in ten Māori children was exp</w:t>
      </w:r>
      <w:r w:rsidR="007A09B4">
        <w:t>osed to SHS both in the home (9</w:t>
      </w:r>
      <w:r>
        <w:t>%) and in the car (11%) respectively (Table 32). Adjustments for age and sex differences showed that Māori children were 2.6 times more likely to be exposed to SHS than non-Māori children in the home and in the car they travelled in (Table 33).</w:t>
      </w:r>
    </w:p>
    <w:p w14:paraId="1EF41F93" w14:textId="77777777" w:rsidR="00735227" w:rsidRDefault="00735227" w:rsidP="00936322"/>
    <w:p w14:paraId="166C1CE7" w14:textId="2D94800F" w:rsidR="007066D2" w:rsidRDefault="00735227" w:rsidP="00936322">
      <w:r>
        <w:t>In comparison, Asian children were the least likely of any ethnic group to be exposed to SHS at home (2.3%) and in the car (1.4%).</w:t>
      </w:r>
      <w:r w:rsidR="0019730B">
        <w:t xml:space="preserve"> </w:t>
      </w:r>
    </w:p>
    <w:p w14:paraId="4C9D7CDE" w14:textId="77777777" w:rsidR="00735227" w:rsidRDefault="00735227" w:rsidP="00936322"/>
    <w:p w14:paraId="50CC3E45" w14:textId="77777777" w:rsidR="00735227" w:rsidRDefault="00735227" w:rsidP="00936322">
      <w:pPr>
        <w:pStyle w:val="Table"/>
      </w:pPr>
      <w:bookmarkStart w:id="258" w:name="_Toc399920543"/>
      <w:bookmarkStart w:id="259" w:name="_Toc404091132"/>
      <w:r>
        <w:t xml:space="preserve">Table </w:t>
      </w:r>
      <w:r w:rsidR="00936322">
        <w:t>32</w:t>
      </w:r>
      <w:r w:rsidRPr="002A02E5">
        <w:t>:</w:t>
      </w:r>
      <w:r w:rsidR="00936322">
        <w:t xml:space="preserve"> </w:t>
      </w:r>
      <w:r w:rsidRPr="002A02E5">
        <w:t xml:space="preserve">Exposure to </w:t>
      </w:r>
      <w:r w:rsidR="00B7465A">
        <w:t>SHS</w:t>
      </w:r>
      <w:r w:rsidR="00B7465A" w:rsidRPr="002A02E5">
        <w:t xml:space="preserve"> </w:t>
      </w:r>
      <w:r w:rsidRPr="002A02E5">
        <w:t>at home and in the car for children aged 14</w:t>
      </w:r>
      <w:r w:rsidR="00936322">
        <w:t> </w:t>
      </w:r>
      <w:r w:rsidRPr="002A02E5">
        <w:t>years and under, by ethnic group</w:t>
      </w:r>
      <w:bookmarkEnd w:id="258"/>
      <w:bookmarkEnd w:id="25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1913"/>
        <w:gridCol w:w="1914"/>
        <w:gridCol w:w="1914"/>
        <w:gridCol w:w="1914"/>
      </w:tblGrid>
      <w:tr w:rsidR="00936322" w:rsidRPr="00810D5F" w14:paraId="0E9FE73C" w14:textId="77777777" w:rsidTr="00936322">
        <w:trPr>
          <w:cantSplit/>
        </w:trPr>
        <w:tc>
          <w:tcPr>
            <w:tcW w:w="1701" w:type="dxa"/>
            <w:tcBorders>
              <w:top w:val="single" w:sz="4" w:space="0" w:color="auto"/>
              <w:bottom w:val="single" w:sz="4" w:space="0" w:color="auto"/>
            </w:tcBorders>
            <w:shd w:val="clear" w:color="auto" w:fill="auto"/>
          </w:tcPr>
          <w:p w14:paraId="467DACF1" w14:textId="77777777" w:rsidR="00936322" w:rsidRPr="00810D5F" w:rsidRDefault="00936322" w:rsidP="00936322">
            <w:pPr>
              <w:pStyle w:val="TableText"/>
              <w:keepNext/>
              <w:rPr>
                <w:b/>
              </w:rPr>
            </w:pPr>
            <w:r w:rsidRPr="00810D5F">
              <w:rPr>
                <w:b/>
              </w:rPr>
              <w:t>Ethnic group</w:t>
            </w:r>
          </w:p>
        </w:tc>
        <w:tc>
          <w:tcPr>
            <w:tcW w:w="1913" w:type="dxa"/>
            <w:tcBorders>
              <w:top w:val="single" w:sz="4" w:space="0" w:color="auto"/>
              <w:bottom w:val="single" w:sz="4" w:space="0" w:color="auto"/>
            </w:tcBorders>
            <w:shd w:val="clear" w:color="auto" w:fill="auto"/>
          </w:tcPr>
          <w:p w14:paraId="5E606527" w14:textId="77777777" w:rsidR="00936322" w:rsidRPr="00810D5F" w:rsidRDefault="00936322" w:rsidP="00936322">
            <w:pPr>
              <w:pStyle w:val="TableText"/>
              <w:keepNext/>
              <w:jc w:val="center"/>
              <w:rPr>
                <w:b/>
              </w:rPr>
            </w:pPr>
            <w:r>
              <w:rPr>
                <w:b/>
              </w:rPr>
              <w:t>Prevalence</w:t>
            </w:r>
            <w:r w:rsidRPr="00810D5F">
              <w:rPr>
                <w:b/>
              </w:rPr>
              <w:t xml:space="preserve"> at home</w:t>
            </w:r>
            <w:r>
              <w:rPr>
                <w:b/>
              </w:rPr>
              <w:br/>
            </w:r>
            <w:r w:rsidRPr="00810D5F">
              <w:rPr>
                <w:b/>
              </w:rPr>
              <w:t>(%)</w:t>
            </w:r>
          </w:p>
        </w:tc>
        <w:tc>
          <w:tcPr>
            <w:tcW w:w="1914" w:type="dxa"/>
            <w:tcBorders>
              <w:top w:val="single" w:sz="4" w:space="0" w:color="auto"/>
              <w:bottom w:val="single" w:sz="4" w:space="0" w:color="auto"/>
            </w:tcBorders>
            <w:shd w:val="clear" w:color="auto" w:fill="auto"/>
          </w:tcPr>
          <w:p w14:paraId="33156D93" w14:textId="77777777" w:rsidR="00936322" w:rsidRPr="00810D5F" w:rsidRDefault="00936322" w:rsidP="00936322">
            <w:pPr>
              <w:pStyle w:val="TableText"/>
              <w:keepNext/>
              <w:jc w:val="center"/>
              <w:rPr>
                <w:b/>
              </w:rPr>
            </w:pPr>
            <w:r w:rsidRPr="00810D5F">
              <w:rPr>
                <w:b/>
              </w:rPr>
              <w:t>Estimated</w:t>
            </w:r>
            <w:r>
              <w:rPr>
                <w:b/>
              </w:rPr>
              <w:br/>
            </w:r>
            <w:r w:rsidRPr="00810D5F">
              <w:rPr>
                <w:b/>
              </w:rPr>
              <w:t>number</w:t>
            </w:r>
          </w:p>
        </w:tc>
        <w:tc>
          <w:tcPr>
            <w:tcW w:w="1914" w:type="dxa"/>
            <w:tcBorders>
              <w:top w:val="single" w:sz="4" w:space="0" w:color="auto"/>
              <w:bottom w:val="single" w:sz="4" w:space="0" w:color="auto"/>
            </w:tcBorders>
            <w:shd w:val="clear" w:color="auto" w:fill="auto"/>
          </w:tcPr>
          <w:p w14:paraId="5819632A" w14:textId="77777777" w:rsidR="00936322" w:rsidRPr="00810D5F" w:rsidRDefault="00936322" w:rsidP="00936322">
            <w:pPr>
              <w:pStyle w:val="TableText"/>
              <w:keepNext/>
              <w:jc w:val="center"/>
              <w:rPr>
                <w:b/>
              </w:rPr>
            </w:pPr>
            <w:r>
              <w:rPr>
                <w:b/>
              </w:rPr>
              <w:t>Prevalence</w:t>
            </w:r>
            <w:r w:rsidRPr="00810D5F">
              <w:rPr>
                <w:b/>
              </w:rPr>
              <w:t xml:space="preserve"> in car</w:t>
            </w:r>
            <w:r>
              <w:rPr>
                <w:b/>
              </w:rPr>
              <w:br/>
            </w:r>
            <w:r w:rsidRPr="00810D5F">
              <w:rPr>
                <w:b/>
              </w:rPr>
              <w:t>(%)</w:t>
            </w:r>
          </w:p>
        </w:tc>
        <w:tc>
          <w:tcPr>
            <w:tcW w:w="1914" w:type="dxa"/>
            <w:tcBorders>
              <w:top w:val="single" w:sz="4" w:space="0" w:color="auto"/>
              <w:bottom w:val="single" w:sz="4" w:space="0" w:color="auto"/>
            </w:tcBorders>
            <w:shd w:val="clear" w:color="auto" w:fill="auto"/>
          </w:tcPr>
          <w:p w14:paraId="60FE1607" w14:textId="77777777" w:rsidR="00936322" w:rsidRPr="00810D5F" w:rsidRDefault="00936322" w:rsidP="00936322">
            <w:pPr>
              <w:pStyle w:val="TableText"/>
              <w:keepNext/>
              <w:jc w:val="center"/>
              <w:rPr>
                <w:b/>
              </w:rPr>
            </w:pPr>
            <w:r w:rsidRPr="00810D5F">
              <w:rPr>
                <w:b/>
              </w:rPr>
              <w:t>Estimated</w:t>
            </w:r>
            <w:r>
              <w:rPr>
                <w:b/>
              </w:rPr>
              <w:br/>
            </w:r>
            <w:r w:rsidRPr="00810D5F">
              <w:rPr>
                <w:b/>
              </w:rPr>
              <w:t>number</w:t>
            </w:r>
          </w:p>
        </w:tc>
      </w:tr>
      <w:tr w:rsidR="00936322" w:rsidRPr="007B7915" w14:paraId="06FE7BB0" w14:textId="77777777" w:rsidTr="00936322">
        <w:trPr>
          <w:cantSplit/>
        </w:trPr>
        <w:tc>
          <w:tcPr>
            <w:tcW w:w="1701" w:type="dxa"/>
            <w:tcBorders>
              <w:top w:val="single" w:sz="4" w:space="0" w:color="auto"/>
              <w:bottom w:val="single" w:sz="4" w:space="0" w:color="A6A6A6" w:themeColor="background1" w:themeShade="A6"/>
            </w:tcBorders>
            <w:shd w:val="clear" w:color="auto" w:fill="auto"/>
          </w:tcPr>
          <w:p w14:paraId="2776905C" w14:textId="77777777" w:rsidR="00936322" w:rsidRPr="007B7915" w:rsidRDefault="00936322" w:rsidP="00936322">
            <w:pPr>
              <w:pStyle w:val="TableText"/>
              <w:keepNext/>
            </w:pPr>
            <w:r w:rsidRPr="007B7915">
              <w:t>Māori</w:t>
            </w:r>
          </w:p>
        </w:tc>
        <w:tc>
          <w:tcPr>
            <w:tcW w:w="1913" w:type="dxa"/>
            <w:tcBorders>
              <w:top w:val="single" w:sz="4" w:space="0" w:color="auto"/>
              <w:bottom w:val="single" w:sz="4" w:space="0" w:color="A6A6A6" w:themeColor="background1" w:themeShade="A6"/>
            </w:tcBorders>
            <w:shd w:val="clear" w:color="auto" w:fill="auto"/>
            <w:vAlign w:val="bottom"/>
          </w:tcPr>
          <w:p w14:paraId="0A8CEFAB" w14:textId="77777777" w:rsidR="00936322" w:rsidRPr="00F52709" w:rsidRDefault="007A09B4" w:rsidP="00936322">
            <w:pPr>
              <w:pStyle w:val="TableText"/>
              <w:jc w:val="center"/>
            </w:pPr>
            <w:r>
              <w:t>9</w:t>
            </w:r>
          </w:p>
        </w:tc>
        <w:tc>
          <w:tcPr>
            <w:tcW w:w="1914" w:type="dxa"/>
            <w:tcBorders>
              <w:top w:val="single" w:sz="4" w:space="0" w:color="auto"/>
              <w:bottom w:val="single" w:sz="4" w:space="0" w:color="A6A6A6" w:themeColor="background1" w:themeShade="A6"/>
            </w:tcBorders>
            <w:shd w:val="clear" w:color="auto" w:fill="auto"/>
            <w:vAlign w:val="bottom"/>
          </w:tcPr>
          <w:p w14:paraId="5BD32938" w14:textId="77777777" w:rsidR="00936322" w:rsidRPr="00F52709" w:rsidRDefault="00936322" w:rsidP="00936322">
            <w:pPr>
              <w:pStyle w:val="TableText"/>
              <w:tabs>
                <w:tab w:val="decimal" w:pos="1149"/>
              </w:tabs>
            </w:pPr>
            <w:r>
              <w:t>21,0</w:t>
            </w:r>
            <w:r w:rsidRPr="00F52709">
              <w:t>00</w:t>
            </w:r>
          </w:p>
        </w:tc>
        <w:tc>
          <w:tcPr>
            <w:tcW w:w="1914" w:type="dxa"/>
            <w:tcBorders>
              <w:top w:val="single" w:sz="4" w:space="0" w:color="auto"/>
              <w:bottom w:val="single" w:sz="4" w:space="0" w:color="A6A6A6" w:themeColor="background1" w:themeShade="A6"/>
            </w:tcBorders>
            <w:shd w:val="clear" w:color="auto" w:fill="auto"/>
            <w:vAlign w:val="bottom"/>
          </w:tcPr>
          <w:p w14:paraId="4EE128BA" w14:textId="77777777" w:rsidR="00936322" w:rsidRPr="00F52709" w:rsidRDefault="00936322" w:rsidP="00936322">
            <w:pPr>
              <w:pStyle w:val="TableText"/>
              <w:jc w:val="center"/>
            </w:pPr>
            <w:r>
              <w:t>11</w:t>
            </w:r>
          </w:p>
        </w:tc>
        <w:tc>
          <w:tcPr>
            <w:tcW w:w="1914" w:type="dxa"/>
            <w:tcBorders>
              <w:top w:val="single" w:sz="4" w:space="0" w:color="auto"/>
              <w:bottom w:val="single" w:sz="4" w:space="0" w:color="A6A6A6" w:themeColor="background1" w:themeShade="A6"/>
            </w:tcBorders>
            <w:shd w:val="clear" w:color="auto" w:fill="auto"/>
            <w:vAlign w:val="bottom"/>
          </w:tcPr>
          <w:p w14:paraId="2EE44A2D" w14:textId="77777777" w:rsidR="00936322" w:rsidRPr="00F52709" w:rsidRDefault="00936322" w:rsidP="00936322">
            <w:pPr>
              <w:pStyle w:val="TableText"/>
              <w:tabs>
                <w:tab w:val="decimal" w:pos="1232"/>
              </w:tabs>
            </w:pPr>
            <w:r>
              <w:t>26,0</w:t>
            </w:r>
            <w:r w:rsidRPr="00F52709">
              <w:t>00</w:t>
            </w:r>
          </w:p>
        </w:tc>
      </w:tr>
      <w:tr w:rsidR="00936322" w:rsidRPr="007B7915" w14:paraId="6815C280"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6BDBD285" w14:textId="77777777" w:rsidR="00936322" w:rsidRPr="007B7915" w:rsidRDefault="00936322" w:rsidP="00936322">
            <w:pPr>
              <w:pStyle w:val="TableText"/>
              <w:keepNext/>
            </w:pPr>
            <w:r w:rsidRPr="007B7915">
              <w:t>Pacific</w:t>
            </w:r>
          </w:p>
        </w:tc>
        <w:tc>
          <w:tcPr>
            <w:tcW w:w="1913" w:type="dxa"/>
            <w:tcBorders>
              <w:top w:val="single" w:sz="4" w:space="0" w:color="A6A6A6" w:themeColor="background1" w:themeShade="A6"/>
              <w:bottom w:val="single" w:sz="4" w:space="0" w:color="A6A6A6" w:themeColor="background1" w:themeShade="A6"/>
            </w:tcBorders>
            <w:shd w:val="clear" w:color="auto" w:fill="auto"/>
            <w:vAlign w:val="bottom"/>
          </w:tcPr>
          <w:p w14:paraId="6B28325F" w14:textId="77777777" w:rsidR="00936322" w:rsidRPr="00F52709" w:rsidRDefault="00936322" w:rsidP="00936322">
            <w:pPr>
              <w:pStyle w:val="TableText"/>
              <w:jc w:val="center"/>
            </w:pPr>
            <w:r>
              <w:t>6</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002162AC" w14:textId="77777777" w:rsidR="00936322" w:rsidRPr="00F52709" w:rsidRDefault="00936322" w:rsidP="00936322">
            <w:pPr>
              <w:pStyle w:val="TableText"/>
              <w:tabs>
                <w:tab w:val="decimal" w:pos="1149"/>
              </w:tabs>
            </w:pPr>
            <w:r>
              <w:t>80</w:t>
            </w:r>
            <w:r w:rsidRPr="00F52709">
              <w:t>00</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1BD31337" w14:textId="77777777" w:rsidR="00936322" w:rsidRPr="00F52709" w:rsidRDefault="00936322" w:rsidP="00936322">
            <w:pPr>
              <w:pStyle w:val="TableText"/>
              <w:jc w:val="center"/>
            </w:pPr>
            <w:r>
              <w:t>5</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0B94D756" w14:textId="77777777" w:rsidR="00936322" w:rsidRPr="00F52709" w:rsidRDefault="00936322" w:rsidP="00936322">
            <w:pPr>
              <w:pStyle w:val="TableText"/>
              <w:tabs>
                <w:tab w:val="decimal" w:pos="1232"/>
              </w:tabs>
            </w:pPr>
            <w:r>
              <w:t>60</w:t>
            </w:r>
            <w:r w:rsidRPr="00F52709">
              <w:t>00</w:t>
            </w:r>
          </w:p>
        </w:tc>
      </w:tr>
      <w:tr w:rsidR="00936322" w:rsidRPr="007B7915" w14:paraId="1D1705F7" w14:textId="77777777" w:rsidTr="00936322">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25D3948C" w14:textId="77777777" w:rsidR="00936322" w:rsidRPr="007B7915" w:rsidRDefault="00936322" w:rsidP="00936322">
            <w:pPr>
              <w:pStyle w:val="TableText"/>
            </w:pPr>
            <w:r w:rsidRPr="007B7915">
              <w:t>Asian</w:t>
            </w:r>
          </w:p>
        </w:tc>
        <w:tc>
          <w:tcPr>
            <w:tcW w:w="1913" w:type="dxa"/>
            <w:tcBorders>
              <w:top w:val="single" w:sz="4" w:space="0" w:color="A6A6A6" w:themeColor="background1" w:themeShade="A6"/>
              <w:bottom w:val="single" w:sz="4" w:space="0" w:color="A6A6A6" w:themeColor="background1" w:themeShade="A6"/>
            </w:tcBorders>
            <w:shd w:val="clear" w:color="auto" w:fill="auto"/>
            <w:vAlign w:val="bottom"/>
          </w:tcPr>
          <w:p w14:paraId="40F695DA" w14:textId="77777777" w:rsidR="00936322" w:rsidRPr="00F52709" w:rsidRDefault="00936322" w:rsidP="00936322">
            <w:pPr>
              <w:pStyle w:val="TableText"/>
              <w:jc w:val="center"/>
            </w:pPr>
            <w:r w:rsidRPr="00F52709">
              <w:t>2.3</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4EDFA19D" w14:textId="77777777" w:rsidR="00936322" w:rsidRPr="00F52709" w:rsidRDefault="00936322" w:rsidP="00936322">
            <w:pPr>
              <w:pStyle w:val="TableText"/>
              <w:tabs>
                <w:tab w:val="decimal" w:pos="1149"/>
              </w:tabs>
            </w:pPr>
            <w:r>
              <w:t>20</w:t>
            </w:r>
            <w:r w:rsidRPr="00F52709">
              <w:t>00</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7447E092" w14:textId="77777777" w:rsidR="00936322" w:rsidRPr="00F52709" w:rsidRDefault="00936322" w:rsidP="00936322">
            <w:pPr>
              <w:pStyle w:val="TableText"/>
              <w:jc w:val="center"/>
            </w:pPr>
            <w:r w:rsidRPr="00F52709">
              <w:t>1.4</w:t>
            </w:r>
          </w:p>
        </w:tc>
        <w:tc>
          <w:tcPr>
            <w:tcW w:w="1914" w:type="dxa"/>
            <w:tcBorders>
              <w:top w:val="single" w:sz="4" w:space="0" w:color="A6A6A6" w:themeColor="background1" w:themeShade="A6"/>
              <w:bottom w:val="single" w:sz="4" w:space="0" w:color="A6A6A6" w:themeColor="background1" w:themeShade="A6"/>
            </w:tcBorders>
            <w:shd w:val="clear" w:color="auto" w:fill="auto"/>
            <w:vAlign w:val="bottom"/>
          </w:tcPr>
          <w:p w14:paraId="047F2765" w14:textId="77777777" w:rsidR="00936322" w:rsidRPr="00F52709" w:rsidRDefault="00936322" w:rsidP="00936322">
            <w:pPr>
              <w:pStyle w:val="TableText"/>
              <w:tabs>
                <w:tab w:val="decimal" w:pos="1232"/>
              </w:tabs>
            </w:pPr>
            <w:r>
              <w:t>10</w:t>
            </w:r>
            <w:r w:rsidRPr="00F52709">
              <w:t>00</w:t>
            </w:r>
          </w:p>
        </w:tc>
      </w:tr>
      <w:tr w:rsidR="00936322" w:rsidRPr="007B7915" w14:paraId="588C1F54" w14:textId="77777777" w:rsidTr="00936322">
        <w:trPr>
          <w:cantSplit/>
        </w:trPr>
        <w:tc>
          <w:tcPr>
            <w:tcW w:w="1701" w:type="dxa"/>
            <w:tcBorders>
              <w:top w:val="single" w:sz="4" w:space="0" w:color="A6A6A6" w:themeColor="background1" w:themeShade="A6"/>
            </w:tcBorders>
            <w:shd w:val="clear" w:color="auto" w:fill="auto"/>
          </w:tcPr>
          <w:p w14:paraId="174C9805" w14:textId="77777777" w:rsidR="00936322" w:rsidRPr="007B7915" w:rsidRDefault="00936322" w:rsidP="00936322">
            <w:pPr>
              <w:pStyle w:val="TableText"/>
            </w:pPr>
            <w:r w:rsidRPr="007B7915">
              <w:t>European/Other</w:t>
            </w:r>
          </w:p>
        </w:tc>
        <w:tc>
          <w:tcPr>
            <w:tcW w:w="1913" w:type="dxa"/>
            <w:tcBorders>
              <w:top w:val="single" w:sz="4" w:space="0" w:color="A6A6A6" w:themeColor="background1" w:themeShade="A6"/>
            </w:tcBorders>
            <w:shd w:val="clear" w:color="auto" w:fill="auto"/>
            <w:vAlign w:val="bottom"/>
          </w:tcPr>
          <w:p w14:paraId="7070AFA3" w14:textId="77777777" w:rsidR="00936322" w:rsidRPr="00F52709" w:rsidRDefault="00936322" w:rsidP="00936322">
            <w:pPr>
              <w:pStyle w:val="TableText"/>
              <w:jc w:val="center"/>
            </w:pPr>
            <w:r w:rsidRPr="00F52709">
              <w:t>4.1</w:t>
            </w:r>
          </w:p>
        </w:tc>
        <w:tc>
          <w:tcPr>
            <w:tcW w:w="1914" w:type="dxa"/>
            <w:tcBorders>
              <w:top w:val="single" w:sz="4" w:space="0" w:color="A6A6A6" w:themeColor="background1" w:themeShade="A6"/>
            </w:tcBorders>
            <w:shd w:val="clear" w:color="auto" w:fill="auto"/>
            <w:vAlign w:val="bottom"/>
          </w:tcPr>
          <w:p w14:paraId="2E0EE66B" w14:textId="77777777" w:rsidR="00936322" w:rsidRPr="00F52709" w:rsidRDefault="00936322" w:rsidP="00936322">
            <w:pPr>
              <w:pStyle w:val="TableText"/>
              <w:tabs>
                <w:tab w:val="decimal" w:pos="1149"/>
              </w:tabs>
            </w:pPr>
            <w:r>
              <w:t>26,0</w:t>
            </w:r>
            <w:r w:rsidRPr="00F52709">
              <w:t>00</w:t>
            </w:r>
          </w:p>
        </w:tc>
        <w:tc>
          <w:tcPr>
            <w:tcW w:w="1914" w:type="dxa"/>
            <w:tcBorders>
              <w:top w:val="single" w:sz="4" w:space="0" w:color="A6A6A6" w:themeColor="background1" w:themeShade="A6"/>
            </w:tcBorders>
            <w:shd w:val="clear" w:color="auto" w:fill="auto"/>
            <w:vAlign w:val="bottom"/>
          </w:tcPr>
          <w:p w14:paraId="0CAA676C" w14:textId="77777777" w:rsidR="00936322" w:rsidRPr="00F52709" w:rsidRDefault="00936322" w:rsidP="00936322">
            <w:pPr>
              <w:pStyle w:val="TableText"/>
              <w:jc w:val="center"/>
            </w:pPr>
            <w:r>
              <w:t>6</w:t>
            </w:r>
          </w:p>
        </w:tc>
        <w:tc>
          <w:tcPr>
            <w:tcW w:w="1914" w:type="dxa"/>
            <w:tcBorders>
              <w:top w:val="single" w:sz="4" w:space="0" w:color="A6A6A6" w:themeColor="background1" w:themeShade="A6"/>
            </w:tcBorders>
            <w:shd w:val="clear" w:color="auto" w:fill="auto"/>
            <w:vAlign w:val="bottom"/>
          </w:tcPr>
          <w:p w14:paraId="004E57D4" w14:textId="77777777" w:rsidR="00936322" w:rsidRPr="00F52709" w:rsidRDefault="00936322" w:rsidP="00936322">
            <w:pPr>
              <w:pStyle w:val="TableText"/>
              <w:tabs>
                <w:tab w:val="decimal" w:pos="1232"/>
              </w:tabs>
            </w:pPr>
            <w:r>
              <w:t>35,0</w:t>
            </w:r>
            <w:r w:rsidRPr="00F52709">
              <w:t>00</w:t>
            </w:r>
          </w:p>
        </w:tc>
      </w:tr>
    </w:tbl>
    <w:p w14:paraId="129AC604" w14:textId="77777777" w:rsidR="00735227" w:rsidRPr="00723643" w:rsidRDefault="00735227" w:rsidP="00936322">
      <w:pPr>
        <w:pStyle w:val="TableNote"/>
      </w:pPr>
      <w:r w:rsidRPr="00723643">
        <w:t xml:space="preserve">Source: 2012/13 </w:t>
      </w:r>
      <w:r>
        <w:t>NZHS</w:t>
      </w:r>
    </w:p>
    <w:p w14:paraId="56AB49EA" w14:textId="77777777" w:rsidR="00735227" w:rsidRPr="00FB434A" w:rsidRDefault="00735227" w:rsidP="00936322">
      <w:pPr>
        <w:pStyle w:val="TableNote"/>
        <w:rPr>
          <w:u w:val="single"/>
        </w:rPr>
      </w:pPr>
      <w:r w:rsidRPr="00723643">
        <w:t xml:space="preserve">Note: Total </w:t>
      </w:r>
      <w:r>
        <w:t>response ethnicity has been used.</w:t>
      </w:r>
    </w:p>
    <w:p w14:paraId="043F7446" w14:textId="77777777" w:rsidR="00735227" w:rsidRDefault="00735227" w:rsidP="00936322"/>
    <w:p w14:paraId="115C41E0" w14:textId="7693D849" w:rsidR="00735227" w:rsidRDefault="00735227" w:rsidP="00936322">
      <w:pPr>
        <w:pStyle w:val="Table"/>
      </w:pPr>
      <w:bookmarkStart w:id="260" w:name="_Toc399920544"/>
      <w:bookmarkStart w:id="261" w:name="_Toc404091133"/>
      <w:r>
        <w:t xml:space="preserve">Table </w:t>
      </w:r>
      <w:r w:rsidR="00936322">
        <w:t>33</w:t>
      </w:r>
      <w:r w:rsidRPr="00697419">
        <w:t>:</w:t>
      </w:r>
      <w:r w:rsidR="00936322">
        <w:t xml:space="preserve"> </w:t>
      </w:r>
      <w:r w:rsidRPr="00697419">
        <w:t>Adjusted rate ratios for children</w:t>
      </w:r>
      <w:r w:rsidR="00AA2408">
        <w:t>’</w:t>
      </w:r>
      <w:r w:rsidRPr="00697419">
        <w:t>s SHS exposure at home and in the car</w:t>
      </w:r>
      <w:bookmarkEnd w:id="260"/>
      <w:bookmarkEnd w:id="26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085"/>
        <w:gridCol w:w="1859"/>
        <w:gridCol w:w="1860"/>
      </w:tblGrid>
      <w:tr w:rsidR="00936322" w:rsidRPr="00936322" w14:paraId="30494861" w14:textId="77777777" w:rsidTr="00936322">
        <w:trPr>
          <w:cantSplit/>
        </w:trPr>
        <w:tc>
          <w:tcPr>
            <w:tcW w:w="3085" w:type="dxa"/>
            <w:tcBorders>
              <w:top w:val="single" w:sz="4" w:space="0" w:color="auto"/>
              <w:bottom w:val="single" w:sz="4" w:space="0" w:color="auto"/>
            </w:tcBorders>
            <w:shd w:val="clear" w:color="auto" w:fill="auto"/>
          </w:tcPr>
          <w:p w14:paraId="1B57FACE" w14:textId="77777777" w:rsidR="00936322" w:rsidRPr="00936322" w:rsidRDefault="00936322" w:rsidP="00936322">
            <w:pPr>
              <w:pStyle w:val="TableText"/>
              <w:rPr>
                <w:b/>
              </w:rPr>
            </w:pPr>
            <w:r w:rsidRPr="00936322">
              <w:rPr>
                <w:b/>
              </w:rPr>
              <w:t>Population group</w:t>
            </w:r>
          </w:p>
        </w:tc>
        <w:tc>
          <w:tcPr>
            <w:tcW w:w="1859" w:type="dxa"/>
            <w:tcBorders>
              <w:top w:val="single" w:sz="4" w:space="0" w:color="auto"/>
              <w:bottom w:val="single" w:sz="4" w:space="0" w:color="auto"/>
            </w:tcBorders>
            <w:shd w:val="clear" w:color="auto" w:fill="auto"/>
          </w:tcPr>
          <w:p w14:paraId="193D6ECE" w14:textId="77777777" w:rsidR="00936322" w:rsidRPr="00936322" w:rsidRDefault="00936322" w:rsidP="00936322">
            <w:pPr>
              <w:pStyle w:val="TableText"/>
              <w:jc w:val="center"/>
              <w:rPr>
                <w:b/>
              </w:rPr>
            </w:pPr>
            <w:r w:rsidRPr="00936322">
              <w:rPr>
                <w:b/>
              </w:rPr>
              <w:t>Home</w:t>
            </w:r>
          </w:p>
        </w:tc>
        <w:tc>
          <w:tcPr>
            <w:tcW w:w="1860" w:type="dxa"/>
            <w:tcBorders>
              <w:top w:val="single" w:sz="4" w:space="0" w:color="auto"/>
              <w:bottom w:val="single" w:sz="4" w:space="0" w:color="auto"/>
            </w:tcBorders>
            <w:shd w:val="clear" w:color="auto" w:fill="auto"/>
          </w:tcPr>
          <w:p w14:paraId="64D090A0" w14:textId="77777777" w:rsidR="00936322" w:rsidRPr="00936322" w:rsidRDefault="00936322" w:rsidP="00936322">
            <w:pPr>
              <w:pStyle w:val="TableText"/>
              <w:jc w:val="center"/>
              <w:rPr>
                <w:b/>
              </w:rPr>
            </w:pPr>
            <w:r w:rsidRPr="00936322">
              <w:rPr>
                <w:b/>
              </w:rPr>
              <w:t>Car</w:t>
            </w:r>
          </w:p>
        </w:tc>
      </w:tr>
      <w:tr w:rsidR="00936322" w:rsidRPr="007B7915" w14:paraId="313BE9AF"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066A8D8E" w14:textId="77777777" w:rsidR="00936322" w:rsidRPr="007B7915" w:rsidRDefault="00936322" w:rsidP="00936322">
            <w:pPr>
              <w:pStyle w:val="TableText"/>
            </w:pPr>
            <w:r w:rsidRPr="007B7915">
              <w:t>Māori v</w:t>
            </w:r>
            <w:r>
              <w:t>ersu</w:t>
            </w:r>
            <w:r w:rsidRPr="007B7915">
              <w:t>s non-Māori</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40C52BAC" w14:textId="77777777" w:rsidR="00936322" w:rsidRPr="007B7915" w:rsidRDefault="00936322" w:rsidP="00936322">
            <w:pPr>
              <w:pStyle w:val="TableText"/>
              <w:tabs>
                <w:tab w:val="decimal" w:pos="827"/>
              </w:tabs>
            </w:pPr>
            <w:r w:rsidRPr="007B7915">
              <w:t>2.6*</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672929F7" w14:textId="77777777" w:rsidR="00936322" w:rsidRPr="007B7915" w:rsidRDefault="00936322" w:rsidP="00936322">
            <w:pPr>
              <w:pStyle w:val="TableText"/>
              <w:tabs>
                <w:tab w:val="decimal" w:pos="827"/>
              </w:tabs>
            </w:pPr>
            <w:r w:rsidRPr="007B7915">
              <w:t>2.6*</w:t>
            </w:r>
          </w:p>
        </w:tc>
      </w:tr>
      <w:tr w:rsidR="00936322" w:rsidRPr="007B7915" w14:paraId="2C9E0CA9"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6280A933" w14:textId="77777777" w:rsidR="00936322" w:rsidRPr="007B7915" w:rsidRDefault="00936322" w:rsidP="00936322">
            <w:pPr>
              <w:pStyle w:val="TableText"/>
            </w:pPr>
            <w:r w:rsidRPr="007B7915">
              <w:t>Pacific v</w:t>
            </w:r>
            <w:r>
              <w:t>ersu</w:t>
            </w:r>
            <w:r w:rsidRPr="007B7915">
              <w:t>s non-Pacific</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7CE8066E" w14:textId="77777777" w:rsidR="00936322" w:rsidRPr="007B7915" w:rsidRDefault="00936322" w:rsidP="00936322">
            <w:pPr>
              <w:pStyle w:val="TableText"/>
              <w:tabs>
                <w:tab w:val="decimal" w:pos="827"/>
              </w:tabs>
            </w:pPr>
            <w:r w:rsidRPr="007B7915">
              <w:t>1.4</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6C4BA24B" w14:textId="77777777" w:rsidR="00936322" w:rsidRPr="007B7915" w:rsidRDefault="00936322" w:rsidP="00936322">
            <w:pPr>
              <w:pStyle w:val="TableText"/>
              <w:tabs>
                <w:tab w:val="decimal" w:pos="827"/>
              </w:tabs>
            </w:pPr>
            <w:r w:rsidRPr="007B7915">
              <w:t>0.9</w:t>
            </w:r>
          </w:p>
        </w:tc>
      </w:tr>
      <w:tr w:rsidR="00936322" w:rsidRPr="007B7915" w14:paraId="6187E3A6" w14:textId="77777777" w:rsidTr="00936322">
        <w:trPr>
          <w:cantSplit/>
        </w:trPr>
        <w:tc>
          <w:tcPr>
            <w:tcW w:w="3085" w:type="dxa"/>
            <w:tcBorders>
              <w:top w:val="single" w:sz="4" w:space="0" w:color="A6A6A6" w:themeColor="background1" w:themeShade="A6"/>
              <w:bottom w:val="single" w:sz="4" w:space="0" w:color="A6A6A6" w:themeColor="background1" w:themeShade="A6"/>
            </w:tcBorders>
            <w:shd w:val="clear" w:color="auto" w:fill="auto"/>
          </w:tcPr>
          <w:p w14:paraId="46587B26" w14:textId="77777777" w:rsidR="00936322" w:rsidRPr="007B7915" w:rsidRDefault="00936322" w:rsidP="00936322">
            <w:pPr>
              <w:pStyle w:val="TableText"/>
            </w:pPr>
            <w:r w:rsidRPr="007B7915">
              <w:t>Asian v</w:t>
            </w:r>
            <w:r>
              <w:t>ersu</w:t>
            </w:r>
            <w:r w:rsidRPr="007B7915">
              <w:t>s non-Asian</w:t>
            </w:r>
          </w:p>
        </w:tc>
        <w:tc>
          <w:tcPr>
            <w:tcW w:w="1859" w:type="dxa"/>
            <w:tcBorders>
              <w:top w:val="single" w:sz="4" w:space="0" w:color="A6A6A6" w:themeColor="background1" w:themeShade="A6"/>
              <w:bottom w:val="single" w:sz="4" w:space="0" w:color="A6A6A6" w:themeColor="background1" w:themeShade="A6"/>
            </w:tcBorders>
            <w:shd w:val="clear" w:color="auto" w:fill="auto"/>
          </w:tcPr>
          <w:p w14:paraId="4B792CC8" w14:textId="77777777" w:rsidR="00936322" w:rsidRPr="007B7915" w:rsidRDefault="00936322" w:rsidP="00936322">
            <w:pPr>
              <w:pStyle w:val="TableText"/>
              <w:tabs>
                <w:tab w:val="decimal" w:pos="827"/>
              </w:tabs>
            </w:pPr>
            <w:r w:rsidRPr="007B7915">
              <w:t>0.4*</w:t>
            </w:r>
          </w:p>
        </w:tc>
        <w:tc>
          <w:tcPr>
            <w:tcW w:w="1860" w:type="dxa"/>
            <w:tcBorders>
              <w:top w:val="single" w:sz="4" w:space="0" w:color="A6A6A6" w:themeColor="background1" w:themeShade="A6"/>
              <w:bottom w:val="single" w:sz="4" w:space="0" w:color="A6A6A6" w:themeColor="background1" w:themeShade="A6"/>
            </w:tcBorders>
            <w:shd w:val="clear" w:color="auto" w:fill="auto"/>
          </w:tcPr>
          <w:p w14:paraId="02B7D58B" w14:textId="77777777" w:rsidR="00936322" w:rsidRPr="007B7915" w:rsidRDefault="00936322" w:rsidP="00936322">
            <w:pPr>
              <w:pStyle w:val="TableText"/>
              <w:tabs>
                <w:tab w:val="decimal" w:pos="827"/>
              </w:tabs>
            </w:pPr>
            <w:r w:rsidRPr="007B7915">
              <w:t>0.2*</w:t>
            </w:r>
          </w:p>
        </w:tc>
      </w:tr>
      <w:tr w:rsidR="00936322" w:rsidRPr="007B7915" w14:paraId="4A7AF238" w14:textId="77777777" w:rsidTr="00936322">
        <w:trPr>
          <w:cantSplit/>
        </w:trPr>
        <w:tc>
          <w:tcPr>
            <w:tcW w:w="3085" w:type="dxa"/>
            <w:tcBorders>
              <w:top w:val="single" w:sz="4" w:space="0" w:color="A6A6A6" w:themeColor="background1" w:themeShade="A6"/>
            </w:tcBorders>
            <w:shd w:val="clear" w:color="auto" w:fill="auto"/>
          </w:tcPr>
          <w:p w14:paraId="35355350" w14:textId="77777777" w:rsidR="00936322" w:rsidRPr="007B7915" w:rsidRDefault="00936322" w:rsidP="00936322">
            <w:pPr>
              <w:pStyle w:val="TableText"/>
            </w:pPr>
            <w:r w:rsidRPr="007B7915">
              <w:t>Most v</w:t>
            </w:r>
            <w:r>
              <w:t>ersu</w:t>
            </w:r>
            <w:r w:rsidRPr="007B7915">
              <w:t>s least deprived</w:t>
            </w:r>
          </w:p>
        </w:tc>
        <w:tc>
          <w:tcPr>
            <w:tcW w:w="1859" w:type="dxa"/>
            <w:tcBorders>
              <w:top w:val="single" w:sz="4" w:space="0" w:color="A6A6A6" w:themeColor="background1" w:themeShade="A6"/>
            </w:tcBorders>
            <w:shd w:val="clear" w:color="auto" w:fill="auto"/>
          </w:tcPr>
          <w:p w14:paraId="59CA0624" w14:textId="77777777" w:rsidR="00936322" w:rsidRPr="007B7915" w:rsidRDefault="00936322" w:rsidP="00936322">
            <w:pPr>
              <w:pStyle w:val="TableText"/>
              <w:tabs>
                <w:tab w:val="decimal" w:pos="827"/>
              </w:tabs>
            </w:pPr>
            <w:r w:rsidRPr="007B7915">
              <w:t>7.8*</w:t>
            </w:r>
          </w:p>
        </w:tc>
        <w:tc>
          <w:tcPr>
            <w:tcW w:w="1860" w:type="dxa"/>
            <w:tcBorders>
              <w:top w:val="single" w:sz="4" w:space="0" w:color="A6A6A6" w:themeColor="background1" w:themeShade="A6"/>
            </w:tcBorders>
            <w:shd w:val="clear" w:color="auto" w:fill="auto"/>
          </w:tcPr>
          <w:p w14:paraId="365A8A5D" w14:textId="5527425F" w:rsidR="00936322" w:rsidRPr="007B7915" w:rsidRDefault="0019730B" w:rsidP="00936322">
            <w:pPr>
              <w:pStyle w:val="TableText"/>
              <w:tabs>
                <w:tab w:val="decimal" w:pos="827"/>
              </w:tabs>
            </w:pPr>
            <w:r>
              <w:t>3.9</w:t>
            </w:r>
            <w:r w:rsidR="00936322" w:rsidRPr="007B7915">
              <w:t>*</w:t>
            </w:r>
          </w:p>
        </w:tc>
      </w:tr>
    </w:tbl>
    <w:p w14:paraId="69AB1F6A" w14:textId="77777777" w:rsidR="00735227" w:rsidRDefault="00735227" w:rsidP="00936322">
      <w:pPr>
        <w:pStyle w:val="Source"/>
      </w:pPr>
      <w:r w:rsidRPr="00723643">
        <w:t>Source: 20</w:t>
      </w:r>
      <w:r>
        <w:t>12/13 NZHS</w:t>
      </w:r>
    </w:p>
    <w:p w14:paraId="64E113E0" w14:textId="77777777" w:rsidR="00735227" w:rsidRPr="00DE22AF" w:rsidRDefault="00735227" w:rsidP="00936322">
      <w:pPr>
        <w:pStyle w:val="Note"/>
      </w:pPr>
      <w:r>
        <w:t>*</w:t>
      </w:r>
      <w:r w:rsidR="00936322">
        <w:tab/>
      </w:r>
      <w:r>
        <w:t>There is a statistically significant difference (p&lt;0.05) between the two groups.</w:t>
      </w:r>
    </w:p>
    <w:p w14:paraId="29C46792" w14:textId="77777777" w:rsidR="00735227" w:rsidRDefault="00735227" w:rsidP="00936322"/>
    <w:p w14:paraId="6EC614CB" w14:textId="77777777" w:rsidR="007066D2" w:rsidRDefault="00735227" w:rsidP="00936322">
      <w:pPr>
        <w:pStyle w:val="Heading3"/>
      </w:pPr>
      <w:r w:rsidRPr="00FB434A">
        <w:t>Children in the most deprived areas had the highest exposure to SHS</w:t>
      </w:r>
    </w:p>
    <w:p w14:paraId="401897E6" w14:textId="77777777" w:rsidR="007066D2" w:rsidRDefault="00735227" w:rsidP="00936322">
      <w:r>
        <w:t>Similar to the pattern observed with adults, a linear gradient was observed with more children being exposed to SHS in the home and in the car with increasing neighbourhood deprivation (Figure</w:t>
      </w:r>
      <w:r w:rsidR="00936322">
        <w:t> </w:t>
      </w:r>
      <w:r>
        <w:t>28).</w:t>
      </w:r>
    </w:p>
    <w:p w14:paraId="0A88189E" w14:textId="77777777" w:rsidR="00735227" w:rsidRDefault="00735227" w:rsidP="00936322"/>
    <w:p w14:paraId="3A5AEB5F" w14:textId="77777777" w:rsidR="00AA2408" w:rsidRDefault="00735227" w:rsidP="00936322">
      <w:r>
        <w:t>Adjustments for age, sex and ethnic group differences revealed that children who lived in</w:t>
      </w:r>
      <w:r w:rsidR="007A09B4">
        <w:t xml:space="preserve"> the most deprived areas were almost eight</w:t>
      </w:r>
      <w:r>
        <w:t xml:space="preserve"> times more likely to b</w:t>
      </w:r>
      <w:r w:rsidR="007A09B4">
        <w:t>e exposed to SHS at home and four</w:t>
      </w:r>
      <w:r>
        <w:t xml:space="preserve"> times more likely to be exposed to SHS in the car than children who lived in the least deprived areas (Table</w:t>
      </w:r>
      <w:r w:rsidR="00936322">
        <w:t> </w:t>
      </w:r>
      <w:r>
        <w:t>33).</w:t>
      </w:r>
    </w:p>
    <w:p w14:paraId="0343C60B" w14:textId="71B4A640" w:rsidR="00735227" w:rsidRDefault="00735227" w:rsidP="00936322"/>
    <w:p w14:paraId="5A114C0B" w14:textId="5E2A137F" w:rsidR="00735227" w:rsidRDefault="00735227" w:rsidP="00936322">
      <w:pPr>
        <w:pStyle w:val="Figure"/>
      </w:pPr>
      <w:bookmarkStart w:id="262" w:name="_Toc399920511"/>
      <w:bookmarkStart w:id="263" w:name="_Toc404258437"/>
      <w:r>
        <w:t xml:space="preserve">Figure </w:t>
      </w:r>
      <w:r w:rsidR="00936322">
        <w:t>28</w:t>
      </w:r>
      <w:r w:rsidRPr="00CA592E">
        <w:t>:</w:t>
      </w:r>
      <w:r w:rsidR="00936322">
        <w:t xml:space="preserve"> </w:t>
      </w:r>
      <w:r w:rsidRPr="00CA592E">
        <w:t xml:space="preserve">Exposure to </w:t>
      </w:r>
      <w:r w:rsidR="00B7465A">
        <w:t>SHS</w:t>
      </w:r>
      <w:r w:rsidR="00B7465A" w:rsidRPr="00CA592E">
        <w:t xml:space="preserve"> </w:t>
      </w:r>
      <w:r w:rsidRPr="00CA592E">
        <w:t>at home and in the car for children aged 14</w:t>
      </w:r>
      <w:r w:rsidR="00936322">
        <w:t> </w:t>
      </w:r>
      <w:r w:rsidRPr="00CA592E">
        <w:t xml:space="preserve">years and under, by </w:t>
      </w:r>
      <w:bookmarkEnd w:id="262"/>
      <w:r w:rsidR="00B7465A">
        <w:t>neighbourhood deprivation</w:t>
      </w:r>
      <w:r w:rsidR="0019730B">
        <w:t xml:space="preserve"> (age-standardised)</w:t>
      </w:r>
      <w:bookmarkEnd w:id="263"/>
    </w:p>
    <w:p w14:paraId="649F16BE" w14:textId="77777777" w:rsidR="00735227" w:rsidRPr="00D26D3A" w:rsidRDefault="008129A8" w:rsidP="007959B5">
      <w:pPr>
        <w:rPr>
          <w:lang w:eastAsia="en-US"/>
        </w:rPr>
      </w:pPr>
      <w:r w:rsidRPr="008129A8">
        <w:rPr>
          <w:noProof/>
          <w:lang w:eastAsia="en-NZ"/>
        </w:rPr>
        <w:drawing>
          <wp:inline distT="0" distB="0" distL="0" distR="0" wp14:anchorId="5E8F303C" wp14:editId="363A6921">
            <wp:extent cx="4405745" cy="2602143"/>
            <wp:effectExtent l="0" t="0" r="0" b="8255"/>
            <wp:docPr id="8" name="Picture 8" title="Figure 28: Exposure to second-hand smoke at home and in the car for children aged 14 years and under, by NZDep2006 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r="10452" b="13303"/>
                    <a:stretch/>
                  </pic:blipFill>
                  <pic:spPr bwMode="auto">
                    <a:xfrm>
                      <a:off x="0" y="0"/>
                      <a:ext cx="4405215" cy="2601830"/>
                    </a:xfrm>
                    <a:prstGeom prst="rect">
                      <a:avLst/>
                    </a:prstGeom>
                    <a:ln>
                      <a:noFill/>
                    </a:ln>
                    <a:extLst>
                      <a:ext uri="{53640926-AAD7-44D8-BBD7-CCE9431645EC}">
                        <a14:shadowObscured xmlns:a14="http://schemas.microsoft.com/office/drawing/2010/main"/>
                      </a:ext>
                    </a:extLst>
                  </pic:spPr>
                </pic:pic>
              </a:graphicData>
            </a:graphic>
          </wp:inline>
        </w:drawing>
      </w:r>
    </w:p>
    <w:p w14:paraId="46385236" w14:textId="77777777" w:rsidR="007066D2" w:rsidRDefault="00735227" w:rsidP="00936322">
      <w:pPr>
        <w:pStyle w:val="Source"/>
      </w:pPr>
      <w:r w:rsidRPr="00532239">
        <w:t xml:space="preserve">Source: 2012/13 </w:t>
      </w:r>
      <w:r>
        <w:t>NZHS</w:t>
      </w:r>
    </w:p>
    <w:p w14:paraId="79B6BDA0" w14:textId="77777777" w:rsidR="00936322" w:rsidRPr="00936322" w:rsidRDefault="00936322" w:rsidP="00936322"/>
    <w:p w14:paraId="7295A56C" w14:textId="77777777" w:rsidR="00735227" w:rsidRPr="00FB434A" w:rsidRDefault="00735227" w:rsidP="00936322">
      <w:pPr>
        <w:pStyle w:val="Heading1"/>
      </w:pPr>
      <w:r>
        <w:rPr>
          <w:u w:val="single"/>
        </w:rPr>
        <w:br w:type="page"/>
      </w:r>
      <w:bookmarkStart w:id="264" w:name="_Toc390178317"/>
      <w:bookmarkStart w:id="265" w:name="_Toc400136650"/>
      <w:bookmarkStart w:id="266" w:name="_Toc404091098"/>
      <w:r w:rsidRPr="00FB434A">
        <w:t xml:space="preserve">Section 6: </w:t>
      </w:r>
      <w:bookmarkEnd w:id="264"/>
      <w:r>
        <w:t>Looking ahead</w:t>
      </w:r>
      <w:bookmarkEnd w:id="265"/>
      <w:bookmarkEnd w:id="266"/>
    </w:p>
    <w:p w14:paraId="71F81BA3" w14:textId="13998F43" w:rsidR="007066D2" w:rsidRDefault="00735227" w:rsidP="00936322">
      <w:r>
        <w:t xml:space="preserve">The purpose of this report is to provide a snapshot of tobacco use in New Zealand using data from the 2012/13 </w:t>
      </w:r>
      <w:r w:rsidR="00073390">
        <w:t>NZHS</w:t>
      </w:r>
      <w:r>
        <w:t>. It also provides information on the progress towards the aspirational goal of achieving a smokefree New Zealand by 2025.</w:t>
      </w:r>
    </w:p>
    <w:p w14:paraId="564942B6" w14:textId="77777777" w:rsidR="00735227" w:rsidRDefault="00735227" w:rsidP="00936322"/>
    <w:p w14:paraId="53911BC1" w14:textId="77777777" w:rsidR="007066D2" w:rsidRDefault="00735227" w:rsidP="00936322">
      <w:r>
        <w:t>Significant inroads have been made in reducing smoking over the past three decades, with prevalence rates reaching an all-time low of 18% (current smokers) and 16% (daily smokers). However, to achieve the 2025 smokefree goal, smoking rates must decline to 10% by 2018, and Māori and Pacific smoking rates need to halve.</w:t>
      </w:r>
    </w:p>
    <w:p w14:paraId="00E29A93" w14:textId="77777777" w:rsidR="00735227" w:rsidRDefault="00735227" w:rsidP="00936322"/>
    <w:p w14:paraId="1050BC9E" w14:textId="641F1A63" w:rsidR="007066D2" w:rsidRDefault="00735227" w:rsidP="00936322">
      <w:r>
        <w:t>Particularly encouraging is the</w:t>
      </w:r>
      <w:r w:rsidRPr="004538F3">
        <w:t xml:space="preserve"> significant decline in yout</w:t>
      </w:r>
      <w:r>
        <w:t>h smoking observed between 2006</w:t>
      </w:r>
      <w:r w:rsidR="00073390">
        <w:t xml:space="preserve"> (20%)</w:t>
      </w:r>
      <w:r>
        <w:t xml:space="preserve"> and 2012</w:t>
      </w:r>
      <w:r w:rsidR="00073390">
        <w:t xml:space="preserve"> (13%)</w:t>
      </w:r>
      <w:r>
        <w:t>.</w:t>
      </w:r>
    </w:p>
    <w:p w14:paraId="0460AA42" w14:textId="77777777" w:rsidR="00735227" w:rsidRDefault="00735227" w:rsidP="00936322"/>
    <w:p w14:paraId="0B704F14" w14:textId="77777777" w:rsidR="00735227" w:rsidRDefault="00735227" w:rsidP="00936322">
      <w:r>
        <w:t xml:space="preserve">The decline in smoking is being driven by two factors – </w:t>
      </w:r>
      <w:r>
        <w:rPr>
          <w:szCs w:val="24"/>
        </w:rPr>
        <w:t>a decrease or delay in smoking initiation (flow in) and an increase in smoking cessation (flow out).</w:t>
      </w:r>
      <w:r>
        <w:t xml:space="preserve"> A </w:t>
      </w:r>
      <w:r w:rsidRPr="004538F3">
        <w:t>wide range of health sector interventions are</w:t>
      </w:r>
      <w:r>
        <w:t xml:space="preserve"> likely</w:t>
      </w:r>
      <w:r w:rsidRPr="004538F3">
        <w:t xml:space="preserve"> </w:t>
      </w:r>
      <w:r>
        <w:t>to be impacting on these two drivers, including</w:t>
      </w:r>
      <w:r w:rsidRPr="004538F3">
        <w:t xml:space="preserve"> </w:t>
      </w:r>
      <w:r>
        <w:t>the S</w:t>
      </w:r>
      <w:r w:rsidRPr="004538F3">
        <w:t>moke</w:t>
      </w:r>
      <w:r>
        <w:t>-</w:t>
      </w:r>
      <w:r w:rsidRPr="004538F3">
        <w:t xml:space="preserve">free </w:t>
      </w:r>
      <w:r>
        <w:t>E</w:t>
      </w:r>
      <w:r w:rsidRPr="004538F3">
        <w:t>nvironment</w:t>
      </w:r>
      <w:r>
        <w:t>s Act 1990 and its subsequent amendments, high tobacco prices (due to the incremental tobacco tax increases that have occurred since 2010</w:t>
      </w:r>
      <w:r w:rsidRPr="004538F3">
        <w:t>), mass</w:t>
      </w:r>
      <w:r>
        <w:t>-</w:t>
      </w:r>
      <w:r w:rsidRPr="004538F3">
        <w:t>media campaigns and smoking cessation interventions</w:t>
      </w:r>
      <w:r>
        <w:t xml:space="preserve">. Significant emphasis has been placed on providing better access to cessation treatment and services, including the provision of an 0800 telephone </w:t>
      </w:r>
      <w:r w:rsidRPr="004538F3">
        <w:t xml:space="preserve">Quitline, </w:t>
      </w:r>
      <w:r>
        <w:t>subsidised NRT and other cessation aids</w:t>
      </w:r>
      <w:r w:rsidRPr="004538F3">
        <w:t xml:space="preserve">, </w:t>
      </w:r>
      <w:r>
        <w:t xml:space="preserve">the implementation of the </w:t>
      </w:r>
      <w:r w:rsidRPr="004955D6">
        <w:t xml:space="preserve">ABC approach by health care workers and </w:t>
      </w:r>
      <w:r>
        <w:t xml:space="preserve">offering </w:t>
      </w:r>
      <w:r w:rsidRPr="004955D6">
        <w:t>culturally appropriate s</w:t>
      </w:r>
      <w:r>
        <w:t>ervices specific to Māori, such as Aukati KaiPaipa.</w:t>
      </w:r>
    </w:p>
    <w:p w14:paraId="6E966AB9" w14:textId="77777777" w:rsidR="00735227" w:rsidRDefault="00735227" w:rsidP="00936322"/>
    <w:p w14:paraId="1B892319" w14:textId="0519AA9A" w:rsidR="007066D2" w:rsidRDefault="00735227" w:rsidP="00936322">
      <w:r w:rsidRPr="004538F3">
        <w:t xml:space="preserve">Although the majority of smokers </w:t>
      </w:r>
      <w:r>
        <w:t xml:space="preserve">often find it difficult to </w:t>
      </w:r>
      <w:r w:rsidRPr="004538F3">
        <w:t>quit smoking, data from this repor</w:t>
      </w:r>
      <w:r>
        <w:t>t show</w:t>
      </w:r>
      <w:r w:rsidR="00073390">
        <w:t>s</w:t>
      </w:r>
      <w:r>
        <w:t xml:space="preserve"> that most smokers are trying to quit, with half (49%) of recent quit attempters having used some type of quitting product or advice to assist them in their most recent quit attempt.</w:t>
      </w:r>
    </w:p>
    <w:p w14:paraId="771436E4" w14:textId="77777777" w:rsidR="00735227" w:rsidRDefault="00735227" w:rsidP="00936322"/>
    <w:p w14:paraId="5D8ACD99" w14:textId="77777777" w:rsidR="007066D2" w:rsidRDefault="00735227" w:rsidP="00936322">
      <w:r>
        <w:t xml:space="preserve">Māori </w:t>
      </w:r>
      <w:r w:rsidRPr="004538F3">
        <w:t xml:space="preserve">carry a greater burden of </w:t>
      </w:r>
      <w:r>
        <w:t xml:space="preserve">disease and </w:t>
      </w:r>
      <w:r w:rsidRPr="004538F3">
        <w:t xml:space="preserve">poor health outcomes related to tobacco exposure compared </w:t>
      </w:r>
      <w:r>
        <w:t>with</w:t>
      </w:r>
      <w:r w:rsidRPr="004538F3">
        <w:t xml:space="preserve"> the </w:t>
      </w:r>
      <w:r>
        <w:t>non-Māori</w:t>
      </w:r>
      <w:r w:rsidRPr="004538F3">
        <w:t xml:space="preserve"> population</w:t>
      </w:r>
      <w:r>
        <w:t xml:space="preserve">. Māori </w:t>
      </w:r>
      <w:r w:rsidRPr="004538F3">
        <w:t xml:space="preserve">have </w:t>
      </w:r>
      <w:r>
        <w:t>the</w:t>
      </w:r>
      <w:r w:rsidRPr="004538F3">
        <w:t xml:space="preserve"> high</w:t>
      </w:r>
      <w:r>
        <w:t>est</w:t>
      </w:r>
      <w:r w:rsidRPr="004538F3">
        <w:t xml:space="preserve"> prevalence of current smoking among adults and youth and </w:t>
      </w:r>
      <w:r>
        <w:t xml:space="preserve">a </w:t>
      </w:r>
      <w:r w:rsidRPr="004538F3">
        <w:t xml:space="preserve">high </w:t>
      </w:r>
      <w:r>
        <w:t>prevalence</w:t>
      </w:r>
      <w:r w:rsidRPr="004538F3">
        <w:t xml:space="preserve"> of exposure to second-hand smoke</w:t>
      </w:r>
      <w:r>
        <w:t xml:space="preserve">. Given the higher prevalence of smoking by Māori, it is encouraging to find that </w:t>
      </w:r>
      <w:r w:rsidRPr="004538F3">
        <w:t xml:space="preserve">Māori </w:t>
      </w:r>
      <w:r>
        <w:t xml:space="preserve">smokers </w:t>
      </w:r>
      <w:r w:rsidRPr="004538F3">
        <w:t xml:space="preserve">were more likely to have received </w:t>
      </w:r>
      <w:r>
        <w:t xml:space="preserve">the </w:t>
      </w:r>
      <w:r w:rsidRPr="004538F3">
        <w:t xml:space="preserve">ABC </w:t>
      </w:r>
      <w:r>
        <w:t xml:space="preserve">pathway </w:t>
      </w:r>
      <w:r w:rsidRPr="004538F3">
        <w:t>from a health care worker in the past 12</w:t>
      </w:r>
      <w:r>
        <w:t xml:space="preserve"> months than the non-Māori smoker </w:t>
      </w:r>
      <w:r w:rsidRPr="004538F3">
        <w:t>population</w:t>
      </w:r>
      <w:r>
        <w:t>. Māori smokers were also shown to be making more use of quitting services and products (eg, NRT) compared with the non-Māori population. This demonstrates that targeted smoking cessation programmes are reaching their target audience.</w:t>
      </w:r>
    </w:p>
    <w:p w14:paraId="30FE61B1" w14:textId="77777777" w:rsidR="00735227" w:rsidRDefault="00735227" w:rsidP="00936322"/>
    <w:p w14:paraId="29F6877D" w14:textId="77777777" w:rsidR="007066D2" w:rsidRDefault="00735227" w:rsidP="00936322">
      <w:r>
        <w:t>Pacific peoples have the second highest smoking prevalence rates after Māori and also carry a significant burden of disease and poor tobacco-related health outcomes compared with the non-Pacific population. Pacific people who had seen a GP in the past 12 months were significantly more likely to have been asked their smoking status and given brief quitting advice in the past 12</w:t>
      </w:r>
      <w:r w:rsidR="00936322">
        <w:t> </w:t>
      </w:r>
      <w:r>
        <w:t>months than the non-Pacific population. Pacific recent quit attempters however, were significantly less likely to have used a quitting product in their most recent quit attempt than non-Pacific recent quit attempters. This highlights the need to target Pacific people for smoking cessation efforts.</w:t>
      </w:r>
    </w:p>
    <w:p w14:paraId="71B8851F" w14:textId="77777777" w:rsidR="00735227" w:rsidRDefault="00735227" w:rsidP="00936322"/>
    <w:p w14:paraId="4ED7F7BD" w14:textId="77777777" w:rsidR="00735227" w:rsidRDefault="00735227" w:rsidP="00936322">
      <w:r>
        <w:t>The survey results have emphasised the strong associations between smoking and mental health and smoking and alcohol use. This highlights the consideration for combining efforts to address mental health and heavy alcohol drinking with smoking cessation efforts.</w:t>
      </w:r>
    </w:p>
    <w:p w14:paraId="09185760" w14:textId="77777777" w:rsidR="00735227" w:rsidRDefault="00735227" w:rsidP="00936322"/>
    <w:p w14:paraId="05DCB421" w14:textId="14EBECB4" w:rsidR="007066D2" w:rsidRDefault="00735227" w:rsidP="00936322">
      <w:r>
        <w:t>In conclusion, New Zealand is progressing well as it strives to become a smokefree nation by 2025. However, if the 2025 smokefree goal is to be achieved, considerable and sustained efforts towards tobacco control must continue across government, schools, communities and families.</w:t>
      </w:r>
    </w:p>
    <w:p w14:paraId="7EF6F694" w14:textId="77777777" w:rsidR="00936322" w:rsidRDefault="00936322" w:rsidP="00936322"/>
    <w:p w14:paraId="635E8C7E" w14:textId="77777777" w:rsidR="00735227" w:rsidRPr="00F9437A" w:rsidRDefault="00735227" w:rsidP="00936322">
      <w:pPr>
        <w:pStyle w:val="Heading1"/>
        <w:rPr>
          <w:u w:val="single"/>
        </w:rPr>
      </w:pPr>
      <w:r>
        <w:rPr>
          <w:u w:val="single"/>
        </w:rPr>
        <w:br w:type="page"/>
      </w:r>
      <w:bookmarkStart w:id="267" w:name="_Toc390178318"/>
      <w:bookmarkStart w:id="268" w:name="_Toc400136651"/>
      <w:bookmarkStart w:id="269" w:name="_Toc404091099"/>
      <w:r w:rsidRPr="00FB434A">
        <w:t>Appendix</w:t>
      </w:r>
      <w:r w:rsidRPr="00F9437A">
        <w:t xml:space="preserve"> 1:</w:t>
      </w:r>
      <w:r w:rsidR="00936322">
        <w:br/>
      </w:r>
      <w:r w:rsidRPr="00F9437A">
        <w:t>Statistical methods</w:t>
      </w:r>
      <w:bookmarkEnd w:id="267"/>
      <w:bookmarkEnd w:id="268"/>
      <w:bookmarkEnd w:id="269"/>
    </w:p>
    <w:p w14:paraId="3D409A03" w14:textId="77777777" w:rsidR="007066D2" w:rsidRDefault="00735227" w:rsidP="00936322">
      <w:r w:rsidRPr="00FB434A">
        <w:t>This section gives some key information to aid interpretation of the survey results.</w:t>
      </w:r>
    </w:p>
    <w:p w14:paraId="72612F91" w14:textId="77777777" w:rsidR="00936322" w:rsidRDefault="00936322" w:rsidP="00936322"/>
    <w:p w14:paraId="156ABCA6" w14:textId="77777777" w:rsidR="00735227" w:rsidRPr="00FB434A" w:rsidRDefault="00735227" w:rsidP="00936322">
      <w:pPr>
        <w:pStyle w:val="Heading4"/>
      </w:pPr>
      <w:r w:rsidRPr="00FB434A">
        <w:t>Percentage refer</w:t>
      </w:r>
      <w:r>
        <w:t>s</w:t>
      </w:r>
      <w:r w:rsidRPr="00FB434A">
        <w:t xml:space="preserve"> to prevalence</w:t>
      </w:r>
    </w:p>
    <w:p w14:paraId="3AD3E03B" w14:textId="49DCAF68" w:rsidR="007066D2" w:rsidRDefault="00735227" w:rsidP="00936322">
      <w:r w:rsidRPr="00FB434A">
        <w:t xml:space="preserve">Any percentages given in the text refer to </w:t>
      </w:r>
      <w:r w:rsidR="00AA2408">
        <w:t>‘</w:t>
      </w:r>
      <w:r w:rsidRPr="00A92D1B">
        <w:rPr>
          <w:iCs/>
        </w:rPr>
        <w:t>prevalence</w:t>
      </w:r>
      <w:r w:rsidR="00AA2408">
        <w:rPr>
          <w:iCs/>
        </w:rPr>
        <w:t>’</w:t>
      </w:r>
      <w:r w:rsidRPr="00457370">
        <w:t>;</w:t>
      </w:r>
      <w:r w:rsidRPr="00FB434A">
        <w:t xml:space="preserve"> that is, the percentage of people affected in the population group of interest.</w:t>
      </w:r>
    </w:p>
    <w:p w14:paraId="6D4E0C8D" w14:textId="77777777" w:rsidR="00735227" w:rsidRDefault="00735227" w:rsidP="00936322"/>
    <w:p w14:paraId="6644643F" w14:textId="77777777" w:rsidR="007066D2" w:rsidRDefault="00735227" w:rsidP="00936322">
      <w:pPr>
        <w:pStyle w:val="Heading4"/>
      </w:pPr>
      <w:r w:rsidRPr="00FB434A">
        <w:t>Reliability of survey results</w:t>
      </w:r>
    </w:p>
    <w:p w14:paraId="68C6BBCC" w14:textId="77777777" w:rsidR="007066D2" w:rsidRDefault="00735227" w:rsidP="00936322">
      <w:r w:rsidRPr="00FB434A">
        <w:t>The survey results are likely to underestimate or overestimate some indicators due to the nature of self-reported information. For example, many of the survey results assume that respondents can accurately recall events (such as a diagnosis by a doctor).</w:t>
      </w:r>
    </w:p>
    <w:p w14:paraId="2B1F6511" w14:textId="77777777" w:rsidR="00735227" w:rsidRPr="00FB434A" w:rsidRDefault="00735227" w:rsidP="00936322"/>
    <w:p w14:paraId="6E74FC7D" w14:textId="77777777" w:rsidR="007066D2" w:rsidRDefault="00735227" w:rsidP="00936322">
      <w:r w:rsidRPr="00FB434A">
        <w:t>People may also over-report good behaviours or under-report risk behaviours based on what they consider to be socially desirable. The amount of error will vary depending on a number of factors (including the age of the respondent).</w:t>
      </w:r>
    </w:p>
    <w:p w14:paraId="190733E9" w14:textId="77777777" w:rsidR="00735227" w:rsidRPr="00FB434A" w:rsidRDefault="00735227" w:rsidP="00936322"/>
    <w:p w14:paraId="445F25B8" w14:textId="77777777" w:rsidR="007066D2" w:rsidRDefault="00735227" w:rsidP="00936322">
      <w:pPr>
        <w:pStyle w:val="Heading4"/>
      </w:pPr>
      <w:r w:rsidRPr="00FB434A">
        <w:t>Survey results show associations</w:t>
      </w:r>
      <w:r>
        <w:t xml:space="preserve"> rather than</w:t>
      </w:r>
      <w:r w:rsidRPr="00FB434A">
        <w:t xml:space="preserve"> cause-and-effect relationships</w:t>
      </w:r>
    </w:p>
    <w:p w14:paraId="1136E6E7" w14:textId="77777777" w:rsidR="007066D2" w:rsidRDefault="00735227" w:rsidP="00936322">
      <w:r w:rsidRPr="00FB434A">
        <w:t>This survey presents a picture of the health of New Zealand adults and children at one point in time. The survey can be used to look at associations between different factors, such as health status and neighbourhood deprivation. However, we cannot conclude that the survey results show cause-and-effect relationships between these factors, in part because we do not know which factor occurred first.</w:t>
      </w:r>
    </w:p>
    <w:p w14:paraId="0244E458" w14:textId="77777777" w:rsidR="00936322" w:rsidRDefault="00936322" w:rsidP="00936322"/>
    <w:p w14:paraId="27F8AED4" w14:textId="77777777" w:rsidR="007066D2" w:rsidRDefault="00735227" w:rsidP="00936322">
      <w:r w:rsidRPr="00FB434A">
        <w:t>For example, if the survey finds that a particular condition is more common in people living in deprived areas, an association has been identified. This association does not necessarily mean</w:t>
      </w:r>
      <w:r>
        <w:t xml:space="preserve"> that</w:t>
      </w:r>
      <w:r w:rsidRPr="00FB434A">
        <w:t xml:space="preserve"> the condition is caused by living in deprived areas.</w:t>
      </w:r>
    </w:p>
    <w:p w14:paraId="0A57D0F7" w14:textId="77777777" w:rsidR="00735227" w:rsidRPr="00FB434A" w:rsidRDefault="00735227" w:rsidP="00936322"/>
    <w:p w14:paraId="65F844F5" w14:textId="77777777" w:rsidR="007066D2" w:rsidRDefault="00735227" w:rsidP="00936322">
      <w:pPr>
        <w:pStyle w:val="Heading4"/>
      </w:pPr>
      <w:r w:rsidRPr="00FB434A">
        <w:t>Total response ethnicity</w:t>
      </w:r>
    </w:p>
    <w:p w14:paraId="007A51CF" w14:textId="77777777" w:rsidR="007066D2" w:rsidRDefault="00735227" w:rsidP="00936322">
      <w:r w:rsidRPr="00FB434A">
        <w:t>This report uses total response ethnicity to define ethnic groups. Total response ethnicity classifies a person in all the ethnic groups they identify with. This means that people can appear in more than one ethnic group.</w:t>
      </w:r>
    </w:p>
    <w:p w14:paraId="6FA12DC4" w14:textId="77777777" w:rsidR="00735227" w:rsidRPr="00FB434A" w:rsidRDefault="00735227" w:rsidP="00936322"/>
    <w:p w14:paraId="1565A18E" w14:textId="77777777" w:rsidR="00735227" w:rsidRDefault="00735227" w:rsidP="00936322">
      <w:pPr>
        <w:pStyle w:val="Heading1"/>
      </w:pPr>
      <w:r>
        <w:br w:type="page"/>
      </w:r>
      <w:bookmarkStart w:id="270" w:name="_Toc400136652"/>
      <w:bookmarkStart w:id="271" w:name="_Toc404091100"/>
      <w:r>
        <w:t>References</w:t>
      </w:r>
      <w:bookmarkEnd w:id="270"/>
      <w:bookmarkEnd w:id="271"/>
    </w:p>
    <w:p w14:paraId="76F3926F" w14:textId="77777777" w:rsidR="00735227" w:rsidRPr="005D698A" w:rsidRDefault="00735227" w:rsidP="00936322">
      <w:pPr>
        <w:pStyle w:val="References"/>
      </w:pPr>
      <w:r w:rsidRPr="005D698A">
        <w:t xml:space="preserve">Alcohol Advisory Council of New Zealand. 2008. </w:t>
      </w:r>
      <w:r>
        <w:t>Is your drinking okay?</w:t>
      </w:r>
      <w:r w:rsidRPr="005D698A">
        <w:rPr>
          <w:i/>
        </w:rPr>
        <w:t xml:space="preserve"> </w:t>
      </w:r>
      <w:hyperlink r:id="rId49" w:history="1">
        <w:r w:rsidRPr="0041023D">
          <w:rPr>
            <w:rStyle w:val="Hyperlink"/>
            <w:szCs w:val="22"/>
          </w:rPr>
          <w:t xml:space="preserve">URL: </w:t>
        </w:r>
        <w:r w:rsidRPr="004831E9">
          <w:rPr>
            <w:rStyle w:val="Hyperlink"/>
            <w:szCs w:val="22"/>
          </w:rPr>
          <w:t>www.alac.org.nz/LowRiskDrinking.aspx (accessed June 2014</w:t>
        </w:r>
      </w:hyperlink>
      <w:r>
        <w:rPr>
          <w:rStyle w:val="Hyperlink"/>
          <w:szCs w:val="22"/>
        </w:rPr>
        <w:t>)</w:t>
      </w:r>
      <w:r w:rsidRPr="005D698A">
        <w:t>.</w:t>
      </w:r>
    </w:p>
    <w:p w14:paraId="7945A1F5" w14:textId="77777777" w:rsidR="00735227" w:rsidRPr="007066D2" w:rsidRDefault="00735227" w:rsidP="00936322">
      <w:pPr>
        <w:pStyle w:val="References"/>
        <w:rPr>
          <w:rFonts w:cs="Arial"/>
        </w:rPr>
      </w:pPr>
      <w:r w:rsidRPr="005D698A">
        <w:t xml:space="preserve">Anthony JC, Echeagaray-Wagner F. 2000. Epidemiologic analysis of alcohol and tobacco use. </w:t>
      </w:r>
      <w:r w:rsidRPr="007066D2">
        <w:rPr>
          <w:rFonts w:cs="Arial"/>
          <w:i/>
        </w:rPr>
        <w:t>Alcohol Research and Health</w:t>
      </w:r>
      <w:r w:rsidRPr="007066D2">
        <w:rPr>
          <w:rFonts w:cs="Arial"/>
        </w:rPr>
        <w:t xml:space="preserve"> 24: 201–8.</w:t>
      </w:r>
    </w:p>
    <w:p w14:paraId="7F633B19" w14:textId="77777777" w:rsidR="00735227" w:rsidRDefault="00735227" w:rsidP="00936322">
      <w:pPr>
        <w:pStyle w:val="References"/>
        <w:rPr>
          <w:rFonts w:cs="Arial"/>
          <w:sz w:val="22"/>
        </w:rPr>
      </w:pPr>
      <w:r w:rsidRPr="007066D2">
        <w:rPr>
          <w:rFonts w:cs="Arial"/>
          <w:sz w:val="22"/>
        </w:rPr>
        <w:t xml:space="preserve">Augustson EM, Wanke KL, Rogers S, </w:t>
      </w:r>
      <w:r w:rsidR="00AC6FF3">
        <w:rPr>
          <w:rFonts w:cs="Arial"/>
          <w:sz w:val="22"/>
        </w:rPr>
        <w:t>et al</w:t>
      </w:r>
      <w:r w:rsidRPr="007066D2">
        <w:rPr>
          <w:rFonts w:cs="Arial"/>
          <w:sz w:val="22"/>
        </w:rPr>
        <w:t xml:space="preserve">. 2008. </w:t>
      </w:r>
      <w:r w:rsidRPr="005D698A">
        <w:rPr>
          <w:rFonts w:cs="Arial"/>
          <w:sz w:val="22"/>
        </w:rPr>
        <w:t xml:space="preserve">Predictors of sustained smoking cessation: </w:t>
      </w:r>
      <w:r>
        <w:rPr>
          <w:rFonts w:cs="Arial"/>
          <w:sz w:val="22"/>
        </w:rPr>
        <w:t>a</w:t>
      </w:r>
      <w:r w:rsidRPr="005D698A">
        <w:rPr>
          <w:rFonts w:cs="Arial"/>
          <w:sz w:val="22"/>
        </w:rPr>
        <w:t xml:space="preserve"> prospective analysis of chronic smokers from the Alpha-Tocopherol Beta-Carotene Cancer Prevention Study. </w:t>
      </w:r>
      <w:r w:rsidRPr="005D698A">
        <w:rPr>
          <w:rFonts w:cs="Arial"/>
          <w:i/>
          <w:sz w:val="22"/>
        </w:rPr>
        <w:t xml:space="preserve">American Journal of Public Health </w:t>
      </w:r>
      <w:r w:rsidRPr="005D698A">
        <w:rPr>
          <w:rFonts w:cs="Arial"/>
          <w:sz w:val="22"/>
        </w:rPr>
        <w:t>98: 549</w:t>
      </w:r>
      <w:r>
        <w:rPr>
          <w:rFonts w:cs="Arial"/>
          <w:sz w:val="22"/>
        </w:rPr>
        <w:t>–</w:t>
      </w:r>
      <w:r w:rsidRPr="005D698A">
        <w:rPr>
          <w:rFonts w:cs="Arial"/>
          <w:sz w:val="22"/>
        </w:rPr>
        <w:t>55.</w:t>
      </w:r>
    </w:p>
    <w:p w14:paraId="1CDF1B1B" w14:textId="77777777" w:rsidR="00735227" w:rsidRDefault="00735227" w:rsidP="00936322">
      <w:pPr>
        <w:pStyle w:val="References"/>
        <w:rPr>
          <w:sz w:val="22"/>
        </w:rPr>
      </w:pPr>
      <w:r>
        <w:rPr>
          <w:rFonts w:cs="Arial"/>
          <w:sz w:val="22"/>
        </w:rPr>
        <w:t xml:space="preserve">Bramley D, Broad J, Jackson R, </w:t>
      </w:r>
      <w:r w:rsidR="00AC6FF3">
        <w:rPr>
          <w:rFonts w:cs="Arial"/>
          <w:sz w:val="22"/>
        </w:rPr>
        <w:t>et al</w:t>
      </w:r>
      <w:r>
        <w:rPr>
          <w:rFonts w:cs="Arial"/>
          <w:sz w:val="22"/>
        </w:rPr>
        <w:t>. 2006. Cardiovascular risk factors and their associations with alcohol consumption: are there differences between Maori and non-Maori</w:t>
      </w:r>
      <w:r w:rsidR="007066D2">
        <w:rPr>
          <w:rFonts w:cs="Arial"/>
          <w:sz w:val="22"/>
        </w:rPr>
        <w:t xml:space="preserve"> </w:t>
      </w:r>
      <w:r>
        <w:rPr>
          <w:rFonts w:cs="Arial"/>
          <w:sz w:val="22"/>
        </w:rPr>
        <w:t xml:space="preserve">in Aotearoa (New Zealand)? </w:t>
      </w:r>
      <w:r w:rsidRPr="005D698A">
        <w:rPr>
          <w:i/>
          <w:sz w:val="22"/>
        </w:rPr>
        <w:t>The New Zealand Medical Journal</w:t>
      </w:r>
      <w:r>
        <w:rPr>
          <w:i/>
          <w:sz w:val="22"/>
        </w:rPr>
        <w:t>.</w:t>
      </w:r>
      <w:r>
        <w:rPr>
          <w:sz w:val="22"/>
        </w:rPr>
        <w:t xml:space="preserve"> 119:</w:t>
      </w:r>
      <w:r w:rsidR="00936322">
        <w:rPr>
          <w:sz w:val="22"/>
        </w:rPr>
        <w:t> </w:t>
      </w:r>
      <w:r>
        <w:rPr>
          <w:sz w:val="22"/>
        </w:rPr>
        <w:t>U1929.</w:t>
      </w:r>
    </w:p>
    <w:p w14:paraId="361F9960" w14:textId="77777777" w:rsidR="00735227" w:rsidRPr="007066D2" w:rsidRDefault="00735227" w:rsidP="00936322">
      <w:pPr>
        <w:pStyle w:val="References"/>
        <w:rPr>
          <w:rFonts w:cs="Arial"/>
        </w:rPr>
      </w:pPr>
      <w:r w:rsidRPr="007066D2">
        <w:rPr>
          <w:rFonts w:cs="Arial"/>
        </w:rPr>
        <w:t xml:space="preserve">Breslau N, Schultz LR, Johnson EO, </w:t>
      </w:r>
      <w:r w:rsidR="00AC6FF3">
        <w:rPr>
          <w:rFonts w:cs="Arial"/>
        </w:rPr>
        <w:t>et al</w:t>
      </w:r>
      <w:r w:rsidRPr="007066D2">
        <w:rPr>
          <w:rFonts w:cs="Arial"/>
        </w:rPr>
        <w:t xml:space="preserve">. 2005. Smoking and the risk of suicidal behaviour: a prospective study of a community sample. </w:t>
      </w:r>
      <w:r w:rsidRPr="007066D2">
        <w:rPr>
          <w:rFonts w:cs="Arial"/>
          <w:i/>
        </w:rPr>
        <w:t xml:space="preserve">Archives of General Psychiatry </w:t>
      </w:r>
      <w:r w:rsidRPr="007066D2">
        <w:rPr>
          <w:rFonts w:cs="Arial"/>
        </w:rPr>
        <w:t>62(3): 328–34.</w:t>
      </w:r>
    </w:p>
    <w:p w14:paraId="754BC50C" w14:textId="77777777" w:rsidR="00735227" w:rsidRPr="007066D2" w:rsidRDefault="00735227" w:rsidP="00936322">
      <w:pPr>
        <w:pStyle w:val="References"/>
        <w:rPr>
          <w:rFonts w:cs="Arial"/>
        </w:rPr>
      </w:pPr>
      <w:r w:rsidRPr="007066D2">
        <w:rPr>
          <w:rFonts w:cs="Arial"/>
        </w:rPr>
        <w:t xml:space="preserve">Chiolero A, Wietlisbach V, Ruffieux C, </w:t>
      </w:r>
      <w:r w:rsidR="00AC6FF3">
        <w:rPr>
          <w:rFonts w:cs="Arial"/>
        </w:rPr>
        <w:t>et al</w:t>
      </w:r>
      <w:r w:rsidRPr="007066D2">
        <w:rPr>
          <w:rFonts w:cs="Arial"/>
        </w:rPr>
        <w:t xml:space="preserve">. 2006. Clustering of risk behaviours with cigarette consumption: a population-based survey. </w:t>
      </w:r>
      <w:r w:rsidRPr="007066D2">
        <w:rPr>
          <w:rFonts w:cs="Arial"/>
          <w:i/>
        </w:rPr>
        <w:t xml:space="preserve">Preventative Medicine </w:t>
      </w:r>
      <w:r w:rsidRPr="007066D2">
        <w:rPr>
          <w:rFonts w:cs="Arial"/>
        </w:rPr>
        <w:t>42: 348–53.</w:t>
      </w:r>
    </w:p>
    <w:p w14:paraId="76D36101" w14:textId="77777777" w:rsidR="007066D2" w:rsidRPr="007066D2" w:rsidRDefault="00735227" w:rsidP="00936322">
      <w:pPr>
        <w:pStyle w:val="References"/>
        <w:rPr>
          <w:rFonts w:cs="Arial"/>
        </w:rPr>
      </w:pPr>
      <w:r w:rsidRPr="007066D2">
        <w:rPr>
          <w:rFonts w:cs="Arial"/>
        </w:rPr>
        <w:t xml:space="preserve">Cosci F, Knuts IJE, Abrams K, </w:t>
      </w:r>
      <w:r w:rsidR="00AC6FF3">
        <w:rPr>
          <w:rFonts w:cs="Arial"/>
        </w:rPr>
        <w:t>et al</w:t>
      </w:r>
      <w:r w:rsidRPr="007066D2">
        <w:rPr>
          <w:rFonts w:cs="Arial"/>
        </w:rPr>
        <w:t xml:space="preserve">. 2009. Cigarette smoking &amp; panic: a critical review of the literature. </w:t>
      </w:r>
      <w:r w:rsidRPr="007066D2">
        <w:rPr>
          <w:rFonts w:cs="Arial"/>
          <w:i/>
          <w:iCs/>
        </w:rPr>
        <w:t xml:space="preserve">Journal of Clinical Psychiatry </w:t>
      </w:r>
      <w:r w:rsidRPr="007066D2">
        <w:rPr>
          <w:rFonts w:cs="Arial"/>
          <w:iCs/>
        </w:rPr>
        <w:t>71(5)</w:t>
      </w:r>
      <w:r w:rsidRPr="007066D2">
        <w:rPr>
          <w:rFonts w:cs="Arial"/>
        </w:rPr>
        <w:t>: 606–15.</w:t>
      </w:r>
    </w:p>
    <w:p w14:paraId="263D691D" w14:textId="77777777" w:rsidR="00735227" w:rsidRPr="007066D2" w:rsidRDefault="00735227" w:rsidP="00936322">
      <w:pPr>
        <w:pStyle w:val="References"/>
        <w:rPr>
          <w:rFonts w:cs="Arial"/>
        </w:rPr>
      </w:pPr>
      <w:r w:rsidRPr="007066D2">
        <w:rPr>
          <w:rFonts w:cs="Arial"/>
        </w:rPr>
        <w:t xml:space="preserve">Dawson DA. 2000. Drinking as a risk factor for sustained smoking. </w:t>
      </w:r>
      <w:r w:rsidRPr="007066D2">
        <w:rPr>
          <w:rFonts w:cs="Arial"/>
          <w:i/>
        </w:rPr>
        <w:t xml:space="preserve">Drug and Alcohol Dependency </w:t>
      </w:r>
      <w:r w:rsidRPr="007066D2">
        <w:rPr>
          <w:rFonts w:cs="Arial"/>
        </w:rPr>
        <w:t>59: 235–49.</w:t>
      </w:r>
    </w:p>
    <w:p w14:paraId="1CF639DB" w14:textId="2C88DF58" w:rsidR="00735227" w:rsidRPr="007066D2" w:rsidRDefault="00735227" w:rsidP="00936322">
      <w:pPr>
        <w:pStyle w:val="References"/>
        <w:rPr>
          <w:rFonts w:cs="Arial"/>
        </w:rPr>
      </w:pPr>
      <w:r w:rsidRPr="007066D2">
        <w:rPr>
          <w:rFonts w:cs="Arial"/>
        </w:rPr>
        <w:t xml:space="preserve">Dollar KM, Homish GG, Kozlowski LT, </w:t>
      </w:r>
      <w:r w:rsidR="00AC6FF3">
        <w:rPr>
          <w:rFonts w:cs="Arial"/>
        </w:rPr>
        <w:t>et al</w:t>
      </w:r>
      <w:r w:rsidRPr="007066D2">
        <w:rPr>
          <w:rFonts w:cs="Arial"/>
        </w:rPr>
        <w:t xml:space="preserve">. 2009. Spousal and alcohol-related predictors of smoking cessation: a longitudinal study in a community sample of married couples. </w:t>
      </w:r>
      <w:r w:rsidRPr="007066D2">
        <w:rPr>
          <w:rFonts w:cs="Arial"/>
          <w:i/>
        </w:rPr>
        <w:t xml:space="preserve">American Journal of Public Health </w:t>
      </w:r>
      <w:r w:rsidRPr="007066D2">
        <w:rPr>
          <w:rFonts w:cs="Arial"/>
        </w:rPr>
        <w:t>99:</w:t>
      </w:r>
      <w:r w:rsidR="00000BA9">
        <w:rPr>
          <w:rFonts w:cs="Arial"/>
        </w:rPr>
        <w:t xml:space="preserve"> </w:t>
      </w:r>
      <w:r w:rsidRPr="007066D2">
        <w:rPr>
          <w:rFonts w:cs="Arial"/>
        </w:rPr>
        <w:t>231–33.</w:t>
      </w:r>
    </w:p>
    <w:p w14:paraId="2D164281" w14:textId="77777777" w:rsidR="00735227" w:rsidRPr="007066D2" w:rsidRDefault="00735227" w:rsidP="00936322">
      <w:pPr>
        <w:pStyle w:val="References"/>
        <w:rPr>
          <w:rFonts w:cs="Arial"/>
        </w:rPr>
      </w:pPr>
      <w:r w:rsidRPr="007066D2">
        <w:rPr>
          <w:rFonts w:cs="Arial"/>
        </w:rPr>
        <w:t xml:space="preserve">Falk DE, Yi HY, Hiller-Sturmhofel S. 2006. An epidemiologic analysis of co-occuring alcohol and tobacco use and disorders: findings from the National Epidemiologic Survey on Alcohol and Related Conditions. </w:t>
      </w:r>
      <w:r w:rsidRPr="007066D2">
        <w:rPr>
          <w:rFonts w:cs="Arial"/>
          <w:i/>
        </w:rPr>
        <w:t>Alcohol Research and Health</w:t>
      </w:r>
      <w:r w:rsidRPr="007066D2">
        <w:rPr>
          <w:rFonts w:cs="Arial"/>
        </w:rPr>
        <w:t xml:space="preserve"> 29: 162–71.</w:t>
      </w:r>
    </w:p>
    <w:p w14:paraId="4A020E54" w14:textId="77777777" w:rsidR="00735227" w:rsidRPr="005D698A" w:rsidRDefault="00735227" w:rsidP="005F1945">
      <w:pPr>
        <w:pStyle w:val="References"/>
      </w:pPr>
      <w:r w:rsidRPr="005D698A">
        <w:t>Fergusson DM, Goodwin RD, Horwood LJ. 2003. Major depression and cigarette smoking: results of a 21</w:t>
      </w:r>
      <w:r>
        <w:t>-</w:t>
      </w:r>
      <w:r w:rsidRPr="005D698A">
        <w:t xml:space="preserve">year longitudinal study. </w:t>
      </w:r>
      <w:r w:rsidRPr="005D698A">
        <w:rPr>
          <w:i/>
        </w:rPr>
        <w:t xml:space="preserve">Psychological Medicine </w:t>
      </w:r>
      <w:r w:rsidRPr="005D698A">
        <w:t>33(8): 1357</w:t>
      </w:r>
      <w:r>
        <w:t>–</w:t>
      </w:r>
      <w:r w:rsidRPr="005D698A">
        <w:t>67. DOI 10.1017/S0033291703008596</w:t>
      </w:r>
      <w:r>
        <w:t xml:space="preserve"> (accessed May 2014).</w:t>
      </w:r>
    </w:p>
    <w:p w14:paraId="4BEC8096" w14:textId="77777777" w:rsidR="00735227" w:rsidRPr="005D698A" w:rsidRDefault="00735227" w:rsidP="005F1945">
      <w:pPr>
        <w:pStyle w:val="References"/>
      </w:pPr>
      <w:r w:rsidRPr="005D698A">
        <w:t xml:space="preserve">Hymowitz N, Cummings KM, Hyland A, </w:t>
      </w:r>
      <w:r w:rsidR="00AC6FF3">
        <w:t>et al</w:t>
      </w:r>
      <w:r w:rsidRPr="005D698A">
        <w:t xml:space="preserve">. 1997. Predictors of smoking cessation in a cohort of adult smokers followed for five years. </w:t>
      </w:r>
      <w:r w:rsidRPr="005D698A">
        <w:rPr>
          <w:i/>
        </w:rPr>
        <w:t xml:space="preserve">Tobacco Control </w:t>
      </w:r>
      <w:r w:rsidRPr="005D698A">
        <w:t>6: S57</w:t>
      </w:r>
      <w:r>
        <w:t>–</w:t>
      </w:r>
      <w:r w:rsidRPr="005D698A">
        <w:t>S62.</w:t>
      </w:r>
    </w:p>
    <w:p w14:paraId="4B0DCCB0" w14:textId="77777777" w:rsidR="00735227" w:rsidRDefault="00735227" w:rsidP="005F1945">
      <w:pPr>
        <w:pStyle w:val="References"/>
      </w:pPr>
      <w:r w:rsidRPr="005D698A">
        <w:t xml:space="preserve">Kahler CW, Strong DR, Papandonatos GD, </w:t>
      </w:r>
      <w:r w:rsidR="00AC6FF3">
        <w:t>et al</w:t>
      </w:r>
      <w:r w:rsidRPr="005D698A">
        <w:t xml:space="preserve">. 2008. Cigarette smoking and the lifetime alcohol involvement </w:t>
      </w:r>
      <w:r w:rsidR="00312920" w:rsidRPr="005D698A">
        <w:t>continuum</w:t>
      </w:r>
      <w:r w:rsidRPr="005D698A">
        <w:t xml:space="preserve">. </w:t>
      </w:r>
      <w:r w:rsidRPr="005D698A">
        <w:rPr>
          <w:i/>
        </w:rPr>
        <w:t xml:space="preserve">Drug and Alcohol </w:t>
      </w:r>
      <w:r w:rsidRPr="00352D53">
        <w:rPr>
          <w:i/>
        </w:rPr>
        <w:t>Depend</w:t>
      </w:r>
      <w:r w:rsidR="00352D53" w:rsidRPr="00352D53">
        <w:rPr>
          <w:i/>
        </w:rPr>
        <w:t>e</w:t>
      </w:r>
      <w:r w:rsidRPr="00352D53">
        <w:rPr>
          <w:i/>
        </w:rPr>
        <w:t>nce</w:t>
      </w:r>
      <w:r w:rsidRPr="005D698A">
        <w:t xml:space="preserve"> 93: 111</w:t>
      </w:r>
      <w:r>
        <w:t>–</w:t>
      </w:r>
      <w:r w:rsidRPr="005D698A">
        <w:t>20.</w:t>
      </w:r>
    </w:p>
    <w:p w14:paraId="6B725FBD" w14:textId="1065CD7D" w:rsidR="007066D2" w:rsidRDefault="00735227" w:rsidP="005F1945">
      <w:pPr>
        <w:pStyle w:val="References"/>
      </w:pPr>
      <w:r>
        <w:t xml:space="preserve">Kypri K, Langley JD, McGee R, </w:t>
      </w:r>
      <w:r w:rsidR="00AC6FF3">
        <w:t>et al</w:t>
      </w:r>
      <w:r>
        <w:t xml:space="preserve">. 2002. High prevalence, persistent hazardous drinking among New Zealand tertiary students. </w:t>
      </w:r>
      <w:r w:rsidRPr="0033419E">
        <w:rPr>
          <w:i/>
        </w:rPr>
        <w:t>Alcohol and Alcoholism</w:t>
      </w:r>
      <w:r>
        <w:t xml:space="preserve"> 37:</w:t>
      </w:r>
      <w:r w:rsidR="00000BA9">
        <w:t xml:space="preserve"> </w:t>
      </w:r>
      <w:r>
        <w:t>457</w:t>
      </w:r>
      <w:r w:rsidR="00513BC3">
        <w:t>–</w:t>
      </w:r>
      <w:r>
        <w:t>64.</w:t>
      </w:r>
    </w:p>
    <w:p w14:paraId="1DCFD3C4" w14:textId="77777777" w:rsidR="00735227" w:rsidRPr="005D698A" w:rsidRDefault="00735227" w:rsidP="005F1945">
      <w:pPr>
        <w:pStyle w:val="References"/>
      </w:pPr>
      <w:r w:rsidRPr="005D698A">
        <w:t xml:space="preserve">Ministry of Health. 2009. </w:t>
      </w:r>
      <w:r w:rsidRPr="005D698A">
        <w:rPr>
          <w:i/>
        </w:rPr>
        <w:t>Health Targets 2009/10</w:t>
      </w:r>
      <w:r w:rsidRPr="005D698A">
        <w:t>. Wellington: Ministry of Health.</w:t>
      </w:r>
    </w:p>
    <w:p w14:paraId="48FBD4A7" w14:textId="77777777" w:rsidR="00735227" w:rsidRPr="005D698A" w:rsidRDefault="00735227" w:rsidP="005F1945">
      <w:pPr>
        <w:pStyle w:val="References"/>
      </w:pPr>
      <w:r w:rsidRPr="005D698A">
        <w:t xml:space="preserve">Ministry of Health. 2011. </w:t>
      </w:r>
      <w:r w:rsidRPr="005D698A">
        <w:rPr>
          <w:i/>
        </w:rPr>
        <w:t xml:space="preserve">Government Response to the Report of the Maori Affairs Committee on </w:t>
      </w:r>
      <w:r>
        <w:rPr>
          <w:i/>
        </w:rPr>
        <w:t>I</w:t>
      </w:r>
      <w:r w:rsidRPr="005D698A">
        <w:rPr>
          <w:i/>
        </w:rPr>
        <w:t xml:space="preserve">ts Inquiry into the </w:t>
      </w:r>
      <w:r>
        <w:rPr>
          <w:i/>
        </w:rPr>
        <w:t>T</w:t>
      </w:r>
      <w:r w:rsidRPr="005D698A">
        <w:rPr>
          <w:i/>
        </w:rPr>
        <w:t xml:space="preserve">obacco </w:t>
      </w:r>
      <w:r>
        <w:rPr>
          <w:i/>
        </w:rPr>
        <w:t>I</w:t>
      </w:r>
      <w:r w:rsidRPr="005D698A">
        <w:rPr>
          <w:i/>
        </w:rPr>
        <w:t xml:space="preserve">ndustry in Aotearoa and the </w:t>
      </w:r>
      <w:r>
        <w:rPr>
          <w:i/>
        </w:rPr>
        <w:t>C</w:t>
      </w:r>
      <w:r w:rsidRPr="005D698A">
        <w:rPr>
          <w:i/>
        </w:rPr>
        <w:t xml:space="preserve">onsequences of </w:t>
      </w:r>
      <w:r>
        <w:rPr>
          <w:i/>
        </w:rPr>
        <w:t>T</w:t>
      </w:r>
      <w:r w:rsidRPr="005D698A">
        <w:rPr>
          <w:i/>
        </w:rPr>
        <w:t xml:space="preserve">obacco </w:t>
      </w:r>
      <w:r>
        <w:rPr>
          <w:i/>
        </w:rPr>
        <w:t>U</w:t>
      </w:r>
      <w:r w:rsidRPr="005D698A">
        <w:rPr>
          <w:i/>
        </w:rPr>
        <w:t>se for M</w:t>
      </w:r>
      <w:r>
        <w:rPr>
          <w:i/>
        </w:rPr>
        <w:t>ā</w:t>
      </w:r>
      <w:r w:rsidRPr="005D698A">
        <w:rPr>
          <w:i/>
        </w:rPr>
        <w:t>ori.</w:t>
      </w:r>
      <w:r w:rsidRPr="005D698A">
        <w:t xml:space="preserve"> Wellington: Ministry of Health.</w:t>
      </w:r>
    </w:p>
    <w:p w14:paraId="0019EB54" w14:textId="77777777" w:rsidR="00735227" w:rsidRPr="005D698A" w:rsidRDefault="00735227" w:rsidP="005F1945">
      <w:pPr>
        <w:pStyle w:val="References"/>
      </w:pPr>
      <w:r w:rsidRPr="005D698A">
        <w:t xml:space="preserve">Ministry of Health. 2012. </w:t>
      </w:r>
      <w:r w:rsidRPr="005D698A">
        <w:rPr>
          <w:i/>
        </w:rPr>
        <w:t xml:space="preserve">New Zealand Health Survey Methodology Report. </w:t>
      </w:r>
      <w:r w:rsidRPr="005D698A">
        <w:t>Wellington: Ministry of Health.</w:t>
      </w:r>
    </w:p>
    <w:p w14:paraId="7D65B520" w14:textId="77777777" w:rsidR="00735227" w:rsidRPr="005D698A" w:rsidRDefault="00735227" w:rsidP="005F1945">
      <w:pPr>
        <w:pStyle w:val="References"/>
      </w:pPr>
      <w:r w:rsidRPr="005D698A">
        <w:t xml:space="preserve">Ministry of Health. 2013. </w:t>
      </w:r>
      <w:r w:rsidRPr="005D698A">
        <w:rPr>
          <w:i/>
        </w:rPr>
        <w:t>Health Targets 2013/14</w:t>
      </w:r>
      <w:r w:rsidRPr="005D698A">
        <w:t>. Wellington: Ministry of Health.</w:t>
      </w:r>
    </w:p>
    <w:p w14:paraId="41E294FF" w14:textId="77777777" w:rsidR="007066D2" w:rsidRDefault="00735227" w:rsidP="005F1945">
      <w:pPr>
        <w:pStyle w:val="References"/>
        <w:rPr>
          <w:color w:val="000000"/>
        </w:rPr>
      </w:pPr>
      <w:r w:rsidRPr="005D698A">
        <w:rPr>
          <w:color w:val="000000"/>
        </w:rPr>
        <w:t xml:space="preserve">Ministry of Health. 2014. </w:t>
      </w:r>
      <w:r w:rsidRPr="005D698A">
        <w:rPr>
          <w:i/>
          <w:color w:val="000000"/>
        </w:rPr>
        <w:t xml:space="preserve">The New Zealand Guidelines for Helping People to Stop Smoking. </w:t>
      </w:r>
      <w:r w:rsidRPr="005D698A">
        <w:rPr>
          <w:color w:val="000000"/>
        </w:rPr>
        <w:t>Wellington: Ministry of Health.</w:t>
      </w:r>
    </w:p>
    <w:p w14:paraId="2C7AD261" w14:textId="77777777" w:rsidR="007066D2" w:rsidRDefault="00735227" w:rsidP="005F1945">
      <w:pPr>
        <w:pStyle w:val="References"/>
      </w:pPr>
      <w:r w:rsidRPr="005D698A">
        <w:t xml:space="preserve">Morissette SB, Tull MT, Gulliver SB, </w:t>
      </w:r>
      <w:r w:rsidR="00AC6FF3">
        <w:t>et al</w:t>
      </w:r>
      <w:r w:rsidRPr="005D698A">
        <w:t xml:space="preserve">. 2007. Anxiety, anxiety disorder, tobacco use, and nicotine: a critical review of interrelationships. </w:t>
      </w:r>
      <w:r w:rsidRPr="005D698A">
        <w:rPr>
          <w:i/>
        </w:rPr>
        <w:t xml:space="preserve">Psychological Bulletin </w:t>
      </w:r>
      <w:r w:rsidRPr="005D698A">
        <w:t>123(2): 245</w:t>
      </w:r>
      <w:r>
        <w:t>–</w:t>
      </w:r>
      <w:r w:rsidRPr="005D698A">
        <w:t>72.</w:t>
      </w:r>
    </w:p>
    <w:p w14:paraId="3FE5C60E" w14:textId="77777777" w:rsidR="00AA2408" w:rsidRDefault="00CB29CE" w:rsidP="00000BA9">
      <w:pPr>
        <w:spacing w:after="180"/>
        <w:rPr>
          <w:rFonts w:cs="Arial"/>
        </w:rPr>
      </w:pPr>
      <w:r w:rsidRPr="00CB29CE">
        <w:rPr>
          <w:rFonts w:cs="Arial"/>
        </w:rPr>
        <w:t xml:space="preserve">Oakley Browne MA, Wells JE, Scott KM (eds). 2006. </w:t>
      </w:r>
      <w:r w:rsidRPr="00CB29CE">
        <w:rPr>
          <w:rFonts w:cs="Arial"/>
          <w:i/>
        </w:rPr>
        <w:t xml:space="preserve">Te Rau Hinengaro: The New Zealand Mental Health Survey. </w:t>
      </w:r>
      <w:r w:rsidRPr="00CB29CE">
        <w:rPr>
          <w:rFonts w:cs="Arial"/>
        </w:rPr>
        <w:t>Wellington: Ministry of Health.</w:t>
      </w:r>
    </w:p>
    <w:p w14:paraId="7EE5A19C" w14:textId="4D047ABF" w:rsidR="00735227" w:rsidRPr="005D698A" w:rsidRDefault="00735227" w:rsidP="005F1945">
      <w:pPr>
        <w:pStyle w:val="References"/>
      </w:pPr>
      <w:r w:rsidRPr="005D698A">
        <w:t xml:space="preserve">Osler M, Prescott E, Godtfredsen N, </w:t>
      </w:r>
      <w:r w:rsidR="00AC6FF3">
        <w:t>et al</w:t>
      </w:r>
      <w:r w:rsidRPr="005D698A">
        <w:t xml:space="preserve">. 1999. Gender and determinants of smoking cessation: </w:t>
      </w:r>
      <w:r>
        <w:t>a</w:t>
      </w:r>
      <w:r w:rsidRPr="005D698A">
        <w:t xml:space="preserve"> longitudinal study. </w:t>
      </w:r>
      <w:r w:rsidRPr="005D698A">
        <w:rPr>
          <w:i/>
        </w:rPr>
        <w:t>Preventive Medicine</w:t>
      </w:r>
      <w:r w:rsidRPr="005D698A">
        <w:t xml:space="preserve"> 29: 57</w:t>
      </w:r>
      <w:r>
        <w:t>–</w:t>
      </w:r>
      <w:r w:rsidRPr="005D698A">
        <w:t>62</w:t>
      </w:r>
      <w:r>
        <w:t>.</w:t>
      </w:r>
    </w:p>
    <w:p w14:paraId="4A75DDB9" w14:textId="77777777" w:rsidR="00735227" w:rsidRPr="005D698A" w:rsidRDefault="00735227" w:rsidP="005F1945">
      <w:pPr>
        <w:pStyle w:val="References"/>
      </w:pPr>
      <w:r w:rsidRPr="005D698A">
        <w:t xml:space="preserve">Sorlie PD, Kannel WB. 1990. A description of cigarette smoking cessation and resumption in the Framingham Study. </w:t>
      </w:r>
      <w:r w:rsidRPr="005D698A">
        <w:rPr>
          <w:i/>
        </w:rPr>
        <w:t>Preventive Medicine</w:t>
      </w:r>
      <w:r w:rsidRPr="005D698A">
        <w:t xml:space="preserve"> 19: 335</w:t>
      </w:r>
      <w:r>
        <w:t>–</w:t>
      </w:r>
      <w:r w:rsidRPr="005D698A">
        <w:t>45.</w:t>
      </w:r>
    </w:p>
    <w:p w14:paraId="26C7EC62" w14:textId="77777777" w:rsidR="00735227" w:rsidRPr="005D698A" w:rsidRDefault="00735227" w:rsidP="005F1945">
      <w:pPr>
        <w:pStyle w:val="References"/>
        <w:rPr>
          <w:color w:val="000000"/>
        </w:rPr>
      </w:pPr>
      <w:r w:rsidRPr="005D698A">
        <w:t xml:space="preserve">The Quit Group. 2009. </w:t>
      </w:r>
      <w:r w:rsidRPr="005D698A">
        <w:rPr>
          <w:i/>
        </w:rPr>
        <w:t>Quit Service Client Analysis Report: July 2008–June 2009</w:t>
      </w:r>
      <w:r w:rsidRPr="005D698A">
        <w:t xml:space="preserve">. </w:t>
      </w:r>
      <w:r>
        <w:t xml:space="preserve">Wellington: The Quit Group. </w:t>
      </w:r>
      <w:r w:rsidRPr="005D698A">
        <w:t xml:space="preserve">URL: </w:t>
      </w:r>
      <w:r w:rsidRPr="005D698A">
        <w:rPr>
          <w:color w:val="000000"/>
        </w:rPr>
        <w:t xml:space="preserve">www.quit.org.nz/file/research/Yearly%20Callers%20Report%20200807-200906.pdf </w:t>
      </w:r>
      <w:r>
        <w:rPr>
          <w:color w:val="000000"/>
        </w:rPr>
        <w:t>(accessed 19 September 2014).</w:t>
      </w:r>
    </w:p>
    <w:p w14:paraId="5EC42DD6" w14:textId="77777777" w:rsidR="00735227" w:rsidRPr="005D698A" w:rsidRDefault="00735227" w:rsidP="005F1945">
      <w:pPr>
        <w:pStyle w:val="References"/>
      </w:pPr>
      <w:r w:rsidRPr="005D698A">
        <w:t xml:space="preserve">US Department of Health and Human Services. 2006. </w:t>
      </w:r>
      <w:r w:rsidRPr="005D698A">
        <w:rPr>
          <w:i/>
        </w:rPr>
        <w:t xml:space="preserve">The Health Consequences of Involuntary Exposure to Tobacco Smoke: A </w:t>
      </w:r>
      <w:r>
        <w:rPr>
          <w:i/>
        </w:rPr>
        <w:t>r</w:t>
      </w:r>
      <w:r w:rsidRPr="005D698A">
        <w:rPr>
          <w:i/>
        </w:rPr>
        <w:t xml:space="preserve">eport of the </w:t>
      </w:r>
      <w:r>
        <w:rPr>
          <w:i/>
        </w:rPr>
        <w:t>s</w:t>
      </w:r>
      <w:r w:rsidRPr="005D698A">
        <w:rPr>
          <w:i/>
        </w:rPr>
        <w:t xml:space="preserve">urgeon </w:t>
      </w:r>
      <w:r>
        <w:rPr>
          <w:i/>
        </w:rPr>
        <w:t>g</w:t>
      </w:r>
      <w:r w:rsidRPr="005D698A">
        <w:rPr>
          <w:i/>
        </w:rPr>
        <w:t>eneral –</w:t>
      </w:r>
      <w:r>
        <w:rPr>
          <w:i/>
        </w:rPr>
        <w:t>e</w:t>
      </w:r>
      <w:r w:rsidRPr="005D698A">
        <w:rPr>
          <w:i/>
        </w:rPr>
        <w:t xml:space="preserve">xecutive </w:t>
      </w:r>
      <w:r>
        <w:rPr>
          <w:i/>
        </w:rPr>
        <w:t>s</w:t>
      </w:r>
      <w:r w:rsidRPr="005D698A">
        <w:rPr>
          <w:i/>
        </w:rPr>
        <w:t xml:space="preserve">ummary. </w:t>
      </w:r>
      <w:r w:rsidRPr="005D698A">
        <w:t>Rockville, MD: U</w:t>
      </w:r>
      <w:r>
        <w:t xml:space="preserve">nited </w:t>
      </w:r>
      <w:r w:rsidRPr="005D698A">
        <w:t>S</w:t>
      </w:r>
      <w:r>
        <w:t>tates</w:t>
      </w:r>
      <w:r w:rsidRPr="005D698A">
        <w:t xml:space="preserve"> Department of Health and Human Services, Centers for Disease Control and Prevention, Coordinating Center for Health Promotion, National Center for Chronic Disease Prevention and Health Promotion, Office on Smoking and Health.</w:t>
      </w:r>
    </w:p>
    <w:p w14:paraId="271F5A76" w14:textId="77777777" w:rsidR="00735227" w:rsidRPr="005D698A" w:rsidRDefault="00735227" w:rsidP="005F1945">
      <w:pPr>
        <w:pStyle w:val="References"/>
      </w:pPr>
      <w:r w:rsidRPr="005D698A">
        <w:t xml:space="preserve">US Department of Health and Human Services. 2014. </w:t>
      </w:r>
      <w:r w:rsidRPr="005D698A">
        <w:rPr>
          <w:i/>
        </w:rPr>
        <w:t>The Health Consequences of Smoking – 50</w:t>
      </w:r>
      <w:r w:rsidR="005F1945">
        <w:rPr>
          <w:i/>
        </w:rPr>
        <w:t> </w:t>
      </w:r>
      <w:r w:rsidRPr="005D698A">
        <w:rPr>
          <w:i/>
        </w:rPr>
        <w:t xml:space="preserve">Years of Progress: A </w:t>
      </w:r>
      <w:r>
        <w:rPr>
          <w:i/>
        </w:rPr>
        <w:t>r</w:t>
      </w:r>
      <w:r w:rsidRPr="005D698A">
        <w:rPr>
          <w:i/>
        </w:rPr>
        <w:t xml:space="preserve">eport of the </w:t>
      </w:r>
      <w:r>
        <w:rPr>
          <w:i/>
        </w:rPr>
        <w:t>s</w:t>
      </w:r>
      <w:r w:rsidRPr="005D698A">
        <w:rPr>
          <w:i/>
        </w:rPr>
        <w:t xml:space="preserve">urgeon </w:t>
      </w:r>
      <w:r>
        <w:rPr>
          <w:i/>
        </w:rPr>
        <w:t>g</w:t>
      </w:r>
      <w:r w:rsidRPr="005D698A">
        <w:rPr>
          <w:i/>
        </w:rPr>
        <w:t xml:space="preserve">eneral. </w:t>
      </w:r>
      <w:r w:rsidRPr="005D698A">
        <w:t>Atlanta, GA: U</w:t>
      </w:r>
      <w:r>
        <w:t xml:space="preserve">nited </w:t>
      </w:r>
      <w:r w:rsidRPr="005D698A">
        <w:t>S</w:t>
      </w:r>
      <w:r>
        <w:t>tates</w:t>
      </w:r>
      <w:r w:rsidRPr="005D698A">
        <w:t xml:space="preserve"> Department of Health and Human Services, Centers for Disease Control and Prevention, National Center for Chronic Disease Prevention and Health Promotion, Office on Smoking and Health.</w:t>
      </w:r>
    </w:p>
    <w:p w14:paraId="78DE3409" w14:textId="77777777" w:rsidR="00735227" w:rsidRPr="005D698A" w:rsidRDefault="00735227" w:rsidP="005F1945">
      <w:pPr>
        <w:pStyle w:val="References"/>
      </w:pPr>
      <w:r w:rsidRPr="005D698A">
        <w:t>Wilson N, Weerasekera D, Kahler C</w:t>
      </w:r>
      <w:r w:rsidR="004777D9">
        <w:t>,</w:t>
      </w:r>
      <w:r w:rsidRPr="005D698A">
        <w:t xml:space="preserve"> </w:t>
      </w:r>
      <w:r w:rsidR="00AC6FF3">
        <w:t>et al</w:t>
      </w:r>
      <w:r w:rsidRPr="005D698A">
        <w:t xml:space="preserve">. 2012. Hazardous patterns of alcohol use are relatively common in smokers: ITC Project (New Zealand). </w:t>
      </w:r>
      <w:r>
        <w:rPr>
          <w:i/>
        </w:rPr>
        <w:t>The New Zealand Medical Journal</w:t>
      </w:r>
      <w:r w:rsidR="005F1945">
        <w:br/>
      </w:r>
      <w:r w:rsidRPr="005D698A">
        <w:t>125(1348): 34</w:t>
      </w:r>
      <w:r>
        <w:t>–</w:t>
      </w:r>
      <w:r w:rsidRPr="005D698A">
        <w:t>41.</w:t>
      </w:r>
    </w:p>
    <w:p w14:paraId="7F7F2EEF" w14:textId="77777777" w:rsidR="00735227" w:rsidRPr="005D698A" w:rsidRDefault="00735227" w:rsidP="005F1945">
      <w:pPr>
        <w:pStyle w:val="References"/>
      </w:pPr>
      <w:r w:rsidRPr="005D698A">
        <w:t xml:space="preserve">Woodward A, Laugesen M. 2001. How many deaths are caused by second hand cigarette smoke? </w:t>
      </w:r>
      <w:r w:rsidRPr="005D698A">
        <w:rPr>
          <w:i/>
        </w:rPr>
        <w:t>Tobacco Control</w:t>
      </w:r>
      <w:r w:rsidRPr="005D698A">
        <w:t xml:space="preserve"> 10: 383–8.</w:t>
      </w:r>
    </w:p>
    <w:p w14:paraId="4D3875CB" w14:textId="77777777" w:rsidR="00735227" w:rsidRPr="007066D2" w:rsidRDefault="00735227" w:rsidP="005F1945">
      <w:pPr>
        <w:pStyle w:val="References"/>
      </w:pPr>
      <w:r w:rsidRPr="005D698A">
        <w:t xml:space="preserve">Ziedonis D, Hitsman B, Beckham JC, </w:t>
      </w:r>
      <w:r w:rsidR="00AC6FF3">
        <w:t>et al</w:t>
      </w:r>
      <w:r w:rsidRPr="005D698A">
        <w:t xml:space="preserve">. </w:t>
      </w:r>
      <w:r>
        <w:t xml:space="preserve">2008. Tobacco use and cessation in psychiatric disorders: National Institute of Mental Health report. </w:t>
      </w:r>
      <w:r w:rsidRPr="005D698A">
        <w:rPr>
          <w:i/>
        </w:rPr>
        <w:t xml:space="preserve">Nicotine &amp; Tobacco Research </w:t>
      </w:r>
      <w:r w:rsidRPr="005D698A">
        <w:t>10(12):</w:t>
      </w:r>
      <w:r w:rsidRPr="005D698A">
        <w:rPr>
          <w:i/>
        </w:rPr>
        <w:t xml:space="preserve"> </w:t>
      </w:r>
      <w:r w:rsidRPr="005D698A">
        <w:t>1691</w:t>
      </w:r>
      <w:r>
        <w:t>–</w:t>
      </w:r>
      <w:r w:rsidRPr="005D698A">
        <w:t>715. DOI: 10.1093/ntr/ntp178</w:t>
      </w:r>
      <w:r>
        <w:t xml:space="preserve"> (accessed May 2014).</w:t>
      </w:r>
    </w:p>
    <w:p w14:paraId="0A0BC70A" w14:textId="77777777" w:rsidR="00735227" w:rsidRPr="005D698A" w:rsidRDefault="00735227" w:rsidP="005F1945">
      <w:pPr>
        <w:pStyle w:val="References"/>
      </w:pPr>
      <w:r w:rsidRPr="005D698A">
        <w:t xml:space="preserve">Zvolensky MJ, Feldner MT, Leen-Feldner EW, </w:t>
      </w:r>
      <w:r w:rsidR="00AC6FF3">
        <w:t>et al</w:t>
      </w:r>
      <w:r w:rsidRPr="005D698A">
        <w:t xml:space="preserve">. 2005. Smoking and panic attacks, panic disorder and agoraphobia: </w:t>
      </w:r>
      <w:r>
        <w:t>a</w:t>
      </w:r>
      <w:r w:rsidRPr="005D698A">
        <w:t xml:space="preserve"> review of the empirical literature. </w:t>
      </w:r>
      <w:r w:rsidRPr="005D698A">
        <w:rPr>
          <w:i/>
        </w:rPr>
        <w:t>Clinical Psychology Review</w:t>
      </w:r>
      <w:r w:rsidR="005F1945">
        <w:br/>
      </w:r>
      <w:r w:rsidRPr="005D698A">
        <w:t>25: 761</w:t>
      </w:r>
      <w:r>
        <w:t>–</w:t>
      </w:r>
      <w:r w:rsidRPr="005D698A">
        <w:t>89</w:t>
      </w:r>
      <w:r>
        <w:t>.</w:t>
      </w:r>
    </w:p>
    <w:p w14:paraId="00DF7964" w14:textId="77777777" w:rsidR="00863117" w:rsidRPr="00E76D66" w:rsidRDefault="00863117" w:rsidP="00936322"/>
    <w:sectPr w:rsidR="00863117" w:rsidRPr="00E76D66" w:rsidSect="009D5125">
      <w:headerReference w:type="default" r:id="rId50"/>
      <w:footerReference w:type="default" r:id="rId5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BF0FB" w14:textId="77777777" w:rsidR="00E16945" w:rsidRDefault="00E16945">
      <w:pPr>
        <w:spacing w:line="240" w:lineRule="auto"/>
      </w:pPr>
      <w:r>
        <w:separator/>
      </w:r>
    </w:p>
  </w:endnote>
  <w:endnote w:type="continuationSeparator" w:id="0">
    <w:p w14:paraId="14B3FF4E" w14:textId="77777777" w:rsidR="00E16945" w:rsidRDefault="00E1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B16B6" w14:textId="77777777" w:rsidR="00D74699" w:rsidRPr="003648EF" w:rsidRDefault="00D74699"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E82D" w14:textId="77777777" w:rsidR="00D74699" w:rsidRDefault="00D74699"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4CD1B" w14:textId="77777777" w:rsidR="00D74699" w:rsidRDefault="00D746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E200" w14:textId="57B3731D" w:rsidR="00D74699" w:rsidRPr="00275D08" w:rsidRDefault="00D7469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7564F">
      <w:rPr>
        <w:rStyle w:val="PageNumber"/>
        <w:noProof/>
      </w:rPr>
      <w:t>iv</w:t>
    </w:r>
    <w:r w:rsidRPr="00FC46E7">
      <w:rPr>
        <w:rStyle w:val="PageNumber"/>
      </w:rPr>
      <w:fldChar w:fldCharType="end"/>
    </w:r>
    <w:r>
      <w:tab/>
    </w:r>
    <w:r w:rsidRPr="00CE219C">
      <w:t>Tobacco Use</w:t>
    </w:r>
    <w:r>
      <w:t xml:space="preserve"> 2012/13: New Zealand Health Survey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3B55C" w14:textId="7BBAE2D6" w:rsidR="00D74699" w:rsidRDefault="00D74699" w:rsidP="00533B90">
    <w:pPr>
      <w:pStyle w:val="RectoFooter"/>
    </w:pPr>
    <w:r>
      <w:tab/>
    </w:r>
    <w:r w:rsidRPr="00CE219C">
      <w:t>Tobacco Use</w:t>
    </w:r>
    <w:r>
      <w:t xml:space="preserve"> 2012/13: New Zealand Health Survey</w:t>
    </w:r>
    <w:r>
      <w:tab/>
    </w:r>
    <w:r>
      <w:rPr>
        <w:rStyle w:val="PageNumber"/>
      </w:rPr>
      <w:fldChar w:fldCharType="begin"/>
    </w:r>
    <w:r>
      <w:rPr>
        <w:rStyle w:val="PageNumber"/>
      </w:rPr>
      <w:instrText xml:space="preserve"> PAGE </w:instrText>
    </w:r>
    <w:r>
      <w:rPr>
        <w:rStyle w:val="PageNumber"/>
      </w:rPr>
      <w:fldChar w:fldCharType="separate"/>
    </w:r>
    <w:r w:rsidR="0017564F">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2691B" w14:textId="3CD031BF" w:rsidR="00D74699" w:rsidRDefault="00D74699" w:rsidP="00533B90">
    <w:pPr>
      <w:pStyle w:val="RectoFooter"/>
    </w:pPr>
    <w:r>
      <w:tab/>
    </w:r>
    <w:r w:rsidRPr="00CE219C">
      <w:t>Tobacco Use</w:t>
    </w:r>
    <w:r>
      <w:t xml:space="preserve"> 2012/13: New Zealand Health Survey</w:t>
    </w:r>
    <w:r>
      <w:tab/>
    </w:r>
    <w:r>
      <w:rPr>
        <w:rStyle w:val="PageNumber"/>
      </w:rPr>
      <w:fldChar w:fldCharType="begin"/>
    </w:r>
    <w:r>
      <w:rPr>
        <w:rStyle w:val="PageNumber"/>
      </w:rPr>
      <w:instrText xml:space="preserve"> PAGE </w:instrText>
    </w:r>
    <w:r>
      <w:rPr>
        <w:rStyle w:val="PageNumber"/>
      </w:rPr>
      <w:fldChar w:fldCharType="separate"/>
    </w:r>
    <w:r w:rsidR="0017564F">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51DBB" w14:textId="77777777" w:rsidR="00E16945" w:rsidRPr="00E460B6" w:rsidRDefault="00E16945" w:rsidP="007B4D3E"/>
  </w:footnote>
  <w:footnote w:type="continuationSeparator" w:id="0">
    <w:p w14:paraId="697E49BD" w14:textId="77777777" w:rsidR="00E16945" w:rsidRDefault="00E16945">
      <w:pPr>
        <w:spacing w:line="240" w:lineRule="auto"/>
      </w:pPr>
      <w:r>
        <w:continuationSeparator/>
      </w:r>
    </w:p>
  </w:footnote>
  <w:footnote w:id="1">
    <w:p w14:paraId="7748C53E" w14:textId="49EDBA39" w:rsidR="00D74699" w:rsidRPr="00E32FC6" w:rsidRDefault="00D74699" w:rsidP="00735227">
      <w:pPr>
        <w:pStyle w:val="FootnoteText"/>
      </w:pPr>
      <w:r w:rsidRPr="00513BC3">
        <w:rPr>
          <w:rStyle w:val="FootnoteReference"/>
        </w:rPr>
        <w:footnoteRef/>
      </w:r>
      <w:r>
        <w:tab/>
      </w:r>
      <w:r w:rsidRPr="00E32FC6">
        <w:t xml:space="preserve">There is a difference in definitions of a </w:t>
      </w:r>
      <w:r>
        <w:t>‘</w:t>
      </w:r>
      <w:r w:rsidRPr="00E32FC6">
        <w:t>current smoker</w:t>
      </w:r>
      <w:r>
        <w:t>’</w:t>
      </w:r>
      <w:r w:rsidRPr="00E32FC6">
        <w:t xml:space="preserve"> between the two surveys of 1996/97 and 2012/13. The definition of </w:t>
      </w:r>
      <w:r>
        <w:t>‘</w:t>
      </w:r>
      <w:r w:rsidRPr="00E32FC6">
        <w:t>current smokers</w:t>
      </w:r>
      <w:r>
        <w:t>’</w:t>
      </w:r>
      <w:r w:rsidRPr="00E32FC6">
        <w:t xml:space="preserve"> used in the 1996/97 NZHS is </w:t>
      </w:r>
      <w:r>
        <w:t>‘</w:t>
      </w:r>
      <w:r w:rsidRPr="00E32FC6">
        <w:t>those who reported that they smoked one or more cigarettes per day</w:t>
      </w:r>
      <w:r>
        <w:t>’</w:t>
      </w:r>
      <w:r w:rsidRPr="00E32FC6">
        <w:t xml:space="preserve"> whereas the 2012/13 NZHS defines </w:t>
      </w:r>
      <w:r>
        <w:t>‘</w:t>
      </w:r>
      <w:r w:rsidRPr="00E32FC6">
        <w:t>current smokers</w:t>
      </w:r>
      <w:r>
        <w:t>’</w:t>
      </w:r>
      <w:r w:rsidRPr="00E32FC6">
        <w:t xml:space="preserve"> as </w:t>
      </w:r>
      <w:r>
        <w:t>‘</w:t>
      </w:r>
      <w:r w:rsidRPr="00E32FC6">
        <w:t>those who have smoked more than 100</w:t>
      </w:r>
      <w:r>
        <w:t> </w:t>
      </w:r>
      <w:r w:rsidRPr="00E32FC6">
        <w:t>cigarettes in their lifetime and at the time of the survey were smoking at least once a month</w:t>
      </w:r>
      <w:r>
        <w:t>’</w:t>
      </w:r>
      <w:r w:rsidRPr="00E32FC6">
        <w:t>.</w:t>
      </w:r>
    </w:p>
  </w:footnote>
  <w:footnote w:id="2">
    <w:p w14:paraId="3DC3D3A2" w14:textId="77777777" w:rsidR="00D74699" w:rsidRDefault="00D74699" w:rsidP="00513BC3">
      <w:pPr>
        <w:pStyle w:val="FootnoteText"/>
      </w:pPr>
      <w:r w:rsidRPr="00513BC3">
        <w:rPr>
          <w:rStyle w:val="FootnoteReference"/>
        </w:rPr>
        <w:footnoteRef/>
      </w:r>
      <w:r>
        <w:tab/>
      </w:r>
      <w:r w:rsidRPr="00E32FC6">
        <w:t>Successful quitters were defined in this report as those respondents who had quit smoking between a month and a year from when they participated in the surve</w:t>
      </w:r>
      <w:r w:rsidRPr="00931DC7">
        <w:t>y</w:t>
      </w:r>
      <w:r w:rsidRPr="00E32FC6">
        <w:t xml:space="preserve"> and had remained abstinent.</w:t>
      </w:r>
    </w:p>
  </w:footnote>
  <w:footnote w:id="3">
    <w:p w14:paraId="1C9ACE49" w14:textId="347FB00F" w:rsidR="00D74699" w:rsidRDefault="00D74699" w:rsidP="0022758B">
      <w:pPr>
        <w:pStyle w:val="FootnoteText"/>
      </w:pPr>
      <w:r w:rsidRPr="0022758B">
        <w:rPr>
          <w:rStyle w:val="FootnoteReference"/>
        </w:rPr>
        <w:footnoteRef/>
      </w:r>
      <w:r>
        <w:tab/>
        <w:t>Earlier NZHS data, namely 1996/97 and 2002/03, are not strictly comparable with data from 2006/07 onwards. The definition of ‘current smokers’ used in the 1996/97 and 2002/03 NZHS is those who reported that they ‘smoked one or more cigarettes per day’. This definition changed in 2006/07 to ‘someone who has smoked more than 100 cigarettes in their lifetime and at the time of the survey was smoking at least once a month’.</w:t>
      </w:r>
    </w:p>
  </w:footnote>
  <w:footnote w:id="4">
    <w:p w14:paraId="79E89797" w14:textId="77777777" w:rsidR="00D74699" w:rsidRDefault="00D74699" w:rsidP="0022758B">
      <w:pPr>
        <w:pStyle w:val="FootnoteText"/>
      </w:pPr>
      <w:r w:rsidRPr="0022758B">
        <w:rPr>
          <w:rStyle w:val="FootnoteReference"/>
        </w:rPr>
        <w:footnoteRef/>
      </w:r>
      <w:r>
        <w:tab/>
        <w:t>In 2012, the HSC became a part of the newly formed Health Promotion Agency (HPA).</w:t>
      </w:r>
    </w:p>
  </w:footnote>
  <w:footnote w:id="5">
    <w:p w14:paraId="6B0C6A39" w14:textId="77777777" w:rsidR="00D74699" w:rsidRDefault="00D74699" w:rsidP="00AF2D63">
      <w:pPr>
        <w:pStyle w:val="FootnoteText"/>
      </w:pPr>
      <w:r w:rsidRPr="009C3A17">
        <w:rPr>
          <w:rStyle w:val="FootnoteReference"/>
        </w:rPr>
        <w:footnoteRef/>
      </w:r>
      <w:r>
        <w:tab/>
        <w:t>Used in this report as a proxy for individual socioeconomic position.</w:t>
      </w:r>
    </w:p>
  </w:footnote>
  <w:footnote w:id="6">
    <w:p w14:paraId="5653FBF9" w14:textId="02F32958" w:rsidR="00D74699" w:rsidRDefault="00D74699" w:rsidP="008C4014">
      <w:pPr>
        <w:pStyle w:val="FootnoteText"/>
      </w:pPr>
      <w:r w:rsidRPr="008C4014">
        <w:rPr>
          <w:rStyle w:val="FootnoteReference"/>
        </w:rPr>
        <w:footnoteRef/>
      </w:r>
      <w:r>
        <w:tab/>
        <w:t>Because of their young age, the age of initiation reported would not capture those who had yet to initiate smoking. This explains why the YIS mean age of initiation was lower than that calculated by the NZHS.</w:t>
      </w:r>
    </w:p>
  </w:footnote>
  <w:footnote w:id="7">
    <w:p w14:paraId="6EF6759E" w14:textId="77777777" w:rsidR="00D74699" w:rsidRPr="007066D2" w:rsidRDefault="00D74699" w:rsidP="00FE790A">
      <w:pPr>
        <w:pStyle w:val="FootnoteText"/>
      </w:pPr>
      <w:r w:rsidRPr="00FE790A">
        <w:rPr>
          <w:rStyle w:val="FootnoteReference"/>
        </w:rPr>
        <w:footnoteRef/>
      </w:r>
      <w:r>
        <w:tab/>
      </w:r>
      <w:r w:rsidRPr="007066D2">
        <w:t>Micro tab is a sublingual (under the tongue) nicotine replacement tablet. Nicotine is released and absorbed through the lining of the mouth.</w:t>
      </w:r>
    </w:p>
  </w:footnote>
  <w:footnote w:id="8">
    <w:p w14:paraId="000B1966" w14:textId="77777777" w:rsidR="00D74699" w:rsidRPr="007066D2" w:rsidRDefault="00D74699" w:rsidP="00FE790A">
      <w:pPr>
        <w:pStyle w:val="FootnoteText"/>
      </w:pPr>
      <w:r w:rsidRPr="00FE790A">
        <w:rPr>
          <w:rStyle w:val="FootnoteReference"/>
        </w:rPr>
        <w:footnoteRef/>
      </w:r>
      <w:r>
        <w:tab/>
      </w:r>
      <w:r w:rsidRPr="007066D2">
        <w:t>Zyban is an antidepressant and smoking cessation aid. It reduces the severity of nicotine cravings and withdrawal symptoms.</w:t>
      </w:r>
    </w:p>
  </w:footnote>
  <w:footnote w:id="9">
    <w:p w14:paraId="44DA2037" w14:textId="77777777" w:rsidR="00D74699" w:rsidRPr="007066D2" w:rsidRDefault="00D74699" w:rsidP="00FE790A">
      <w:pPr>
        <w:pStyle w:val="FootnoteText"/>
      </w:pPr>
      <w:r w:rsidRPr="00FE790A">
        <w:rPr>
          <w:rStyle w:val="FootnoteReference"/>
        </w:rPr>
        <w:footnoteRef/>
      </w:r>
      <w:r>
        <w:tab/>
      </w:r>
      <w:r w:rsidRPr="007066D2">
        <w:t>Champix is a medicine developed specifically as an aid to smoking cessation. It is a nicotinic receptor partial agonist, and as such, reduces cravings for and decreases the pleasurable effects of cigarettes and other tobacco products.</w:t>
      </w:r>
    </w:p>
  </w:footnote>
  <w:footnote w:id="10">
    <w:p w14:paraId="7F12C6BA" w14:textId="77777777" w:rsidR="00D74699" w:rsidRDefault="00D74699" w:rsidP="00A55CE6">
      <w:pPr>
        <w:pStyle w:val="FootnoteText"/>
      </w:pPr>
      <w:r w:rsidRPr="00A55CE6">
        <w:rPr>
          <w:rStyle w:val="FootnoteReference"/>
        </w:rPr>
        <w:footnoteRef/>
      </w:r>
      <w:r>
        <w:tab/>
        <w:t>The data were supplied by the Tobacco Control team at the Ministry of Health who in turn sourced the data from the Primary Health Organisation (PHO) Performance Programme provided by DHB Shared Services as well as PHO enrolment datasets.</w:t>
      </w:r>
    </w:p>
  </w:footnote>
  <w:footnote w:id="11">
    <w:p w14:paraId="0E5ED8DE" w14:textId="77777777" w:rsidR="00D74699" w:rsidRDefault="00D74699" w:rsidP="00A55CE6">
      <w:pPr>
        <w:pStyle w:val="FootnoteText"/>
      </w:pPr>
      <w:r w:rsidRPr="00A55CE6">
        <w:rPr>
          <w:rStyle w:val="FootnoteReference"/>
        </w:rPr>
        <w:footnoteRef/>
      </w:r>
      <w:r>
        <w:tab/>
        <w:t>The data have been supplied by the Tobacco Control team at the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6FF9" w14:textId="77777777" w:rsidR="00D74699" w:rsidRDefault="00D74699" w:rsidP="00D25FFE">
    <w:pPr>
      <w:pStyle w:val="Header"/>
      <w:ind w:left="-1559"/>
    </w:pPr>
    <w:r>
      <w:rPr>
        <w:noProof/>
        <w:lang w:eastAsia="en-NZ"/>
      </w:rPr>
      <w:drawing>
        <wp:inline distT="0" distB="0" distL="0" distR="0" wp14:anchorId="500C16AF" wp14:editId="7ACF2198">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1F89" w14:textId="77777777" w:rsidR="00D74699" w:rsidRDefault="00D74699"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FB2B" w14:textId="77777777" w:rsidR="00D74699" w:rsidRDefault="00D74699"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61DD" w14:textId="77777777" w:rsidR="00D74699" w:rsidRDefault="00D74699"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8C88702"/>
    <w:lvl w:ilvl="0">
      <w:numFmt w:val="bullet"/>
      <w:lvlText w:val="*"/>
      <w:lvlJc w:val="left"/>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11342C89"/>
    <w:multiLevelType w:val="hybridMultilevel"/>
    <w:tmpl w:val="A45AB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3E725FD"/>
    <w:multiLevelType w:val="hybridMultilevel"/>
    <w:tmpl w:val="29200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43F70ED"/>
    <w:multiLevelType w:val="hybridMultilevel"/>
    <w:tmpl w:val="13B0CEDC"/>
    <w:lvl w:ilvl="0" w:tplc="BDE6CF98">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CAC2BBE"/>
    <w:multiLevelType w:val="hybridMultilevel"/>
    <w:tmpl w:val="AD226276"/>
    <w:lvl w:ilvl="0" w:tplc="BDE6CF98">
      <w:numFmt w:val="bullet"/>
      <w:lvlText w:val="-"/>
      <w:lvlJc w:val="left"/>
      <w:pPr>
        <w:ind w:left="720" w:hanging="360"/>
      </w:pPr>
      <w:rPr>
        <w:rFonts w:ascii="Georgia" w:eastAsia="Times New Roman" w:hAnsi="Georgi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3EC3C2B"/>
    <w:multiLevelType w:val="hybridMultilevel"/>
    <w:tmpl w:val="F0E64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DF3ECD"/>
    <w:multiLevelType w:val="hybridMultilevel"/>
    <w:tmpl w:val="4ADC484C"/>
    <w:lvl w:ilvl="0" w:tplc="64522D9E">
      <w:start w:val="4"/>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457A33"/>
    <w:multiLevelType w:val="hybridMultilevel"/>
    <w:tmpl w:val="8E2E1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5F27B8C"/>
    <w:multiLevelType w:val="hybridMultilevel"/>
    <w:tmpl w:val="F06AAB34"/>
    <w:lvl w:ilvl="0" w:tplc="29A4CA1A">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4">
    <w:nsid w:val="27F635E9"/>
    <w:multiLevelType w:val="hybridMultilevel"/>
    <w:tmpl w:val="D4BE0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9722C6D"/>
    <w:multiLevelType w:val="hybridMultilevel"/>
    <w:tmpl w:val="C58E75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B7A3467"/>
    <w:multiLevelType w:val="hybridMultilevel"/>
    <w:tmpl w:val="4E6E413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2EBD51D2"/>
    <w:multiLevelType w:val="hybridMultilevel"/>
    <w:tmpl w:val="5AB06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0508A4"/>
    <w:multiLevelType w:val="hybridMultilevel"/>
    <w:tmpl w:val="383A6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43D4E96"/>
    <w:multiLevelType w:val="hybridMultilevel"/>
    <w:tmpl w:val="3BB87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64B274D"/>
    <w:multiLevelType w:val="hybridMultilevel"/>
    <w:tmpl w:val="C77A3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6ED5665"/>
    <w:multiLevelType w:val="hybridMultilevel"/>
    <w:tmpl w:val="766A6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81548F1"/>
    <w:multiLevelType w:val="hybridMultilevel"/>
    <w:tmpl w:val="300EEB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38DE5A8D"/>
    <w:multiLevelType w:val="hybridMultilevel"/>
    <w:tmpl w:val="4A24CDF4"/>
    <w:lvl w:ilvl="0" w:tplc="E2C8BEB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3A6E45D0"/>
    <w:multiLevelType w:val="hybridMultilevel"/>
    <w:tmpl w:val="D97265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44470DD8"/>
    <w:multiLevelType w:val="hybridMultilevel"/>
    <w:tmpl w:val="A58C9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4C91EA4"/>
    <w:multiLevelType w:val="hybridMultilevel"/>
    <w:tmpl w:val="4C6A1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55C1CA3"/>
    <w:multiLevelType w:val="hybridMultilevel"/>
    <w:tmpl w:val="A2B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854E9"/>
    <w:multiLevelType w:val="hybridMultilevel"/>
    <w:tmpl w:val="58622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FA24AD7"/>
    <w:multiLevelType w:val="hybridMultilevel"/>
    <w:tmpl w:val="9E62A3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nsid w:val="503B25F4"/>
    <w:multiLevelType w:val="hybridMultilevel"/>
    <w:tmpl w:val="212E4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6ED7AE1"/>
    <w:multiLevelType w:val="hybridMultilevel"/>
    <w:tmpl w:val="C144EA04"/>
    <w:lvl w:ilvl="0" w:tplc="43A8180E">
      <w:start w:val="1"/>
      <w:numFmt w:val="decimal"/>
      <w:lvlText w:val="%1."/>
      <w:lvlJc w:val="left"/>
      <w:pPr>
        <w:ind w:left="360" w:hanging="360"/>
      </w:pPr>
      <w:rPr>
        <w:rFonts w:ascii="Arial" w:eastAsia="Calibri" w:hAnsi="Arial" w:cs="Arial"/>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5AD73F49"/>
    <w:multiLevelType w:val="hybridMultilevel"/>
    <w:tmpl w:val="05222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4362995"/>
    <w:multiLevelType w:val="hybridMultilevel"/>
    <w:tmpl w:val="CA469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9">
    <w:nsid w:val="6A911A0C"/>
    <w:multiLevelType w:val="hybridMultilevel"/>
    <w:tmpl w:val="F1C22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C205D72"/>
    <w:multiLevelType w:val="hybridMultilevel"/>
    <w:tmpl w:val="63AA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EC95D6A"/>
    <w:multiLevelType w:val="hybridMultilevel"/>
    <w:tmpl w:val="C83C2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FB77FC7"/>
    <w:multiLevelType w:val="hybridMultilevel"/>
    <w:tmpl w:val="B7F4B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4">
    <w:nsid w:val="798A79F2"/>
    <w:multiLevelType w:val="hybridMultilevel"/>
    <w:tmpl w:val="DC88DA1E"/>
    <w:lvl w:ilvl="0" w:tplc="6D34C6D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nsid w:val="7C9649DF"/>
    <w:multiLevelType w:val="hybridMultilevel"/>
    <w:tmpl w:val="7C5C3C7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7">
    <w:nsid w:val="7E6074FE"/>
    <w:multiLevelType w:val="hybridMultilevel"/>
    <w:tmpl w:val="F74A8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25"/>
  </w:num>
  <w:num w:numId="4">
    <w:abstractNumId w:val="26"/>
  </w:num>
  <w:num w:numId="5">
    <w:abstractNumId w:val="2"/>
  </w:num>
  <w:num w:numId="6">
    <w:abstractNumId w:val="35"/>
  </w:num>
  <w:num w:numId="7">
    <w:abstractNumId w:val="7"/>
  </w:num>
  <w:num w:numId="8">
    <w:abstractNumId w:val="43"/>
  </w:num>
  <w:num w:numId="9">
    <w:abstractNumId w:val="4"/>
  </w:num>
  <w:num w:numId="10">
    <w:abstractNumId w:val="9"/>
  </w:num>
  <w:num w:numId="11">
    <w:abstractNumId w:val="27"/>
  </w:num>
  <w:num w:numId="12">
    <w:abstractNumId w:val="0"/>
  </w:num>
  <w:num w:numId="13">
    <w:abstractNumId w:val="20"/>
  </w:num>
  <w:num w:numId="14">
    <w:abstractNumId w:val="6"/>
  </w:num>
  <w:num w:numId="15">
    <w:abstractNumId w:val="13"/>
  </w:num>
  <w:num w:numId="16">
    <w:abstractNumId w:val="8"/>
  </w:num>
  <w:num w:numId="17">
    <w:abstractNumId w:val="16"/>
  </w:num>
  <w:num w:numId="18">
    <w:abstractNumId w:val="24"/>
  </w:num>
  <w:num w:numId="19">
    <w:abstractNumId w:val="32"/>
  </w:num>
  <w:num w:numId="20">
    <w:abstractNumId w:val="22"/>
  </w:num>
  <w:num w:numId="21">
    <w:abstractNumId w:val="17"/>
  </w:num>
  <w:num w:numId="22">
    <w:abstractNumId w:val="40"/>
  </w:num>
  <w:num w:numId="23">
    <w:abstractNumId w:val="36"/>
  </w:num>
  <w:num w:numId="24">
    <w:abstractNumId w:val="37"/>
  </w:num>
  <w:num w:numId="25">
    <w:abstractNumId w:val="21"/>
  </w:num>
  <w:num w:numId="26">
    <w:abstractNumId w:val="46"/>
  </w:num>
  <w:num w:numId="27">
    <w:abstractNumId w:val="34"/>
  </w:num>
  <w:num w:numId="28">
    <w:abstractNumId w:val="30"/>
  </w:num>
  <w:num w:numId="29">
    <w:abstractNumId w:val="1"/>
    <w:lvlOverride w:ilvl="0">
      <w:lvl w:ilvl="0">
        <w:numFmt w:val="bullet"/>
        <w:lvlText w:val=""/>
        <w:legacy w:legacy="1" w:legacySpace="0" w:legacyIndent="0"/>
        <w:lvlJc w:val="left"/>
        <w:rPr>
          <w:rFonts w:ascii="Symbol" w:hAnsi="Symbol" w:hint="default"/>
          <w:sz w:val="22"/>
        </w:rPr>
      </w:lvl>
    </w:lvlOverride>
  </w:num>
  <w:num w:numId="30">
    <w:abstractNumId w:val="28"/>
  </w:num>
  <w:num w:numId="31">
    <w:abstractNumId w:val="41"/>
  </w:num>
  <w:num w:numId="32">
    <w:abstractNumId w:val="10"/>
  </w:num>
  <w:num w:numId="33">
    <w:abstractNumId w:val="19"/>
  </w:num>
  <w:num w:numId="34">
    <w:abstractNumId w:val="33"/>
  </w:num>
  <w:num w:numId="35">
    <w:abstractNumId w:val="14"/>
  </w:num>
  <w:num w:numId="36">
    <w:abstractNumId w:val="18"/>
  </w:num>
  <w:num w:numId="37">
    <w:abstractNumId w:val="39"/>
  </w:num>
  <w:num w:numId="38">
    <w:abstractNumId w:val="3"/>
  </w:num>
  <w:num w:numId="39">
    <w:abstractNumId w:val="23"/>
  </w:num>
  <w:num w:numId="40">
    <w:abstractNumId w:val="42"/>
  </w:num>
  <w:num w:numId="41">
    <w:abstractNumId w:val="31"/>
  </w:num>
  <w:num w:numId="42">
    <w:abstractNumId w:val="47"/>
  </w:num>
  <w:num w:numId="43">
    <w:abstractNumId w:val="29"/>
  </w:num>
  <w:num w:numId="44">
    <w:abstractNumId w:val="5"/>
  </w:num>
  <w:num w:numId="45">
    <w:abstractNumId w:val="12"/>
  </w:num>
  <w:num w:numId="46">
    <w:abstractNumId w:val="15"/>
  </w:num>
  <w:num w:numId="47">
    <w:abstractNumId w:val="11"/>
  </w:num>
  <w:num w:numId="48">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BA9"/>
    <w:rsid w:val="0000389E"/>
    <w:rsid w:val="00003DA0"/>
    <w:rsid w:val="00017992"/>
    <w:rsid w:val="00030B26"/>
    <w:rsid w:val="000422F4"/>
    <w:rsid w:val="00046233"/>
    <w:rsid w:val="000617F8"/>
    <w:rsid w:val="00061C24"/>
    <w:rsid w:val="0006228D"/>
    <w:rsid w:val="00072BD6"/>
    <w:rsid w:val="00073390"/>
    <w:rsid w:val="00075B78"/>
    <w:rsid w:val="00082CD6"/>
    <w:rsid w:val="00085AFE"/>
    <w:rsid w:val="0009432D"/>
    <w:rsid w:val="000B0730"/>
    <w:rsid w:val="000C6A85"/>
    <w:rsid w:val="000E5487"/>
    <w:rsid w:val="000F2AE2"/>
    <w:rsid w:val="00102063"/>
    <w:rsid w:val="0010541C"/>
    <w:rsid w:val="00106F93"/>
    <w:rsid w:val="00111D50"/>
    <w:rsid w:val="00113B8E"/>
    <w:rsid w:val="00120D3E"/>
    <w:rsid w:val="00122CAC"/>
    <w:rsid w:val="001342C7"/>
    <w:rsid w:val="0013585C"/>
    <w:rsid w:val="00141934"/>
    <w:rsid w:val="00142180"/>
    <w:rsid w:val="001424A9"/>
    <w:rsid w:val="00142954"/>
    <w:rsid w:val="00145064"/>
    <w:rsid w:val="001460E0"/>
    <w:rsid w:val="00147F71"/>
    <w:rsid w:val="00150A6E"/>
    <w:rsid w:val="001632B8"/>
    <w:rsid w:val="0016468A"/>
    <w:rsid w:val="0017564F"/>
    <w:rsid w:val="0019730B"/>
    <w:rsid w:val="001A5CF5"/>
    <w:rsid w:val="001B2B6F"/>
    <w:rsid w:val="001B39D2"/>
    <w:rsid w:val="001B58F3"/>
    <w:rsid w:val="001C0723"/>
    <w:rsid w:val="001C4326"/>
    <w:rsid w:val="001C4614"/>
    <w:rsid w:val="001D3541"/>
    <w:rsid w:val="001E3188"/>
    <w:rsid w:val="001F69F3"/>
    <w:rsid w:val="00201A01"/>
    <w:rsid w:val="002104D3"/>
    <w:rsid w:val="00210F60"/>
    <w:rsid w:val="00213A33"/>
    <w:rsid w:val="0021763B"/>
    <w:rsid w:val="002216B1"/>
    <w:rsid w:val="00222295"/>
    <w:rsid w:val="0022758B"/>
    <w:rsid w:val="0023578A"/>
    <w:rsid w:val="00236EFC"/>
    <w:rsid w:val="00246DB1"/>
    <w:rsid w:val="002476B5"/>
    <w:rsid w:val="00253ECF"/>
    <w:rsid w:val="002546A1"/>
    <w:rsid w:val="002615AD"/>
    <w:rsid w:val="00275D08"/>
    <w:rsid w:val="002858E3"/>
    <w:rsid w:val="00286BD4"/>
    <w:rsid w:val="0029190A"/>
    <w:rsid w:val="00292C5A"/>
    <w:rsid w:val="00295241"/>
    <w:rsid w:val="002B047D"/>
    <w:rsid w:val="002B732B"/>
    <w:rsid w:val="002C0B7B"/>
    <w:rsid w:val="002C2219"/>
    <w:rsid w:val="002C6F5A"/>
    <w:rsid w:val="002D0DF2"/>
    <w:rsid w:val="002D11AA"/>
    <w:rsid w:val="002D23BD"/>
    <w:rsid w:val="002E0B47"/>
    <w:rsid w:val="002F4B0F"/>
    <w:rsid w:val="002F66A1"/>
    <w:rsid w:val="002F7213"/>
    <w:rsid w:val="0030382F"/>
    <w:rsid w:val="0030408D"/>
    <w:rsid w:val="003060E4"/>
    <w:rsid w:val="003102D7"/>
    <w:rsid w:val="00310B27"/>
    <w:rsid w:val="00312920"/>
    <w:rsid w:val="003141D7"/>
    <w:rsid w:val="003160E7"/>
    <w:rsid w:val="0031739E"/>
    <w:rsid w:val="003325AB"/>
    <w:rsid w:val="00333EF2"/>
    <w:rsid w:val="0033412B"/>
    <w:rsid w:val="00343365"/>
    <w:rsid w:val="00344AFF"/>
    <w:rsid w:val="00352D53"/>
    <w:rsid w:val="00353501"/>
    <w:rsid w:val="00357E03"/>
    <w:rsid w:val="003606F8"/>
    <w:rsid w:val="003648EF"/>
    <w:rsid w:val="003673E6"/>
    <w:rsid w:val="00370643"/>
    <w:rsid w:val="00377264"/>
    <w:rsid w:val="003A26A5"/>
    <w:rsid w:val="003A3761"/>
    <w:rsid w:val="003A39FA"/>
    <w:rsid w:val="003A5FEA"/>
    <w:rsid w:val="003B1D10"/>
    <w:rsid w:val="003B75D9"/>
    <w:rsid w:val="003C76D4"/>
    <w:rsid w:val="003D5F87"/>
    <w:rsid w:val="003E23C8"/>
    <w:rsid w:val="003E7C46"/>
    <w:rsid w:val="003F32F0"/>
    <w:rsid w:val="003F52A7"/>
    <w:rsid w:val="0040240C"/>
    <w:rsid w:val="00404F13"/>
    <w:rsid w:val="00413021"/>
    <w:rsid w:val="00424783"/>
    <w:rsid w:val="004328F0"/>
    <w:rsid w:val="00440BE0"/>
    <w:rsid w:val="00442C1C"/>
    <w:rsid w:val="00442D01"/>
    <w:rsid w:val="0044584B"/>
    <w:rsid w:val="00446C6D"/>
    <w:rsid w:val="00447CB7"/>
    <w:rsid w:val="0045588D"/>
    <w:rsid w:val="00460826"/>
    <w:rsid w:val="00460EA7"/>
    <w:rsid w:val="0046195B"/>
    <w:rsid w:val="00461EBC"/>
    <w:rsid w:val="0046596D"/>
    <w:rsid w:val="00476A18"/>
    <w:rsid w:val="004777D9"/>
    <w:rsid w:val="00484CDA"/>
    <w:rsid w:val="00487C04"/>
    <w:rsid w:val="004907E1"/>
    <w:rsid w:val="004978A8"/>
    <w:rsid w:val="00497D1A"/>
    <w:rsid w:val="004A035B"/>
    <w:rsid w:val="004A38D7"/>
    <w:rsid w:val="004A778C"/>
    <w:rsid w:val="004B6830"/>
    <w:rsid w:val="004C2B4D"/>
    <w:rsid w:val="004C2E6A"/>
    <w:rsid w:val="004C36FA"/>
    <w:rsid w:val="004D2A2D"/>
    <w:rsid w:val="004D6689"/>
    <w:rsid w:val="004D6C00"/>
    <w:rsid w:val="004E1D1D"/>
    <w:rsid w:val="004E71A6"/>
    <w:rsid w:val="004E7AC8"/>
    <w:rsid w:val="004F0C94"/>
    <w:rsid w:val="004F3D5F"/>
    <w:rsid w:val="00500FAB"/>
    <w:rsid w:val="005019AE"/>
    <w:rsid w:val="00501B47"/>
    <w:rsid w:val="00503749"/>
    <w:rsid w:val="00504CF4"/>
    <w:rsid w:val="0050635B"/>
    <w:rsid w:val="00513BC3"/>
    <w:rsid w:val="00517D34"/>
    <w:rsid w:val="0053113B"/>
    <w:rsid w:val="0053199F"/>
    <w:rsid w:val="00533B90"/>
    <w:rsid w:val="005410F8"/>
    <w:rsid w:val="00541F52"/>
    <w:rsid w:val="005440CD"/>
    <w:rsid w:val="005448EC"/>
    <w:rsid w:val="00545963"/>
    <w:rsid w:val="00550256"/>
    <w:rsid w:val="00553958"/>
    <w:rsid w:val="0055763D"/>
    <w:rsid w:val="005621F2"/>
    <w:rsid w:val="00567B58"/>
    <w:rsid w:val="00572AD6"/>
    <w:rsid w:val="005763E0"/>
    <w:rsid w:val="0059425B"/>
    <w:rsid w:val="005A11A7"/>
    <w:rsid w:val="005A27CA"/>
    <w:rsid w:val="005A43BD"/>
    <w:rsid w:val="005A7E3B"/>
    <w:rsid w:val="005C4DC7"/>
    <w:rsid w:val="005D12FD"/>
    <w:rsid w:val="005D6605"/>
    <w:rsid w:val="005E0155"/>
    <w:rsid w:val="005E07CD"/>
    <w:rsid w:val="005E1877"/>
    <w:rsid w:val="005E226E"/>
    <w:rsid w:val="005F1945"/>
    <w:rsid w:val="005F7B73"/>
    <w:rsid w:val="006015D7"/>
    <w:rsid w:val="00601B21"/>
    <w:rsid w:val="0060330E"/>
    <w:rsid w:val="00610686"/>
    <w:rsid w:val="00626CF8"/>
    <w:rsid w:val="00634A48"/>
    <w:rsid w:val="00636D7D"/>
    <w:rsid w:val="00637408"/>
    <w:rsid w:val="00642868"/>
    <w:rsid w:val="00647AFE"/>
    <w:rsid w:val="006512BC"/>
    <w:rsid w:val="00652090"/>
    <w:rsid w:val="00653A5A"/>
    <w:rsid w:val="006552C7"/>
    <w:rsid w:val="006575F4"/>
    <w:rsid w:val="006579E6"/>
    <w:rsid w:val="00663EDC"/>
    <w:rsid w:val="00671078"/>
    <w:rsid w:val="00671D14"/>
    <w:rsid w:val="00680A04"/>
    <w:rsid w:val="00686D80"/>
    <w:rsid w:val="00694895"/>
    <w:rsid w:val="00695767"/>
    <w:rsid w:val="00697E2E"/>
    <w:rsid w:val="006A25A2"/>
    <w:rsid w:val="006B0E73"/>
    <w:rsid w:val="006B4A4D"/>
    <w:rsid w:val="006B5695"/>
    <w:rsid w:val="006C78EB"/>
    <w:rsid w:val="006D1660"/>
    <w:rsid w:val="006D4FF0"/>
    <w:rsid w:val="006F1B67"/>
    <w:rsid w:val="0070091D"/>
    <w:rsid w:val="00701F23"/>
    <w:rsid w:val="00702854"/>
    <w:rsid w:val="007066D2"/>
    <w:rsid w:val="0071021C"/>
    <w:rsid w:val="0071741C"/>
    <w:rsid w:val="00732138"/>
    <w:rsid w:val="00735227"/>
    <w:rsid w:val="00742B90"/>
    <w:rsid w:val="0074434D"/>
    <w:rsid w:val="00771B1E"/>
    <w:rsid w:val="00773C95"/>
    <w:rsid w:val="0078171E"/>
    <w:rsid w:val="007959B5"/>
    <w:rsid w:val="00795B34"/>
    <w:rsid w:val="007A09B4"/>
    <w:rsid w:val="007A1A7D"/>
    <w:rsid w:val="007B1770"/>
    <w:rsid w:val="007B4D3E"/>
    <w:rsid w:val="007B6310"/>
    <w:rsid w:val="007B7C70"/>
    <w:rsid w:val="007C310F"/>
    <w:rsid w:val="007D2151"/>
    <w:rsid w:val="007D42CC"/>
    <w:rsid w:val="007D5DE4"/>
    <w:rsid w:val="007E1341"/>
    <w:rsid w:val="007E1B41"/>
    <w:rsid w:val="007E30B9"/>
    <w:rsid w:val="007E56E3"/>
    <w:rsid w:val="007F0F0C"/>
    <w:rsid w:val="007F1288"/>
    <w:rsid w:val="007F4DD4"/>
    <w:rsid w:val="00800A8A"/>
    <w:rsid w:val="0080155C"/>
    <w:rsid w:val="008052E1"/>
    <w:rsid w:val="00810D5F"/>
    <w:rsid w:val="008129A8"/>
    <w:rsid w:val="00816ACB"/>
    <w:rsid w:val="00822F2C"/>
    <w:rsid w:val="008305E8"/>
    <w:rsid w:val="008467DC"/>
    <w:rsid w:val="008505C6"/>
    <w:rsid w:val="00860826"/>
    <w:rsid w:val="00860E21"/>
    <w:rsid w:val="008618C1"/>
    <w:rsid w:val="00863117"/>
    <w:rsid w:val="0086388B"/>
    <w:rsid w:val="008642E5"/>
    <w:rsid w:val="00872D93"/>
    <w:rsid w:val="00880470"/>
    <w:rsid w:val="00880D94"/>
    <w:rsid w:val="0088425B"/>
    <w:rsid w:val="008924DE"/>
    <w:rsid w:val="00894668"/>
    <w:rsid w:val="0089626D"/>
    <w:rsid w:val="00897413"/>
    <w:rsid w:val="008A3755"/>
    <w:rsid w:val="008A7E2C"/>
    <w:rsid w:val="008B264F"/>
    <w:rsid w:val="008B6F83"/>
    <w:rsid w:val="008B7FD8"/>
    <w:rsid w:val="008C2973"/>
    <w:rsid w:val="008C4014"/>
    <w:rsid w:val="008C64C4"/>
    <w:rsid w:val="008D4441"/>
    <w:rsid w:val="008D74D5"/>
    <w:rsid w:val="008E6A33"/>
    <w:rsid w:val="008F0775"/>
    <w:rsid w:val="008F29BE"/>
    <w:rsid w:val="008F4AE5"/>
    <w:rsid w:val="008F51EB"/>
    <w:rsid w:val="00900197"/>
    <w:rsid w:val="00902F55"/>
    <w:rsid w:val="009052B3"/>
    <w:rsid w:val="0090582B"/>
    <w:rsid w:val="009060C0"/>
    <w:rsid w:val="009133F5"/>
    <w:rsid w:val="00920A27"/>
    <w:rsid w:val="00921216"/>
    <w:rsid w:val="009262A5"/>
    <w:rsid w:val="00932D69"/>
    <w:rsid w:val="00936322"/>
    <w:rsid w:val="00944647"/>
    <w:rsid w:val="00954B49"/>
    <w:rsid w:val="00977B8A"/>
    <w:rsid w:val="00982971"/>
    <w:rsid w:val="009845AD"/>
    <w:rsid w:val="00985815"/>
    <w:rsid w:val="009860BF"/>
    <w:rsid w:val="00990CA2"/>
    <w:rsid w:val="00995BA0"/>
    <w:rsid w:val="009A0B88"/>
    <w:rsid w:val="009A418B"/>
    <w:rsid w:val="009A4473"/>
    <w:rsid w:val="009A50C8"/>
    <w:rsid w:val="009B1F3B"/>
    <w:rsid w:val="009B2C97"/>
    <w:rsid w:val="009C131D"/>
    <w:rsid w:val="009C151C"/>
    <w:rsid w:val="009C3A17"/>
    <w:rsid w:val="009D5125"/>
    <w:rsid w:val="009D60B8"/>
    <w:rsid w:val="009D7D4B"/>
    <w:rsid w:val="009E36ED"/>
    <w:rsid w:val="009E6B77"/>
    <w:rsid w:val="009F460A"/>
    <w:rsid w:val="00A043FB"/>
    <w:rsid w:val="00A0729C"/>
    <w:rsid w:val="00A07779"/>
    <w:rsid w:val="00A20B2E"/>
    <w:rsid w:val="00A3068F"/>
    <w:rsid w:val="00A3145B"/>
    <w:rsid w:val="00A339D0"/>
    <w:rsid w:val="00A41002"/>
    <w:rsid w:val="00A4201A"/>
    <w:rsid w:val="00A433AA"/>
    <w:rsid w:val="00A553CE"/>
    <w:rsid w:val="00A55CE6"/>
    <w:rsid w:val="00A5677A"/>
    <w:rsid w:val="00A57855"/>
    <w:rsid w:val="00A6490D"/>
    <w:rsid w:val="00A66C98"/>
    <w:rsid w:val="00A676C2"/>
    <w:rsid w:val="00A7354A"/>
    <w:rsid w:val="00A76565"/>
    <w:rsid w:val="00A80363"/>
    <w:rsid w:val="00A9169D"/>
    <w:rsid w:val="00A923D9"/>
    <w:rsid w:val="00A94469"/>
    <w:rsid w:val="00AA2408"/>
    <w:rsid w:val="00AB238D"/>
    <w:rsid w:val="00AC101C"/>
    <w:rsid w:val="00AC6FF3"/>
    <w:rsid w:val="00AD4CF1"/>
    <w:rsid w:val="00AD51B2"/>
    <w:rsid w:val="00AD5988"/>
    <w:rsid w:val="00AF2D63"/>
    <w:rsid w:val="00AF7800"/>
    <w:rsid w:val="00B072E0"/>
    <w:rsid w:val="00B107E2"/>
    <w:rsid w:val="00B1296B"/>
    <w:rsid w:val="00B22D12"/>
    <w:rsid w:val="00B252AD"/>
    <w:rsid w:val="00B253F6"/>
    <w:rsid w:val="00B25BA8"/>
    <w:rsid w:val="00B2785D"/>
    <w:rsid w:val="00B332F8"/>
    <w:rsid w:val="00B3492B"/>
    <w:rsid w:val="00B4646F"/>
    <w:rsid w:val="00B55C7D"/>
    <w:rsid w:val="00B63038"/>
    <w:rsid w:val="00B63774"/>
    <w:rsid w:val="00B64BD8"/>
    <w:rsid w:val="00B701D1"/>
    <w:rsid w:val="00B73AF2"/>
    <w:rsid w:val="00B7465A"/>
    <w:rsid w:val="00B7551A"/>
    <w:rsid w:val="00B9016A"/>
    <w:rsid w:val="00B9430A"/>
    <w:rsid w:val="00BB2866"/>
    <w:rsid w:val="00BB327A"/>
    <w:rsid w:val="00BB5237"/>
    <w:rsid w:val="00BC0C3F"/>
    <w:rsid w:val="00BC59F1"/>
    <w:rsid w:val="00BC7B7A"/>
    <w:rsid w:val="00BF3DE1"/>
    <w:rsid w:val="00BF4843"/>
    <w:rsid w:val="00BF5205"/>
    <w:rsid w:val="00C03127"/>
    <w:rsid w:val="00C12508"/>
    <w:rsid w:val="00C30CF1"/>
    <w:rsid w:val="00C34948"/>
    <w:rsid w:val="00C366F7"/>
    <w:rsid w:val="00C45AA2"/>
    <w:rsid w:val="00C66296"/>
    <w:rsid w:val="00C670AA"/>
    <w:rsid w:val="00C71A1E"/>
    <w:rsid w:val="00C77282"/>
    <w:rsid w:val="00C84DE5"/>
    <w:rsid w:val="00C86248"/>
    <w:rsid w:val="00CA4C33"/>
    <w:rsid w:val="00CA5D88"/>
    <w:rsid w:val="00CA6F4A"/>
    <w:rsid w:val="00CB29CE"/>
    <w:rsid w:val="00CD2119"/>
    <w:rsid w:val="00CD327B"/>
    <w:rsid w:val="00CD36AC"/>
    <w:rsid w:val="00CE219C"/>
    <w:rsid w:val="00CF1747"/>
    <w:rsid w:val="00D00C3E"/>
    <w:rsid w:val="00D10325"/>
    <w:rsid w:val="00D20266"/>
    <w:rsid w:val="00D2392A"/>
    <w:rsid w:val="00D24FD2"/>
    <w:rsid w:val="00D25FFE"/>
    <w:rsid w:val="00D27246"/>
    <w:rsid w:val="00D4476F"/>
    <w:rsid w:val="00D47D19"/>
    <w:rsid w:val="00D54D50"/>
    <w:rsid w:val="00D555E6"/>
    <w:rsid w:val="00D66723"/>
    <w:rsid w:val="00D66766"/>
    <w:rsid w:val="00D66797"/>
    <w:rsid w:val="00D7087C"/>
    <w:rsid w:val="00D70C3C"/>
    <w:rsid w:val="00D72BE5"/>
    <w:rsid w:val="00D74699"/>
    <w:rsid w:val="00D82F26"/>
    <w:rsid w:val="00D863D0"/>
    <w:rsid w:val="00D87C87"/>
    <w:rsid w:val="00D93701"/>
    <w:rsid w:val="00D95924"/>
    <w:rsid w:val="00DA24AE"/>
    <w:rsid w:val="00DB39CF"/>
    <w:rsid w:val="00DC3555"/>
    <w:rsid w:val="00DD447A"/>
    <w:rsid w:val="00DE3B20"/>
    <w:rsid w:val="00DE6C94"/>
    <w:rsid w:val="00DE6FD7"/>
    <w:rsid w:val="00DE7219"/>
    <w:rsid w:val="00E062C5"/>
    <w:rsid w:val="00E12B79"/>
    <w:rsid w:val="00E135C8"/>
    <w:rsid w:val="00E16945"/>
    <w:rsid w:val="00E23271"/>
    <w:rsid w:val="00E24DFD"/>
    <w:rsid w:val="00E24F80"/>
    <w:rsid w:val="00E259F3"/>
    <w:rsid w:val="00E33238"/>
    <w:rsid w:val="00E34A4B"/>
    <w:rsid w:val="00E4486C"/>
    <w:rsid w:val="00E460B6"/>
    <w:rsid w:val="00E511D5"/>
    <w:rsid w:val="00E578F7"/>
    <w:rsid w:val="00E60249"/>
    <w:rsid w:val="00E65269"/>
    <w:rsid w:val="00E75127"/>
    <w:rsid w:val="00E76D66"/>
    <w:rsid w:val="00E810D4"/>
    <w:rsid w:val="00E9105B"/>
    <w:rsid w:val="00E97AA5"/>
    <w:rsid w:val="00EA796A"/>
    <w:rsid w:val="00EB1856"/>
    <w:rsid w:val="00EC50CE"/>
    <w:rsid w:val="00EC5B34"/>
    <w:rsid w:val="00ED26A0"/>
    <w:rsid w:val="00EE4ADE"/>
    <w:rsid w:val="00EE5CB7"/>
    <w:rsid w:val="00EF1A37"/>
    <w:rsid w:val="00EF1E64"/>
    <w:rsid w:val="00EF404E"/>
    <w:rsid w:val="00F024FE"/>
    <w:rsid w:val="00F05AD4"/>
    <w:rsid w:val="00F25B70"/>
    <w:rsid w:val="00F308CD"/>
    <w:rsid w:val="00F3129C"/>
    <w:rsid w:val="00F327D0"/>
    <w:rsid w:val="00F33C1D"/>
    <w:rsid w:val="00F364E7"/>
    <w:rsid w:val="00F67496"/>
    <w:rsid w:val="00F801BA"/>
    <w:rsid w:val="00F946C9"/>
    <w:rsid w:val="00F962AC"/>
    <w:rsid w:val="00FA0630"/>
    <w:rsid w:val="00FA6942"/>
    <w:rsid w:val="00FA74EE"/>
    <w:rsid w:val="00FB1574"/>
    <w:rsid w:val="00FB7897"/>
    <w:rsid w:val="00FC46E7"/>
    <w:rsid w:val="00FC5D25"/>
    <w:rsid w:val="00FD0D7E"/>
    <w:rsid w:val="00FD7F1C"/>
    <w:rsid w:val="00FE297F"/>
    <w:rsid w:val="00FE2E6E"/>
    <w:rsid w:val="00FE6E13"/>
    <w:rsid w:val="00FE790A"/>
    <w:rsid w:val="00FF15F6"/>
    <w:rsid w:val="00FF3532"/>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60B85E"/>
  <w15:docId w15:val="{DCB93008-DCE8-4A4E-8045-E7D255D1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qFormat/>
    <w:rsid w:val="00735227"/>
    <w:pPr>
      <w:keepNext/>
      <w:keepLines/>
      <w:spacing w:before="20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uiPriority w:val="9"/>
    <w:qFormat/>
    <w:rsid w:val="00735227"/>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uiPriority w:val="9"/>
    <w:qFormat/>
    <w:rsid w:val="00735227"/>
    <w:pPr>
      <w:keepNext/>
      <w:keepLines/>
      <w:spacing w:before="200" w:line="276" w:lineRule="auto"/>
      <w:outlineLvl w:val="7"/>
    </w:pPr>
    <w:rPr>
      <w:rFonts w:ascii="Cambria" w:hAnsi="Cambria"/>
      <w:color w:val="4F81BD"/>
      <w:sz w:val="20"/>
      <w:lang w:eastAsia="en-US"/>
    </w:rPr>
  </w:style>
  <w:style w:type="paragraph" w:styleId="Heading9">
    <w:name w:val="heading 9"/>
    <w:basedOn w:val="Normal"/>
    <w:next w:val="Normal"/>
    <w:link w:val="Heading9Char"/>
    <w:uiPriority w:val="9"/>
    <w:qFormat/>
    <w:rsid w:val="00735227"/>
    <w:pPr>
      <w:keepNext/>
      <w:keepLines/>
      <w:spacing w:before="200" w:line="276" w:lineRule="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4D6C00"/>
    <w:pPr>
      <w:pBdr>
        <w:top w:val="single" w:sz="48" w:space="6" w:color="auto"/>
      </w:pBd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D74699"/>
    <w:pPr>
      <w:pBdr>
        <w:top w:val="single" w:sz="48" w:space="3" w:color="auto"/>
      </w:pBdr>
    </w:pPr>
    <w:rPr>
      <w:sz w:val="56"/>
    </w:rPr>
  </w:style>
  <w:style w:type="paragraph" w:customStyle="1" w:styleId="TableSource">
    <w:name w:val="TableSource"/>
    <w:basedOn w:val="Source"/>
    <w:qFormat/>
    <w:rsid w:val="00B1296B"/>
    <w:pPr>
      <w:ind w:right="0"/>
    </w:pPr>
  </w:style>
  <w:style w:type="paragraph" w:customStyle="1" w:styleId="TableNote">
    <w:name w:val="TableNote"/>
    <w:basedOn w:val="Note"/>
    <w:qFormat/>
    <w:rsid w:val="00B1296B"/>
    <w:pPr>
      <w:ind w:right="0"/>
    </w:p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6Char">
    <w:name w:val="Heading 6 Char"/>
    <w:basedOn w:val="DefaultParagraphFont"/>
    <w:link w:val="Heading6"/>
    <w:uiPriority w:val="9"/>
    <w:rsid w:val="00735227"/>
    <w:rPr>
      <w:rFonts w:ascii="Cambria" w:hAnsi="Cambria"/>
      <w:i/>
      <w:iCs/>
      <w:color w:val="243F60"/>
      <w:sz w:val="22"/>
      <w:szCs w:val="22"/>
      <w:lang w:eastAsia="en-US"/>
    </w:rPr>
  </w:style>
  <w:style w:type="character" w:customStyle="1" w:styleId="Heading7Char">
    <w:name w:val="Heading 7 Char"/>
    <w:basedOn w:val="DefaultParagraphFont"/>
    <w:link w:val="Heading7"/>
    <w:uiPriority w:val="9"/>
    <w:rsid w:val="00735227"/>
    <w:rPr>
      <w:rFonts w:ascii="Cambria" w:hAnsi="Cambria"/>
      <w:i/>
      <w:iCs/>
      <w:color w:val="404040"/>
      <w:sz w:val="22"/>
      <w:szCs w:val="22"/>
      <w:lang w:eastAsia="en-US"/>
    </w:rPr>
  </w:style>
  <w:style w:type="character" w:customStyle="1" w:styleId="Heading8Char">
    <w:name w:val="Heading 8 Char"/>
    <w:basedOn w:val="DefaultParagraphFont"/>
    <w:link w:val="Heading8"/>
    <w:uiPriority w:val="9"/>
    <w:rsid w:val="00735227"/>
    <w:rPr>
      <w:rFonts w:ascii="Cambria" w:hAnsi="Cambria"/>
      <w:color w:val="4F81BD"/>
      <w:lang w:eastAsia="en-US"/>
    </w:rPr>
  </w:style>
  <w:style w:type="character" w:customStyle="1" w:styleId="Heading9Char">
    <w:name w:val="Heading 9 Char"/>
    <w:basedOn w:val="DefaultParagraphFont"/>
    <w:link w:val="Heading9"/>
    <w:uiPriority w:val="9"/>
    <w:rsid w:val="00735227"/>
    <w:rPr>
      <w:rFonts w:ascii="Cambria" w:hAnsi="Cambria"/>
      <w:i/>
      <w:iCs/>
      <w:color w:val="404040"/>
      <w:lang w:eastAsia="en-US"/>
    </w:rPr>
  </w:style>
  <w:style w:type="character" w:customStyle="1" w:styleId="Heading4Char">
    <w:name w:val="Heading 4 Char"/>
    <w:link w:val="Heading4"/>
    <w:uiPriority w:val="9"/>
    <w:rsid w:val="00735227"/>
    <w:rPr>
      <w:rFonts w:ascii="Georgia" w:hAnsi="Georgia"/>
      <w:b/>
      <w:sz w:val="22"/>
      <w:lang w:eastAsia="en-GB"/>
    </w:rPr>
  </w:style>
  <w:style w:type="character" w:customStyle="1" w:styleId="Heading5Char">
    <w:name w:val="Heading 5 Char"/>
    <w:link w:val="Heading5"/>
    <w:uiPriority w:val="9"/>
    <w:rsid w:val="00735227"/>
    <w:rPr>
      <w:rFonts w:ascii="Georgia" w:hAnsi="Georgia"/>
      <w:sz w:val="22"/>
      <w:u w:val="single"/>
      <w:lang w:eastAsia="en-GB"/>
    </w:rPr>
  </w:style>
  <w:style w:type="character" w:customStyle="1" w:styleId="TitleChar">
    <w:name w:val="Title Char"/>
    <w:link w:val="Title"/>
    <w:uiPriority w:val="10"/>
    <w:rsid w:val="00735227"/>
    <w:rPr>
      <w:rFonts w:ascii="Georgia" w:hAnsi="Georgia"/>
      <w:b/>
      <w:sz w:val="80"/>
      <w:lang w:eastAsia="en-GB"/>
    </w:rPr>
  </w:style>
  <w:style w:type="paragraph" w:customStyle="1" w:styleId="MediumList2-Accent21">
    <w:name w:val="Medium List 2 - Accent 21"/>
    <w:hidden/>
    <w:uiPriority w:val="99"/>
    <w:semiHidden/>
    <w:rsid w:val="00735227"/>
    <w:rPr>
      <w:rFonts w:ascii="Georgia" w:hAnsi="Georgia"/>
      <w:sz w:val="22"/>
      <w:lang w:eastAsia="en-GB"/>
    </w:rPr>
  </w:style>
  <w:style w:type="paragraph" w:styleId="BalloonText">
    <w:name w:val="Balloon Text"/>
    <w:basedOn w:val="Normal"/>
    <w:link w:val="BalloonTextChar"/>
    <w:uiPriority w:val="99"/>
    <w:semiHidden/>
    <w:unhideWhenUsed/>
    <w:rsid w:val="00EF1A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A37"/>
    <w:rPr>
      <w:rFonts w:ascii="Tahoma" w:hAnsi="Tahoma" w:cs="Tahoma"/>
      <w:sz w:val="16"/>
      <w:szCs w:val="16"/>
      <w:lang w:eastAsia="en-GB"/>
    </w:rPr>
  </w:style>
  <w:style w:type="paragraph" w:styleId="ListParagraph">
    <w:name w:val="List Paragraph"/>
    <w:basedOn w:val="Normal"/>
    <w:uiPriority w:val="34"/>
    <w:qFormat/>
    <w:rsid w:val="00EF1A37"/>
    <w:pPr>
      <w:ind w:left="720"/>
      <w:contextualSpacing/>
    </w:pPr>
  </w:style>
  <w:style w:type="character" w:customStyle="1" w:styleId="A4">
    <w:name w:val="A4"/>
    <w:uiPriority w:val="99"/>
    <w:rsid w:val="0017564F"/>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140784">
      <w:bodyDiv w:val="1"/>
      <w:marLeft w:val="0"/>
      <w:marRight w:val="0"/>
      <w:marTop w:val="0"/>
      <w:marBottom w:val="0"/>
      <w:divBdr>
        <w:top w:val="none" w:sz="0" w:space="0" w:color="auto"/>
        <w:left w:val="none" w:sz="0" w:space="0" w:color="auto"/>
        <w:bottom w:val="none" w:sz="0" w:space="0" w:color="auto"/>
        <w:right w:val="none" w:sz="0" w:space="0" w:color="auto"/>
      </w:divBdr>
    </w:div>
    <w:div w:id="18725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health.govt.nz/publication/tobacco-use-new-zealand-2012-13-key-findings-new-zealand-health-survey" TargetMode="External"/><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yperlink" Target="http://URL:%20www.alac.org.nz/LowRiskDrinking.aspx%20(accessed%20June%202014" TargetMode="External"/><Relationship Id="rId10" Type="http://schemas.openxmlformats.org/officeDocument/2006/relationships/image" Target="media/image3.png"/><Relationship Id="rId19" Type="http://schemas.openxmlformats.org/officeDocument/2006/relationships/hyperlink" Target="http://www.health.govt.nz" TargetMode="Externa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ealth.govt.nz/nzhs-feedback"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eader" Target="header1.xml"/><Relationship Id="rId5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68</Pages>
  <Words>17925</Words>
  <Characters>102178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Tobacco Use 2012/13: New Zealand Health Survey</vt:lpstr>
    </vt:vector>
  </TitlesOfParts>
  <Company>Microsoft</Company>
  <LinksUpToDate>false</LinksUpToDate>
  <CharactersWithSpaces>119864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Use 2012/13: New Zealand Health Survey</dc:title>
  <dc:creator>Ministry of Health</dc:creator>
  <cp:lastModifiedBy>Logan Smith</cp:lastModifiedBy>
  <cp:revision>2</cp:revision>
  <cp:lastPrinted>2014-12-01T00:36:00Z</cp:lastPrinted>
  <dcterms:created xsi:type="dcterms:W3CDTF">2015-08-17T03:43:00Z</dcterms:created>
  <dcterms:modified xsi:type="dcterms:W3CDTF">2015-08-17T03:43:00Z</dcterms:modified>
</cp:coreProperties>
</file>