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8" w:type="dxa"/>
        <w:tblBorders>
          <w:bottom w:val="single" w:sz="12" w:space="0" w:color="auto"/>
        </w:tblBorders>
        <w:tblLayout w:type="fixed"/>
        <w:tblCellMar>
          <w:left w:w="0" w:type="dxa"/>
          <w:right w:w="0" w:type="dxa"/>
        </w:tblCellMar>
        <w:tblLook w:val="01E0" w:firstRow="1" w:lastRow="1" w:firstColumn="1" w:lastColumn="1" w:noHBand="0" w:noVBand="0"/>
      </w:tblPr>
      <w:tblGrid>
        <w:gridCol w:w="6663"/>
        <w:gridCol w:w="2835"/>
      </w:tblGrid>
      <w:tr w:rsidR="00D56D8D" w:rsidRPr="00DD748F" w:rsidTr="0092659B">
        <w:trPr>
          <w:cantSplit/>
        </w:trPr>
        <w:tc>
          <w:tcPr>
            <w:tcW w:w="6663" w:type="dxa"/>
            <w:shd w:val="clear" w:color="auto" w:fill="auto"/>
            <w:vAlign w:val="bottom"/>
          </w:tcPr>
          <w:p w:rsidR="008348B7" w:rsidRPr="00DD748F" w:rsidRDefault="00950A4A" w:rsidP="00950A4A">
            <w:pPr>
              <w:pStyle w:val="Title"/>
            </w:pPr>
            <w:r>
              <w:t>Amphetamine Use 2013/</w:t>
            </w:r>
            <w:bookmarkStart w:id="0" w:name="_GoBack"/>
            <w:bookmarkEnd w:id="0"/>
            <w:r>
              <w:t>14</w:t>
            </w:r>
            <w:proofErr w:type="gramStart"/>
            <w:r>
              <w:t>:</w:t>
            </w:r>
            <w:proofErr w:type="gramEnd"/>
            <w:r>
              <w:br/>
              <w:t>New Zealand Health Survey</w:t>
            </w:r>
          </w:p>
        </w:tc>
        <w:tc>
          <w:tcPr>
            <w:tcW w:w="2835" w:type="dxa"/>
            <w:shd w:val="clear" w:color="auto" w:fill="auto"/>
            <w:vAlign w:val="bottom"/>
          </w:tcPr>
          <w:p w:rsidR="00CD373C" w:rsidRPr="00DD748F" w:rsidRDefault="00CD373C" w:rsidP="0092659B">
            <w:pPr>
              <w:spacing w:after="120"/>
              <w:jc w:val="right"/>
            </w:pPr>
          </w:p>
          <w:p w:rsidR="00423830" w:rsidRPr="00DD748F" w:rsidRDefault="00950A4A" w:rsidP="00950A4A">
            <w:pPr>
              <w:spacing w:after="120"/>
              <w:jc w:val="right"/>
              <w:rPr>
                <w:color w:val="002B7F"/>
                <w:sz w:val="28"/>
                <w:szCs w:val="28"/>
              </w:rPr>
            </w:pPr>
            <w:r>
              <w:rPr>
                <w:sz w:val="28"/>
                <w:szCs w:val="28"/>
              </w:rPr>
              <w:t>December 2014</w:t>
            </w:r>
          </w:p>
        </w:tc>
      </w:tr>
    </w:tbl>
    <w:p w:rsidR="000F4648" w:rsidRDefault="000F4648" w:rsidP="00950A4A">
      <w:pPr>
        <w:rPr>
          <w:lang w:eastAsia="en-GB"/>
        </w:rPr>
      </w:pPr>
    </w:p>
    <w:p w:rsidR="00950A4A" w:rsidRDefault="00950A4A" w:rsidP="00950A4A">
      <w:pPr>
        <w:rPr>
          <w:lang w:eastAsia="en-GB"/>
        </w:rPr>
      </w:pPr>
      <w:r w:rsidRPr="00DB1432">
        <w:rPr>
          <w:lang w:eastAsia="en-GB"/>
        </w:rPr>
        <w:t xml:space="preserve">This report presents findings from the New Zealand Health Survey (NZHS) about </w:t>
      </w:r>
      <w:r>
        <w:rPr>
          <w:lang w:eastAsia="en-GB"/>
        </w:rPr>
        <w:t xml:space="preserve">reported </w:t>
      </w:r>
      <w:r w:rsidRPr="00DB1432">
        <w:rPr>
          <w:lang w:eastAsia="en-GB"/>
        </w:rPr>
        <w:t xml:space="preserve">amphetamine use in the </w:t>
      </w:r>
      <w:r>
        <w:rPr>
          <w:lang w:eastAsia="en-GB"/>
        </w:rPr>
        <w:t>last 12 months (past year)</w:t>
      </w:r>
      <w:r w:rsidRPr="00DB1432">
        <w:rPr>
          <w:lang w:eastAsia="en-GB"/>
        </w:rPr>
        <w:t xml:space="preserve"> in adults aged 16</w:t>
      </w:r>
      <w:r>
        <w:rPr>
          <w:lang w:eastAsia="en-GB"/>
        </w:rPr>
        <w:t>–</w:t>
      </w:r>
      <w:r w:rsidRPr="00DB1432">
        <w:rPr>
          <w:lang w:eastAsia="en-GB"/>
        </w:rPr>
        <w:t>64 years</w:t>
      </w:r>
      <w:r>
        <w:rPr>
          <w:lang w:eastAsia="en-GB"/>
        </w:rPr>
        <w:t>.</w:t>
      </w:r>
    </w:p>
    <w:p w:rsidR="00950A4A" w:rsidRDefault="00950A4A" w:rsidP="00950A4A">
      <w:pPr>
        <w:rPr>
          <w:lang w:eastAsia="en-GB"/>
        </w:rPr>
      </w:pPr>
    </w:p>
    <w:p w:rsidR="00950A4A" w:rsidRDefault="00950A4A" w:rsidP="00950A4A">
      <w:pPr>
        <w:rPr>
          <w:lang w:eastAsia="en-GB"/>
        </w:rPr>
      </w:pPr>
      <w:r w:rsidRPr="00DB1432">
        <w:rPr>
          <w:lang w:eastAsia="en-GB"/>
        </w:rPr>
        <w:t xml:space="preserve">The </w:t>
      </w:r>
      <w:r>
        <w:rPr>
          <w:lang w:eastAsia="en-GB"/>
        </w:rPr>
        <w:t xml:space="preserve">NZHS </w:t>
      </w:r>
      <w:r w:rsidRPr="00DB1432">
        <w:rPr>
          <w:lang w:eastAsia="en-GB"/>
        </w:rPr>
        <w:t xml:space="preserve">data was collected from July 2013 to June 2014 </w:t>
      </w:r>
      <w:r>
        <w:rPr>
          <w:lang w:eastAsia="en-GB"/>
        </w:rPr>
        <w:t>in</w:t>
      </w:r>
      <w:r w:rsidRPr="00DB1432">
        <w:rPr>
          <w:lang w:eastAsia="en-GB"/>
        </w:rPr>
        <w:t xml:space="preserve"> face-to-face interview</w:t>
      </w:r>
      <w:r>
        <w:rPr>
          <w:lang w:eastAsia="en-GB"/>
        </w:rPr>
        <w:t xml:space="preserve">s </w:t>
      </w:r>
      <w:r w:rsidRPr="007F606B">
        <w:rPr>
          <w:lang w:eastAsia="en-GB"/>
        </w:rPr>
        <w:t xml:space="preserve">conducted in </w:t>
      </w:r>
      <w:r>
        <w:rPr>
          <w:lang w:eastAsia="en-GB"/>
        </w:rPr>
        <w:t>people’</w:t>
      </w:r>
      <w:r w:rsidRPr="007F606B">
        <w:rPr>
          <w:lang w:eastAsia="en-GB"/>
        </w:rPr>
        <w:t>s homes.</w:t>
      </w:r>
      <w:r>
        <w:rPr>
          <w:lang w:eastAsia="en-GB"/>
        </w:rPr>
        <w:t xml:space="preserve"> </w:t>
      </w:r>
      <w:r w:rsidRPr="007F606B">
        <w:rPr>
          <w:lang w:eastAsia="en-GB"/>
        </w:rPr>
        <w:t>The adult survey response rate was 80</w:t>
      </w:r>
      <w:r>
        <w:rPr>
          <w:lang w:eastAsia="en-GB"/>
        </w:rPr>
        <w:t>%.</w:t>
      </w:r>
    </w:p>
    <w:p w:rsidR="00950A4A" w:rsidRPr="007F606B" w:rsidRDefault="00950A4A" w:rsidP="00950A4A">
      <w:pPr>
        <w:rPr>
          <w:lang w:eastAsia="en-GB"/>
        </w:rPr>
      </w:pPr>
    </w:p>
    <w:p w:rsidR="00950A4A" w:rsidRDefault="00950A4A" w:rsidP="00950A4A">
      <w:r>
        <w:t>Amphetamines are a group of synthetic stimulant drugs. In New Zealand one of the most commonly used types is methamphetamine, which is also known as ‘P’, ‘meth’, ‘ice’ or ‘crystal meth’.</w:t>
      </w:r>
    </w:p>
    <w:p w:rsidR="00950A4A" w:rsidRPr="00DB1432" w:rsidRDefault="00950A4A" w:rsidP="00950A4A">
      <w:pPr>
        <w:pStyle w:val="Heading2"/>
        <w:rPr>
          <w:lang w:eastAsia="en-GB"/>
        </w:rPr>
      </w:pPr>
      <w:r w:rsidRPr="00DB1432">
        <w:rPr>
          <w:lang w:eastAsia="en-GB"/>
        </w:rPr>
        <w:t>What was the survey question?</w:t>
      </w:r>
    </w:p>
    <w:p w:rsidR="00950A4A" w:rsidRPr="002E64E1" w:rsidRDefault="00950A4A" w:rsidP="00950A4A">
      <w:pPr>
        <w:pStyle w:val="Box"/>
      </w:pPr>
      <w:r w:rsidRPr="002E64E1">
        <w:t>The NZHS asks adults the fo</w:t>
      </w:r>
      <w:r w:rsidR="00E12563">
        <w:t>l</w:t>
      </w:r>
      <w:r w:rsidRPr="002E64E1">
        <w:t xml:space="preserve">lowing </w:t>
      </w:r>
      <w:r>
        <w:t>question about amphetamine use:</w:t>
      </w:r>
    </w:p>
    <w:p w:rsidR="00950A4A" w:rsidRPr="00A510AD" w:rsidRDefault="00950A4A" w:rsidP="00950A4A">
      <w:pPr>
        <w:pStyle w:val="Box"/>
      </w:pPr>
      <w:r w:rsidRPr="00A510AD">
        <w:t>‘In the last 12 months, have you used any of the following drugs for recreational or non-medical purposes, or to get high? Please just read out the number next to the words.’</w:t>
      </w:r>
    </w:p>
    <w:p w:rsidR="00950A4A" w:rsidRPr="002E64E1" w:rsidRDefault="00950A4A" w:rsidP="00950A4A">
      <w:pPr>
        <w:pStyle w:val="Box"/>
      </w:pPr>
      <w:r w:rsidRPr="002E64E1">
        <w:t xml:space="preserve">Participants </w:t>
      </w:r>
      <w:r>
        <w:t>who selected</w:t>
      </w:r>
      <w:r>
        <w:rPr>
          <w:b/>
        </w:rPr>
        <w:t xml:space="preserve"> ‘3’, </w:t>
      </w:r>
      <w:r w:rsidRPr="00DB1432">
        <w:t xml:space="preserve">the category </w:t>
      </w:r>
      <w:r>
        <w:rPr>
          <w:b/>
        </w:rPr>
        <w:t>‘</w:t>
      </w:r>
      <w:r w:rsidRPr="00DB1432">
        <w:rPr>
          <w:b/>
        </w:rPr>
        <w:t xml:space="preserve">Amphetamines, for example, </w:t>
      </w:r>
      <w:r>
        <w:rPr>
          <w:b/>
        </w:rPr>
        <w:t>‘</w:t>
      </w:r>
      <w:r w:rsidRPr="00DB1432">
        <w:rPr>
          <w:b/>
        </w:rPr>
        <w:t>P</w:t>
      </w:r>
      <w:r>
        <w:rPr>
          <w:b/>
        </w:rPr>
        <w:t>’</w:t>
      </w:r>
      <w:r w:rsidRPr="00DB1432">
        <w:rPr>
          <w:b/>
        </w:rPr>
        <w:t xml:space="preserve"> (</w:t>
      </w:r>
      <w:r>
        <w:rPr>
          <w:b/>
        </w:rPr>
        <w:t>‘</w:t>
      </w:r>
      <w:r w:rsidRPr="00DB1432">
        <w:rPr>
          <w:b/>
        </w:rPr>
        <w:t>pure</w:t>
      </w:r>
      <w:r>
        <w:rPr>
          <w:b/>
        </w:rPr>
        <w:t>’</w:t>
      </w:r>
      <w:r w:rsidRPr="00DB1432">
        <w:rPr>
          <w:b/>
        </w:rPr>
        <w:t xml:space="preserve"> methamphetamine), ice (crystal methamphetamine)</w:t>
      </w:r>
      <w:r>
        <w:rPr>
          <w:b/>
        </w:rPr>
        <w:t>,</w:t>
      </w:r>
      <w:r w:rsidRPr="00DB1432">
        <w:rPr>
          <w:b/>
        </w:rPr>
        <w:t xml:space="preserve"> </w:t>
      </w:r>
      <w:proofErr w:type="gramStart"/>
      <w:r w:rsidRPr="00DB1432">
        <w:rPr>
          <w:b/>
        </w:rPr>
        <w:t>speed</w:t>
      </w:r>
      <w:r>
        <w:rPr>
          <w:b/>
        </w:rPr>
        <w:t>’</w:t>
      </w:r>
      <w:proofErr w:type="gramEnd"/>
      <w:r>
        <w:t>,</w:t>
      </w:r>
      <w:r w:rsidRPr="002E64E1">
        <w:t xml:space="preserve"> were counted as peopl</w:t>
      </w:r>
      <w:r w:rsidR="00385B73">
        <w:t>e who used amphetamines in the p</w:t>
      </w:r>
      <w:r w:rsidRPr="002E64E1">
        <w:t>ast year.</w:t>
      </w:r>
    </w:p>
    <w:p w:rsidR="00950A4A" w:rsidRDefault="00950A4A" w:rsidP="00950A4A">
      <w:pPr>
        <w:rPr>
          <w:lang w:eastAsia="en-GB"/>
        </w:rPr>
      </w:pPr>
    </w:p>
    <w:p w:rsidR="00950A4A" w:rsidRPr="00DB1432" w:rsidRDefault="00950A4A" w:rsidP="00950A4A">
      <w:pPr>
        <w:pStyle w:val="Heading2"/>
        <w:rPr>
          <w:lang w:eastAsia="en-GB"/>
        </w:rPr>
      </w:pPr>
      <w:r w:rsidRPr="00DB1432">
        <w:rPr>
          <w:lang w:eastAsia="en-GB"/>
        </w:rPr>
        <w:t>Results</w:t>
      </w:r>
    </w:p>
    <w:p w:rsidR="00950A4A" w:rsidRPr="00DB1432" w:rsidRDefault="00950A4A" w:rsidP="00950A4A">
      <w:pPr>
        <w:pStyle w:val="Heading3"/>
        <w:rPr>
          <w:lang w:eastAsia="en-GB"/>
        </w:rPr>
      </w:pPr>
      <w:r>
        <w:rPr>
          <w:lang w:eastAsia="en-GB"/>
        </w:rPr>
        <w:t>One percent of</w:t>
      </w:r>
      <w:r w:rsidRPr="00DB1432">
        <w:rPr>
          <w:lang w:eastAsia="en-GB"/>
        </w:rPr>
        <w:t xml:space="preserve"> adults</w:t>
      </w:r>
      <w:r>
        <w:rPr>
          <w:lang w:eastAsia="en-GB"/>
        </w:rPr>
        <w:t xml:space="preserve"> </w:t>
      </w:r>
      <w:r w:rsidRPr="00DB1432">
        <w:rPr>
          <w:lang w:eastAsia="en-GB"/>
        </w:rPr>
        <w:t>used amphetamine</w:t>
      </w:r>
      <w:r>
        <w:rPr>
          <w:lang w:eastAsia="en-GB"/>
        </w:rPr>
        <w:t>s</w:t>
      </w:r>
      <w:r w:rsidRPr="00DB1432">
        <w:rPr>
          <w:lang w:eastAsia="en-GB"/>
        </w:rPr>
        <w:t xml:space="preserve"> in the p</w:t>
      </w:r>
      <w:r>
        <w:rPr>
          <w:lang w:eastAsia="en-GB"/>
        </w:rPr>
        <w:t>ast</w:t>
      </w:r>
      <w:r w:rsidRPr="00DB1432">
        <w:rPr>
          <w:lang w:eastAsia="en-GB"/>
        </w:rPr>
        <w:t xml:space="preserve"> year</w:t>
      </w:r>
    </w:p>
    <w:p w:rsidR="00950A4A" w:rsidRDefault="00950A4A" w:rsidP="00950A4A">
      <w:pPr>
        <w:rPr>
          <w:lang w:eastAsia="en-GB"/>
        </w:rPr>
      </w:pPr>
      <w:r w:rsidRPr="00DB1432">
        <w:rPr>
          <w:lang w:eastAsia="en-GB"/>
        </w:rPr>
        <w:t>In 2013/14 amphetamines were used in the past year by</w:t>
      </w:r>
      <w:r>
        <w:rPr>
          <w:lang w:eastAsia="en-GB"/>
        </w:rPr>
        <w:t xml:space="preserve"> </w:t>
      </w:r>
      <w:r w:rsidRPr="00DB1432">
        <w:rPr>
          <w:lang w:eastAsia="en-GB"/>
        </w:rPr>
        <w:t>1.1 %</w:t>
      </w:r>
      <w:r>
        <w:rPr>
          <w:lang w:eastAsia="en-GB"/>
        </w:rPr>
        <w:t xml:space="preserve"> </w:t>
      </w:r>
      <w:r w:rsidRPr="00DB1432">
        <w:rPr>
          <w:lang w:eastAsia="en-GB"/>
        </w:rPr>
        <w:t>of the New Zealand population aged 16</w:t>
      </w:r>
      <w:r>
        <w:rPr>
          <w:lang w:eastAsia="en-GB"/>
        </w:rPr>
        <w:t>–</w:t>
      </w:r>
      <w:r w:rsidRPr="00DB1432">
        <w:rPr>
          <w:lang w:eastAsia="en-GB"/>
        </w:rPr>
        <w:t>64 years.</w:t>
      </w:r>
      <w:r>
        <w:rPr>
          <w:lang w:eastAsia="en-GB"/>
        </w:rPr>
        <w:t xml:space="preserve"> </w:t>
      </w:r>
      <w:r w:rsidRPr="00DB1432">
        <w:rPr>
          <w:lang w:eastAsia="en-GB"/>
        </w:rPr>
        <w:t>This equates to about 30,</w:t>
      </w:r>
      <w:r w:rsidR="00385B73">
        <w:rPr>
          <w:lang w:eastAsia="en-GB"/>
        </w:rPr>
        <w:t>6</w:t>
      </w:r>
      <w:r w:rsidRPr="00DB1432">
        <w:rPr>
          <w:lang w:eastAsia="en-GB"/>
        </w:rPr>
        <w:t>00 New Zealanders.</w:t>
      </w:r>
    </w:p>
    <w:p w:rsidR="00950A4A" w:rsidRPr="00DB1432" w:rsidRDefault="00950A4A" w:rsidP="00950A4A">
      <w:pPr>
        <w:pStyle w:val="Heading3"/>
        <w:rPr>
          <w:lang w:eastAsia="en-GB"/>
        </w:rPr>
      </w:pPr>
      <w:r>
        <w:rPr>
          <w:lang w:eastAsia="en-GB"/>
        </w:rPr>
        <w:t>Females were less likely to have used a</w:t>
      </w:r>
      <w:r w:rsidRPr="00DB1432">
        <w:rPr>
          <w:lang w:eastAsia="en-GB"/>
        </w:rPr>
        <w:t>mphetamine</w:t>
      </w:r>
      <w:r>
        <w:rPr>
          <w:lang w:eastAsia="en-GB"/>
        </w:rPr>
        <w:t>s</w:t>
      </w:r>
    </w:p>
    <w:p w:rsidR="00950A4A" w:rsidRDefault="00950A4A" w:rsidP="00950A4A">
      <w:pPr>
        <w:rPr>
          <w:lang w:eastAsia="en-GB"/>
        </w:rPr>
      </w:pPr>
      <w:r w:rsidRPr="00DB1432">
        <w:rPr>
          <w:lang w:eastAsia="en-GB"/>
        </w:rPr>
        <w:t xml:space="preserve">Past-year amphetamine use was significantly higher </w:t>
      </w:r>
      <w:r>
        <w:rPr>
          <w:lang w:eastAsia="en-GB"/>
        </w:rPr>
        <w:t>(p &lt; 0.05</w:t>
      </w:r>
      <w:r w:rsidRPr="00DB1432">
        <w:rPr>
          <w:lang w:eastAsia="en-GB"/>
        </w:rPr>
        <w:t xml:space="preserve">) </w:t>
      </w:r>
      <w:r>
        <w:rPr>
          <w:lang w:eastAsia="en-GB"/>
        </w:rPr>
        <w:t>among</w:t>
      </w:r>
      <w:r w:rsidRPr="00DB1432">
        <w:rPr>
          <w:lang w:eastAsia="en-GB"/>
        </w:rPr>
        <w:t xml:space="preserve"> males (1.5%</w:t>
      </w:r>
      <w:r>
        <w:rPr>
          <w:lang w:eastAsia="en-GB"/>
        </w:rPr>
        <w:t>;</w:t>
      </w:r>
      <w:r w:rsidRPr="009B766F">
        <w:rPr>
          <w:lang w:eastAsia="en-GB"/>
        </w:rPr>
        <w:t xml:space="preserve"> </w:t>
      </w:r>
      <w:r w:rsidRPr="009B70A8">
        <w:rPr>
          <w:lang w:eastAsia="en-GB"/>
        </w:rPr>
        <w:t>95% confidence interval</w:t>
      </w:r>
      <w:r>
        <w:rPr>
          <w:lang w:eastAsia="en-GB"/>
        </w:rPr>
        <w:t xml:space="preserve"> [CI]</w:t>
      </w:r>
      <w:r w:rsidRPr="00DB1432">
        <w:rPr>
          <w:lang w:eastAsia="en-GB"/>
        </w:rPr>
        <w:t xml:space="preserve"> 1.1–2.1) than </w:t>
      </w:r>
      <w:r>
        <w:rPr>
          <w:lang w:eastAsia="en-GB"/>
        </w:rPr>
        <w:t xml:space="preserve">among </w:t>
      </w:r>
      <w:r w:rsidRPr="00DB1432">
        <w:rPr>
          <w:lang w:eastAsia="en-GB"/>
        </w:rPr>
        <w:t>females (0.7%; 0.5–0.9).</w:t>
      </w:r>
    </w:p>
    <w:p w:rsidR="00950A4A" w:rsidRPr="00DB1432" w:rsidRDefault="00950A4A" w:rsidP="00950A4A">
      <w:pPr>
        <w:pStyle w:val="Heading3"/>
        <w:rPr>
          <w:lang w:eastAsia="en-GB"/>
        </w:rPr>
      </w:pPr>
      <w:r>
        <w:rPr>
          <w:lang w:eastAsia="en-GB"/>
        </w:rPr>
        <w:t>Younger adults</w:t>
      </w:r>
      <w:r w:rsidRPr="00DB1432">
        <w:rPr>
          <w:lang w:eastAsia="en-GB"/>
        </w:rPr>
        <w:t xml:space="preserve"> were </w:t>
      </w:r>
      <w:r>
        <w:rPr>
          <w:lang w:eastAsia="en-GB"/>
        </w:rPr>
        <w:t>more likely to use amphetamines</w:t>
      </w:r>
    </w:p>
    <w:p w:rsidR="00950A4A" w:rsidRDefault="00950A4A" w:rsidP="00950A4A">
      <w:pPr>
        <w:keepLines/>
        <w:rPr>
          <w:lang w:eastAsia="en-GB"/>
        </w:rPr>
      </w:pPr>
      <w:r>
        <w:rPr>
          <w:lang w:eastAsia="en-GB"/>
        </w:rPr>
        <w:t xml:space="preserve">Amphetamine use in the past year was less likely among older age groups. </w:t>
      </w:r>
      <w:r w:rsidRPr="00DB1432">
        <w:rPr>
          <w:lang w:eastAsia="en-GB"/>
        </w:rPr>
        <w:t>Respondents aged 25–34 years reported the h</w:t>
      </w:r>
      <w:r>
        <w:rPr>
          <w:lang w:eastAsia="en-GB"/>
        </w:rPr>
        <w:t>ighest prevalence of</w:t>
      </w:r>
      <w:r w:rsidRPr="00DB1432">
        <w:rPr>
          <w:lang w:eastAsia="en-GB"/>
        </w:rPr>
        <w:t xml:space="preserve"> amphetamine use </w:t>
      </w:r>
      <w:r w:rsidR="00385B73">
        <w:rPr>
          <w:lang w:eastAsia="en-GB"/>
        </w:rPr>
        <w:t>in the l</w:t>
      </w:r>
      <w:r>
        <w:rPr>
          <w:lang w:eastAsia="en-GB"/>
        </w:rPr>
        <w:t xml:space="preserve">ast 12 months </w:t>
      </w:r>
      <w:r w:rsidRPr="00DB1432">
        <w:rPr>
          <w:lang w:eastAsia="en-GB"/>
        </w:rPr>
        <w:t xml:space="preserve">(2.1%; 1.4–3.1), </w:t>
      </w:r>
      <w:r>
        <w:rPr>
          <w:lang w:eastAsia="en-GB"/>
        </w:rPr>
        <w:t>followed by 16–24-year-olds (1.8</w:t>
      </w:r>
      <w:r w:rsidRPr="007F606B">
        <w:rPr>
          <w:lang w:eastAsia="en-GB"/>
        </w:rPr>
        <w:t>%; 1.</w:t>
      </w:r>
      <w:r>
        <w:rPr>
          <w:lang w:eastAsia="en-GB"/>
        </w:rPr>
        <w:t>1</w:t>
      </w:r>
      <w:r w:rsidRPr="007F606B">
        <w:rPr>
          <w:lang w:eastAsia="en-GB"/>
        </w:rPr>
        <w:t>–</w:t>
      </w:r>
      <w:r>
        <w:rPr>
          <w:lang w:eastAsia="en-GB"/>
        </w:rPr>
        <w:t>2</w:t>
      </w:r>
      <w:r w:rsidRPr="007F606B">
        <w:rPr>
          <w:lang w:eastAsia="en-GB"/>
        </w:rPr>
        <w:t>.</w:t>
      </w:r>
      <w:r>
        <w:rPr>
          <w:lang w:eastAsia="en-GB"/>
        </w:rPr>
        <w:t>9). M</w:t>
      </w:r>
      <w:r w:rsidRPr="00DB1432">
        <w:rPr>
          <w:lang w:eastAsia="en-GB"/>
        </w:rPr>
        <w:t>uch lower levels of</w:t>
      </w:r>
      <w:r>
        <w:rPr>
          <w:lang w:eastAsia="en-GB"/>
        </w:rPr>
        <w:t xml:space="preserve"> </w:t>
      </w:r>
      <w:r w:rsidRPr="00DB1432">
        <w:rPr>
          <w:lang w:eastAsia="en-GB"/>
        </w:rPr>
        <w:t>past</w:t>
      </w:r>
      <w:r>
        <w:rPr>
          <w:lang w:eastAsia="en-GB"/>
        </w:rPr>
        <w:t>-</w:t>
      </w:r>
      <w:r w:rsidRPr="00DB1432">
        <w:rPr>
          <w:lang w:eastAsia="en-GB"/>
        </w:rPr>
        <w:t xml:space="preserve">year use </w:t>
      </w:r>
      <w:r>
        <w:rPr>
          <w:lang w:eastAsia="en-GB"/>
        </w:rPr>
        <w:t xml:space="preserve">were </w:t>
      </w:r>
      <w:r w:rsidRPr="00DB1432">
        <w:rPr>
          <w:lang w:eastAsia="en-GB"/>
        </w:rPr>
        <w:t xml:space="preserve">reported </w:t>
      </w:r>
      <w:r>
        <w:rPr>
          <w:lang w:eastAsia="en-GB"/>
        </w:rPr>
        <w:t>for 35–44-year-olds (0.7</w:t>
      </w:r>
      <w:r w:rsidRPr="007F606B">
        <w:rPr>
          <w:lang w:eastAsia="en-GB"/>
        </w:rPr>
        <w:t xml:space="preserve">%; </w:t>
      </w:r>
      <w:r>
        <w:rPr>
          <w:lang w:eastAsia="en-GB"/>
        </w:rPr>
        <w:t>0</w:t>
      </w:r>
      <w:r w:rsidRPr="007F606B">
        <w:rPr>
          <w:lang w:eastAsia="en-GB"/>
        </w:rPr>
        <w:t>.</w:t>
      </w:r>
      <w:r>
        <w:rPr>
          <w:lang w:eastAsia="en-GB"/>
        </w:rPr>
        <w:t>5</w:t>
      </w:r>
      <w:r w:rsidRPr="007F606B">
        <w:rPr>
          <w:lang w:eastAsia="en-GB"/>
        </w:rPr>
        <w:t>–</w:t>
      </w:r>
      <w:r>
        <w:rPr>
          <w:lang w:eastAsia="en-GB"/>
        </w:rPr>
        <w:t xml:space="preserve">1.2), </w:t>
      </w:r>
      <w:r w:rsidRPr="00DB1432">
        <w:rPr>
          <w:lang w:eastAsia="en-GB"/>
        </w:rPr>
        <w:t>4</w:t>
      </w:r>
      <w:r>
        <w:rPr>
          <w:lang w:eastAsia="en-GB"/>
        </w:rPr>
        <w:t>5–</w:t>
      </w:r>
      <w:r w:rsidRPr="00DB1432">
        <w:rPr>
          <w:lang w:eastAsia="en-GB"/>
        </w:rPr>
        <w:t>54</w:t>
      </w:r>
      <w:r>
        <w:rPr>
          <w:lang w:eastAsia="en-GB"/>
        </w:rPr>
        <w:t>-</w:t>
      </w:r>
      <w:r w:rsidRPr="00DB1432">
        <w:rPr>
          <w:lang w:eastAsia="en-GB"/>
        </w:rPr>
        <w:t>year-olds</w:t>
      </w:r>
      <w:r w:rsidRPr="00DB1432" w:rsidDel="0069149B">
        <w:rPr>
          <w:lang w:eastAsia="en-GB"/>
        </w:rPr>
        <w:t xml:space="preserve"> </w:t>
      </w:r>
      <w:r w:rsidRPr="00DB1432">
        <w:rPr>
          <w:lang w:eastAsia="en-GB"/>
        </w:rPr>
        <w:t>(0.5 %; 0.3–1.0)</w:t>
      </w:r>
      <w:r>
        <w:rPr>
          <w:lang w:eastAsia="en-GB"/>
        </w:rPr>
        <w:t xml:space="preserve"> and 55–64-year-olds (</w:t>
      </w:r>
      <w:r w:rsidRPr="002E64E1">
        <w:rPr>
          <w:lang w:eastAsia="en-GB"/>
        </w:rPr>
        <w:t>0.</w:t>
      </w:r>
      <w:r>
        <w:rPr>
          <w:lang w:eastAsia="en-GB"/>
        </w:rPr>
        <w:t>2</w:t>
      </w:r>
      <w:r w:rsidRPr="002E64E1">
        <w:rPr>
          <w:lang w:eastAsia="en-GB"/>
        </w:rPr>
        <w:t>%;</w:t>
      </w:r>
      <w:r>
        <w:rPr>
          <w:lang w:eastAsia="en-GB"/>
        </w:rPr>
        <w:br/>
      </w:r>
      <w:r w:rsidRPr="002E64E1">
        <w:rPr>
          <w:lang w:eastAsia="en-GB"/>
        </w:rPr>
        <w:t>0.</w:t>
      </w:r>
      <w:r>
        <w:rPr>
          <w:lang w:eastAsia="en-GB"/>
        </w:rPr>
        <w:t>1</w:t>
      </w:r>
      <w:r w:rsidRPr="002E64E1">
        <w:rPr>
          <w:lang w:eastAsia="en-GB"/>
        </w:rPr>
        <w:t>–</w:t>
      </w:r>
      <w:r>
        <w:rPr>
          <w:lang w:eastAsia="en-GB"/>
        </w:rPr>
        <w:t>0</w:t>
      </w:r>
      <w:r w:rsidRPr="002E64E1">
        <w:rPr>
          <w:lang w:eastAsia="en-GB"/>
        </w:rPr>
        <w:t>.</w:t>
      </w:r>
      <w:r>
        <w:rPr>
          <w:lang w:eastAsia="en-GB"/>
        </w:rPr>
        <w:t>4).</w:t>
      </w:r>
    </w:p>
    <w:p w:rsidR="00950A4A" w:rsidRDefault="00950A4A" w:rsidP="00950A4A">
      <w:pPr>
        <w:rPr>
          <w:lang w:eastAsia="en-GB"/>
        </w:rPr>
      </w:pPr>
    </w:p>
    <w:p w:rsidR="00950A4A" w:rsidRDefault="00950A4A" w:rsidP="00950A4A">
      <w:pPr>
        <w:rPr>
          <w:lang w:eastAsia="en-GB"/>
        </w:rPr>
      </w:pPr>
      <w:r>
        <w:rPr>
          <w:lang w:eastAsia="en-GB"/>
        </w:rPr>
        <w:lastRenderedPageBreak/>
        <w:t xml:space="preserve">After adjustment for population age and </w:t>
      </w:r>
      <w:r w:rsidR="00385B73">
        <w:rPr>
          <w:lang w:eastAsia="en-GB"/>
        </w:rPr>
        <w:t>sex differences, Māori were</w:t>
      </w:r>
      <w:r>
        <w:rPr>
          <w:lang w:eastAsia="en-GB"/>
        </w:rPr>
        <w:t xml:space="preserve"> three times more</w:t>
      </w:r>
      <w:r w:rsidR="00385B73">
        <w:rPr>
          <w:lang w:eastAsia="en-GB"/>
        </w:rPr>
        <w:t xml:space="preserve"> likely (adjusted rate ratio</w:t>
      </w:r>
      <w:r w:rsidR="00422469">
        <w:rPr>
          <w:lang w:eastAsia="en-GB"/>
        </w:rPr>
        <w:t xml:space="preserve"> (ARR)</w:t>
      </w:r>
      <w:r w:rsidR="00385B73">
        <w:rPr>
          <w:lang w:eastAsia="en-GB"/>
        </w:rPr>
        <w:t xml:space="preserve"> 3.0; 1.8–5.2</w:t>
      </w:r>
      <w:r>
        <w:rPr>
          <w:lang w:eastAsia="en-GB"/>
        </w:rPr>
        <w:t>) to</w:t>
      </w:r>
      <w:r w:rsidR="007D261E">
        <w:rPr>
          <w:lang w:eastAsia="en-GB"/>
        </w:rPr>
        <w:t xml:space="preserve"> have used amphetamines in the p</w:t>
      </w:r>
      <w:r>
        <w:rPr>
          <w:lang w:eastAsia="en-GB"/>
        </w:rPr>
        <w:t>ast year than non-M</w:t>
      </w:r>
      <w:r w:rsidRPr="002E64E1">
        <w:rPr>
          <w:lang w:eastAsia="en-GB"/>
        </w:rPr>
        <w:t>ā</w:t>
      </w:r>
      <w:r>
        <w:rPr>
          <w:lang w:eastAsia="en-GB"/>
        </w:rPr>
        <w:t>ori</w:t>
      </w:r>
      <w:r w:rsidRPr="00DB1432">
        <w:rPr>
          <w:lang w:eastAsia="en-GB"/>
        </w:rPr>
        <w:t xml:space="preserve">. </w:t>
      </w:r>
      <w:r w:rsidR="00385B73">
        <w:rPr>
          <w:lang w:eastAsia="en-GB"/>
        </w:rPr>
        <w:t>Asians</w:t>
      </w:r>
      <w:r>
        <w:rPr>
          <w:lang w:eastAsia="en-GB"/>
        </w:rPr>
        <w:t xml:space="preserve"> were less likely </w:t>
      </w:r>
      <w:r w:rsidR="00385B73">
        <w:rPr>
          <w:lang w:eastAsia="en-GB"/>
        </w:rPr>
        <w:t>(</w:t>
      </w:r>
      <w:r w:rsidR="00422469">
        <w:rPr>
          <w:lang w:eastAsia="en-GB"/>
        </w:rPr>
        <w:t>ARR 0.0; 0.0–0.2)</w:t>
      </w:r>
      <w:r w:rsidR="00385B73">
        <w:rPr>
          <w:lang w:eastAsia="en-GB"/>
        </w:rPr>
        <w:t xml:space="preserve"> </w:t>
      </w:r>
      <w:r>
        <w:rPr>
          <w:lang w:eastAsia="en-GB"/>
        </w:rPr>
        <w:t>to have used amphetamines in the past year than non-Asians. Pacific peoples’ past-year use after adjustment was similar to that of non-Pacific people</w:t>
      </w:r>
      <w:r w:rsidR="000F4648">
        <w:rPr>
          <w:lang w:eastAsia="en-GB"/>
        </w:rPr>
        <w:t>s</w:t>
      </w:r>
      <w:r>
        <w:rPr>
          <w:lang w:eastAsia="en-GB"/>
        </w:rPr>
        <w:t>.</w:t>
      </w:r>
    </w:p>
    <w:p w:rsidR="00950A4A" w:rsidRDefault="00950A4A" w:rsidP="00950A4A">
      <w:pPr>
        <w:rPr>
          <w:lang w:eastAsia="en-GB"/>
        </w:rPr>
      </w:pPr>
    </w:p>
    <w:p w:rsidR="00950A4A" w:rsidRPr="00DB1432" w:rsidRDefault="00950A4A" w:rsidP="00950A4A">
      <w:pPr>
        <w:pStyle w:val="Heading3"/>
        <w:rPr>
          <w:lang w:eastAsia="en-GB"/>
        </w:rPr>
      </w:pPr>
      <w:r>
        <w:rPr>
          <w:lang w:eastAsia="en-GB"/>
        </w:rPr>
        <w:t>The average</w:t>
      </w:r>
      <w:r w:rsidRPr="00DB1432">
        <w:rPr>
          <w:lang w:eastAsia="en-GB"/>
        </w:rPr>
        <w:t xml:space="preserve"> age of </w:t>
      </w:r>
      <w:r>
        <w:rPr>
          <w:lang w:eastAsia="en-GB"/>
        </w:rPr>
        <w:t xml:space="preserve">past-year </w:t>
      </w:r>
      <w:r w:rsidRPr="00DB1432">
        <w:rPr>
          <w:lang w:eastAsia="en-GB"/>
        </w:rPr>
        <w:t>amphetamine users was 30 years</w:t>
      </w:r>
    </w:p>
    <w:p w:rsidR="00950A4A" w:rsidRDefault="00950A4A" w:rsidP="00950A4A">
      <w:pPr>
        <w:rPr>
          <w:lang w:eastAsia="en-GB"/>
        </w:rPr>
      </w:pPr>
      <w:r>
        <w:rPr>
          <w:lang w:eastAsia="en-GB"/>
        </w:rPr>
        <w:t>The mean age of past-year amphetamine users (aged 16–64) was 30 years (95% CI:</w:t>
      </w:r>
      <w:r w:rsidRPr="002E64E1">
        <w:rPr>
          <w:lang w:eastAsia="en-GB"/>
        </w:rPr>
        <w:t xml:space="preserve"> </w:t>
      </w:r>
      <w:r>
        <w:rPr>
          <w:lang w:eastAsia="en-GB"/>
        </w:rPr>
        <w:t>28</w:t>
      </w:r>
      <w:r w:rsidRPr="002E64E1">
        <w:rPr>
          <w:lang w:eastAsia="en-GB"/>
        </w:rPr>
        <w:t>–</w:t>
      </w:r>
      <w:r>
        <w:rPr>
          <w:lang w:eastAsia="en-GB"/>
        </w:rPr>
        <w:t>33 years).</w:t>
      </w:r>
    </w:p>
    <w:p w:rsidR="00950A4A" w:rsidRDefault="00950A4A" w:rsidP="00950A4A">
      <w:pPr>
        <w:rPr>
          <w:lang w:eastAsia="en-GB"/>
        </w:rPr>
      </w:pPr>
    </w:p>
    <w:p w:rsidR="00950A4A" w:rsidRDefault="00950A4A" w:rsidP="00950A4A">
      <w:pPr>
        <w:pStyle w:val="Heading2"/>
        <w:rPr>
          <w:lang w:eastAsia="en-GB"/>
        </w:rPr>
      </w:pPr>
      <w:r w:rsidRPr="00064B7E">
        <w:rPr>
          <w:lang w:eastAsia="en-GB"/>
        </w:rPr>
        <w:t>Past</w:t>
      </w:r>
      <w:r>
        <w:rPr>
          <w:lang w:eastAsia="en-GB"/>
        </w:rPr>
        <w:t>-</w:t>
      </w:r>
      <w:r w:rsidRPr="00064B7E">
        <w:rPr>
          <w:lang w:eastAsia="en-GB"/>
        </w:rPr>
        <w:t>year amphetamine use – time trends</w:t>
      </w:r>
    </w:p>
    <w:p w:rsidR="00422469" w:rsidRPr="00DB1432" w:rsidRDefault="00422469" w:rsidP="00422469">
      <w:pPr>
        <w:pStyle w:val="Heading3"/>
        <w:rPr>
          <w:lang w:eastAsia="en-GB"/>
        </w:rPr>
      </w:pPr>
      <w:r>
        <w:rPr>
          <w:lang w:eastAsia="en-GB"/>
        </w:rPr>
        <w:t>No change in past-year amphetamine use</w:t>
      </w:r>
      <w:r w:rsidRPr="00DB1432">
        <w:rPr>
          <w:lang w:eastAsia="en-GB"/>
        </w:rPr>
        <w:t xml:space="preserve"> </w:t>
      </w:r>
      <w:r>
        <w:rPr>
          <w:lang w:eastAsia="en-GB"/>
        </w:rPr>
        <w:t>from 2012/13</w:t>
      </w:r>
    </w:p>
    <w:p w:rsidR="00422469" w:rsidRDefault="00422469" w:rsidP="00422469">
      <w:pPr>
        <w:rPr>
          <w:lang w:eastAsia="en-GB"/>
        </w:rPr>
      </w:pPr>
      <w:r>
        <w:rPr>
          <w:lang w:eastAsia="en-GB"/>
        </w:rPr>
        <w:t>Compared to 2012/13 (0.9%; 0</w:t>
      </w:r>
      <w:r w:rsidRPr="007F606B">
        <w:rPr>
          <w:lang w:eastAsia="en-GB"/>
        </w:rPr>
        <w:t>.</w:t>
      </w:r>
      <w:r>
        <w:rPr>
          <w:lang w:eastAsia="en-GB"/>
        </w:rPr>
        <w:t>7</w:t>
      </w:r>
      <w:r w:rsidRPr="007F606B">
        <w:rPr>
          <w:lang w:eastAsia="en-GB"/>
        </w:rPr>
        <w:t>–</w:t>
      </w:r>
      <w:r>
        <w:rPr>
          <w:lang w:eastAsia="en-GB"/>
        </w:rPr>
        <w:t>1</w:t>
      </w:r>
      <w:r w:rsidRPr="007F606B">
        <w:rPr>
          <w:lang w:eastAsia="en-GB"/>
        </w:rPr>
        <w:t>.</w:t>
      </w:r>
      <w:r>
        <w:rPr>
          <w:lang w:eastAsia="en-GB"/>
        </w:rPr>
        <w:t>2), there was no significant difference (p = 0.3) in 2013/14 past-year amphetamine use</w:t>
      </w:r>
      <w:r w:rsidR="006F506B">
        <w:rPr>
          <w:lang w:eastAsia="en-GB"/>
        </w:rPr>
        <w:t xml:space="preserve"> (1.1%; 0</w:t>
      </w:r>
      <w:r w:rsidR="006F506B" w:rsidRPr="007F606B">
        <w:rPr>
          <w:lang w:eastAsia="en-GB"/>
        </w:rPr>
        <w:t>.</w:t>
      </w:r>
      <w:r w:rsidR="006F506B">
        <w:rPr>
          <w:lang w:eastAsia="en-GB"/>
        </w:rPr>
        <w:t>8</w:t>
      </w:r>
      <w:r w:rsidR="006F506B" w:rsidRPr="007F606B">
        <w:rPr>
          <w:lang w:eastAsia="en-GB"/>
        </w:rPr>
        <w:t>–</w:t>
      </w:r>
      <w:r w:rsidR="006F506B">
        <w:rPr>
          <w:lang w:eastAsia="en-GB"/>
        </w:rPr>
        <w:t>1</w:t>
      </w:r>
      <w:r w:rsidR="006F506B" w:rsidRPr="007F606B">
        <w:rPr>
          <w:lang w:eastAsia="en-GB"/>
        </w:rPr>
        <w:t>.</w:t>
      </w:r>
      <w:r w:rsidR="006F506B">
        <w:rPr>
          <w:lang w:eastAsia="en-GB"/>
        </w:rPr>
        <w:t>4)</w:t>
      </w:r>
      <w:r>
        <w:rPr>
          <w:lang w:eastAsia="en-GB"/>
        </w:rPr>
        <w:t xml:space="preserve">.  </w:t>
      </w:r>
      <w:r w:rsidR="00E812C4">
        <w:rPr>
          <w:lang w:eastAsia="en-GB"/>
        </w:rPr>
        <w:t xml:space="preserve">No difference </w:t>
      </w:r>
      <w:r>
        <w:rPr>
          <w:lang w:eastAsia="en-GB"/>
        </w:rPr>
        <w:t xml:space="preserve">in </w:t>
      </w:r>
      <w:r w:rsidR="00E812C4">
        <w:rPr>
          <w:lang w:eastAsia="en-GB"/>
        </w:rPr>
        <w:t xml:space="preserve">prevalence was found between </w:t>
      </w:r>
      <w:r>
        <w:rPr>
          <w:lang w:eastAsia="en-GB"/>
        </w:rPr>
        <w:t>2011/12</w:t>
      </w:r>
      <w:r w:rsidR="00E812C4">
        <w:rPr>
          <w:lang w:eastAsia="en-GB"/>
        </w:rPr>
        <w:t xml:space="preserve"> and 2012/13</w:t>
      </w:r>
      <w:r>
        <w:rPr>
          <w:lang w:eastAsia="en-GB"/>
        </w:rPr>
        <w:t xml:space="preserve">.  </w:t>
      </w:r>
    </w:p>
    <w:p w:rsidR="00422469" w:rsidRDefault="00422469" w:rsidP="00950A4A">
      <w:pPr>
        <w:rPr>
          <w:lang w:eastAsia="en-GB"/>
        </w:rPr>
      </w:pPr>
    </w:p>
    <w:p w:rsidR="00950A4A" w:rsidRDefault="00950A4A" w:rsidP="00950A4A">
      <w:pPr>
        <w:rPr>
          <w:lang w:eastAsia="en-GB"/>
        </w:rPr>
      </w:pPr>
      <w:r w:rsidRPr="00DB1432">
        <w:rPr>
          <w:lang w:eastAsia="en-GB"/>
        </w:rPr>
        <w:t>Amphetamine use has been measured in</w:t>
      </w:r>
      <w:r>
        <w:rPr>
          <w:lang w:eastAsia="en-GB"/>
        </w:rPr>
        <w:t xml:space="preserve"> several </w:t>
      </w:r>
      <w:r w:rsidRPr="00DB1432">
        <w:rPr>
          <w:lang w:eastAsia="en-GB"/>
        </w:rPr>
        <w:t xml:space="preserve">national </w:t>
      </w:r>
      <w:r>
        <w:rPr>
          <w:lang w:eastAsia="en-GB"/>
        </w:rPr>
        <w:t xml:space="preserve">New Zealand </w:t>
      </w:r>
      <w:r w:rsidRPr="00DB1432">
        <w:rPr>
          <w:lang w:eastAsia="en-GB"/>
        </w:rPr>
        <w:t>surveys</w:t>
      </w:r>
      <w:r>
        <w:rPr>
          <w:lang w:eastAsia="en-GB"/>
        </w:rPr>
        <w:t xml:space="preserve"> prior to the NZHS</w:t>
      </w:r>
      <w:r w:rsidRPr="00DB1432">
        <w:rPr>
          <w:lang w:eastAsia="en-GB"/>
        </w:rPr>
        <w:t>.</w:t>
      </w:r>
      <w:r>
        <w:rPr>
          <w:lang w:eastAsia="en-GB"/>
        </w:rPr>
        <w:t xml:space="preserve"> Data from these surveys has been reanalysed to enhance comparability with the NZHS data.</w:t>
      </w:r>
    </w:p>
    <w:p w:rsidR="00950A4A" w:rsidRDefault="00950A4A" w:rsidP="00950A4A">
      <w:pPr>
        <w:rPr>
          <w:lang w:eastAsia="en-GB"/>
        </w:rPr>
      </w:pPr>
    </w:p>
    <w:p w:rsidR="00950A4A" w:rsidRDefault="00950A4A" w:rsidP="00950A4A">
      <w:pPr>
        <w:rPr>
          <w:lang w:eastAsia="en-GB"/>
        </w:rPr>
      </w:pPr>
      <w:r>
        <w:rPr>
          <w:lang w:eastAsia="en-GB"/>
        </w:rPr>
        <w:t>The earlier national surveys used different methodologies (such as a different interview mode and different questions), which are not necessarily comparable to those used by the NZHS, so trends need to be interpreted cautiously. However, the overall indication is that the prevalence of past-year amphetamine use has declined from 2003 to 2013/14 for 16–64-year-olds (see Table 1). This decrease remained significant after adjusting for age.</w:t>
      </w:r>
    </w:p>
    <w:p w:rsidR="00950A4A" w:rsidRDefault="00950A4A" w:rsidP="00950A4A"/>
    <w:p w:rsidR="00950A4A" w:rsidRDefault="00950A4A" w:rsidP="00950A4A">
      <w:pPr>
        <w:pStyle w:val="Table"/>
      </w:pPr>
      <w:r w:rsidRPr="00052F2A">
        <w:t>Table 1</w:t>
      </w:r>
      <w:r w:rsidRPr="00FF373F">
        <w:t>:</w:t>
      </w:r>
      <w:r>
        <w:t xml:space="preserve"> Past-year amphetamine use in New Zealand for adults aged 16–64 years</w:t>
      </w:r>
    </w:p>
    <w:tbl>
      <w:tblPr>
        <w:tblStyle w:val="TableGrid"/>
        <w:tblW w:w="0" w:type="auto"/>
        <w:tblBorders>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5"/>
        <w:gridCol w:w="3969"/>
        <w:gridCol w:w="2409"/>
        <w:gridCol w:w="1729"/>
      </w:tblGrid>
      <w:tr w:rsidR="00950A4A" w:rsidRPr="008757FA" w:rsidTr="00950A4A">
        <w:trPr>
          <w:cantSplit/>
        </w:trPr>
        <w:tc>
          <w:tcPr>
            <w:tcW w:w="1135" w:type="dxa"/>
            <w:tcBorders>
              <w:top w:val="single" w:sz="4" w:space="0" w:color="auto"/>
              <w:bottom w:val="single" w:sz="4" w:space="0" w:color="auto"/>
            </w:tcBorders>
          </w:tcPr>
          <w:p w:rsidR="00950A4A" w:rsidRPr="008757FA" w:rsidRDefault="00950A4A" w:rsidP="00BB3EDA">
            <w:pPr>
              <w:pStyle w:val="TableText"/>
              <w:rPr>
                <w:b/>
              </w:rPr>
            </w:pPr>
            <w:r w:rsidRPr="008757FA">
              <w:rPr>
                <w:b/>
              </w:rPr>
              <w:t>Year</w:t>
            </w:r>
          </w:p>
        </w:tc>
        <w:tc>
          <w:tcPr>
            <w:tcW w:w="3969" w:type="dxa"/>
            <w:tcBorders>
              <w:top w:val="single" w:sz="4" w:space="0" w:color="auto"/>
              <w:bottom w:val="single" w:sz="4" w:space="0" w:color="auto"/>
            </w:tcBorders>
          </w:tcPr>
          <w:p w:rsidR="00950A4A" w:rsidRPr="008757FA" w:rsidRDefault="00950A4A" w:rsidP="00BB3EDA">
            <w:pPr>
              <w:pStyle w:val="TableText"/>
              <w:rPr>
                <w:b/>
              </w:rPr>
            </w:pPr>
            <w:r w:rsidRPr="008757FA">
              <w:rPr>
                <w:b/>
              </w:rPr>
              <w:t>Survey</w:t>
            </w:r>
          </w:p>
        </w:tc>
        <w:tc>
          <w:tcPr>
            <w:tcW w:w="2409" w:type="dxa"/>
            <w:tcBorders>
              <w:top w:val="single" w:sz="4" w:space="0" w:color="auto"/>
              <w:bottom w:val="single" w:sz="4" w:space="0" w:color="auto"/>
            </w:tcBorders>
          </w:tcPr>
          <w:p w:rsidR="00950A4A" w:rsidRPr="008757FA" w:rsidRDefault="00950A4A" w:rsidP="00BB3EDA">
            <w:pPr>
              <w:pStyle w:val="TableText"/>
              <w:rPr>
                <w:b/>
              </w:rPr>
            </w:pPr>
            <w:r w:rsidRPr="008757FA">
              <w:rPr>
                <w:b/>
              </w:rPr>
              <w:t>Mode</w:t>
            </w:r>
          </w:p>
        </w:tc>
        <w:tc>
          <w:tcPr>
            <w:tcW w:w="1729" w:type="dxa"/>
            <w:tcBorders>
              <w:top w:val="single" w:sz="4" w:space="0" w:color="auto"/>
              <w:bottom w:val="single" w:sz="4" w:space="0" w:color="auto"/>
            </w:tcBorders>
          </w:tcPr>
          <w:p w:rsidR="00950A4A" w:rsidRPr="008757FA" w:rsidRDefault="00950A4A" w:rsidP="00BB3EDA">
            <w:pPr>
              <w:pStyle w:val="TableText"/>
              <w:rPr>
                <w:b/>
              </w:rPr>
            </w:pPr>
            <w:r w:rsidRPr="008757FA">
              <w:rPr>
                <w:b/>
              </w:rPr>
              <w:t>Prevalence (%)</w:t>
            </w:r>
          </w:p>
        </w:tc>
      </w:tr>
      <w:tr w:rsidR="00950A4A" w:rsidRPr="00503C3E" w:rsidTr="00950A4A">
        <w:trPr>
          <w:cantSplit/>
        </w:trPr>
        <w:tc>
          <w:tcPr>
            <w:tcW w:w="1135" w:type="dxa"/>
            <w:tcBorders>
              <w:top w:val="single" w:sz="4" w:space="0" w:color="auto"/>
              <w:bottom w:val="nil"/>
            </w:tcBorders>
            <w:shd w:val="clear" w:color="auto" w:fill="F2F2F2" w:themeFill="background1" w:themeFillShade="F2"/>
          </w:tcPr>
          <w:p w:rsidR="00950A4A" w:rsidRPr="00503C3E" w:rsidRDefault="00950A4A" w:rsidP="00BB3EDA">
            <w:pPr>
              <w:pStyle w:val="TableText"/>
            </w:pPr>
            <w:r>
              <w:t>2003</w:t>
            </w:r>
          </w:p>
        </w:tc>
        <w:tc>
          <w:tcPr>
            <w:tcW w:w="3969" w:type="dxa"/>
            <w:tcBorders>
              <w:top w:val="single" w:sz="4" w:space="0" w:color="auto"/>
              <w:bottom w:val="nil"/>
            </w:tcBorders>
            <w:shd w:val="clear" w:color="auto" w:fill="F2F2F2" w:themeFill="background1" w:themeFillShade="F2"/>
          </w:tcPr>
          <w:p w:rsidR="00950A4A" w:rsidRPr="00DB1432" w:rsidRDefault="00950A4A" w:rsidP="00BB3EDA">
            <w:pPr>
              <w:pStyle w:val="TableText"/>
            </w:pPr>
            <w:r>
              <w:t>H</w:t>
            </w:r>
            <w:r w:rsidRPr="00DB1432">
              <w:t>ealth Behaviours Survey – Drug Use</w:t>
            </w:r>
          </w:p>
        </w:tc>
        <w:tc>
          <w:tcPr>
            <w:tcW w:w="2409" w:type="dxa"/>
            <w:tcBorders>
              <w:top w:val="single" w:sz="4" w:space="0" w:color="auto"/>
              <w:bottom w:val="nil"/>
            </w:tcBorders>
            <w:shd w:val="clear" w:color="auto" w:fill="F2F2F2" w:themeFill="background1" w:themeFillShade="F2"/>
          </w:tcPr>
          <w:p w:rsidR="00950A4A" w:rsidRPr="00DB1432" w:rsidRDefault="002B0836" w:rsidP="00BB3EDA">
            <w:pPr>
              <w:pStyle w:val="TableText"/>
            </w:pPr>
            <w:r>
              <w:t>Telephone interview</w:t>
            </w:r>
          </w:p>
        </w:tc>
        <w:tc>
          <w:tcPr>
            <w:tcW w:w="1729" w:type="dxa"/>
            <w:tcBorders>
              <w:top w:val="single" w:sz="4" w:space="0" w:color="auto"/>
              <w:bottom w:val="nil"/>
            </w:tcBorders>
            <w:shd w:val="clear" w:color="auto" w:fill="F2F2F2" w:themeFill="background1" w:themeFillShade="F2"/>
          </w:tcPr>
          <w:p w:rsidR="00950A4A" w:rsidRPr="00DB1432" w:rsidRDefault="00950A4A" w:rsidP="00BB3EDA">
            <w:pPr>
              <w:pStyle w:val="TableText"/>
            </w:pPr>
            <w:r>
              <w:t>2.7</w:t>
            </w:r>
            <w:r w:rsidRPr="00DB1432">
              <w:t>% (2.</w:t>
            </w:r>
            <w:r>
              <w:t>3–</w:t>
            </w:r>
            <w:r w:rsidRPr="00DB1432">
              <w:t>3.</w:t>
            </w:r>
            <w:r>
              <w:t>3</w:t>
            </w:r>
            <w:r w:rsidRPr="00DB1432">
              <w:t>)</w:t>
            </w:r>
          </w:p>
        </w:tc>
      </w:tr>
      <w:tr w:rsidR="00950A4A" w:rsidRPr="00503C3E" w:rsidTr="00950A4A">
        <w:trPr>
          <w:cantSplit/>
        </w:trPr>
        <w:tc>
          <w:tcPr>
            <w:tcW w:w="1135" w:type="dxa"/>
            <w:tcBorders>
              <w:top w:val="nil"/>
              <w:bottom w:val="nil"/>
            </w:tcBorders>
          </w:tcPr>
          <w:p w:rsidR="00950A4A" w:rsidRPr="00503C3E" w:rsidRDefault="00950A4A" w:rsidP="00BB3EDA">
            <w:pPr>
              <w:pStyle w:val="TableText"/>
            </w:pPr>
            <w:r>
              <w:t>2007/08</w:t>
            </w:r>
          </w:p>
        </w:tc>
        <w:tc>
          <w:tcPr>
            <w:tcW w:w="3969" w:type="dxa"/>
            <w:tcBorders>
              <w:top w:val="nil"/>
              <w:bottom w:val="nil"/>
            </w:tcBorders>
          </w:tcPr>
          <w:p w:rsidR="00950A4A" w:rsidRPr="00DB1432" w:rsidRDefault="00950A4A" w:rsidP="00BB3EDA">
            <w:pPr>
              <w:pStyle w:val="TableText"/>
            </w:pPr>
            <w:r w:rsidRPr="00DB1432">
              <w:t>New Zealand Alcohol and Drug Use Survey</w:t>
            </w:r>
          </w:p>
        </w:tc>
        <w:tc>
          <w:tcPr>
            <w:tcW w:w="2409" w:type="dxa"/>
            <w:tcBorders>
              <w:top w:val="nil"/>
              <w:bottom w:val="nil"/>
            </w:tcBorders>
          </w:tcPr>
          <w:p w:rsidR="00950A4A" w:rsidRPr="00DB1432" w:rsidRDefault="00950A4A" w:rsidP="00BB3EDA">
            <w:pPr>
              <w:pStyle w:val="TableText"/>
            </w:pPr>
            <w:r w:rsidRPr="00DB1432">
              <w:t>Self-completed interview</w:t>
            </w:r>
          </w:p>
        </w:tc>
        <w:tc>
          <w:tcPr>
            <w:tcW w:w="1729" w:type="dxa"/>
            <w:tcBorders>
              <w:top w:val="nil"/>
              <w:bottom w:val="nil"/>
            </w:tcBorders>
          </w:tcPr>
          <w:p w:rsidR="00950A4A" w:rsidRPr="00DB1432" w:rsidRDefault="00950A4A" w:rsidP="00BB3EDA">
            <w:pPr>
              <w:pStyle w:val="TableText"/>
            </w:pPr>
            <w:r w:rsidRPr="00DB1432">
              <w:t>2.</w:t>
            </w:r>
            <w:r>
              <w:t>2</w:t>
            </w:r>
            <w:r w:rsidRPr="00DB1432">
              <w:t xml:space="preserve"> % (</w:t>
            </w:r>
            <w:r>
              <w:t>1.7–2.7</w:t>
            </w:r>
            <w:r w:rsidRPr="00DB1432">
              <w:t>)</w:t>
            </w:r>
          </w:p>
        </w:tc>
      </w:tr>
      <w:tr w:rsidR="00950A4A" w:rsidRPr="00503C3E" w:rsidTr="00950A4A">
        <w:trPr>
          <w:cantSplit/>
        </w:trPr>
        <w:tc>
          <w:tcPr>
            <w:tcW w:w="1135" w:type="dxa"/>
            <w:tcBorders>
              <w:top w:val="nil"/>
              <w:bottom w:val="nil"/>
            </w:tcBorders>
            <w:shd w:val="clear" w:color="auto" w:fill="F2F2F2" w:themeFill="background1" w:themeFillShade="F2"/>
          </w:tcPr>
          <w:p w:rsidR="00950A4A" w:rsidRPr="00503C3E" w:rsidRDefault="00950A4A" w:rsidP="00BB3EDA">
            <w:pPr>
              <w:pStyle w:val="TableText"/>
            </w:pPr>
            <w:r>
              <w:t>2011/12</w:t>
            </w:r>
          </w:p>
        </w:tc>
        <w:tc>
          <w:tcPr>
            <w:tcW w:w="3969" w:type="dxa"/>
            <w:tcBorders>
              <w:top w:val="nil"/>
              <w:bottom w:val="nil"/>
            </w:tcBorders>
            <w:shd w:val="clear" w:color="auto" w:fill="F2F2F2" w:themeFill="background1" w:themeFillShade="F2"/>
          </w:tcPr>
          <w:p w:rsidR="00950A4A" w:rsidRPr="00DB1432" w:rsidRDefault="00950A4A" w:rsidP="00BB3EDA">
            <w:pPr>
              <w:pStyle w:val="TableText"/>
            </w:pPr>
            <w:r w:rsidRPr="00DB1432">
              <w:t>New Zealand Health Survey</w:t>
            </w:r>
          </w:p>
        </w:tc>
        <w:tc>
          <w:tcPr>
            <w:tcW w:w="2409" w:type="dxa"/>
            <w:tcBorders>
              <w:top w:val="nil"/>
              <w:bottom w:val="nil"/>
            </w:tcBorders>
            <w:shd w:val="clear" w:color="auto" w:fill="F2F2F2" w:themeFill="background1" w:themeFillShade="F2"/>
          </w:tcPr>
          <w:p w:rsidR="00950A4A" w:rsidRPr="00DB1432" w:rsidRDefault="00950A4A" w:rsidP="00BB3EDA">
            <w:pPr>
              <w:pStyle w:val="TableText"/>
            </w:pPr>
            <w:r w:rsidRPr="00DB1432">
              <w:t>Face-to-face</w:t>
            </w:r>
            <w:r>
              <w:t xml:space="preserve"> </w:t>
            </w:r>
            <w:r w:rsidRPr="00DB1432">
              <w:t>interview</w:t>
            </w:r>
          </w:p>
        </w:tc>
        <w:tc>
          <w:tcPr>
            <w:tcW w:w="1729" w:type="dxa"/>
            <w:tcBorders>
              <w:top w:val="nil"/>
              <w:bottom w:val="nil"/>
            </w:tcBorders>
            <w:shd w:val="clear" w:color="auto" w:fill="F2F2F2" w:themeFill="background1" w:themeFillShade="F2"/>
          </w:tcPr>
          <w:p w:rsidR="00950A4A" w:rsidRPr="00DB1432" w:rsidRDefault="00950A4A" w:rsidP="00BB3EDA">
            <w:pPr>
              <w:pStyle w:val="TableText"/>
            </w:pPr>
            <w:r>
              <w:t>0.9</w:t>
            </w:r>
            <w:r w:rsidRPr="00DB1432">
              <w:t>% (0.</w:t>
            </w:r>
            <w:r>
              <w:t>7–</w:t>
            </w:r>
            <w:r w:rsidRPr="00DB1432">
              <w:t>1.</w:t>
            </w:r>
            <w:r>
              <w:t>1</w:t>
            </w:r>
            <w:r w:rsidRPr="00DB1432">
              <w:t>)</w:t>
            </w:r>
          </w:p>
        </w:tc>
      </w:tr>
      <w:tr w:rsidR="00950A4A" w:rsidRPr="00503C3E" w:rsidTr="00950A4A">
        <w:trPr>
          <w:cantSplit/>
        </w:trPr>
        <w:tc>
          <w:tcPr>
            <w:tcW w:w="1135" w:type="dxa"/>
            <w:tcBorders>
              <w:top w:val="nil"/>
              <w:bottom w:val="nil"/>
            </w:tcBorders>
          </w:tcPr>
          <w:p w:rsidR="00950A4A" w:rsidRPr="00503C3E" w:rsidRDefault="00950A4A" w:rsidP="00BB3EDA">
            <w:pPr>
              <w:pStyle w:val="TableText"/>
            </w:pPr>
            <w:r>
              <w:t>2012/13</w:t>
            </w:r>
          </w:p>
        </w:tc>
        <w:tc>
          <w:tcPr>
            <w:tcW w:w="3969" w:type="dxa"/>
            <w:tcBorders>
              <w:top w:val="nil"/>
              <w:bottom w:val="nil"/>
            </w:tcBorders>
          </w:tcPr>
          <w:p w:rsidR="00950A4A" w:rsidRPr="00DB1432" w:rsidRDefault="00950A4A" w:rsidP="00BB3EDA">
            <w:pPr>
              <w:pStyle w:val="TableText"/>
            </w:pPr>
            <w:r w:rsidRPr="00DB1432">
              <w:t>New Zealand Health Survey</w:t>
            </w:r>
          </w:p>
        </w:tc>
        <w:tc>
          <w:tcPr>
            <w:tcW w:w="2409" w:type="dxa"/>
            <w:tcBorders>
              <w:top w:val="nil"/>
              <w:bottom w:val="nil"/>
            </w:tcBorders>
          </w:tcPr>
          <w:p w:rsidR="00950A4A" w:rsidRPr="00DB1432" w:rsidRDefault="00950A4A" w:rsidP="00BB3EDA">
            <w:pPr>
              <w:pStyle w:val="TableText"/>
            </w:pPr>
            <w:r w:rsidRPr="002E64E1">
              <w:t>Face-to-face interview</w:t>
            </w:r>
          </w:p>
        </w:tc>
        <w:tc>
          <w:tcPr>
            <w:tcW w:w="1729" w:type="dxa"/>
            <w:tcBorders>
              <w:top w:val="nil"/>
              <w:bottom w:val="nil"/>
            </w:tcBorders>
          </w:tcPr>
          <w:p w:rsidR="00950A4A" w:rsidRPr="00DB1432" w:rsidRDefault="00950A4A" w:rsidP="00BB3EDA">
            <w:pPr>
              <w:pStyle w:val="TableText"/>
            </w:pPr>
            <w:r>
              <w:t>0.9</w:t>
            </w:r>
            <w:r w:rsidRPr="002E64E1">
              <w:t>% (0.</w:t>
            </w:r>
            <w:r>
              <w:t>7–</w:t>
            </w:r>
            <w:r w:rsidRPr="002E64E1">
              <w:t>1.</w:t>
            </w:r>
            <w:r>
              <w:t>2</w:t>
            </w:r>
            <w:r w:rsidRPr="002E64E1">
              <w:t>)</w:t>
            </w:r>
          </w:p>
        </w:tc>
      </w:tr>
      <w:tr w:rsidR="00950A4A" w:rsidRPr="00503C3E" w:rsidTr="00950A4A">
        <w:trPr>
          <w:cantSplit/>
        </w:trPr>
        <w:tc>
          <w:tcPr>
            <w:tcW w:w="1135" w:type="dxa"/>
            <w:tcBorders>
              <w:top w:val="nil"/>
              <w:bottom w:val="single" w:sz="4" w:space="0" w:color="auto"/>
            </w:tcBorders>
            <w:shd w:val="clear" w:color="auto" w:fill="F2F2F2" w:themeFill="background1" w:themeFillShade="F2"/>
          </w:tcPr>
          <w:p w:rsidR="00950A4A" w:rsidRPr="00503C3E" w:rsidRDefault="00950A4A" w:rsidP="00BB3EDA">
            <w:pPr>
              <w:pStyle w:val="TableText"/>
            </w:pPr>
            <w:r>
              <w:t>2013/14</w:t>
            </w:r>
          </w:p>
        </w:tc>
        <w:tc>
          <w:tcPr>
            <w:tcW w:w="3969" w:type="dxa"/>
            <w:tcBorders>
              <w:top w:val="nil"/>
              <w:bottom w:val="single" w:sz="4" w:space="0" w:color="auto"/>
            </w:tcBorders>
            <w:shd w:val="clear" w:color="auto" w:fill="F2F2F2" w:themeFill="background1" w:themeFillShade="F2"/>
          </w:tcPr>
          <w:p w:rsidR="00950A4A" w:rsidRPr="00DB1432" w:rsidRDefault="00950A4A" w:rsidP="00BB3EDA">
            <w:pPr>
              <w:pStyle w:val="TableText"/>
            </w:pPr>
            <w:r w:rsidRPr="00DB1432">
              <w:t>New Zealand Health Survey</w:t>
            </w:r>
          </w:p>
        </w:tc>
        <w:tc>
          <w:tcPr>
            <w:tcW w:w="2409" w:type="dxa"/>
            <w:tcBorders>
              <w:top w:val="nil"/>
              <w:bottom w:val="single" w:sz="4" w:space="0" w:color="auto"/>
            </w:tcBorders>
            <w:shd w:val="clear" w:color="auto" w:fill="F2F2F2" w:themeFill="background1" w:themeFillShade="F2"/>
          </w:tcPr>
          <w:p w:rsidR="00950A4A" w:rsidRPr="00DB1432" w:rsidRDefault="00950A4A" w:rsidP="00BB3EDA">
            <w:pPr>
              <w:pStyle w:val="TableText"/>
            </w:pPr>
            <w:r w:rsidRPr="002E64E1">
              <w:t>Face-to-face interview</w:t>
            </w:r>
          </w:p>
        </w:tc>
        <w:tc>
          <w:tcPr>
            <w:tcW w:w="1729" w:type="dxa"/>
            <w:tcBorders>
              <w:top w:val="nil"/>
              <w:bottom w:val="single" w:sz="4" w:space="0" w:color="auto"/>
            </w:tcBorders>
            <w:shd w:val="clear" w:color="auto" w:fill="F2F2F2" w:themeFill="background1" w:themeFillShade="F2"/>
          </w:tcPr>
          <w:p w:rsidR="00950A4A" w:rsidRPr="00DB1432" w:rsidRDefault="00950A4A" w:rsidP="00BB3EDA">
            <w:pPr>
              <w:pStyle w:val="TableText"/>
            </w:pPr>
            <w:r>
              <w:t>1.1</w:t>
            </w:r>
            <w:r w:rsidRPr="002E64E1">
              <w:t>% (0.</w:t>
            </w:r>
            <w:r>
              <w:t>8–</w:t>
            </w:r>
            <w:r w:rsidRPr="002E64E1">
              <w:t>1.</w:t>
            </w:r>
            <w:r>
              <w:t>4</w:t>
            </w:r>
            <w:r w:rsidRPr="002E64E1">
              <w:t>)</w:t>
            </w:r>
          </w:p>
        </w:tc>
      </w:tr>
    </w:tbl>
    <w:p w:rsidR="00950A4A" w:rsidRDefault="00950A4A" w:rsidP="00950A4A">
      <w:pPr>
        <w:pStyle w:val="Source"/>
        <w:rPr>
          <w:lang w:eastAsia="en-GB"/>
        </w:rPr>
      </w:pPr>
      <w:r w:rsidRPr="00DB1432">
        <w:rPr>
          <w:lang w:eastAsia="en-GB"/>
        </w:rPr>
        <w:t>Source:</w:t>
      </w:r>
      <w:r>
        <w:rPr>
          <w:lang w:eastAsia="en-GB"/>
        </w:rPr>
        <w:t xml:space="preserve"> </w:t>
      </w:r>
      <w:r w:rsidRPr="00CD125D">
        <w:rPr>
          <w:lang w:eastAsia="en-GB"/>
        </w:rPr>
        <w:t>Ministry of Health 2007</w:t>
      </w:r>
      <w:r>
        <w:rPr>
          <w:lang w:eastAsia="en-GB"/>
        </w:rPr>
        <w:t>,</w:t>
      </w:r>
      <w:r w:rsidRPr="00CD125D">
        <w:rPr>
          <w:lang w:eastAsia="en-GB"/>
        </w:rPr>
        <w:t xml:space="preserve"> Ministry of Health 2009</w:t>
      </w:r>
      <w:r>
        <w:rPr>
          <w:lang w:eastAsia="en-GB"/>
        </w:rPr>
        <w:t>;</w:t>
      </w:r>
      <w:r w:rsidRPr="00CD125D">
        <w:rPr>
          <w:lang w:eastAsia="en-GB"/>
        </w:rPr>
        <w:t xml:space="preserve"> </w:t>
      </w:r>
      <w:r>
        <w:rPr>
          <w:lang w:eastAsia="en-GB"/>
        </w:rPr>
        <w:t xml:space="preserve">data from </w:t>
      </w:r>
      <w:r w:rsidRPr="00CD125D">
        <w:rPr>
          <w:lang w:eastAsia="en-GB"/>
        </w:rPr>
        <w:t>NZHS 2011/12</w:t>
      </w:r>
      <w:r>
        <w:rPr>
          <w:lang w:eastAsia="en-GB"/>
        </w:rPr>
        <w:t>,</w:t>
      </w:r>
      <w:r w:rsidRPr="00CD125D">
        <w:rPr>
          <w:lang w:eastAsia="en-GB"/>
        </w:rPr>
        <w:t xml:space="preserve"> 2012/13</w:t>
      </w:r>
      <w:r>
        <w:rPr>
          <w:lang w:eastAsia="en-GB"/>
        </w:rPr>
        <w:t xml:space="preserve"> and</w:t>
      </w:r>
      <w:r w:rsidRPr="00CD125D">
        <w:rPr>
          <w:lang w:eastAsia="en-GB"/>
        </w:rPr>
        <w:t xml:space="preserve"> 2013/14.</w:t>
      </w:r>
    </w:p>
    <w:p w:rsidR="00950A4A" w:rsidRPr="00950A4A" w:rsidRDefault="00950A4A" w:rsidP="00950A4A">
      <w:pPr>
        <w:rPr>
          <w:lang w:eastAsia="en-GB"/>
        </w:rPr>
      </w:pPr>
    </w:p>
    <w:p w:rsidR="00950A4A" w:rsidRDefault="00950A4A" w:rsidP="00950A4A">
      <w:pPr>
        <w:pStyle w:val="Heading3"/>
        <w:rPr>
          <w:lang w:eastAsia="en-GB"/>
        </w:rPr>
      </w:pPr>
      <w:r w:rsidRPr="00DB1432">
        <w:rPr>
          <w:lang w:eastAsia="en-GB"/>
        </w:rPr>
        <w:t xml:space="preserve">The NZHS collected </w:t>
      </w:r>
      <w:r>
        <w:rPr>
          <w:lang w:eastAsia="en-GB"/>
        </w:rPr>
        <w:t>extra</w:t>
      </w:r>
      <w:r w:rsidRPr="00DB1432">
        <w:rPr>
          <w:lang w:eastAsia="en-GB"/>
        </w:rPr>
        <w:t xml:space="preserve"> information on drug use in 2012/13</w:t>
      </w:r>
    </w:p>
    <w:p w:rsidR="00950A4A" w:rsidRDefault="00950A4A" w:rsidP="00950A4A">
      <w:r>
        <w:t>The NZHS consists of</w:t>
      </w:r>
      <w:r w:rsidR="006F506B">
        <w:t xml:space="preserve"> </w:t>
      </w:r>
      <w:r w:rsidRPr="00DB1432">
        <w:t xml:space="preserve">core </w:t>
      </w:r>
      <w:r w:rsidR="006F506B">
        <w:t>questions included</w:t>
      </w:r>
      <w:r>
        <w:t xml:space="preserve"> each year plus in-depth modules that change each year. </w:t>
      </w:r>
      <w:r w:rsidR="006F506B">
        <w:t>O</w:t>
      </w:r>
      <w:r>
        <w:t>ne ques</w:t>
      </w:r>
      <w:r w:rsidR="004E785C">
        <w:t>tion about</w:t>
      </w:r>
      <w:r w:rsidR="006F506B">
        <w:t xml:space="preserve"> drug use</w:t>
      </w:r>
      <w:r w:rsidR="004E785C">
        <w:t xml:space="preserve"> in the last 12 months</w:t>
      </w:r>
      <w:r w:rsidR="006F506B">
        <w:t xml:space="preserve"> is asked as a </w:t>
      </w:r>
      <w:r>
        <w:t xml:space="preserve">core </w:t>
      </w:r>
      <w:r w:rsidR="006F506B">
        <w:t xml:space="preserve">question in the </w:t>
      </w:r>
      <w:r>
        <w:t>NZHS survey f</w:t>
      </w:r>
      <w:r w:rsidRPr="00DB1432">
        <w:t xml:space="preserve">ace-to face </w:t>
      </w:r>
      <w:r>
        <w:t>interview.</w:t>
      </w:r>
    </w:p>
    <w:p w:rsidR="00950A4A" w:rsidRDefault="00950A4A" w:rsidP="00950A4A"/>
    <w:p w:rsidR="00950A4A" w:rsidRDefault="00950A4A" w:rsidP="00950A4A">
      <w:pPr>
        <w:rPr>
          <w:lang w:eastAsia="en-GB"/>
        </w:rPr>
      </w:pPr>
      <w:r w:rsidRPr="00DB1432">
        <w:rPr>
          <w:lang w:eastAsia="en-GB"/>
        </w:rPr>
        <w:t>From July 2012 to June 2013 the NZHS included a module about tobacco, alcohol and drug use.</w:t>
      </w:r>
      <w:r>
        <w:rPr>
          <w:lang w:eastAsia="en-GB"/>
        </w:rPr>
        <w:t xml:space="preserve"> </w:t>
      </w:r>
      <w:r w:rsidRPr="00DB1432">
        <w:rPr>
          <w:lang w:eastAsia="en-GB"/>
        </w:rPr>
        <w:t>Within this module, sensitive questions, such as those about drug use, were answered by participants using self-completed computerised interviews, thereby providing a better estimate of recreational drug use</w:t>
      </w:r>
      <w:r w:rsidR="006F506B">
        <w:rPr>
          <w:lang w:eastAsia="en-GB"/>
        </w:rPr>
        <w:t xml:space="preserve"> than a face-to-face interview</w:t>
      </w:r>
      <w:r w:rsidRPr="00DB1432">
        <w:rPr>
          <w:lang w:eastAsia="en-GB"/>
        </w:rPr>
        <w:t>.</w:t>
      </w:r>
      <w:r>
        <w:rPr>
          <w:lang w:eastAsia="en-GB"/>
        </w:rPr>
        <w:t xml:space="preserve"> </w:t>
      </w:r>
      <w:r w:rsidRPr="00DB1432">
        <w:rPr>
          <w:lang w:eastAsia="en-GB"/>
        </w:rPr>
        <w:t xml:space="preserve">The data collected in </w:t>
      </w:r>
      <w:r>
        <w:rPr>
          <w:lang w:eastAsia="en-GB"/>
        </w:rPr>
        <w:t xml:space="preserve">the </w:t>
      </w:r>
      <w:r w:rsidRPr="00DB1432">
        <w:rPr>
          <w:lang w:eastAsia="en-GB"/>
        </w:rPr>
        <w:t xml:space="preserve">2012/13 NZHS module will be </w:t>
      </w:r>
      <w:r w:rsidRPr="00DB1432">
        <w:rPr>
          <w:lang w:eastAsia="en-GB"/>
        </w:rPr>
        <w:lastRenderedPageBreak/>
        <w:t xml:space="preserve">comparable to data collected from the </w:t>
      </w:r>
      <w:hyperlink r:id="rId9" w:history="1">
        <w:r w:rsidRPr="0060354D">
          <w:rPr>
            <w:rStyle w:val="Hyperlink"/>
            <w:lang w:eastAsia="en-GB"/>
          </w:rPr>
          <w:t>2007/08 New Zealand Alcohol and Drug Use Survey</w:t>
        </w:r>
      </w:hyperlink>
      <w:r>
        <w:rPr>
          <w:lang w:eastAsia="en-GB"/>
        </w:rPr>
        <w:t>,</w:t>
      </w:r>
      <w:r w:rsidRPr="00DB1432">
        <w:rPr>
          <w:lang w:eastAsia="en-GB"/>
        </w:rPr>
        <w:t xml:space="preserve"> allowing drug use trends to be explored more reliably.</w:t>
      </w:r>
      <w:r>
        <w:rPr>
          <w:lang w:eastAsia="en-GB"/>
        </w:rPr>
        <w:t xml:space="preserve"> </w:t>
      </w:r>
      <w:r w:rsidRPr="00DB1432">
        <w:rPr>
          <w:lang w:eastAsia="en-GB"/>
        </w:rPr>
        <w:t xml:space="preserve">An in-depth analysis of the </w:t>
      </w:r>
      <w:r>
        <w:rPr>
          <w:lang w:eastAsia="en-GB"/>
        </w:rPr>
        <w:t xml:space="preserve">2012/13 </w:t>
      </w:r>
      <w:r w:rsidRPr="00DB1432">
        <w:rPr>
          <w:lang w:eastAsia="en-GB"/>
        </w:rPr>
        <w:t>NZHS drug module, including amphetamine use, will be produced in 2015.</w:t>
      </w:r>
    </w:p>
    <w:p w:rsidR="00950A4A" w:rsidRDefault="00950A4A" w:rsidP="00950A4A">
      <w:pPr>
        <w:rPr>
          <w:lang w:eastAsia="en-GB"/>
        </w:rPr>
      </w:pPr>
    </w:p>
    <w:p w:rsidR="00950A4A" w:rsidRPr="00DB1432" w:rsidRDefault="00950A4A" w:rsidP="00950A4A">
      <w:pPr>
        <w:pStyle w:val="Heading3"/>
        <w:rPr>
          <w:lang w:eastAsia="en-GB"/>
        </w:rPr>
      </w:pPr>
      <w:r w:rsidRPr="0097278D">
        <w:rPr>
          <w:lang w:eastAsia="en-GB"/>
        </w:rPr>
        <w:t>Guide to interpreting this report</w:t>
      </w:r>
      <w:r w:rsidRPr="001D721B">
        <w:rPr>
          <w:lang w:eastAsia="en-GB"/>
        </w:rPr>
        <w:t>: The</w:t>
      </w:r>
      <w:r w:rsidRPr="00CD125D">
        <w:rPr>
          <w:lang w:eastAsia="en-GB"/>
        </w:rPr>
        <w:t xml:space="preserve"> findings presented above may be an underestimate</w:t>
      </w:r>
    </w:p>
    <w:p w:rsidR="00CA41F2" w:rsidRDefault="00950A4A" w:rsidP="00950A4A">
      <w:pPr>
        <w:rPr>
          <w:lang w:eastAsia="en-GB"/>
        </w:rPr>
      </w:pPr>
      <w:r>
        <w:rPr>
          <w:lang w:eastAsia="en-GB"/>
        </w:rPr>
        <w:t>In 2013/14, 123 respondents said that they had used amphetamines in the past 12 months (</w:t>
      </w:r>
      <w:r w:rsidRPr="009B70A8">
        <w:rPr>
          <w:lang w:eastAsia="en-GB"/>
        </w:rPr>
        <w:t>1.1</w:t>
      </w:r>
      <w:r>
        <w:rPr>
          <w:lang w:eastAsia="en-GB"/>
        </w:rPr>
        <w:t xml:space="preserve"> %; 0</w:t>
      </w:r>
      <w:r w:rsidRPr="009B70A8">
        <w:rPr>
          <w:lang w:eastAsia="en-GB"/>
        </w:rPr>
        <w:t>.8–1.4)</w:t>
      </w:r>
      <w:r>
        <w:rPr>
          <w:lang w:eastAsia="en-GB"/>
        </w:rPr>
        <w:t>. Respondents in f</w:t>
      </w:r>
      <w:r w:rsidRPr="00DB1432">
        <w:rPr>
          <w:lang w:eastAsia="en-GB"/>
        </w:rPr>
        <w:t xml:space="preserve">ace-to face </w:t>
      </w:r>
      <w:r>
        <w:rPr>
          <w:lang w:eastAsia="en-GB"/>
        </w:rPr>
        <w:t xml:space="preserve">interviews, such as the 2013/14 </w:t>
      </w:r>
      <w:r w:rsidRPr="00DB1432">
        <w:rPr>
          <w:lang w:eastAsia="en-GB"/>
        </w:rPr>
        <w:t>N</w:t>
      </w:r>
      <w:r>
        <w:rPr>
          <w:lang w:eastAsia="en-GB"/>
        </w:rPr>
        <w:t>ZHS,</w:t>
      </w:r>
      <w:r w:rsidRPr="00DB1432">
        <w:rPr>
          <w:lang w:eastAsia="en-GB"/>
        </w:rPr>
        <w:t xml:space="preserve"> </w:t>
      </w:r>
      <w:r>
        <w:rPr>
          <w:lang w:eastAsia="en-GB"/>
        </w:rPr>
        <w:t xml:space="preserve">may be more likely to </w:t>
      </w:r>
      <w:r w:rsidRPr="007F606B">
        <w:rPr>
          <w:lang w:eastAsia="en-GB"/>
        </w:rPr>
        <w:t>conceal what they perceive to be an undesirable behaviour</w:t>
      </w:r>
      <w:r>
        <w:rPr>
          <w:lang w:eastAsia="en-GB"/>
        </w:rPr>
        <w:t xml:space="preserve"> such as drug use. Therefore these types of surveys</w:t>
      </w:r>
      <w:r w:rsidRPr="00412C1E">
        <w:rPr>
          <w:lang w:eastAsia="en-GB"/>
        </w:rPr>
        <w:t xml:space="preserve"> </w:t>
      </w:r>
      <w:r>
        <w:rPr>
          <w:lang w:eastAsia="en-GB"/>
        </w:rPr>
        <w:t xml:space="preserve">may </w:t>
      </w:r>
      <w:r w:rsidRPr="00DB1432">
        <w:rPr>
          <w:lang w:eastAsia="en-GB"/>
        </w:rPr>
        <w:t>underestimate the prevalence of recreational drug use in the population</w:t>
      </w:r>
      <w:r>
        <w:rPr>
          <w:lang w:eastAsia="en-GB"/>
        </w:rPr>
        <w:t xml:space="preserve"> (Rogers et al 1998). </w:t>
      </w:r>
    </w:p>
    <w:p w:rsidR="00CA41F2" w:rsidRDefault="00CA41F2" w:rsidP="00950A4A">
      <w:pPr>
        <w:rPr>
          <w:lang w:eastAsia="en-GB"/>
        </w:rPr>
      </w:pPr>
    </w:p>
    <w:p w:rsidR="00950A4A" w:rsidRDefault="00950A4A" w:rsidP="00950A4A">
      <w:pPr>
        <w:rPr>
          <w:lang w:eastAsia="en-GB"/>
        </w:rPr>
      </w:pPr>
      <w:r>
        <w:rPr>
          <w:lang w:eastAsia="en-GB"/>
        </w:rPr>
        <w:t>Also, the NZHS did not include people living in prisons and the homeless. Both these populations have a higher prevalence of drug use (Al-</w:t>
      </w:r>
      <w:proofErr w:type="spellStart"/>
      <w:r>
        <w:rPr>
          <w:lang w:eastAsia="en-GB"/>
        </w:rPr>
        <w:t>Nasrallah</w:t>
      </w:r>
      <w:proofErr w:type="spellEnd"/>
      <w:r>
        <w:rPr>
          <w:lang w:eastAsia="en-GB"/>
        </w:rPr>
        <w:t xml:space="preserve"> et al 2005; Department of Corrections 2004; </w:t>
      </w:r>
      <w:proofErr w:type="spellStart"/>
      <w:r>
        <w:rPr>
          <w:lang w:eastAsia="en-GB"/>
        </w:rPr>
        <w:t>Fazel</w:t>
      </w:r>
      <w:proofErr w:type="spellEnd"/>
      <w:r>
        <w:rPr>
          <w:lang w:eastAsia="en-GB"/>
        </w:rPr>
        <w:t xml:space="preserve"> et al 2008). However, as these populations comprise a very small proportion of the total population, the impact of omitting them is likely to be minimal.</w:t>
      </w:r>
    </w:p>
    <w:p w:rsidR="00950A4A" w:rsidRDefault="00950A4A" w:rsidP="00950A4A">
      <w:pPr>
        <w:rPr>
          <w:lang w:eastAsia="en-GB"/>
        </w:rPr>
      </w:pPr>
    </w:p>
    <w:p w:rsidR="00950A4A" w:rsidRDefault="00950A4A" w:rsidP="00950A4A">
      <w:pPr>
        <w:rPr>
          <w:rStyle w:val="Hyperlink"/>
        </w:rPr>
      </w:pPr>
      <w:r w:rsidRPr="00DB1432">
        <w:rPr>
          <w:lang w:eastAsia="en-GB"/>
        </w:rPr>
        <w:t>There are important differences between the surveys</w:t>
      </w:r>
      <w:r>
        <w:rPr>
          <w:lang w:eastAsia="en-GB"/>
        </w:rPr>
        <w:t xml:space="preserve"> compared in Table 1, which should be considered when interpreting the data. These include differences in the way the surveys were administered, survey context, survey response rate and question wording. Specific details about the methodological differences are discussed in </w:t>
      </w:r>
      <w:hyperlink r:id="rId10" w:history="1">
        <w:r w:rsidRPr="00BB2D0C">
          <w:rPr>
            <w:rStyle w:val="Hyperlink"/>
            <w:i/>
            <w:lang w:eastAsia="en-GB"/>
          </w:rPr>
          <w:t>Amphetamine Use 2012/13: Key findings of the New Zealand Health Survey</w:t>
        </w:r>
      </w:hyperlink>
      <w:r>
        <w:rPr>
          <w:lang w:eastAsia="en-GB"/>
        </w:rPr>
        <w:t xml:space="preserve">. </w:t>
      </w:r>
      <w:hyperlink r:id="rId11" w:history="1">
        <w:r w:rsidRPr="007E2277">
          <w:rPr>
            <w:rStyle w:val="Hyperlink"/>
          </w:rPr>
          <w:t>www.health.govt.nz/publication/amphetamine-use-2012-13-key-findings-new-zealand-health-survey</w:t>
        </w:r>
      </w:hyperlink>
    </w:p>
    <w:p w:rsidR="00950A4A" w:rsidRPr="007E2277" w:rsidRDefault="00950A4A" w:rsidP="00950A4A">
      <w:pPr>
        <w:rPr>
          <w:lang w:eastAsia="en-GB"/>
        </w:rPr>
      </w:pPr>
    </w:p>
    <w:p w:rsidR="00950A4A" w:rsidRPr="00DB1432" w:rsidRDefault="00950A4A" w:rsidP="00950A4A">
      <w:pPr>
        <w:pStyle w:val="Heading2"/>
        <w:rPr>
          <w:lang w:eastAsia="en-GB"/>
        </w:rPr>
      </w:pPr>
      <w:bookmarkStart w:id="1" w:name="_Toc335640081"/>
      <w:r w:rsidRPr="00DB1432">
        <w:rPr>
          <w:lang w:eastAsia="en-GB"/>
        </w:rPr>
        <w:t>New Zealand Health Survey</w:t>
      </w:r>
      <w:bookmarkEnd w:id="1"/>
      <w:r>
        <w:rPr>
          <w:lang w:eastAsia="en-GB"/>
        </w:rPr>
        <w:t xml:space="preserve"> background</w:t>
      </w:r>
    </w:p>
    <w:p w:rsidR="00950A4A" w:rsidRDefault="00950A4A" w:rsidP="00950A4A">
      <w:pPr>
        <w:rPr>
          <w:rStyle w:val="Hyperlink"/>
        </w:rPr>
      </w:pPr>
      <w:r w:rsidRPr="00DB1432">
        <w:rPr>
          <w:lang w:eastAsia="en-GB"/>
        </w:rPr>
        <w:t xml:space="preserve">The </w:t>
      </w:r>
      <w:r>
        <w:rPr>
          <w:lang w:eastAsia="en-GB"/>
        </w:rPr>
        <w:t>NZHS is an ongoing</w:t>
      </w:r>
      <w:r w:rsidRPr="00DB1432">
        <w:rPr>
          <w:lang w:eastAsia="en-GB"/>
        </w:rPr>
        <w:t xml:space="preserve"> survey </w:t>
      </w:r>
      <w:r>
        <w:rPr>
          <w:lang w:eastAsia="en-GB"/>
        </w:rPr>
        <w:t xml:space="preserve">that </w:t>
      </w:r>
      <w:r w:rsidRPr="00DB1432">
        <w:rPr>
          <w:lang w:eastAsia="en-GB"/>
        </w:rPr>
        <w:t xml:space="preserve">has been in </w:t>
      </w:r>
      <w:r>
        <w:rPr>
          <w:lang w:eastAsia="en-GB"/>
        </w:rPr>
        <w:t>the field on a continuous basis</w:t>
      </w:r>
      <w:r w:rsidRPr="00DB1432">
        <w:rPr>
          <w:lang w:eastAsia="en-GB"/>
        </w:rPr>
        <w:t xml:space="preserve"> since July 2011.</w:t>
      </w:r>
      <w:r>
        <w:rPr>
          <w:lang w:eastAsia="en-GB"/>
        </w:rPr>
        <w:t xml:space="preserve"> More information, reports and methodological details about the NZHS can be found at </w:t>
      </w:r>
      <w:hyperlink r:id="rId12" w:history="1">
        <w:r w:rsidRPr="007E2277">
          <w:rPr>
            <w:rStyle w:val="Hyperlink"/>
          </w:rPr>
          <w:t>www.health.govt.nz/nz-health-statistics/national-collections-and-surveys/surveys/current-recent-surveys/new-zealand-health-survey</w:t>
        </w:r>
      </w:hyperlink>
    </w:p>
    <w:p w:rsidR="00950A4A" w:rsidRPr="007E2277" w:rsidRDefault="00950A4A" w:rsidP="00950A4A">
      <w:pPr>
        <w:rPr>
          <w:lang w:eastAsia="en-GB"/>
        </w:rPr>
      </w:pPr>
    </w:p>
    <w:p w:rsidR="00950A4A" w:rsidRPr="008757FA" w:rsidRDefault="00950A4A" w:rsidP="00950A4A">
      <w:pPr>
        <w:pStyle w:val="Box"/>
        <w:rPr>
          <w:b/>
        </w:rPr>
      </w:pPr>
      <w:r w:rsidRPr="008757FA">
        <w:rPr>
          <w:b/>
        </w:rPr>
        <w:t>Did you find what you were looking for?</w:t>
      </w:r>
    </w:p>
    <w:p w:rsidR="00950A4A" w:rsidRDefault="00950A4A" w:rsidP="00950A4A">
      <w:pPr>
        <w:pStyle w:val="Box"/>
        <w:rPr>
          <w:rFonts w:cs="Arial Mäori"/>
        </w:rPr>
      </w:pPr>
      <w:r>
        <w:t xml:space="preserve">Please help us improve our reports – tell us whether we are giving you the information you </w:t>
      </w:r>
      <w:r>
        <w:rPr>
          <w:rFonts w:cs="Arial Mäori"/>
        </w:rPr>
        <w:t xml:space="preserve">want by going to: </w:t>
      </w:r>
      <w:hyperlink r:id="rId13" w:history="1">
        <w:r w:rsidRPr="008757FA">
          <w:rPr>
            <w:rStyle w:val="Hyperlink"/>
          </w:rPr>
          <w:t>www.health.govt.nz/nzhs-feedback</w:t>
        </w:r>
      </w:hyperlink>
    </w:p>
    <w:p w:rsidR="00950A4A" w:rsidRDefault="00950A4A" w:rsidP="00950A4A">
      <w:pPr>
        <w:pStyle w:val="Box"/>
      </w:pPr>
      <w:r>
        <w:rPr>
          <w:rFonts w:cs="Arial Mäori"/>
        </w:rPr>
        <w:t>It</w:t>
      </w:r>
      <w:r>
        <w:t xml:space="preserve"> will only take a minute or two, and we really value your feedback!</w:t>
      </w:r>
    </w:p>
    <w:p w:rsidR="00950A4A" w:rsidRDefault="00950A4A" w:rsidP="00950A4A"/>
    <w:p w:rsidR="00950A4A" w:rsidRPr="00DB1432" w:rsidRDefault="00950A4A" w:rsidP="00950A4A">
      <w:pPr>
        <w:pStyle w:val="Heading2"/>
        <w:rPr>
          <w:lang w:eastAsia="en-GB"/>
        </w:rPr>
      </w:pPr>
      <w:r w:rsidRPr="00DB1432">
        <w:rPr>
          <w:lang w:eastAsia="en-GB"/>
        </w:rPr>
        <w:t>References</w:t>
      </w:r>
    </w:p>
    <w:p w:rsidR="00950A4A" w:rsidRPr="00A40AB2" w:rsidRDefault="00950A4A" w:rsidP="00950A4A">
      <w:pPr>
        <w:pStyle w:val="References"/>
      </w:pPr>
      <w:proofErr w:type="gramStart"/>
      <w:r w:rsidRPr="00A40AB2">
        <w:t>Al-</w:t>
      </w:r>
      <w:proofErr w:type="spellStart"/>
      <w:r w:rsidRPr="00A40AB2">
        <w:t>Nasrallah</w:t>
      </w:r>
      <w:proofErr w:type="spellEnd"/>
      <w:r w:rsidRPr="00A40AB2">
        <w:t xml:space="preserve"> B, Amory K, </w:t>
      </w:r>
      <w:proofErr w:type="spellStart"/>
      <w:r w:rsidRPr="00A40AB2">
        <w:t>Blackett</w:t>
      </w:r>
      <w:proofErr w:type="spellEnd"/>
      <w:r w:rsidRPr="00A40AB2">
        <w:t xml:space="preserve"> J, et al. 2005.</w:t>
      </w:r>
      <w:proofErr w:type="gramEnd"/>
      <w:r w:rsidRPr="00A40AB2">
        <w:t xml:space="preserve"> </w:t>
      </w:r>
      <w:proofErr w:type="gramStart"/>
      <w:r w:rsidRPr="00A40AB2">
        <w:rPr>
          <w:i/>
        </w:rPr>
        <w:t>Slipping Through the Cracks</w:t>
      </w:r>
      <w:r>
        <w:rPr>
          <w:i/>
        </w:rPr>
        <w:t>:</w:t>
      </w:r>
      <w:r w:rsidRPr="00A40AB2">
        <w:rPr>
          <w:i/>
        </w:rPr>
        <w:t xml:space="preserve"> A </w:t>
      </w:r>
      <w:r>
        <w:rPr>
          <w:i/>
        </w:rPr>
        <w:t>s</w:t>
      </w:r>
      <w:r w:rsidRPr="00A40AB2">
        <w:rPr>
          <w:i/>
        </w:rPr>
        <w:t xml:space="preserve">tudy of </w:t>
      </w:r>
      <w:r>
        <w:rPr>
          <w:i/>
        </w:rPr>
        <w:t>h</w:t>
      </w:r>
      <w:r w:rsidRPr="00A40AB2">
        <w:rPr>
          <w:i/>
        </w:rPr>
        <w:t>omelessness in Wellington</w:t>
      </w:r>
      <w:r>
        <w:t>.</w:t>
      </w:r>
      <w:proofErr w:type="gramEnd"/>
      <w:r w:rsidRPr="00A40AB2">
        <w:t xml:space="preserve"> </w:t>
      </w:r>
      <w:r>
        <w:t xml:space="preserve">Wellington: </w:t>
      </w:r>
      <w:r w:rsidRPr="00A40AB2">
        <w:t xml:space="preserve">He </w:t>
      </w:r>
      <w:proofErr w:type="spellStart"/>
      <w:r w:rsidRPr="00A40AB2">
        <w:t>Kainga</w:t>
      </w:r>
      <w:proofErr w:type="spellEnd"/>
      <w:r w:rsidRPr="00A40AB2">
        <w:t xml:space="preserve"> </w:t>
      </w:r>
      <w:proofErr w:type="spellStart"/>
      <w:r w:rsidRPr="00A40AB2">
        <w:t>Oranga</w:t>
      </w:r>
      <w:proofErr w:type="spellEnd"/>
      <w:r w:rsidRPr="00A40AB2">
        <w:t>, Housing and Health Research Programme, Department of Public Health, Wellington School of Medicine and Health Sciences.</w:t>
      </w:r>
    </w:p>
    <w:p w:rsidR="00950A4A" w:rsidRPr="00A40AB2" w:rsidRDefault="00950A4A" w:rsidP="00950A4A">
      <w:pPr>
        <w:pStyle w:val="References"/>
      </w:pPr>
      <w:proofErr w:type="gramStart"/>
      <w:r w:rsidRPr="00A40AB2">
        <w:t>Department of Corrections.</w:t>
      </w:r>
      <w:proofErr w:type="gramEnd"/>
      <w:r w:rsidRPr="00A40AB2">
        <w:t xml:space="preserve"> 2004. </w:t>
      </w:r>
      <w:r w:rsidRPr="00A40AB2">
        <w:rPr>
          <w:i/>
        </w:rPr>
        <w:t>Strategy to Reduce Drug and Alcohol Use by Offenders</w:t>
      </w:r>
      <w:r>
        <w:rPr>
          <w:i/>
        </w:rPr>
        <w:t xml:space="preserve"> </w:t>
      </w:r>
      <w:r w:rsidRPr="00A40AB2">
        <w:rPr>
          <w:i/>
        </w:rPr>
        <w:t>2005–2008</w:t>
      </w:r>
      <w:r w:rsidRPr="00A40AB2">
        <w:t>. Wellington: Department of Corrections.</w:t>
      </w:r>
    </w:p>
    <w:p w:rsidR="00950A4A" w:rsidRPr="00A40AB2" w:rsidRDefault="00950A4A" w:rsidP="00950A4A">
      <w:pPr>
        <w:pStyle w:val="References"/>
      </w:pPr>
      <w:proofErr w:type="spellStart"/>
      <w:r w:rsidRPr="00A40AB2">
        <w:lastRenderedPageBreak/>
        <w:t>Fazel</w:t>
      </w:r>
      <w:proofErr w:type="spellEnd"/>
      <w:r w:rsidRPr="00A40AB2">
        <w:t xml:space="preserve"> S, </w:t>
      </w:r>
      <w:proofErr w:type="spellStart"/>
      <w:r w:rsidRPr="00A40AB2">
        <w:t>Khosla</w:t>
      </w:r>
      <w:proofErr w:type="spellEnd"/>
      <w:r w:rsidRPr="00A40AB2">
        <w:t xml:space="preserve"> V, Doll H, et al. 2008. The prevalence of mental disorders among the homeless in Western countries: </w:t>
      </w:r>
      <w:r>
        <w:t>s</w:t>
      </w:r>
      <w:r w:rsidRPr="00A40AB2">
        <w:t xml:space="preserve">ystematic review and </w:t>
      </w:r>
      <w:proofErr w:type="spellStart"/>
      <w:r w:rsidRPr="00A40AB2">
        <w:t>metaregression</w:t>
      </w:r>
      <w:proofErr w:type="spellEnd"/>
      <w:r w:rsidRPr="00A40AB2">
        <w:t xml:space="preserve"> analysis. </w:t>
      </w:r>
      <w:r w:rsidRPr="00A40AB2">
        <w:rPr>
          <w:i/>
        </w:rPr>
        <w:t xml:space="preserve">PLOS Medicine </w:t>
      </w:r>
      <w:r w:rsidRPr="00A40AB2">
        <w:t>5(12): e225.</w:t>
      </w:r>
      <w:r>
        <w:t xml:space="preserve"> </w:t>
      </w:r>
      <w:r w:rsidRPr="00A40AB2">
        <w:t>doi:10.1371/journal.pmed.0050225.</w:t>
      </w:r>
    </w:p>
    <w:p w:rsidR="00950A4A" w:rsidRPr="00A40AB2" w:rsidRDefault="00950A4A" w:rsidP="00950A4A">
      <w:pPr>
        <w:pStyle w:val="References"/>
      </w:pPr>
      <w:proofErr w:type="gramStart"/>
      <w:r w:rsidRPr="00A40AB2">
        <w:t>Ministry of Health.</w:t>
      </w:r>
      <w:proofErr w:type="gramEnd"/>
      <w:r w:rsidRPr="00A40AB2">
        <w:t xml:space="preserve"> 2007. </w:t>
      </w:r>
      <w:r w:rsidRPr="00A40AB2">
        <w:rPr>
          <w:i/>
        </w:rPr>
        <w:t>Drug Use in New Zealand: Analysis of the 2003 New Zealand Health Behaviours Survey – Drug Use</w:t>
      </w:r>
      <w:r w:rsidRPr="00A40AB2">
        <w:t>. Wellington: Ministry of Health.</w:t>
      </w:r>
    </w:p>
    <w:p w:rsidR="00950A4A" w:rsidRDefault="00482A9C" w:rsidP="00950A4A">
      <w:pPr>
        <w:pStyle w:val="References"/>
      </w:pPr>
      <w:hyperlink r:id="rId14" w:history="1">
        <w:proofErr w:type="gramStart"/>
        <w:r w:rsidR="00950A4A" w:rsidRPr="00410951">
          <w:rPr>
            <w:rStyle w:val="Hyperlink"/>
          </w:rPr>
          <w:t>Ministry of Health.</w:t>
        </w:r>
        <w:proofErr w:type="gramEnd"/>
        <w:r w:rsidR="00950A4A" w:rsidRPr="00410951">
          <w:rPr>
            <w:rStyle w:val="Hyperlink"/>
          </w:rPr>
          <w:t xml:space="preserve"> 2009. </w:t>
        </w:r>
        <w:r w:rsidR="00950A4A" w:rsidRPr="00410951">
          <w:rPr>
            <w:rStyle w:val="Hyperlink"/>
            <w:i/>
          </w:rPr>
          <w:t>Drug Use in New Zealand: Key results of the 2007/08 New Zealand Alcohol and Drug Use Survey</w:t>
        </w:r>
        <w:r w:rsidR="00950A4A" w:rsidRPr="00410951">
          <w:rPr>
            <w:rStyle w:val="Hyperlink"/>
          </w:rPr>
          <w:t>. Wellington: Ministry of Health.</w:t>
        </w:r>
      </w:hyperlink>
    </w:p>
    <w:p w:rsidR="00950A4A" w:rsidRDefault="00482A9C" w:rsidP="00950A4A">
      <w:pPr>
        <w:pStyle w:val="References"/>
      </w:pPr>
      <w:hyperlink r:id="rId15" w:history="1">
        <w:proofErr w:type="gramStart"/>
        <w:r w:rsidR="00950A4A" w:rsidRPr="00410951">
          <w:rPr>
            <w:rStyle w:val="Hyperlink"/>
          </w:rPr>
          <w:t>Ministry of Health.</w:t>
        </w:r>
        <w:proofErr w:type="gramEnd"/>
        <w:r w:rsidR="00950A4A" w:rsidRPr="00410951">
          <w:rPr>
            <w:rStyle w:val="Hyperlink"/>
          </w:rPr>
          <w:t xml:space="preserve"> 2013. </w:t>
        </w:r>
        <w:r w:rsidR="00950A4A" w:rsidRPr="00410951">
          <w:rPr>
            <w:rStyle w:val="Hyperlink"/>
            <w:i/>
          </w:rPr>
          <w:t>Amphetamine Use 2012/13: Key findings of the New Zealand Health Survey</w:t>
        </w:r>
        <w:r w:rsidR="00950A4A" w:rsidRPr="00410951">
          <w:rPr>
            <w:rStyle w:val="Hyperlink"/>
          </w:rPr>
          <w:t>. Wellington: Ministry of Health.</w:t>
        </w:r>
      </w:hyperlink>
    </w:p>
    <w:p w:rsidR="00950A4A" w:rsidRDefault="00950A4A" w:rsidP="00950A4A">
      <w:pPr>
        <w:pStyle w:val="References"/>
      </w:pPr>
      <w:proofErr w:type="gramStart"/>
      <w:r>
        <w:t>Ministry of Health.</w:t>
      </w:r>
      <w:proofErr w:type="gramEnd"/>
      <w:r>
        <w:t xml:space="preserve"> 2014</w:t>
      </w:r>
      <w:r w:rsidRPr="001507F6">
        <w:t>.</w:t>
      </w:r>
      <w:r w:rsidRPr="00C27E46">
        <w:t xml:space="preserve"> </w:t>
      </w:r>
      <w:r w:rsidRPr="007E2277">
        <w:rPr>
          <w:i/>
        </w:rPr>
        <w:t>A</w:t>
      </w:r>
      <w:r>
        <w:rPr>
          <w:i/>
        </w:rPr>
        <w:t xml:space="preserve">nnual Update of Key Results 2013/14: </w:t>
      </w:r>
      <w:r w:rsidRPr="007E2277">
        <w:rPr>
          <w:i/>
        </w:rPr>
        <w:t>New Zealand Health Survey</w:t>
      </w:r>
      <w:r w:rsidRPr="001507F6">
        <w:t>.</w:t>
      </w:r>
      <w:r w:rsidRPr="00C27E46">
        <w:t xml:space="preserve"> </w:t>
      </w:r>
      <w:r w:rsidRPr="001507F6">
        <w:t>Wellington: Ministry of Health.</w:t>
      </w:r>
    </w:p>
    <w:p w:rsidR="00950A4A" w:rsidRDefault="00950A4A" w:rsidP="00950A4A">
      <w:pPr>
        <w:pStyle w:val="References"/>
        <w:spacing w:after="0"/>
      </w:pPr>
      <w:proofErr w:type="gramStart"/>
      <w:r w:rsidRPr="00A40AB2">
        <w:t>Rogers SM, Miller HG, Turner CF. 1998.</w:t>
      </w:r>
      <w:proofErr w:type="gramEnd"/>
      <w:r w:rsidRPr="00A40AB2">
        <w:t xml:space="preserve"> Effects of interview mode on bias in survey measurements of drug use: do respondent characteristics make a difference? </w:t>
      </w:r>
      <w:r w:rsidRPr="007E2277">
        <w:rPr>
          <w:i/>
        </w:rPr>
        <w:t>Substance Use and Misuse</w:t>
      </w:r>
      <w:r w:rsidRPr="00A40AB2">
        <w:t xml:space="preserve"> 33(10):</w:t>
      </w:r>
      <w:r>
        <w:t xml:space="preserve"> </w:t>
      </w:r>
      <w:r w:rsidRPr="00A40AB2">
        <w:t>2179–200.</w:t>
      </w:r>
    </w:p>
    <w:p w:rsidR="00950A4A" w:rsidRDefault="00950A4A" w:rsidP="00950A4A"/>
    <w:p w:rsidR="00950A4A" w:rsidRPr="008208C6" w:rsidRDefault="00950A4A" w:rsidP="00950A4A">
      <w:pPr>
        <w:pStyle w:val="Heading2"/>
        <w:rPr>
          <w:szCs w:val="36"/>
        </w:rPr>
      </w:pPr>
      <w:r w:rsidRPr="00DB1432">
        <w:rPr>
          <w:lang w:eastAsia="en-GB"/>
        </w:rPr>
        <w:t>Acknowledgements</w:t>
      </w:r>
    </w:p>
    <w:p w:rsidR="00950A4A" w:rsidRDefault="00950A4A" w:rsidP="00950A4A">
      <w:pPr>
        <w:rPr>
          <w:lang w:eastAsia="en-GB"/>
        </w:rPr>
      </w:pPr>
      <w:r w:rsidRPr="00DB1432">
        <w:rPr>
          <w:lang w:eastAsia="en-GB"/>
        </w:rPr>
        <w:t>Thank you to the many thousands of New Zealanders who gave their time to participate in the New Zealand Health Survey. This report would not have been possible without your generosity.</w:t>
      </w:r>
    </w:p>
    <w:p w:rsidR="00950A4A" w:rsidRDefault="00950A4A" w:rsidP="00950A4A">
      <w:pPr>
        <w:rPr>
          <w:lang w:eastAsia="en-GB"/>
        </w:rPr>
      </w:pPr>
    </w:p>
    <w:p w:rsidR="00950A4A" w:rsidRDefault="00950A4A" w:rsidP="00950A4A">
      <w:pPr>
        <w:rPr>
          <w:lang w:eastAsia="en-GB"/>
        </w:rPr>
      </w:pPr>
      <w:r w:rsidRPr="00DB1432">
        <w:rPr>
          <w:lang w:eastAsia="en-GB"/>
        </w:rPr>
        <w:t>Please refer to the Ministry of Health</w:t>
      </w:r>
      <w:r>
        <w:rPr>
          <w:lang w:eastAsia="en-GB"/>
        </w:rPr>
        <w:t>’</w:t>
      </w:r>
      <w:r w:rsidRPr="00DB1432">
        <w:rPr>
          <w:lang w:eastAsia="en-GB"/>
        </w:rPr>
        <w:t>s publication of the wider survey results for further</w:t>
      </w:r>
      <w:r>
        <w:rPr>
          <w:lang w:eastAsia="en-GB"/>
        </w:rPr>
        <w:t xml:space="preserve"> </w:t>
      </w:r>
      <w:r w:rsidRPr="00DB1432">
        <w:rPr>
          <w:lang w:eastAsia="en-GB"/>
        </w:rPr>
        <w:t>acknowledgements (Ministry of Health 2014).</w:t>
      </w:r>
    </w:p>
    <w:p w:rsidR="00950A4A" w:rsidRPr="00DB1432" w:rsidRDefault="00950A4A" w:rsidP="00950A4A">
      <w:pPr>
        <w:rPr>
          <w:lang w:eastAsia="en-GB"/>
        </w:rPr>
      </w:pPr>
    </w:p>
    <w:p w:rsidR="00950A4A" w:rsidRDefault="00950A4A" w:rsidP="00950A4A">
      <w:pPr>
        <w:pStyle w:val="Heading2"/>
        <w:rPr>
          <w:lang w:eastAsia="en-GB"/>
        </w:rPr>
      </w:pPr>
      <w:r>
        <w:rPr>
          <w:lang w:eastAsia="en-GB"/>
        </w:rPr>
        <w:t>Authors</w:t>
      </w:r>
    </w:p>
    <w:p w:rsidR="00950A4A" w:rsidRPr="00DB1432" w:rsidRDefault="00950A4A" w:rsidP="00950A4A">
      <w:pPr>
        <w:rPr>
          <w:lang w:eastAsia="en-GB"/>
        </w:rPr>
      </w:pPr>
      <w:r w:rsidRPr="00DB1432">
        <w:rPr>
          <w:lang w:eastAsia="en-GB"/>
        </w:rPr>
        <w:t xml:space="preserve">This </w:t>
      </w:r>
      <w:r>
        <w:rPr>
          <w:lang w:eastAsia="en-GB"/>
        </w:rPr>
        <w:t xml:space="preserve">report was written by Marianne Linton, with statistical analyses carried out by </w:t>
      </w:r>
      <w:proofErr w:type="spellStart"/>
      <w:r>
        <w:rPr>
          <w:lang w:eastAsia="en-GB"/>
        </w:rPr>
        <w:t>Deepa</w:t>
      </w:r>
      <w:proofErr w:type="spellEnd"/>
      <w:r>
        <w:rPr>
          <w:lang w:eastAsia="en-GB"/>
        </w:rPr>
        <w:t xml:space="preserve"> </w:t>
      </w:r>
      <w:proofErr w:type="spellStart"/>
      <w:r>
        <w:rPr>
          <w:lang w:eastAsia="en-GB"/>
        </w:rPr>
        <w:t>Weerasekera</w:t>
      </w:r>
      <w:proofErr w:type="spellEnd"/>
      <w:r>
        <w:rPr>
          <w:lang w:eastAsia="en-GB"/>
        </w:rPr>
        <w:t>. The authors are employed by Health and Disability Intelligence Group, Ministry of Health.</w:t>
      </w:r>
    </w:p>
    <w:p w:rsidR="00783D9C" w:rsidRPr="00DD748F" w:rsidRDefault="00783D9C" w:rsidP="002233D8"/>
    <w:p w:rsidR="00EB461E" w:rsidRPr="00DD748F" w:rsidRDefault="00EB461E" w:rsidP="00C34608">
      <w:pPr>
        <w:spacing w:before="480"/>
        <w:jc w:val="center"/>
        <w:rPr>
          <w:rFonts w:ascii="Cambria" w:hAnsi="Cambria"/>
        </w:rPr>
      </w:pPr>
      <w:r w:rsidRPr="00DD748F">
        <w:rPr>
          <w:rFonts w:ascii="Cambria" w:hAnsi="Cambria"/>
          <w:noProof/>
          <w:lang w:eastAsia="en-NZ"/>
        </w:rPr>
        <w:drawing>
          <wp:inline distT="0" distB="0" distL="0" distR="0" wp14:anchorId="1E8C776F" wp14:editId="0DCEAAE1">
            <wp:extent cx="1346835" cy="664845"/>
            <wp:effectExtent l="0" t="0" r="5715" b="1905"/>
            <wp:docPr id="14" name="Picture 14"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6835" cy="664845"/>
                    </a:xfrm>
                    <a:prstGeom prst="rect">
                      <a:avLst/>
                    </a:prstGeom>
                    <a:noFill/>
                    <a:ln>
                      <a:noFill/>
                    </a:ln>
                  </pic:spPr>
                </pic:pic>
              </a:graphicData>
            </a:graphic>
          </wp:inline>
        </w:drawing>
      </w:r>
    </w:p>
    <w:p w:rsidR="00950A4A" w:rsidRDefault="00950A4A" w:rsidP="002233D8">
      <w:pPr>
        <w:spacing w:before="240"/>
        <w:jc w:val="center"/>
      </w:pPr>
      <w:r>
        <w:t xml:space="preserve">December </w:t>
      </w:r>
      <w:r w:rsidR="00EB461E" w:rsidRPr="00DD748F">
        <w:t>2014</w:t>
      </w:r>
    </w:p>
    <w:p w:rsidR="000C3FA7" w:rsidRPr="00DD748F" w:rsidRDefault="00950A4A" w:rsidP="00950A4A">
      <w:pPr>
        <w:spacing w:before="240"/>
        <w:jc w:val="center"/>
        <w:rPr>
          <w:lang w:eastAsia="en-NZ"/>
        </w:rPr>
      </w:pPr>
      <w:r>
        <w:rPr>
          <w:lang w:eastAsia="en-NZ"/>
        </w:rPr>
        <w:t>ISBN 978-0-478-44464-3 (online</w:t>
      </w:r>
      <w:proofErr w:type="gramStart"/>
      <w:r>
        <w:rPr>
          <w:lang w:eastAsia="en-NZ"/>
        </w:rPr>
        <w:t>)</w:t>
      </w:r>
      <w:proofErr w:type="gramEnd"/>
      <w:r>
        <w:rPr>
          <w:lang w:eastAsia="en-NZ"/>
        </w:rPr>
        <w:br/>
      </w:r>
      <w:r w:rsidR="00EB461E" w:rsidRPr="00DD748F">
        <w:rPr>
          <w:lang w:eastAsia="en-NZ"/>
        </w:rPr>
        <w:t>HP60</w:t>
      </w:r>
      <w:r>
        <w:rPr>
          <w:lang w:eastAsia="en-NZ"/>
        </w:rPr>
        <w:t>96</w:t>
      </w:r>
    </w:p>
    <w:sectPr w:rsidR="000C3FA7" w:rsidRPr="00DD748F" w:rsidSect="000E4E05">
      <w:footerReference w:type="even" r:id="rId17"/>
      <w:footerReference w:type="default" r:id="rId18"/>
      <w:headerReference w:type="first" r:id="rId19"/>
      <w:footerReference w:type="first" r:id="rId20"/>
      <w:pgSz w:w="11906" w:h="16838" w:code="9"/>
      <w:pgMar w:top="1134" w:right="1134" w:bottom="1134" w:left="1418" w:header="284"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A9C" w:rsidRDefault="00482A9C">
      <w:r>
        <w:separator/>
      </w:r>
    </w:p>
  </w:endnote>
  <w:endnote w:type="continuationSeparator" w:id="0">
    <w:p w:rsidR="00482A9C" w:rsidRDefault="00482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Mäori">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CE2" w:rsidRDefault="00EE6CE2" w:rsidP="00DD2C28">
    <w:pPr>
      <w:pStyle w:val="Footer"/>
      <w:pBdr>
        <w:top w:val="single" w:sz="4" w:space="4" w:color="auto"/>
      </w:pBdr>
      <w:tabs>
        <w:tab w:val="left" w:pos="567"/>
      </w:tabs>
      <w:ind w:left="567" w:hanging="567"/>
    </w:pPr>
    <w:r>
      <w:rPr>
        <w:rStyle w:val="PageNumber"/>
      </w:rPr>
      <w:fldChar w:fldCharType="begin"/>
    </w:r>
    <w:r>
      <w:rPr>
        <w:rStyle w:val="PageNumber"/>
      </w:rPr>
      <w:instrText xml:space="preserve"> PAGE </w:instrText>
    </w:r>
    <w:r>
      <w:rPr>
        <w:rStyle w:val="PageNumber"/>
      </w:rPr>
      <w:fldChar w:fldCharType="separate"/>
    </w:r>
    <w:r w:rsidR="00163148">
      <w:rPr>
        <w:rStyle w:val="PageNumber"/>
        <w:noProof/>
      </w:rPr>
      <w:t>4</w:t>
    </w:r>
    <w:r>
      <w:rPr>
        <w:rStyle w:val="PageNumber"/>
      </w:rPr>
      <w:fldChar w:fldCharType="end"/>
    </w:r>
    <w:r>
      <w:tab/>
    </w:r>
    <w:r w:rsidR="00950A4A">
      <w:t>Amphetamine Use 2013/14: New Zealand Health Survey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CE2" w:rsidRPr="00876FB8" w:rsidRDefault="00EE6CE2" w:rsidP="00876FB8">
    <w:pPr>
      <w:pStyle w:val="Footer"/>
      <w:pBdr>
        <w:top w:val="single" w:sz="4" w:space="4" w:color="auto"/>
      </w:pBdr>
    </w:pPr>
    <w:r>
      <w:tab/>
    </w:r>
    <w:r w:rsidR="00950A4A">
      <w:t>Amphetamine Use 2013/14: New Zealand Health Survey</w:t>
    </w:r>
    <w:r>
      <w:tab/>
    </w:r>
    <w:r>
      <w:rPr>
        <w:rStyle w:val="PageNumber"/>
      </w:rPr>
      <w:fldChar w:fldCharType="begin"/>
    </w:r>
    <w:r>
      <w:rPr>
        <w:rStyle w:val="PageNumber"/>
      </w:rPr>
      <w:instrText xml:space="preserve"> PAGE </w:instrText>
    </w:r>
    <w:r>
      <w:rPr>
        <w:rStyle w:val="PageNumber"/>
      </w:rPr>
      <w:fldChar w:fldCharType="separate"/>
    </w:r>
    <w:r w:rsidR="00163148">
      <w:rPr>
        <w:rStyle w:val="PageNumber"/>
        <w:noProof/>
      </w:rPr>
      <w:t>3</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CE2" w:rsidRDefault="00EE6CE2" w:rsidP="00DD2C28">
    <w:pPr>
      <w:pStyle w:val="Footer"/>
      <w:pBdr>
        <w:top w:val="single" w:sz="4" w:space="4" w:color="auto"/>
      </w:pBdr>
    </w:pPr>
    <w:r>
      <w:tab/>
    </w:r>
    <w:r w:rsidR="00950A4A">
      <w:t>Amphetamine Use 2013/14: New Zealand Health Survey</w:t>
    </w:r>
    <w:r>
      <w:tab/>
    </w:r>
    <w:r>
      <w:rPr>
        <w:rStyle w:val="PageNumber"/>
      </w:rPr>
      <w:fldChar w:fldCharType="begin"/>
    </w:r>
    <w:r>
      <w:rPr>
        <w:rStyle w:val="PageNumber"/>
      </w:rPr>
      <w:instrText xml:space="preserve"> PAGE </w:instrText>
    </w:r>
    <w:r>
      <w:rPr>
        <w:rStyle w:val="PageNumber"/>
      </w:rPr>
      <w:fldChar w:fldCharType="separate"/>
    </w:r>
    <w:r w:rsidR="00163148">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A9C" w:rsidRPr="00680D2D" w:rsidRDefault="00482A9C" w:rsidP="00680D2D">
      <w:pPr>
        <w:pStyle w:val="Footer"/>
      </w:pPr>
    </w:p>
  </w:footnote>
  <w:footnote w:type="continuationSeparator" w:id="0">
    <w:p w:rsidR="00482A9C" w:rsidRDefault="00482A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CE2" w:rsidRDefault="00B73088" w:rsidP="00BD22FC">
    <w:pPr>
      <w:pStyle w:val="Header"/>
      <w:spacing w:after="480"/>
    </w:pPr>
    <w:r>
      <w:rPr>
        <w:noProof/>
        <w:lang w:eastAsia="en-NZ"/>
      </w:rPr>
      <w:drawing>
        <wp:anchor distT="0" distB="0" distL="114300" distR="0" simplePos="0" relativeHeight="251658240" behindDoc="0" locked="0" layoutInCell="1" allowOverlap="1" wp14:anchorId="3114CBD4" wp14:editId="05DC4A3A">
          <wp:simplePos x="0" y="0"/>
          <wp:positionH relativeFrom="column">
            <wp:posOffset>4429760</wp:posOffset>
          </wp:positionH>
          <wp:positionV relativeFrom="page">
            <wp:posOffset>246380</wp:posOffset>
          </wp:positionV>
          <wp:extent cx="1491615" cy="389255"/>
          <wp:effectExtent l="0" t="0" r="0" b="0"/>
          <wp:wrapNone/>
          <wp:docPr id="11" name="Picture 11" descr="NZ Health Survey Logo" title="NZ Health Surv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Z Health Survey Logo_cmy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91615" cy="389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CE2">
      <w:rPr>
        <w:noProof/>
        <w:lang w:eastAsia="en-NZ"/>
      </w:rPr>
      <w:drawing>
        <wp:inline distT="0" distB="0" distL="0" distR="0" wp14:anchorId="6F184E1C" wp14:editId="12798D79">
          <wp:extent cx="5960110" cy="573405"/>
          <wp:effectExtent l="0" t="0" r="2540" b="0"/>
          <wp:docPr id="1" name="Picture 4" descr="banner" title="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ETHIG\AppData\Local\Temp\notes2D4894\~6425033.jpg"/>
                  <pic:cNvPicPr>
                    <a:picLocks noChangeAspect="1" noChangeArrowheads="1"/>
                  </pic:cNvPicPr>
                </pic:nvPicPr>
                <pic:blipFill>
                  <a:blip r:embed="rId2">
                    <a:extLst>
                      <a:ext uri="{28A0092B-C50C-407E-A947-70E740481C1C}">
                        <a14:useLocalDpi xmlns:a14="http://schemas.microsoft.com/office/drawing/2010/main" val="0"/>
                      </a:ext>
                    </a:extLst>
                  </a:blip>
                  <a:srcRect l="1118"/>
                  <a:stretch>
                    <a:fillRect/>
                  </a:stretch>
                </pic:blipFill>
                <pic:spPr bwMode="auto">
                  <a:xfrm>
                    <a:off x="0" y="0"/>
                    <a:ext cx="5960110" cy="5734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4E3B"/>
    <w:multiLevelType w:val="hybridMultilevel"/>
    <w:tmpl w:val="D29EAB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35635E2"/>
    <w:multiLevelType w:val="multilevel"/>
    <w:tmpl w:val="BCEC2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843A02"/>
    <w:multiLevelType w:val="hybridMultilevel"/>
    <w:tmpl w:val="537C202E"/>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D6B6B31"/>
    <w:multiLevelType w:val="hybridMultilevel"/>
    <w:tmpl w:val="12C2E6AA"/>
    <w:lvl w:ilvl="0" w:tplc="48B48050">
      <w:start w:val="1"/>
      <w:numFmt w:val="decimal"/>
      <w:lvlText w:val="%1."/>
      <w:lvlJc w:val="left"/>
      <w:pPr>
        <w:ind w:left="930" w:hanging="57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4">
    <w:nsid w:val="131B38E6"/>
    <w:multiLevelType w:val="hybridMultilevel"/>
    <w:tmpl w:val="B15E0900"/>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nsid w:val="19DC4F5C"/>
    <w:multiLevelType w:val="hybridMultilevel"/>
    <w:tmpl w:val="8398F46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nsid w:val="1BD0323B"/>
    <w:multiLevelType w:val="hybridMultilevel"/>
    <w:tmpl w:val="1B025C26"/>
    <w:lvl w:ilvl="0" w:tplc="14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
    <w:nsid w:val="21A15E4D"/>
    <w:multiLevelType w:val="hybridMultilevel"/>
    <w:tmpl w:val="E19C9DE6"/>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21CA0668"/>
    <w:multiLevelType w:val="hybridMultilevel"/>
    <w:tmpl w:val="E6EC7F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2D44F52"/>
    <w:multiLevelType w:val="hybridMultilevel"/>
    <w:tmpl w:val="A52045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244E7161"/>
    <w:multiLevelType w:val="hybridMultilevel"/>
    <w:tmpl w:val="AF5CEEAA"/>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297401D0"/>
    <w:multiLevelType w:val="hybridMultilevel"/>
    <w:tmpl w:val="2EF61FCE"/>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nsid w:val="2AE379A4"/>
    <w:multiLevelType w:val="hybridMultilevel"/>
    <w:tmpl w:val="07CC5D2C"/>
    <w:lvl w:ilvl="0" w:tplc="D4C2B8C2">
      <w:start w:val="1"/>
      <w:numFmt w:val="bullet"/>
      <w:lvlText w:val=""/>
      <w:lvlJc w:val="left"/>
      <w:pPr>
        <w:tabs>
          <w:tab w:val="num" w:pos="1440"/>
        </w:tabs>
        <w:ind w:left="1440" w:hanging="360"/>
      </w:pPr>
      <w:rPr>
        <w:rFonts w:ascii="Symbol" w:hAnsi="Symbol" w:hint="default"/>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BE707B2"/>
    <w:multiLevelType w:val="hybridMultilevel"/>
    <w:tmpl w:val="E4CCE838"/>
    <w:lvl w:ilvl="0" w:tplc="D4C2B8C2">
      <w:start w:val="1"/>
      <w:numFmt w:val="bullet"/>
      <w:lvlText w:val=""/>
      <w:lvlJc w:val="left"/>
      <w:pPr>
        <w:tabs>
          <w:tab w:val="num" w:pos="1440"/>
        </w:tabs>
        <w:ind w:left="1440" w:hanging="360"/>
      </w:pPr>
      <w:rPr>
        <w:rFonts w:ascii="Symbol" w:hAnsi="Symbol" w:hint="default"/>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2E82515"/>
    <w:multiLevelType w:val="hybridMultilevel"/>
    <w:tmpl w:val="9BCEA6DA"/>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378120F5"/>
    <w:multiLevelType w:val="hybridMultilevel"/>
    <w:tmpl w:val="D8445344"/>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3A21553F"/>
    <w:multiLevelType w:val="hybridMultilevel"/>
    <w:tmpl w:val="4F04DFD0"/>
    <w:lvl w:ilvl="0" w:tplc="14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17">
    <w:nsid w:val="3D192E16"/>
    <w:multiLevelType w:val="hybridMultilevel"/>
    <w:tmpl w:val="9FE6BFEC"/>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439B6562"/>
    <w:multiLevelType w:val="hybridMultilevel"/>
    <w:tmpl w:val="3816223E"/>
    <w:lvl w:ilvl="0" w:tplc="72CEA2C0">
      <w:start w:val="1"/>
      <w:numFmt w:val="bullet"/>
      <w:pStyle w:val="TableBullet"/>
      <w:lvlText w:val=""/>
      <w:lvlJc w:val="left"/>
      <w:pPr>
        <w:ind w:left="360" w:hanging="360"/>
      </w:pPr>
      <w:rPr>
        <w:rFonts w:ascii="Symbol" w:hAnsi="Symbol" w:hint="default"/>
        <w:color w:val="auto"/>
        <w:sz w:val="16"/>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466C55FF"/>
    <w:multiLevelType w:val="hybridMultilevel"/>
    <w:tmpl w:val="9404FDF0"/>
    <w:lvl w:ilvl="0" w:tplc="14090001">
      <w:start w:val="1"/>
      <w:numFmt w:val="bullet"/>
      <w:lvlText w:val=""/>
      <w:lvlJc w:val="left"/>
      <w:pPr>
        <w:ind w:left="360" w:hanging="360"/>
      </w:pPr>
      <w:rPr>
        <w:rFonts w:ascii="Symbol" w:hAnsi="Symbol" w:hint="default"/>
      </w:rPr>
    </w:lvl>
    <w:lvl w:ilvl="1" w:tplc="14090005">
      <w:start w:val="1"/>
      <w:numFmt w:val="bullet"/>
      <w:lvlText w:val=""/>
      <w:lvlJc w:val="left"/>
      <w:pPr>
        <w:ind w:left="1080" w:hanging="360"/>
      </w:pPr>
      <w:rPr>
        <w:rFonts w:ascii="Wingdings" w:hAnsi="Wingdings"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nsid w:val="484C4475"/>
    <w:multiLevelType w:val="hybridMultilevel"/>
    <w:tmpl w:val="1E5649A4"/>
    <w:lvl w:ilvl="0" w:tplc="890AC848">
      <w:start w:val="1"/>
      <w:numFmt w:val="bullet"/>
      <w:lvlText w:val="–"/>
      <w:lvlJc w:val="left"/>
      <w:pPr>
        <w:ind w:left="1080" w:hanging="360"/>
      </w:pPr>
      <w:rPr>
        <w:rFonts w:ascii="Courier New" w:hAnsi="Courier New" w:hint="default"/>
      </w:rPr>
    </w:lvl>
    <w:lvl w:ilvl="1" w:tplc="5D6EBB80">
      <w:start w:val="1"/>
      <w:numFmt w:val="bullet"/>
      <w:lvlText w:val="–"/>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1">
    <w:nsid w:val="49325264"/>
    <w:multiLevelType w:val="hybridMultilevel"/>
    <w:tmpl w:val="FB2E9E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4BCF023C"/>
    <w:multiLevelType w:val="hybridMultilevel"/>
    <w:tmpl w:val="E6503F5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nsid w:val="52A01E40"/>
    <w:multiLevelType w:val="hybridMultilevel"/>
    <w:tmpl w:val="F0548A34"/>
    <w:lvl w:ilvl="0" w:tplc="734EEE2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534E3094"/>
    <w:multiLevelType w:val="hybridMultilevel"/>
    <w:tmpl w:val="ADCC05F0"/>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nsid w:val="556679DD"/>
    <w:multiLevelType w:val="hybridMultilevel"/>
    <w:tmpl w:val="6A12C44E"/>
    <w:lvl w:ilvl="0" w:tplc="932A1A56">
      <w:start w:val="1"/>
      <w:numFmt w:val="bullet"/>
      <w:lvlRestart w:val="0"/>
      <w:lvlText w:val=""/>
      <w:lvlJc w:val="left"/>
      <w:pPr>
        <w:tabs>
          <w:tab w:val="num" w:pos="726"/>
        </w:tabs>
        <w:ind w:left="726" w:hanging="363"/>
      </w:pPr>
      <w:rPr>
        <w:rFonts w:ascii="Symbol" w:hAnsi="Symbol" w:hint="default"/>
        <w:color w:val="auto"/>
      </w:rPr>
    </w:lvl>
    <w:lvl w:ilvl="1" w:tplc="04090003" w:tentative="1">
      <w:start w:val="1"/>
      <w:numFmt w:val="bullet"/>
      <w:lvlText w:val="o"/>
      <w:lvlJc w:val="left"/>
      <w:pPr>
        <w:tabs>
          <w:tab w:val="num" w:pos="1803"/>
        </w:tabs>
        <w:ind w:left="1803" w:hanging="360"/>
      </w:pPr>
      <w:rPr>
        <w:rFonts w:ascii="Courier New" w:hAnsi="Courier New" w:cs="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cs="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cs="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26">
    <w:nsid w:val="566E0B01"/>
    <w:multiLevelType w:val="hybridMultilevel"/>
    <w:tmpl w:val="9AD08C2E"/>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nsid w:val="58BF6637"/>
    <w:multiLevelType w:val="hybridMultilevel"/>
    <w:tmpl w:val="5378A82C"/>
    <w:lvl w:ilvl="0" w:tplc="1409000F">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28">
    <w:nsid w:val="5A5F32D0"/>
    <w:multiLevelType w:val="hybridMultilevel"/>
    <w:tmpl w:val="472CF3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5B342B6B"/>
    <w:multiLevelType w:val="hybridMultilevel"/>
    <w:tmpl w:val="20DABD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61E4205B"/>
    <w:multiLevelType w:val="hybridMultilevel"/>
    <w:tmpl w:val="720467C0"/>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nsid w:val="648A425F"/>
    <w:multiLevelType w:val="hybridMultilevel"/>
    <w:tmpl w:val="4D7ABEAE"/>
    <w:lvl w:ilvl="0" w:tplc="890AC848">
      <w:start w:val="1"/>
      <w:numFmt w:val="bullet"/>
      <w:pStyle w:val="Dash"/>
      <w:lvlText w:val="–"/>
      <w:lvlJc w:val="left"/>
      <w:pPr>
        <w:ind w:left="1080" w:hanging="360"/>
      </w:pPr>
      <w:rPr>
        <w:rFonts w:ascii="Courier New" w:hAnsi="Courier New"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2">
    <w:nsid w:val="66725D6E"/>
    <w:multiLevelType w:val="hybridMultilevel"/>
    <w:tmpl w:val="31F6FA28"/>
    <w:lvl w:ilvl="0" w:tplc="1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66867853"/>
    <w:multiLevelType w:val="hybridMultilevel"/>
    <w:tmpl w:val="776E2F12"/>
    <w:lvl w:ilvl="0" w:tplc="14090001">
      <w:start w:val="1"/>
      <w:numFmt w:val="bullet"/>
      <w:lvlText w:val=""/>
      <w:lvlJc w:val="left"/>
      <w:pPr>
        <w:tabs>
          <w:tab w:val="num" w:pos="360"/>
        </w:tabs>
        <w:ind w:left="360" w:hanging="360"/>
      </w:pPr>
      <w:rPr>
        <w:rFonts w:ascii="Symbol" w:hAnsi="Symbol" w:hint="default"/>
      </w:rPr>
    </w:lvl>
    <w:lvl w:ilvl="1" w:tplc="D4C2B8C2">
      <w:start w:val="1"/>
      <w:numFmt w:val="bullet"/>
      <w:lvlText w:val=""/>
      <w:lvlJc w:val="left"/>
      <w:pPr>
        <w:tabs>
          <w:tab w:val="num" w:pos="1080"/>
        </w:tabs>
        <w:ind w:left="1080" w:hanging="360"/>
      </w:pPr>
      <w:rPr>
        <w:rFonts w:ascii="Symbol" w:hAnsi="Symbol" w:hint="default"/>
        <w:color w:val="auto"/>
        <w:sz w:val="22"/>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nsid w:val="66BC78ED"/>
    <w:multiLevelType w:val="hybridMultilevel"/>
    <w:tmpl w:val="BFBC0BA2"/>
    <w:lvl w:ilvl="0" w:tplc="E042FD7A">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688D2C9E"/>
    <w:multiLevelType w:val="singleLevel"/>
    <w:tmpl w:val="BCB8802A"/>
    <w:lvl w:ilvl="0">
      <w:start w:val="1"/>
      <w:numFmt w:val="bullet"/>
      <w:pStyle w:val="BoxBullet"/>
      <w:lvlText w:val=""/>
      <w:lvlJc w:val="left"/>
      <w:pPr>
        <w:tabs>
          <w:tab w:val="num" w:pos="360"/>
        </w:tabs>
        <w:ind w:left="284" w:hanging="284"/>
      </w:pPr>
      <w:rPr>
        <w:rFonts w:ascii="Symbol" w:hAnsi="Symbol" w:hint="default"/>
        <w:sz w:val="18"/>
      </w:rPr>
    </w:lvl>
  </w:abstractNum>
  <w:abstractNum w:abstractNumId="36">
    <w:nsid w:val="68944223"/>
    <w:multiLevelType w:val="hybridMultilevel"/>
    <w:tmpl w:val="03146A06"/>
    <w:lvl w:ilvl="0" w:tplc="D4C2B8C2">
      <w:start w:val="1"/>
      <w:numFmt w:val="bullet"/>
      <w:lvlText w:val=""/>
      <w:lvlJc w:val="left"/>
      <w:pPr>
        <w:tabs>
          <w:tab w:val="num" w:pos="1440"/>
        </w:tabs>
        <w:ind w:left="1440" w:hanging="360"/>
      </w:pPr>
      <w:rPr>
        <w:rFonts w:ascii="Symbol" w:hAnsi="Symbol" w:hint="default"/>
        <w:color w:val="auto"/>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6BC23A38"/>
    <w:multiLevelType w:val="hybridMultilevel"/>
    <w:tmpl w:val="680064D2"/>
    <w:lvl w:ilvl="0" w:tplc="D4C2B8C2">
      <w:start w:val="1"/>
      <w:numFmt w:val="bullet"/>
      <w:lvlText w:val=""/>
      <w:lvlJc w:val="left"/>
      <w:pPr>
        <w:tabs>
          <w:tab w:val="num" w:pos="1440"/>
        </w:tabs>
        <w:ind w:left="1440" w:hanging="360"/>
      </w:pPr>
      <w:rPr>
        <w:rFonts w:ascii="Symbol" w:hAnsi="Symbol" w:hint="default"/>
        <w:color w:val="auto"/>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6C624CDC"/>
    <w:multiLevelType w:val="hybridMultilevel"/>
    <w:tmpl w:val="9F86735A"/>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nsid w:val="6CDB6980"/>
    <w:multiLevelType w:val="hybridMultilevel"/>
    <w:tmpl w:val="5BF8BDD2"/>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40">
    <w:nsid w:val="759A7698"/>
    <w:multiLevelType w:val="hybridMultilevel"/>
    <w:tmpl w:val="17C2C396"/>
    <w:lvl w:ilvl="0" w:tplc="DE90BD66">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nsid w:val="75D837A3"/>
    <w:multiLevelType w:val="hybridMultilevel"/>
    <w:tmpl w:val="3D22AE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787A37FE"/>
    <w:multiLevelType w:val="hybridMultilevel"/>
    <w:tmpl w:val="A2041A70"/>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3">
    <w:nsid w:val="7B4839BC"/>
    <w:multiLevelType w:val="hybridMultilevel"/>
    <w:tmpl w:val="D592C3EC"/>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7C1218D3"/>
    <w:multiLevelType w:val="singleLevel"/>
    <w:tmpl w:val="C58C0308"/>
    <w:lvl w:ilvl="0">
      <w:start w:val="1"/>
      <w:numFmt w:val="bullet"/>
      <w:lvlText w:val=""/>
      <w:lvlJc w:val="left"/>
      <w:pPr>
        <w:tabs>
          <w:tab w:val="num" w:pos="284"/>
        </w:tabs>
        <w:ind w:left="284" w:hanging="284"/>
      </w:pPr>
      <w:rPr>
        <w:rFonts w:ascii="Symbol" w:hAnsi="Symbol" w:hint="default"/>
        <w:sz w:val="18"/>
      </w:rPr>
    </w:lvl>
  </w:abstractNum>
  <w:abstractNum w:abstractNumId="45">
    <w:nsid w:val="7F2C1D7B"/>
    <w:multiLevelType w:val="hybridMultilevel"/>
    <w:tmpl w:val="5A04DF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5"/>
  </w:num>
  <w:num w:numId="2">
    <w:abstractNumId w:val="38"/>
  </w:num>
  <w:num w:numId="3">
    <w:abstractNumId w:val="16"/>
  </w:num>
  <w:num w:numId="4">
    <w:abstractNumId w:val="26"/>
  </w:num>
  <w:num w:numId="5">
    <w:abstractNumId w:val="24"/>
  </w:num>
  <w:num w:numId="6">
    <w:abstractNumId w:val="2"/>
  </w:num>
  <w:num w:numId="7">
    <w:abstractNumId w:val="42"/>
  </w:num>
  <w:num w:numId="8">
    <w:abstractNumId w:val="17"/>
  </w:num>
  <w:num w:numId="9">
    <w:abstractNumId w:val="4"/>
  </w:num>
  <w:num w:numId="10">
    <w:abstractNumId w:val="10"/>
  </w:num>
  <w:num w:numId="11">
    <w:abstractNumId w:val="32"/>
  </w:num>
  <w:num w:numId="12">
    <w:abstractNumId w:val="11"/>
  </w:num>
  <w:num w:numId="13">
    <w:abstractNumId w:val="30"/>
  </w:num>
  <w:num w:numId="14">
    <w:abstractNumId w:val="14"/>
  </w:num>
  <w:num w:numId="15">
    <w:abstractNumId w:val="34"/>
  </w:num>
  <w:num w:numId="16">
    <w:abstractNumId w:val="13"/>
  </w:num>
  <w:num w:numId="17">
    <w:abstractNumId w:val="12"/>
  </w:num>
  <w:num w:numId="18">
    <w:abstractNumId w:val="1"/>
  </w:num>
  <w:num w:numId="19">
    <w:abstractNumId w:val="37"/>
  </w:num>
  <w:num w:numId="20">
    <w:abstractNumId w:val="36"/>
  </w:num>
  <w:num w:numId="21">
    <w:abstractNumId w:val="6"/>
  </w:num>
  <w:num w:numId="22">
    <w:abstractNumId w:val="27"/>
  </w:num>
  <w:num w:numId="23">
    <w:abstractNumId w:val="33"/>
  </w:num>
  <w:num w:numId="24">
    <w:abstractNumId w:val="15"/>
  </w:num>
  <w:num w:numId="25">
    <w:abstractNumId w:val="3"/>
  </w:num>
  <w:num w:numId="26">
    <w:abstractNumId w:val="29"/>
  </w:num>
  <w:num w:numId="27">
    <w:abstractNumId w:val="43"/>
  </w:num>
  <w:num w:numId="28">
    <w:abstractNumId w:val="8"/>
  </w:num>
  <w:num w:numId="29">
    <w:abstractNumId w:val="35"/>
  </w:num>
  <w:num w:numId="30">
    <w:abstractNumId w:val="44"/>
  </w:num>
  <w:num w:numId="31">
    <w:abstractNumId w:val="28"/>
  </w:num>
  <w:num w:numId="32">
    <w:abstractNumId w:val="23"/>
  </w:num>
  <w:num w:numId="33">
    <w:abstractNumId w:val="31"/>
  </w:num>
  <w:num w:numId="34">
    <w:abstractNumId w:val="22"/>
  </w:num>
  <w:num w:numId="35">
    <w:abstractNumId w:val="40"/>
  </w:num>
  <w:num w:numId="36">
    <w:abstractNumId w:val="40"/>
    <w:lvlOverride w:ilvl="0">
      <w:startOverride w:val="1"/>
    </w:lvlOverride>
  </w:num>
  <w:num w:numId="37">
    <w:abstractNumId w:val="20"/>
  </w:num>
  <w:num w:numId="38">
    <w:abstractNumId w:val="0"/>
  </w:num>
  <w:num w:numId="39">
    <w:abstractNumId w:val="41"/>
  </w:num>
  <w:num w:numId="40">
    <w:abstractNumId w:val="9"/>
  </w:num>
  <w:num w:numId="41">
    <w:abstractNumId w:val="45"/>
  </w:num>
  <w:num w:numId="42">
    <w:abstractNumId w:val="21"/>
  </w:num>
  <w:num w:numId="43">
    <w:abstractNumId w:val="18"/>
  </w:num>
  <w:num w:numId="44">
    <w:abstractNumId w:val="5"/>
  </w:num>
  <w:num w:numId="45">
    <w:abstractNumId w:val="39"/>
  </w:num>
  <w:num w:numId="46">
    <w:abstractNumId w:val="7"/>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revisionView w:inkAnnotations="0"/>
  <w:defaultTabStop w:val="567"/>
  <w:evenAndOddHeaders/>
  <w:noPunctuationKerning/>
  <w:characterSpacingControl w:val="doNotCompress"/>
  <w:hdrShapeDefaults>
    <o:shapedefaults v:ext="edit" spidmax="2049">
      <o:colormru v:ext="edit" colors="#00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8B7"/>
    <w:rsid w:val="000123DF"/>
    <w:rsid w:val="00043696"/>
    <w:rsid w:val="00075ED0"/>
    <w:rsid w:val="00095852"/>
    <w:rsid w:val="000A6BCB"/>
    <w:rsid w:val="000B1E21"/>
    <w:rsid w:val="000B6957"/>
    <w:rsid w:val="000B6BD8"/>
    <w:rsid w:val="000C3F39"/>
    <w:rsid w:val="000C3FA7"/>
    <w:rsid w:val="000C68D3"/>
    <w:rsid w:val="000D0170"/>
    <w:rsid w:val="000E093C"/>
    <w:rsid w:val="000E4E05"/>
    <w:rsid w:val="000E5175"/>
    <w:rsid w:val="000F1B71"/>
    <w:rsid w:val="000F265B"/>
    <w:rsid w:val="000F4648"/>
    <w:rsid w:val="001009C3"/>
    <w:rsid w:val="00105DB9"/>
    <w:rsid w:val="001158C2"/>
    <w:rsid w:val="001175B4"/>
    <w:rsid w:val="0012142B"/>
    <w:rsid w:val="001227B0"/>
    <w:rsid w:val="00123376"/>
    <w:rsid w:val="00130CE3"/>
    <w:rsid w:val="001336C6"/>
    <w:rsid w:val="00137BE7"/>
    <w:rsid w:val="00142C45"/>
    <w:rsid w:val="00145424"/>
    <w:rsid w:val="00145D5F"/>
    <w:rsid w:val="00163148"/>
    <w:rsid w:val="001705DC"/>
    <w:rsid w:val="0018777F"/>
    <w:rsid w:val="001925EF"/>
    <w:rsid w:val="001A3A19"/>
    <w:rsid w:val="001A7512"/>
    <w:rsid w:val="001E1749"/>
    <w:rsid w:val="001F5811"/>
    <w:rsid w:val="00206DC0"/>
    <w:rsid w:val="002222BC"/>
    <w:rsid w:val="002233D8"/>
    <w:rsid w:val="00240554"/>
    <w:rsid w:val="00246193"/>
    <w:rsid w:val="00251EEF"/>
    <w:rsid w:val="002542A3"/>
    <w:rsid w:val="00254ED0"/>
    <w:rsid w:val="00255D89"/>
    <w:rsid w:val="0026708A"/>
    <w:rsid w:val="00271166"/>
    <w:rsid w:val="00272F4E"/>
    <w:rsid w:val="00281EAA"/>
    <w:rsid w:val="00285375"/>
    <w:rsid w:val="0028738D"/>
    <w:rsid w:val="00296F98"/>
    <w:rsid w:val="002A35E8"/>
    <w:rsid w:val="002A38BC"/>
    <w:rsid w:val="002B024D"/>
    <w:rsid w:val="002B0836"/>
    <w:rsid w:val="002B34DC"/>
    <w:rsid w:val="002C1F8F"/>
    <w:rsid w:val="002C2F36"/>
    <w:rsid w:val="002C3EA2"/>
    <w:rsid w:val="003005BD"/>
    <w:rsid w:val="003030F4"/>
    <w:rsid w:val="003046F0"/>
    <w:rsid w:val="00306307"/>
    <w:rsid w:val="00307CE5"/>
    <w:rsid w:val="0031520E"/>
    <w:rsid w:val="00324371"/>
    <w:rsid w:val="00334085"/>
    <w:rsid w:val="00343CC9"/>
    <w:rsid w:val="00351AC8"/>
    <w:rsid w:val="003579BD"/>
    <w:rsid w:val="00363CA9"/>
    <w:rsid w:val="00367836"/>
    <w:rsid w:val="0037123E"/>
    <w:rsid w:val="003717C9"/>
    <w:rsid w:val="003731B9"/>
    <w:rsid w:val="00373F1D"/>
    <w:rsid w:val="0037452C"/>
    <w:rsid w:val="00377C88"/>
    <w:rsid w:val="00377F02"/>
    <w:rsid w:val="0038143C"/>
    <w:rsid w:val="00385B73"/>
    <w:rsid w:val="003A0523"/>
    <w:rsid w:val="003A128B"/>
    <w:rsid w:val="003A21EA"/>
    <w:rsid w:val="003A779C"/>
    <w:rsid w:val="003B145F"/>
    <w:rsid w:val="003B7FA2"/>
    <w:rsid w:val="003D4A3B"/>
    <w:rsid w:val="003E6828"/>
    <w:rsid w:val="003F0969"/>
    <w:rsid w:val="003F471C"/>
    <w:rsid w:val="00400BA9"/>
    <w:rsid w:val="004014CB"/>
    <w:rsid w:val="00410951"/>
    <w:rsid w:val="0041467A"/>
    <w:rsid w:val="00422469"/>
    <w:rsid w:val="00423830"/>
    <w:rsid w:val="004378E8"/>
    <w:rsid w:val="00440BC8"/>
    <w:rsid w:val="00443649"/>
    <w:rsid w:val="0044399D"/>
    <w:rsid w:val="004440A2"/>
    <w:rsid w:val="004518F6"/>
    <w:rsid w:val="004535A4"/>
    <w:rsid w:val="00477783"/>
    <w:rsid w:val="00482A9C"/>
    <w:rsid w:val="004845E0"/>
    <w:rsid w:val="0048760A"/>
    <w:rsid w:val="00492913"/>
    <w:rsid w:val="004A6CC1"/>
    <w:rsid w:val="004B28B7"/>
    <w:rsid w:val="004B368D"/>
    <w:rsid w:val="004B57F3"/>
    <w:rsid w:val="004D17ED"/>
    <w:rsid w:val="004E420D"/>
    <w:rsid w:val="004E785C"/>
    <w:rsid w:val="005132E5"/>
    <w:rsid w:val="005243E3"/>
    <w:rsid w:val="00525F48"/>
    <w:rsid w:val="005363DD"/>
    <w:rsid w:val="00545BA3"/>
    <w:rsid w:val="00546D2C"/>
    <w:rsid w:val="00554E9C"/>
    <w:rsid w:val="00555074"/>
    <w:rsid w:val="005559D9"/>
    <w:rsid w:val="00560222"/>
    <w:rsid w:val="00563001"/>
    <w:rsid w:val="00577711"/>
    <w:rsid w:val="00582EA7"/>
    <w:rsid w:val="0058606E"/>
    <w:rsid w:val="00590D07"/>
    <w:rsid w:val="005950A6"/>
    <w:rsid w:val="005958F2"/>
    <w:rsid w:val="00597F47"/>
    <w:rsid w:val="005B2223"/>
    <w:rsid w:val="005D3D35"/>
    <w:rsid w:val="005E2D49"/>
    <w:rsid w:val="005E44CE"/>
    <w:rsid w:val="0060354D"/>
    <w:rsid w:val="006140C0"/>
    <w:rsid w:val="00620375"/>
    <w:rsid w:val="00622810"/>
    <w:rsid w:val="006306C9"/>
    <w:rsid w:val="006339A0"/>
    <w:rsid w:val="00640014"/>
    <w:rsid w:val="00644953"/>
    <w:rsid w:val="00660E5F"/>
    <w:rsid w:val="00672B8B"/>
    <w:rsid w:val="00673303"/>
    <w:rsid w:val="006744E6"/>
    <w:rsid w:val="00676929"/>
    <w:rsid w:val="00680D2D"/>
    <w:rsid w:val="006819B0"/>
    <w:rsid w:val="00686753"/>
    <w:rsid w:val="006A2250"/>
    <w:rsid w:val="006A65B7"/>
    <w:rsid w:val="006C1FB8"/>
    <w:rsid w:val="006C407C"/>
    <w:rsid w:val="006D1FA2"/>
    <w:rsid w:val="006D2458"/>
    <w:rsid w:val="006F506B"/>
    <w:rsid w:val="006F544C"/>
    <w:rsid w:val="00737F49"/>
    <w:rsid w:val="00740786"/>
    <w:rsid w:val="0074188F"/>
    <w:rsid w:val="00760E80"/>
    <w:rsid w:val="00761961"/>
    <w:rsid w:val="00766D1F"/>
    <w:rsid w:val="00771B0E"/>
    <w:rsid w:val="00783974"/>
    <w:rsid w:val="00783D9C"/>
    <w:rsid w:val="00790152"/>
    <w:rsid w:val="007A21D3"/>
    <w:rsid w:val="007A428B"/>
    <w:rsid w:val="007B45B9"/>
    <w:rsid w:val="007C3953"/>
    <w:rsid w:val="007D261E"/>
    <w:rsid w:val="007D28E6"/>
    <w:rsid w:val="007D54FF"/>
    <w:rsid w:val="007E44CF"/>
    <w:rsid w:val="007E53A8"/>
    <w:rsid w:val="007E5F4D"/>
    <w:rsid w:val="007F366E"/>
    <w:rsid w:val="00801FF3"/>
    <w:rsid w:val="0080616C"/>
    <w:rsid w:val="008067DF"/>
    <w:rsid w:val="0080749B"/>
    <w:rsid w:val="0081034D"/>
    <w:rsid w:val="00813CF6"/>
    <w:rsid w:val="0081671E"/>
    <w:rsid w:val="00832071"/>
    <w:rsid w:val="008348B7"/>
    <w:rsid w:val="008357B6"/>
    <w:rsid w:val="00836F81"/>
    <w:rsid w:val="00842851"/>
    <w:rsid w:val="0084791E"/>
    <w:rsid w:val="0085124D"/>
    <w:rsid w:val="0086178A"/>
    <w:rsid w:val="008619D3"/>
    <w:rsid w:val="00871DCD"/>
    <w:rsid w:val="00874284"/>
    <w:rsid w:val="00874CFF"/>
    <w:rsid w:val="00876FB8"/>
    <w:rsid w:val="008772CA"/>
    <w:rsid w:val="00880305"/>
    <w:rsid w:val="008911F1"/>
    <w:rsid w:val="008B5992"/>
    <w:rsid w:val="008C6C9F"/>
    <w:rsid w:val="008D2C1F"/>
    <w:rsid w:val="008E18DB"/>
    <w:rsid w:val="008F2E4A"/>
    <w:rsid w:val="008F7A81"/>
    <w:rsid w:val="0090028B"/>
    <w:rsid w:val="00902F19"/>
    <w:rsid w:val="009126F6"/>
    <w:rsid w:val="00920A63"/>
    <w:rsid w:val="00923D37"/>
    <w:rsid w:val="00925481"/>
    <w:rsid w:val="0092659B"/>
    <w:rsid w:val="009401CC"/>
    <w:rsid w:val="0094065C"/>
    <w:rsid w:val="00942757"/>
    <w:rsid w:val="00943BA5"/>
    <w:rsid w:val="00946F08"/>
    <w:rsid w:val="00947E2E"/>
    <w:rsid w:val="0095076C"/>
    <w:rsid w:val="00950A4A"/>
    <w:rsid w:val="00952AF0"/>
    <w:rsid w:val="009602C6"/>
    <w:rsid w:val="0096611D"/>
    <w:rsid w:val="00973036"/>
    <w:rsid w:val="009842E4"/>
    <w:rsid w:val="009874FB"/>
    <w:rsid w:val="00993F56"/>
    <w:rsid w:val="009948F8"/>
    <w:rsid w:val="009A3D52"/>
    <w:rsid w:val="009A5DAD"/>
    <w:rsid w:val="009B5859"/>
    <w:rsid w:val="009C39E2"/>
    <w:rsid w:val="009E07A9"/>
    <w:rsid w:val="009F1222"/>
    <w:rsid w:val="009F1BFF"/>
    <w:rsid w:val="009F4949"/>
    <w:rsid w:val="009F4CBC"/>
    <w:rsid w:val="00A0032E"/>
    <w:rsid w:val="00A00DBD"/>
    <w:rsid w:val="00A14C1E"/>
    <w:rsid w:val="00A2337F"/>
    <w:rsid w:val="00A27B28"/>
    <w:rsid w:val="00A31F67"/>
    <w:rsid w:val="00A3619A"/>
    <w:rsid w:val="00A41A77"/>
    <w:rsid w:val="00A510AD"/>
    <w:rsid w:val="00A655A6"/>
    <w:rsid w:val="00A7037D"/>
    <w:rsid w:val="00A71902"/>
    <w:rsid w:val="00A821D8"/>
    <w:rsid w:val="00A8585C"/>
    <w:rsid w:val="00A90DA7"/>
    <w:rsid w:val="00A92321"/>
    <w:rsid w:val="00AA7466"/>
    <w:rsid w:val="00AB0789"/>
    <w:rsid w:val="00AB1FC9"/>
    <w:rsid w:val="00AE57D5"/>
    <w:rsid w:val="00AE710D"/>
    <w:rsid w:val="00AF78CC"/>
    <w:rsid w:val="00B102DF"/>
    <w:rsid w:val="00B220C1"/>
    <w:rsid w:val="00B242C0"/>
    <w:rsid w:val="00B30B70"/>
    <w:rsid w:val="00B52D24"/>
    <w:rsid w:val="00B530A4"/>
    <w:rsid w:val="00B57C49"/>
    <w:rsid w:val="00B61631"/>
    <w:rsid w:val="00B65B0A"/>
    <w:rsid w:val="00B7079A"/>
    <w:rsid w:val="00B70D1A"/>
    <w:rsid w:val="00B73088"/>
    <w:rsid w:val="00B75827"/>
    <w:rsid w:val="00B75C16"/>
    <w:rsid w:val="00B86FF2"/>
    <w:rsid w:val="00B92AC6"/>
    <w:rsid w:val="00B94CCA"/>
    <w:rsid w:val="00B958CC"/>
    <w:rsid w:val="00B96CEA"/>
    <w:rsid w:val="00BB2D0C"/>
    <w:rsid w:val="00BC2FB8"/>
    <w:rsid w:val="00BC4B9D"/>
    <w:rsid w:val="00BC6094"/>
    <w:rsid w:val="00BC61BF"/>
    <w:rsid w:val="00BD22FC"/>
    <w:rsid w:val="00BD23EA"/>
    <w:rsid w:val="00BD711E"/>
    <w:rsid w:val="00BE3BEA"/>
    <w:rsid w:val="00BE5D75"/>
    <w:rsid w:val="00BF23CB"/>
    <w:rsid w:val="00C05555"/>
    <w:rsid w:val="00C07E3F"/>
    <w:rsid w:val="00C169F3"/>
    <w:rsid w:val="00C25485"/>
    <w:rsid w:val="00C260A1"/>
    <w:rsid w:val="00C32E23"/>
    <w:rsid w:val="00C34608"/>
    <w:rsid w:val="00C37086"/>
    <w:rsid w:val="00C44CE3"/>
    <w:rsid w:val="00C5449C"/>
    <w:rsid w:val="00C60C5C"/>
    <w:rsid w:val="00C63124"/>
    <w:rsid w:val="00C8457A"/>
    <w:rsid w:val="00CA2A9E"/>
    <w:rsid w:val="00CA41F2"/>
    <w:rsid w:val="00CB6E4F"/>
    <w:rsid w:val="00CC140B"/>
    <w:rsid w:val="00CC3C38"/>
    <w:rsid w:val="00CD373C"/>
    <w:rsid w:val="00CD6D75"/>
    <w:rsid w:val="00CE636E"/>
    <w:rsid w:val="00CE689C"/>
    <w:rsid w:val="00CE689F"/>
    <w:rsid w:val="00CF580E"/>
    <w:rsid w:val="00CF7EBD"/>
    <w:rsid w:val="00D0569E"/>
    <w:rsid w:val="00D1061D"/>
    <w:rsid w:val="00D20C0C"/>
    <w:rsid w:val="00D24A2A"/>
    <w:rsid w:val="00D307BA"/>
    <w:rsid w:val="00D30984"/>
    <w:rsid w:val="00D36191"/>
    <w:rsid w:val="00D40578"/>
    <w:rsid w:val="00D518A4"/>
    <w:rsid w:val="00D52304"/>
    <w:rsid w:val="00D532EE"/>
    <w:rsid w:val="00D56D8D"/>
    <w:rsid w:val="00D67409"/>
    <w:rsid w:val="00D67D08"/>
    <w:rsid w:val="00D738F0"/>
    <w:rsid w:val="00D76A3D"/>
    <w:rsid w:val="00D77A3F"/>
    <w:rsid w:val="00D81249"/>
    <w:rsid w:val="00D96F46"/>
    <w:rsid w:val="00DA050F"/>
    <w:rsid w:val="00DA12D6"/>
    <w:rsid w:val="00DA1DDB"/>
    <w:rsid w:val="00DA30E7"/>
    <w:rsid w:val="00DA5318"/>
    <w:rsid w:val="00DA56D5"/>
    <w:rsid w:val="00DD2C28"/>
    <w:rsid w:val="00DD748F"/>
    <w:rsid w:val="00DE5ADA"/>
    <w:rsid w:val="00DF0496"/>
    <w:rsid w:val="00E062F3"/>
    <w:rsid w:val="00E12563"/>
    <w:rsid w:val="00E2207D"/>
    <w:rsid w:val="00E2772A"/>
    <w:rsid w:val="00E27894"/>
    <w:rsid w:val="00E362D1"/>
    <w:rsid w:val="00E40493"/>
    <w:rsid w:val="00E43A89"/>
    <w:rsid w:val="00E44733"/>
    <w:rsid w:val="00E5476D"/>
    <w:rsid w:val="00E54AB1"/>
    <w:rsid w:val="00E812C4"/>
    <w:rsid w:val="00E92CBA"/>
    <w:rsid w:val="00E93AE4"/>
    <w:rsid w:val="00E960C8"/>
    <w:rsid w:val="00EA5579"/>
    <w:rsid w:val="00EB1603"/>
    <w:rsid w:val="00EB1B10"/>
    <w:rsid w:val="00EB461E"/>
    <w:rsid w:val="00ED15B8"/>
    <w:rsid w:val="00ED414F"/>
    <w:rsid w:val="00EE1FAA"/>
    <w:rsid w:val="00EE6CE2"/>
    <w:rsid w:val="00EF1CA8"/>
    <w:rsid w:val="00EF20E5"/>
    <w:rsid w:val="00EF3820"/>
    <w:rsid w:val="00F014E3"/>
    <w:rsid w:val="00F06432"/>
    <w:rsid w:val="00F11884"/>
    <w:rsid w:val="00F27050"/>
    <w:rsid w:val="00F41F04"/>
    <w:rsid w:val="00F44338"/>
    <w:rsid w:val="00F45052"/>
    <w:rsid w:val="00F5377E"/>
    <w:rsid w:val="00F57118"/>
    <w:rsid w:val="00F612A9"/>
    <w:rsid w:val="00F6682D"/>
    <w:rsid w:val="00F74042"/>
    <w:rsid w:val="00F75AA1"/>
    <w:rsid w:val="00F824C7"/>
    <w:rsid w:val="00F9005E"/>
    <w:rsid w:val="00FA5B0D"/>
    <w:rsid w:val="00FA6AD2"/>
    <w:rsid w:val="00FC3B66"/>
    <w:rsid w:val="00FC4D37"/>
    <w:rsid w:val="00FE363D"/>
    <w:rsid w:val="00FE54F2"/>
    <w:rsid w:val="00FF271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9A0"/>
    <w:pPr>
      <w:spacing w:line="276" w:lineRule="auto"/>
    </w:pPr>
    <w:rPr>
      <w:rFonts w:ascii="Georgia" w:hAnsi="Georgia"/>
      <w:sz w:val="21"/>
      <w:szCs w:val="24"/>
      <w:lang w:eastAsia="en-US"/>
    </w:rPr>
  </w:style>
  <w:style w:type="paragraph" w:styleId="Heading1">
    <w:name w:val="heading 1"/>
    <w:basedOn w:val="Normal"/>
    <w:next w:val="Normal"/>
    <w:qFormat/>
    <w:rsid w:val="00324371"/>
    <w:pPr>
      <w:spacing w:after="240"/>
      <w:ind w:left="851" w:hanging="851"/>
      <w:outlineLvl w:val="0"/>
    </w:pPr>
    <w:rPr>
      <w:rFonts w:cs="Arial"/>
      <w:b/>
      <w:bCs/>
      <w:sz w:val="56"/>
      <w:szCs w:val="48"/>
    </w:rPr>
  </w:style>
  <w:style w:type="paragraph" w:styleId="Heading2">
    <w:name w:val="heading 2"/>
    <w:basedOn w:val="Normal"/>
    <w:next w:val="Normal"/>
    <w:qFormat/>
    <w:rsid w:val="002233D8"/>
    <w:pPr>
      <w:keepNext/>
      <w:spacing w:before="360" w:after="120"/>
      <w:outlineLvl w:val="1"/>
    </w:pPr>
    <w:rPr>
      <w:rFonts w:cs="Arial"/>
      <w:b/>
      <w:bCs/>
      <w:iCs/>
      <w:sz w:val="36"/>
      <w:szCs w:val="28"/>
    </w:rPr>
  </w:style>
  <w:style w:type="paragraph" w:styleId="Heading3">
    <w:name w:val="heading 3"/>
    <w:basedOn w:val="Normal"/>
    <w:next w:val="Normal"/>
    <w:qFormat/>
    <w:rsid w:val="0090028B"/>
    <w:pPr>
      <w:keepNext/>
      <w:spacing w:before="360" w:after="120"/>
      <w:outlineLvl w:val="2"/>
    </w:pPr>
    <w:rPr>
      <w:rFonts w:cs="Arial"/>
      <w:b/>
      <w:bCs/>
      <w:sz w:val="28"/>
      <w:szCs w:val="26"/>
    </w:rPr>
  </w:style>
  <w:style w:type="paragraph" w:styleId="Heading4">
    <w:name w:val="heading 4"/>
    <w:basedOn w:val="Normal"/>
    <w:next w:val="Normal"/>
    <w:link w:val="Heading4Char"/>
    <w:uiPriority w:val="9"/>
    <w:unhideWhenUsed/>
    <w:qFormat/>
    <w:rsid w:val="00EE6CE2"/>
    <w:pPr>
      <w:keepNext/>
      <w:spacing w:before="120" w:after="120"/>
      <w:outlineLvl w:val="3"/>
    </w:pPr>
    <w:rPr>
      <w:rFonts w:eastAsiaTheme="majorEastAsia"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76FB8"/>
    <w:rPr>
      <w:color w:val="auto"/>
      <w:u w:val="none"/>
    </w:rPr>
  </w:style>
  <w:style w:type="paragraph" w:styleId="FootnoteText">
    <w:name w:val="footnote text"/>
    <w:basedOn w:val="Normal"/>
    <w:link w:val="FootnoteTextChar"/>
    <w:uiPriority w:val="99"/>
    <w:semiHidden/>
    <w:rsid w:val="00680D2D"/>
    <w:pPr>
      <w:spacing w:before="60"/>
      <w:ind w:left="284" w:hanging="284"/>
    </w:pPr>
    <w:rPr>
      <w:sz w:val="18"/>
      <w:szCs w:val="20"/>
    </w:rPr>
  </w:style>
  <w:style w:type="character" w:styleId="FootnoteReference">
    <w:name w:val="footnote reference"/>
    <w:uiPriority w:val="99"/>
    <w:semiHidden/>
    <w:rsid w:val="00240554"/>
    <w:rPr>
      <w:vertAlign w:val="superscript"/>
    </w:rPr>
  </w:style>
  <w:style w:type="paragraph" w:styleId="Header">
    <w:name w:val="header"/>
    <w:basedOn w:val="Normal"/>
    <w:rsid w:val="0074188F"/>
  </w:style>
  <w:style w:type="paragraph" w:styleId="Footer">
    <w:name w:val="footer"/>
    <w:basedOn w:val="Normal"/>
    <w:rsid w:val="0092659B"/>
    <w:pPr>
      <w:tabs>
        <w:tab w:val="right" w:pos="8647"/>
        <w:tab w:val="right" w:pos="9356"/>
      </w:tabs>
    </w:pPr>
    <w:rPr>
      <w:sz w:val="20"/>
    </w:rPr>
  </w:style>
  <w:style w:type="table" w:styleId="TableGrid">
    <w:name w:val="Table Grid"/>
    <w:basedOn w:val="TableNormal"/>
    <w:uiPriority w:val="59"/>
    <w:rsid w:val="005777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rsid w:val="00C63124"/>
    <w:pPr>
      <w:keepNext/>
      <w:spacing w:before="120" w:after="120"/>
    </w:pPr>
    <w:rPr>
      <w:b/>
    </w:rPr>
  </w:style>
  <w:style w:type="paragraph" w:customStyle="1" w:styleId="Note">
    <w:name w:val="Note"/>
    <w:basedOn w:val="Normal"/>
    <w:link w:val="NoteChar"/>
    <w:qFormat/>
    <w:rsid w:val="00D76A3D"/>
    <w:pPr>
      <w:pBdr>
        <w:bottom w:val="single" w:sz="18" w:space="6" w:color="808080"/>
      </w:pBdr>
      <w:spacing w:before="60"/>
      <w:ind w:left="284" w:hanging="284"/>
    </w:pPr>
    <w:rPr>
      <w:rFonts w:ascii="Arial" w:hAnsi="Arial"/>
      <w:sz w:val="18"/>
      <w:szCs w:val="22"/>
      <w:lang w:eastAsia="en-GB"/>
    </w:rPr>
  </w:style>
  <w:style w:type="paragraph" w:customStyle="1" w:styleId="Bullet">
    <w:name w:val="Bullet"/>
    <w:basedOn w:val="Normal"/>
    <w:link w:val="BulletChar"/>
    <w:qFormat/>
    <w:rsid w:val="004378E8"/>
    <w:pPr>
      <w:numPr>
        <w:numId w:val="15"/>
      </w:numPr>
      <w:spacing w:before="90"/>
    </w:pPr>
  </w:style>
  <w:style w:type="character" w:styleId="PageNumber">
    <w:name w:val="page number"/>
    <w:rsid w:val="0092659B"/>
    <w:rPr>
      <w:color w:val="auto"/>
      <w:sz w:val="24"/>
    </w:rPr>
  </w:style>
  <w:style w:type="paragraph" w:customStyle="1" w:styleId="TableText">
    <w:name w:val="TableText"/>
    <w:basedOn w:val="Normal"/>
    <w:qFormat/>
    <w:rsid w:val="00952AF0"/>
    <w:pPr>
      <w:spacing w:before="80" w:after="80"/>
    </w:pPr>
    <w:rPr>
      <w:sz w:val="18"/>
    </w:rPr>
  </w:style>
  <w:style w:type="paragraph" w:customStyle="1" w:styleId="Source">
    <w:name w:val="Source"/>
    <w:basedOn w:val="Normal"/>
    <w:next w:val="Normal"/>
    <w:qFormat/>
    <w:rsid w:val="00950A4A"/>
    <w:pPr>
      <w:spacing w:before="60"/>
    </w:pPr>
    <w:rPr>
      <w:sz w:val="18"/>
    </w:rPr>
  </w:style>
  <w:style w:type="paragraph" w:customStyle="1" w:styleId="References">
    <w:name w:val="References"/>
    <w:basedOn w:val="Normal"/>
    <w:qFormat/>
    <w:rsid w:val="000D0170"/>
    <w:pPr>
      <w:spacing w:after="120"/>
    </w:pPr>
    <w:rPr>
      <w:sz w:val="18"/>
    </w:rPr>
  </w:style>
  <w:style w:type="paragraph" w:customStyle="1" w:styleId="BoxHeading">
    <w:name w:val="BoxHeading"/>
    <w:basedOn w:val="Normal"/>
    <w:qFormat/>
    <w:rsid w:val="0092659B"/>
    <w:pPr>
      <w:pBdr>
        <w:top w:val="single" w:sz="4" w:space="12" w:color="auto"/>
        <w:left w:val="single" w:sz="4" w:space="12" w:color="auto"/>
        <w:bottom w:val="single" w:sz="4" w:space="12" w:color="auto"/>
        <w:right w:val="single" w:sz="4" w:space="12" w:color="auto"/>
      </w:pBdr>
      <w:spacing w:before="120" w:after="120" w:line="264" w:lineRule="auto"/>
      <w:ind w:left="284" w:right="284"/>
    </w:pPr>
    <w:rPr>
      <w:b/>
      <w:sz w:val="28"/>
      <w:szCs w:val="20"/>
      <w:lang w:eastAsia="en-GB"/>
    </w:rPr>
  </w:style>
  <w:style w:type="paragraph" w:customStyle="1" w:styleId="BoxBullet">
    <w:name w:val="BoxBullet"/>
    <w:basedOn w:val="Normal"/>
    <w:qFormat/>
    <w:rsid w:val="0092659B"/>
    <w:pPr>
      <w:numPr>
        <w:numId w:val="29"/>
      </w:numPr>
      <w:pBdr>
        <w:top w:val="single" w:sz="4" w:space="12" w:color="auto"/>
        <w:left w:val="single" w:sz="4" w:space="12" w:color="auto"/>
        <w:bottom w:val="single" w:sz="4" w:space="12" w:color="auto"/>
        <w:right w:val="single" w:sz="4" w:space="12" w:color="auto"/>
      </w:pBdr>
      <w:tabs>
        <w:tab w:val="clear" w:pos="360"/>
        <w:tab w:val="num" w:pos="567"/>
      </w:tabs>
      <w:spacing w:before="120" w:after="120" w:line="264" w:lineRule="auto"/>
      <w:ind w:left="567" w:right="284" w:hanging="283"/>
    </w:pPr>
    <w:rPr>
      <w:sz w:val="22"/>
      <w:szCs w:val="20"/>
      <w:lang w:eastAsia="en-GB"/>
    </w:rPr>
  </w:style>
  <w:style w:type="character" w:customStyle="1" w:styleId="BulletChar">
    <w:name w:val="Bullet Char"/>
    <w:link w:val="Bullet"/>
    <w:locked/>
    <w:rsid w:val="004378E8"/>
    <w:rPr>
      <w:rFonts w:ascii="Georgia" w:hAnsi="Georgia"/>
      <w:sz w:val="21"/>
      <w:szCs w:val="24"/>
      <w:lang w:eastAsia="en-US"/>
    </w:rPr>
  </w:style>
  <w:style w:type="character" w:customStyle="1" w:styleId="Heading4Char">
    <w:name w:val="Heading 4 Char"/>
    <w:basedOn w:val="DefaultParagraphFont"/>
    <w:link w:val="Heading4"/>
    <w:uiPriority w:val="9"/>
    <w:rsid w:val="00EE6CE2"/>
    <w:rPr>
      <w:rFonts w:ascii="Georgia" w:eastAsiaTheme="majorEastAsia" w:hAnsi="Georgia" w:cstheme="majorBidi"/>
      <w:b/>
      <w:bCs/>
      <w:iCs/>
      <w:sz w:val="24"/>
      <w:szCs w:val="24"/>
      <w:lang w:eastAsia="en-US"/>
    </w:rPr>
  </w:style>
  <w:style w:type="character" w:customStyle="1" w:styleId="FootnoteTextChar">
    <w:name w:val="Footnote Text Char"/>
    <w:link w:val="FootnoteText"/>
    <w:uiPriority w:val="99"/>
    <w:semiHidden/>
    <w:rsid w:val="00EB461E"/>
    <w:rPr>
      <w:rFonts w:ascii="Georgia" w:hAnsi="Georgia"/>
      <w:sz w:val="18"/>
      <w:lang w:eastAsia="en-US"/>
    </w:rPr>
  </w:style>
  <w:style w:type="paragraph" w:styleId="TOC1">
    <w:name w:val="toc 1"/>
    <w:basedOn w:val="Normal"/>
    <w:next w:val="Normal"/>
    <w:uiPriority w:val="39"/>
    <w:unhideWhenUsed/>
    <w:qFormat/>
    <w:rsid w:val="008911F1"/>
    <w:pPr>
      <w:tabs>
        <w:tab w:val="left" w:pos="567"/>
        <w:tab w:val="right" w:pos="9356"/>
      </w:tabs>
      <w:spacing w:before="240"/>
      <w:ind w:left="567" w:right="567" w:hanging="567"/>
    </w:pPr>
    <w:rPr>
      <w:sz w:val="22"/>
      <w:szCs w:val="22"/>
      <w:lang w:eastAsia="en-AU"/>
    </w:rPr>
  </w:style>
  <w:style w:type="paragraph" w:styleId="TOC2">
    <w:name w:val="toc 2"/>
    <w:basedOn w:val="Normal"/>
    <w:next w:val="Normal"/>
    <w:uiPriority w:val="39"/>
    <w:unhideWhenUsed/>
    <w:qFormat/>
    <w:rsid w:val="008911F1"/>
    <w:pPr>
      <w:tabs>
        <w:tab w:val="left" w:pos="1134"/>
        <w:tab w:val="right" w:pos="9356"/>
      </w:tabs>
      <w:spacing w:before="120"/>
      <w:ind w:left="1134" w:right="567" w:hanging="567"/>
    </w:pPr>
    <w:rPr>
      <w:sz w:val="22"/>
      <w:szCs w:val="22"/>
      <w:lang w:eastAsia="en-AU"/>
    </w:rPr>
  </w:style>
  <w:style w:type="paragraph" w:customStyle="1" w:styleId="Dash">
    <w:name w:val="Dash"/>
    <w:basedOn w:val="Normal"/>
    <w:link w:val="DashChar"/>
    <w:qFormat/>
    <w:rsid w:val="00EE6CE2"/>
    <w:pPr>
      <w:numPr>
        <w:numId w:val="33"/>
      </w:numPr>
      <w:spacing w:before="60"/>
      <w:ind w:left="568" w:hanging="284"/>
    </w:pPr>
    <w:rPr>
      <w:rFonts w:eastAsia="Calibri" w:cs="Arial Mäori"/>
      <w:szCs w:val="22"/>
      <w:lang w:eastAsia="en-NZ"/>
    </w:rPr>
  </w:style>
  <w:style w:type="character" w:customStyle="1" w:styleId="DashChar">
    <w:name w:val="Dash Char"/>
    <w:link w:val="Dash"/>
    <w:rsid w:val="00EE6CE2"/>
    <w:rPr>
      <w:rFonts w:ascii="Georgia" w:eastAsia="Calibri" w:hAnsi="Georgia" w:cs="Arial Mäori"/>
      <w:sz w:val="21"/>
      <w:szCs w:val="22"/>
    </w:rPr>
  </w:style>
  <w:style w:type="paragraph" w:customStyle="1" w:styleId="Box">
    <w:name w:val="Box"/>
    <w:basedOn w:val="BoxHeading"/>
    <w:link w:val="BoxChar"/>
    <w:qFormat/>
    <w:rsid w:val="00EB461E"/>
    <w:pPr>
      <w:spacing w:line="276" w:lineRule="auto"/>
    </w:pPr>
    <w:rPr>
      <w:rFonts w:eastAsia="Calibri"/>
      <w:b w:val="0"/>
      <w:sz w:val="22"/>
      <w:szCs w:val="22"/>
      <w:lang w:eastAsia="en-NZ"/>
    </w:rPr>
  </w:style>
  <w:style w:type="character" w:customStyle="1" w:styleId="BoxChar">
    <w:name w:val="Box Char"/>
    <w:link w:val="Box"/>
    <w:rsid w:val="00EB461E"/>
    <w:rPr>
      <w:rFonts w:ascii="Georgia" w:eastAsia="Calibri" w:hAnsi="Georgia"/>
      <w:sz w:val="22"/>
      <w:szCs w:val="22"/>
    </w:rPr>
  </w:style>
  <w:style w:type="character" w:customStyle="1" w:styleId="NoteChar">
    <w:name w:val="Note Char"/>
    <w:link w:val="Note"/>
    <w:rsid w:val="00EB461E"/>
    <w:rPr>
      <w:rFonts w:ascii="Arial" w:hAnsi="Arial"/>
      <w:sz w:val="18"/>
      <w:szCs w:val="22"/>
      <w:lang w:eastAsia="en-GB"/>
    </w:rPr>
  </w:style>
  <w:style w:type="paragraph" w:customStyle="1" w:styleId="Table">
    <w:name w:val="Table"/>
    <w:basedOn w:val="Normal"/>
    <w:qFormat/>
    <w:rsid w:val="00E062F3"/>
    <w:pPr>
      <w:keepNext/>
      <w:spacing w:before="120" w:after="120"/>
    </w:pPr>
    <w:rPr>
      <w:b/>
    </w:rPr>
  </w:style>
  <w:style w:type="paragraph" w:customStyle="1" w:styleId="TableBullet">
    <w:name w:val="TableBullet"/>
    <w:basedOn w:val="TableText"/>
    <w:qFormat/>
    <w:rsid w:val="00CE689C"/>
    <w:pPr>
      <w:numPr>
        <w:numId w:val="43"/>
      </w:numPr>
      <w:spacing w:before="0"/>
      <w:ind w:left="284" w:hanging="284"/>
    </w:pPr>
    <w:rPr>
      <w:szCs w:val="20"/>
    </w:rPr>
  </w:style>
  <w:style w:type="paragraph" w:styleId="Title">
    <w:name w:val="Title"/>
    <w:basedOn w:val="Normal"/>
    <w:next w:val="Normal"/>
    <w:link w:val="TitleChar"/>
    <w:uiPriority w:val="10"/>
    <w:qFormat/>
    <w:rsid w:val="00783D9C"/>
    <w:rPr>
      <w:rFonts w:eastAsiaTheme="majorEastAsia" w:cstheme="majorBidi"/>
      <w:b/>
      <w:sz w:val="44"/>
      <w:szCs w:val="52"/>
    </w:rPr>
  </w:style>
  <w:style w:type="character" w:customStyle="1" w:styleId="TitleChar">
    <w:name w:val="Title Char"/>
    <w:basedOn w:val="DefaultParagraphFont"/>
    <w:link w:val="Title"/>
    <w:uiPriority w:val="10"/>
    <w:rsid w:val="00783D9C"/>
    <w:rPr>
      <w:rFonts w:ascii="Georgia" w:eastAsiaTheme="majorEastAsia" w:hAnsi="Georgia" w:cstheme="majorBidi"/>
      <w:b/>
      <w:sz w:val="44"/>
      <w:szCs w:val="52"/>
      <w:lang w:eastAsia="en-US"/>
    </w:rPr>
  </w:style>
  <w:style w:type="paragraph" w:styleId="BalloonText">
    <w:name w:val="Balloon Text"/>
    <w:basedOn w:val="Normal"/>
    <w:link w:val="BalloonTextChar"/>
    <w:uiPriority w:val="99"/>
    <w:semiHidden/>
    <w:unhideWhenUsed/>
    <w:rsid w:val="000436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696"/>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9A0"/>
    <w:pPr>
      <w:spacing w:line="276" w:lineRule="auto"/>
    </w:pPr>
    <w:rPr>
      <w:rFonts w:ascii="Georgia" w:hAnsi="Georgia"/>
      <w:sz w:val="21"/>
      <w:szCs w:val="24"/>
      <w:lang w:eastAsia="en-US"/>
    </w:rPr>
  </w:style>
  <w:style w:type="paragraph" w:styleId="Heading1">
    <w:name w:val="heading 1"/>
    <w:basedOn w:val="Normal"/>
    <w:next w:val="Normal"/>
    <w:qFormat/>
    <w:rsid w:val="00324371"/>
    <w:pPr>
      <w:spacing w:after="240"/>
      <w:ind w:left="851" w:hanging="851"/>
      <w:outlineLvl w:val="0"/>
    </w:pPr>
    <w:rPr>
      <w:rFonts w:cs="Arial"/>
      <w:b/>
      <w:bCs/>
      <w:sz w:val="56"/>
      <w:szCs w:val="48"/>
    </w:rPr>
  </w:style>
  <w:style w:type="paragraph" w:styleId="Heading2">
    <w:name w:val="heading 2"/>
    <w:basedOn w:val="Normal"/>
    <w:next w:val="Normal"/>
    <w:qFormat/>
    <w:rsid w:val="002233D8"/>
    <w:pPr>
      <w:keepNext/>
      <w:spacing w:before="360" w:after="120"/>
      <w:outlineLvl w:val="1"/>
    </w:pPr>
    <w:rPr>
      <w:rFonts w:cs="Arial"/>
      <w:b/>
      <w:bCs/>
      <w:iCs/>
      <w:sz w:val="36"/>
      <w:szCs w:val="28"/>
    </w:rPr>
  </w:style>
  <w:style w:type="paragraph" w:styleId="Heading3">
    <w:name w:val="heading 3"/>
    <w:basedOn w:val="Normal"/>
    <w:next w:val="Normal"/>
    <w:qFormat/>
    <w:rsid w:val="0090028B"/>
    <w:pPr>
      <w:keepNext/>
      <w:spacing w:before="360" w:after="120"/>
      <w:outlineLvl w:val="2"/>
    </w:pPr>
    <w:rPr>
      <w:rFonts w:cs="Arial"/>
      <w:b/>
      <w:bCs/>
      <w:sz w:val="28"/>
      <w:szCs w:val="26"/>
    </w:rPr>
  </w:style>
  <w:style w:type="paragraph" w:styleId="Heading4">
    <w:name w:val="heading 4"/>
    <w:basedOn w:val="Normal"/>
    <w:next w:val="Normal"/>
    <w:link w:val="Heading4Char"/>
    <w:uiPriority w:val="9"/>
    <w:unhideWhenUsed/>
    <w:qFormat/>
    <w:rsid w:val="00EE6CE2"/>
    <w:pPr>
      <w:keepNext/>
      <w:spacing w:before="120" w:after="120"/>
      <w:outlineLvl w:val="3"/>
    </w:pPr>
    <w:rPr>
      <w:rFonts w:eastAsiaTheme="majorEastAsia"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76FB8"/>
    <w:rPr>
      <w:color w:val="auto"/>
      <w:u w:val="none"/>
    </w:rPr>
  </w:style>
  <w:style w:type="paragraph" w:styleId="FootnoteText">
    <w:name w:val="footnote text"/>
    <w:basedOn w:val="Normal"/>
    <w:link w:val="FootnoteTextChar"/>
    <w:uiPriority w:val="99"/>
    <w:semiHidden/>
    <w:rsid w:val="00680D2D"/>
    <w:pPr>
      <w:spacing w:before="60"/>
      <w:ind w:left="284" w:hanging="284"/>
    </w:pPr>
    <w:rPr>
      <w:sz w:val="18"/>
      <w:szCs w:val="20"/>
    </w:rPr>
  </w:style>
  <w:style w:type="character" w:styleId="FootnoteReference">
    <w:name w:val="footnote reference"/>
    <w:uiPriority w:val="99"/>
    <w:semiHidden/>
    <w:rsid w:val="00240554"/>
    <w:rPr>
      <w:vertAlign w:val="superscript"/>
    </w:rPr>
  </w:style>
  <w:style w:type="paragraph" w:styleId="Header">
    <w:name w:val="header"/>
    <w:basedOn w:val="Normal"/>
    <w:rsid w:val="0074188F"/>
  </w:style>
  <w:style w:type="paragraph" w:styleId="Footer">
    <w:name w:val="footer"/>
    <w:basedOn w:val="Normal"/>
    <w:rsid w:val="0092659B"/>
    <w:pPr>
      <w:tabs>
        <w:tab w:val="right" w:pos="8647"/>
        <w:tab w:val="right" w:pos="9356"/>
      </w:tabs>
    </w:pPr>
    <w:rPr>
      <w:sz w:val="20"/>
    </w:rPr>
  </w:style>
  <w:style w:type="table" w:styleId="TableGrid">
    <w:name w:val="Table Grid"/>
    <w:basedOn w:val="TableNormal"/>
    <w:uiPriority w:val="59"/>
    <w:rsid w:val="005777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rsid w:val="00C63124"/>
    <w:pPr>
      <w:keepNext/>
      <w:spacing w:before="120" w:after="120"/>
    </w:pPr>
    <w:rPr>
      <w:b/>
    </w:rPr>
  </w:style>
  <w:style w:type="paragraph" w:customStyle="1" w:styleId="Note">
    <w:name w:val="Note"/>
    <w:basedOn w:val="Normal"/>
    <w:link w:val="NoteChar"/>
    <w:qFormat/>
    <w:rsid w:val="00D76A3D"/>
    <w:pPr>
      <w:pBdr>
        <w:bottom w:val="single" w:sz="18" w:space="6" w:color="808080"/>
      </w:pBdr>
      <w:spacing w:before="60"/>
      <w:ind w:left="284" w:hanging="284"/>
    </w:pPr>
    <w:rPr>
      <w:rFonts w:ascii="Arial" w:hAnsi="Arial"/>
      <w:sz w:val="18"/>
      <w:szCs w:val="22"/>
      <w:lang w:eastAsia="en-GB"/>
    </w:rPr>
  </w:style>
  <w:style w:type="paragraph" w:customStyle="1" w:styleId="Bullet">
    <w:name w:val="Bullet"/>
    <w:basedOn w:val="Normal"/>
    <w:link w:val="BulletChar"/>
    <w:qFormat/>
    <w:rsid w:val="004378E8"/>
    <w:pPr>
      <w:numPr>
        <w:numId w:val="15"/>
      </w:numPr>
      <w:spacing w:before="90"/>
    </w:pPr>
  </w:style>
  <w:style w:type="character" w:styleId="PageNumber">
    <w:name w:val="page number"/>
    <w:rsid w:val="0092659B"/>
    <w:rPr>
      <w:color w:val="auto"/>
      <w:sz w:val="24"/>
    </w:rPr>
  </w:style>
  <w:style w:type="paragraph" w:customStyle="1" w:styleId="TableText">
    <w:name w:val="TableText"/>
    <w:basedOn w:val="Normal"/>
    <w:qFormat/>
    <w:rsid w:val="00952AF0"/>
    <w:pPr>
      <w:spacing w:before="80" w:after="80"/>
    </w:pPr>
    <w:rPr>
      <w:sz w:val="18"/>
    </w:rPr>
  </w:style>
  <w:style w:type="paragraph" w:customStyle="1" w:styleId="Source">
    <w:name w:val="Source"/>
    <w:basedOn w:val="Normal"/>
    <w:next w:val="Normal"/>
    <w:qFormat/>
    <w:rsid w:val="00950A4A"/>
    <w:pPr>
      <w:spacing w:before="60"/>
    </w:pPr>
    <w:rPr>
      <w:sz w:val="18"/>
    </w:rPr>
  </w:style>
  <w:style w:type="paragraph" w:customStyle="1" w:styleId="References">
    <w:name w:val="References"/>
    <w:basedOn w:val="Normal"/>
    <w:qFormat/>
    <w:rsid w:val="000D0170"/>
    <w:pPr>
      <w:spacing w:after="120"/>
    </w:pPr>
    <w:rPr>
      <w:sz w:val="18"/>
    </w:rPr>
  </w:style>
  <w:style w:type="paragraph" w:customStyle="1" w:styleId="BoxHeading">
    <w:name w:val="BoxHeading"/>
    <w:basedOn w:val="Normal"/>
    <w:qFormat/>
    <w:rsid w:val="0092659B"/>
    <w:pPr>
      <w:pBdr>
        <w:top w:val="single" w:sz="4" w:space="12" w:color="auto"/>
        <w:left w:val="single" w:sz="4" w:space="12" w:color="auto"/>
        <w:bottom w:val="single" w:sz="4" w:space="12" w:color="auto"/>
        <w:right w:val="single" w:sz="4" w:space="12" w:color="auto"/>
      </w:pBdr>
      <w:spacing w:before="120" w:after="120" w:line="264" w:lineRule="auto"/>
      <w:ind w:left="284" w:right="284"/>
    </w:pPr>
    <w:rPr>
      <w:b/>
      <w:sz w:val="28"/>
      <w:szCs w:val="20"/>
      <w:lang w:eastAsia="en-GB"/>
    </w:rPr>
  </w:style>
  <w:style w:type="paragraph" w:customStyle="1" w:styleId="BoxBullet">
    <w:name w:val="BoxBullet"/>
    <w:basedOn w:val="Normal"/>
    <w:qFormat/>
    <w:rsid w:val="0092659B"/>
    <w:pPr>
      <w:numPr>
        <w:numId w:val="29"/>
      </w:numPr>
      <w:pBdr>
        <w:top w:val="single" w:sz="4" w:space="12" w:color="auto"/>
        <w:left w:val="single" w:sz="4" w:space="12" w:color="auto"/>
        <w:bottom w:val="single" w:sz="4" w:space="12" w:color="auto"/>
        <w:right w:val="single" w:sz="4" w:space="12" w:color="auto"/>
      </w:pBdr>
      <w:tabs>
        <w:tab w:val="clear" w:pos="360"/>
        <w:tab w:val="num" w:pos="567"/>
      </w:tabs>
      <w:spacing w:before="120" w:after="120" w:line="264" w:lineRule="auto"/>
      <w:ind w:left="567" w:right="284" w:hanging="283"/>
    </w:pPr>
    <w:rPr>
      <w:sz w:val="22"/>
      <w:szCs w:val="20"/>
      <w:lang w:eastAsia="en-GB"/>
    </w:rPr>
  </w:style>
  <w:style w:type="character" w:customStyle="1" w:styleId="BulletChar">
    <w:name w:val="Bullet Char"/>
    <w:link w:val="Bullet"/>
    <w:locked/>
    <w:rsid w:val="004378E8"/>
    <w:rPr>
      <w:rFonts w:ascii="Georgia" w:hAnsi="Georgia"/>
      <w:sz w:val="21"/>
      <w:szCs w:val="24"/>
      <w:lang w:eastAsia="en-US"/>
    </w:rPr>
  </w:style>
  <w:style w:type="character" w:customStyle="1" w:styleId="Heading4Char">
    <w:name w:val="Heading 4 Char"/>
    <w:basedOn w:val="DefaultParagraphFont"/>
    <w:link w:val="Heading4"/>
    <w:uiPriority w:val="9"/>
    <w:rsid w:val="00EE6CE2"/>
    <w:rPr>
      <w:rFonts w:ascii="Georgia" w:eastAsiaTheme="majorEastAsia" w:hAnsi="Georgia" w:cstheme="majorBidi"/>
      <w:b/>
      <w:bCs/>
      <w:iCs/>
      <w:sz w:val="24"/>
      <w:szCs w:val="24"/>
      <w:lang w:eastAsia="en-US"/>
    </w:rPr>
  </w:style>
  <w:style w:type="character" w:customStyle="1" w:styleId="FootnoteTextChar">
    <w:name w:val="Footnote Text Char"/>
    <w:link w:val="FootnoteText"/>
    <w:uiPriority w:val="99"/>
    <w:semiHidden/>
    <w:rsid w:val="00EB461E"/>
    <w:rPr>
      <w:rFonts w:ascii="Georgia" w:hAnsi="Georgia"/>
      <w:sz w:val="18"/>
      <w:lang w:eastAsia="en-US"/>
    </w:rPr>
  </w:style>
  <w:style w:type="paragraph" w:styleId="TOC1">
    <w:name w:val="toc 1"/>
    <w:basedOn w:val="Normal"/>
    <w:next w:val="Normal"/>
    <w:uiPriority w:val="39"/>
    <w:unhideWhenUsed/>
    <w:qFormat/>
    <w:rsid w:val="008911F1"/>
    <w:pPr>
      <w:tabs>
        <w:tab w:val="left" w:pos="567"/>
        <w:tab w:val="right" w:pos="9356"/>
      </w:tabs>
      <w:spacing w:before="240"/>
      <w:ind w:left="567" w:right="567" w:hanging="567"/>
    </w:pPr>
    <w:rPr>
      <w:sz w:val="22"/>
      <w:szCs w:val="22"/>
      <w:lang w:eastAsia="en-AU"/>
    </w:rPr>
  </w:style>
  <w:style w:type="paragraph" w:styleId="TOC2">
    <w:name w:val="toc 2"/>
    <w:basedOn w:val="Normal"/>
    <w:next w:val="Normal"/>
    <w:uiPriority w:val="39"/>
    <w:unhideWhenUsed/>
    <w:qFormat/>
    <w:rsid w:val="008911F1"/>
    <w:pPr>
      <w:tabs>
        <w:tab w:val="left" w:pos="1134"/>
        <w:tab w:val="right" w:pos="9356"/>
      </w:tabs>
      <w:spacing w:before="120"/>
      <w:ind w:left="1134" w:right="567" w:hanging="567"/>
    </w:pPr>
    <w:rPr>
      <w:sz w:val="22"/>
      <w:szCs w:val="22"/>
      <w:lang w:eastAsia="en-AU"/>
    </w:rPr>
  </w:style>
  <w:style w:type="paragraph" w:customStyle="1" w:styleId="Dash">
    <w:name w:val="Dash"/>
    <w:basedOn w:val="Normal"/>
    <w:link w:val="DashChar"/>
    <w:qFormat/>
    <w:rsid w:val="00EE6CE2"/>
    <w:pPr>
      <w:numPr>
        <w:numId w:val="33"/>
      </w:numPr>
      <w:spacing w:before="60"/>
      <w:ind w:left="568" w:hanging="284"/>
    </w:pPr>
    <w:rPr>
      <w:rFonts w:eastAsia="Calibri" w:cs="Arial Mäori"/>
      <w:szCs w:val="22"/>
      <w:lang w:eastAsia="en-NZ"/>
    </w:rPr>
  </w:style>
  <w:style w:type="character" w:customStyle="1" w:styleId="DashChar">
    <w:name w:val="Dash Char"/>
    <w:link w:val="Dash"/>
    <w:rsid w:val="00EE6CE2"/>
    <w:rPr>
      <w:rFonts w:ascii="Georgia" w:eastAsia="Calibri" w:hAnsi="Georgia" w:cs="Arial Mäori"/>
      <w:sz w:val="21"/>
      <w:szCs w:val="22"/>
    </w:rPr>
  </w:style>
  <w:style w:type="paragraph" w:customStyle="1" w:styleId="Box">
    <w:name w:val="Box"/>
    <w:basedOn w:val="BoxHeading"/>
    <w:link w:val="BoxChar"/>
    <w:qFormat/>
    <w:rsid w:val="00EB461E"/>
    <w:pPr>
      <w:spacing w:line="276" w:lineRule="auto"/>
    </w:pPr>
    <w:rPr>
      <w:rFonts w:eastAsia="Calibri"/>
      <w:b w:val="0"/>
      <w:sz w:val="22"/>
      <w:szCs w:val="22"/>
      <w:lang w:eastAsia="en-NZ"/>
    </w:rPr>
  </w:style>
  <w:style w:type="character" w:customStyle="1" w:styleId="BoxChar">
    <w:name w:val="Box Char"/>
    <w:link w:val="Box"/>
    <w:rsid w:val="00EB461E"/>
    <w:rPr>
      <w:rFonts w:ascii="Georgia" w:eastAsia="Calibri" w:hAnsi="Georgia"/>
      <w:sz w:val="22"/>
      <w:szCs w:val="22"/>
    </w:rPr>
  </w:style>
  <w:style w:type="character" w:customStyle="1" w:styleId="NoteChar">
    <w:name w:val="Note Char"/>
    <w:link w:val="Note"/>
    <w:rsid w:val="00EB461E"/>
    <w:rPr>
      <w:rFonts w:ascii="Arial" w:hAnsi="Arial"/>
      <w:sz w:val="18"/>
      <w:szCs w:val="22"/>
      <w:lang w:eastAsia="en-GB"/>
    </w:rPr>
  </w:style>
  <w:style w:type="paragraph" w:customStyle="1" w:styleId="Table">
    <w:name w:val="Table"/>
    <w:basedOn w:val="Normal"/>
    <w:qFormat/>
    <w:rsid w:val="00E062F3"/>
    <w:pPr>
      <w:keepNext/>
      <w:spacing w:before="120" w:after="120"/>
    </w:pPr>
    <w:rPr>
      <w:b/>
    </w:rPr>
  </w:style>
  <w:style w:type="paragraph" w:customStyle="1" w:styleId="TableBullet">
    <w:name w:val="TableBullet"/>
    <w:basedOn w:val="TableText"/>
    <w:qFormat/>
    <w:rsid w:val="00CE689C"/>
    <w:pPr>
      <w:numPr>
        <w:numId w:val="43"/>
      </w:numPr>
      <w:spacing w:before="0"/>
      <w:ind w:left="284" w:hanging="284"/>
    </w:pPr>
    <w:rPr>
      <w:szCs w:val="20"/>
    </w:rPr>
  </w:style>
  <w:style w:type="paragraph" w:styleId="Title">
    <w:name w:val="Title"/>
    <w:basedOn w:val="Normal"/>
    <w:next w:val="Normal"/>
    <w:link w:val="TitleChar"/>
    <w:uiPriority w:val="10"/>
    <w:qFormat/>
    <w:rsid w:val="00783D9C"/>
    <w:rPr>
      <w:rFonts w:eastAsiaTheme="majorEastAsia" w:cstheme="majorBidi"/>
      <w:b/>
      <w:sz w:val="44"/>
      <w:szCs w:val="52"/>
    </w:rPr>
  </w:style>
  <w:style w:type="character" w:customStyle="1" w:styleId="TitleChar">
    <w:name w:val="Title Char"/>
    <w:basedOn w:val="DefaultParagraphFont"/>
    <w:link w:val="Title"/>
    <w:uiPriority w:val="10"/>
    <w:rsid w:val="00783D9C"/>
    <w:rPr>
      <w:rFonts w:ascii="Georgia" w:eastAsiaTheme="majorEastAsia" w:hAnsi="Georgia" w:cstheme="majorBidi"/>
      <w:b/>
      <w:sz w:val="44"/>
      <w:szCs w:val="52"/>
      <w:lang w:eastAsia="en-US"/>
    </w:rPr>
  </w:style>
  <w:style w:type="paragraph" w:styleId="BalloonText">
    <w:name w:val="Balloon Text"/>
    <w:basedOn w:val="Normal"/>
    <w:link w:val="BalloonTextChar"/>
    <w:uiPriority w:val="99"/>
    <w:semiHidden/>
    <w:unhideWhenUsed/>
    <w:rsid w:val="000436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696"/>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203355">
      <w:bodyDiv w:val="1"/>
      <w:marLeft w:val="0"/>
      <w:marRight w:val="0"/>
      <w:marTop w:val="0"/>
      <w:marBottom w:val="0"/>
      <w:divBdr>
        <w:top w:val="none" w:sz="0" w:space="0" w:color="auto"/>
        <w:left w:val="none" w:sz="0" w:space="0" w:color="auto"/>
        <w:bottom w:val="none" w:sz="0" w:space="0" w:color="auto"/>
        <w:right w:val="none" w:sz="0" w:space="0" w:color="auto"/>
      </w:divBdr>
    </w:div>
    <w:div w:id="951862298">
      <w:bodyDiv w:val="1"/>
      <w:marLeft w:val="0"/>
      <w:marRight w:val="0"/>
      <w:marTop w:val="0"/>
      <w:marBottom w:val="0"/>
      <w:divBdr>
        <w:top w:val="none" w:sz="0" w:space="0" w:color="auto"/>
        <w:left w:val="none" w:sz="0" w:space="0" w:color="auto"/>
        <w:bottom w:val="none" w:sz="0" w:space="0" w:color="auto"/>
        <w:right w:val="none" w:sz="0" w:space="0" w:color="auto"/>
      </w:divBdr>
    </w:div>
    <w:div w:id="1089890963">
      <w:bodyDiv w:val="1"/>
      <w:marLeft w:val="0"/>
      <w:marRight w:val="0"/>
      <w:marTop w:val="0"/>
      <w:marBottom w:val="0"/>
      <w:divBdr>
        <w:top w:val="none" w:sz="0" w:space="0" w:color="auto"/>
        <w:left w:val="none" w:sz="0" w:space="0" w:color="auto"/>
        <w:bottom w:val="none" w:sz="0" w:space="0" w:color="auto"/>
        <w:right w:val="none" w:sz="0" w:space="0" w:color="auto"/>
      </w:divBdr>
    </w:div>
    <w:div w:id="1246646051">
      <w:bodyDiv w:val="1"/>
      <w:marLeft w:val="0"/>
      <w:marRight w:val="0"/>
      <w:marTop w:val="0"/>
      <w:marBottom w:val="0"/>
      <w:divBdr>
        <w:top w:val="none" w:sz="0" w:space="0" w:color="auto"/>
        <w:left w:val="none" w:sz="0" w:space="0" w:color="auto"/>
        <w:bottom w:val="none" w:sz="0" w:space="0" w:color="auto"/>
        <w:right w:val="none" w:sz="0" w:space="0" w:color="auto"/>
      </w:divBdr>
      <w:divsChild>
        <w:div w:id="1950159488">
          <w:marLeft w:val="0"/>
          <w:marRight w:val="0"/>
          <w:marTop w:val="0"/>
          <w:marBottom w:val="0"/>
          <w:divBdr>
            <w:top w:val="none" w:sz="0" w:space="0" w:color="auto"/>
            <w:left w:val="none" w:sz="0" w:space="0" w:color="auto"/>
            <w:bottom w:val="none" w:sz="0" w:space="0" w:color="auto"/>
            <w:right w:val="none" w:sz="0" w:space="0" w:color="auto"/>
          </w:divBdr>
          <w:divsChild>
            <w:div w:id="65808493">
              <w:marLeft w:val="0"/>
              <w:marRight w:val="0"/>
              <w:marTop w:val="0"/>
              <w:marBottom w:val="0"/>
              <w:divBdr>
                <w:top w:val="none" w:sz="0" w:space="0" w:color="auto"/>
                <w:left w:val="none" w:sz="0" w:space="0" w:color="auto"/>
                <w:bottom w:val="none" w:sz="0" w:space="0" w:color="auto"/>
                <w:right w:val="none" w:sz="0" w:space="0" w:color="auto"/>
              </w:divBdr>
              <w:divsChild>
                <w:div w:id="1685478633">
                  <w:marLeft w:val="-225"/>
                  <w:marRight w:val="-225"/>
                  <w:marTop w:val="0"/>
                  <w:marBottom w:val="0"/>
                  <w:divBdr>
                    <w:top w:val="none" w:sz="0" w:space="0" w:color="auto"/>
                    <w:left w:val="none" w:sz="0" w:space="0" w:color="auto"/>
                    <w:bottom w:val="none" w:sz="0" w:space="0" w:color="auto"/>
                    <w:right w:val="none" w:sz="0" w:space="0" w:color="auto"/>
                  </w:divBdr>
                  <w:divsChild>
                    <w:div w:id="942030321">
                      <w:marLeft w:val="0"/>
                      <w:marRight w:val="0"/>
                      <w:marTop w:val="0"/>
                      <w:marBottom w:val="0"/>
                      <w:divBdr>
                        <w:top w:val="none" w:sz="0" w:space="0" w:color="auto"/>
                        <w:left w:val="none" w:sz="0" w:space="0" w:color="auto"/>
                        <w:bottom w:val="none" w:sz="0" w:space="0" w:color="auto"/>
                        <w:right w:val="none" w:sz="0" w:space="0" w:color="auto"/>
                      </w:divBdr>
                      <w:divsChild>
                        <w:div w:id="1349913619">
                          <w:marLeft w:val="0"/>
                          <w:marRight w:val="0"/>
                          <w:marTop w:val="0"/>
                          <w:marBottom w:val="0"/>
                          <w:divBdr>
                            <w:top w:val="none" w:sz="0" w:space="0" w:color="auto"/>
                            <w:left w:val="none" w:sz="0" w:space="0" w:color="auto"/>
                            <w:bottom w:val="none" w:sz="0" w:space="0" w:color="auto"/>
                            <w:right w:val="none" w:sz="0" w:space="0" w:color="auto"/>
                          </w:divBdr>
                          <w:divsChild>
                            <w:div w:id="1253734724">
                              <w:marLeft w:val="-225"/>
                              <w:marRight w:val="-225"/>
                              <w:marTop w:val="0"/>
                              <w:marBottom w:val="0"/>
                              <w:divBdr>
                                <w:top w:val="none" w:sz="0" w:space="0" w:color="auto"/>
                                <w:left w:val="none" w:sz="0" w:space="0" w:color="auto"/>
                                <w:bottom w:val="none" w:sz="0" w:space="0" w:color="auto"/>
                                <w:right w:val="none" w:sz="0" w:space="0" w:color="auto"/>
                              </w:divBdr>
                              <w:divsChild>
                                <w:div w:id="583690466">
                                  <w:marLeft w:val="0"/>
                                  <w:marRight w:val="0"/>
                                  <w:marTop w:val="0"/>
                                  <w:marBottom w:val="0"/>
                                  <w:divBdr>
                                    <w:top w:val="none" w:sz="0" w:space="0" w:color="auto"/>
                                    <w:left w:val="none" w:sz="0" w:space="0" w:color="auto"/>
                                    <w:bottom w:val="none" w:sz="0" w:space="0" w:color="auto"/>
                                    <w:right w:val="none" w:sz="0" w:space="0" w:color="auto"/>
                                  </w:divBdr>
                                  <w:divsChild>
                                    <w:div w:id="2065641369">
                                      <w:marLeft w:val="0"/>
                                      <w:marRight w:val="0"/>
                                      <w:marTop w:val="0"/>
                                      <w:marBottom w:val="0"/>
                                      <w:divBdr>
                                        <w:top w:val="none" w:sz="0" w:space="0" w:color="auto"/>
                                        <w:left w:val="none" w:sz="0" w:space="0" w:color="auto"/>
                                        <w:bottom w:val="none" w:sz="0" w:space="0" w:color="auto"/>
                                        <w:right w:val="none" w:sz="0" w:space="0" w:color="auto"/>
                                      </w:divBdr>
                                      <w:divsChild>
                                        <w:div w:id="368651677">
                                          <w:marLeft w:val="0"/>
                                          <w:marRight w:val="0"/>
                                          <w:marTop w:val="0"/>
                                          <w:marBottom w:val="0"/>
                                          <w:divBdr>
                                            <w:top w:val="none" w:sz="0" w:space="0" w:color="auto"/>
                                            <w:left w:val="none" w:sz="0" w:space="0" w:color="auto"/>
                                            <w:bottom w:val="none" w:sz="0" w:space="0" w:color="auto"/>
                                            <w:right w:val="none" w:sz="0" w:space="0" w:color="auto"/>
                                          </w:divBdr>
                                          <w:divsChild>
                                            <w:div w:id="1855458212">
                                              <w:marLeft w:val="0"/>
                                              <w:marRight w:val="0"/>
                                              <w:marTop w:val="0"/>
                                              <w:marBottom w:val="0"/>
                                              <w:divBdr>
                                                <w:top w:val="none" w:sz="0" w:space="0" w:color="auto"/>
                                                <w:left w:val="none" w:sz="0" w:space="0" w:color="auto"/>
                                                <w:bottom w:val="none" w:sz="0" w:space="0" w:color="auto"/>
                                                <w:right w:val="none" w:sz="0" w:space="0" w:color="auto"/>
                                              </w:divBdr>
                                              <w:divsChild>
                                                <w:div w:id="22830463">
                                                  <w:marLeft w:val="0"/>
                                                  <w:marRight w:val="0"/>
                                                  <w:marTop w:val="0"/>
                                                  <w:marBottom w:val="0"/>
                                                  <w:divBdr>
                                                    <w:top w:val="none" w:sz="0" w:space="0" w:color="auto"/>
                                                    <w:left w:val="none" w:sz="0" w:space="0" w:color="auto"/>
                                                    <w:bottom w:val="none" w:sz="0" w:space="0" w:color="auto"/>
                                                    <w:right w:val="none" w:sz="0" w:space="0" w:color="auto"/>
                                                  </w:divBdr>
                                                  <w:divsChild>
                                                    <w:div w:id="1884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1922268">
      <w:bodyDiv w:val="1"/>
      <w:marLeft w:val="0"/>
      <w:marRight w:val="0"/>
      <w:marTop w:val="0"/>
      <w:marBottom w:val="0"/>
      <w:divBdr>
        <w:top w:val="none" w:sz="0" w:space="0" w:color="auto"/>
        <w:left w:val="none" w:sz="0" w:space="0" w:color="auto"/>
        <w:bottom w:val="none" w:sz="0" w:space="0" w:color="auto"/>
        <w:right w:val="none" w:sz="0" w:space="0" w:color="auto"/>
      </w:divBdr>
    </w:div>
    <w:div w:id="165159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ealth.govt.nz/nzhs-feedback"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health.govt.nz/nz-health-statistics/national-collections-and-surveys/surveys/current-recent-surveys/new-zealand-health-survey"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ealth.govt.nz/publication/amphetamine-use-2012-13-key-findings-new-zealand-health-survey" TargetMode="External"/><Relationship Id="rId5" Type="http://schemas.openxmlformats.org/officeDocument/2006/relationships/settings" Target="settings.xml"/><Relationship Id="rId15" Type="http://schemas.openxmlformats.org/officeDocument/2006/relationships/hyperlink" Target="http://www.health.govt.nz/publication/amphetamine-use-2012-13-key-findings-new-zealand-health-survey" TargetMode="External"/><Relationship Id="rId10" Type="http://schemas.openxmlformats.org/officeDocument/2006/relationships/hyperlink" Target="http://www.health.govt.nz/publication/amphetamine-use-2012-13-key-findings-new-zealand-health-survey"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health.govt.nz/publication/drug-use-new-zealand-key-results-2007-08-new-zealand-alcohol-and-drug-use-survey" TargetMode="External"/><Relationship Id="rId14" Type="http://schemas.openxmlformats.org/officeDocument/2006/relationships/hyperlink" Target="http://www.health.govt.nz/publication/drug-use-new-zealand-key-results-2007-08-new-zealand-alcohol-and-drug-use-survey"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435AB4D-72C8-4C01-A2CC-B219FC33D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1462</Words>
  <Characters>8207</Characters>
  <Application>Microsoft Office Word</Application>
  <DocSecurity>0</DocSecurity>
  <Lines>356</Lines>
  <Paragraphs>197</Paragraphs>
  <ScaleCrop>false</ScaleCrop>
  <HeadingPairs>
    <vt:vector size="2" baseType="variant">
      <vt:variant>
        <vt:lpstr>Title</vt:lpstr>
      </vt:variant>
      <vt:variant>
        <vt:i4>1</vt:i4>
      </vt:variant>
    </vt:vector>
  </HeadingPairs>
  <TitlesOfParts>
    <vt:vector size="1" baseType="lpstr">
      <vt:lpstr>Behaviour Support Services (BSS)</vt:lpstr>
    </vt:vector>
  </TitlesOfParts>
  <Company>Ministry of Health</Company>
  <LinksUpToDate>false</LinksUpToDate>
  <CharactersWithSpaces>9472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Amphetamine Use 2013/14: New Zealand Health Survey</dc:title>
  <dc:creator>Ministry of Health</dc:creator>
  <cp:lastModifiedBy>Jane Adam</cp:lastModifiedBy>
  <cp:revision>17</cp:revision>
  <cp:lastPrinted>2014-12-15T22:48:00Z</cp:lastPrinted>
  <dcterms:created xsi:type="dcterms:W3CDTF">2014-12-01T01:48:00Z</dcterms:created>
  <dcterms:modified xsi:type="dcterms:W3CDTF">2014-12-15T22:49:00Z</dcterms:modified>
</cp:coreProperties>
</file>