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0553"/>
      </w:tblGrid>
      <w:tr w:rsidR="006461F1" w:rsidTr="001B5288">
        <w:trPr>
          <w:cantSplit/>
        </w:trPr>
        <w:tc>
          <w:tcPr>
            <w:tcW w:w="2235" w:type="dxa"/>
          </w:tcPr>
          <w:p w:rsidR="006461F1" w:rsidRDefault="006461F1" w:rsidP="006461F1">
            <w:r>
              <w:rPr>
                <w:b/>
                <w:noProof/>
                <w:sz w:val="36"/>
                <w:szCs w:val="36"/>
                <w:lang w:eastAsia="en-NZ"/>
              </w:rPr>
              <w:drawing>
                <wp:inline distT="0" distB="0" distL="0" distR="0" wp14:anchorId="11CE4765" wp14:editId="3195B0FA">
                  <wp:extent cx="1288111" cy="546981"/>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_RGB colour.jpg"/>
                          <pic:cNvPicPr/>
                        </pic:nvPicPr>
                        <pic:blipFill rotWithShape="1">
                          <a:blip r:embed="rId9" cstate="print">
                            <a:extLst>
                              <a:ext uri="{28A0092B-C50C-407E-A947-70E740481C1C}">
                                <a14:useLocalDpi xmlns:a14="http://schemas.microsoft.com/office/drawing/2010/main" val="0"/>
                              </a:ext>
                            </a:extLst>
                          </a:blip>
                          <a:srcRect l="6469" t="14131" r="5947" b="10870"/>
                          <a:stretch/>
                        </pic:blipFill>
                        <pic:spPr bwMode="auto">
                          <a:xfrm>
                            <a:off x="0" y="0"/>
                            <a:ext cx="1300990" cy="552450"/>
                          </a:xfrm>
                          <a:prstGeom prst="rect">
                            <a:avLst/>
                          </a:prstGeom>
                          <a:ln>
                            <a:noFill/>
                          </a:ln>
                          <a:extLst>
                            <a:ext uri="{53640926-AAD7-44D8-BBD7-CCE9431645EC}">
                              <a14:shadowObscured xmlns:a14="http://schemas.microsoft.com/office/drawing/2010/main"/>
                            </a:ext>
                          </a:extLst>
                        </pic:spPr>
                      </pic:pic>
                    </a:graphicData>
                  </a:graphic>
                </wp:inline>
              </w:drawing>
            </w:r>
          </w:p>
        </w:tc>
        <w:tc>
          <w:tcPr>
            <w:tcW w:w="20553" w:type="dxa"/>
            <w:vAlign w:val="center"/>
          </w:tcPr>
          <w:p w:rsidR="006461F1" w:rsidRDefault="006461F1" w:rsidP="004536BC">
            <w:r w:rsidRPr="005B48CB">
              <w:rPr>
                <w:b/>
                <w:sz w:val="36"/>
                <w:szCs w:val="36"/>
              </w:rPr>
              <w:t>A</w:t>
            </w:r>
            <w:r w:rsidR="004536BC" w:rsidRPr="005B48CB">
              <w:rPr>
                <w:b/>
                <w:sz w:val="36"/>
                <w:szCs w:val="36"/>
              </w:rPr>
              <w:t xml:space="preserve"> framework for health literacy</w:t>
            </w:r>
            <w:r w:rsidR="004536BC" w:rsidRPr="005B48CB">
              <w:rPr>
                <w:b/>
                <w:sz w:val="36"/>
                <w:szCs w:val="36"/>
              </w:rPr>
              <w:br/>
            </w:r>
            <w:r w:rsidR="004536BC" w:rsidRPr="005B48CB">
              <w:rPr>
                <w:rFonts w:cs="Arial"/>
                <w:spacing w:val="-2"/>
                <w:sz w:val="21"/>
                <w:szCs w:val="21"/>
              </w:rPr>
              <w:t>This framework reflects how each part of the health system can contribute to building health literacy so that all New Zealanders can make informed decisions about managing their health, or the health of those they care for.</w:t>
            </w:r>
          </w:p>
        </w:tc>
      </w:tr>
    </w:tbl>
    <w:p w:rsidR="00D713FF" w:rsidRPr="009D3ED9" w:rsidRDefault="00D713FF" w:rsidP="005B48CB"/>
    <w:tbl>
      <w:tblPr>
        <w:tblStyle w:val="TableGrid"/>
        <w:tblW w:w="22680" w:type="dxa"/>
        <w:tblInd w:w="108" w:type="dxa"/>
        <w:tblLayout w:type="fixed"/>
        <w:tblLook w:val="04A0" w:firstRow="1" w:lastRow="0" w:firstColumn="1" w:lastColumn="0" w:noHBand="0" w:noVBand="1"/>
      </w:tblPr>
      <w:tblGrid>
        <w:gridCol w:w="709"/>
        <w:gridCol w:w="7323"/>
        <w:gridCol w:w="7324"/>
        <w:gridCol w:w="7324"/>
      </w:tblGrid>
      <w:tr w:rsidR="00971E13" w:rsidRPr="005B48CB" w:rsidTr="00F80107">
        <w:trPr>
          <w:cantSplit/>
          <w:trHeight w:val="1134"/>
          <w:tblHeader/>
        </w:trPr>
        <w:tc>
          <w:tcPr>
            <w:tcW w:w="709" w:type="dxa"/>
            <w:tcBorders>
              <w:bottom w:val="single" w:sz="4" w:space="0" w:color="auto"/>
              <w:right w:val="single" w:sz="4" w:space="0" w:color="auto"/>
            </w:tcBorders>
            <w:shd w:val="clear" w:color="auto" w:fill="B2D7A1"/>
            <w:textDirection w:val="btLr"/>
            <w:vAlign w:val="center"/>
          </w:tcPr>
          <w:p w:rsidR="00971E13" w:rsidRPr="005B48CB" w:rsidRDefault="00971E13" w:rsidP="00971E13">
            <w:pPr>
              <w:pStyle w:val="TableText"/>
              <w:spacing w:before="0" w:after="0"/>
              <w:ind w:left="113" w:right="113"/>
              <w:jc w:val="center"/>
              <w:rPr>
                <w:b/>
                <w:noProof/>
                <w:sz w:val="24"/>
                <w:szCs w:val="24"/>
                <w:lang w:eastAsia="en-NZ"/>
              </w:rPr>
            </w:pPr>
          </w:p>
        </w:tc>
        <w:tc>
          <w:tcPr>
            <w:tcW w:w="7323" w:type="dxa"/>
            <w:tcBorders>
              <w:left w:val="single" w:sz="4" w:space="0" w:color="auto"/>
              <w:right w:val="single" w:sz="4" w:space="0" w:color="auto"/>
            </w:tcBorders>
            <w:shd w:val="clear" w:color="auto" w:fill="B2D7A1"/>
          </w:tcPr>
          <w:p w:rsidR="00971E13" w:rsidRPr="005B48CB" w:rsidRDefault="00971E13" w:rsidP="001B5288">
            <w:pPr>
              <w:pStyle w:val="TableText"/>
              <w:rPr>
                <w:b/>
                <w:sz w:val="28"/>
                <w:szCs w:val="28"/>
              </w:rPr>
            </w:pPr>
            <w:r w:rsidRPr="005B48CB">
              <w:rPr>
                <w:b/>
                <w:noProof/>
                <w:sz w:val="28"/>
                <w:szCs w:val="28"/>
                <w:lang w:eastAsia="en-NZ"/>
              </w:rPr>
              <w:t>Leadership and management</w:t>
            </w:r>
          </w:p>
          <w:p w:rsidR="00971E13" w:rsidRPr="005B48CB" w:rsidRDefault="00971E13" w:rsidP="005B48CB">
            <w:pPr>
              <w:pStyle w:val="TableText"/>
            </w:pPr>
            <w:r w:rsidRPr="005B48CB">
              <w:rPr>
                <w:noProof/>
                <w:lang w:eastAsia="en-NZ"/>
              </w:rPr>
              <w:t>Championing health literacy and taking the lead on a ‘culture shift’ towards a health-literate health system.</w:t>
            </w:r>
          </w:p>
        </w:tc>
        <w:tc>
          <w:tcPr>
            <w:tcW w:w="7324" w:type="dxa"/>
            <w:tcBorders>
              <w:left w:val="single" w:sz="4" w:space="0" w:color="auto"/>
              <w:right w:val="single" w:sz="4" w:space="0" w:color="auto"/>
            </w:tcBorders>
            <w:shd w:val="clear" w:color="auto" w:fill="B2D7A1"/>
          </w:tcPr>
          <w:p w:rsidR="00971E13" w:rsidRPr="005B48CB" w:rsidRDefault="00971E13" w:rsidP="001B5288">
            <w:pPr>
              <w:pStyle w:val="TableText"/>
              <w:rPr>
                <w:b/>
                <w:sz w:val="28"/>
                <w:szCs w:val="28"/>
              </w:rPr>
            </w:pPr>
            <w:r w:rsidRPr="005B48CB">
              <w:rPr>
                <w:b/>
                <w:sz w:val="28"/>
                <w:szCs w:val="28"/>
              </w:rPr>
              <w:t>Knowledge and skills</w:t>
            </w:r>
          </w:p>
          <w:p w:rsidR="00971E13" w:rsidRPr="005B48CB" w:rsidRDefault="00971E13" w:rsidP="005B48CB">
            <w:pPr>
              <w:pStyle w:val="TableText"/>
            </w:pPr>
            <w:r w:rsidRPr="005B48CB">
              <w:t>Improving our knowledge of how health literacy demands can be reduced and health equity achieved.</w:t>
            </w:r>
          </w:p>
        </w:tc>
        <w:tc>
          <w:tcPr>
            <w:tcW w:w="7324" w:type="dxa"/>
            <w:tcBorders>
              <w:left w:val="single" w:sz="4" w:space="0" w:color="auto"/>
            </w:tcBorders>
            <w:shd w:val="clear" w:color="auto" w:fill="B2D7A1"/>
          </w:tcPr>
          <w:p w:rsidR="00971E13" w:rsidRPr="005B48CB" w:rsidRDefault="00971E13" w:rsidP="001B5288">
            <w:pPr>
              <w:pStyle w:val="TableText"/>
              <w:rPr>
                <w:b/>
                <w:sz w:val="28"/>
                <w:szCs w:val="28"/>
              </w:rPr>
            </w:pPr>
            <w:r w:rsidRPr="005B48CB">
              <w:rPr>
                <w:b/>
                <w:sz w:val="28"/>
                <w:szCs w:val="28"/>
              </w:rPr>
              <w:t>Health system change</w:t>
            </w:r>
          </w:p>
          <w:p w:rsidR="00971E13" w:rsidRPr="005B48CB" w:rsidRDefault="00971E13" w:rsidP="005B48CB">
            <w:pPr>
              <w:pStyle w:val="TableText"/>
            </w:pPr>
            <w:r w:rsidRPr="005B48CB">
              <w:t xml:space="preserve">Being committed to a ‘culture shift’ so that change occurs at all levels of the health system, leading to better health outcomes for individuals and </w:t>
            </w:r>
            <w:proofErr w:type="spellStart"/>
            <w:r w:rsidRPr="005B48CB">
              <w:t>whānau</w:t>
            </w:r>
            <w:proofErr w:type="spellEnd"/>
            <w:r w:rsidRPr="005B48CB">
              <w:t xml:space="preserve"> and reduced health costs.</w:t>
            </w:r>
          </w:p>
        </w:tc>
      </w:tr>
      <w:tr w:rsidR="00971E13" w:rsidRPr="009D3ED9" w:rsidTr="00AC57BF">
        <w:trPr>
          <w:cantSplit/>
        </w:trPr>
        <w:tc>
          <w:tcPr>
            <w:tcW w:w="709" w:type="dxa"/>
            <w:vMerge w:val="restart"/>
            <w:shd w:val="clear" w:color="auto" w:fill="DDEED6"/>
            <w:textDirection w:val="btLr"/>
            <w:vAlign w:val="center"/>
          </w:tcPr>
          <w:p w:rsidR="00971E13" w:rsidRPr="00971E13" w:rsidRDefault="00971E13" w:rsidP="00971E13">
            <w:pPr>
              <w:pStyle w:val="TableText"/>
              <w:spacing w:before="0" w:after="0"/>
              <w:ind w:left="113" w:right="113"/>
              <w:jc w:val="center"/>
              <w:rPr>
                <w:b/>
                <w:sz w:val="28"/>
                <w:szCs w:val="28"/>
              </w:rPr>
            </w:pPr>
            <w:r w:rsidRPr="00971E13">
              <w:rPr>
                <w:b/>
                <w:sz w:val="28"/>
                <w:szCs w:val="28"/>
              </w:rPr>
              <w:t>Health system</w:t>
            </w:r>
          </w:p>
        </w:tc>
        <w:tc>
          <w:tcPr>
            <w:tcW w:w="7323" w:type="dxa"/>
            <w:tcBorders>
              <w:bottom w:val="nil"/>
            </w:tcBorders>
          </w:tcPr>
          <w:p w:rsidR="00971E13" w:rsidRPr="005B48CB" w:rsidRDefault="00971E13" w:rsidP="001B5288">
            <w:pPr>
              <w:pStyle w:val="TableText"/>
              <w:rPr>
                <w:b/>
                <w:sz w:val="24"/>
                <w:szCs w:val="24"/>
              </w:rPr>
            </w:pPr>
            <w:r w:rsidRPr="005B48CB">
              <w:rPr>
                <w:b/>
                <w:sz w:val="24"/>
                <w:szCs w:val="24"/>
              </w:rPr>
              <w:t>Health system leadership sets the expectation that good health literacy policy and practice help individuals to live well, keep well and get well.</w:t>
            </w:r>
          </w:p>
        </w:tc>
        <w:tc>
          <w:tcPr>
            <w:tcW w:w="7324" w:type="dxa"/>
            <w:tcBorders>
              <w:bottom w:val="nil"/>
            </w:tcBorders>
          </w:tcPr>
          <w:p w:rsidR="00971E13" w:rsidRPr="005B48CB" w:rsidRDefault="00971E13" w:rsidP="00A91150">
            <w:pPr>
              <w:pStyle w:val="TableText"/>
              <w:rPr>
                <w:b/>
                <w:sz w:val="24"/>
                <w:szCs w:val="24"/>
              </w:rPr>
            </w:pPr>
            <w:r w:rsidRPr="005B48CB">
              <w:rPr>
                <w:b/>
                <w:sz w:val="24"/>
                <w:szCs w:val="24"/>
              </w:rPr>
              <w:t>The health system builds an evidence base that identifies the changes needed to improve health literacy, reduce demands and support effective innovations.</w:t>
            </w:r>
          </w:p>
        </w:tc>
        <w:tc>
          <w:tcPr>
            <w:tcW w:w="7324" w:type="dxa"/>
            <w:tcBorders>
              <w:bottom w:val="nil"/>
            </w:tcBorders>
          </w:tcPr>
          <w:p w:rsidR="00971E13" w:rsidRPr="005B48CB" w:rsidRDefault="00971E13" w:rsidP="004E1B06">
            <w:pPr>
              <w:pStyle w:val="TableText"/>
              <w:rPr>
                <w:b/>
                <w:sz w:val="24"/>
                <w:szCs w:val="24"/>
              </w:rPr>
            </w:pPr>
            <w:r w:rsidRPr="005B48CB">
              <w:rPr>
                <w:b/>
                <w:sz w:val="24"/>
                <w:szCs w:val="24"/>
              </w:rPr>
              <w:t>The health system is committed to good health literacy practice and invests in changing the way it is organised to improve outcomes.</w:t>
            </w:r>
          </w:p>
        </w:tc>
      </w:tr>
      <w:tr w:rsidR="00971E13" w:rsidRPr="009D3ED9" w:rsidTr="00AC57BF">
        <w:trPr>
          <w:cantSplit/>
        </w:trPr>
        <w:tc>
          <w:tcPr>
            <w:tcW w:w="709" w:type="dxa"/>
            <w:vMerge/>
            <w:shd w:val="clear" w:color="auto" w:fill="DDEED6"/>
            <w:textDirection w:val="btLr"/>
            <w:vAlign w:val="center"/>
          </w:tcPr>
          <w:p w:rsidR="00971E13" w:rsidRPr="00971E13" w:rsidRDefault="00971E13" w:rsidP="00971E13">
            <w:pPr>
              <w:pStyle w:val="TableText"/>
              <w:spacing w:before="0" w:after="0"/>
              <w:ind w:left="113" w:right="113"/>
              <w:jc w:val="center"/>
              <w:rPr>
                <w:b/>
                <w:sz w:val="28"/>
                <w:szCs w:val="28"/>
              </w:rPr>
            </w:pPr>
          </w:p>
        </w:tc>
        <w:tc>
          <w:tcPr>
            <w:tcW w:w="7323" w:type="dxa"/>
            <w:tcBorders>
              <w:top w:val="nil"/>
              <w:bottom w:val="nil"/>
            </w:tcBorders>
            <w:shd w:val="clear" w:color="auto" w:fill="auto"/>
          </w:tcPr>
          <w:p w:rsidR="00971E13" w:rsidRPr="00372849" w:rsidRDefault="00971E13" w:rsidP="005B48CB">
            <w:pPr>
              <w:pStyle w:val="TableText"/>
            </w:pPr>
            <w:r w:rsidRPr="001B5288">
              <w:rPr>
                <w:b/>
              </w:rPr>
              <w:t>What success looks like:</w:t>
            </w:r>
            <w:r>
              <w:t xml:space="preserve"> The health system responds to its role in reducing health literacy demands placed on people when they access health care.</w:t>
            </w:r>
          </w:p>
        </w:tc>
        <w:tc>
          <w:tcPr>
            <w:tcW w:w="7324" w:type="dxa"/>
            <w:tcBorders>
              <w:top w:val="nil"/>
              <w:bottom w:val="nil"/>
            </w:tcBorders>
            <w:shd w:val="clear" w:color="auto" w:fill="auto"/>
          </w:tcPr>
          <w:p w:rsidR="00971E13" w:rsidRPr="007B7405" w:rsidRDefault="00971E13" w:rsidP="005B48CB">
            <w:pPr>
              <w:pStyle w:val="TableText"/>
            </w:pPr>
            <w:r w:rsidRPr="001B5288">
              <w:rPr>
                <w:b/>
              </w:rPr>
              <w:t>What success looks like:</w:t>
            </w:r>
            <w:r w:rsidRPr="00BD1065">
              <w:t xml:space="preserve"> </w:t>
            </w:r>
            <w:r>
              <w:t>The health system has a sophisticated approach to health literacy and builds knowledge that identifies hurdles to accessing health care at every point of contact. These problems are then prioritised for meaningful action.</w:t>
            </w:r>
          </w:p>
        </w:tc>
        <w:tc>
          <w:tcPr>
            <w:tcW w:w="7324" w:type="dxa"/>
            <w:tcBorders>
              <w:top w:val="nil"/>
              <w:bottom w:val="nil"/>
            </w:tcBorders>
            <w:shd w:val="clear" w:color="auto" w:fill="auto"/>
          </w:tcPr>
          <w:p w:rsidR="00971E13" w:rsidRPr="00BD1065" w:rsidRDefault="00971E13" w:rsidP="005B48CB">
            <w:pPr>
              <w:pStyle w:val="TableText"/>
            </w:pPr>
            <w:r w:rsidRPr="001B5288">
              <w:rPr>
                <w:b/>
              </w:rPr>
              <w:t>What success looks like:</w:t>
            </w:r>
            <w:r w:rsidRPr="00BD1065">
              <w:t xml:space="preserve"> </w:t>
            </w:r>
            <w:r>
              <w:t xml:space="preserve">The health system empowers and supports individuals and </w:t>
            </w:r>
            <w:proofErr w:type="spellStart"/>
            <w:r>
              <w:t>whānau</w:t>
            </w:r>
            <w:proofErr w:type="spellEnd"/>
            <w:r>
              <w:t xml:space="preserve"> to make informed decisions on health and wellbeing.</w:t>
            </w:r>
          </w:p>
        </w:tc>
      </w:tr>
      <w:tr w:rsidR="00971E13" w:rsidRPr="009D3ED9" w:rsidTr="00AC57BF">
        <w:trPr>
          <w:cantSplit/>
        </w:trPr>
        <w:tc>
          <w:tcPr>
            <w:tcW w:w="709" w:type="dxa"/>
            <w:vMerge/>
            <w:tcBorders>
              <w:bottom w:val="single" w:sz="4" w:space="0" w:color="auto"/>
            </w:tcBorders>
            <w:shd w:val="clear" w:color="auto" w:fill="DDEED6"/>
            <w:textDirection w:val="btLr"/>
            <w:vAlign w:val="center"/>
          </w:tcPr>
          <w:p w:rsidR="00971E13" w:rsidRPr="00971E13" w:rsidRDefault="00971E13" w:rsidP="00971E13">
            <w:pPr>
              <w:pStyle w:val="TableText"/>
              <w:spacing w:before="0" w:after="0"/>
              <w:ind w:left="113" w:right="113"/>
              <w:jc w:val="center"/>
              <w:rPr>
                <w:b/>
                <w:sz w:val="28"/>
                <w:szCs w:val="28"/>
              </w:rPr>
            </w:pPr>
          </w:p>
        </w:tc>
        <w:tc>
          <w:tcPr>
            <w:tcW w:w="7323" w:type="dxa"/>
            <w:tcBorders>
              <w:top w:val="nil"/>
              <w:bottom w:val="single" w:sz="4" w:space="0" w:color="auto"/>
            </w:tcBorders>
            <w:shd w:val="clear" w:color="auto" w:fill="auto"/>
          </w:tcPr>
          <w:p w:rsidR="00971E13" w:rsidRPr="001B5288" w:rsidRDefault="00971E13" w:rsidP="00F634A3">
            <w:pPr>
              <w:pStyle w:val="TableText"/>
              <w:rPr>
                <w:b/>
              </w:rPr>
            </w:pPr>
            <w:r w:rsidRPr="001B5288">
              <w:rPr>
                <w:b/>
              </w:rPr>
              <w:t>Actions</w:t>
            </w:r>
          </w:p>
          <w:p w:rsidR="00971E13" w:rsidRDefault="00971E13" w:rsidP="001B5288">
            <w:pPr>
              <w:pStyle w:val="TableBullet"/>
            </w:pPr>
            <w:r w:rsidRPr="00BD1065">
              <w:t>Provide strategic guidance to the health sector to support health literacy activities that are based on evidenc</w:t>
            </w:r>
            <w:r>
              <w:t>e and concern the whole system.</w:t>
            </w:r>
          </w:p>
          <w:p w:rsidR="00971E13" w:rsidRPr="00BD1065" w:rsidRDefault="00971E13" w:rsidP="001B5288">
            <w:pPr>
              <w:pStyle w:val="TableBullet"/>
            </w:pPr>
            <w:r>
              <w:t>Incorporate health literacy thinking into advice and system design.</w:t>
            </w:r>
          </w:p>
          <w:p w:rsidR="00971E13" w:rsidRPr="00BD1065" w:rsidRDefault="00971E13" w:rsidP="001B5288">
            <w:pPr>
              <w:pStyle w:val="TableBullet"/>
            </w:pPr>
            <w:r w:rsidRPr="00BD1065">
              <w:t>Establish a health literacy group and health literacy champions that are mandated by or include senior leaders.</w:t>
            </w:r>
          </w:p>
          <w:p w:rsidR="00971E13" w:rsidRDefault="00971E13" w:rsidP="001B5288">
            <w:pPr>
              <w:pStyle w:val="TableBullet"/>
            </w:pPr>
            <w:r w:rsidRPr="00BD1065">
              <w:t xml:space="preserve">Choose communication </w:t>
            </w:r>
            <w:r>
              <w:t>approaches that:</w:t>
            </w:r>
          </w:p>
          <w:p w:rsidR="00971E13" w:rsidRDefault="00971E13" w:rsidP="005B48CB">
            <w:pPr>
              <w:pStyle w:val="TableDash"/>
            </w:pPr>
            <w:r>
              <w:t xml:space="preserve">are </w:t>
            </w:r>
            <w:r w:rsidR="005B48CB">
              <w:t>evidence based</w:t>
            </w:r>
          </w:p>
          <w:p w:rsidR="00971E13" w:rsidRDefault="00971E13" w:rsidP="005B48CB">
            <w:pPr>
              <w:pStyle w:val="TableDash"/>
            </w:pPr>
            <w:r w:rsidRPr="00BD1065">
              <w:t xml:space="preserve">make the most of consumer-focused technology to meet the </w:t>
            </w:r>
            <w:r w:rsidR="005B48CB">
              <w:t xml:space="preserve">needs of individuals and </w:t>
            </w:r>
            <w:proofErr w:type="spellStart"/>
            <w:r w:rsidR="005B48CB">
              <w:t>whānau</w:t>
            </w:r>
            <w:proofErr w:type="spellEnd"/>
          </w:p>
          <w:p w:rsidR="00971E13" w:rsidRDefault="00971E13" w:rsidP="005B48CB">
            <w:pPr>
              <w:pStyle w:val="TableDash"/>
              <w:spacing w:after="120"/>
            </w:pPr>
            <w:proofErr w:type="gramStart"/>
            <w:r>
              <w:t>reduce</w:t>
            </w:r>
            <w:proofErr w:type="gramEnd"/>
            <w:r>
              <w:t xml:space="preserve"> health literacy demands in the health system.</w:t>
            </w:r>
          </w:p>
        </w:tc>
        <w:tc>
          <w:tcPr>
            <w:tcW w:w="7324" w:type="dxa"/>
            <w:tcBorders>
              <w:top w:val="nil"/>
              <w:bottom w:val="single" w:sz="4" w:space="0" w:color="auto"/>
            </w:tcBorders>
            <w:shd w:val="clear" w:color="auto" w:fill="auto"/>
          </w:tcPr>
          <w:p w:rsidR="00971E13" w:rsidRPr="001B5288" w:rsidRDefault="00971E13" w:rsidP="00F634A3">
            <w:pPr>
              <w:pStyle w:val="TableText"/>
              <w:rPr>
                <w:b/>
              </w:rPr>
            </w:pPr>
            <w:r w:rsidRPr="001B5288">
              <w:rPr>
                <w:b/>
                <w:noProof/>
                <w:lang w:eastAsia="en-NZ"/>
              </w:rPr>
              <w:t>Actions</w:t>
            </w:r>
          </w:p>
          <w:p w:rsidR="00971E13" w:rsidRDefault="00971E13" w:rsidP="001B5288">
            <w:pPr>
              <w:pStyle w:val="TableBullet"/>
            </w:pPr>
            <w:r>
              <w:t xml:space="preserve">Build understanding of the impact of health literacy on New Zealand population(s), furthering the work of </w:t>
            </w:r>
            <w:proofErr w:type="spellStart"/>
            <w:r>
              <w:rPr>
                <w:i/>
              </w:rPr>
              <w:t>Kōrero</w:t>
            </w:r>
            <w:proofErr w:type="spellEnd"/>
            <w:r>
              <w:rPr>
                <w:i/>
              </w:rPr>
              <w:t xml:space="preserve"> </w:t>
            </w:r>
            <w:proofErr w:type="spellStart"/>
            <w:r>
              <w:rPr>
                <w:i/>
              </w:rPr>
              <w:t>Mārama</w:t>
            </w:r>
            <w:proofErr w:type="spellEnd"/>
            <w:r>
              <w:rPr>
                <w:rStyle w:val="EndnoteReference"/>
                <w:i/>
              </w:rPr>
              <w:endnoteReference w:id="1"/>
            </w:r>
            <w:r w:rsidRPr="001B5288">
              <w:t>.</w:t>
            </w:r>
          </w:p>
          <w:p w:rsidR="00971E13" w:rsidRPr="00805784" w:rsidRDefault="00971E13" w:rsidP="001B5288">
            <w:pPr>
              <w:pStyle w:val="TableBullet"/>
            </w:pPr>
            <w:r w:rsidRPr="00BD1065">
              <w:t xml:space="preserve">Build the evidence base of effective ways to build health literacy </w:t>
            </w:r>
            <w:r>
              <w:t>and reduce health system demands, and share information about innovations.</w:t>
            </w:r>
          </w:p>
          <w:p w:rsidR="00971E13" w:rsidRPr="00BD1065" w:rsidRDefault="00971E13" w:rsidP="001B5288">
            <w:pPr>
              <w:pStyle w:val="TableBullet"/>
            </w:pPr>
            <w:r w:rsidRPr="00BD1065">
              <w:t>Develop evaluation methods that take account of the complex nature of health literacy.</w:t>
            </w:r>
          </w:p>
          <w:p w:rsidR="00971E13" w:rsidRPr="00BD1065" w:rsidRDefault="00971E13" w:rsidP="00504126">
            <w:pPr>
              <w:pStyle w:val="TableBullet"/>
            </w:pPr>
            <w:r w:rsidRPr="00BD1065">
              <w:t>Develop partnerships with and between research, education and practice communities to build and share knowledge of health literacy. Some examples of collaborating agencies are the Health Quality and Safety Commission, the Health Research Council and the Ministry of Education.</w:t>
            </w:r>
          </w:p>
        </w:tc>
        <w:tc>
          <w:tcPr>
            <w:tcW w:w="7324" w:type="dxa"/>
            <w:tcBorders>
              <w:top w:val="nil"/>
              <w:bottom w:val="single" w:sz="4" w:space="0" w:color="auto"/>
            </w:tcBorders>
            <w:shd w:val="clear" w:color="auto" w:fill="auto"/>
          </w:tcPr>
          <w:p w:rsidR="00971E13" w:rsidRPr="001B5288" w:rsidRDefault="00971E13" w:rsidP="00F634A3">
            <w:pPr>
              <w:pStyle w:val="TableText"/>
              <w:rPr>
                <w:b/>
              </w:rPr>
            </w:pPr>
            <w:r w:rsidRPr="001B5288">
              <w:rPr>
                <w:b/>
                <w:noProof/>
                <w:lang w:eastAsia="en-NZ"/>
              </w:rPr>
              <w:t>Actions</w:t>
            </w:r>
          </w:p>
          <w:p w:rsidR="00971E13" w:rsidRPr="005A6763" w:rsidRDefault="00971E13" w:rsidP="001B5288">
            <w:pPr>
              <w:pStyle w:val="TableBullet"/>
            </w:pPr>
            <w:r w:rsidRPr="00495EAF">
              <w:t>Implement policies, pathways and processes that make it easier for people to access and find thei</w:t>
            </w:r>
            <w:r>
              <w:t>r way through the health system</w:t>
            </w:r>
            <w:r w:rsidRPr="00495EAF">
              <w:t xml:space="preserve">. </w:t>
            </w:r>
          </w:p>
          <w:p w:rsidR="00971E13" w:rsidRDefault="00971E13" w:rsidP="001B5288">
            <w:pPr>
              <w:pStyle w:val="TableBullet"/>
            </w:pPr>
            <w:r w:rsidRPr="00433395">
              <w:t xml:space="preserve">Redesign systems to best equip individuals and </w:t>
            </w:r>
            <w:proofErr w:type="spellStart"/>
            <w:r w:rsidRPr="00433395">
              <w:t>whānau</w:t>
            </w:r>
            <w:proofErr w:type="spellEnd"/>
            <w:r w:rsidRPr="00433395">
              <w:t xml:space="preserve"> to live well and keep well, manage any conditions, navigate the health system, communicate effectively and make informed decisions</w:t>
            </w:r>
            <w:r>
              <w:t>.</w:t>
            </w:r>
          </w:p>
          <w:p w:rsidR="00971E13" w:rsidRDefault="00971E13" w:rsidP="001B5288">
            <w:pPr>
              <w:pStyle w:val="TableBullet"/>
            </w:pPr>
            <w:r>
              <w:t xml:space="preserve">Include individuals and </w:t>
            </w:r>
            <w:proofErr w:type="spellStart"/>
            <w:r>
              <w:t>whānau</w:t>
            </w:r>
            <w:proofErr w:type="spellEnd"/>
            <w:r>
              <w:t xml:space="preserve"> input to service design.</w:t>
            </w:r>
          </w:p>
          <w:p w:rsidR="00971E13" w:rsidRPr="00BD1065" w:rsidRDefault="00971E13" w:rsidP="003D5A42">
            <w:pPr>
              <w:pStyle w:val="TableBullet"/>
            </w:pPr>
            <w:r>
              <w:t>Acknowledge the role that health literacy plays in the</w:t>
            </w:r>
            <w:r w:rsidRPr="00433395">
              <w:t xml:space="preserve"> quality and safety of health services</w:t>
            </w:r>
            <w:r>
              <w:t xml:space="preserve"> and programme design.</w:t>
            </w:r>
          </w:p>
        </w:tc>
      </w:tr>
      <w:tr w:rsidR="00971E13" w:rsidRPr="001B5288" w:rsidTr="00AC57BF">
        <w:trPr>
          <w:cantSplit/>
        </w:trPr>
        <w:tc>
          <w:tcPr>
            <w:tcW w:w="709" w:type="dxa"/>
            <w:vMerge w:val="restart"/>
            <w:shd w:val="clear" w:color="auto" w:fill="DDEED6"/>
            <w:textDirection w:val="btLr"/>
            <w:vAlign w:val="center"/>
          </w:tcPr>
          <w:p w:rsidR="00971E13" w:rsidRPr="00971E13" w:rsidRDefault="00971E13" w:rsidP="00971E13">
            <w:pPr>
              <w:pStyle w:val="TableText"/>
              <w:spacing w:before="0" w:after="0"/>
              <w:ind w:left="113" w:right="113"/>
              <w:jc w:val="center"/>
              <w:rPr>
                <w:b/>
                <w:sz w:val="28"/>
                <w:szCs w:val="28"/>
              </w:rPr>
            </w:pPr>
            <w:r w:rsidRPr="00971E13">
              <w:rPr>
                <w:b/>
                <w:sz w:val="28"/>
                <w:szCs w:val="28"/>
              </w:rPr>
              <w:t>Health organisation</w:t>
            </w:r>
          </w:p>
        </w:tc>
        <w:tc>
          <w:tcPr>
            <w:tcW w:w="7323" w:type="dxa"/>
            <w:tcBorders>
              <w:bottom w:val="nil"/>
            </w:tcBorders>
          </w:tcPr>
          <w:p w:rsidR="00971E13" w:rsidRPr="005B48CB" w:rsidRDefault="00971E13" w:rsidP="00BF15D9">
            <w:pPr>
              <w:pStyle w:val="TableText"/>
              <w:rPr>
                <w:b/>
                <w:sz w:val="24"/>
                <w:szCs w:val="24"/>
              </w:rPr>
            </w:pPr>
            <w:r w:rsidRPr="005B48CB">
              <w:rPr>
                <w:b/>
                <w:sz w:val="24"/>
                <w:szCs w:val="24"/>
              </w:rPr>
              <w:t>Health organisation leadership is about ensuring that health literacy is a core organisational value that helps drive quality improvement and achieve health equity.</w:t>
            </w:r>
          </w:p>
        </w:tc>
        <w:tc>
          <w:tcPr>
            <w:tcW w:w="7324" w:type="dxa"/>
            <w:tcBorders>
              <w:bottom w:val="nil"/>
            </w:tcBorders>
          </w:tcPr>
          <w:p w:rsidR="00971E13" w:rsidRPr="005B48CB" w:rsidRDefault="00971E13" w:rsidP="005C4382">
            <w:pPr>
              <w:pStyle w:val="TableText"/>
              <w:rPr>
                <w:b/>
                <w:sz w:val="24"/>
                <w:szCs w:val="24"/>
              </w:rPr>
            </w:pPr>
            <w:r w:rsidRPr="005B48CB">
              <w:rPr>
                <w:b/>
                <w:sz w:val="24"/>
                <w:szCs w:val="24"/>
              </w:rPr>
              <w:t>Health organisations must build knowledge about how they can improve health outcomes by making their services and facilities health literacy friendly.</w:t>
            </w:r>
          </w:p>
        </w:tc>
        <w:tc>
          <w:tcPr>
            <w:tcW w:w="7324" w:type="dxa"/>
            <w:tcBorders>
              <w:bottom w:val="nil"/>
            </w:tcBorders>
          </w:tcPr>
          <w:p w:rsidR="00971E13" w:rsidRPr="005B48CB" w:rsidRDefault="00971E13" w:rsidP="001B5288">
            <w:pPr>
              <w:pStyle w:val="TableText"/>
              <w:rPr>
                <w:b/>
                <w:sz w:val="24"/>
                <w:szCs w:val="24"/>
              </w:rPr>
            </w:pPr>
            <w:r w:rsidRPr="005B48CB">
              <w:rPr>
                <w:b/>
                <w:sz w:val="24"/>
                <w:szCs w:val="24"/>
              </w:rPr>
              <w:t>Health organisations must express their commitment to health literacy by creating an environment that reduces health literacy demands.</w:t>
            </w:r>
          </w:p>
        </w:tc>
      </w:tr>
      <w:tr w:rsidR="00971E13" w:rsidRPr="00A8165D" w:rsidTr="00AC57BF">
        <w:trPr>
          <w:cantSplit/>
        </w:trPr>
        <w:tc>
          <w:tcPr>
            <w:tcW w:w="709" w:type="dxa"/>
            <w:vMerge/>
            <w:shd w:val="clear" w:color="auto" w:fill="DDEED6"/>
            <w:textDirection w:val="btLr"/>
            <w:vAlign w:val="center"/>
          </w:tcPr>
          <w:p w:rsidR="00971E13" w:rsidRPr="00971E13" w:rsidRDefault="00971E13" w:rsidP="00971E13">
            <w:pPr>
              <w:pStyle w:val="TableText"/>
              <w:spacing w:before="0" w:after="0"/>
              <w:ind w:left="113" w:right="113"/>
              <w:jc w:val="center"/>
              <w:rPr>
                <w:b/>
                <w:sz w:val="28"/>
                <w:szCs w:val="28"/>
              </w:rPr>
            </w:pPr>
          </w:p>
        </w:tc>
        <w:tc>
          <w:tcPr>
            <w:tcW w:w="7323" w:type="dxa"/>
            <w:tcBorders>
              <w:top w:val="nil"/>
              <w:bottom w:val="nil"/>
            </w:tcBorders>
            <w:shd w:val="clear" w:color="auto" w:fill="auto"/>
          </w:tcPr>
          <w:p w:rsidR="00971E13" w:rsidRPr="00D95FF3" w:rsidRDefault="00971E13" w:rsidP="005B48CB">
            <w:pPr>
              <w:pStyle w:val="TableText"/>
            </w:pPr>
            <w:r w:rsidRPr="001B5288">
              <w:rPr>
                <w:b/>
              </w:rPr>
              <w:t>What success looks like:</w:t>
            </w:r>
            <w:r w:rsidRPr="00D95FF3">
              <w:t xml:space="preserve"> </w:t>
            </w:r>
            <w:r>
              <w:t>Health organisations consider health literacy in all of aspects of their work. This is visible in the way that organisations communicate, provide information, present their facilities, and interact with people.</w:t>
            </w:r>
          </w:p>
        </w:tc>
        <w:tc>
          <w:tcPr>
            <w:tcW w:w="7324" w:type="dxa"/>
            <w:tcBorders>
              <w:top w:val="nil"/>
              <w:bottom w:val="nil"/>
            </w:tcBorders>
            <w:shd w:val="clear" w:color="auto" w:fill="auto"/>
          </w:tcPr>
          <w:p w:rsidR="00971E13" w:rsidRPr="009C7F0E" w:rsidRDefault="00971E13" w:rsidP="005B48CB">
            <w:pPr>
              <w:pStyle w:val="TableText"/>
              <w:rPr>
                <w:sz w:val="20"/>
                <w:szCs w:val="20"/>
              </w:rPr>
            </w:pPr>
            <w:r w:rsidRPr="001B5288">
              <w:rPr>
                <w:b/>
              </w:rPr>
              <w:t>What success looks like:</w:t>
            </w:r>
            <w:r w:rsidRPr="009026DC">
              <w:t xml:space="preserve"> </w:t>
            </w:r>
            <w:r>
              <w:t xml:space="preserve">Health organisations encourage individuals and </w:t>
            </w:r>
            <w:proofErr w:type="spellStart"/>
            <w:r>
              <w:t>whānau</w:t>
            </w:r>
            <w:proofErr w:type="spellEnd"/>
            <w:r>
              <w:t xml:space="preserve"> to provide </w:t>
            </w:r>
            <w:r w:rsidRPr="009026DC">
              <w:t xml:space="preserve">input </w:t>
            </w:r>
            <w:r>
              <w:t xml:space="preserve">into how the organisations do things, at every point </w:t>
            </w:r>
            <w:r w:rsidRPr="009026DC">
              <w:t>of the patient journey</w:t>
            </w:r>
            <w:r>
              <w:t xml:space="preserve">. </w:t>
            </w:r>
          </w:p>
        </w:tc>
        <w:tc>
          <w:tcPr>
            <w:tcW w:w="7324" w:type="dxa"/>
            <w:tcBorders>
              <w:top w:val="nil"/>
              <w:bottom w:val="nil"/>
            </w:tcBorders>
            <w:shd w:val="clear" w:color="auto" w:fill="auto"/>
          </w:tcPr>
          <w:p w:rsidR="00971E13" w:rsidRPr="00A8165D" w:rsidRDefault="00971E13" w:rsidP="005B48CB">
            <w:pPr>
              <w:pStyle w:val="TableText"/>
            </w:pPr>
            <w:r w:rsidRPr="001B5288">
              <w:rPr>
                <w:b/>
              </w:rPr>
              <w:t>What success looks like:</w:t>
            </w:r>
            <w:r w:rsidRPr="00A8165D">
              <w:t xml:space="preserve"> </w:t>
            </w:r>
            <w:r>
              <w:t>Health organisations provide</w:t>
            </w:r>
            <w:r w:rsidRPr="009144E8">
              <w:t xml:space="preserve"> access </w:t>
            </w:r>
            <w:r>
              <w:t xml:space="preserve">to health </w:t>
            </w:r>
            <w:r w:rsidRPr="009144E8">
              <w:t xml:space="preserve">services </w:t>
            </w:r>
            <w:r>
              <w:t>where good health literacy practice is taken seriously and used consistently.</w:t>
            </w:r>
          </w:p>
        </w:tc>
      </w:tr>
      <w:tr w:rsidR="00971E13" w:rsidRPr="00A8165D" w:rsidTr="00AC57BF">
        <w:trPr>
          <w:cantSplit/>
        </w:trPr>
        <w:tc>
          <w:tcPr>
            <w:tcW w:w="709" w:type="dxa"/>
            <w:vMerge/>
            <w:tcBorders>
              <w:bottom w:val="single" w:sz="4" w:space="0" w:color="auto"/>
            </w:tcBorders>
            <w:shd w:val="clear" w:color="auto" w:fill="DDEED6"/>
            <w:textDirection w:val="btLr"/>
            <w:vAlign w:val="center"/>
          </w:tcPr>
          <w:p w:rsidR="00971E13" w:rsidRPr="00971E13" w:rsidRDefault="00971E13" w:rsidP="00971E13">
            <w:pPr>
              <w:pStyle w:val="TableText"/>
              <w:spacing w:before="0" w:after="0"/>
              <w:ind w:left="113" w:right="113"/>
              <w:jc w:val="center"/>
              <w:rPr>
                <w:b/>
                <w:sz w:val="28"/>
                <w:szCs w:val="28"/>
              </w:rPr>
            </w:pPr>
          </w:p>
        </w:tc>
        <w:tc>
          <w:tcPr>
            <w:tcW w:w="7323" w:type="dxa"/>
            <w:tcBorders>
              <w:top w:val="nil"/>
              <w:bottom w:val="single" w:sz="4" w:space="0" w:color="auto"/>
            </w:tcBorders>
            <w:shd w:val="clear" w:color="auto" w:fill="auto"/>
          </w:tcPr>
          <w:p w:rsidR="00971E13" w:rsidRPr="001B5288" w:rsidRDefault="00971E13" w:rsidP="00F634A3">
            <w:pPr>
              <w:pStyle w:val="TableText"/>
              <w:rPr>
                <w:b/>
              </w:rPr>
            </w:pPr>
            <w:r w:rsidRPr="001B5288">
              <w:rPr>
                <w:b/>
              </w:rPr>
              <w:t>Actions</w:t>
            </w:r>
          </w:p>
          <w:p w:rsidR="00971E13" w:rsidRDefault="00971E13" w:rsidP="001B5288">
            <w:pPr>
              <w:pStyle w:val="TableBullet"/>
            </w:pPr>
            <w:r>
              <w:t>Facilitate staff access to</w:t>
            </w:r>
            <w:r w:rsidRPr="003D1B1A">
              <w:t xml:space="preserve"> </w:t>
            </w:r>
            <w:r>
              <w:t>a comprehensive programme of workforce development in good health literacy practice.</w:t>
            </w:r>
          </w:p>
          <w:p w:rsidR="00971E13" w:rsidRPr="003D1B1A" w:rsidRDefault="00971E13" w:rsidP="001B5288">
            <w:pPr>
              <w:pStyle w:val="TableBullet"/>
            </w:pPr>
            <w:r w:rsidRPr="003D1B1A">
              <w:t>Grow health literacy leadership, cultivate champions and delegate authority for health literacy oversight.</w:t>
            </w:r>
          </w:p>
          <w:p w:rsidR="00971E13" w:rsidRPr="00D95FF3" w:rsidRDefault="00971E13" w:rsidP="00E5317C">
            <w:pPr>
              <w:pStyle w:val="TableBullet"/>
            </w:pPr>
            <w:r>
              <w:t>Organisations responsible for setting professional standards recognise the link between cultural competency and health literacy, and they apply this to professional development programmes.</w:t>
            </w:r>
          </w:p>
        </w:tc>
        <w:tc>
          <w:tcPr>
            <w:tcW w:w="7324" w:type="dxa"/>
            <w:tcBorders>
              <w:top w:val="nil"/>
              <w:bottom w:val="single" w:sz="4" w:space="0" w:color="auto"/>
            </w:tcBorders>
            <w:shd w:val="clear" w:color="auto" w:fill="auto"/>
          </w:tcPr>
          <w:p w:rsidR="00971E13" w:rsidRPr="001B5288" w:rsidRDefault="00971E13" w:rsidP="00F634A3">
            <w:pPr>
              <w:pStyle w:val="TableText"/>
              <w:rPr>
                <w:b/>
              </w:rPr>
            </w:pPr>
            <w:r w:rsidRPr="001B5288">
              <w:rPr>
                <w:b/>
              </w:rPr>
              <w:t>Actions</w:t>
            </w:r>
          </w:p>
          <w:p w:rsidR="00971E13" w:rsidRPr="009026DC" w:rsidRDefault="00971E13" w:rsidP="001B5288">
            <w:pPr>
              <w:pStyle w:val="TableBullet"/>
            </w:pPr>
            <w:r w:rsidRPr="009026DC">
              <w:t>Review the status of health literacy</w:t>
            </w:r>
            <w:r>
              <w:t xml:space="preserve"> in an organisation</w:t>
            </w:r>
            <w:r w:rsidRPr="009026DC">
              <w:t xml:space="preserve"> using </w:t>
            </w:r>
            <w:r>
              <w:t>the six d</w:t>
            </w:r>
            <w:r w:rsidRPr="007D1BFE">
              <w:t>imensions of a health literate organisation</w:t>
            </w:r>
            <w:r w:rsidRPr="00092353">
              <w:rPr>
                <w:i/>
              </w:rPr>
              <w:t xml:space="preserve"> </w:t>
            </w:r>
            <w:r w:rsidRPr="009026DC">
              <w:t xml:space="preserve">(see tools such as the </w:t>
            </w:r>
            <w:r w:rsidRPr="009026DC">
              <w:rPr>
                <w:i/>
              </w:rPr>
              <w:t>Review of Health Literacy: A guide</w:t>
            </w:r>
            <w:r w:rsidRPr="009026DC">
              <w:t xml:space="preserve"> for health organisations</w:t>
            </w:r>
            <w:r w:rsidRPr="001B5288">
              <w:rPr>
                <w:rStyle w:val="EndnoteReference"/>
              </w:rPr>
              <w:endnoteReference w:id="2"/>
            </w:r>
            <w:r w:rsidRPr="009026DC">
              <w:t>).</w:t>
            </w:r>
          </w:p>
          <w:p w:rsidR="00971E13" w:rsidRPr="009026DC" w:rsidRDefault="00971E13" w:rsidP="001B5288">
            <w:pPr>
              <w:pStyle w:val="TableBullet"/>
            </w:pPr>
            <w:r>
              <w:t>Share k</w:t>
            </w:r>
            <w:r w:rsidRPr="009026DC">
              <w:t xml:space="preserve">nowledge with other health organisations </w:t>
            </w:r>
            <w:r>
              <w:t>that</w:t>
            </w:r>
            <w:r w:rsidRPr="009026DC">
              <w:t xml:space="preserve"> are undertaking a health literacy review</w:t>
            </w:r>
            <w:r>
              <w:t>.</w:t>
            </w:r>
          </w:p>
          <w:p w:rsidR="00971E13" w:rsidRPr="009026DC" w:rsidRDefault="00971E13" w:rsidP="001B5288">
            <w:pPr>
              <w:pStyle w:val="TableBullet"/>
            </w:pPr>
            <w:r w:rsidRPr="009026DC">
              <w:t xml:space="preserve">Use tools such as </w:t>
            </w:r>
            <w:proofErr w:type="spellStart"/>
            <w:r w:rsidRPr="00A8165D">
              <w:rPr>
                <w:i/>
              </w:rPr>
              <w:t>Rauemi</w:t>
            </w:r>
            <w:proofErr w:type="spellEnd"/>
            <w:r w:rsidRPr="00A8165D">
              <w:rPr>
                <w:i/>
              </w:rPr>
              <w:t xml:space="preserve"> </w:t>
            </w:r>
            <w:proofErr w:type="spellStart"/>
            <w:r w:rsidRPr="00A8165D">
              <w:rPr>
                <w:i/>
              </w:rPr>
              <w:t>Atawhai</w:t>
            </w:r>
            <w:proofErr w:type="spellEnd"/>
            <w:r w:rsidRPr="00A8165D">
              <w:rPr>
                <w:i/>
              </w:rPr>
              <w:t>: A guide to developing health education resources in New Zealand</w:t>
            </w:r>
            <w:r w:rsidRPr="009026DC">
              <w:t xml:space="preserve"> to rev</w:t>
            </w:r>
            <w:r>
              <w:t>iew existing resources</w:t>
            </w:r>
            <w:r w:rsidRPr="001B5288">
              <w:rPr>
                <w:rStyle w:val="EndnoteReference"/>
              </w:rPr>
              <w:endnoteReference w:id="3"/>
            </w:r>
            <w:r>
              <w:t>.</w:t>
            </w:r>
          </w:p>
        </w:tc>
        <w:tc>
          <w:tcPr>
            <w:tcW w:w="7324" w:type="dxa"/>
            <w:tcBorders>
              <w:top w:val="nil"/>
              <w:bottom w:val="single" w:sz="4" w:space="0" w:color="auto"/>
            </w:tcBorders>
            <w:shd w:val="clear" w:color="auto" w:fill="auto"/>
          </w:tcPr>
          <w:p w:rsidR="00971E13" w:rsidRPr="001B5288" w:rsidRDefault="00971E13" w:rsidP="00F634A3">
            <w:pPr>
              <w:pStyle w:val="TableText"/>
              <w:rPr>
                <w:b/>
              </w:rPr>
            </w:pPr>
            <w:r w:rsidRPr="001B5288">
              <w:rPr>
                <w:b/>
              </w:rPr>
              <w:t>Actions</w:t>
            </w:r>
          </w:p>
          <w:p w:rsidR="00971E13" w:rsidRDefault="00971E13" w:rsidP="001B5288">
            <w:pPr>
              <w:pStyle w:val="TableBullet"/>
            </w:pPr>
            <w:r w:rsidRPr="009026DC">
              <w:t xml:space="preserve">Develop, implement and resource action plans to build health literacy </w:t>
            </w:r>
            <w:r>
              <w:t>in a long term, sustainable way</w:t>
            </w:r>
            <w:r>
              <w:rPr>
                <w:rStyle w:val="EndnoteReference"/>
              </w:rPr>
              <w:t>2</w:t>
            </w:r>
            <w:r>
              <w:t>.</w:t>
            </w:r>
          </w:p>
          <w:p w:rsidR="00971E13" w:rsidRPr="009026DC" w:rsidRDefault="00971E13" w:rsidP="001B5288">
            <w:pPr>
              <w:pStyle w:val="TableBullet"/>
            </w:pPr>
            <w:r w:rsidRPr="009026DC">
              <w:t>Make the health care environment easy for people to find their way through with clear signs and directions, use of plain language, including reader-friendly pr</w:t>
            </w:r>
            <w:r>
              <w:t>int and web-based information.</w:t>
            </w:r>
          </w:p>
          <w:p w:rsidR="00971E13" w:rsidRPr="009026DC" w:rsidRDefault="00971E13" w:rsidP="001B5288">
            <w:pPr>
              <w:pStyle w:val="TableBullet"/>
            </w:pPr>
            <w:r w:rsidRPr="009026DC">
              <w:t xml:space="preserve">Routinely invite individuals and </w:t>
            </w:r>
            <w:proofErr w:type="spellStart"/>
            <w:r w:rsidRPr="009026DC">
              <w:t>whānau</w:t>
            </w:r>
            <w:proofErr w:type="spellEnd"/>
            <w:r w:rsidRPr="009026DC">
              <w:t xml:space="preserve"> </w:t>
            </w:r>
            <w:r>
              <w:t xml:space="preserve">to provide input </w:t>
            </w:r>
            <w:r w:rsidRPr="009026DC">
              <w:t>to</w:t>
            </w:r>
            <w:r>
              <w:t xml:space="preserve"> and feedback on </w:t>
            </w:r>
            <w:r w:rsidRPr="009026DC">
              <w:t>the services they use</w:t>
            </w:r>
            <w:r>
              <w:t>.</w:t>
            </w:r>
          </w:p>
          <w:p w:rsidR="00971E13" w:rsidRPr="00A8165D" w:rsidRDefault="00971E13" w:rsidP="005B48CB">
            <w:pPr>
              <w:pStyle w:val="TableBullet"/>
              <w:spacing w:after="120"/>
            </w:pPr>
            <w:r w:rsidRPr="009026DC">
              <w:t xml:space="preserve">Gather information from individuals and </w:t>
            </w:r>
            <w:proofErr w:type="spellStart"/>
            <w:r w:rsidRPr="009026DC">
              <w:t>whānau</w:t>
            </w:r>
            <w:proofErr w:type="spellEnd"/>
            <w:r w:rsidRPr="009026DC">
              <w:t xml:space="preserve"> to check that they are not stigmatised or labelled as having </w:t>
            </w:r>
            <w:r>
              <w:t xml:space="preserve">low </w:t>
            </w:r>
            <w:r w:rsidRPr="009026DC">
              <w:t>health literacy, and that they feel confident navigating their way around the service.</w:t>
            </w:r>
          </w:p>
        </w:tc>
      </w:tr>
      <w:tr w:rsidR="00971E13" w:rsidRPr="00CD3434" w:rsidTr="00AC57BF">
        <w:trPr>
          <w:cantSplit/>
        </w:trPr>
        <w:tc>
          <w:tcPr>
            <w:tcW w:w="709" w:type="dxa"/>
            <w:vMerge w:val="restart"/>
            <w:shd w:val="clear" w:color="auto" w:fill="DDEED6"/>
            <w:textDirection w:val="btLr"/>
            <w:vAlign w:val="center"/>
          </w:tcPr>
          <w:p w:rsidR="00971E13" w:rsidRPr="00971E13" w:rsidRDefault="00971E13" w:rsidP="005B48CB">
            <w:pPr>
              <w:pStyle w:val="TableText"/>
              <w:keepNext/>
              <w:spacing w:before="0" w:after="0"/>
              <w:ind w:left="113" w:right="113"/>
              <w:jc w:val="center"/>
              <w:rPr>
                <w:b/>
                <w:sz w:val="28"/>
                <w:szCs w:val="28"/>
              </w:rPr>
            </w:pPr>
            <w:r w:rsidRPr="00971E13">
              <w:rPr>
                <w:b/>
                <w:sz w:val="28"/>
                <w:szCs w:val="28"/>
              </w:rPr>
              <w:lastRenderedPageBreak/>
              <w:t>Health workforce</w:t>
            </w:r>
          </w:p>
        </w:tc>
        <w:tc>
          <w:tcPr>
            <w:tcW w:w="7323" w:type="dxa"/>
            <w:tcBorders>
              <w:bottom w:val="nil"/>
            </w:tcBorders>
          </w:tcPr>
          <w:p w:rsidR="00971E13" w:rsidRPr="00F634A3" w:rsidRDefault="00971E13" w:rsidP="005B48CB">
            <w:pPr>
              <w:pStyle w:val="TableText"/>
              <w:keepNext/>
              <w:rPr>
                <w:b/>
                <w:spacing w:val="-2"/>
                <w:sz w:val="24"/>
                <w:szCs w:val="24"/>
              </w:rPr>
            </w:pPr>
            <w:r w:rsidRPr="00F634A3">
              <w:rPr>
                <w:b/>
                <w:spacing w:val="-2"/>
                <w:sz w:val="24"/>
                <w:szCs w:val="24"/>
              </w:rPr>
              <w:t xml:space="preserve">Health workforce leadership is about being seen by peers, individuals and </w:t>
            </w:r>
            <w:proofErr w:type="spellStart"/>
            <w:r w:rsidRPr="00F634A3">
              <w:rPr>
                <w:b/>
                <w:spacing w:val="-2"/>
                <w:sz w:val="24"/>
                <w:szCs w:val="24"/>
              </w:rPr>
              <w:t>whānau</w:t>
            </w:r>
            <w:proofErr w:type="spellEnd"/>
            <w:r w:rsidRPr="00F634A3">
              <w:rPr>
                <w:b/>
                <w:spacing w:val="-2"/>
                <w:sz w:val="24"/>
                <w:szCs w:val="24"/>
              </w:rPr>
              <w:t xml:space="preserve"> as effective communicators, who champion good health literacy practice.</w:t>
            </w:r>
          </w:p>
        </w:tc>
        <w:tc>
          <w:tcPr>
            <w:tcW w:w="7324" w:type="dxa"/>
            <w:tcBorders>
              <w:bottom w:val="nil"/>
            </w:tcBorders>
          </w:tcPr>
          <w:p w:rsidR="00971E13" w:rsidRPr="005B48CB" w:rsidRDefault="00971E13" w:rsidP="005B48CB">
            <w:pPr>
              <w:pStyle w:val="TableText"/>
              <w:keepNext/>
              <w:rPr>
                <w:b/>
                <w:sz w:val="24"/>
                <w:szCs w:val="24"/>
              </w:rPr>
            </w:pPr>
            <w:r w:rsidRPr="005B48CB">
              <w:rPr>
                <w:b/>
                <w:sz w:val="24"/>
                <w:szCs w:val="24"/>
              </w:rPr>
              <w:t>The health workforce can contribute to improved understanding of good health literacy practice.</w:t>
            </w:r>
          </w:p>
        </w:tc>
        <w:tc>
          <w:tcPr>
            <w:tcW w:w="7324" w:type="dxa"/>
            <w:tcBorders>
              <w:bottom w:val="nil"/>
            </w:tcBorders>
          </w:tcPr>
          <w:p w:rsidR="00971E13" w:rsidRPr="005B48CB" w:rsidRDefault="00971E13" w:rsidP="00AC57BF">
            <w:pPr>
              <w:pStyle w:val="TableText"/>
              <w:keepNext/>
              <w:rPr>
                <w:b/>
                <w:sz w:val="24"/>
                <w:szCs w:val="24"/>
              </w:rPr>
            </w:pPr>
            <w:r w:rsidRPr="005B48CB">
              <w:rPr>
                <w:b/>
                <w:sz w:val="24"/>
                <w:szCs w:val="24"/>
              </w:rPr>
              <w:t>The health workforce must be committed to good health literacy practice as</w:t>
            </w:r>
            <w:r w:rsidR="00AC57BF">
              <w:rPr>
                <w:b/>
                <w:sz w:val="24"/>
                <w:szCs w:val="24"/>
              </w:rPr>
              <w:t xml:space="preserve"> a</w:t>
            </w:r>
            <w:r w:rsidR="003F1F8B">
              <w:rPr>
                <w:b/>
                <w:sz w:val="24"/>
                <w:szCs w:val="24"/>
              </w:rPr>
              <w:t xml:space="preserve"> </w:t>
            </w:r>
            <w:r w:rsidRPr="005B48CB">
              <w:rPr>
                <w:b/>
                <w:sz w:val="24"/>
                <w:szCs w:val="24"/>
              </w:rPr>
              <w:t>routine part of how they do things.</w:t>
            </w:r>
          </w:p>
        </w:tc>
      </w:tr>
      <w:tr w:rsidR="00971E13" w:rsidRPr="009D3ED9" w:rsidTr="00AC57BF">
        <w:trPr>
          <w:cantSplit/>
        </w:trPr>
        <w:tc>
          <w:tcPr>
            <w:tcW w:w="709" w:type="dxa"/>
            <w:vMerge/>
            <w:shd w:val="clear" w:color="auto" w:fill="DDEED6"/>
            <w:textDirection w:val="btLr"/>
            <w:vAlign w:val="center"/>
          </w:tcPr>
          <w:p w:rsidR="00971E13" w:rsidRPr="00971E13" w:rsidRDefault="00971E13" w:rsidP="00971E13">
            <w:pPr>
              <w:pStyle w:val="TableText"/>
              <w:spacing w:before="0" w:after="0"/>
              <w:ind w:left="113" w:right="113"/>
              <w:jc w:val="center"/>
              <w:rPr>
                <w:b/>
                <w:sz w:val="28"/>
                <w:szCs w:val="28"/>
              </w:rPr>
            </w:pPr>
          </w:p>
        </w:tc>
        <w:tc>
          <w:tcPr>
            <w:tcW w:w="7323" w:type="dxa"/>
            <w:tcBorders>
              <w:top w:val="nil"/>
              <w:bottom w:val="nil"/>
            </w:tcBorders>
            <w:shd w:val="clear" w:color="auto" w:fill="auto"/>
          </w:tcPr>
          <w:p w:rsidR="00971E13" w:rsidRPr="008B6501" w:rsidRDefault="00971E13" w:rsidP="005B48CB">
            <w:pPr>
              <w:pStyle w:val="TableText"/>
              <w:rPr>
                <w:sz w:val="20"/>
                <w:szCs w:val="20"/>
              </w:rPr>
            </w:pPr>
            <w:r w:rsidRPr="00CD3434">
              <w:rPr>
                <w:b/>
              </w:rPr>
              <w:t>What success looks like:</w:t>
            </w:r>
            <w:r>
              <w:t xml:space="preserve"> Every member of the health workforce raises</w:t>
            </w:r>
            <w:r w:rsidRPr="001963C0">
              <w:t xml:space="preserve"> awareness of health literacy and promote</w:t>
            </w:r>
            <w:r>
              <w:t xml:space="preserve">s </w:t>
            </w:r>
            <w:r w:rsidRPr="001963C0">
              <w:t>good health literacy practice, with a keen eye on new ideas for ways to better communicate with patients.</w:t>
            </w:r>
          </w:p>
        </w:tc>
        <w:tc>
          <w:tcPr>
            <w:tcW w:w="7324" w:type="dxa"/>
            <w:tcBorders>
              <w:top w:val="nil"/>
              <w:bottom w:val="nil"/>
            </w:tcBorders>
            <w:shd w:val="clear" w:color="auto" w:fill="auto"/>
          </w:tcPr>
          <w:p w:rsidR="00971E13" w:rsidRPr="009D3ED9" w:rsidRDefault="00971E13" w:rsidP="005B48CB">
            <w:pPr>
              <w:pStyle w:val="TableText"/>
            </w:pPr>
            <w:r w:rsidRPr="00CD3434">
              <w:rPr>
                <w:b/>
              </w:rPr>
              <w:t>What success looks like:</w:t>
            </w:r>
            <w:r w:rsidRPr="00C1769F">
              <w:t xml:space="preserve"> </w:t>
            </w:r>
            <w:r w:rsidR="002667B1" w:rsidRPr="00AC57BF">
              <w:rPr>
                <w:color w:val="000000" w:themeColor="text1"/>
              </w:rPr>
              <w:t>H</w:t>
            </w:r>
            <w:r w:rsidRPr="00AC57BF">
              <w:rPr>
                <w:color w:val="000000" w:themeColor="text1"/>
              </w:rPr>
              <w:t xml:space="preserve">ealth workforce </w:t>
            </w:r>
            <w:r w:rsidR="002667B1" w:rsidRPr="00AC57BF">
              <w:rPr>
                <w:color w:val="000000" w:themeColor="text1"/>
              </w:rPr>
              <w:t xml:space="preserve">members are </w:t>
            </w:r>
            <w:r w:rsidRPr="00C1769F">
              <w:t>knowledg</w:t>
            </w:r>
            <w:r>
              <w:t>e</w:t>
            </w:r>
            <w:r w:rsidRPr="00C1769F">
              <w:t xml:space="preserve">able about </w:t>
            </w:r>
            <w:r>
              <w:t>how they can build health literacy in their practice an</w:t>
            </w:r>
            <w:r w:rsidR="005B48CB">
              <w:t xml:space="preserve">d among individuals and </w:t>
            </w:r>
            <w:proofErr w:type="spellStart"/>
            <w:r w:rsidR="005B48CB">
              <w:t>whānau</w:t>
            </w:r>
            <w:proofErr w:type="spellEnd"/>
            <w:r w:rsidR="005B48CB">
              <w:t>.</w:t>
            </w:r>
          </w:p>
        </w:tc>
        <w:tc>
          <w:tcPr>
            <w:tcW w:w="7324" w:type="dxa"/>
            <w:tcBorders>
              <w:top w:val="nil"/>
              <w:bottom w:val="nil"/>
            </w:tcBorders>
            <w:shd w:val="clear" w:color="auto" w:fill="auto"/>
          </w:tcPr>
          <w:p w:rsidR="00971E13" w:rsidRPr="009D3ED9" w:rsidRDefault="00971E13" w:rsidP="005B48CB">
            <w:pPr>
              <w:pStyle w:val="TableText"/>
              <w:rPr>
                <w:sz w:val="20"/>
                <w:szCs w:val="20"/>
              </w:rPr>
            </w:pPr>
            <w:r w:rsidRPr="00CD3434">
              <w:rPr>
                <w:b/>
              </w:rPr>
              <w:t>What success looks like:</w:t>
            </w:r>
            <w:r>
              <w:t xml:space="preserve"> I</w:t>
            </w:r>
            <w:r w:rsidRPr="009E3A5B">
              <w:t xml:space="preserve">ndividuals and </w:t>
            </w:r>
            <w:proofErr w:type="spellStart"/>
            <w:r w:rsidRPr="009E3A5B">
              <w:t>whānau</w:t>
            </w:r>
            <w:proofErr w:type="spellEnd"/>
            <w:r w:rsidRPr="009E3A5B">
              <w:t xml:space="preserve"> are supported to </w:t>
            </w:r>
            <w:proofErr w:type="gramStart"/>
            <w:r w:rsidRPr="009E3A5B">
              <w:t>obtain,</w:t>
            </w:r>
            <w:proofErr w:type="gramEnd"/>
            <w:r w:rsidRPr="009E3A5B">
              <w:t xml:space="preserve"> process and understand health information from everyone they have contact with in the health system, and are empowered to make informed decisions.</w:t>
            </w:r>
          </w:p>
        </w:tc>
      </w:tr>
      <w:tr w:rsidR="00971E13" w:rsidRPr="009D3ED9" w:rsidTr="00AC57BF">
        <w:trPr>
          <w:cantSplit/>
        </w:trPr>
        <w:tc>
          <w:tcPr>
            <w:tcW w:w="709" w:type="dxa"/>
            <w:vMerge/>
            <w:tcBorders>
              <w:bottom w:val="single" w:sz="4" w:space="0" w:color="auto"/>
            </w:tcBorders>
            <w:shd w:val="clear" w:color="auto" w:fill="DDEED6"/>
            <w:textDirection w:val="btLr"/>
            <w:vAlign w:val="center"/>
          </w:tcPr>
          <w:p w:rsidR="00971E13" w:rsidRPr="00971E13" w:rsidRDefault="00971E13" w:rsidP="00971E13">
            <w:pPr>
              <w:pStyle w:val="TableText"/>
              <w:spacing w:before="0" w:after="0"/>
              <w:ind w:left="113" w:right="113"/>
              <w:jc w:val="center"/>
              <w:rPr>
                <w:b/>
                <w:sz w:val="28"/>
                <w:szCs w:val="28"/>
              </w:rPr>
            </w:pPr>
          </w:p>
        </w:tc>
        <w:tc>
          <w:tcPr>
            <w:tcW w:w="7323" w:type="dxa"/>
            <w:tcBorders>
              <w:top w:val="nil"/>
              <w:bottom w:val="single" w:sz="4" w:space="0" w:color="auto"/>
            </w:tcBorders>
            <w:shd w:val="clear" w:color="auto" w:fill="auto"/>
          </w:tcPr>
          <w:p w:rsidR="00971E13" w:rsidRPr="00CD3434" w:rsidRDefault="00971E13" w:rsidP="00F634A3">
            <w:pPr>
              <w:pStyle w:val="TableText"/>
              <w:rPr>
                <w:b/>
              </w:rPr>
            </w:pPr>
            <w:r w:rsidRPr="00CD3434">
              <w:rPr>
                <w:b/>
              </w:rPr>
              <w:t>Actions</w:t>
            </w:r>
          </w:p>
          <w:p w:rsidR="00971E13" w:rsidRPr="001963C0" w:rsidRDefault="00971E13" w:rsidP="00CD3434">
            <w:pPr>
              <w:pStyle w:val="TableBullet"/>
            </w:pPr>
            <w:r>
              <w:t xml:space="preserve">Approach </w:t>
            </w:r>
            <w:r w:rsidRPr="001963C0">
              <w:t xml:space="preserve">health literacy </w:t>
            </w:r>
            <w:r>
              <w:t xml:space="preserve">in a way </w:t>
            </w:r>
            <w:r w:rsidRPr="001963C0">
              <w:t>that recognises levels of health literacy differ between individuals and can differ for an individual at different times of their life.</w:t>
            </w:r>
          </w:p>
          <w:p w:rsidR="00971E13" w:rsidRPr="001963C0" w:rsidRDefault="00971E13" w:rsidP="00CD3434">
            <w:pPr>
              <w:pStyle w:val="TableBullet"/>
            </w:pPr>
            <w:r w:rsidRPr="001963C0">
              <w:t xml:space="preserve">Promote and coordinate action to </w:t>
            </w:r>
            <w:r>
              <w:t>raise awareness of, and build skills in health literacy practice among the health workforce</w:t>
            </w:r>
            <w:r w:rsidRPr="001963C0">
              <w:t xml:space="preserve"> and across the health system.</w:t>
            </w:r>
          </w:p>
          <w:p w:rsidR="00971E13" w:rsidRDefault="00971E13" w:rsidP="00CD3434">
            <w:pPr>
              <w:pStyle w:val="TableBullet"/>
            </w:pPr>
            <w:r w:rsidRPr="001963C0">
              <w:t xml:space="preserve">Work in ways that build health literacy skills of individuals and </w:t>
            </w:r>
            <w:proofErr w:type="spellStart"/>
            <w:r w:rsidRPr="001963C0">
              <w:t>whānau</w:t>
            </w:r>
            <w:proofErr w:type="spellEnd"/>
            <w:r w:rsidRPr="001963C0">
              <w:t>.</w:t>
            </w:r>
          </w:p>
        </w:tc>
        <w:tc>
          <w:tcPr>
            <w:tcW w:w="7324" w:type="dxa"/>
            <w:tcBorders>
              <w:top w:val="nil"/>
              <w:bottom w:val="single" w:sz="4" w:space="0" w:color="auto"/>
            </w:tcBorders>
            <w:shd w:val="clear" w:color="auto" w:fill="auto"/>
          </w:tcPr>
          <w:p w:rsidR="00971E13" w:rsidRPr="00CD3434" w:rsidRDefault="00971E13" w:rsidP="00F634A3">
            <w:pPr>
              <w:pStyle w:val="TableText"/>
              <w:rPr>
                <w:b/>
              </w:rPr>
            </w:pPr>
            <w:r w:rsidRPr="00CD3434">
              <w:rPr>
                <w:b/>
              </w:rPr>
              <w:t>Actions</w:t>
            </w:r>
          </w:p>
          <w:p w:rsidR="00971E13" w:rsidRPr="00C1769F" w:rsidRDefault="00971E13" w:rsidP="00CD3434">
            <w:pPr>
              <w:pStyle w:val="TableBullet"/>
            </w:pPr>
            <w:r w:rsidRPr="00C1769F">
              <w:t>Undertake training in effective health literacy communication (evidence-based)</w:t>
            </w:r>
            <w:r>
              <w:t xml:space="preserve"> methods </w:t>
            </w:r>
            <w:r w:rsidRPr="00C1769F">
              <w:t>as a core part of professional development.</w:t>
            </w:r>
          </w:p>
          <w:p w:rsidR="00971E13" w:rsidRPr="00C1769F" w:rsidRDefault="00971E13" w:rsidP="00CD3434">
            <w:pPr>
              <w:pStyle w:val="TableBullet"/>
            </w:pPr>
            <w:r w:rsidRPr="00C1769F">
              <w:t>Provide resources that are appropriate for the target audience and use a variety of media and approaches (including different technologies).</w:t>
            </w:r>
          </w:p>
          <w:p w:rsidR="00971E13" w:rsidRPr="00C1769F" w:rsidRDefault="00971E13" w:rsidP="005B48CB">
            <w:pPr>
              <w:pStyle w:val="TableBullet"/>
              <w:spacing w:after="120"/>
            </w:pPr>
            <w:r w:rsidRPr="00C1769F">
              <w:rPr>
                <w:noProof/>
                <w:lang w:eastAsia="en-NZ"/>
              </w:rPr>
              <w:t xml:space="preserve">When developing health education resources, seek feedback from individuals and whānau and </w:t>
            </w:r>
            <w:r>
              <w:rPr>
                <w:noProof/>
                <w:lang w:eastAsia="en-NZ"/>
              </w:rPr>
              <w:t xml:space="preserve">use reference material such as </w:t>
            </w:r>
            <w:proofErr w:type="spellStart"/>
            <w:r w:rsidRPr="00C1769F">
              <w:rPr>
                <w:i/>
              </w:rPr>
              <w:t>Rauemi</w:t>
            </w:r>
            <w:proofErr w:type="spellEnd"/>
            <w:r w:rsidRPr="00C1769F">
              <w:rPr>
                <w:i/>
              </w:rPr>
              <w:t xml:space="preserve"> </w:t>
            </w:r>
            <w:proofErr w:type="spellStart"/>
            <w:r w:rsidRPr="00C1769F">
              <w:rPr>
                <w:i/>
              </w:rPr>
              <w:t>Atawhai</w:t>
            </w:r>
            <w:proofErr w:type="spellEnd"/>
            <w:r w:rsidRPr="00C1769F">
              <w:rPr>
                <w:i/>
              </w:rPr>
              <w:t>: A guide to developing health education resources in New Zealand</w:t>
            </w:r>
            <w:r>
              <w:t>.</w:t>
            </w:r>
            <w:r>
              <w:rPr>
                <w:rStyle w:val="EndnoteReference"/>
              </w:rPr>
              <w:t>3</w:t>
            </w:r>
          </w:p>
        </w:tc>
        <w:tc>
          <w:tcPr>
            <w:tcW w:w="7324" w:type="dxa"/>
            <w:tcBorders>
              <w:top w:val="nil"/>
              <w:bottom w:val="single" w:sz="4" w:space="0" w:color="auto"/>
            </w:tcBorders>
            <w:shd w:val="clear" w:color="auto" w:fill="auto"/>
          </w:tcPr>
          <w:p w:rsidR="00971E13" w:rsidRPr="00CD3434" w:rsidRDefault="00971E13" w:rsidP="00F634A3">
            <w:pPr>
              <w:pStyle w:val="TableText"/>
              <w:rPr>
                <w:b/>
              </w:rPr>
            </w:pPr>
            <w:r w:rsidRPr="00CD3434">
              <w:rPr>
                <w:b/>
              </w:rPr>
              <w:t>Actions</w:t>
            </w:r>
          </w:p>
          <w:p w:rsidR="00971E13" w:rsidRPr="00EA07F0" w:rsidRDefault="00971E13" w:rsidP="00CD3434">
            <w:pPr>
              <w:pStyle w:val="TableBullet"/>
            </w:pPr>
            <w:r w:rsidRPr="00EA07F0">
              <w:t xml:space="preserve">Build capacity for the health workforce to use plain language </w:t>
            </w:r>
            <w:r>
              <w:t xml:space="preserve">and proven health literacy practices (see for example, </w:t>
            </w:r>
            <w:proofErr w:type="gramStart"/>
            <w:r w:rsidRPr="008830CC">
              <w:rPr>
                <w:i/>
              </w:rPr>
              <w:t>Three</w:t>
            </w:r>
            <w:proofErr w:type="gramEnd"/>
            <w:r w:rsidRPr="008830CC">
              <w:rPr>
                <w:i/>
              </w:rPr>
              <w:t xml:space="preserve"> steps to better health literacy</w:t>
            </w:r>
            <w:r>
              <w:t>)</w:t>
            </w:r>
            <w:r w:rsidRPr="001B5288">
              <w:rPr>
                <w:rStyle w:val="EndnoteReference"/>
              </w:rPr>
              <w:endnoteReference w:id="4"/>
            </w:r>
            <w:r w:rsidRPr="009144E8">
              <w:t>.</w:t>
            </w:r>
          </w:p>
          <w:p w:rsidR="00971E13" w:rsidRPr="00EA07F0" w:rsidRDefault="00971E13" w:rsidP="00CD3434">
            <w:pPr>
              <w:pStyle w:val="TableBullet"/>
            </w:pPr>
            <w:r w:rsidRPr="00EA07F0">
              <w:t>Create an environment where individuals can speak freely about their health care to relevant people in the health workforce.</w:t>
            </w:r>
          </w:p>
          <w:p w:rsidR="00971E13" w:rsidRDefault="00971E13" w:rsidP="00120BB2">
            <w:pPr>
              <w:pStyle w:val="TableBullet"/>
            </w:pPr>
            <w:r w:rsidRPr="00EA07F0">
              <w:t xml:space="preserve">Assume that most individuals and </w:t>
            </w:r>
            <w:proofErr w:type="spellStart"/>
            <w:r w:rsidRPr="00EA07F0">
              <w:t>whānau</w:t>
            </w:r>
            <w:proofErr w:type="spellEnd"/>
            <w:r w:rsidRPr="00EA07F0">
              <w:t xml:space="preserve"> will at times have difficulty understanding and applying complex health information, and work on ways to make it less difficult.</w:t>
            </w:r>
          </w:p>
        </w:tc>
      </w:tr>
      <w:tr w:rsidR="00971E13" w:rsidRPr="009D3ED9" w:rsidTr="00AC57BF">
        <w:trPr>
          <w:cantSplit/>
          <w:trHeight w:val="2126"/>
        </w:trPr>
        <w:tc>
          <w:tcPr>
            <w:tcW w:w="709" w:type="dxa"/>
            <w:shd w:val="clear" w:color="auto" w:fill="DDEED6"/>
            <w:textDirection w:val="btLr"/>
            <w:vAlign w:val="center"/>
          </w:tcPr>
          <w:p w:rsidR="00971E13" w:rsidRPr="00971E13" w:rsidRDefault="00971E13" w:rsidP="00971E13">
            <w:pPr>
              <w:pStyle w:val="TableText"/>
              <w:spacing w:before="0" w:after="0"/>
              <w:ind w:left="113" w:right="113"/>
              <w:jc w:val="center"/>
              <w:rPr>
                <w:b/>
                <w:sz w:val="28"/>
                <w:szCs w:val="28"/>
              </w:rPr>
            </w:pPr>
            <w:r w:rsidRPr="00971E13">
              <w:rPr>
                <w:b/>
                <w:sz w:val="28"/>
                <w:szCs w:val="28"/>
              </w:rPr>
              <w:t xml:space="preserve">Individuals and </w:t>
            </w:r>
            <w:proofErr w:type="spellStart"/>
            <w:r w:rsidRPr="00971E13">
              <w:rPr>
                <w:b/>
                <w:sz w:val="28"/>
                <w:szCs w:val="28"/>
              </w:rPr>
              <w:t>whānau</w:t>
            </w:r>
            <w:proofErr w:type="spellEnd"/>
          </w:p>
        </w:tc>
        <w:tc>
          <w:tcPr>
            <w:tcW w:w="7323" w:type="dxa"/>
          </w:tcPr>
          <w:p w:rsidR="00971E13" w:rsidRPr="005B48CB" w:rsidRDefault="00971E13" w:rsidP="001B5288">
            <w:pPr>
              <w:pStyle w:val="TableText"/>
              <w:rPr>
                <w:b/>
                <w:sz w:val="24"/>
                <w:szCs w:val="24"/>
              </w:rPr>
            </w:pPr>
            <w:r w:rsidRPr="005B48CB">
              <w:rPr>
                <w:b/>
                <w:sz w:val="24"/>
                <w:szCs w:val="24"/>
              </w:rPr>
              <w:t xml:space="preserve">Individuals and </w:t>
            </w:r>
            <w:proofErr w:type="spellStart"/>
            <w:r w:rsidRPr="005B48CB">
              <w:rPr>
                <w:b/>
                <w:sz w:val="24"/>
                <w:szCs w:val="24"/>
              </w:rPr>
              <w:t>whānau</w:t>
            </w:r>
            <w:proofErr w:type="spellEnd"/>
            <w:r w:rsidRPr="005B48CB">
              <w:rPr>
                <w:b/>
                <w:sz w:val="24"/>
                <w:szCs w:val="24"/>
              </w:rPr>
              <w:t xml:space="preserve"> are partners in actively managing their own health and wellbeing; and they take opportunities to provide feedback on health services they use and contribute to quality improvement programmes.</w:t>
            </w:r>
          </w:p>
        </w:tc>
        <w:tc>
          <w:tcPr>
            <w:tcW w:w="7324" w:type="dxa"/>
          </w:tcPr>
          <w:p w:rsidR="00971E13" w:rsidRPr="005B48CB" w:rsidRDefault="00971E13" w:rsidP="001B5288">
            <w:pPr>
              <w:pStyle w:val="TableText"/>
              <w:rPr>
                <w:b/>
                <w:sz w:val="24"/>
                <w:szCs w:val="24"/>
              </w:rPr>
            </w:pPr>
            <w:r w:rsidRPr="005B48CB">
              <w:rPr>
                <w:b/>
                <w:sz w:val="24"/>
                <w:szCs w:val="24"/>
              </w:rPr>
              <w:t xml:space="preserve">Individuals and </w:t>
            </w:r>
            <w:proofErr w:type="spellStart"/>
            <w:r w:rsidRPr="005B48CB">
              <w:rPr>
                <w:b/>
                <w:sz w:val="24"/>
                <w:szCs w:val="24"/>
              </w:rPr>
              <w:t>whānau</w:t>
            </w:r>
            <w:proofErr w:type="spellEnd"/>
            <w:r w:rsidRPr="005B48CB">
              <w:rPr>
                <w:b/>
                <w:sz w:val="24"/>
                <w:szCs w:val="24"/>
              </w:rPr>
              <w:t xml:space="preserve"> can </w:t>
            </w:r>
            <w:proofErr w:type="gramStart"/>
            <w:r w:rsidRPr="005B48CB">
              <w:rPr>
                <w:b/>
                <w:sz w:val="24"/>
                <w:szCs w:val="24"/>
              </w:rPr>
              <w:t>obtain,</w:t>
            </w:r>
            <w:proofErr w:type="gramEnd"/>
            <w:r w:rsidRPr="005B48CB">
              <w:rPr>
                <w:b/>
                <w:sz w:val="24"/>
                <w:szCs w:val="24"/>
              </w:rPr>
              <w:t xml:space="preserve"> process and understand health materials.</w:t>
            </w:r>
          </w:p>
        </w:tc>
        <w:tc>
          <w:tcPr>
            <w:tcW w:w="7324" w:type="dxa"/>
          </w:tcPr>
          <w:p w:rsidR="00971E13" w:rsidRPr="005B48CB" w:rsidRDefault="00971E13" w:rsidP="001B5288">
            <w:pPr>
              <w:pStyle w:val="TableText"/>
              <w:rPr>
                <w:b/>
                <w:sz w:val="24"/>
                <w:szCs w:val="24"/>
              </w:rPr>
            </w:pPr>
            <w:r w:rsidRPr="005B48CB">
              <w:rPr>
                <w:b/>
                <w:sz w:val="24"/>
                <w:szCs w:val="24"/>
              </w:rPr>
              <w:t xml:space="preserve">Individuals and </w:t>
            </w:r>
            <w:proofErr w:type="spellStart"/>
            <w:r w:rsidRPr="005B48CB">
              <w:rPr>
                <w:b/>
                <w:sz w:val="24"/>
                <w:szCs w:val="24"/>
              </w:rPr>
              <w:t>whānau</w:t>
            </w:r>
            <w:proofErr w:type="spellEnd"/>
            <w:r w:rsidRPr="005B48CB">
              <w:rPr>
                <w:b/>
                <w:sz w:val="24"/>
                <w:szCs w:val="24"/>
              </w:rPr>
              <w:t xml:space="preserve"> are able to make informed decisions, and can access and navigate appropriate, quality and timely health services.</w:t>
            </w:r>
          </w:p>
        </w:tc>
      </w:tr>
    </w:tbl>
    <w:p w:rsidR="00CB491E" w:rsidRPr="009D3ED9" w:rsidRDefault="00CB491E" w:rsidP="00B009D5">
      <w:pPr>
        <w:spacing w:after="4080"/>
      </w:pPr>
    </w:p>
    <w:sectPr w:rsidR="00CB491E" w:rsidRPr="009D3ED9" w:rsidSect="006461F1">
      <w:footerReference w:type="default" r:id="rId10"/>
      <w:footnotePr>
        <w:pos w:val="beneathText"/>
      </w:footnotePr>
      <w:endnotePr>
        <w:numFmt w:val="decimal"/>
      </w:endnotePr>
      <w:pgSz w:w="23814" w:h="16839" w:orient="landscape" w:code="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53E" w:rsidRPr="0022339A" w:rsidRDefault="005E453E" w:rsidP="0022339A">
      <w:pPr>
        <w:pStyle w:val="Footer"/>
        <w:spacing w:line="240" w:lineRule="auto"/>
        <w:rPr>
          <w:sz w:val="2"/>
          <w:szCs w:val="2"/>
        </w:rPr>
      </w:pPr>
    </w:p>
  </w:endnote>
  <w:endnote w:type="continuationSeparator" w:id="0">
    <w:p w:rsidR="005E453E" w:rsidRPr="00E37D85" w:rsidRDefault="005E453E" w:rsidP="00E37D85">
      <w:pPr>
        <w:pStyle w:val="Footer"/>
        <w:spacing w:line="240" w:lineRule="auto"/>
        <w:rPr>
          <w:sz w:val="2"/>
          <w:szCs w:val="2"/>
        </w:rPr>
      </w:pPr>
    </w:p>
  </w:endnote>
  <w:endnote w:id="1">
    <w:p w:rsidR="00971E13" w:rsidRDefault="00971E13">
      <w:pPr>
        <w:pStyle w:val="EndnoteText"/>
      </w:pPr>
      <w:r>
        <w:rPr>
          <w:rStyle w:val="EndnoteReference"/>
        </w:rPr>
        <w:endnoteRef/>
      </w:r>
      <w:r>
        <w:t xml:space="preserve"> </w:t>
      </w:r>
      <w:r>
        <w:tab/>
      </w:r>
      <w:proofErr w:type="gramStart"/>
      <w:r>
        <w:t>Ministry of Health.</w:t>
      </w:r>
      <w:proofErr w:type="gramEnd"/>
      <w:r>
        <w:t xml:space="preserve"> 2010. </w:t>
      </w:r>
      <w:proofErr w:type="spellStart"/>
      <w:r w:rsidRPr="00831EF3">
        <w:rPr>
          <w:i/>
        </w:rPr>
        <w:t>Kōrero</w:t>
      </w:r>
      <w:proofErr w:type="spellEnd"/>
      <w:r w:rsidRPr="00831EF3">
        <w:rPr>
          <w:i/>
        </w:rPr>
        <w:t xml:space="preserve"> </w:t>
      </w:r>
      <w:proofErr w:type="spellStart"/>
      <w:r w:rsidRPr="00831EF3">
        <w:rPr>
          <w:i/>
        </w:rPr>
        <w:t>Mārama</w:t>
      </w:r>
      <w:proofErr w:type="spellEnd"/>
      <w:r w:rsidRPr="00831EF3">
        <w:rPr>
          <w:i/>
        </w:rPr>
        <w:t xml:space="preserve">: Health Literacy and Māori: Results from the 2006 Adult Literacy and Life Skills Survey. </w:t>
      </w:r>
      <w:r>
        <w:t>Wellington: Ministry of Health</w:t>
      </w:r>
    </w:p>
  </w:endnote>
  <w:endnote w:id="2">
    <w:p w:rsidR="00971E13" w:rsidRPr="00E677AC" w:rsidRDefault="00971E13" w:rsidP="00C04C13">
      <w:pPr>
        <w:pStyle w:val="EndnoteText"/>
      </w:pPr>
      <w:r w:rsidRPr="005C4316">
        <w:rPr>
          <w:rStyle w:val="EndnoteReference"/>
        </w:rPr>
        <w:endnoteRef/>
      </w:r>
      <w:r>
        <w:tab/>
      </w:r>
      <w:proofErr w:type="gramStart"/>
      <w:r w:rsidRPr="00E677AC">
        <w:t>Ministry of He</w:t>
      </w:r>
      <w:r>
        <w:t>alth.</w:t>
      </w:r>
      <w:proofErr w:type="gramEnd"/>
      <w:r w:rsidRPr="00E677AC">
        <w:t xml:space="preserve"> 2015</w:t>
      </w:r>
      <w:r>
        <w:t>.</w:t>
      </w:r>
      <w:r w:rsidRPr="00E677AC">
        <w:t xml:space="preserve"> </w:t>
      </w:r>
      <w:r w:rsidRPr="00E677AC">
        <w:rPr>
          <w:i/>
        </w:rPr>
        <w:t>Review of Health Literacy</w:t>
      </w:r>
      <w:r>
        <w:rPr>
          <w:i/>
        </w:rPr>
        <w:t>: A</w:t>
      </w:r>
      <w:r w:rsidRPr="00E677AC">
        <w:rPr>
          <w:i/>
        </w:rPr>
        <w:t xml:space="preserve"> guide</w:t>
      </w:r>
      <w:r>
        <w:rPr>
          <w:i/>
        </w:rPr>
        <w:t>.</w:t>
      </w:r>
      <w:r w:rsidRPr="00E677AC">
        <w:rPr>
          <w:i/>
        </w:rPr>
        <w:t xml:space="preserve"> </w:t>
      </w:r>
      <w:r>
        <w:t>Wellington: Ministry of Health.</w:t>
      </w:r>
    </w:p>
  </w:endnote>
  <w:endnote w:id="3">
    <w:p w:rsidR="00971E13" w:rsidRDefault="00971E13" w:rsidP="005C4316">
      <w:pPr>
        <w:pStyle w:val="EndnoteText"/>
      </w:pPr>
      <w:r w:rsidRPr="005C4316">
        <w:rPr>
          <w:rStyle w:val="EndnoteReference"/>
        </w:rPr>
        <w:endnoteRef/>
      </w:r>
      <w:r>
        <w:tab/>
      </w:r>
      <w:proofErr w:type="gramStart"/>
      <w:r w:rsidRPr="00684E18">
        <w:t>Ministry of Health</w:t>
      </w:r>
      <w:r>
        <w:t>.</w:t>
      </w:r>
      <w:proofErr w:type="gramEnd"/>
      <w:r w:rsidRPr="00684E18">
        <w:t xml:space="preserve"> 2012</w:t>
      </w:r>
      <w:r w:rsidRPr="00FB6EA9">
        <w:t xml:space="preserve">. </w:t>
      </w:r>
      <w:proofErr w:type="spellStart"/>
      <w:r w:rsidRPr="00F81970">
        <w:rPr>
          <w:i/>
        </w:rPr>
        <w:t>Rauemi</w:t>
      </w:r>
      <w:proofErr w:type="spellEnd"/>
      <w:r w:rsidRPr="00F81970">
        <w:rPr>
          <w:i/>
        </w:rPr>
        <w:t xml:space="preserve"> </w:t>
      </w:r>
      <w:proofErr w:type="spellStart"/>
      <w:r w:rsidRPr="00F81970">
        <w:rPr>
          <w:i/>
        </w:rPr>
        <w:t>Atawhai</w:t>
      </w:r>
      <w:proofErr w:type="spellEnd"/>
      <w:r w:rsidRPr="00F81970">
        <w:rPr>
          <w:i/>
        </w:rPr>
        <w:t>: A guide to developing health education resources in New Zealand</w:t>
      </w:r>
      <w:r w:rsidRPr="00FB6EA9">
        <w:t>.</w:t>
      </w:r>
      <w:r w:rsidRPr="00DB3AA9">
        <w:rPr>
          <w:rFonts w:cs="Arial"/>
          <w:color w:val="002639"/>
          <w:lang w:val="en"/>
        </w:rPr>
        <w:t xml:space="preserve"> </w:t>
      </w:r>
      <w:r>
        <w:rPr>
          <w:rFonts w:cs="Arial"/>
          <w:color w:val="002639"/>
          <w:lang w:val="en"/>
        </w:rPr>
        <w:t>Wellington</w:t>
      </w:r>
      <w:r w:rsidRPr="00322BD6">
        <w:rPr>
          <w:rFonts w:cs="Arial"/>
          <w:color w:val="002639"/>
          <w:lang w:val="en"/>
        </w:rPr>
        <w:t xml:space="preserve">: </w:t>
      </w:r>
      <w:r w:rsidRPr="00684E18">
        <w:t>Ministry of Health</w:t>
      </w:r>
      <w:r>
        <w:t>.</w:t>
      </w:r>
      <w:bookmarkStart w:id="0" w:name="_GoBack"/>
      <w:bookmarkEnd w:id="0"/>
    </w:p>
  </w:endnote>
  <w:endnote w:id="4">
    <w:p w:rsidR="00971E13" w:rsidRDefault="00971E13" w:rsidP="00F87AA9">
      <w:pPr>
        <w:pStyle w:val="EndnoteText"/>
      </w:pPr>
      <w:r w:rsidRPr="005C4316">
        <w:rPr>
          <w:rStyle w:val="EndnoteReference"/>
        </w:rPr>
        <w:endnoteRef/>
      </w:r>
      <w:r>
        <w:tab/>
      </w:r>
      <w:r w:rsidRPr="00ED59E7">
        <w:t xml:space="preserve">Health Quality </w:t>
      </w:r>
      <w:r>
        <w:t>and</w:t>
      </w:r>
      <w:r w:rsidRPr="00ED59E7">
        <w:t xml:space="preserve"> Safety Commission New Zealand. 2012</w:t>
      </w:r>
      <w:r>
        <w:t xml:space="preserve">. </w:t>
      </w:r>
      <w:r w:rsidRPr="00ED59E7">
        <w:rPr>
          <w:i/>
        </w:rPr>
        <w:t xml:space="preserve">Three </w:t>
      </w:r>
      <w:r>
        <w:rPr>
          <w:i/>
        </w:rPr>
        <w:t>s</w:t>
      </w:r>
      <w:r w:rsidRPr="00ED59E7">
        <w:rPr>
          <w:i/>
        </w:rPr>
        <w:t xml:space="preserve">teps to </w:t>
      </w:r>
      <w:r>
        <w:rPr>
          <w:i/>
        </w:rPr>
        <w:t>b</w:t>
      </w:r>
      <w:r w:rsidRPr="00ED59E7">
        <w:rPr>
          <w:i/>
        </w:rPr>
        <w:t xml:space="preserve">etter </w:t>
      </w:r>
      <w:r>
        <w:rPr>
          <w:i/>
        </w:rPr>
        <w:t>h</w:t>
      </w:r>
      <w:r w:rsidRPr="00ED59E7">
        <w:rPr>
          <w:i/>
        </w:rPr>
        <w:t xml:space="preserve">ealth </w:t>
      </w:r>
      <w:r>
        <w:rPr>
          <w:i/>
        </w:rPr>
        <w:t>l</w:t>
      </w:r>
      <w:r w:rsidRPr="00ED59E7">
        <w:rPr>
          <w:i/>
        </w:rPr>
        <w:t>iteracy</w:t>
      </w:r>
      <w:r>
        <w:rPr>
          <w:i/>
        </w:rPr>
        <w:t>: A</w:t>
      </w:r>
      <w:r w:rsidRPr="00ED59E7">
        <w:rPr>
          <w:i/>
        </w:rPr>
        <w:t xml:space="preserve"> guide for health professionals.</w:t>
      </w:r>
      <w:r>
        <w:t xml:space="preserve"> </w:t>
      </w:r>
      <w:r w:rsidRPr="00ED59E7">
        <w:t>Wellington</w:t>
      </w:r>
      <w:r>
        <w:t>:</w:t>
      </w:r>
      <w:r w:rsidRPr="000C69AE">
        <w:t xml:space="preserve"> </w:t>
      </w:r>
      <w:r w:rsidRPr="00ED59E7">
        <w:t xml:space="preserve">Health Quality </w:t>
      </w:r>
      <w:r>
        <w:t>and</w:t>
      </w:r>
      <w:r w:rsidRPr="00ED59E7">
        <w:t xml:space="preserve"> Safety Commission</w:t>
      </w:r>
      <w:r>
        <w:t>.</w:t>
      </w:r>
    </w:p>
    <w:p w:rsidR="00976B85" w:rsidRPr="00976B85" w:rsidRDefault="00976B85" w:rsidP="00976B85">
      <w:pPr>
        <w:pStyle w:val="EndnoteText"/>
        <w:jc w:val="right"/>
        <w:rPr>
          <w:sz w:val="20"/>
        </w:rPr>
      </w:pPr>
      <w:r w:rsidRPr="00976B85">
        <w:rPr>
          <w:sz w:val="20"/>
        </w:rPr>
        <w:t>HP 6196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CBA" w:rsidRDefault="001C7CBA" w:rsidP="001C7CBA">
    <w:pPr>
      <w:pStyle w:val="RectoFooter"/>
      <w:tabs>
        <w:tab w:val="clear" w:pos="8647"/>
        <w:tab w:val="clear" w:pos="9356"/>
        <w:tab w:val="right" w:pos="21830"/>
        <w:tab w:val="right" w:pos="22680"/>
      </w:tabs>
    </w:pPr>
    <w:r>
      <w:tab/>
      <w:t>A framework for health literacy: a health system response</w:t>
    </w:r>
    <w:r>
      <w:tab/>
    </w:r>
    <w:r>
      <w:rPr>
        <w:rStyle w:val="PageNumber"/>
      </w:rPr>
      <w:fldChar w:fldCharType="begin"/>
    </w:r>
    <w:r>
      <w:rPr>
        <w:rStyle w:val="PageNumber"/>
      </w:rPr>
      <w:instrText xml:space="preserve"> PAGE </w:instrText>
    </w:r>
    <w:r>
      <w:rPr>
        <w:rStyle w:val="PageNumber"/>
      </w:rPr>
      <w:fldChar w:fldCharType="separate"/>
    </w:r>
    <w:r w:rsidR="00976B85">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53E" w:rsidRDefault="005E453E" w:rsidP="000A7CD8">
      <w:r>
        <w:separator/>
      </w:r>
    </w:p>
  </w:footnote>
  <w:footnote w:type="continuationSeparator" w:id="0">
    <w:p w:rsidR="005E453E" w:rsidRDefault="005E453E" w:rsidP="000A7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7AE"/>
    <w:multiLevelType w:val="hybridMultilevel"/>
    <w:tmpl w:val="80B0584E"/>
    <w:lvl w:ilvl="0" w:tplc="C4663730">
      <w:numFmt w:val="bullet"/>
      <w:lvlText w:val="-"/>
      <w:lvlJc w:val="left"/>
      <w:pPr>
        <w:ind w:left="1080" w:hanging="360"/>
      </w:pPr>
      <w:rPr>
        <w:rFonts w:ascii="Georgia" w:eastAsiaTheme="minorHAnsi" w:hAnsi="Georgia"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nsid w:val="0584505E"/>
    <w:multiLevelType w:val="hybridMultilevel"/>
    <w:tmpl w:val="FD32FEF4"/>
    <w:lvl w:ilvl="0" w:tplc="1409000D">
      <w:start w:val="1"/>
      <w:numFmt w:val="bullet"/>
      <w:lvlText w:val=""/>
      <w:lvlJc w:val="left"/>
      <w:pPr>
        <w:ind w:left="273" w:hanging="360"/>
      </w:pPr>
      <w:rPr>
        <w:rFonts w:ascii="Wingdings" w:hAnsi="Wingdings" w:hint="default"/>
        <w:color w:val="auto"/>
      </w:rPr>
    </w:lvl>
    <w:lvl w:ilvl="1" w:tplc="14090003" w:tentative="1">
      <w:start w:val="1"/>
      <w:numFmt w:val="bullet"/>
      <w:lvlText w:val="o"/>
      <w:lvlJc w:val="left"/>
      <w:pPr>
        <w:ind w:left="993" w:hanging="360"/>
      </w:pPr>
      <w:rPr>
        <w:rFonts w:ascii="Courier New" w:hAnsi="Courier New" w:cs="Courier New" w:hint="default"/>
      </w:rPr>
    </w:lvl>
    <w:lvl w:ilvl="2" w:tplc="14090005" w:tentative="1">
      <w:start w:val="1"/>
      <w:numFmt w:val="bullet"/>
      <w:lvlText w:val=""/>
      <w:lvlJc w:val="left"/>
      <w:pPr>
        <w:ind w:left="1713" w:hanging="360"/>
      </w:pPr>
      <w:rPr>
        <w:rFonts w:ascii="Wingdings" w:hAnsi="Wingdings" w:hint="default"/>
      </w:rPr>
    </w:lvl>
    <w:lvl w:ilvl="3" w:tplc="14090001" w:tentative="1">
      <w:start w:val="1"/>
      <w:numFmt w:val="bullet"/>
      <w:lvlText w:val=""/>
      <w:lvlJc w:val="left"/>
      <w:pPr>
        <w:ind w:left="2433" w:hanging="360"/>
      </w:pPr>
      <w:rPr>
        <w:rFonts w:ascii="Symbol" w:hAnsi="Symbol" w:hint="default"/>
      </w:rPr>
    </w:lvl>
    <w:lvl w:ilvl="4" w:tplc="14090003" w:tentative="1">
      <w:start w:val="1"/>
      <w:numFmt w:val="bullet"/>
      <w:lvlText w:val="o"/>
      <w:lvlJc w:val="left"/>
      <w:pPr>
        <w:ind w:left="3153" w:hanging="360"/>
      </w:pPr>
      <w:rPr>
        <w:rFonts w:ascii="Courier New" w:hAnsi="Courier New" w:cs="Courier New" w:hint="default"/>
      </w:rPr>
    </w:lvl>
    <w:lvl w:ilvl="5" w:tplc="14090005" w:tentative="1">
      <w:start w:val="1"/>
      <w:numFmt w:val="bullet"/>
      <w:lvlText w:val=""/>
      <w:lvlJc w:val="left"/>
      <w:pPr>
        <w:ind w:left="3873" w:hanging="360"/>
      </w:pPr>
      <w:rPr>
        <w:rFonts w:ascii="Wingdings" w:hAnsi="Wingdings" w:hint="default"/>
      </w:rPr>
    </w:lvl>
    <w:lvl w:ilvl="6" w:tplc="14090001" w:tentative="1">
      <w:start w:val="1"/>
      <w:numFmt w:val="bullet"/>
      <w:lvlText w:val=""/>
      <w:lvlJc w:val="left"/>
      <w:pPr>
        <w:ind w:left="4593" w:hanging="360"/>
      </w:pPr>
      <w:rPr>
        <w:rFonts w:ascii="Symbol" w:hAnsi="Symbol" w:hint="default"/>
      </w:rPr>
    </w:lvl>
    <w:lvl w:ilvl="7" w:tplc="14090003" w:tentative="1">
      <w:start w:val="1"/>
      <w:numFmt w:val="bullet"/>
      <w:lvlText w:val="o"/>
      <w:lvlJc w:val="left"/>
      <w:pPr>
        <w:ind w:left="5313" w:hanging="360"/>
      </w:pPr>
      <w:rPr>
        <w:rFonts w:ascii="Courier New" w:hAnsi="Courier New" w:cs="Courier New" w:hint="default"/>
      </w:rPr>
    </w:lvl>
    <w:lvl w:ilvl="8" w:tplc="14090005" w:tentative="1">
      <w:start w:val="1"/>
      <w:numFmt w:val="bullet"/>
      <w:lvlText w:val=""/>
      <w:lvlJc w:val="left"/>
      <w:pPr>
        <w:ind w:left="6033" w:hanging="360"/>
      </w:pPr>
      <w:rPr>
        <w:rFonts w:ascii="Wingdings" w:hAnsi="Wingdings" w:hint="default"/>
      </w:rPr>
    </w:lvl>
  </w:abstractNum>
  <w:abstractNum w:abstractNumId="2">
    <w:nsid w:val="07EF1A52"/>
    <w:multiLevelType w:val="hybridMultilevel"/>
    <w:tmpl w:val="D2A24B4A"/>
    <w:lvl w:ilvl="0" w:tplc="1409000D">
      <w:start w:val="1"/>
      <w:numFmt w:val="bullet"/>
      <w:lvlText w:val=""/>
      <w:lvlJc w:val="left"/>
      <w:pPr>
        <w:ind w:left="360" w:hanging="360"/>
      </w:pPr>
      <w:rPr>
        <w:rFonts w:ascii="Wingdings" w:hAnsi="Wingdings"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0B2F4527"/>
    <w:multiLevelType w:val="hybridMultilevel"/>
    <w:tmpl w:val="614294C4"/>
    <w:lvl w:ilvl="0" w:tplc="F508C12A">
      <w:start w:val="1"/>
      <w:numFmt w:val="bullet"/>
      <w:pStyle w:val="TableDash"/>
      <w:lvlText w:val="–"/>
      <w:lvlJc w:val="left"/>
      <w:pPr>
        <w:ind w:left="720" w:hanging="360"/>
      </w:pPr>
      <w:rPr>
        <w:rFonts w:ascii="Calibri" w:hAnsi="Calibri" w:hint="default"/>
        <w:color w:val="00206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B4D2C64"/>
    <w:multiLevelType w:val="hybridMultilevel"/>
    <w:tmpl w:val="C5D4E056"/>
    <w:lvl w:ilvl="0" w:tplc="1409000D">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0F6D7EA2"/>
    <w:multiLevelType w:val="hybridMultilevel"/>
    <w:tmpl w:val="D79ACF16"/>
    <w:lvl w:ilvl="0" w:tplc="1409000D">
      <w:start w:val="1"/>
      <w:numFmt w:val="bullet"/>
      <w:lvlText w:val=""/>
      <w:lvlJc w:val="left"/>
      <w:pPr>
        <w:ind w:left="720" w:hanging="360"/>
      </w:pPr>
      <w:rPr>
        <w:rFonts w:ascii="Wingdings" w:hAnsi="Wingding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57D17F2"/>
    <w:multiLevelType w:val="hybridMultilevel"/>
    <w:tmpl w:val="868A00DE"/>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1A6A1000"/>
    <w:multiLevelType w:val="hybridMultilevel"/>
    <w:tmpl w:val="E6140F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C906EDE"/>
    <w:multiLevelType w:val="hybridMultilevel"/>
    <w:tmpl w:val="FA484102"/>
    <w:lvl w:ilvl="0" w:tplc="1409000D">
      <w:start w:val="1"/>
      <w:numFmt w:val="bullet"/>
      <w:lvlText w:val=""/>
      <w:lvlJc w:val="left"/>
      <w:pPr>
        <w:ind w:left="502" w:hanging="360"/>
      </w:pPr>
      <w:rPr>
        <w:rFonts w:ascii="Wingdings" w:hAnsi="Wingding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1FB218CE"/>
    <w:multiLevelType w:val="hybridMultilevel"/>
    <w:tmpl w:val="7D825364"/>
    <w:lvl w:ilvl="0" w:tplc="1409000D">
      <w:start w:val="1"/>
      <w:numFmt w:val="bullet"/>
      <w:lvlText w:val=""/>
      <w:lvlJc w:val="left"/>
      <w:pPr>
        <w:ind w:left="360" w:hanging="360"/>
      </w:pPr>
      <w:rPr>
        <w:rFonts w:ascii="Wingdings" w:hAnsi="Wingdings"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3396973"/>
    <w:multiLevelType w:val="hybridMultilevel"/>
    <w:tmpl w:val="55F89FBC"/>
    <w:lvl w:ilvl="0" w:tplc="1409000D">
      <w:start w:val="1"/>
      <w:numFmt w:val="bullet"/>
      <w:lvlText w:val=""/>
      <w:lvlJc w:val="left"/>
      <w:pPr>
        <w:ind w:left="360" w:hanging="360"/>
      </w:pPr>
      <w:rPr>
        <w:rFonts w:ascii="Wingdings" w:hAnsi="Wingdings"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23511724"/>
    <w:multiLevelType w:val="hybridMultilevel"/>
    <w:tmpl w:val="D6227752"/>
    <w:lvl w:ilvl="0" w:tplc="F7841E26">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2DCA543F"/>
    <w:multiLevelType w:val="hybridMultilevel"/>
    <w:tmpl w:val="530A1390"/>
    <w:lvl w:ilvl="0" w:tplc="001C8972">
      <w:start w:val="1"/>
      <w:numFmt w:val="bullet"/>
      <w:lvlText w:val=""/>
      <w:lvlJc w:val="left"/>
      <w:pPr>
        <w:ind w:left="360" w:hanging="360"/>
      </w:pPr>
      <w:rPr>
        <w:rFonts w:ascii="Wingdings" w:hAnsi="Wingdings"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30E87C0B"/>
    <w:multiLevelType w:val="hybridMultilevel"/>
    <w:tmpl w:val="EB107B54"/>
    <w:lvl w:ilvl="0" w:tplc="1409000D">
      <w:start w:val="1"/>
      <w:numFmt w:val="bullet"/>
      <w:lvlText w:val=""/>
      <w:lvlJc w:val="left"/>
      <w:pPr>
        <w:ind w:left="360" w:hanging="360"/>
      </w:pPr>
      <w:rPr>
        <w:rFonts w:ascii="Wingdings" w:hAnsi="Wingdings"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3C3448AE"/>
    <w:multiLevelType w:val="hybridMultilevel"/>
    <w:tmpl w:val="FCB071E0"/>
    <w:lvl w:ilvl="0" w:tplc="1409000F">
      <w:start w:val="1"/>
      <w:numFmt w:val="decimal"/>
      <w:lvlText w:val="%1."/>
      <w:lvlJc w:val="left"/>
      <w:pPr>
        <w:ind w:left="502"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41231DAD"/>
    <w:multiLevelType w:val="hybridMultilevel"/>
    <w:tmpl w:val="50CE74CC"/>
    <w:lvl w:ilvl="0" w:tplc="1409000D">
      <w:start w:val="1"/>
      <w:numFmt w:val="bullet"/>
      <w:lvlText w:val=""/>
      <w:lvlJc w:val="left"/>
      <w:pPr>
        <w:ind w:left="360" w:hanging="360"/>
      </w:pPr>
      <w:rPr>
        <w:rFonts w:ascii="Wingdings" w:hAnsi="Wingdings"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46334D83"/>
    <w:multiLevelType w:val="hybridMultilevel"/>
    <w:tmpl w:val="BABEA5E4"/>
    <w:lvl w:ilvl="0" w:tplc="1409000F">
      <w:start w:val="1"/>
      <w:numFmt w:val="decimal"/>
      <w:lvlText w:val="%1."/>
      <w:lvlJc w:val="left"/>
      <w:pPr>
        <w:ind w:left="360" w:hanging="360"/>
      </w:pPr>
      <w:rPr>
        <w:rFonts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503B22E8"/>
    <w:multiLevelType w:val="hybridMultilevel"/>
    <w:tmpl w:val="AFC8F982"/>
    <w:lvl w:ilvl="0" w:tplc="1409000D">
      <w:start w:val="1"/>
      <w:numFmt w:val="bullet"/>
      <w:lvlText w:val=""/>
      <w:lvlJc w:val="left"/>
      <w:pPr>
        <w:ind w:left="360" w:hanging="360"/>
      </w:pPr>
      <w:rPr>
        <w:rFonts w:ascii="Wingdings" w:hAnsi="Wingdings"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512242F9"/>
    <w:multiLevelType w:val="hybridMultilevel"/>
    <w:tmpl w:val="0E32E0BE"/>
    <w:lvl w:ilvl="0" w:tplc="1409000D">
      <w:start w:val="1"/>
      <w:numFmt w:val="bullet"/>
      <w:lvlText w:val=""/>
      <w:lvlJc w:val="left"/>
      <w:pPr>
        <w:ind w:left="360" w:hanging="360"/>
      </w:pPr>
      <w:rPr>
        <w:rFonts w:ascii="Wingdings" w:hAnsi="Wingdings"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530B08E2"/>
    <w:multiLevelType w:val="hybridMultilevel"/>
    <w:tmpl w:val="00CE1DC8"/>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53D146B6"/>
    <w:multiLevelType w:val="hybridMultilevel"/>
    <w:tmpl w:val="D652944A"/>
    <w:lvl w:ilvl="0" w:tplc="F7841E26">
      <w:start w:val="1"/>
      <w:numFmt w:val="bullet"/>
      <w:lvlText w:val=""/>
      <w:lvlJc w:val="left"/>
      <w:pPr>
        <w:ind w:left="1080" w:hanging="360"/>
      </w:pPr>
      <w:rPr>
        <w:rFonts w:ascii="Symbol" w:hAnsi="Symbol" w:hint="default"/>
        <w:color w:val="auto"/>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nsid w:val="57F93CF6"/>
    <w:multiLevelType w:val="hybridMultilevel"/>
    <w:tmpl w:val="B0E85A84"/>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598763A4"/>
    <w:multiLevelType w:val="hybridMultilevel"/>
    <w:tmpl w:val="C0F87CC2"/>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5ACF7F6E"/>
    <w:multiLevelType w:val="hybridMultilevel"/>
    <w:tmpl w:val="FFCE465C"/>
    <w:lvl w:ilvl="0" w:tplc="F7841E26">
      <w:start w:val="1"/>
      <w:numFmt w:val="bullet"/>
      <w:lvlText w:val=""/>
      <w:lvlJc w:val="left"/>
      <w:pPr>
        <w:ind w:left="502" w:hanging="360"/>
      </w:pPr>
      <w:rPr>
        <w:rFonts w:ascii="Symbol" w:hAnsi="Symbol"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5BD8269E"/>
    <w:multiLevelType w:val="hybridMultilevel"/>
    <w:tmpl w:val="4964EB6E"/>
    <w:lvl w:ilvl="0" w:tplc="F7841E26">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nsid w:val="645E403B"/>
    <w:multiLevelType w:val="hybridMultilevel"/>
    <w:tmpl w:val="5CBAC7BC"/>
    <w:lvl w:ilvl="0" w:tplc="3566DD7E">
      <w:start w:val="1"/>
      <w:numFmt w:val="bullet"/>
      <w:pStyle w:val="TableBullet"/>
      <w:lvlText w:val="ü"/>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727180C"/>
    <w:multiLevelType w:val="hybridMultilevel"/>
    <w:tmpl w:val="65608C04"/>
    <w:lvl w:ilvl="0" w:tplc="F7841E26">
      <w:start w:val="1"/>
      <w:numFmt w:val="bullet"/>
      <w:lvlText w:val=""/>
      <w:lvlJc w:val="left"/>
      <w:pPr>
        <w:ind w:left="720" w:hanging="360"/>
      </w:pPr>
      <w:rPr>
        <w:rFonts w:ascii="Symbol" w:hAnsi="Symbol"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76573853"/>
    <w:multiLevelType w:val="hybridMultilevel"/>
    <w:tmpl w:val="33C2E8CC"/>
    <w:lvl w:ilvl="0" w:tplc="14090001">
      <w:start w:val="1"/>
      <w:numFmt w:val="bullet"/>
      <w:lvlText w:val=""/>
      <w:lvlJc w:val="left"/>
      <w:pPr>
        <w:ind w:left="273" w:hanging="360"/>
      </w:pPr>
      <w:rPr>
        <w:rFonts w:ascii="Symbol" w:hAnsi="Symbol" w:hint="default"/>
      </w:rPr>
    </w:lvl>
    <w:lvl w:ilvl="1" w:tplc="14090003" w:tentative="1">
      <w:start w:val="1"/>
      <w:numFmt w:val="bullet"/>
      <w:lvlText w:val="o"/>
      <w:lvlJc w:val="left"/>
      <w:pPr>
        <w:ind w:left="993" w:hanging="360"/>
      </w:pPr>
      <w:rPr>
        <w:rFonts w:ascii="Courier New" w:hAnsi="Courier New" w:cs="Courier New" w:hint="default"/>
      </w:rPr>
    </w:lvl>
    <w:lvl w:ilvl="2" w:tplc="14090005" w:tentative="1">
      <w:start w:val="1"/>
      <w:numFmt w:val="bullet"/>
      <w:lvlText w:val=""/>
      <w:lvlJc w:val="left"/>
      <w:pPr>
        <w:ind w:left="1713" w:hanging="360"/>
      </w:pPr>
      <w:rPr>
        <w:rFonts w:ascii="Wingdings" w:hAnsi="Wingdings" w:hint="default"/>
      </w:rPr>
    </w:lvl>
    <w:lvl w:ilvl="3" w:tplc="14090001" w:tentative="1">
      <w:start w:val="1"/>
      <w:numFmt w:val="bullet"/>
      <w:lvlText w:val=""/>
      <w:lvlJc w:val="left"/>
      <w:pPr>
        <w:ind w:left="2433" w:hanging="360"/>
      </w:pPr>
      <w:rPr>
        <w:rFonts w:ascii="Symbol" w:hAnsi="Symbol" w:hint="default"/>
      </w:rPr>
    </w:lvl>
    <w:lvl w:ilvl="4" w:tplc="14090003" w:tentative="1">
      <w:start w:val="1"/>
      <w:numFmt w:val="bullet"/>
      <w:lvlText w:val="o"/>
      <w:lvlJc w:val="left"/>
      <w:pPr>
        <w:ind w:left="3153" w:hanging="360"/>
      </w:pPr>
      <w:rPr>
        <w:rFonts w:ascii="Courier New" w:hAnsi="Courier New" w:cs="Courier New" w:hint="default"/>
      </w:rPr>
    </w:lvl>
    <w:lvl w:ilvl="5" w:tplc="14090005" w:tentative="1">
      <w:start w:val="1"/>
      <w:numFmt w:val="bullet"/>
      <w:lvlText w:val=""/>
      <w:lvlJc w:val="left"/>
      <w:pPr>
        <w:ind w:left="3873" w:hanging="360"/>
      </w:pPr>
      <w:rPr>
        <w:rFonts w:ascii="Wingdings" w:hAnsi="Wingdings" w:hint="default"/>
      </w:rPr>
    </w:lvl>
    <w:lvl w:ilvl="6" w:tplc="14090001" w:tentative="1">
      <w:start w:val="1"/>
      <w:numFmt w:val="bullet"/>
      <w:lvlText w:val=""/>
      <w:lvlJc w:val="left"/>
      <w:pPr>
        <w:ind w:left="4593" w:hanging="360"/>
      </w:pPr>
      <w:rPr>
        <w:rFonts w:ascii="Symbol" w:hAnsi="Symbol" w:hint="default"/>
      </w:rPr>
    </w:lvl>
    <w:lvl w:ilvl="7" w:tplc="14090003" w:tentative="1">
      <w:start w:val="1"/>
      <w:numFmt w:val="bullet"/>
      <w:lvlText w:val="o"/>
      <w:lvlJc w:val="left"/>
      <w:pPr>
        <w:ind w:left="5313" w:hanging="360"/>
      </w:pPr>
      <w:rPr>
        <w:rFonts w:ascii="Courier New" w:hAnsi="Courier New" w:cs="Courier New" w:hint="default"/>
      </w:rPr>
    </w:lvl>
    <w:lvl w:ilvl="8" w:tplc="14090005" w:tentative="1">
      <w:start w:val="1"/>
      <w:numFmt w:val="bullet"/>
      <w:lvlText w:val=""/>
      <w:lvlJc w:val="left"/>
      <w:pPr>
        <w:ind w:left="6033" w:hanging="360"/>
      </w:pPr>
      <w:rPr>
        <w:rFonts w:ascii="Wingdings" w:hAnsi="Wingdings" w:hint="default"/>
      </w:rPr>
    </w:lvl>
  </w:abstractNum>
  <w:abstractNum w:abstractNumId="28">
    <w:nsid w:val="798E1269"/>
    <w:multiLevelType w:val="hybridMultilevel"/>
    <w:tmpl w:val="DFAAF64A"/>
    <w:lvl w:ilvl="0" w:tplc="1409000F">
      <w:start w:val="1"/>
      <w:numFmt w:val="decimal"/>
      <w:lvlText w:val="%1."/>
      <w:lvlJc w:val="left"/>
      <w:pPr>
        <w:ind w:left="360" w:hanging="360"/>
      </w:pPr>
      <w:rPr>
        <w:rFonts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nsid w:val="7A487D10"/>
    <w:multiLevelType w:val="hybridMultilevel"/>
    <w:tmpl w:val="2BBE9D6A"/>
    <w:lvl w:ilvl="0" w:tplc="F7841E26">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nsid w:val="7A6550B4"/>
    <w:multiLevelType w:val="hybridMultilevel"/>
    <w:tmpl w:val="B73AAB5C"/>
    <w:lvl w:ilvl="0" w:tplc="1409000D">
      <w:start w:val="1"/>
      <w:numFmt w:val="bullet"/>
      <w:lvlText w:val=""/>
      <w:lvlJc w:val="left"/>
      <w:pPr>
        <w:ind w:left="360" w:hanging="360"/>
      </w:pPr>
      <w:rPr>
        <w:rFonts w:ascii="Wingdings" w:hAnsi="Wingdings"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nsid w:val="7AB9593F"/>
    <w:multiLevelType w:val="hybridMultilevel"/>
    <w:tmpl w:val="0DA0189A"/>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nsid w:val="7E69450D"/>
    <w:multiLevelType w:val="hybridMultilevel"/>
    <w:tmpl w:val="704CAADE"/>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6"/>
  </w:num>
  <w:num w:numId="2">
    <w:abstractNumId w:val="21"/>
  </w:num>
  <w:num w:numId="3">
    <w:abstractNumId w:val="12"/>
  </w:num>
  <w:num w:numId="4">
    <w:abstractNumId w:val="4"/>
  </w:num>
  <w:num w:numId="5">
    <w:abstractNumId w:val="32"/>
  </w:num>
  <w:num w:numId="6">
    <w:abstractNumId w:val="22"/>
  </w:num>
  <w:num w:numId="7">
    <w:abstractNumId w:val="14"/>
  </w:num>
  <w:num w:numId="8">
    <w:abstractNumId w:val="9"/>
  </w:num>
  <w:num w:numId="9">
    <w:abstractNumId w:val="20"/>
  </w:num>
  <w:num w:numId="10">
    <w:abstractNumId w:val="11"/>
  </w:num>
  <w:num w:numId="11">
    <w:abstractNumId w:val="26"/>
  </w:num>
  <w:num w:numId="12">
    <w:abstractNumId w:val="23"/>
  </w:num>
  <w:num w:numId="13">
    <w:abstractNumId w:val="29"/>
  </w:num>
  <w:num w:numId="14">
    <w:abstractNumId w:val="24"/>
  </w:num>
  <w:num w:numId="15">
    <w:abstractNumId w:val="31"/>
  </w:num>
  <w:num w:numId="16">
    <w:abstractNumId w:val="19"/>
  </w:num>
  <w:num w:numId="17">
    <w:abstractNumId w:val="28"/>
  </w:num>
  <w:num w:numId="18">
    <w:abstractNumId w:val="16"/>
  </w:num>
  <w:num w:numId="19">
    <w:abstractNumId w:val="27"/>
  </w:num>
  <w:num w:numId="20">
    <w:abstractNumId w:val="13"/>
  </w:num>
  <w:num w:numId="21">
    <w:abstractNumId w:val="17"/>
  </w:num>
  <w:num w:numId="22">
    <w:abstractNumId w:val="8"/>
  </w:num>
  <w:num w:numId="23">
    <w:abstractNumId w:val="1"/>
  </w:num>
  <w:num w:numId="24">
    <w:abstractNumId w:val="30"/>
  </w:num>
  <w:num w:numId="25">
    <w:abstractNumId w:val="5"/>
  </w:num>
  <w:num w:numId="26">
    <w:abstractNumId w:val="15"/>
  </w:num>
  <w:num w:numId="27">
    <w:abstractNumId w:val="10"/>
  </w:num>
  <w:num w:numId="28">
    <w:abstractNumId w:val="18"/>
  </w:num>
  <w:num w:numId="29">
    <w:abstractNumId w:val="2"/>
  </w:num>
  <w:num w:numId="30">
    <w:abstractNumId w:val="25"/>
  </w:num>
  <w:num w:numId="31">
    <w:abstractNumId w:val="7"/>
  </w:num>
  <w:num w:numId="32">
    <w:abstractNumId w:val="0"/>
  </w:num>
  <w:num w:numId="3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AE4"/>
    <w:rsid w:val="00000163"/>
    <w:rsid w:val="00000661"/>
    <w:rsid w:val="00001FC7"/>
    <w:rsid w:val="00002023"/>
    <w:rsid w:val="00005516"/>
    <w:rsid w:val="000106AD"/>
    <w:rsid w:val="00010CD7"/>
    <w:rsid w:val="000116D3"/>
    <w:rsid w:val="00014E51"/>
    <w:rsid w:val="00016D96"/>
    <w:rsid w:val="00016E5A"/>
    <w:rsid w:val="00020398"/>
    <w:rsid w:val="00020D71"/>
    <w:rsid w:val="0002110C"/>
    <w:rsid w:val="00023733"/>
    <w:rsid w:val="000265CB"/>
    <w:rsid w:val="00034212"/>
    <w:rsid w:val="000344B1"/>
    <w:rsid w:val="00040AFC"/>
    <w:rsid w:val="00041CE8"/>
    <w:rsid w:val="0004295C"/>
    <w:rsid w:val="00044122"/>
    <w:rsid w:val="00045407"/>
    <w:rsid w:val="0004617D"/>
    <w:rsid w:val="000467E9"/>
    <w:rsid w:val="0005115D"/>
    <w:rsid w:val="000523C0"/>
    <w:rsid w:val="000555E6"/>
    <w:rsid w:val="00057006"/>
    <w:rsid w:val="00060448"/>
    <w:rsid w:val="000613B6"/>
    <w:rsid w:val="00061843"/>
    <w:rsid w:val="0006576D"/>
    <w:rsid w:val="00071B57"/>
    <w:rsid w:val="000741F2"/>
    <w:rsid w:val="00075BA7"/>
    <w:rsid w:val="0007625C"/>
    <w:rsid w:val="00076FB6"/>
    <w:rsid w:val="000770EA"/>
    <w:rsid w:val="00077747"/>
    <w:rsid w:val="00081592"/>
    <w:rsid w:val="00082C87"/>
    <w:rsid w:val="000836EF"/>
    <w:rsid w:val="00084B0E"/>
    <w:rsid w:val="00085248"/>
    <w:rsid w:val="000869DB"/>
    <w:rsid w:val="00087AAD"/>
    <w:rsid w:val="00090EE7"/>
    <w:rsid w:val="00092176"/>
    <w:rsid w:val="00092353"/>
    <w:rsid w:val="00093EB6"/>
    <w:rsid w:val="00093EDF"/>
    <w:rsid w:val="00095295"/>
    <w:rsid w:val="00096C75"/>
    <w:rsid w:val="000A04BE"/>
    <w:rsid w:val="000A06FB"/>
    <w:rsid w:val="000A1B4A"/>
    <w:rsid w:val="000A314D"/>
    <w:rsid w:val="000A7903"/>
    <w:rsid w:val="000A7CD8"/>
    <w:rsid w:val="000B0D71"/>
    <w:rsid w:val="000B6ED7"/>
    <w:rsid w:val="000B6EEF"/>
    <w:rsid w:val="000B7256"/>
    <w:rsid w:val="000B7266"/>
    <w:rsid w:val="000C1495"/>
    <w:rsid w:val="000C18D3"/>
    <w:rsid w:val="000C1C92"/>
    <w:rsid w:val="000C47BF"/>
    <w:rsid w:val="000C5FF0"/>
    <w:rsid w:val="000C69AE"/>
    <w:rsid w:val="000C76BB"/>
    <w:rsid w:val="000D1022"/>
    <w:rsid w:val="000D230C"/>
    <w:rsid w:val="000D5C23"/>
    <w:rsid w:val="000E155B"/>
    <w:rsid w:val="000E28CE"/>
    <w:rsid w:val="000E36DF"/>
    <w:rsid w:val="000E5016"/>
    <w:rsid w:val="000F2A9B"/>
    <w:rsid w:val="000F7FA8"/>
    <w:rsid w:val="00100781"/>
    <w:rsid w:val="00100BE9"/>
    <w:rsid w:val="001018D1"/>
    <w:rsid w:val="00103ED9"/>
    <w:rsid w:val="001042BA"/>
    <w:rsid w:val="0010570E"/>
    <w:rsid w:val="00107939"/>
    <w:rsid w:val="00112FA9"/>
    <w:rsid w:val="001139E7"/>
    <w:rsid w:val="00115710"/>
    <w:rsid w:val="00115900"/>
    <w:rsid w:val="00115ABE"/>
    <w:rsid w:val="00116E61"/>
    <w:rsid w:val="001207EB"/>
    <w:rsid w:val="00120BB2"/>
    <w:rsid w:val="001237D7"/>
    <w:rsid w:val="0012694F"/>
    <w:rsid w:val="00130636"/>
    <w:rsid w:val="001335F1"/>
    <w:rsid w:val="00134B86"/>
    <w:rsid w:val="00135039"/>
    <w:rsid w:val="001363B8"/>
    <w:rsid w:val="00136A6D"/>
    <w:rsid w:val="00142357"/>
    <w:rsid w:val="00143248"/>
    <w:rsid w:val="00143B4D"/>
    <w:rsid w:val="00145A68"/>
    <w:rsid w:val="0015332E"/>
    <w:rsid w:val="00153C55"/>
    <w:rsid w:val="00155A1D"/>
    <w:rsid w:val="00155F16"/>
    <w:rsid w:val="0016002D"/>
    <w:rsid w:val="001607D8"/>
    <w:rsid w:val="00161787"/>
    <w:rsid w:val="00162B7D"/>
    <w:rsid w:val="00163205"/>
    <w:rsid w:val="00163B3B"/>
    <w:rsid w:val="00164219"/>
    <w:rsid w:val="001670D3"/>
    <w:rsid w:val="00167C4C"/>
    <w:rsid w:val="0017068D"/>
    <w:rsid w:val="00170C3F"/>
    <w:rsid w:val="0017114B"/>
    <w:rsid w:val="00171315"/>
    <w:rsid w:val="00171333"/>
    <w:rsid w:val="00171792"/>
    <w:rsid w:val="00173965"/>
    <w:rsid w:val="001739FE"/>
    <w:rsid w:val="00173B3A"/>
    <w:rsid w:val="00174B82"/>
    <w:rsid w:val="00180573"/>
    <w:rsid w:val="001832BE"/>
    <w:rsid w:val="001835CE"/>
    <w:rsid w:val="0018523C"/>
    <w:rsid w:val="00191944"/>
    <w:rsid w:val="00192AF1"/>
    <w:rsid w:val="00192D38"/>
    <w:rsid w:val="00193896"/>
    <w:rsid w:val="00194C36"/>
    <w:rsid w:val="001955D4"/>
    <w:rsid w:val="0019635F"/>
    <w:rsid w:val="001963C0"/>
    <w:rsid w:val="001969D0"/>
    <w:rsid w:val="00196B1C"/>
    <w:rsid w:val="001A0A1D"/>
    <w:rsid w:val="001A0AB4"/>
    <w:rsid w:val="001A15EE"/>
    <w:rsid w:val="001A1A2E"/>
    <w:rsid w:val="001B2C8B"/>
    <w:rsid w:val="001B4227"/>
    <w:rsid w:val="001B4506"/>
    <w:rsid w:val="001B4D4C"/>
    <w:rsid w:val="001B5288"/>
    <w:rsid w:val="001B7176"/>
    <w:rsid w:val="001C4466"/>
    <w:rsid w:val="001C685B"/>
    <w:rsid w:val="001C7CBA"/>
    <w:rsid w:val="001D0005"/>
    <w:rsid w:val="001D081D"/>
    <w:rsid w:val="001D3677"/>
    <w:rsid w:val="001D4F8A"/>
    <w:rsid w:val="001D6E6C"/>
    <w:rsid w:val="001E0D5C"/>
    <w:rsid w:val="001E3499"/>
    <w:rsid w:val="001E6534"/>
    <w:rsid w:val="001F2432"/>
    <w:rsid w:val="001F4095"/>
    <w:rsid w:val="001F53AC"/>
    <w:rsid w:val="001F76FD"/>
    <w:rsid w:val="001F7B22"/>
    <w:rsid w:val="002003F0"/>
    <w:rsid w:val="002007F5"/>
    <w:rsid w:val="00202C6B"/>
    <w:rsid w:val="0020579B"/>
    <w:rsid w:val="00205C40"/>
    <w:rsid w:val="00205EC4"/>
    <w:rsid w:val="00205FBB"/>
    <w:rsid w:val="00210047"/>
    <w:rsid w:val="00210775"/>
    <w:rsid w:val="00212C18"/>
    <w:rsid w:val="002139D4"/>
    <w:rsid w:val="00214F56"/>
    <w:rsid w:val="002155EE"/>
    <w:rsid w:val="0021760D"/>
    <w:rsid w:val="00217A20"/>
    <w:rsid w:val="00221ACF"/>
    <w:rsid w:val="00223057"/>
    <w:rsid w:val="0022339A"/>
    <w:rsid w:val="00225F34"/>
    <w:rsid w:val="00230652"/>
    <w:rsid w:val="002311C3"/>
    <w:rsid w:val="002317C9"/>
    <w:rsid w:val="002319BD"/>
    <w:rsid w:val="00233645"/>
    <w:rsid w:val="00233A57"/>
    <w:rsid w:val="0023485B"/>
    <w:rsid w:val="00234BB1"/>
    <w:rsid w:val="00234EF9"/>
    <w:rsid w:val="0024062D"/>
    <w:rsid w:val="00241196"/>
    <w:rsid w:val="00242C80"/>
    <w:rsid w:val="00243412"/>
    <w:rsid w:val="002441CF"/>
    <w:rsid w:val="0024481C"/>
    <w:rsid w:val="00246078"/>
    <w:rsid w:val="0025032A"/>
    <w:rsid w:val="002503D1"/>
    <w:rsid w:val="0025054F"/>
    <w:rsid w:val="0025055E"/>
    <w:rsid w:val="00250ACE"/>
    <w:rsid w:val="00250C40"/>
    <w:rsid w:val="00250F03"/>
    <w:rsid w:val="002523E8"/>
    <w:rsid w:val="002525DB"/>
    <w:rsid w:val="0025279E"/>
    <w:rsid w:val="00252BFB"/>
    <w:rsid w:val="00256403"/>
    <w:rsid w:val="00256AD4"/>
    <w:rsid w:val="00256B5B"/>
    <w:rsid w:val="00257667"/>
    <w:rsid w:val="002613E0"/>
    <w:rsid w:val="00261D53"/>
    <w:rsid w:val="00262301"/>
    <w:rsid w:val="0026260C"/>
    <w:rsid w:val="002635D8"/>
    <w:rsid w:val="00264337"/>
    <w:rsid w:val="00265834"/>
    <w:rsid w:val="00266636"/>
    <w:rsid w:val="002667B1"/>
    <w:rsid w:val="0027067B"/>
    <w:rsid w:val="002706FA"/>
    <w:rsid w:val="0027277C"/>
    <w:rsid w:val="002743E9"/>
    <w:rsid w:val="00274FD9"/>
    <w:rsid w:val="00280ECA"/>
    <w:rsid w:val="00281F39"/>
    <w:rsid w:val="00283F39"/>
    <w:rsid w:val="002846B8"/>
    <w:rsid w:val="002868D8"/>
    <w:rsid w:val="00286F19"/>
    <w:rsid w:val="00287A00"/>
    <w:rsid w:val="00290085"/>
    <w:rsid w:val="00290488"/>
    <w:rsid w:val="002911DC"/>
    <w:rsid w:val="00291F80"/>
    <w:rsid w:val="00292645"/>
    <w:rsid w:val="00292C51"/>
    <w:rsid w:val="0029311F"/>
    <w:rsid w:val="002954AD"/>
    <w:rsid w:val="002973E8"/>
    <w:rsid w:val="00297C06"/>
    <w:rsid w:val="002A019E"/>
    <w:rsid w:val="002A0D3C"/>
    <w:rsid w:val="002A248C"/>
    <w:rsid w:val="002A300D"/>
    <w:rsid w:val="002A4502"/>
    <w:rsid w:val="002A505E"/>
    <w:rsid w:val="002B0FE9"/>
    <w:rsid w:val="002B18DE"/>
    <w:rsid w:val="002B1C2D"/>
    <w:rsid w:val="002B3EEF"/>
    <w:rsid w:val="002B5E81"/>
    <w:rsid w:val="002B6558"/>
    <w:rsid w:val="002B6AA3"/>
    <w:rsid w:val="002C250B"/>
    <w:rsid w:val="002C43CF"/>
    <w:rsid w:val="002D49B2"/>
    <w:rsid w:val="002D5562"/>
    <w:rsid w:val="002D72CA"/>
    <w:rsid w:val="002D7796"/>
    <w:rsid w:val="002D7E75"/>
    <w:rsid w:val="002E0547"/>
    <w:rsid w:val="002E4B95"/>
    <w:rsid w:val="002E7748"/>
    <w:rsid w:val="002E78B9"/>
    <w:rsid w:val="002F0913"/>
    <w:rsid w:val="002F0986"/>
    <w:rsid w:val="002F0F2F"/>
    <w:rsid w:val="002F18AA"/>
    <w:rsid w:val="002F2FB8"/>
    <w:rsid w:val="002F3C66"/>
    <w:rsid w:val="002F3CED"/>
    <w:rsid w:val="0030053F"/>
    <w:rsid w:val="00303A72"/>
    <w:rsid w:val="00303FF9"/>
    <w:rsid w:val="003055FE"/>
    <w:rsid w:val="00311AB0"/>
    <w:rsid w:val="00314EE1"/>
    <w:rsid w:val="00314F54"/>
    <w:rsid w:val="00317F8F"/>
    <w:rsid w:val="003200C0"/>
    <w:rsid w:val="00320DBC"/>
    <w:rsid w:val="00322BD6"/>
    <w:rsid w:val="00322F98"/>
    <w:rsid w:val="00323150"/>
    <w:rsid w:val="003255B6"/>
    <w:rsid w:val="00326A9C"/>
    <w:rsid w:val="00332261"/>
    <w:rsid w:val="0033449F"/>
    <w:rsid w:val="00335F92"/>
    <w:rsid w:val="00336CE3"/>
    <w:rsid w:val="00337BF9"/>
    <w:rsid w:val="0034488E"/>
    <w:rsid w:val="00346301"/>
    <w:rsid w:val="00346F2B"/>
    <w:rsid w:val="00347904"/>
    <w:rsid w:val="00353013"/>
    <w:rsid w:val="0035655C"/>
    <w:rsid w:val="00357F18"/>
    <w:rsid w:val="00360AE2"/>
    <w:rsid w:val="00360DCF"/>
    <w:rsid w:val="003638DE"/>
    <w:rsid w:val="003640FE"/>
    <w:rsid w:val="00364349"/>
    <w:rsid w:val="00364431"/>
    <w:rsid w:val="00364F4F"/>
    <w:rsid w:val="00366694"/>
    <w:rsid w:val="00367519"/>
    <w:rsid w:val="0037088F"/>
    <w:rsid w:val="00371D67"/>
    <w:rsid w:val="00372849"/>
    <w:rsid w:val="00372A5E"/>
    <w:rsid w:val="003742F7"/>
    <w:rsid w:val="00374788"/>
    <w:rsid w:val="0037604B"/>
    <w:rsid w:val="00376C1D"/>
    <w:rsid w:val="003811B8"/>
    <w:rsid w:val="00381932"/>
    <w:rsid w:val="00385F39"/>
    <w:rsid w:val="00390B29"/>
    <w:rsid w:val="00391693"/>
    <w:rsid w:val="00391911"/>
    <w:rsid w:val="00392968"/>
    <w:rsid w:val="003934D1"/>
    <w:rsid w:val="003945EF"/>
    <w:rsid w:val="003968BA"/>
    <w:rsid w:val="00396B35"/>
    <w:rsid w:val="003A039D"/>
    <w:rsid w:val="003A43B2"/>
    <w:rsid w:val="003A5E30"/>
    <w:rsid w:val="003A62EF"/>
    <w:rsid w:val="003B0997"/>
    <w:rsid w:val="003B0B65"/>
    <w:rsid w:val="003B2F8F"/>
    <w:rsid w:val="003B3D0D"/>
    <w:rsid w:val="003B5A41"/>
    <w:rsid w:val="003B66B2"/>
    <w:rsid w:val="003B7F54"/>
    <w:rsid w:val="003C0136"/>
    <w:rsid w:val="003C0E4B"/>
    <w:rsid w:val="003C1602"/>
    <w:rsid w:val="003C297C"/>
    <w:rsid w:val="003C45F6"/>
    <w:rsid w:val="003C5ECC"/>
    <w:rsid w:val="003C5EDB"/>
    <w:rsid w:val="003D0721"/>
    <w:rsid w:val="003D0B5D"/>
    <w:rsid w:val="003D1B1A"/>
    <w:rsid w:val="003D1D3A"/>
    <w:rsid w:val="003D27AF"/>
    <w:rsid w:val="003D5A42"/>
    <w:rsid w:val="003D5BBD"/>
    <w:rsid w:val="003E0DD8"/>
    <w:rsid w:val="003E2242"/>
    <w:rsid w:val="003E55E7"/>
    <w:rsid w:val="003E5B24"/>
    <w:rsid w:val="003E690D"/>
    <w:rsid w:val="003F1F8B"/>
    <w:rsid w:val="003F3C64"/>
    <w:rsid w:val="003F426D"/>
    <w:rsid w:val="003F4364"/>
    <w:rsid w:val="003F4475"/>
    <w:rsid w:val="003F50AD"/>
    <w:rsid w:val="00400A4D"/>
    <w:rsid w:val="0040299C"/>
    <w:rsid w:val="00402BB8"/>
    <w:rsid w:val="0040723D"/>
    <w:rsid w:val="00407281"/>
    <w:rsid w:val="00411ADA"/>
    <w:rsid w:val="00412076"/>
    <w:rsid w:val="004128F1"/>
    <w:rsid w:val="004201E4"/>
    <w:rsid w:val="00423C5B"/>
    <w:rsid w:val="00423D31"/>
    <w:rsid w:val="0042573D"/>
    <w:rsid w:val="004265F1"/>
    <w:rsid w:val="00426B76"/>
    <w:rsid w:val="0042782C"/>
    <w:rsid w:val="004302E3"/>
    <w:rsid w:val="00430597"/>
    <w:rsid w:val="00432DCD"/>
    <w:rsid w:val="00433395"/>
    <w:rsid w:val="00433C2A"/>
    <w:rsid w:val="004358F8"/>
    <w:rsid w:val="00435B8C"/>
    <w:rsid w:val="00436670"/>
    <w:rsid w:val="004368D1"/>
    <w:rsid w:val="00437235"/>
    <w:rsid w:val="004373A8"/>
    <w:rsid w:val="004400DF"/>
    <w:rsid w:val="0044096B"/>
    <w:rsid w:val="004419B6"/>
    <w:rsid w:val="004503A8"/>
    <w:rsid w:val="00450469"/>
    <w:rsid w:val="004536BC"/>
    <w:rsid w:val="00460FDC"/>
    <w:rsid w:val="00462741"/>
    <w:rsid w:val="00465972"/>
    <w:rsid w:val="00465F13"/>
    <w:rsid w:val="00466057"/>
    <w:rsid w:val="004661D1"/>
    <w:rsid w:val="00470224"/>
    <w:rsid w:val="00471DEC"/>
    <w:rsid w:val="00471F8F"/>
    <w:rsid w:val="00472F09"/>
    <w:rsid w:val="00476D0C"/>
    <w:rsid w:val="0047733E"/>
    <w:rsid w:val="00481DF2"/>
    <w:rsid w:val="004823C3"/>
    <w:rsid w:val="00482964"/>
    <w:rsid w:val="004845E3"/>
    <w:rsid w:val="00486B49"/>
    <w:rsid w:val="00492A2D"/>
    <w:rsid w:val="00495221"/>
    <w:rsid w:val="004954CB"/>
    <w:rsid w:val="00495A1C"/>
    <w:rsid w:val="00495E8C"/>
    <w:rsid w:val="00495EAF"/>
    <w:rsid w:val="0049687A"/>
    <w:rsid w:val="004A2D10"/>
    <w:rsid w:val="004A40DB"/>
    <w:rsid w:val="004A7512"/>
    <w:rsid w:val="004B1D16"/>
    <w:rsid w:val="004B1D3C"/>
    <w:rsid w:val="004B1EB8"/>
    <w:rsid w:val="004B2CE4"/>
    <w:rsid w:val="004B554E"/>
    <w:rsid w:val="004B5BA3"/>
    <w:rsid w:val="004B7679"/>
    <w:rsid w:val="004C16DE"/>
    <w:rsid w:val="004C18D4"/>
    <w:rsid w:val="004C1AAE"/>
    <w:rsid w:val="004C205B"/>
    <w:rsid w:val="004C49FB"/>
    <w:rsid w:val="004C7683"/>
    <w:rsid w:val="004C7CE4"/>
    <w:rsid w:val="004C7DE3"/>
    <w:rsid w:val="004D20B2"/>
    <w:rsid w:val="004E1B06"/>
    <w:rsid w:val="004E5C19"/>
    <w:rsid w:val="004E620F"/>
    <w:rsid w:val="004E6BFF"/>
    <w:rsid w:val="004F0A83"/>
    <w:rsid w:val="004F0DF2"/>
    <w:rsid w:val="004F14A2"/>
    <w:rsid w:val="004F3E99"/>
    <w:rsid w:val="004F4BE9"/>
    <w:rsid w:val="004F6CF1"/>
    <w:rsid w:val="00500EED"/>
    <w:rsid w:val="00501AAB"/>
    <w:rsid w:val="005038D6"/>
    <w:rsid w:val="00503973"/>
    <w:rsid w:val="00504126"/>
    <w:rsid w:val="00504577"/>
    <w:rsid w:val="00504D39"/>
    <w:rsid w:val="00512196"/>
    <w:rsid w:val="0052051D"/>
    <w:rsid w:val="00520EEF"/>
    <w:rsid w:val="00520F5D"/>
    <w:rsid w:val="00521442"/>
    <w:rsid w:val="005215D2"/>
    <w:rsid w:val="00524937"/>
    <w:rsid w:val="00527CC4"/>
    <w:rsid w:val="00530A9E"/>
    <w:rsid w:val="00531062"/>
    <w:rsid w:val="00531990"/>
    <w:rsid w:val="00532A36"/>
    <w:rsid w:val="00536DD2"/>
    <w:rsid w:val="0053784E"/>
    <w:rsid w:val="00543476"/>
    <w:rsid w:val="00545490"/>
    <w:rsid w:val="0054729B"/>
    <w:rsid w:val="005524BD"/>
    <w:rsid w:val="00553A1A"/>
    <w:rsid w:val="005541C8"/>
    <w:rsid w:val="005566BE"/>
    <w:rsid w:val="00557739"/>
    <w:rsid w:val="00560204"/>
    <w:rsid w:val="00560972"/>
    <w:rsid w:val="005618FA"/>
    <w:rsid w:val="00563E86"/>
    <w:rsid w:val="00565575"/>
    <w:rsid w:val="0056565D"/>
    <w:rsid w:val="00566781"/>
    <w:rsid w:val="005703BF"/>
    <w:rsid w:val="00572299"/>
    <w:rsid w:val="00580BB8"/>
    <w:rsid w:val="00580CC9"/>
    <w:rsid w:val="0059008E"/>
    <w:rsid w:val="00591727"/>
    <w:rsid w:val="00591959"/>
    <w:rsid w:val="0059725B"/>
    <w:rsid w:val="005A02D2"/>
    <w:rsid w:val="005A07E5"/>
    <w:rsid w:val="005A18F2"/>
    <w:rsid w:val="005A2B2B"/>
    <w:rsid w:val="005A30B8"/>
    <w:rsid w:val="005A3663"/>
    <w:rsid w:val="005A3D7C"/>
    <w:rsid w:val="005A6763"/>
    <w:rsid w:val="005A717A"/>
    <w:rsid w:val="005A7803"/>
    <w:rsid w:val="005B48CB"/>
    <w:rsid w:val="005B49E4"/>
    <w:rsid w:val="005B6BA8"/>
    <w:rsid w:val="005C0502"/>
    <w:rsid w:val="005C36CF"/>
    <w:rsid w:val="005C4316"/>
    <w:rsid w:val="005C4382"/>
    <w:rsid w:val="005C762A"/>
    <w:rsid w:val="005D04D9"/>
    <w:rsid w:val="005D0651"/>
    <w:rsid w:val="005D46D0"/>
    <w:rsid w:val="005D564C"/>
    <w:rsid w:val="005D587D"/>
    <w:rsid w:val="005D5A16"/>
    <w:rsid w:val="005D64AE"/>
    <w:rsid w:val="005D67DC"/>
    <w:rsid w:val="005D794B"/>
    <w:rsid w:val="005E1BD1"/>
    <w:rsid w:val="005E4153"/>
    <w:rsid w:val="005E453E"/>
    <w:rsid w:val="005E465E"/>
    <w:rsid w:val="005E5706"/>
    <w:rsid w:val="005E6FC8"/>
    <w:rsid w:val="005E7288"/>
    <w:rsid w:val="005F1210"/>
    <w:rsid w:val="005F198D"/>
    <w:rsid w:val="005F399C"/>
    <w:rsid w:val="005F6310"/>
    <w:rsid w:val="006039AF"/>
    <w:rsid w:val="00605D42"/>
    <w:rsid w:val="00606C5D"/>
    <w:rsid w:val="006078F6"/>
    <w:rsid w:val="0061008E"/>
    <w:rsid w:val="00610AFA"/>
    <w:rsid w:val="00611287"/>
    <w:rsid w:val="00612474"/>
    <w:rsid w:val="00613040"/>
    <w:rsid w:val="00614B0E"/>
    <w:rsid w:val="006152AC"/>
    <w:rsid w:val="006213E3"/>
    <w:rsid w:val="00621567"/>
    <w:rsid w:val="00621B3D"/>
    <w:rsid w:val="00623B63"/>
    <w:rsid w:val="00626D01"/>
    <w:rsid w:val="00631799"/>
    <w:rsid w:val="00632C89"/>
    <w:rsid w:val="00632F96"/>
    <w:rsid w:val="00633A1A"/>
    <w:rsid w:val="00636F7B"/>
    <w:rsid w:val="00641458"/>
    <w:rsid w:val="00643E82"/>
    <w:rsid w:val="006461F1"/>
    <w:rsid w:val="00646A80"/>
    <w:rsid w:val="00652F63"/>
    <w:rsid w:val="00655E1E"/>
    <w:rsid w:val="0066076D"/>
    <w:rsid w:val="00662A3C"/>
    <w:rsid w:val="00662A8F"/>
    <w:rsid w:val="00663507"/>
    <w:rsid w:val="006701CC"/>
    <w:rsid w:val="00676EF3"/>
    <w:rsid w:val="0067747A"/>
    <w:rsid w:val="00682156"/>
    <w:rsid w:val="00683FD3"/>
    <w:rsid w:val="00684DB8"/>
    <w:rsid w:val="00684E18"/>
    <w:rsid w:val="006924D3"/>
    <w:rsid w:val="006A1646"/>
    <w:rsid w:val="006A3862"/>
    <w:rsid w:val="006A4A1E"/>
    <w:rsid w:val="006A788D"/>
    <w:rsid w:val="006B0171"/>
    <w:rsid w:val="006B4C86"/>
    <w:rsid w:val="006B52B6"/>
    <w:rsid w:val="006B59CD"/>
    <w:rsid w:val="006B74CD"/>
    <w:rsid w:val="006C238C"/>
    <w:rsid w:val="006C23D3"/>
    <w:rsid w:val="006C475D"/>
    <w:rsid w:val="006C51FE"/>
    <w:rsid w:val="006C608D"/>
    <w:rsid w:val="006D21B0"/>
    <w:rsid w:val="006D3080"/>
    <w:rsid w:val="006D3288"/>
    <w:rsid w:val="006D34C3"/>
    <w:rsid w:val="006D3B54"/>
    <w:rsid w:val="006D4A12"/>
    <w:rsid w:val="006D62CC"/>
    <w:rsid w:val="006E1DD7"/>
    <w:rsid w:val="006E406A"/>
    <w:rsid w:val="006E643B"/>
    <w:rsid w:val="006F1F7A"/>
    <w:rsid w:val="006F4F63"/>
    <w:rsid w:val="006F5989"/>
    <w:rsid w:val="006F64AA"/>
    <w:rsid w:val="006F65DA"/>
    <w:rsid w:val="006F6AE4"/>
    <w:rsid w:val="006F6B2D"/>
    <w:rsid w:val="00703EEE"/>
    <w:rsid w:val="007056ED"/>
    <w:rsid w:val="00707558"/>
    <w:rsid w:val="007107AB"/>
    <w:rsid w:val="007119B1"/>
    <w:rsid w:val="00713118"/>
    <w:rsid w:val="007138DE"/>
    <w:rsid w:val="00713B3A"/>
    <w:rsid w:val="00716C94"/>
    <w:rsid w:val="00716F41"/>
    <w:rsid w:val="0072503E"/>
    <w:rsid w:val="00727E22"/>
    <w:rsid w:val="00733F76"/>
    <w:rsid w:val="00734989"/>
    <w:rsid w:val="00734C5C"/>
    <w:rsid w:val="00736773"/>
    <w:rsid w:val="00737541"/>
    <w:rsid w:val="00737B5D"/>
    <w:rsid w:val="007410AB"/>
    <w:rsid w:val="0074111D"/>
    <w:rsid w:val="007420E6"/>
    <w:rsid w:val="007504C0"/>
    <w:rsid w:val="00750ED0"/>
    <w:rsid w:val="0075126F"/>
    <w:rsid w:val="007536F6"/>
    <w:rsid w:val="00753D6C"/>
    <w:rsid w:val="00756ADB"/>
    <w:rsid w:val="00756CB0"/>
    <w:rsid w:val="007575AD"/>
    <w:rsid w:val="00760C75"/>
    <w:rsid w:val="0076129E"/>
    <w:rsid w:val="0076171E"/>
    <w:rsid w:val="007627C2"/>
    <w:rsid w:val="00763E03"/>
    <w:rsid w:val="0076495A"/>
    <w:rsid w:val="00765042"/>
    <w:rsid w:val="00765AEC"/>
    <w:rsid w:val="007731D4"/>
    <w:rsid w:val="007745C7"/>
    <w:rsid w:val="00775A3E"/>
    <w:rsid w:val="00775C0B"/>
    <w:rsid w:val="007776D7"/>
    <w:rsid w:val="00780983"/>
    <w:rsid w:val="0078224B"/>
    <w:rsid w:val="00784AE4"/>
    <w:rsid w:val="00785A8E"/>
    <w:rsid w:val="007869EE"/>
    <w:rsid w:val="00787C5D"/>
    <w:rsid w:val="00790321"/>
    <w:rsid w:val="00791D31"/>
    <w:rsid w:val="0079222B"/>
    <w:rsid w:val="0079378C"/>
    <w:rsid w:val="00796E11"/>
    <w:rsid w:val="007A03D0"/>
    <w:rsid w:val="007A0868"/>
    <w:rsid w:val="007A3447"/>
    <w:rsid w:val="007A36EF"/>
    <w:rsid w:val="007A6B06"/>
    <w:rsid w:val="007B4B4C"/>
    <w:rsid w:val="007B5D9B"/>
    <w:rsid w:val="007B6A82"/>
    <w:rsid w:val="007B7405"/>
    <w:rsid w:val="007C18DA"/>
    <w:rsid w:val="007C2F7C"/>
    <w:rsid w:val="007C4013"/>
    <w:rsid w:val="007C41BE"/>
    <w:rsid w:val="007C4D1D"/>
    <w:rsid w:val="007C5EA9"/>
    <w:rsid w:val="007C6A00"/>
    <w:rsid w:val="007D1BFE"/>
    <w:rsid w:val="007D24B4"/>
    <w:rsid w:val="007D3733"/>
    <w:rsid w:val="007D3F73"/>
    <w:rsid w:val="007D5CB0"/>
    <w:rsid w:val="007D5FE6"/>
    <w:rsid w:val="007D65A7"/>
    <w:rsid w:val="007D7ACF"/>
    <w:rsid w:val="007E2E33"/>
    <w:rsid w:val="007E3DE7"/>
    <w:rsid w:val="007E7084"/>
    <w:rsid w:val="007E7414"/>
    <w:rsid w:val="007F0421"/>
    <w:rsid w:val="007F0710"/>
    <w:rsid w:val="007F17E9"/>
    <w:rsid w:val="007F1E9E"/>
    <w:rsid w:val="007F53EA"/>
    <w:rsid w:val="007F597C"/>
    <w:rsid w:val="007F6FC6"/>
    <w:rsid w:val="007F77B8"/>
    <w:rsid w:val="008033C4"/>
    <w:rsid w:val="00803F98"/>
    <w:rsid w:val="00805784"/>
    <w:rsid w:val="00805E25"/>
    <w:rsid w:val="00807C04"/>
    <w:rsid w:val="00811A59"/>
    <w:rsid w:val="00815F77"/>
    <w:rsid w:val="00816FAE"/>
    <w:rsid w:val="008221DB"/>
    <w:rsid w:val="0082266D"/>
    <w:rsid w:val="00823A32"/>
    <w:rsid w:val="008265E8"/>
    <w:rsid w:val="008274E7"/>
    <w:rsid w:val="00830D79"/>
    <w:rsid w:val="00830EDB"/>
    <w:rsid w:val="00831C31"/>
    <w:rsid w:val="00831EF3"/>
    <w:rsid w:val="008322FF"/>
    <w:rsid w:val="008328E5"/>
    <w:rsid w:val="00832F45"/>
    <w:rsid w:val="00833AEA"/>
    <w:rsid w:val="00833F01"/>
    <w:rsid w:val="0083451E"/>
    <w:rsid w:val="0083697C"/>
    <w:rsid w:val="00840814"/>
    <w:rsid w:val="00841C83"/>
    <w:rsid w:val="008437C8"/>
    <w:rsid w:val="00843E96"/>
    <w:rsid w:val="00845AAB"/>
    <w:rsid w:val="008501BD"/>
    <w:rsid w:val="0085142A"/>
    <w:rsid w:val="00851F01"/>
    <w:rsid w:val="008529D7"/>
    <w:rsid w:val="00855390"/>
    <w:rsid w:val="008576D9"/>
    <w:rsid w:val="0085790E"/>
    <w:rsid w:val="00857B9B"/>
    <w:rsid w:val="00862F1F"/>
    <w:rsid w:val="00863406"/>
    <w:rsid w:val="00864D9E"/>
    <w:rsid w:val="00865BB0"/>
    <w:rsid w:val="00867098"/>
    <w:rsid w:val="00867896"/>
    <w:rsid w:val="0087084A"/>
    <w:rsid w:val="00870E78"/>
    <w:rsid w:val="00874CAD"/>
    <w:rsid w:val="008753AD"/>
    <w:rsid w:val="008756AA"/>
    <w:rsid w:val="00877B9C"/>
    <w:rsid w:val="008802AD"/>
    <w:rsid w:val="008830CC"/>
    <w:rsid w:val="00884DCF"/>
    <w:rsid w:val="00885BCD"/>
    <w:rsid w:val="008914FE"/>
    <w:rsid w:val="00892916"/>
    <w:rsid w:val="0089433C"/>
    <w:rsid w:val="00895713"/>
    <w:rsid w:val="008A0440"/>
    <w:rsid w:val="008A2A5D"/>
    <w:rsid w:val="008A6053"/>
    <w:rsid w:val="008B01CF"/>
    <w:rsid w:val="008B46F0"/>
    <w:rsid w:val="008B6501"/>
    <w:rsid w:val="008B6BB3"/>
    <w:rsid w:val="008B6FA7"/>
    <w:rsid w:val="008C0B2D"/>
    <w:rsid w:val="008C3F2F"/>
    <w:rsid w:val="008C49F7"/>
    <w:rsid w:val="008D1C11"/>
    <w:rsid w:val="008D25E2"/>
    <w:rsid w:val="008D2A99"/>
    <w:rsid w:val="008D2B94"/>
    <w:rsid w:val="008D3AD6"/>
    <w:rsid w:val="008E235F"/>
    <w:rsid w:val="008E301B"/>
    <w:rsid w:val="008E31FF"/>
    <w:rsid w:val="008E34D6"/>
    <w:rsid w:val="008E671B"/>
    <w:rsid w:val="008F0066"/>
    <w:rsid w:val="008F3FD1"/>
    <w:rsid w:val="008F768A"/>
    <w:rsid w:val="00901745"/>
    <w:rsid w:val="009026DC"/>
    <w:rsid w:val="00904EBB"/>
    <w:rsid w:val="00905DFC"/>
    <w:rsid w:val="00906704"/>
    <w:rsid w:val="00910044"/>
    <w:rsid w:val="00910920"/>
    <w:rsid w:val="00910B23"/>
    <w:rsid w:val="00911AD9"/>
    <w:rsid w:val="00913214"/>
    <w:rsid w:val="00913624"/>
    <w:rsid w:val="009138C8"/>
    <w:rsid w:val="009144E8"/>
    <w:rsid w:val="0091597E"/>
    <w:rsid w:val="00916043"/>
    <w:rsid w:val="00917957"/>
    <w:rsid w:val="00920D87"/>
    <w:rsid w:val="00920DE2"/>
    <w:rsid w:val="00923B77"/>
    <w:rsid w:val="00932045"/>
    <w:rsid w:val="00932522"/>
    <w:rsid w:val="009328D3"/>
    <w:rsid w:val="00933183"/>
    <w:rsid w:val="009355AE"/>
    <w:rsid w:val="00935FDF"/>
    <w:rsid w:val="00936F42"/>
    <w:rsid w:val="0094135F"/>
    <w:rsid w:val="00941888"/>
    <w:rsid w:val="00941961"/>
    <w:rsid w:val="009436C6"/>
    <w:rsid w:val="0095061E"/>
    <w:rsid w:val="00951573"/>
    <w:rsid w:val="0095310B"/>
    <w:rsid w:val="00953FC3"/>
    <w:rsid w:val="00954122"/>
    <w:rsid w:val="009556A2"/>
    <w:rsid w:val="009556E1"/>
    <w:rsid w:val="00955A7A"/>
    <w:rsid w:val="00956DE0"/>
    <w:rsid w:val="00962E90"/>
    <w:rsid w:val="00965B6B"/>
    <w:rsid w:val="00966C20"/>
    <w:rsid w:val="00966E5B"/>
    <w:rsid w:val="0096751C"/>
    <w:rsid w:val="00967731"/>
    <w:rsid w:val="00971E13"/>
    <w:rsid w:val="00971E20"/>
    <w:rsid w:val="009745B3"/>
    <w:rsid w:val="00976B85"/>
    <w:rsid w:val="00977A51"/>
    <w:rsid w:val="009817D9"/>
    <w:rsid w:val="00981D25"/>
    <w:rsid w:val="0098481F"/>
    <w:rsid w:val="00986589"/>
    <w:rsid w:val="009866FE"/>
    <w:rsid w:val="009868B5"/>
    <w:rsid w:val="00991435"/>
    <w:rsid w:val="009948EC"/>
    <w:rsid w:val="00995238"/>
    <w:rsid w:val="00996566"/>
    <w:rsid w:val="009977FA"/>
    <w:rsid w:val="009A1004"/>
    <w:rsid w:val="009A1B42"/>
    <w:rsid w:val="009A7554"/>
    <w:rsid w:val="009B2D0F"/>
    <w:rsid w:val="009B320E"/>
    <w:rsid w:val="009B5339"/>
    <w:rsid w:val="009B54C7"/>
    <w:rsid w:val="009B592F"/>
    <w:rsid w:val="009B6F29"/>
    <w:rsid w:val="009C2208"/>
    <w:rsid w:val="009C40EF"/>
    <w:rsid w:val="009C4C10"/>
    <w:rsid w:val="009C7698"/>
    <w:rsid w:val="009C7F0E"/>
    <w:rsid w:val="009D15F7"/>
    <w:rsid w:val="009D3208"/>
    <w:rsid w:val="009D3ED9"/>
    <w:rsid w:val="009D5FCE"/>
    <w:rsid w:val="009D6E02"/>
    <w:rsid w:val="009D7B38"/>
    <w:rsid w:val="009E0F6F"/>
    <w:rsid w:val="009E19B4"/>
    <w:rsid w:val="009E3644"/>
    <w:rsid w:val="009E3A5B"/>
    <w:rsid w:val="009E4198"/>
    <w:rsid w:val="009E518F"/>
    <w:rsid w:val="009F062B"/>
    <w:rsid w:val="009F0FF0"/>
    <w:rsid w:val="009F31EA"/>
    <w:rsid w:val="009F3CC2"/>
    <w:rsid w:val="009F3F0E"/>
    <w:rsid w:val="009F641D"/>
    <w:rsid w:val="009F6A86"/>
    <w:rsid w:val="009F7957"/>
    <w:rsid w:val="009F7D24"/>
    <w:rsid w:val="00A02EBF"/>
    <w:rsid w:val="00A0320F"/>
    <w:rsid w:val="00A03503"/>
    <w:rsid w:val="00A036D3"/>
    <w:rsid w:val="00A0523A"/>
    <w:rsid w:val="00A068AC"/>
    <w:rsid w:val="00A06B1A"/>
    <w:rsid w:val="00A06E80"/>
    <w:rsid w:val="00A06F84"/>
    <w:rsid w:val="00A10439"/>
    <w:rsid w:val="00A1469D"/>
    <w:rsid w:val="00A14DEC"/>
    <w:rsid w:val="00A15506"/>
    <w:rsid w:val="00A1611C"/>
    <w:rsid w:val="00A17D06"/>
    <w:rsid w:val="00A22058"/>
    <w:rsid w:val="00A23015"/>
    <w:rsid w:val="00A24BBB"/>
    <w:rsid w:val="00A27DDD"/>
    <w:rsid w:val="00A30A59"/>
    <w:rsid w:val="00A32E0B"/>
    <w:rsid w:val="00A35DD0"/>
    <w:rsid w:val="00A368D8"/>
    <w:rsid w:val="00A36F38"/>
    <w:rsid w:val="00A37918"/>
    <w:rsid w:val="00A400CB"/>
    <w:rsid w:val="00A40195"/>
    <w:rsid w:val="00A402CE"/>
    <w:rsid w:val="00A42C52"/>
    <w:rsid w:val="00A44FAE"/>
    <w:rsid w:val="00A47814"/>
    <w:rsid w:val="00A47D52"/>
    <w:rsid w:val="00A51F2B"/>
    <w:rsid w:val="00A52B01"/>
    <w:rsid w:val="00A5557B"/>
    <w:rsid w:val="00A6116D"/>
    <w:rsid w:val="00A62173"/>
    <w:rsid w:val="00A63170"/>
    <w:rsid w:val="00A655D9"/>
    <w:rsid w:val="00A65FD8"/>
    <w:rsid w:val="00A6769E"/>
    <w:rsid w:val="00A67D9B"/>
    <w:rsid w:val="00A70DCD"/>
    <w:rsid w:val="00A720AF"/>
    <w:rsid w:val="00A7694A"/>
    <w:rsid w:val="00A76A0B"/>
    <w:rsid w:val="00A76E2C"/>
    <w:rsid w:val="00A80BFA"/>
    <w:rsid w:val="00A80E37"/>
    <w:rsid w:val="00A810A0"/>
    <w:rsid w:val="00A8165D"/>
    <w:rsid w:val="00A83883"/>
    <w:rsid w:val="00A90916"/>
    <w:rsid w:val="00A91100"/>
    <w:rsid w:val="00A91150"/>
    <w:rsid w:val="00A93E0B"/>
    <w:rsid w:val="00A94E6B"/>
    <w:rsid w:val="00A956A7"/>
    <w:rsid w:val="00A9589C"/>
    <w:rsid w:val="00A96B9D"/>
    <w:rsid w:val="00A96F32"/>
    <w:rsid w:val="00AA1B75"/>
    <w:rsid w:val="00AA206B"/>
    <w:rsid w:val="00AA236D"/>
    <w:rsid w:val="00AA2D03"/>
    <w:rsid w:val="00AA6A21"/>
    <w:rsid w:val="00AA70C3"/>
    <w:rsid w:val="00AA7E28"/>
    <w:rsid w:val="00AA7E98"/>
    <w:rsid w:val="00AA7ED7"/>
    <w:rsid w:val="00AA7F7B"/>
    <w:rsid w:val="00AB0B78"/>
    <w:rsid w:val="00AB2E97"/>
    <w:rsid w:val="00AB3CED"/>
    <w:rsid w:val="00AB4B2F"/>
    <w:rsid w:val="00AB5940"/>
    <w:rsid w:val="00AC2F7C"/>
    <w:rsid w:val="00AC57BF"/>
    <w:rsid w:val="00AC7CBD"/>
    <w:rsid w:val="00AD0876"/>
    <w:rsid w:val="00AD3C54"/>
    <w:rsid w:val="00AD3E89"/>
    <w:rsid w:val="00AD543E"/>
    <w:rsid w:val="00AD6C29"/>
    <w:rsid w:val="00AE046D"/>
    <w:rsid w:val="00AE126B"/>
    <w:rsid w:val="00AE1E7F"/>
    <w:rsid w:val="00AE7833"/>
    <w:rsid w:val="00AF2A17"/>
    <w:rsid w:val="00AF2B23"/>
    <w:rsid w:val="00AF3065"/>
    <w:rsid w:val="00AF464D"/>
    <w:rsid w:val="00AF5DA7"/>
    <w:rsid w:val="00B009D5"/>
    <w:rsid w:val="00B01226"/>
    <w:rsid w:val="00B02B29"/>
    <w:rsid w:val="00B03287"/>
    <w:rsid w:val="00B03C53"/>
    <w:rsid w:val="00B062F8"/>
    <w:rsid w:val="00B066F7"/>
    <w:rsid w:val="00B06861"/>
    <w:rsid w:val="00B11A19"/>
    <w:rsid w:val="00B130A7"/>
    <w:rsid w:val="00B156EE"/>
    <w:rsid w:val="00B169E3"/>
    <w:rsid w:val="00B17ADB"/>
    <w:rsid w:val="00B20300"/>
    <w:rsid w:val="00B21095"/>
    <w:rsid w:val="00B2236E"/>
    <w:rsid w:val="00B25A5F"/>
    <w:rsid w:val="00B263FC"/>
    <w:rsid w:val="00B2657C"/>
    <w:rsid w:val="00B26C61"/>
    <w:rsid w:val="00B27297"/>
    <w:rsid w:val="00B3066B"/>
    <w:rsid w:val="00B34524"/>
    <w:rsid w:val="00B40A09"/>
    <w:rsid w:val="00B425E4"/>
    <w:rsid w:val="00B45E51"/>
    <w:rsid w:val="00B51DD0"/>
    <w:rsid w:val="00B53337"/>
    <w:rsid w:val="00B55861"/>
    <w:rsid w:val="00B6145F"/>
    <w:rsid w:val="00B62BDE"/>
    <w:rsid w:val="00B631DC"/>
    <w:rsid w:val="00B63293"/>
    <w:rsid w:val="00B6450A"/>
    <w:rsid w:val="00B6612D"/>
    <w:rsid w:val="00B66814"/>
    <w:rsid w:val="00B71A3D"/>
    <w:rsid w:val="00B733D3"/>
    <w:rsid w:val="00B747DC"/>
    <w:rsid w:val="00B74B67"/>
    <w:rsid w:val="00B750AF"/>
    <w:rsid w:val="00B75C6E"/>
    <w:rsid w:val="00B83815"/>
    <w:rsid w:val="00B8396B"/>
    <w:rsid w:val="00B92F7D"/>
    <w:rsid w:val="00B94F38"/>
    <w:rsid w:val="00BA0B31"/>
    <w:rsid w:val="00BA101A"/>
    <w:rsid w:val="00BA400B"/>
    <w:rsid w:val="00BA56E7"/>
    <w:rsid w:val="00BA7370"/>
    <w:rsid w:val="00BA7551"/>
    <w:rsid w:val="00BB01B5"/>
    <w:rsid w:val="00BB01C8"/>
    <w:rsid w:val="00BB47D7"/>
    <w:rsid w:val="00BB4FD3"/>
    <w:rsid w:val="00BB5B04"/>
    <w:rsid w:val="00BB63CB"/>
    <w:rsid w:val="00BB6CD8"/>
    <w:rsid w:val="00BB6E6B"/>
    <w:rsid w:val="00BB7368"/>
    <w:rsid w:val="00BB7A9D"/>
    <w:rsid w:val="00BC10A7"/>
    <w:rsid w:val="00BC4484"/>
    <w:rsid w:val="00BC5C42"/>
    <w:rsid w:val="00BC67F7"/>
    <w:rsid w:val="00BC6CB7"/>
    <w:rsid w:val="00BC6F45"/>
    <w:rsid w:val="00BC75CD"/>
    <w:rsid w:val="00BD1065"/>
    <w:rsid w:val="00BD4E0B"/>
    <w:rsid w:val="00BD651F"/>
    <w:rsid w:val="00BE0A53"/>
    <w:rsid w:val="00BE2082"/>
    <w:rsid w:val="00BE280F"/>
    <w:rsid w:val="00BE60DD"/>
    <w:rsid w:val="00BE6CD0"/>
    <w:rsid w:val="00BE6FF7"/>
    <w:rsid w:val="00BF15D9"/>
    <w:rsid w:val="00BF1A32"/>
    <w:rsid w:val="00BF1E5E"/>
    <w:rsid w:val="00BF22B1"/>
    <w:rsid w:val="00BF3B30"/>
    <w:rsid w:val="00BF423C"/>
    <w:rsid w:val="00BF782D"/>
    <w:rsid w:val="00BF7B36"/>
    <w:rsid w:val="00BF7FAF"/>
    <w:rsid w:val="00C0032D"/>
    <w:rsid w:val="00C02C4A"/>
    <w:rsid w:val="00C04C13"/>
    <w:rsid w:val="00C0517A"/>
    <w:rsid w:val="00C05B55"/>
    <w:rsid w:val="00C06E14"/>
    <w:rsid w:val="00C06F10"/>
    <w:rsid w:val="00C10366"/>
    <w:rsid w:val="00C12336"/>
    <w:rsid w:val="00C1496A"/>
    <w:rsid w:val="00C15936"/>
    <w:rsid w:val="00C1769F"/>
    <w:rsid w:val="00C27978"/>
    <w:rsid w:val="00C3291A"/>
    <w:rsid w:val="00C33094"/>
    <w:rsid w:val="00C34BBB"/>
    <w:rsid w:val="00C357D4"/>
    <w:rsid w:val="00C35FE1"/>
    <w:rsid w:val="00C36FC4"/>
    <w:rsid w:val="00C42257"/>
    <w:rsid w:val="00C4430E"/>
    <w:rsid w:val="00C452AE"/>
    <w:rsid w:val="00C46092"/>
    <w:rsid w:val="00C464CB"/>
    <w:rsid w:val="00C46ADB"/>
    <w:rsid w:val="00C47323"/>
    <w:rsid w:val="00C50BB0"/>
    <w:rsid w:val="00C52574"/>
    <w:rsid w:val="00C53C55"/>
    <w:rsid w:val="00C55309"/>
    <w:rsid w:val="00C64139"/>
    <w:rsid w:val="00C6553B"/>
    <w:rsid w:val="00C6623A"/>
    <w:rsid w:val="00C67E24"/>
    <w:rsid w:val="00C703F7"/>
    <w:rsid w:val="00C710C5"/>
    <w:rsid w:val="00C745AD"/>
    <w:rsid w:val="00C7565A"/>
    <w:rsid w:val="00C757DA"/>
    <w:rsid w:val="00C761EB"/>
    <w:rsid w:val="00C762AF"/>
    <w:rsid w:val="00C824AE"/>
    <w:rsid w:val="00C82C57"/>
    <w:rsid w:val="00C8500A"/>
    <w:rsid w:val="00C862ED"/>
    <w:rsid w:val="00C91F1E"/>
    <w:rsid w:val="00C9390F"/>
    <w:rsid w:val="00C9395B"/>
    <w:rsid w:val="00C9584A"/>
    <w:rsid w:val="00C97722"/>
    <w:rsid w:val="00CA0371"/>
    <w:rsid w:val="00CA1BF3"/>
    <w:rsid w:val="00CA2ACA"/>
    <w:rsid w:val="00CA3627"/>
    <w:rsid w:val="00CA3CE0"/>
    <w:rsid w:val="00CA45F2"/>
    <w:rsid w:val="00CA5400"/>
    <w:rsid w:val="00CA5D0D"/>
    <w:rsid w:val="00CB34B0"/>
    <w:rsid w:val="00CB491E"/>
    <w:rsid w:val="00CB5068"/>
    <w:rsid w:val="00CC2AB6"/>
    <w:rsid w:val="00CC2B30"/>
    <w:rsid w:val="00CC2D8D"/>
    <w:rsid w:val="00CD3434"/>
    <w:rsid w:val="00CD7A10"/>
    <w:rsid w:val="00CE0F8B"/>
    <w:rsid w:val="00CE27F8"/>
    <w:rsid w:val="00CE49FB"/>
    <w:rsid w:val="00CE68E0"/>
    <w:rsid w:val="00CF30C5"/>
    <w:rsid w:val="00D05B8E"/>
    <w:rsid w:val="00D05CCD"/>
    <w:rsid w:val="00D06AA4"/>
    <w:rsid w:val="00D06F12"/>
    <w:rsid w:val="00D072B4"/>
    <w:rsid w:val="00D1108F"/>
    <w:rsid w:val="00D1183E"/>
    <w:rsid w:val="00D148A8"/>
    <w:rsid w:val="00D1503B"/>
    <w:rsid w:val="00D21977"/>
    <w:rsid w:val="00D23F2E"/>
    <w:rsid w:val="00D2428A"/>
    <w:rsid w:val="00D278D5"/>
    <w:rsid w:val="00D27A89"/>
    <w:rsid w:val="00D36FE3"/>
    <w:rsid w:val="00D37159"/>
    <w:rsid w:val="00D37548"/>
    <w:rsid w:val="00D37F61"/>
    <w:rsid w:val="00D43641"/>
    <w:rsid w:val="00D47D97"/>
    <w:rsid w:val="00D51B07"/>
    <w:rsid w:val="00D530F8"/>
    <w:rsid w:val="00D60630"/>
    <w:rsid w:val="00D64B2A"/>
    <w:rsid w:val="00D65B14"/>
    <w:rsid w:val="00D66D85"/>
    <w:rsid w:val="00D711EE"/>
    <w:rsid w:val="00D713FF"/>
    <w:rsid w:val="00D75168"/>
    <w:rsid w:val="00D757D1"/>
    <w:rsid w:val="00D7692A"/>
    <w:rsid w:val="00D80442"/>
    <w:rsid w:val="00D80E00"/>
    <w:rsid w:val="00D81A01"/>
    <w:rsid w:val="00D85A7E"/>
    <w:rsid w:val="00D8770F"/>
    <w:rsid w:val="00D90A2D"/>
    <w:rsid w:val="00D92DE3"/>
    <w:rsid w:val="00D953CC"/>
    <w:rsid w:val="00D95FF3"/>
    <w:rsid w:val="00D978E5"/>
    <w:rsid w:val="00DA2937"/>
    <w:rsid w:val="00DA2FDE"/>
    <w:rsid w:val="00DA5C52"/>
    <w:rsid w:val="00DB2023"/>
    <w:rsid w:val="00DB27E5"/>
    <w:rsid w:val="00DB2F9C"/>
    <w:rsid w:val="00DB3AA9"/>
    <w:rsid w:val="00DB4134"/>
    <w:rsid w:val="00DB5E31"/>
    <w:rsid w:val="00DB603B"/>
    <w:rsid w:val="00DB79CC"/>
    <w:rsid w:val="00DB7A6F"/>
    <w:rsid w:val="00DC0745"/>
    <w:rsid w:val="00DC0AD4"/>
    <w:rsid w:val="00DC5830"/>
    <w:rsid w:val="00DC66F8"/>
    <w:rsid w:val="00DD0215"/>
    <w:rsid w:val="00DD10A5"/>
    <w:rsid w:val="00DD4E55"/>
    <w:rsid w:val="00DD69A8"/>
    <w:rsid w:val="00DD76E6"/>
    <w:rsid w:val="00DE3E05"/>
    <w:rsid w:val="00DE6816"/>
    <w:rsid w:val="00DF1BA2"/>
    <w:rsid w:val="00DF2259"/>
    <w:rsid w:val="00DF4376"/>
    <w:rsid w:val="00DF7EC3"/>
    <w:rsid w:val="00E01A47"/>
    <w:rsid w:val="00E0284F"/>
    <w:rsid w:val="00E038B3"/>
    <w:rsid w:val="00E03A1E"/>
    <w:rsid w:val="00E06D9F"/>
    <w:rsid w:val="00E071F7"/>
    <w:rsid w:val="00E10AE7"/>
    <w:rsid w:val="00E13EE2"/>
    <w:rsid w:val="00E141A5"/>
    <w:rsid w:val="00E14392"/>
    <w:rsid w:val="00E14DE4"/>
    <w:rsid w:val="00E1642B"/>
    <w:rsid w:val="00E1643C"/>
    <w:rsid w:val="00E20C03"/>
    <w:rsid w:val="00E221F6"/>
    <w:rsid w:val="00E25E3E"/>
    <w:rsid w:val="00E27E6D"/>
    <w:rsid w:val="00E3229D"/>
    <w:rsid w:val="00E33EDF"/>
    <w:rsid w:val="00E347DB"/>
    <w:rsid w:val="00E3502F"/>
    <w:rsid w:val="00E36ECB"/>
    <w:rsid w:val="00E37D85"/>
    <w:rsid w:val="00E41C2F"/>
    <w:rsid w:val="00E4207D"/>
    <w:rsid w:val="00E42699"/>
    <w:rsid w:val="00E43ABF"/>
    <w:rsid w:val="00E44F73"/>
    <w:rsid w:val="00E5177F"/>
    <w:rsid w:val="00E51FAE"/>
    <w:rsid w:val="00E5317C"/>
    <w:rsid w:val="00E53A0C"/>
    <w:rsid w:val="00E53D04"/>
    <w:rsid w:val="00E55A81"/>
    <w:rsid w:val="00E61563"/>
    <w:rsid w:val="00E677AC"/>
    <w:rsid w:val="00E67D48"/>
    <w:rsid w:val="00E72A82"/>
    <w:rsid w:val="00E72D56"/>
    <w:rsid w:val="00E742F6"/>
    <w:rsid w:val="00E766AC"/>
    <w:rsid w:val="00E76806"/>
    <w:rsid w:val="00E76EDF"/>
    <w:rsid w:val="00E77B1D"/>
    <w:rsid w:val="00E802EF"/>
    <w:rsid w:val="00E81233"/>
    <w:rsid w:val="00E81987"/>
    <w:rsid w:val="00E83A79"/>
    <w:rsid w:val="00E92537"/>
    <w:rsid w:val="00E94B33"/>
    <w:rsid w:val="00E95CD3"/>
    <w:rsid w:val="00E962BD"/>
    <w:rsid w:val="00E96667"/>
    <w:rsid w:val="00E970F0"/>
    <w:rsid w:val="00E97261"/>
    <w:rsid w:val="00E97678"/>
    <w:rsid w:val="00E97B72"/>
    <w:rsid w:val="00EA07F0"/>
    <w:rsid w:val="00EA1D9B"/>
    <w:rsid w:val="00EA1E29"/>
    <w:rsid w:val="00EA24BB"/>
    <w:rsid w:val="00EA4227"/>
    <w:rsid w:val="00EA60CF"/>
    <w:rsid w:val="00EA7102"/>
    <w:rsid w:val="00EB0BBF"/>
    <w:rsid w:val="00EB0F79"/>
    <w:rsid w:val="00EB27D1"/>
    <w:rsid w:val="00EB4883"/>
    <w:rsid w:val="00EC35B4"/>
    <w:rsid w:val="00EC44CC"/>
    <w:rsid w:val="00EC4EC5"/>
    <w:rsid w:val="00ED0162"/>
    <w:rsid w:val="00ED218D"/>
    <w:rsid w:val="00ED4834"/>
    <w:rsid w:val="00ED59E7"/>
    <w:rsid w:val="00ED64E1"/>
    <w:rsid w:val="00EE22B1"/>
    <w:rsid w:val="00EE3FF8"/>
    <w:rsid w:val="00EE63A8"/>
    <w:rsid w:val="00EE6D01"/>
    <w:rsid w:val="00EE77C0"/>
    <w:rsid w:val="00EF03FD"/>
    <w:rsid w:val="00EF0B02"/>
    <w:rsid w:val="00EF26EB"/>
    <w:rsid w:val="00EF35D8"/>
    <w:rsid w:val="00EF3EF7"/>
    <w:rsid w:val="00F023CE"/>
    <w:rsid w:val="00F029E6"/>
    <w:rsid w:val="00F03624"/>
    <w:rsid w:val="00F0583A"/>
    <w:rsid w:val="00F10794"/>
    <w:rsid w:val="00F10C3E"/>
    <w:rsid w:val="00F10D89"/>
    <w:rsid w:val="00F114C6"/>
    <w:rsid w:val="00F158B9"/>
    <w:rsid w:val="00F16D58"/>
    <w:rsid w:val="00F17F78"/>
    <w:rsid w:val="00F20906"/>
    <w:rsid w:val="00F21A3B"/>
    <w:rsid w:val="00F268C4"/>
    <w:rsid w:val="00F32C6C"/>
    <w:rsid w:val="00F33916"/>
    <w:rsid w:val="00F3572F"/>
    <w:rsid w:val="00F376DF"/>
    <w:rsid w:val="00F41292"/>
    <w:rsid w:val="00F41A18"/>
    <w:rsid w:val="00F4345B"/>
    <w:rsid w:val="00F4384E"/>
    <w:rsid w:val="00F44DF7"/>
    <w:rsid w:val="00F45F5D"/>
    <w:rsid w:val="00F536E4"/>
    <w:rsid w:val="00F5575F"/>
    <w:rsid w:val="00F5590C"/>
    <w:rsid w:val="00F57CDA"/>
    <w:rsid w:val="00F60DBC"/>
    <w:rsid w:val="00F62D3F"/>
    <w:rsid w:val="00F62D54"/>
    <w:rsid w:val="00F634A3"/>
    <w:rsid w:val="00F63D82"/>
    <w:rsid w:val="00F64AEE"/>
    <w:rsid w:val="00F658EF"/>
    <w:rsid w:val="00F71383"/>
    <w:rsid w:val="00F73BA9"/>
    <w:rsid w:val="00F73F47"/>
    <w:rsid w:val="00F768CF"/>
    <w:rsid w:val="00F80107"/>
    <w:rsid w:val="00F8115A"/>
    <w:rsid w:val="00F81970"/>
    <w:rsid w:val="00F81D5E"/>
    <w:rsid w:val="00F8224A"/>
    <w:rsid w:val="00F83FB6"/>
    <w:rsid w:val="00F859AE"/>
    <w:rsid w:val="00F85ED1"/>
    <w:rsid w:val="00F86261"/>
    <w:rsid w:val="00F87AA9"/>
    <w:rsid w:val="00F910EB"/>
    <w:rsid w:val="00F920DC"/>
    <w:rsid w:val="00F933F4"/>
    <w:rsid w:val="00F9353A"/>
    <w:rsid w:val="00F9693E"/>
    <w:rsid w:val="00FA1986"/>
    <w:rsid w:val="00FA3E0A"/>
    <w:rsid w:val="00FA43A3"/>
    <w:rsid w:val="00FA4EEB"/>
    <w:rsid w:val="00FA79BF"/>
    <w:rsid w:val="00FB02BA"/>
    <w:rsid w:val="00FB1150"/>
    <w:rsid w:val="00FB3137"/>
    <w:rsid w:val="00FB4157"/>
    <w:rsid w:val="00FB4605"/>
    <w:rsid w:val="00FB5B69"/>
    <w:rsid w:val="00FB6EA9"/>
    <w:rsid w:val="00FB7DE4"/>
    <w:rsid w:val="00FC24B8"/>
    <w:rsid w:val="00FC641C"/>
    <w:rsid w:val="00FC6580"/>
    <w:rsid w:val="00FD63F1"/>
    <w:rsid w:val="00FE68A9"/>
    <w:rsid w:val="00FE721C"/>
    <w:rsid w:val="00FE7608"/>
    <w:rsid w:val="00FF00DF"/>
    <w:rsid w:val="00FF3C11"/>
    <w:rsid w:val="00FF50D8"/>
    <w:rsid w:val="00FF5468"/>
    <w:rsid w:val="00FF547E"/>
    <w:rsid w:val="00FF65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1F1"/>
    <w:pPr>
      <w:spacing w:line="276" w:lineRule="auto"/>
    </w:pPr>
    <w:rPr>
      <w:rFonts w:ascii="Georgia" w:hAnsi="Georg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6461F1"/>
    <w:pPr>
      <w:spacing w:before="120" w:after="120" w:line="240" w:lineRule="auto"/>
    </w:pPr>
  </w:style>
  <w:style w:type="paragraph" w:styleId="BalloonText">
    <w:name w:val="Balloon Text"/>
    <w:basedOn w:val="Normal"/>
    <w:link w:val="BalloonTextChar"/>
    <w:uiPriority w:val="99"/>
    <w:semiHidden/>
    <w:unhideWhenUsed/>
    <w:rsid w:val="00646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1F1"/>
    <w:rPr>
      <w:rFonts w:ascii="Tahoma" w:hAnsi="Tahoma" w:cs="Tahoma"/>
      <w:sz w:val="16"/>
      <w:szCs w:val="16"/>
    </w:rPr>
  </w:style>
  <w:style w:type="paragraph" w:customStyle="1" w:styleId="TableBullet">
    <w:name w:val="TableBullet"/>
    <w:basedOn w:val="Normal"/>
    <w:qFormat/>
    <w:rsid w:val="005B48CB"/>
    <w:pPr>
      <w:numPr>
        <w:numId w:val="30"/>
      </w:numPr>
      <w:spacing w:before="120" w:line="240" w:lineRule="auto"/>
      <w:ind w:left="425" w:hanging="425"/>
    </w:pPr>
  </w:style>
  <w:style w:type="paragraph" w:styleId="EndnoteText">
    <w:name w:val="endnote text"/>
    <w:basedOn w:val="Normal"/>
    <w:link w:val="EndnoteTextChar"/>
    <w:uiPriority w:val="99"/>
    <w:semiHidden/>
    <w:unhideWhenUsed/>
    <w:rsid w:val="005C4316"/>
    <w:pPr>
      <w:spacing w:before="60" w:line="240" w:lineRule="auto"/>
      <w:ind w:left="284" w:hanging="284"/>
    </w:pPr>
    <w:rPr>
      <w:sz w:val="18"/>
      <w:szCs w:val="20"/>
    </w:rPr>
  </w:style>
  <w:style w:type="character" w:customStyle="1" w:styleId="EndnoteTextChar">
    <w:name w:val="Endnote Text Char"/>
    <w:basedOn w:val="DefaultParagraphFont"/>
    <w:link w:val="EndnoteText"/>
    <w:uiPriority w:val="99"/>
    <w:semiHidden/>
    <w:rsid w:val="005C4316"/>
    <w:rPr>
      <w:rFonts w:ascii="Georgia" w:hAnsi="Georgia"/>
      <w:sz w:val="18"/>
      <w:szCs w:val="20"/>
    </w:rPr>
  </w:style>
  <w:style w:type="character" w:styleId="EndnoteReference">
    <w:name w:val="endnote reference"/>
    <w:basedOn w:val="DefaultParagraphFont"/>
    <w:uiPriority w:val="99"/>
    <w:semiHidden/>
    <w:unhideWhenUsed/>
    <w:rsid w:val="005C4316"/>
    <w:rPr>
      <w:vertAlign w:val="superscript"/>
    </w:rPr>
  </w:style>
  <w:style w:type="character" w:styleId="PageNumber">
    <w:name w:val="page number"/>
    <w:rsid w:val="001C7CBA"/>
    <w:rPr>
      <w:rFonts w:ascii="Georgia" w:hAnsi="Georgia"/>
      <w:b/>
      <w:sz w:val="22"/>
    </w:rPr>
  </w:style>
  <w:style w:type="paragraph" w:customStyle="1" w:styleId="RectoFooter">
    <w:name w:val="Recto Footer"/>
    <w:basedOn w:val="Footer"/>
    <w:rsid w:val="001C7CBA"/>
    <w:pPr>
      <w:pBdr>
        <w:top w:val="single" w:sz="4" w:space="4" w:color="auto"/>
      </w:pBdr>
      <w:tabs>
        <w:tab w:val="clear" w:pos="4513"/>
        <w:tab w:val="clear" w:pos="9026"/>
        <w:tab w:val="right" w:pos="8647"/>
        <w:tab w:val="right" w:pos="9356"/>
      </w:tabs>
      <w:spacing w:line="240" w:lineRule="auto"/>
    </w:pPr>
    <w:rPr>
      <w:rFonts w:eastAsia="Times New Roman" w:cs="Times New Roman"/>
      <w:sz w:val="20"/>
      <w:szCs w:val="20"/>
      <w:lang w:eastAsia="en-GB"/>
    </w:rPr>
  </w:style>
  <w:style w:type="paragraph" w:styleId="FootnoteText">
    <w:name w:val="footnote text"/>
    <w:basedOn w:val="Normal"/>
    <w:link w:val="FootnoteTextChar"/>
    <w:uiPriority w:val="99"/>
    <w:unhideWhenUsed/>
    <w:rsid w:val="005C4316"/>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C4316"/>
    <w:rPr>
      <w:rFonts w:ascii="Georgia" w:hAnsi="Georgia"/>
      <w:sz w:val="18"/>
      <w:szCs w:val="20"/>
    </w:rPr>
  </w:style>
  <w:style w:type="character" w:styleId="FootnoteReference">
    <w:name w:val="footnote reference"/>
    <w:basedOn w:val="DefaultParagraphFont"/>
    <w:uiPriority w:val="99"/>
    <w:unhideWhenUsed/>
    <w:rsid w:val="00553A1A"/>
    <w:rPr>
      <w:vertAlign w:val="superscript"/>
    </w:rPr>
  </w:style>
  <w:style w:type="paragraph" w:styleId="Header">
    <w:name w:val="header"/>
    <w:basedOn w:val="Normal"/>
    <w:link w:val="HeaderChar"/>
    <w:uiPriority w:val="99"/>
    <w:unhideWhenUsed/>
    <w:rsid w:val="00F0583A"/>
    <w:pPr>
      <w:tabs>
        <w:tab w:val="center" w:pos="4513"/>
        <w:tab w:val="right" w:pos="9026"/>
      </w:tabs>
    </w:pPr>
  </w:style>
  <w:style w:type="character" w:customStyle="1" w:styleId="HeaderChar">
    <w:name w:val="Header Char"/>
    <w:basedOn w:val="DefaultParagraphFont"/>
    <w:link w:val="Header"/>
    <w:uiPriority w:val="99"/>
    <w:rsid w:val="00F0583A"/>
  </w:style>
  <w:style w:type="paragraph" w:styleId="Footer">
    <w:name w:val="footer"/>
    <w:basedOn w:val="Normal"/>
    <w:link w:val="FooterChar"/>
    <w:uiPriority w:val="99"/>
    <w:unhideWhenUsed/>
    <w:rsid w:val="00F0583A"/>
    <w:pPr>
      <w:tabs>
        <w:tab w:val="center" w:pos="4513"/>
        <w:tab w:val="right" w:pos="9026"/>
      </w:tabs>
    </w:pPr>
  </w:style>
  <w:style w:type="character" w:customStyle="1" w:styleId="FooterChar">
    <w:name w:val="Footer Char"/>
    <w:basedOn w:val="DefaultParagraphFont"/>
    <w:link w:val="Footer"/>
    <w:uiPriority w:val="99"/>
    <w:rsid w:val="00F0583A"/>
  </w:style>
  <w:style w:type="character" w:styleId="Hyperlink">
    <w:name w:val="Hyperlink"/>
    <w:basedOn w:val="DefaultParagraphFont"/>
    <w:uiPriority w:val="99"/>
    <w:unhideWhenUsed/>
    <w:rsid w:val="00C46092"/>
    <w:rPr>
      <w:color w:val="0000FF" w:themeColor="hyperlink"/>
      <w:u w:val="single"/>
    </w:rPr>
  </w:style>
  <w:style w:type="paragraph" w:styleId="Revision">
    <w:name w:val="Revision"/>
    <w:hidden/>
    <w:uiPriority w:val="99"/>
    <w:semiHidden/>
    <w:rsid w:val="00F62D54"/>
  </w:style>
  <w:style w:type="paragraph" w:customStyle="1" w:styleId="TableDash">
    <w:name w:val="TableDash"/>
    <w:basedOn w:val="Normal"/>
    <w:qFormat/>
    <w:rsid w:val="005B48CB"/>
    <w:pPr>
      <w:numPr>
        <w:numId w:val="33"/>
      </w:numPr>
      <w:spacing w:before="60"/>
      <w:ind w:left="709" w:hanging="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1F1"/>
    <w:pPr>
      <w:spacing w:line="276" w:lineRule="auto"/>
    </w:pPr>
    <w:rPr>
      <w:rFonts w:ascii="Georgia" w:hAnsi="Georg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6461F1"/>
    <w:pPr>
      <w:spacing w:before="120" w:after="120" w:line="240" w:lineRule="auto"/>
    </w:pPr>
  </w:style>
  <w:style w:type="paragraph" w:styleId="BalloonText">
    <w:name w:val="Balloon Text"/>
    <w:basedOn w:val="Normal"/>
    <w:link w:val="BalloonTextChar"/>
    <w:uiPriority w:val="99"/>
    <w:semiHidden/>
    <w:unhideWhenUsed/>
    <w:rsid w:val="00646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1F1"/>
    <w:rPr>
      <w:rFonts w:ascii="Tahoma" w:hAnsi="Tahoma" w:cs="Tahoma"/>
      <w:sz w:val="16"/>
      <w:szCs w:val="16"/>
    </w:rPr>
  </w:style>
  <w:style w:type="paragraph" w:customStyle="1" w:styleId="TableBullet">
    <w:name w:val="TableBullet"/>
    <w:basedOn w:val="Normal"/>
    <w:qFormat/>
    <w:rsid w:val="005B48CB"/>
    <w:pPr>
      <w:numPr>
        <w:numId w:val="30"/>
      </w:numPr>
      <w:spacing w:before="120" w:line="240" w:lineRule="auto"/>
      <w:ind w:left="425" w:hanging="425"/>
    </w:pPr>
  </w:style>
  <w:style w:type="paragraph" w:styleId="EndnoteText">
    <w:name w:val="endnote text"/>
    <w:basedOn w:val="Normal"/>
    <w:link w:val="EndnoteTextChar"/>
    <w:uiPriority w:val="99"/>
    <w:semiHidden/>
    <w:unhideWhenUsed/>
    <w:rsid w:val="005C4316"/>
    <w:pPr>
      <w:spacing w:before="60" w:line="240" w:lineRule="auto"/>
      <w:ind w:left="284" w:hanging="284"/>
    </w:pPr>
    <w:rPr>
      <w:sz w:val="18"/>
      <w:szCs w:val="20"/>
    </w:rPr>
  </w:style>
  <w:style w:type="character" w:customStyle="1" w:styleId="EndnoteTextChar">
    <w:name w:val="Endnote Text Char"/>
    <w:basedOn w:val="DefaultParagraphFont"/>
    <w:link w:val="EndnoteText"/>
    <w:uiPriority w:val="99"/>
    <w:semiHidden/>
    <w:rsid w:val="005C4316"/>
    <w:rPr>
      <w:rFonts w:ascii="Georgia" w:hAnsi="Georgia"/>
      <w:sz w:val="18"/>
      <w:szCs w:val="20"/>
    </w:rPr>
  </w:style>
  <w:style w:type="character" w:styleId="EndnoteReference">
    <w:name w:val="endnote reference"/>
    <w:basedOn w:val="DefaultParagraphFont"/>
    <w:uiPriority w:val="99"/>
    <w:semiHidden/>
    <w:unhideWhenUsed/>
    <w:rsid w:val="005C4316"/>
    <w:rPr>
      <w:vertAlign w:val="superscript"/>
    </w:rPr>
  </w:style>
  <w:style w:type="character" w:styleId="PageNumber">
    <w:name w:val="page number"/>
    <w:rsid w:val="001C7CBA"/>
    <w:rPr>
      <w:rFonts w:ascii="Georgia" w:hAnsi="Georgia"/>
      <w:b/>
      <w:sz w:val="22"/>
    </w:rPr>
  </w:style>
  <w:style w:type="paragraph" w:customStyle="1" w:styleId="RectoFooter">
    <w:name w:val="Recto Footer"/>
    <w:basedOn w:val="Footer"/>
    <w:rsid w:val="001C7CBA"/>
    <w:pPr>
      <w:pBdr>
        <w:top w:val="single" w:sz="4" w:space="4" w:color="auto"/>
      </w:pBdr>
      <w:tabs>
        <w:tab w:val="clear" w:pos="4513"/>
        <w:tab w:val="clear" w:pos="9026"/>
        <w:tab w:val="right" w:pos="8647"/>
        <w:tab w:val="right" w:pos="9356"/>
      </w:tabs>
      <w:spacing w:line="240" w:lineRule="auto"/>
    </w:pPr>
    <w:rPr>
      <w:rFonts w:eastAsia="Times New Roman" w:cs="Times New Roman"/>
      <w:sz w:val="20"/>
      <w:szCs w:val="20"/>
      <w:lang w:eastAsia="en-GB"/>
    </w:rPr>
  </w:style>
  <w:style w:type="paragraph" w:styleId="FootnoteText">
    <w:name w:val="footnote text"/>
    <w:basedOn w:val="Normal"/>
    <w:link w:val="FootnoteTextChar"/>
    <w:uiPriority w:val="99"/>
    <w:unhideWhenUsed/>
    <w:rsid w:val="005C4316"/>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C4316"/>
    <w:rPr>
      <w:rFonts w:ascii="Georgia" w:hAnsi="Georgia"/>
      <w:sz w:val="18"/>
      <w:szCs w:val="20"/>
    </w:rPr>
  </w:style>
  <w:style w:type="character" w:styleId="FootnoteReference">
    <w:name w:val="footnote reference"/>
    <w:basedOn w:val="DefaultParagraphFont"/>
    <w:uiPriority w:val="99"/>
    <w:unhideWhenUsed/>
    <w:rsid w:val="00553A1A"/>
    <w:rPr>
      <w:vertAlign w:val="superscript"/>
    </w:rPr>
  </w:style>
  <w:style w:type="paragraph" w:styleId="Header">
    <w:name w:val="header"/>
    <w:basedOn w:val="Normal"/>
    <w:link w:val="HeaderChar"/>
    <w:uiPriority w:val="99"/>
    <w:unhideWhenUsed/>
    <w:rsid w:val="00F0583A"/>
    <w:pPr>
      <w:tabs>
        <w:tab w:val="center" w:pos="4513"/>
        <w:tab w:val="right" w:pos="9026"/>
      </w:tabs>
    </w:pPr>
  </w:style>
  <w:style w:type="character" w:customStyle="1" w:styleId="HeaderChar">
    <w:name w:val="Header Char"/>
    <w:basedOn w:val="DefaultParagraphFont"/>
    <w:link w:val="Header"/>
    <w:uiPriority w:val="99"/>
    <w:rsid w:val="00F0583A"/>
  </w:style>
  <w:style w:type="paragraph" w:styleId="Footer">
    <w:name w:val="footer"/>
    <w:basedOn w:val="Normal"/>
    <w:link w:val="FooterChar"/>
    <w:uiPriority w:val="99"/>
    <w:unhideWhenUsed/>
    <w:rsid w:val="00F0583A"/>
    <w:pPr>
      <w:tabs>
        <w:tab w:val="center" w:pos="4513"/>
        <w:tab w:val="right" w:pos="9026"/>
      </w:tabs>
    </w:pPr>
  </w:style>
  <w:style w:type="character" w:customStyle="1" w:styleId="FooterChar">
    <w:name w:val="Footer Char"/>
    <w:basedOn w:val="DefaultParagraphFont"/>
    <w:link w:val="Footer"/>
    <w:uiPriority w:val="99"/>
    <w:rsid w:val="00F0583A"/>
  </w:style>
  <w:style w:type="character" w:styleId="Hyperlink">
    <w:name w:val="Hyperlink"/>
    <w:basedOn w:val="DefaultParagraphFont"/>
    <w:uiPriority w:val="99"/>
    <w:unhideWhenUsed/>
    <w:rsid w:val="00C46092"/>
    <w:rPr>
      <w:color w:val="0000FF" w:themeColor="hyperlink"/>
      <w:u w:val="single"/>
    </w:rPr>
  </w:style>
  <w:style w:type="paragraph" w:styleId="Revision">
    <w:name w:val="Revision"/>
    <w:hidden/>
    <w:uiPriority w:val="99"/>
    <w:semiHidden/>
    <w:rsid w:val="00F62D54"/>
  </w:style>
  <w:style w:type="paragraph" w:customStyle="1" w:styleId="TableDash">
    <w:name w:val="TableDash"/>
    <w:basedOn w:val="Normal"/>
    <w:qFormat/>
    <w:rsid w:val="005B48CB"/>
    <w:pPr>
      <w:numPr>
        <w:numId w:val="33"/>
      </w:numPr>
      <w:spacing w:before="60"/>
      <w:ind w:left="709"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1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Min10</b:Tag>
    <b:SourceType>Book</b:SourceType>
    <b:Guid>{D224C1AD-2D3D-4BA0-9ADE-3C1718BAF6AD}</b:Guid>
    <b:Author>
      <b:Author>
        <b:NameList>
          <b:Person>
            <b:Last>Health</b:Last>
            <b:First>Ministry</b:First>
            <b:Middle>of</b:Middle>
          </b:Person>
        </b:NameList>
      </b:Author>
    </b:Author>
    <b:Title>Kōrero Mārama: Health Literacy and Māori: Results from the 2006 Adult Literacy and Life Skills Survey</b:Title>
    <b:Year>2010</b:Year>
    <b:City>Wellington</b:City>
    <b:Publisher>Ministry of Health</b:Publisher>
    <b:RefOrder>1</b:RefOrder>
  </b:Source>
</b:Sources>
</file>

<file path=customXml/itemProps1.xml><?xml version="1.0" encoding="utf-8"?>
<ds:datastoreItem xmlns:ds="http://schemas.openxmlformats.org/officeDocument/2006/customXml" ds:itemID="{3F4BA5EF-675E-4AB5-9A75-000F06E6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 Framework for Health Literacy</vt:lpstr>
    </vt:vector>
  </TitlesOfParts>
  <Company>Ministry of Health</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Framework for Health Literacy</dc:title>
  <dc:creator>Ministry of Health</dc:creator>
  <cp:lastModifiedBy>Jane Adam</cp:lastModifiedBy>
  <cp:revision>6</cp:revision>
  <cp:lastPrinted>2015-05-20T03:14:00Z</cp:lastPrinted>
  <dcterms:created xsi:type="dcterms:W3CDTF">2015-05-20T03:13:00Z</dcterms:created>
  <dcterms:modified xsi:type="dcterms:W3CDTF">2015-05-20T03:17:00Z</dcterms:modified>
</cp:coreProperties>
</file>