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D54D50" w:rsidRDefault="00687A5B" w:rsidP="00D54D50">
      <w:pPr>
        <w:pStyle w:val="Title"/>
      </w:pPr>
      <w:r>
        <w:t xml:space="preserve">Independent Life </w:t>
      </w:r>
      <w:r w:rsidR="0060134B">
        <w:t>Expectancy</w:t>
      </w:r>
      <w:r w:rsidR="003E11A9">
        <w:t xml:space="preserve"> in New Zealand</w:t>
      </w:r>
    </w:p>
    <w:p w:rsidR="00343365" w:rsidRDefault="003E11A9" w:rsidP="00343365">
      <w:pPr>
        <w:pStyle w:val="Year"/>
      </w:pPr>
      <w:r>
        <w:t>2013</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996F2C" w:rsidRDefault="00996F2C" w:rsidP="00046BD2">
      <w:pPr>
        <w:pStyle w:val="Heading2"/>
      </w:pPr>
      <w:r>
        <w:lastRenderedPageBreak/>
        <w:t>Acknowledgements</w:t>
      </w:r>
    </w:p>
    <w:p w:rsidR="00665B58" w:rsidRDefault="00665B58" w:rsidP="00665B58">
      <w:r>
        <w:t xml:space="preserve">This report was written by Vladimir </w:t>
      </w:r>
      <w:proofErr w:type="spellStart"/>
      <w:r>
        <w:t>Stevanovic</w:t>
      </w:r>
      <w:proofErr w:type="spellEnd"/>
      <w:r>
        <w:t xml:space="preserve"> with support from Michelle Liu.</w:t>
      </w:r>
    </w:p>
    <w:p w:rsidR="00665B58" w:rsidRPr="00665B58" w:rsidRDefault="00665B58" w:rsidP="00665B58"/>
    <w:p w:rsidR="00996F2C" w:rsidRPr="008C5765" w:rsidRDefault="00996F2C" w:rsidP="00996F2C">
      <w:r w:rsidRPr="008C5765">
        <w:t>The authors acknowledge valuable input from</w:t>
      </w:r>
      <w:r>
        <w:t xml:space="preserve"> peer reviewers of this report:</w:t>
      </w:r>
    </w:p>
    <w:p w:rsidR="00996F2C" w:rsidRPr="008C5765" w:rsidRDefault="00996F2C" w:rsidP="00996F2C">
      <w:pPr>
        <w:pStyle w:val="Bullet"/>
      </w:pPr>
      <w:r w:rsidRPr="008C5765">
        <w:t xml:space="preserve">Jackie Fawcett, Denise </w:t>
      </w:r>
      <w:proofErr w:type="spellStart"/>
      <w:r w:rsidRPr="008C5765">
        <w:t>Hutana</w:t>
      </w:r>
      <w:proofErr w:type="spellEnd"/>
      <w:r w:rsidRPr="008C5765">
        <w:t xml:space="preserve">, Martin Tobias and Li-Chia </w:t>
      </w:r>
      <w:proofErr w:type="spellStart"/>
      <w:r w:rsidRPr="008C5765">
        <w:t>Yeh</w:t>
      </w:r>
      <w:proofErr w:type="spellEnd"/>
      <w:r w:rsidRPr="008C5765">
        <w:t xml:space="preserve"> (Ministry of Health)</w:t>
      </w:r>
    </w:p>
    <w:p w:rsidR="00996F2C" w:rsidRPr="008C5765" w:rsidRDefault="00996F2C" w:rsidP="00996F2C">
      <w:pPr>
        <w:pStyle w:val="Bullet"/>
      </w:pPr>
      <w:proofErr w:type="spellStart"/>
      <w:r w:rsidRPr="008C5765">
        <w:t>Phillipa</w:t>
      </w:r>
      <w:proofErr w:type="spellEnd"/>
      <w:r w:rsidRPr="008C5765">
        <w:t xml:space="preserve"> O’Brien, Kim Dunstan and Shari Mason (Statistics New Zealand)</w:t>
      </w:r>
    </w:p>
    <w:p w:rsidR="00996F2C" w:rsidRPr="008C5765" w:rsidRDefault="00996F2C" w:rsidP="00996F2C">
      <w:pPr>
        <w:pStyle w:val="Bullet"/>
      </w:pPr>
      <w:r w:rsidRPr="008C5765">
        <w:t>Natalie Jackson (Massey University)</w:t>
      </w:r>
    </w:p>
    <w:p w:rsidR="00996F2C" w:rsidRPr="008C5765" w:rsidRDefault="00996F2C" w:rsidP="00996F2C">
      <w:pPr>
        <w:pStyle w:val="Bullet"/>
      </w:pPr>
      <w:r w:rsidRPr="008C5765">
        <w:t>Peter Davis (University of Auckland).</w:t>
      </w:r>
    </w:p>
    <w:p w:rsidR="00A80363" w:rsidRPr="00442C1C" w:rsidRDefault="00A80363" w:rsidP="00046BD2">
      <w:pPr>
        <w:pStyle w:val="Imprint"/>
        <w:spacing w:before="7000" w:after="120"/>
      </w:pPr>
      <w:r>
        <w:t xml:space="preserve">Citation: </w:t>
      </w:r>
      <w:r w:rsidR="00442C1C">
        <w:t xml:space="preserve">Ministry of Health. </w:t>
      </w:r>
      <w:r w:rsidR="0060134B">
        <w:t>2015</w:t>
      </w:r>
      <w:r w:rsidR="00442C1C">
        <w:t xml:space="preserve">. </w:t>
      </w:r>
      <w:r w:rsidR="003E11A9">
        <w:rPr>
          <w:i/>
        </w:rPr>
        <w:t xml:space="preserve">Independent Life </w:t>
      </w:r>
      <w:r w:rsidR="0060134B">
        <w:rPr>
          <w:i/>
        </w:rPr>
        <w:t>Expectancy</w:t>
      </w:r>
      <w:r w:rsidR="00EC58E9">
        <w:rPr>
          <w:i/>
        </w:rPr>
        <w:t xml:space="preserve"> in New Zealand 2013.</w:t>
      </w:r>
      <w:r w:rsidR="00442C1C">
        <w:t>Wellington: Ministry of Health.</w:t>
      </w:r>
    </w:p>
    <w:p w:rsidR="00C86248" w:rsidRDefault="00C86248" w:rsidP="008B4088">
      <w:pPr>
        <w:pStyle w:val="Imprint"/>
        <w:spacing w:after="60"/>
      </w:pPr>
      <w:r>
        <w:t xml:space="preserve">Published in </w:t>
      </w:r>
      <w:r w:rsidR="0060134B">
        <w:t>July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442C1C">
        <w:t xml:space="preserve"> </w:t>
      </w:r>
      <w:r w:rsidR="00DC1D3C">
        <w:t>978-0-478-44843-6</w:t>
      </w:r>
      <w:r w:rsidR="00442C1C">
        <w:t xml:space="preserve"> </w:t>
      </w:r>
      <w:r>
        <w:t>(</w:t>
      </w:r>
      <w:r w:rsidR="00442C1C">
        <w:t>online</w:t>
      </w:r>
      <w:proofErr w:type="gramStart"/>
      <w:r>
        <w:t>)</w:t>
      </w:r>
      <w:proofErr w:type="gramEnd"/>
      <w:r w:rsidR="00082CD6">
        <w:br/>
      </w:r>
      <w:r w:rsidR="00082CD6" w:rsidRPr="009C0F2D">
        <w:t xml:space="preserve">HP </w:t>
      </w:r>
      <w:r w:rsidR="00DC1D3C">
        <w:t>6219</w:t>
      </w:r>
      <w:bookmarkStart w:id="0" w:name="_GoBack"/>
      <w:bookmarkEnd w:id="0"/>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43167C4D" wp14:editId="50AB7030">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C86248" w:rsidRDefault="00C86248">
      <w:pPr>
        <w:jc w:val="center"/>
        <w:sectPr w:rsidR="00C86248" w:rsidSect="00996F2C">
          <w:footerReference w:type="even" r:id="rId11"/>
          <w:footerReference w:type="default" r:id="rId12"/>
          <w:pgSz w:w="11907" w:h="16834" w:code="9"/>
          <w:pgMar w:top="1701" w:right="1134" w:bottom="1134" w:left="1985" w:header="0" w:footer="0" w:gutter="0"/>
          <w:cols w:space="720"/>
        </w:sectPr>
      </w:pPr>
    </w:p>
    <w:p w:rsidR="00C86248" w:rsidRDefault="00C86248">
      <w:pPr>
        <w:pStyle w:val="IntroHead"/>
      </w:pPr>
      <w:bookmarkStart w:id="1" w:name="_Toc405792991"/>
      <w:bookmarkStart w:id="2" w:name="_Toc405793224"/>
      <w:r>
        <w:lastRenderedPageBreak/>
        <w:t>Contents</w:t>
      </w:r>
      <w:bookmarkEnd w:id="1"/>
      <w:bookmarkEnd w:id="2"/>
    </w:p>
    <w:p w:rsidR="007B2E65"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7B2E65">
        <w:rPr>
          <w:noProof/>
        </w:rPr>
        <w:t>Executive summary</w:t>
      </w:r>
      <w:r w:rsidR="007B2E65">
        <w:rPr>
          <w:noProof/>
        </w:rPr>
        <w:tab/>
      </w:r>
      <w:r w:rsidR="007B2E65">
        <w:rPr>
          <w:noProof/>
        </w:rPr>
        <w:fldChar w:fldCharType="begin"/>
      </w:r>
      <w:r w:rsidR="007B2E65">
        <w:rPr>
          <w:noProof/>
        </w:rPr>
        <w:instrText xml:space="preserve"> PAGEREF _Toc424834162 \h </w:instrText>
      </w:r>
      <w:r w:rsidR="007B2E65">
        <w:rPr>
          <w:noProof/>
        </w:rPr>
      </w:r>
      <w:r w:rsidR="007B2E65">
        <w:rPr>
          <w:noProof/>
        </w:rPr>
        <w:fldChar w:fldCharType="separate"/>
      </w:r>
      <w:r w:rsidR="005241FD">
        <w:rPr>
          <w:noProof/>
        </w:rPr>
        <w:t>v</w:t>
      </w:r>
      <w:r w:rsidR="007B2E65">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_Toc424834163 \h </w:instrText>
      </w:r>
      <w:r>
        <w:rPr>
          <w:noProof/>
        </w:rPr>
      </w:r>
      <w:r>
        <w:rPr>
          <w:noProof/>
        </w:rPr>
        <w:fldChar w:fldCharType="separate"/>
      </w:r>
      <w:r w:rsidR="005241FD">
        <w:rPr>
          <w:noProof/>
        </w:rPr>
        <w:t>1</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Health expectancy as a summary measure of population health</w:t>
      </w:r>
      <w:r>
        <w:rPr>
          <w:noProof/>
        </w:rPr>
        <w:tab/>
      </w:r>
      <w:r>
        <w:rPr>
          <w:noProof/>
        </w:rPr>
        <w:fldChar w:fldCharType="begin"/>
      </w:r>
      <w:r>
        <w:rPr>
          <w:noProof/>
        </w:rPr>
        <w:instrText xml:space="preserve"> PAGEREF _Toc424834164 \h </w:instrText>
      </w:r>
      <w:r>
        <w:rPr>
          <w:noProof/>
        </w:rPr>
      </w:r>
      <w:r>
        <w:rPr>
          <w:noProof/>
        </w:rPr>
        <w:fldChar w:fldCharType="separate"/>
      </w:r>
      <w:r w:rsidR="005241FD">
        <w:rPr>
          <w:noProof/>
        </w:rPr>
        <w:t>1</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Two approaches to estimating health expectancy</w:t>
      </w:r>
      <w:r>
        <w:rPr>
          <w:noProof/>
        </w:rPr>
        <w:tab/>
      </w:r>
      <w:r>
        <w:rPr>
          <w:noProof/>
        </w:rPr>
        <w:fldChar w:fldCharType="begin"/>
      </w:r>
      <w:r>
        <w:rPr>
          <w:noProof/>
        </w:rPr>
        <w:instrText xml:space="preserve"> PAGEREF _Toc424834165 \h </w:instrText>
      </w:r>
      <w:r>
        <w:rPr>
          <w:noProof/>
        </w:rPr>
      </w:r>
      <w:r>
        <w:rPr>
          <w:noProof/>
        </w:rPr>
        <w:fldChar w:fldCharType="separate"/>
      </w:r>
      <w:r w:rsidR="005241FD">
        <w:rPr>
          <w:noProof/>
        </w:rPr>
        <w:t>1</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How health expectancy and ILE are being applied in New Zealand</w:t>
      </w:r>
      <w:r>
        <w:rPr>
          <w:noProof/>
        </w:rPr>
        <w:tab/>
      </w:r>
      <w:r>
        <w:rPr>
          <w:noProof/>
        </w:rPr>
        <w:fldChar w:fldCharType="begin"/>
      </w:r>
      <w:r>
        <w:rPr>
          <w:noProof/>
        </w:rPr>
        <w:instrText xml:space="preserve"> PAGEREF _Toc424834166 \h </w:instrText>
      </w:r>
      <w:r>
        <w:rPr>
          <w:noProof/>
        </w:rPr>
      </w:r>
      <w:r>
        <w:rPr>
          <w:noProof/>
        </w:rPr>
        <w:fldChar w:fldCharType="separate"/>
      </w:r>
      <w:r w:rsidR="005241FD">
        <w:rPr>
          <w:noProof/>
        </w:rPr>
        <w:t>3</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Overview of this report</w:t>
      </w:r>
      <w:r>
        <w:rPr>
          <w:noProof/>
        </w:rPr>
        <w:tab/>
      </w:r>
      <w:r>
        <w:rPr>
          <w:noProof/>
        </w:rPr>
        <w:fldChar w:fldCharType="begin"/>
      </w:r>
      <w:r>
        <w:rPr>
          <w:noProof/>
        </w:rPr>
        <w:instrText xml:space="preserve"> PAGEREF _Toc424834167 \h </w:instrText>
      </w:r>
      <w:r>
        <w:rPr>
          <w:noProof/>
        </w:rPr>
      </w:r>
      <w:r>
        <w:rPr>
          <w:noProof/>
        </w:rPr>
        <w:fldChar w:fldCharType="separate"/>
      </w:r>
      <w:r w:rsidR="005241FD">
        <w:rPr>
          <w:noProof/>
        </w:rPr>
        <w:t>3</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How independent life expectancy has been estimated</w:t>
      </w:r>
      <w:r>
        <w:rPr>
          <w:noProof/>
        </w:rPr>
        <w:tab/>
      </w:r>
      <w:r>
        <w:rPr>
          <w:noProof/>
        </w:rPr>
        <w:fldChar w:fldCharType="begin"/>
      </w:r>
      <w:r>
        <w:rPr>
          <w:noProof/>
        </w:rPr>
        <w:instrText xml:space="preserve"> PAGEREF _Toc424834168 \h </w:instrText>
      </w:r>
      <w:r>
        <w:rPr>
          <w:noProof/>
        </w:rPr>
      </w:r>
      <w:r>
        <w:rPr>
          <w:noProof/>
        </w:rPr>
        <w:fldChar w:fldCharType="separate"/>
      </w:r>
      <w:r w:rsidR="005241FD">
        <w:rPr>
          <w:noProof/>
        </w:rPr>
        <w:t>4</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Sources of data for this report</w:t>
      </w:r>
      <w:r>
        <w:rPr>
          <w:noProof/>
        </w:rPr>
        <w:tab/>
      </w:r>
      <w:r>
        <w:rPr>
          <w:noProof/>
        </w:rPr>
        <w:fldChar w:fldCharType="begin"/>
      </w:r>
      <w:r>
        <w:rPr>
          <w:noProof/>
        </w:rPr>
        <w:instrText xml:space="preserve"> PAGEREF _Toc424834169 \h </w:instrText>
      </w:r>
      <w:r>
        <w:rPr>
          <w:noProof/>
        </w:rPr>
      </w:r>
      <w:r>
        <w:rPr>
          <w:noProof/>
        </w:rPr>
        <w:fldChar w:fldCharType="separate"/>
      </w:r>
      <w:r w:rsidR="005241FD">
        <w:rPr>
          <w:noProof/>
        </w:rPr>
        <w:t>4</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Methods of estimating ILE</w:t>
      </w:r>
      <w:r>
        <w:rPr>
          <w:noProof/>
        </w:rPr>
        <w:tab/>
      </w:r>
      <w:r>
        <w:rPr>
          <w:noProof/>
        </w:rPr>
        <w:fldChar w:fldCharType="begin"/>
      </w:r>
      <w:r>
        <w:rPr>
          <w:noProof/>
        </w:rPr>
        <w:instrText xml:space="preserve"> PAGEREF _Toc424834170 \h </w:instrText>
      </w:r>
      <w:r>
        <w:rPr>
          <w:noProof/>
        </w:rPr>
      </w:r>
      <w:r>
        <w:rPr>
          <w:noProof/>
        </w:rPr>
        <w:fldChar w:fldCharType="separate"/>
      </w:r>
      <w:r w:rsidR="005241FD">
        <w:rPr>
          <w:noProof/>
        </w:rPr>
        <w:t>4</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Analysis by gender and ethnicity</w:t>
      </w:r>
      <w:r>
        <w:rPr>
          <w:noProof/>
        </w:rPr>
        <w:tab/>
      </w:r>
      <w:r>
        <w:rPr>
          <w:noProof/>
        </w:rPr>
        <w:fldChar w:fldCharType="begin"/>
      </w:r>
      <w:r>
        <w:rPr>
          <w:noProof/>
        </w:rPr>
        <w:instrText xml:space="preserve"> PAGEREF _Toc424834171 \h </w:instrText>
      </w:r>
      <w:r>
        <w:rPr>
          <w:noProof/>
        </w:rPr>
      </w:r>
      <w:r>
        <w:rPr>
          <w:noProof/>
        </w:rPr>
        <w:fldChar w:fldCharType="separate"/>
      </w:r>
      <w:r w:rsidR="005241FD">
        <w:rPr>
          <w:noProof/>
        </w:rPr>
        <w:t>5</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Independent life expectancy at birth in 2013</w:t>
      </w:r>
      <w:r>
        <w:rPr>
          <w:noProof/>
        </w:rPr>
        <w:tab/>
      </w:r>
      <w:r>
        <w:rPr>
          <w:noProof/>
        </w:rPr>
        <w:fldChar w:fldCharType="begin"/>
      </w:r>
      <w:r>
        <w:rPr>
          <w:noProof/>
        </w:rPr>
        <w:instrText xml:space="preserve"> PAGEREF _Toc424834172 \h </w:instrText>
      </w:r>
      <w:r>
        <w:rPr>
          <w:noProof/>
        </w:rPr>
      </w:r>
      <w:r>
        <w:rPr>
          <w:noProof/>
        </w:rPr>
        <w:fldChar w:fldCharType="separate"/>
      </w:r>
      <w:r w:rsidR="005241FD">
        <w:rPr>
          <w:noProof/>
        </w:rPr>
        <w:t>6</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ILE by gender</w:t>
      </w:r>
      <w:r>
        <w:rPr>
          <w:noProof/>
        </w:rPr>
        <w:tab/>
      </w:r>
      <w:r>
        <w:rPr>
          <w:noProof/>
        </w:rPr>
        <w:fldChar w:fldCharType="begin"/>
      </w:r>
      <w:r>
        <w:rPr>
          <w:noProof/>
        </w:rPr>
        <w:instrText xml:space="preserve"> PAGEREF _Toc424834173 \h </w:instrText>
      </w:r>
      <w:r>
        <w:rPr>
          <w:noProof/>
        </w:rPr>
      </w:r>
      <w:r>
        <w:rPr>
          <w:noProof/>
        </w:rPr>
        <w:fldChar w:fldCharType="separate"/>
      </w:r>
      <w:r w:rsidR="005241FD">
        <w:rPr>
          <w:noProof/>
        </w:rPr>
        <w:t>6</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ILE by ethnicity</w:t>
      </w:r>
      <w:r>
        <w:rPr>
          <w:noProof/>
        </w:rPr>
        <w:tab/>
      </w:r>
      <w:r>
        <w:rPr>
          <w:noProof/>
        </w:rPr>
        <w:fldChar w:fldCharType="begin"/>
      </w:r>
      <w:r>
        <w:rPr>
          <w:noProof/>
        </w:rPr>
        <w:instrText xml:space="preserve"> PAGEREF _Toc424834174 \h </w:instrText>
      </w:r>
      <w:r>
        <w:rPr>
          <w:noProof/>
        </w:rPr>
      </w:r>
      <w:r>
        <w:rPr>
          <w:noProof/>
        </w:rPr>
        <w:fldChar w:fldCharType="separate"/>
      </w:r>
      <w:r w:rsidR="005241FD">
        <w:rPr>
          <w:noProof/>
        </w:rPr>
        <w:t>7</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Analysis across gender and ethnic groups</w:t>
      </w:r>
      <w:r>
        <w:rPr>
          <w:noProof/>
        </w:rPr>
        <w:tab/>
      </w:r>
      <w:r>
        <w:rPr>
          <w:noProof/>
        </w:rPr>
        <w:fldChar w:fldCharType="begin"/>
      </w:r>
      <w:r>
        <w:rPr>
          <w:noProof/>
        </w:rPr>
        <w:instrText xml:space="preserve"> PAGEREF _Toc424834175 \h </w:instrText>
      </w:r>
      <w:r>
        <w:rPr>
          <w:noProof/>
        </w:rPr>
      </w:r>
      <w:r>
        <w:rPr>
          <w:noProof/>
        </w:rPr>
        <w:fldChar w:fldCharType="separate"/>
      </w:r>
      <w:r w:rsidR="005241FD">
        <w:rPr>
          <w:noProof/>
        </w:rPr>
        <w:t>9</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Limits to data reliability</w:t>
      </w:r>
      <w:r>
        <w:rPr>
          <w:noProof/>
        </w:rPr>
        <w:tab/>
      </w:r>
      <w:r>
        <w:rPr>
          <w:noProof/>
        </w:rPr>
        <w:fldChar w:fldCharType="begin"/>
      </w:r>
      <w:r>
        <w:rPr>
          <w:noProof/>
        </w:rPr>
        <w:instrText xml:space="preserve"> PAGEREF _Toc424834176 \h </w:instrText>
      </w:r>
      <w:r>
        <w:rPr>
          <w:noProof/>
        </w:rPr>
      </w:r>
      <w:r>
        <w:rPr>
          <w:noProof/>
        </w:rPr>
        <w:fldChar w:fldCharType="separate"/>
      </w:r>
      <w:r w:rsidR="005241FD">
        <w:rPr>
          <w:noProof/>
        </w:rPr>
        <w:t>10</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Independent life expectancy at age 65 in 2013</w:t>
      </w:r>
      <w:r>
        <w:rPr>
          <w:noProof/>
        </w:rPr>
        <w:tab/>
      </w:r>
      <w:r>
        <w:rPr>
          <w:noProof/>
        </w:rPr>
        <w:fldChar w:fldCharType="begin"/>
      </w:r>
      <w:r>
        <w:rPr>
          <w:noProof/>
        </w:rPr>
        <w:instrText xml:space="preserve"> PAGEREF _Toc424834177 \h </w:instrText>
      </w:r>
      <w:r>
        <w:rPr>
          <w:noProof/>
        </w:rPr>
      </w:r>
      <w:r>
        <w:rPr>
          <w:noProof/>
        </w:rPr>
        <w:fldChar w:fldCharType="separate"/>
      </w:r>
      <w:r w:rsidR="005241FD">
        <w:rPr>
          <w:noProof/>
        </w:rPr>
        <w:t>11</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ILE by gender</w:t>
      </w:r>
      <w:r>
        <w:rPr>
          <w:noProof/>
        </w:rPr>
        <w:tab/>
      </w:r>
      <w:r>
        <w:rPr>
          <w:noProof/>
        </w:rPr>
        <w:fldChar w:fldCharType="begin"/>
      </w:r>
      <w:r>
        <w:rPr>
          <w:noProof/>
        </w:rPr>
        <w:instrText xml:space="preserve"> PAGEREF _Toc424834178 \h </w:instrText>
      </w:r>
      <w:r>
        <w:rPr>
          <w:noProof/>
        </w:rPr>
      </w:r>
      <w:r>
        <w:rPr>
          <w:noProof/>
        </w:rPr>
        <w:fldChar w:fldCharType="separate"/>
      </w:r>
      <w:r w:rsidR="005241FD">
        <w:rPr>
          <w:noProof/>
        </w:rPr>
        <w:t>11</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ILE by ethnicity</w:t>
      </w:r>
      <w:r>
        <w:rPr>
          <w:noProof/>
        </w:rPr>
        <w:tab/>
      </w:r>
      <w:r>
        <w:rPr>
          <w:noProof/>
        </w:rPr>
        <w:fldChar w:fldCharType="begin"/>
      </w:r>
      <w:r>
        <w:rPr>
          <w:noProof/>
        </w:rPr>
        <w:instrText xml:space="preserve"> PAGEREF _Toc424834179 \h </w:instrText>
      </w:r>
      <w:r>
        <w:rPr>
          <w:noProof/>
        </w:rPr>
      </w:r>
      <w:r>
        <w:rPr>
          <w:noProof/>
        </w:rPr>
        <w:fldChar w:fldCharType="separate"/>
      </w:r>
      <w:r w:rsidR="005241FD">
        <w:rPr>
          <w:noProof/>
        </w:rPr>
        <w:t>12</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Analysis across gender and ethnic groups</w:t>
      </w:r>
      <w:r>
        <w:rPr>
          <w:noProof/>
        </w:rPr>
        <w:tab/>
      </w:r>
      <w:r>
        <w:rPr>
          <w:noProof/>
        </w:rPr>
        <w:fldChar w:fldCharType="begin"/>
      </w:r>
      <w:r>
        <w:rPr>
          <w:noProof/>
        </w:rPr>
        <w:instrText xml:space="preserve"> PAGEREF _Toc424834180 \h </w:instrText>
      </w:r>
      <w:r>
        <w:rPr>
          <w:noProof/>
        </w:rPr>
      </w:r>
      <w:r>
        <w:rPr>
          <w:noProof/>
        </w:rPr>
        <w:fldChar w:fldCharType="separate"/>
      </w:r>
      <w:r w:rsidR="005241FD">
        <w:rPr>
          <w:noProof/>
        </w:rPr>
        <w:t>14</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Limits to data reliability</w:t>
      </w:r>
      <w:r>
        <w:rPr>
          <w:noProof/>
        </w:rPr>
        <w:tab/>
      </w:r>
      <w:r>
        <w:rPr>
          <w:noProof/>
        </w:rPr>
        <w:fldChar w:fldCharType="begin"/>
      </w:r>
      <w:r>
        <w:rPr>
          <w:noProof/>
        </w:rPr>
        <w:instrText xml:space="preserve"> PAGEREF _Toc424834181 \h </w:instrText>
      </w:r>
      <w:r>
        <w:rPr>
          <w:noProof/>
        </w:rPr>
      </w:r>
      <w:r>
        <w:rPr>
          <w:noProof/>
        </w:rPr>
        <w:fldChar w:fldCharType="separate"/>
      </w:r>
      <w:r w:rsidR="005241FD">
        <w:rPr>
          <w:noProof/>
        </w:rPr>
        <w:t>17</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Trends in independent life expectancy 1996–2013</w:t>
      </w:r>
      <w:r>
        <w:rPr>
          <w:noProof/>
        </w:rPr>
        <w:tab/>
      </w:r>
      <w:r>
        <w:rPr>
          <w:noProof/>
        </w:rPr>
        <w:fldChar w:fldCharType="begin"/>
      </w:r>
      <w:r>
        <w:rPr>
          <w:noProof/>
        </w:rPr>
        <w:instrText xml:space="preserve"> PAGEREF _Toc424834182 \h </w:instrText>
      </w:r>
      <w:r>
        <w:rPr>
          <w:noProof/>
        </w:rPr>
      </w:r>
      <w:r>
        <w:rPr>
          <w:noProof/>
        </w:rPr>
        <w:fldChar w:fldCharType="separate"/>
      </w:r>
      <w:r w:rsidR="005241FD">
        <w:rPr>
          <w:noProof/>
        </w:rPr>
        <w:t>18</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Trends in ILE by gender</w:t>
      </w:r>
      <w:r>
        <w:rPr>
          <w:noProof/>
        </w:rPr>
        <w:tab/>
      </w:r>
      <w:r>
        <w:rPr>
          <w:noProof/>
        </w:rPr>
        <w:fldChar w:fldCharType="begin"/>
      </w:r>
      <w:r>
        <w:rPr>
          <w:noProof/>
        </w:rPr>
        <w:instrText xml:space="preserve"> PAGEREF _Toc424834183 \h </w:instrText>
      </w:r>
      <w:r>
        <w:rPr>
          <w:noProof/>
        </w:rPr>
      </w:r>
      <w:r>
        <w:rPr>
          <w:noProof/>
        </w:rPr>
        <w:fldChar w:fldCharType="separate"/>
      </w:r>
      <w:r w:rsidR="005241FD">
        <w:rPr>
          <w:noProof/>
        </w:rPr>
        <w:t>18</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Trends in ILE by ethnicity</w:t>
      </w:r>
      <w:r>
        <w:rPr>
          <w:noProof/>
        </w:rPr>
        <w:tab/>
      </w:r>
      <w:r>
        <w:rPr>
          <w:noProof/>
        </w:rPr>
        <w:fldChar w:fldCharType="begin"/>
      </w:r>
      <w:r>
        <w:rPr>
          <w:noProof/>
        </w:rPr>
        <w:instrText xml:space="preserve"> PAGEREF _Toc424834184 \h </w:instrText>
      </w:r>
      <w:r>
        <w:rPr>
          <w:noProof/>
        </w:rPr>
      </w:r>
      <w:r>
        <w:rPr>
          <w:noProof/>
        </w:rPr>
        <w:fldChar w:fldCharType="separate"/>
      </w:r>
      <w:r w:rsidR="005241FD">
        <w:rPr>
          <w:noProof/>
        </w:rPr>
        <w:t>19</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Analysis across gender and ethnic groups</w:t>
      </w:r>
      <w:r>
        <w:rPr>
          <w:noProof/>
        </w:rPr>
        <w:tab/>
      </w:r>
      <w:r>
        <w:rPr>
          <w:noProof/>
        </w:rPr>
        <w:fldChar w:fldCharType="begin"/>
      </w:r>
      <w:r>
        <w:rPr>
          <w:noProof/>
        </w:rPr>
        <w:instrText xml:space="preserve"> PAGEREF _Toc424834185 \h </w:instrText>
      </w:r>
      <w:r>
        <w:rPr>
          <w:noProof/>
        </w:rPr>
      </w:r>
      <w:r>
        <w:rPr>
          <w:noProof/>
        </w:rPr>
        <w:fldChar w:fldCharType="separate"/>
      </w:r>
      <w:r w:rsidR="005241FD">
        <w:rPr>
          <w:noProof/>
        </w:rPr>
        <w:t>23</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Limits to data reliability and comparability</w:t>
      </w:r>
      <w:r>
        <w:rPr>
          <w:noProof/>
        </w:rPr>
        <w:tab/>
      </w:r>
      <w:r>
        <w:rPr>
          <w:noProof/>
        </w:rPr>
        <w:fldChar w:fldCharType="begin"/>
      </w:r>
      <w:r>
        <w:rPr>
          <w:noProof/>
        </w:rPr>
        <w:instrText xml:space="preserve"> PAGEREF _Toc424834186 \h </w:instrText>
      </w:r>
      <w:r>
        <w:rPr>
          <w:noProof/>
        </w:rPr>
      </w:r>
      <w:r>
        <w:rPr>
          <w:noProof/>
        </w:rPr>
        <w:fldChar w:fldCharType="separate"/>
      </w:r>
      <w:r w:rsidR="005241FD">
        <w:rPr>
          <w:noProof/>
        </w:rPr>
        <w:t>24</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How well does ILE perform as an indicator?</w:t>
      </w:r>
      <w:r>
        <w:rPr>
          <w:noProof/>
        </w:rPr>
        <w:tab/>
      </w:r>
      <w:r>
        <w:rPr>
          <w:noProof/>
        </w:rPr>
        <w:fldChar w:fldCharType="begin"/>
      </w:r>
      <w:r>
        <w:rPr>
          <w:noProof/>
        </w:rPr>
        <w:instrText xml:space="preserve"> PAGEREF _Toc424834187 \h </w:instrText>
      </w:r>
      <w:r>
        <w:rPr>
          <w:noProof/>
        </w:rPr>
      </w:r>
      <w:r>
        <w:rPr>
          <w:noProof/>
        </w:rPr>
        <w:fldChar w:fldCharType="separate"/>
      </w:r>
      <w:r w:rsidR="005241FD">
        <w:rPr>
          <w:noProof/>
        </w:rPr>
        <w:t>25</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Strengths</w:t>
      </w:r>
      <w:r>
        <w:rPr>
          <w:noProof/>
        </w:rPr>
        <w:tab/>
      </w:r>
      <w:r>
        <w:rPr>
          <w:noProof/>
        </w:rPr>
        <w:fldChar w:fldCharType="begin"/>
      </w:r>
      <w:r>
        <w:rPr>
          <w:noProof/>
        </w:rPr>
        <w:instrText xml:space="preserve"> PAGEREF _Toc424834188 \h </w:instrText>
      </w:r>
      <w:r>
        <w:rPr>
          <w:noProof/>
        </w:rPr>
      </w:r>
      <w:r>
        <w:rPr>
          <w:noProof/>
        </w:rPr>
        <w:fldChar w:fldCharType="separate"/>
      </w:r>
      <w:r w:rsidR="005241FD">
        <w:rPr>
          <w:noProof/>
        </w:rPr>
        <w:t>25</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Limitations</w:t>
      </w:r>
      <w:r>
        <w:rPr>
          <w:noProof/>
        </w:rPr>
        <w:tab/>
      </w:r>
      <w:r>
        <w:rPr>
          <w:noProof/>
        </w:rPr>
        <w:fldChar w:fldCharType="begin"/>
      </w:r>
      <w:r>
        <w:rPr>
          <w:noProof/>
        </w:rPr>
        <w:instrText xml:space="preserve"> PAGEREF _Toc424834189 \h </w:instrText>
      </w:r>
      <w:r>
        <w:rPr>
          <w:noProof/>
        </w:rPr>
      </w:r>
      <w:r>
        <w:rPr>
          <w:noProof/>
        </w:rPr>
        <w:fldChar w:fldCharType="separate"/>
      </w:r>
      <w:r w:rsidR="005241FD">
        <w:rPr>
          <w:noProof/>
        </w:rPr>
        <w:t>25</w:t>
      </w:r>
      <w:r>
        <w:rPr>
          <w:noProof/>
        </w:rPr>
        <w:fldChar w:fldCharType="end"/>
      </w:r>
    </w:p>
    <w:p w:rsidR="007B2E65" w:rsidRDefault="007B2E65">
      <w:pPr>
        <w:pStyle w:val="TOC2"/>
        <w:rPr>
          <w:rFonts w:asciiTheme="minorHAnsi" w:eastAsiaTheme="minorEastAsia" w:hAnsiTheme="minorHAnsi" w:cstheme="minorBidi"/>
          <w:noProof/>
          <w:szCs w:val="22"/>
          <w:lang w:eastAsia="en-NZ"/>
        </w:rPr>
      </w:pPr>
      <w:r>
        <w:rPr>
          <w:noProof/>
        </w:rPr>
        <w:t>Overall assessment</w:t>
      </w:r>
      <w:r>
        <w:rPr>
          <w:noProof/>
        </w:rPr>
        <w:tab/>
      </w:r>
      <w:r>
        <w:rPr>
          <w:noProof/>
        </w:rPr>
        <w:fldChar w:fldCharType="begin"/>
      </w:r>
      <w:r>
        <w:rPr>
          <w:noProof/>
        </w:rPr>
        <w:instrText xml:space="preserve"> PAGEREF _Toc424834190 \h </w:instrText>
      </w:r>
      <w:r>
        <w:rPr>
          <w:noProof/>
        </w:rPr>
      </w:r>
      <w:r>
        <w:rPr>
          <w:noProof/>
        </w:rPr>
        <w:fldChar w:fldCharType="separate"/>
      </w:r>
      <w:r w:rsidR="005241FD">
        <w:rPr>
          <w:noProof/>
        </w:rPr>
        <w:t>26</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Conclusions</w:t>
      </w:r>
      <w:r>
        <w:rPr>
          <w:noProof/>
        </w:rPr>
        <w:tab/>
      </w:r>
      <w:r>
        <w:rPr>
          <w:noProof/>
        </w:rPr>
        <w:fldChar w:fldCharType="begin"/>
      </w:r>
      <w:r>
        <w:rPr>
          <w:noProof/>
        </w:rPr>
        <w:instrText xml:space="preserve"> PAGEREF _Toc424834191 \h </w:instrText>
      </w:r>
      <w:r>
        <w:rPr>
          <w:noProof/>
        </w:rPr>
      </w:r>
      <w:r>
        <w:rPr>
          <w:noProof/>
        </w:rPr>
        <w:fldChar w:fldCharType="separate"/>
      </w:r>
      <w:r w:rsidR="005241FD">
        <w:rPr>
          <w:noProof/>
        </w:rPr>
        <w:t>27</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_Toc424834192 \h </w:instrText>
      </w:r>
      <w:r>
        <w:rPr>
          <w:noProof/>
        </w:rPr>
      </w:r>
      <w:r>
        <w:rPr>
          <w:noProof/>
        </w:rPr>
        <w:fldChar w:fldCharType="separate"/>
      </w:r>
      <w:r w:rsidR="005241FD">
        <w:rPr>
          <w:noProof/>
        </w:rPr>
        <w:t>28</w:t>
      </w:r>
      <w:r>
        <w:rPr>
          <w:noProof/>
        </w:rPr>
        <w:fldChar w:fldCharType="end"/>
      </w:r>
    </w:p>
    <w:p w:rsidR="007B2E65" w:rsidRDefault="007B2E65">
      <w:pPr>
        <w:pStyle w:val="TOC1"/>
        <w:rPr>
          <w:rFonts w:asciiTheme="minorHAnsi" w:eastAsiaTheme="minorEastAsia" w:hAnsiTheme="minorHAnsi" w:cstheme="minorBidi"/>
          <w:b w:val="0"/>
          <w:noProof/>
          <w:szCs w:val="22"/>
          <w:lang w:eastAsia="en-NZ"/>
        </w:rPr>
      </w:pPr>
      <w:r>
        <w:rPr>
          <w:noProof/>
        </w:rPr>
        <w:t>Appendix: Methods used to produce the findings in this report</w:t>
      </w:r>
      <w:r>
        <w:rPr>
          <w:noProof/>
        </w:rPr>
        <w:tab/>
      </w:r>
      <w:r>
        <w:rPr>
          <w:noProof/>
        </w:rPr>
        <w:fldChar w:fldCharType="begin"/>
      </w:r>
      <w:r>
        <w:rPr>
          <w:noProof/>
        </w:rPr>
        <w:instrText xml:space="preserve"> PAGEREF _Toc424834193 \h </w:instrText>
      </w:r>
      <w:r>
        <w:rPr>
          <w:noProof/>
        </w:rPr>
      </w:r>
      <w:r>
        <w:rPr>
          <w:noProof/>
        </w:rPr>
        <w:fldChar w:fldCharType="separate"/>
      </w:r>
      <w:r w:rsidR="005241FD">
        <w:rPr>
          <w:noProof/>
        </w:rPr>
        <w:t>30</w:t>
      </w:r>
      <w:r>
        <w:rPr>
          <w:noProof/>
        </w:rPr>
        <w:fldChar w:fldCharType="end"/>
      </w:r>
    </w:p>
    <w:p w:rsidR="00C86248" w:rsidRDefault="00C86248">
      <w:r>
        <w:rPr>
          <w:b/>
        </w:rPr>
        <w:fldChar w:fldCharType="end"/>
      </w:r>
    </w:p>
    <w:p w:rsidR="00C86248" w:rsidRDefault="00C86248" w:rsidP="003B1D10">
      <w:pPr>
        <w:pStyle w:val="TOC1"/>
        <w:keepNext/>
      </w:pPr>
      <w:r>
        <w:t>List of Tables</w:t>
      </w:r>
    </w:p>
    <w:p w:rsidR="00B95C61"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B95C61">
        <w:rPr>
          <w:noProof/>
        </w:rPr>
        <w:t>Table 1:</w:t>
      </w:r>
      <w:r w:rsidR="00B95C61">
        <w:rPr>
          <w:noProof/>
        </w:rPr>
        <w:tab/>
        <w:t>Independent life expectancy at birth, by gender and ethnicity, 2013</w:t>
      </w:r>
      <w:r w:rsidR="00B95C61">
        <w:rPr>
          <w:noProof/>
        </w:rPr>
        <w:tab/>
      </w:r>
      <w:r w:rsidR="00B95C61">
        <w:rPr>
          <w:noProof/>
        </w:rPr>
        <w:fldChar w:fldCharType="begin"/>
      </w:r>
      <w:r w:rsidR="00B95C61">
        <w:rPr>
          <w:noProof/>
        </w:rPr>
        <w:instrText xml:space="preserve"> PAGEREF _Toc424755736 \h </w:instrText>
      </w:r>
      <w:r w:rsidR="00B95C61">
        <w:rPr>
          <w:noProof/>
        </w:rPr>
      </w:r>
      <w:r w:rsidR="00B95C61">
        <w:rPr>
          <w:noProof/>
        </w:rPr>
        <w:fldChar w:fldCharType="separate"/>
      </w:r>
      <w:r w:rsidR="005241FD">
        <w:rPr>
          <w:noProof/>
        </w:rPr>
        <w:t>9</w:t>
      </w:r>
      <w:r w:rsidR="00B95C61">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Table 2:</w:t>
      </w:r>
      <w:r>
        <w:rPr>
          <w:noProof/>
        </w:rPr>
        <w:tab/>
        <w:t>Independent life expectancy at age 65, by gender and ethnicity, 2013</w:t>
      </w:r>
      <w:r>
        <w:rPr>
          <w:noProof/>
        </w:rPr>
        <w:tab/>
      </w:r>
      <w:r>
        <w:rPr>
          <w:noProof/>
        </w:rPr>
        <w:fldChar w:fldCharType="begin"/>
      </w:r>
      <w:r>
        <w:rPr>
          <w:noProof/>
        </w:rPr>
        <w:instrText xml:space="preserve"> PAGEREF _Toc424755737 \h </w:instrText>
      </w:r>
      <w:r>
        <w:rPr>
          <w:noProof/>
        </w:rPr>
      </w:r>
      <w:r>
        <w:rPr>
          <w:noProof/>
        </w:rPr>
        <w:fldChar w:fldCharType="separate"/>
      </w:r>
      <w:r w:rsidR="005241FD">
        <w:rPr>
          <w:noProof/>
        </w:rPr>
        <w:t>14</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Table 3:</w:t>
      </w:r>
      <w:r>
        <w:rPr>
          <w:noProof/>
        </w:rPr>
        <w:tab/>
        <w:t>Independent life expectancy at selected ages in 2013</w:t>
      </w:r>
      <w:r>
        <w:rPr>
          <w:noProof/>
        </w:rPr>
        <w:tab/>
      </w:r>
      <w:r>
        <w:rPr>
          <w:noProof/>
        </w:rPr>
        <w:fldChar w:fldCharType="begin"/>
      </w:r>
      <w:r>
        <w:rPr>
          <w:noProof/>
        </w:rPr>
        <w:instrText xml:space="preserve"> PAGEREF _Toc424755738 \h </w:instrText>
      </w:r>
      <w:r>
        <w:rPr>
          <w:noProof/>
        </w:rPr>
      </w:r>
      <w:r>
        <w:rPr>
          <w:noProof/>
        </w:rPr>
        <w:fldChar w:fldCharType="separate"/>
      </w:r>
      <w:r w:rsidR="005241FD">
        <w:rPr>
          <w:noProof/>
        </w:rPr>
        <w:t>15</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Table 4:</w:t>
      </w:r>
      <w:r>
        <w:rPr>
          <w:noProof/>
        </w:rPr>
        <w:tab/>
        <w:t>Independent life expectancy at birth, by gender, 1996–2013</w:t>
      </w:r>
      <w:r>
        <w:rPr>
          <w:noProof/>
        </w:rPr>
        <w:tab/>
      </w:r>
      <w:r>
        <w:rPr>
          <w:noProof/>
        </w:rPr>
        <w:fldChar w:fldCharType="begin"/>
      </w:r>
      <w:r>
        <w:rPr>
          <w:noProof/>
        </w:rPr>
        <w:instrText xml:space="preserve"> PAGEREF _Toc424755739 \h </w:instrText>
      </w:r>
      <w:r>
        <w:rPr>
          <w:noProof/>
        </w:rPr>
      </w:r>
      <w:r>
        <w:rPr>
          <w:noProof/>
        </w:rPr>
        <w:fldChar w:fldCharType="separate"/>
      </w:r>
      <w:r w:rsidR="005241FD">
        <w:rPr>
          <w:noProof/>
        </w:rPr>
        <w:t>19</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Table 5:</w:t>
      </w:r>
      <w:r>
        <w:rPr>
          <w:noProof/>
        </w:rPr>
        <w:tab/>
        <w:t>Change in independent life expectancy at birth, by gender, between 1996 and 2013</w:t>
      </w:r>
      <w:r>
        <w:rPr>
          <w:noProof/>
        </w:rPr>
        <w:tab/>
      </w:r>
      <w:r>
        <w:rPr>
          <w:noProof/>
        </w:rPr>
        <w:fldChar w:fldCharType="begin"/>
      </w:r>
      <w:r>
        <w:rPr>
          <w:noProof/>
        </w:rPr>
        <w:instrText xml:space="preserve"> PAGEREF _Toc424755740 \h </w:instrText>
      </w:r>
      <w:r>
        <w:rPr>
          <w:noProof/>
        </w:rPr>
      </w:r>
      <w:r>
        <w:rPr>
          <w:noProof/>
        </w:rPr>
        <w:fldChar w:fldCharType="separate"/>
      </w:r>
      <w:r w:rsidR="005241FD">
        <w:rPr>
          <w:noProof/>
        </w:rPr>
        <w:t>19</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Table 6:</w:t>
      </w:r>
      <w:r>
        <w:rPr>
          <w:noProof/>
        </w:rPr>
        <w:tab/>
        <w:t>Independent life expectancy at birth, by ethnicity, 1996–2013</w:t>
      </w:r>
      <w:r>
        <w:rPr>
          <w:noProof/>
        </w:rPr>
        <w:tab/>
      </w:r>
      <w:r>
        <w:rPr>
          <w:noProof/>
        </w:rPr>
        <w:fldChar w:fldCharType="begin"/>
      </w:r>
      <w:r>
        <w:rPr>
          <w:noProof/>
        </w:rPr>
        <w:instrText xml:space="preserve"> PAGEREF _Toc424755741 \h </w:instrText>
      </w:r>
      <w:r>
        <w:rPr>
          <w:noProof/>
        </w:rPr>
      </w:r>
      <w:r>
        <w:rPr>
          <w:noProof/>
        </w:rPr>
        <w:fldChar w:fldCharType="separate"/>
      </w:r>
      <w:r w:rsidR="005241FD">
        <w:rPr>
          <w:noProof/>
        </w:rPr>
        <w:t>19</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Table 7:</w:t>
      </w:r>
      <w:r>
        <w:rPr>
          <w:noProof/>
        </w:rPr>
        <w:tab/>
        <w:t>Change in independent life expectancy at birth, by ethnicity, between 1996 and 2013</w:t>
      </w:r>
      <w:r>
        <w:rPr>
          <w:noProof/>
        </w:rPr>
        <w:tab/>
      </w:r>
      <w:r>
        <w:rPr>
          <w:noProof/>
        </w:rPr>
        <w:fldChar w:fldCharType="begin"/>
      </w:r>
      <w:r>
        <w:rPr>
          <w:noProof/>
        </w:rPr>
        <w:instrText xml:space="preserve"> PAGEREF _Toc424755742 \h </w:instrText>
      </w:r>
      <w:r>
        <w:rPr>
          <w:noProof/>
        </w:rPr>
      </w:r>
      <w:r>
        <w:rPr>
          <w:noProof/>
        </w:rPr>
        <w:fldChar w:fldCharType="separate"/>
      </w:r>
      <w:r w:rsidR="005241FD">
        <w:rPr>
          <w:noProof/>
        </w:rPr>
        <w:t>20</w:t>
      </w:r>
      <w:r>
        <w:rPr>
          <w:noProof/>
        </w:rPr>
        <w:fldChar w:fldCharType="end"/>
      </w:r>
    </w:p>
    <w:p w:rsidR="00C86248" w:rsidRDefault="00C86248" w:rsidP="0030382F">
      <w:r>
        <w:fldChar w:fldCharType="end"/>
      </w:r>
    </w:p>
    <w:p w:rsidR="003A5FEA" w:rsidRDefault="003A5FEA" w:rsidP="003A5FEA">
      <w:pPr>
        <w:pStyle w:val="TOC1"/>
      </w:pPr>
      <w:r>
        <w:t>List of Figures</w:t>
      </w:r>
    </w:p>
    <w:p w:rsidR="00B95C61"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B95C61">
        <w:rPr>
          <w:noProof/>
        </w:rPr>
        <w:t>Figure 1:</w:t>
      </w:r>
      <w:r w:rsidR="00B95C61">
        <w:rPr>
          <w:noProof/>
        </w:rPr>
        <w:tab/>
        <w:t>A model of different levels of health state expectancy measures</w:t>
      </w:r>
      <w:r w:rsidR="00B95C61">
        <w:rPr>
          <w:noProof/>
        </w:rPr>
        <w:tab/>
      </w:r>
      <w:r w:rsidR="00B95C61">
        <w:rPr>
          <w:noProof/>
        </w:rPr>
        <w:fldChar w:fldCharType="begin"/>
      </w:r>
      <w:r w:rsidR="00B95C61">
        <w:rPr>
          <w:noProof/>
        </w:rPr>
        <w:instrText xml:space="preserve"> PAGEREF _Toc424755743 \h </w:instrText>
      </w:r>
      <w:r w:rsidR="00B95C61">
        <w:rPr>
          <w:noProof/>
        </w:rPr>
      </w:r>
      <w:r w:rsidR="00B95C61">
        <w:rPr>
          <w:noProof/>
        </w:rPr>
        <w:fldChar w:fldCharType="separate"/>
      </w:r>
      <w:r w:rsidR="005241FD">
        <w:rPr>
          <w:noProof/>
        </w:rPr>
        <w:t>2</w:t>
      </w:r>
      <w:r w:rsidR="00B95C61">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2:</w:t>
      </w:r>
      <w:r>
        <w:rPr>
          <w:noProof/>
        </w:rPr>
        <w:tab/>
        <w:t>Independent life expectancy at birth, New Zealand males and females, 2013</w:t>
      </w:r>
      <w:r>
        <w:rPr>
          <w:noProof/>
        </w:rPr>
        <w:tab/>
      </w:r>
      <w:r>
        <w:rPr>
          <w:noProof/>
        </w:rPr>
        <w:fldChar w:fldCharType="begin"/>
      </w:r>
      <w:r>
        <w:rPr>
          <w:noProof/>
        </w:rPr>
        <w:instrText xml:space="preserve"> PAGEREF _Toc424755744 \h </w:instrText>
      </w:r>
      <w:r>
        <w:rPr>
          <w:noProof/>
        </w:rPr>
      </w:r>
      <w:r>
        <w:rPr>
          <w:noProof/>
        </w:rPr>
        <w:fldChar w:fldCharType="separate"/>
      </w:r>
      <w:r w:rsidR="005241FD">
        <w:rPr>
          <w:noProof/>
        </w:rPr>
        <w:t>7</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3:</w:t>
      </w:r>
      <w:r>
        <w:rPr>
          <w:noProof/>
        </w:rPr>
        <w:tab/>
        <w:t>Independent life expectancy at birth, Māori males and females, 2013</w:t>
      </w:r>
      <w:r>
        <w:rPr>
          <w:noProof/>
        </w:rPr>
        <w:tab/>
      </w:r>
      <w:r>
        <w:rPr>
          <w:noProof/>
        </w:rPr>
        <w:fldChar w:fldCharType="begin"/>
      </w:r>
      <w:r>
        <w:rPr>
          <w:noProof/>
        </w:rPr>
        <w:instrText xml:space="preserve"> PAGEREF _Toc424755745 \h </w:instrText>
      </w:r>
      <w:r>
        <w:rPr>
          <w:noProof/>
        </w:rPr>
      </w:r>
      <w:r>
        <w:rPr>
          <w:noProof/>
        </w:rPr>
        <w:fldChar w:fldCharType="separate"/>
      </w:r>
      <w:r w:rsidR="005241FD">
        <w:rPr>
          <w:noProof/>
        </w:rPr>
        <w:t>8</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4:</w:t>
      </w:r>
      <w:r>
        <w:rPr>
          <w:noProof/>
        </w:rPr>
        <w:tab/>
        <w:t>Independent life expectancy at birth, non-Māori males and females, 2013</w:t>
      </w:r>
      <w:r>
        <w:rPr>
          <w:noProof/>
        </w:rPr>
        <w:tab/>
      </w:r>
      <w:r>
        <w:rPr>
          <w:noProof/>
        </w:rPr>
        <w:fldChar w:fldCharType="begin"/>
      </w:r>
      <w:r>
        <w:rPr>
          <w:noProof/>
        </w:rPr>
        <w:instrText xml:space="preserve"> PAGEREF _Toc424755746 \h </w:instrText>
      </w:r>
      <w:r>
        <w:rPr>
          <w:noProof/>
        </w:rPr>
      </w:r>
      <w:r>
        <w:rPr>
          <w:noProof/>
        </w:rPr>
        <w:fldChar w:fldCharType="separate"/>
      </w:r>
      <w:r w:rsidR="005241FD">
        <w:rPr>
          <w:noProof/>
        </w:rPr>
        <w:t>9</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5:</w:t>
      </w:r>
      <w:r>
        <w:rPr>
          <w:noProof/>
        </w:rPr>
        <w:tab/>
        <w:t>Independent life expectancy at age 65, New Zealand males and females, 2013</w:t>
      </w:r>
      <w:r>
        <w:rPr>
          <w:noProof/>
        </w:rPr>
        <w:tab/>
      </w:r>
      <w:r>
        <w:rPr>
          <w:noProof/>
        </w:rPr>
        <w:fldChar w:fldCharType="begin"/>
      </w:r>
      <w:r>
        <w:rPr>
          <w:noProof/>
        </w:rPr>
        <w:instrText xml:space="preserve"> PAGEREF _Toc424755747 \h </w:instrText>
      </w:r>
      <w:r>
        <w:rPr>
          <w:noProof/>
        </w:rPr>
      </w:r>
      <w:r>
        <w:rPr>
          <w:noProof/>
        </w:rPr>
        <w:fldChar w:fldCharType="separate"/>
      </w:r>
      <w:r w:rsidR="005241FD">
        <w:rPr>
          <w:noProof/>
        </w:rPr>
        <w:t>12</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6:</w:t>
      </w:r>
      <w:r>
        <w:rPr>
          <w:noProof/>
        </w:rPr>
        <w:tab/>
        <w:t>Independent life expectancy at age 65, New Zealand males and females, 2013</w:t>
      </w:r>
      <w:r>
        <w:rPr>
          <w:noProof/>
        </w:rPr>
        <w:tab/>
      </w:r>
      <w:r>
        <w:rPr>
          <w:noProof/>
        </w:rPr>
        <w:fldChar w:fldCharType="begin"/>
      </w:r>
      <w:r>
        <w:rPr>
          <w:noProof/>
        </w:rPr>
        <w:instrText xml:space="preserve"> PAGEREF _Toc424755748 \h </w:instrText>
      </w:r>
      <w:r>
        <w:rPr>
          <w:noProof/>
        </w:rPr>
      </w:r>
      <w:r>
        <w:rPr>
          <w:noProof/>
        </w:rPr>
        <w:fldChar w:fldCharType="separate"/>
      </w:r>
      <w:r w:rsidR="005241FD">
        <w:rPr>
          <w:noProof/>
        </w:rPr>
        <w:t>13</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7:</w:t>
      </w:r>
      <w:r>
        <w:rPr>
          <w:noProof/>
        </w:rPr>
        <w:tab/>
        <w:t>Independent life expectancy at age 65, non-Māori males and females, 2013</w:t>
      </w:r>
      <w:r>
        <w:rPr>
          <w:noProof/>
        </w:rPr>
        <w:tab/>
      </w:r>
      <w:r>
        <w:rPr>
          <w:noProof/>
        </w:rPr>
        <w:fldChar w:fldCharType="begin"/>
      </w:r>
      <w:r>
        <w:rPr>
          <w:noProof/>
        </w:rPr>
        <w:instrText xml:space="preserve"> PAGEREF _Toc424755749 \h </w:instrText>
      </w:r>
      <w:r>
        <w:rPr>
          <w:noProof/>
        </w:rPr>
      </w:r>
      <w:r>
        <w:rPr>
          <w:noProof/>
        </w:rPr>
        <w:fldChar w:fldCharType="separate"/>
      </w:r>
      <w:r w:rsidR="005241FD">
        <w:rPr>
          <w:noProof/>
        </w:rPr>
        <w:t>13</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8:</w:t>
      </w:r>
      <w:r>
        <w:rPr>
          <w:noProof/>
        </w:rPr>
        <w:tab/>
        <w:t>Life expectancy, independent life expectancy and life expectancy with dependency, New Zealand males, 2013</w:t>
      </w:r>
      <w:r>
        <w:rPr>
          <w:noProof/>
        </w:rPr>
        <w:tab/>
      </w:r>
      <w:r>
        <w:rPr>
          <w:noProof/>
        </w:rPr>
        <w:fldChar w:fldCharType="begin"/>
      </w:r>
      <w:r>
        <w:rPr>
          <w:noProof/>
        </w:rPr>
        <w:instrText xml:space="preserve"> PAGEREF _Toc424755750 \h </w:instrText>
      </w:r>
      <w:r>
        <w:rPr>
          <w:noProof/>
        </w:rPr>
      </w:r>
      <w:r>
        <w:rPr>
          <w:noProof/>
        </w:rPr>
        <w:fldChar w:fldCharType="separate"/>
      </w:r>
      <w:r w:rsidR="005241FD">
        <w:rPr>
          <w:noProof/>
        </w:rPr>
        <w:t>14</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9:</w:t>
      </w:r>
      <w:r>
        <w:rPr>
          <w:noProof/>
        </w:rPr>
        <w:tab/>
        <w:t>Life expectancy, independent life expectancy and life expectancy with dependency, New Zealand females, 2013</w:t>
      </w:r>
      <w:r>
        <w:rPr>
          <w:noProof/>
        </w:rPr>
        <w:tab/>
      </w:r>
      <w:r>
        <w:rPr>
          <w:noProof/>
        </w:rPr>
        <w:fldChar w:fldCharType="begin"/>
      </w:r>
      <w:r>
        <w:rPr>
          <w:noProof/>
        </w:rPr>
        <w:instrText xml:space="preserve"> PAGEREF _Toc424755751 \h </w:instrText>
      </w:r>
      <w:r>
        <w:rPr>
          <w:noProof/>
        </w:rPr>
      </w:r>
      <w:r>
        <w:rPr>
          <w:noProof/>
        </w:rPr>
        <w:fldChar w:fldCharType="separate"/>
      </w:r>
      <w:r w:rsidR="005241FD">
        <w:rPr>
          <w:noProof/>
        </w:rPr>
        <w:t>15</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10:</w:t>
      </w:r>
      <w:r>
        <w:rPr>
          <w:noProof/>
        </w:rPr>
        <w:tab/>
        <w:t>Independent life expectancy at birth, New Zealand males and females,</w:t>
      </w:r>
      <w:r w:rsidR="00105685">
        <w:rPr>
          <w:noProof/>
        </w:rPr>
        <w:br/>
      </w:r>
      <w:r>
        <w:rPr>
          <w:noProof/>
        </w:rPr>
        <w:t>1996–2013</w:t>
      </w:r>
      <w:r>
        <w:rPr>
          <w:noProof/>
        </w:rPr>
        <w:tab/>
      </w:r>
      <w:r>
        <w:rPr>
          <w:noProof/>
        </w:rPr>
        <w:fldChar w:fldCharType="begin"/>
      </w:r>
      <w:r>
        <w:rPr>
          <w:noProof/>
        </w:rPr>
        <w:instrText xml:space="preserve"> PAGEREF _Toc424755752 \h </w:instrText>
      </w:r>
      <w:r>
        <w:rPr>
          <w:noProof/>
        </w:rPr>
      </w:r>
      <w:r>
        <w:rPr>
          <w:noProof/>
        </w:rPr>
        <w:fldChar w:fldCharType="separate"/>
      </w:r>
      <w:r w:rsidR="005241FD">
        <w:rPr>
          <w:noProof/>
        </w:rPr>
        <w:t>18</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11:</w:t>
      </w:r>
      <w:r>
        <w:rPr>
          <w:noProof/>
        </w:rPr>
        <w:tab/>
        <w:t>Independent life expectancy at birth, Māori males, 1996–2013</w:t>
      </w:r>
      <w:r>
        <w:rPr>
          <w:noProof/>
        </w:rPr>
        <w:tab/>
      </w:r>
      <w:r>
        <w:rPr>
          <w:noProof/>
        </w:rPr>
        <w:fldChar w:fldCharType="begin"/>
      </w:r>
      <w:r>
        <w:rPr>
          <w:noProof/>
        </w:rPr>
        <w:instrText xml:space="preserve"> PAGEREF _Toc424755753 \h </w:instrText>
      </w:r>
      <w:r>
        <w:rPr>
          <w:noProof/>
        </w:rPr>
      </w:r>
      <w:r>
        <w:rPr>
          <w:noProof/>
        </w:rPr>
        <w:fldChar w:fldCharType="separate"/>
      </w:r>
      <w:r w:rsidR="005241FD">
        <w:rPr>
          <w:noProof/>
        </w:rPr>
        <w:t>20</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12:</w:t>
      </w:r>
      <w:r>
        <w:rPr>
          <w:noProof/>
        </w:rPr>
        <w:tab/>
        <w:t>Independent life expectancy at birth, Māori females, 1996–2013</w:t>
      </w:r>
      <w:r>
        <w:rPr>
          <w:noProof/>
        </w:rPr>
        <w:tab/>
      </w:r>
      <w:r>
        <w:rPr>
          <w:noProof/>
        </w:rPr>
        <w:fldChar w:fldCharType="begin"/>
      </w:r>
      <w:r>
        <w:rPr>
          <w:noProof/>
        </w:rPr>
        <w:instrText xml:space="preserve"> PAGEREF _Toc424755754 \h </w:instrText>
      </w:r>
      <w:r>
        <w:rPr>
          <w:noProof/>
        </w:rPr>
      </w:r>
      <w:r>
        <w:rPr>
          <w:noProof/>
        </w:rPr>
        <w:fldChar w:fldCharType="separate"/>
      </w:r>
      <w:r w:rsidR="005241FD">
        <w:rPr>
          <w:noProof/>
        </w:rPr>
        <w:t>21</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13:</w:t>
      </w:r>
      <w:r>
        <w:rPr>
          <w:noProof/>
        </w:rPr>
        <w:tab/>
        <w:t>Independent life expectancy at birth, non-Māori males, 1996–2013</w:t>
      </w:r>
      <w:r>
        <w:rPr>
          <w:noProof/>
        </w:rPr>
        <w:tab/>
      </w:r>
      <w:r>
        <w:rPr>
          <w:noProof/>
        </w:rPr>
        <w:fldChar w:fldCharType="begin"/>
      </w:r>
      <w:r>
        <w:rPr>
          <w:noProof/>
        </w:rPr>
        <w:instrText xml:space="preserve"> PAGEREF _Toc424755755 \h </w:instrText>
      </w:r>
      <w:r>
        <w:rPr>
          <w:noProof/>
        </w:rPr>
      </w:r>
      <w:r>
        <w:rPr>
          <w:noProof/>
        </w:rPr>
        <w:fldChar w:fldCharType="separate"/>
      </w:r>
      <w:r w:rsidR="005241FD">
        <w:rPr>
          <w:noProof/>
        </w:rPr>
        <w:t>22</w:t>
      </w:r>
      <w:r>
        <w:rPr>
          <w:noProof/>
        </w:rPr>
        <w:fldChar w:fldCharType="end"/>
      </w:r>
    </w:p>
    <w:p w:rsidR="00B95C61" w:rsidRDefault="00B95C61">
      <w:pPr>
        <w:pStyle w:val="TOC3"/>
        <w:rPr>
          <w:rFonts w:asciiTheme="minorHAnsi" w:eastAsiaTheme="minorEastAsia" w:hAnsiTheme="minorHAnsi" w:cstheme="minorBidi"/>
          <w:noProof/>
          <w:szCs w:val="22"/>
          <w:lang w:eastAsia="en-NZ"/>
        </w:rPr>
      </w:pPr>
      <w:r>
        <w:rPr>
          <w:noProof/>
        </w:rPr>
        <w:t>Figure 14:</w:t>
      </w:r>
      <w:r>
        <w:rPr>
          <w:noProof/>
        </w:rPr>
        <w:tab/>
        <w:t>Independent life expectancy at birth, non-Māori females, 1996–2013</w:t>
      </w:r>
      <w:r>
        <w:rPr>
          <w:noProof/>
        </w:rPr>
        <w:tab/>
      </w:r>
      <w:r>
        <w:rPr>
          <w:noProof/>
        </w:rPr>
        <w:fldChar w:fldCharType="begin"/>
      </w:r>
      <w:r>
        <w:rPr>
          <w:noProof/>
        </w:rPr>
        <w:instrText xml:space="preserve"> PAGEREF _Toc424755756 \h </w:instrText>
      </w:r>
      <w:r>
        <w:rPr>
          <w:noProof/>
        </w:rPr>
      </w:r>
      <w:r>
        <w:rPr>
          <w:noProof/>
        </w:rPr>
        <w:fldChar w:fldCharType="separate"/>
      </w:r>
      <w:r w:rsidR="005241FD">
        <w:rPr>
          <w:noProof/>
        </w:rPr>
        <w:t>23</w:t>
      </w:r>
      <w:r>
        <w:rPr>
          <w:noProof/>
        </w:rPr>
        <w:fldChar w:fldCharType="end"/>
      </w:r>
    </w:p>
    <w:p w:rsidR="003A5FEA" w:rsidRDefault="003A5FEA" w:rsidP="003A5FEA">
      <w:r>
        <w:fldChar w:fldCharType="end"/>
      </w:r>
    </w:p>
    <w:p w:rsidR="0021763B" w:rsidRDefault="0021763B" w:rsidP="0021763B">
      <w:pPr>
        <w:pStyle w:val="Heading1"/>
      </w:pPr>
      <w:r>
        <w:br w:type="page"/>
      </w:r>
      <w:bookmarkStart w:id="3" w:name="_Toc424834162"/>
      <w:r>
        <w:t>Executive summary</w:t>
      </w:r>
      <w:bookmarkEnd w:id="3"/>
    </w:p>
    <w:p w:rsidR="000E627C" w:rsidRPr="008C5765" w:rsidRDefault="000E627C" w:rsidP="000E627C">
      <w:r w:rsidRPr="008C5765">
        <w:t xml:space="preserve">Independent life expectancy (ILE) is </w:t>
      </w:r>
      <w:r>
        <w:t>one</w:t>
      </w:r>
      <w:r w:rsidRPr="008C5765">
        <w:t xml:space="preserve"> measure of health expectancy that both the Ministry of Health and the Ministry of Social Development have used as a</w:t>
      </w:r>
      <w:r>
        <w:t xml:space="preserve"> </w:t>
      </w:r>
      <w:r w:rsidRPr="008C5765">
        <w:t>‘headline’ or ‘peak’ health indicator.</w:t>
      </w:r>
    </w:p>
    <w:p w:rsidR="000E627C" w:rsidRPr="008C5765" w:rsidRDefault="000E627C" w:rsidP="000E627C"/>
    <w:p w:rsidR="000E627C" w:rsidRPr="008C5765" w:rsidRDefault="000E627C" w:rsidP="000E627C">
      <w:r w:rsidRPr="008C5765">
        <w:t>ILE is defined as the average number of years</w:t>
      </w:r>
      <w:r>
        <w:t xml:space="preserve"> that a person can be</w:t>
      </w:r>
      <w:r w:rsidRPr="008C5765">
        <w:t xml:space="preserve"> expected to live</w:t>
      </w:r>
      <w:r>
        <w:t xml:space="preserve"> independently, either</w:t>
      </w:r>
      <w:r w:rsidRPr="008C5765">
        <w:t xml:space="preserve"> free of </w:t>
      </w:r>
      <w:r>
        <w:t xml:space="preserve">any disability (functional limitation) </w:t>
      </w:r>
      <w:r w:rsidRPr="008C5765">
        <w:t xml:space="preserve">or with functional limitations </w:t>
      </w:r>
      <w:r>
        <w:t>that they can manage without</w:t>
      </w:r>
      <w:r w:rsidRPr="008C5765">
        <w:t xml:space="preserve"> assistance. </w:t>
      </w:r>
      <w:r>
        <w:t>It</w:t>
      </w:r>
      <w:r w:rsidRPr="008C5765">
        <w:t xml:space="preserve"> is estimated </w:t>
      </w:r>
      <w:r>
        <w:t>using</w:t>
      </w:r>
      <w:r w:rsidRPr="008C5765">
        <w:t xml:space="preserve"> the Sullivan prevalence method</w:t>
      </w:r>
      <w:r w:rsidRPr="008C5765" w:rsidDel="00321143">
        <w:t xml:space="preserve"> </w:t>
      </w:r>
      <w:r>
        <w:t xml:space="preserve">and the following </w:t>
      </w:r>
      <w:r w:rsidRPr="008C5765">
        <w:t>Statistics New Zealand</w:t>
      </w:r>
      <w:r w:rsidRPr="00291CEA">
        <w:t xml:space="preserve"> </w:t>
      </w:r>
      <w:r>
        <w:t>data:</w:t>
      </w:r>
    </w:p>
    <w:p w:rsidR="000E627C" w:rsidRDefault="000E627C" w:rsidP="000E627C">
      <w:pPr>
        <w:pStyle w:val="Bullet"/>
      </w:pPr>
      <w:r>
        <w:t>d</w:t>
      </w:r>
      <w:r w:rsidRPr="008C5765">
        <w:t xml:space="preserve">isability data from the disability surveys </w:t>
      </w:r>
      <w:r>
        <w:t>carried out after each</w:t>
      </w:r>
      <w:r w:rsidRPr="00F93EBA">
        <w:t xml:space="preserve"> </w:t>
      </w:r>
      <w:r>
        <w:t>Census</w:t>
      </w:r>
      <w:r w:rsidRPr="008C5765">
        <w:t xml:space="preserve"> of Population and Dwellings</w:t>
      </w:r>
    </w:p>
    <w:p w:rsidR="000E627C" w:rsidRPr="008C5765" w:rsidRDefault="000E627C" w:rsidP="000E627C">
      <w:pPr>
        <w:pStyle w:val="Bullet"/>
      </w:pPr>
      <w:proofErr w:type="gramStart"/>
      <w:r w:rsidRPr="008C5765">
        <w:t>mortality</w:t>
      </w:r>
      <w:proofErr w:type="gramEnd"/>
      <w:r w:rsidRPr="008C5765">
        <w:t xml:space="preserve"> data from the complete period life tables.</w:t>
      </w:r>
    </w:p>
    <w:p w:rsidR="000E627C" w:rsidRDefault="000E627C" w:rsidP="000E627C"/>
    <w:p w:rsidR="000E627C" w:rsidRPr="008C5765" w:rsidRDefault="000E627C" w:rsidP="000E627C">
      <w:pPr>
        <w:pStyle w:val="Heading3"/>
      </w:pPr>
      <w:r>
        <w:t>Independent life expectancy in 2013</w:t>
      </w:r>
    </w:p>
    <w:p w:rsidR="000E627C" w:rsidRDefault="000E627C" w:rsidP="000E627C">
      <w:r>
        <w:t xml:space="preserve">The following findings have been concluded from the results of the </w:t>
      </w:r>
      <w:r w:rsidRPr="008C5765">
        <w:t xml:space="preserve">2013 Disability Survey </w:t>
      </w:r>
      <w:r>
        <w:t>and</w:t>
      </w:r>
      <w:r w:rsidRPr="008C5765">
        <w:t xml:space="preserve"> </w:t>
      </w:r>
      <w:r>
        <w:t xml:space="preserve">the </w:t>
      </w:r>
      <w:r w:rsidRPr="008C5765">
        <w:t>2012</w:t>
      </w:r>
      <w:r>
        <w:t>–20</w:t>
      </w:r>
      <w:r w:rsidRPr="008C5765">
        <w:t>14 period life tables</w:t>
      </w:r>
      <w:r>
        <w:t>.</w:t>
      </w:r>
    </w:p>
    <w:p w:rsidR="000E627C" w:rsidRDefault="000E627C" w:rsidP="000E627C">
      <w:pPr>
        <w:pStyle w:val="Bullet"/>
      </w:pPr>
      <w:bookmarkStart w:id="4" w:name="_Toc421790183"/>
      <w:r w:rsidRPr="00015208">
        <w:rPr>
          <w:b/>
          <w:lang w:val="en"/>
        </w:rPr>
        <w:t>Males</w:t>
      </w:r>
      <w:r w:rsidRPr="00E51D1C">
        <w:rPr>
          <w:b/>
          <w:lang w:val="en"/>
        </w:rPr>
        <w:t xml:space="preserve"> have shorter lives than females but</w:t>
      </w:r>
      <w:r w:rsidRPr="00015208">
        <w:rPr>
          <w:b/>
          <w:lang w:val="en"/>
        </w:rPr>
        <w:t xml:space="preserve"> spend a higher proportion of their lives in good health</w:t>
      </w:r>
      <w:bookmarkEnd w:id="4"/>
      <w:r w:rsidRPr="00015208">
        <w:rPr>
          <w:b/>
          <w:lang w:val="en"/>
        </w:rPr>
        <w:t>.</w:t>
      </w:r>
      <w:r w:rsidRPr="00E51D1C">
        <w:rPr>
          <w:lang w:val="en"/>
        </w:rPr>
        <w:t xml:space="preserve"> A </w:t>
      </w:r>
      <w:r w:rsidRPr="00CA3D09">
        <w:t>New Ze</w:t>
      </w:r>
      <w:r>
        <w:t>aland male</w:t>
      </w:r>
      <w:r w:rsidRPr="00CA3D09">
        <w:t xml:space="preserve"> born in 2013 </w:t>
      </w:r>
      <w:r>
        <w:t>can</w:t>
      </w:r>
      <w:r w:rsidRPr="00CA3D09">
        <w:t xml:space="preserve"> expect to live</w:t>
      </w:r>
      <w:r>
        <w:t xml:space="preserve"> 3.7 years less than a New Zealand female born in the same year</w:t>
      </w:r>
      <w:r w:rsidRPr="00CA3D09">
        <w:t xml:space="preserve"> </w:t>
      </w:r>
      <w:r>
        <w:t>(</w:t>
      </w:r>
      <w:r w:rsidRPr="00CA3D09">
        <w:t>79.5</w:t>
      </w:r>
      <w:r>
        <w:t xml:space="preserve"> years</w:t>
      </w:r>
      <w:r w:rsidRPr="00CA3D09">
        <w:t xml:space="preserve"> </w:t>
      </w:r>
      <w:r>
        <w:t>and</w:t>
      </w:r>
      <w:r w:rsidRPr="00CA3D09">
        <w:t xml:space="preserve"> 83.2 years</w:t>
      </w:r>
      <w:r>
        <w:t xml:space="preserve"> respectively</w:t>
      </w:r>
      <w:r w:rsidRPr="00CA3D09">
        <w:t xml:space="preserve">). </w:t>
      </w:r>
      <w:r>
        <w:t>He</w:t>
      </w:r>
      <w:r w:rsidRPr="00CA3D09">
        <w:t xml:space="preserve"> </w:t>
      </w:r>
      <w:r>
        <w:t>can expect</w:t>
      </w:r>
      <w:r w:rsidRPr="00CA3D09">
        <w:t xml:space="preserve"> to live 65.2 years independently (82.0% of his life), while a female </w:t>
      </w:r>
      <w:r>
        <w:t>can expect</w:t>
      </w:r>
      <w:r w:rsidRPr="00CA3D09">
        <w:t xml:space="preserve"> to live 66.5 years independently (79.9% of her life). </w:t>
      </w:r>
      <w:r>
        <w:t>Conversely, f</w:t>
      </w:r>
      <w:r w:rsidRPr="008C5765">
        <w:t xml:space="preserve">emales are expected to live longer with disability </w:t>
      </w:r>
      <w:r>
        <w:t>for which they need support</w:t>
      </w:r>
      <w:r w:rsidRPr="008C5765">
        <w:t xml:space="preserve"> than males </w:t>
      </w:r>
      <w:r>
        <w:t>(</w:t>
      </w:r>
      <w:r w:rsidRPr="008C5765">
        <w:t>16.7</w:t>
      </w:r>
      <w:r>
        <w:t xml:space="preserve"> years</w:t>
      </w:r>
      <w:r w:rsidRPr="008C5765">
        <w:t xml:space="preserve"> and 14.3 years respectively</w:t>
      </w:r>
      <w:r>
        <w:t>)</w:t>
      </w:r>
      <w:r w:rsidRPr="008C5765">
        <w:t>.</w:t>
      </w:r>
    </w:p>
    <w:p w:rsidR="000E627C" w:rsidRPr="008C5765" w:rsidRDefault="000E627C" w:rsidP="000E627C">
      <w:pPr>
        <w:pStyle w:val="Bullet"/>
      </w:pPr>
      <w:bookmarkStart w:id="5" w:name="_Toc421790184"/>
      <w:r w:rsidRPr="00015208">
        <w:rPr>
          <w:b/>
          <w:lang w:val="en"/>
        </w:rPr>
        <w:t>Māori males have the lowest ILE and live longest with dependency</w:t>
      </w:r>
      <w:bookmarkEnd w:id="5"/>
      <w:r>
        <w:rPr>
          <w:lang w:val="en"/>
        </w:rPr>
        <w:t>.</w:t>
      </w:r>
      <w:r w:rsidRPr="00E4054C">
        <w:t xml:space="preserve"> </w:t>
      </w:r>
      <w:r>
        <w:t xml:space="preserve">A </w:t>
      </w:r>
      <w:r w:rsidRPr="00CA3D09">
        <w:t>Māori male</w:t>
      </w:r>
      <w:r>
        <w:t xml:space="preserve"> born in 2013 can expect to live 54.3 years, or 74.4% of his life, independently, which is the lowest ILE estimate </w:t>
      </w:r>
      <w:r w:rsidRPr="00CA3D09">
        <w:t xml:space="preserve">among all groups. </w:t>
      </w:r>
      <w:r>
        <w:t>He</w:t>
      </w:r>
      <w:r w:rsidRPr="00CA3D09">
        <w:t xml:space="preserve"> also </w:t>
      </w:r>
      <w:r>
        <w:t xml:space="preserve">can expect to </w:t>
      </w:r>
      <w:r w:rsidRPr="00CA3D09">
        <w:t xml:space="preserve">live longest with </w:t>
      </w:r>
      <w:r>
        <w:t>functional limitations for which he needs support</w:t>
      </w:r>
      <w:r w:rsidRPr="00CA3D09">
        <w:t xml:space="preserve"> (18.7 years)</w:t>
      </w:r>
      <w:r>
        <w:t>. A</w:t>
      </w:r>
      <w:r w:rsidRPr="00EC13D6">
        <w:t xml:space="preserve"> </w:t>
      </w:r>
      <w:r w:rsidRPr="00CA3D09">
        <w:t>Māori</w:t>
      </w:r>
      <w:r>
        <w:t xml:space="preserve"> female born in 2013 can expect to live</w:t>
      </w:r>
      <w:r w:rsidRPr="00CA3D09">
        <w:t xml:space="preserve"> </w:t>
      </w:r>
      <w:r w:rsidRPr="008C5765">
        <w:t xml:space="preserve">60.4 years independently, which is 78.4% of </w:t>
      </w:r>
      <w:r>
        <w:t>her life.</w:t>
      </w:r>
    </w:p>
    <w:p w:rsidR="000E627C" w:rsidRPr="00015208" w:rsidRDefault="000E627C" w:rsidP="000E627C">
      <w:pPr>
        <w:pStyle w:val="Bullet"/>
      </w:pPr>
      <w:r w:rsidRPr="004B4E3E">
        <w:rPr>
          <w:b/>
        </w:rPr>
        <w:t xml:space="preserve">At the age </w:t>
      </w:r>
      <w:r w:rsidRPr="00814A49">
        <w:rPr>
          <w:b/>
        </w:rPr>
        <w:t>of 65 years, New Zealanders can expect to live half of their remaining lives independently</w:t>
      </w:r>
      <w:r>
        <w:t xml:space="preserve"> (</w:t>
      </w:r>
      <w:r w:rsidRPr="008C5765">
        <w:t>54.1%</w:t>
      </w:r>
      <w:r>
        <w:t xml:space="preserve"> for males </w:t>
      </w:r>
      <w:r w:rsidRPr="008C5765">
        <w:t xml:space="preserve">and 49.5% </w:t>
      </w:r>
      <w:r>
        <w:t>for females)</w:t>
      </w:r>
      <w:r w:rsidRPr="008C5765">
        <w:t>.</w:t>
      </w:r>
      <w:r>
        <w:t xml:space="preserve"> </w:t>
      </w:r>
      <w:r w:rsidRPr="008C5765">
        <w:t>Non-Māori females age</w:t>
      </w:r>
      <w:r>
        <w:t>d</w:t>
      </w:r>
      <w:r w:rsidRPr="008C5765">
        <w:t xml:space="preserve"> 65</w:t>
      </w:r>
      <w:r>
        <w:t xml:space="preserve"> in 2013</w:t>
      </w:r>
      <w:r w:rsidRPr="008C5765">
        <w:t>, including Pacific and Asian</w:t>
      </w:r>
      <w:r>
        <w:t xml:space="preserve"> peoples</w:t>
      </w:r>
      <w:r w:rsidRPr="008C5765">
        <w:t xml:space="preserve">, </w:t>
      </w:r>
      <w:r>
        <w:t xml:space="preserve">can </w:t>
      </w:r>
      <w:r w:rsidRPr="008C5765">
        <w:t>expect to live longest without disability requiring assistance (</w:t>
      </w:r>
      <w:r>
        <w:t xml:space="preserve">another </w:t>
      </w:r>
      <w:r w:rsidRPr="008C5765">
        <w:t>10.7 years)</w:t>
      </w:r>
      <w:r>
        <w:t xml:space="preserve">. A 65-year-old </w:t>
      </w:r>
      <w:r w:rsidRPr="008C5765">
        <w:t>Māori male</w:t>
      </w:r>
      <w:r>
        <w:t xml:space="preserve"> has, on average, the</w:t>
      </w:r>
      <w:r w:rsidRPr="008C5765">
        <w:t xml:space="preserve"> shortest </w:t>
      </w:r>
      <w:r>
        <w:t xml:space="preserve">remaining time of living independently </w:t>
      </w:r>
      <w:r w:rsidRPr="008C5765">
        <w:t>(5.5 years)</w:t>
      </w:r>
      <w:r>
        <w:t xml:space="preserve"> and</w:t>
      </w:r>
      <w:r w:rsidRPr="008C5765">
        <w:t xml:space="preserve"> the highest proportion of</w:t>
      </w:r>
      <w:r>
        <w:t xml:space="preserve"> remaining</w:t>
      </w:r>
      <w:r w:rsidRPr="008C5765">
        <w:t xml:space="preserve"> years lived with dependency (64.3%).</w:t>
      </w:r>
    </w:p>
    <w:p w:rsidR="000E627C" w:rsidRDefault="000E627C" w:rsidP="000E627C"/>
    <w:p w:rsidR="000E627C" w:rsidRDefault="000E627C" w:rsidP="000E627C">
      <w:pPr>
        <w:pStyle w:val="Heading3"/>
      </w:pPr>
      <w:r>
        <w:t>Trends in independent life expectancy 1996–2013</w:t>
      </w:r>
    </w:p>
    <w:p w:rsidR="000E627C" w:rsidRPr="004B4E3E" w:rsidRDefault="000E627C" w:rsidP="000E627C">
      <w:r>
        <w:t>The following findings have been concluded from the results of disability surveys and period life tables from 1996 onwards to gauge trends in independent life expectancy over 17 years.</w:t>
      </w:r>
    </w:p>
    <w:p w:rsidR="000E627C" w:rsidRPr="008C5765" w:rsidRDefault="000E627C" w:rsidP="000E627C">
      <w:pPr>
        <w:pStyle w:val="Bullet"/>
      </w:pPr>
      <w:r>
        <w:t xml:space="preserve">Overall, </w:t>
      </w:r>
      <w:r w:rsidRPr="008C5765">
        <w:t xml:space="preserve">people </w:t>
      </w:r>
      <w:r>
        <w:t xml:space="preserve">are </w:t>
      </w:r>
      <w:r w:rsidRPr="008C5765">
        <w:t>liv</w:t>
      </w:r>
      <w:r>
        <w:t>ing</w:t>
      </w:r>
      <w:r w:rsidRPr="008C5765">
        <w:t xml:space="preserve"> longer, but spend</w:t>
      </w:r>
      <w:r>
        <w:t>ing</w:t>
      </w:r>
      <w:r w:rsidRPr="008C5765">
        <w:t xml:space="preserve"> more time in dependent health states (morbidity)</w:t>
      </w:r>
      <w:r>
        <w:t xml:space="preserve">. </w:t>
      </w:r>
      <w:r w:rsidRPr="008C5765">
        <w:t>Between 1996 and 2013, independent life expectancy</w:t>
      </w:r>
      <w:r>
        <w:t xml:space="preserve"> at birth</w:t>
      </w:r>
      <w:r w:rsidRPr="008C5765">
        <w:t xml:space="preserve"> increased for all groups apart from Māori males</w:t>
      </w:r>
      <w:r>
        <w:t>.</w:t>
      </w:r>
      <w:r w:rsidRPr="008C5765">
        <w:t xml:space="preserve"> </w:t>
      </w:r>
      <w:r>
        <w:t>I</w:t>
      </w:r>
      <w:r w:rsidRPr="008C5765">
        <w:t>n relative terms</w:t>
      </w:r>
      <w:r>
        <w:t>, however, all groups experienced a decrease: that is,</w:t>
      </w:r>
      <w:r w:rsidRPr="008C5765">
        <w:t xml:space="preserve"> the proportion of years </w:t>
      </w:r>
      <w:r>
        <w:t xml:space="preserve">they </w:t>
      </w:r>
      <w:r w:rsidRPr="008C5765">
        <w:t>lived independently</w:t>
      </w:r>
      <w:r>
        <w:t xml:space="preserve"> relative to their life expectancy was lower than it was for their counterparts in 1996.</w:t>
      </w:r>
    </w:p>
    <w:p w:rsidR="000E627C" w:rsidRPr="008C5765" w:rsidRDefault="000E627C" w:rsidP="000E627C">
      <w:pPr>
        <w:pStyle w:val="Bullet"/>
      </w:pPr>
      <w:r>
        <w:t xml:space="preserve">Independent life expectancy for </w:t>
      </w:r>
      <w:r w:rsidRPr="008C5765">
        <w:t>Māori males decrease</w:t>
      </w:r>
      <w:r>
        <w:t>d</w:t>
      </w:r>
      <w:r w:rsidRPr="008C5765">
        <w:t xml:space="preserve"> in both absolute and relative terms, which indicates an a</w:t>
      </w:r>
      <w:r>
        <w:t>bsolute expansion of morbidity.</w:t>
      </w:r>
    </w:p>
    <w:p w:rsidR="000E627C" w:rsidRPr="008C5765" w:rsidRDefault="000E627C" w:rsidP="000E627C">
      <w:pPr>
        <w:pStyle w:val="Bullet"/>
      </w:pPr>
      <w:r w:rsidRPr="008C5765">
        <w:t xml:space="preserve">ILE for Māori females increased in absolute </w:t>
      </w:r>
      <w:r>
        <w:t xml:space="preserve">terms </w:t>
      </w:r>
      <w:r w:rsidRPr="008C5765">
        <w:t>and decreased in relative terms</w:t>
      </w:r>
      <w:r>
        <w:t>. Among those with</w:t>
      </w:r>
      <w:r w:rsidRPr="008C5765">
        <w:t xml:space="preserve"> functional limitations</w:t>
      </w:r>
      <w:r>
        <w:t>, more required a medium level of support and fewer required a</w:t>
      </w:r>
      <w:r w:rsidRPr="008C5765">
        <w:t xml:space="preserve"> high </w:t>
      </w:r>
      <w:r>
        <w:t xml:space="preserve">level of </w:t>
      </w:r>
      <w:r w:rsidRPr="008C5765">
        <w:t>support over time.</w:t>
      </w:r>
    </w:p>
    <w:p w:rsidR="000E627C" w:rsidRDefault="000E627C" w:rsidP="000E627C"/>
    <w:p w:rsidR="000E627C" w:rsidRPr="008C5765" w:rsidRDefault="000E627C" w:rsidP="000E627C">
      <w:pPr>
        <w:pStyle w:val="Heading3"/>
      </w:pPr>
      <w:r>
        <w:t>Conclusions</w:t>
      </w:r>
    </w:p>
    <w:p w:rsidR="000E627C" w:rsidRDefault="000E627C" w:rsidP="000E627C">
      <w:r w:rsidRPr="008C5765">
        <w:t xml:space="preserve">The findings </w:t>
      </w:r>
      <w:r>
        <w:t xml:space="preserve">on ILE </w:t>
      </w:r>
      <w:r w:rsidRPr="008C5765">
        <w:t xml:space="preserve">are aligned with the results </w:t>
      </w:r>
      <w:r>
        <w:t>from</w:t>
      </w:r>
      <w:r w:rsidRPr="008C5765">
        <w:t xml:space="preserve"> the </w:t>
      </w:r>
      <w:r w:rsidRPr="00F560AC">
        <w:t>New Zealand Burden of Diseases, Injuries and Risk Factors Study</w:t>
      </w:r>
      <w:r>
        <w:t xml:space="preserve"> (Ministry of Health 2013)</w:t>
      </w:r>
      <w:r w:rsidRPr="008C5765">
        <w:t xml:space="preserve"> and illustrate the </w:t>
      </w:r>
      <w:r>
        <w:t>value of ILE for health policy.</w:t>
      </w:r>
    </w:p>
    <w:p w:rsidR="000E627C" w:rsidRDefault="000E627C" w:rsidP="000E627C"/>
    <w:p w:rsidR="000E627C" w:rsidRDefault="000E627C" w:rsidP="000E627C">
      <w:r>
        <w:t>Today</w:t>
      </w:r>
      <w:r w:rsidRPr="008C5765">
        <w:t xml:space="preserve"> people in New Zealand live longer in good health, but spend proportionally more time </w:t>
      </w:r>
      <w:r>
        <w:t xml:space="preserve">living </w:t>
      </w:r>
      <w:r w:rsidRPr="008C5765">
        <w:t xml:space="preserve">with dependency than before. </w:t>
      </w:r>
      <w:r>
        <w:t>Part of the reason for this trend is the ageing</w:t>
      </w:r>
      <w:r w:rsidRPr="008C5765">
        <w:t xml:space="preserve"> population</w:t>
      </w:r>
      <w:r>
        <w:t xml:space="preserve"> structure because, with a higher proportion of older people in the population, the proportion of people with functional limitations is likely to be correspondingly higher</w:t>
      </w:r>
      <w:r w:rsidRPr="008C5765">
        <w:t>.</w:t>
      </w:r>
    </w:p>
    <w:p w:rsidR="000E627C" w:rsidRPr="008C5765" w:rsidRDefault="000E627C" w:rsidP="000E627C"/>
    <w:p w:rsidR="000E627C" w:rsidRPr="008C5765" w:rsidRDefault="000E627C" w:rsidP="000E627C">
      <w:r w:rsidRPr="008C5765">
        <w:t xml:space="preserve">As ILE is not keeping pace with life expectancy, </w:t>
      </w:r>
      <w:r>
        <w:t>these</w:t>
      </w:r>
      <w:r w:rsidRPr="008C5765">
        <w:t xml:space="preserve"> findings </w:t>
      </w:r>
      <w:r>
        <w:t>indicate an</w:t>
      </w:r>
      <w:r w:rsidRPr="008C5765">
        <w:t xml:space="preserve"> increasing need</w:t>
      </w:r>
      <w:r>
        <w:t xml:space="preserve"> in the future</w:t>
      </w:r>
      <w:r w:rsidRPr="008C5765">
        <w:t xml:space="preserve"> for the treatment of long-term conditions with relatively low fatality</w:t>
      </w:r>
      <w:r>
        <w:t>. They also highlight</w:t>
      </w:r>
      <w:r w:rsidRPr="008C5765">
        <w:t xml:space="preserve"> substantial inequality between Māori and non-Māori groups. Th</w:t>
      </w:r>
      <w:r>
        <w:t>ese issues are particularly</w:t>
      </w:r>
      <w:r w:rsidRPr="008C5765">
        <w:t xml:space="preserve"> important at a time when the health system is facing challenges associated with population ageing and increased expenditure on long-term care.</w:t>
      </w:r>
    </w:p>
    <w:p w:rsidR="0021763B" w:rsidRPr="0021763B" w:rsidRDefault="0021763B" w:rsidP="000E627C"/>
    <w:p w:rsidR="00C86248" w:rsidRDefault="00C86248" w:rsidP="0086388B"/>
    <w:p w:rsidR="00C86248" w:rsidRDefault="00C86248">
      <w:pPr>
        <w:sectPr w:rsidR="00C86248" w:rsidSect="009D5125">
          <w:headerReference w:type="default" r:id="rId13"/>
          <w:footerReference w:type="even" r:id="rId14"/>
          <w:footerReference w:type="default" r:id="rId15"/>
          <w:pgSz w:w="11907" w:h="16840" w:code="9"/>
          <w:pgMar w:top="851" w:right="1134" w:bottom="1134" w:left="1134" w:header="284" w:footer="567" w:gutter="284"/>
          <w:pgNumType w:fmt="lowerRoman"/>
          <w:cols w:space="720"/>
        </w:sectPr>
      </w:pPr>
    </w:p>
    <w:p w:rsidR="008C2973" w:rsidRDefault="0086388B" w:rsidP="009013FB">
      <w:pPr>
        <w:pStyle w:val="Heading1"/>
      </w:pPr>
      <w:bookmarkStart w:id="6" w:name="_Toc424834163"/>
      <w:r>
        <w:t>Introduction</w:t>
      </w:r>
      <w:bookmarkEnd w:id="6"/>
    </w:p>
    <w:p w:rsidR="009013FB" w:rsidRPr="008C5765" w:rsidRDefault="009013FB" w:rsidP="009013FB">
      <w:r w:rsidRPr="008C5765">
        <w:t xml:space="preserve">Independent life expectancy (ILE) is </w:t>
      </w:r>
      <w:r>
        <w:t>one</w:t>
      </w:r>
      <w:r w:rsidRPr="008C5765">
        <w:t xml:space="preserve"> measure of health expectancy that both the Ministry of Health and the Ministry of Social Development have used as a</w:t>
      </w:r>
      <w:r>
        <w:t xml:space="preserve"> </w:t>
      </w:r>
      <w:r w:rsidRPr="008C5765">
        <w:t>‘headline’ or ‘peak’ health indicator. Although it is the</w:t>
      </w:r>
      <w:r>
        <w:t xml:space="preserve"> main</w:t>
      </w:r>
      <w:r w:rsidRPr="008C5765">
        <w:t xml:space="preserve"> focus of this report, </w:t>
      </w:r>
      <w:r>
        <w:t>ILE</w:t>
      </w:r>
      <w:r w:rsidRPr="008C5765">
        <w:t xml:space="preserve"> is part of a broader set of indicators of health expectancy. This section </w:t>
      </w:r>
      <w:r>
        <w:t>presents</w:t>
      </w:r>
      <w:r w:rsidRPr="008C5765">
        <w:t xml:space="preserve"> the general context in which ILE fits</w:t>
      </w:r>
      <w:r>
        <w:t>. After defining</w:t>
      </w:r>
      <w:r w:rsidRPr="008C5765">
        <w:t xml:space="preserve"> health expectancy</w:t>
      </w:r>
      <w:r>
        <w:t>, it describes the two main ways of estimating it and outlines</w:t>
      </w:r>
      <w:r w:rsidRPr="008C5765">
        <w:t xml:space="preserve"> how </w:t>
      </w:r>
      <w:r>
        <w:t xml:space="preserve">health expectancy generally and ILE specifically have </w:t>
      </w:r>
      <w:r w:rsidRPr="008C5765">
        <w:t>been applied</w:t>
      </w:r>
      <w:r>
        <w:t xml:space="preserve"> in New Zealand</w:t>
      </w:r>
      <w:r w:rsidRPr="008C5765">
        <w:t>.</w:t>
      </w:r>
      <w:r>
        <w:t xml:space="preserve"> Finally, this section gives a brief overview of the content of this report.</w:t>
      </w:r>
    </w:p>
    <w:p w:rsidR="009013FB" w:rsidRPr="008C5765" w:rsidRDefault="009013FB" w:rsidP="009013FB"/>
    <w:p w:rsidR="009013FB" w:rsidRPr="008C5765" w:rsidRDefault="009013FB" w:rsidP="009013FB">
      <w:pPr>
        <w:pStyle w:val="Heading2"/>
      </w:pPr>
      <w:bookmarkStart w:id="7" w:name="_Toc423840668"/>
      <w:bookmarkStart w:id="8" w:name="_Toc424645277"/>
      <w:bookmarkStart w:id="9" w:name="_Toc424834164"/>
      <w:r w:rsidRPr="008C5765">
        <w:t>Health expectancy</w:t>
      </w:r>
      <w:r>
        <w:t xml:space="preserve"> as a summary measure of population health</w:t>
      </w:r>
      <w:bookmarkEnd w:id="7"/>
      <w:bookmarkEnd w:id="8"/>
      <w:bookmarkEnd w:id="9"/>
    </w:p>
    <w:p w:rsidR="009013FB" w:rsidRPr="008C5765" w:rsidRDefault="009013FB" w:rsidP="009013FB">
      <w:r w:rsidRPr="008C5765">
        <w:t>Health expectancy is a summary measure of population health</w:t>
      </w:r>
      <w:r>
        <w:t xml:space="preserve"> in terms of both quality and quantity</w:t>
      </w:r>
      <w:r w:rsidRPr="008C5765">
        <w:t xml:space="preserve"> (Murray et al 2002)</w:t>
      </w:r>
      <w:r>
        <w:t>. It is a single figure calculated from</w:t>
      </w:r>
      <w:r w:rsidRPr="008C5765">
        <w:t xml:space="preserve"> both non-fatal and fatal health outcomes. As life expectancy (LE) is increasing, health expectancy indicators </w:t>
      </w:r>
      <w:r>
        <w:t>offer a way of</w:t>
      </w:r>
      <w:r w:rsidRPr="008C5765">
        <w:t xml:space="preserve"> assess</w:t>
      </w:r>
      <w:r>
        <w:t>ing</w:t>
      </w:r>
      <w:r w:rsidRPr="008C5765">
        <w:t xml:space="preserve"> how many</w:t>
      </w:r>
      <w:r>
        <w:t xml:space="preserve"> of the</w:t>
      </w:r>
      <w:r w:rsidRPr="008C5765">
        <w:t xml:space="preserve"> </w:t>
      </w:r>
      <w:r>
        <w:t xml:space="preserve">years a population has </w:t>
      </w:r>
      <w:r w:rsidRPr="008C5765">
        <w:t xml:space="preserve">gained </w:t>
      </w:r>
      <w:r>
        <w:t xml:space="preserve">in life expectancy </w:t>
      </w:r>
      <w:r w:rsidRPr="008C5765">
        <w:t xml:space="preserve">are spent in good health and free from functional limitations. </w:t>
      </w:r>
    </w:p>
    <w:p w:rsidR="009013FB" w:rsidRPr="008C5765" w:rsidRDefault="009013FB" w:rsidP="009013FB"/>
    <w:p w:rsidR="009013FB" w:rsidRPr="008C5765" w:rsidRDefault="009013FB" w:rsidP="009013FB">
      <w:r>
        <w:t>The World Health Organization (WHO) has developed r</w:t>
      </w:r>
      <w:r w:rsidRPr="008C5765">
        <w:t>eliable survey instruments to measure non-fatal health states using the International Classification of Functioning, Disability and Health (ICF) (</w:t>
      </w:r>
      <w:r>
        <w:t>WHO</w:t>
      </w:r>
      <w:r w:rsidRPr="008C5765">
        <w:t xml:space="preserve"> 2001). </w:t>
      </w:r>
      <w:r>
        <w:t>The aim of the ICF,</w:t>
      </w:r>
      <w:r w:rsidRPr="008C5765">
        <w:t xml:space="preserve"> an international standard endorsed by WHO Member States, </w:t>
      </w:r>
      <w:r>
        <w:t>is to</w:t>
      </w:r>
      <w:r w:rsidRPr="008C5765">
        <w:t xml:space="preserve"> describ</w:t>
      </w:r>
      <w:r>
        <w:t>e</w:t>
      </w:r>
      <w:r w:rsidRPr="008C5765">
        <w:t xml:space="preserve"> and measur</w:t>
      </w:r>
      <w:r>
        <w:t>e</w:t>
      </w:r>
      <w:r w:rsidRPr="008C5765">
        <w:t xml:space="preserve"> health and disability. </w:t>
      </w:r>
      <w:r>
        <w:t>It</w:t>
      </w:r>
      <w:r w:rsidRPr="008C5765">
        <w:t xml:space="preserve"> defines</w:t>
      </w:r>
      <w:r>
        <w:t xml:space="preserve"> different </w:t>
      </w:r>
      <w:r w:rsidRPr="008C5765">
        <w:t xml:space="preserve">non-fatal health states </w:t>
      </w:r>
      <w:r>
        <w:t>based on people’s</w:t>
      </w:r>
      <w:r w:rsidRPr="008C5765">
        <w:t xml:space="preserve"> level of functioning across a range of health and health-related domains. </w:t>
      </w:r>
      <w:r>
        <w:t>Health expectancy is calculated by combining s</w:t>
      </w:r>
      <w:r w:rsidRPr="008C5765">
        <w:t xml:space="preserve">urvey data </w:t>
      </w:r>
      <w:r>
        <w:t>on</w:t>
      </w:r>
      <w:r w:rsidRPr="008C5765">
        <w:t xml:space="preserve"> </w:t>
      </w:r>
      <w:r>
        <w:t>a</w:t>
      </w:r>
      <w:r w:rsidRPr="008C5765">
        <w:t xml:space="preserve"> population</w:t>
      </w:r>
      <w:r>
        <w:t>’s</w:t>
      </w:r>
      <w:r w:rsidRPr="008C5765">
        <w:t xml:space="preserve"> level of functioning with mortality data.</w:t>
      </w:r>
    </w:p>
    <w:p w:rsidR="009013FB" w:rsidRPr="008C5765" w:rsidRDefault="009013FB" w:rsidP="009013FB"/>
    <w:p w:rsidR="009013FB" w:rsidRPr="008C5765" w:rsidRDefault="009013FB" w:rsidP="009013FB">
      <w:r>
        <w:t>As</w:t>
      </w:r>
      <w:r w:rsidRPr="008C5765">
        <w:t xml:space="preserve"> an overall outcome measure</w:t>
      </w:r>
      <w:r>
        <w:t>, health expectancy is</w:t>
      </w:r>
      <w:r w:rsidRPr="008C5765">
        <w:t xml:space="preserve"> essential for assessing the performance of the health system. It also reflects the</w:t>
      </w:r>
      <w:r>
        <w:t xml:space="preserve"> level of</w:t>
      </w:r>
      <w:r w:rsidRPr="008C5765">
        <w:t xml:space="preserve"> performance of other sectors whose actions contribute to population health outcomes. Therefore, policy makers and researchers across </w:t>
      </w:r>
      <w:r>
        <w:t xml:space="preserve">the </w:t>
      </w:r>
      <w:r w:rsidRPr="008C5765">
        <w:t>social policy spectrum may find this indicator useful when reflecting on their own contribution to population health gain and the reduction of health inequalities (Ministry of Health and Statistics N</w:t>
      </w:r>
      <w:r>
        <w:t>ew Zealand</w:t>
      </w:r>
      <w:r w:rsidRPr="008C5765">
        <w:t xml:space="preserve"> 2009).</w:t>
      </w:r>
    </w:p>
    <w:p w:rsidR="009013FB" w:rsidRPr="008C5765" w:rsidRDefault="009013FB" w:rsidP="009013FB"/>
    <w:p w:rsidR="009013FB" w:rsidRPr="008C5765" w:rsidRDefault="009013FB" w:rsidP="009013FB">
      <w:pPr>
        <w:pStyle w:val="Heading2"/>
      </w:pPr>
      <w:bookmarkStart w:id="10" w:name="_Toc423840669"/>
      <w:bookmarkStart w:id="11" w:name="_Toc424645278"/>
      <w:bookmarkStart w:id="12" w:name="_Toc424834165"/>
      <w:r>
        <w:t>Two approaches to estimating</w:t>
      </w:r>
      <w:r w:rsidRPr="008C5765">
        <w:t xml:space="preserve"> health expectanc</w:t>
      </w:r>
      <w:r>
        <w:t>y</w:t>
      </w:r>
      <w:bookmarkEnd w:id="10"/>
      <w:bookmarkEnd w:id="11"/>
      <w:bookmarkEnd w:id="12"/>
    </w:p>
    <w:p w:rsidR="009013FB" w:rsidRPr="008C5765" w:rsidRDefault="009013FB" w:rsidP="009013FB">
      <w:r w:rsidRPr="008C5765">
        <w:t xml:space="preserve">The two </w:t>
      </w:r>
      <w:r>
        <w:t>main ways</w:t>
      </w:r>
      <w:r w:rsidRPr="008C5765">
        <w:t xml:space="preserve"> of </w:t>
      </w:r>
      <w:r>
        <w:t xml:space="preserve">estimating </w:t>
      </w:r>
      <w:r w:rsidRPr="008C5765">
        <w:t xml:space="preserve">health expectancy </w:t>
      </w:r>
      <w:r>
        <w:t>involve:</w:t>
      </w:r>
    </w:p>
    <w:p w:rsidR="009013FB" w:rsidRPr="008C5765" w:rsidRDefault="009013FB" w:rsidP="009013FB">
      <w:pPr>
        <w:pStyle w:val="Bullet"/>
      </w:pPr>
      <w:r w:rsidRPr="008C5765">
        <w:t>health state expectanc</w:t>
      </w:r>
      <w:r>
        <w:t>y measures –  which are based on functional limitation thresholds</w:t>
      </w:r>
    </w:p>
    <w:p w:rsidR="009013FB" w:rsidRPr="008C5765" w:rsidRDefault="009013FB" w:rsidP="009013FB">
      <w:pPr>
        <w:pStyle w:val="Bullet"/>
      </w:pPr>
      <w:proofErr w:type="gramStart"/>
      <w:r w:rsidRPr="008C5765">
        <w:t>health-adjusted</w:t>
      </w:r>
      <w:proofErr w:type="gramEnd"/>
      <w:r w:rsidRPr="008C5765">
        <w:t xml:space="preserve"> life expectancy</w:t>
      </w:r>
      <w:r>
        <w:t xml:space="preserve"> – which is based on continuous weighting of non-fatal health states relative to full health</w:t>
      </w:r>
      <w:r w:rsidRPr="008C5765">
        <w:t>.</w:t>
      </w:r>
    </w:p>
    <w:p w:rsidR="009013FB" w:rsidRPr="008C5765" w:rsidRDefault="009013FB" w:rsidP="009013FB"/>
    <w:p w:rsidR="009013FB" w:rsidRPr="008C5765" w:rsidRDefault="009013FB" w:rsidP="009013FB">
      <w:pPr>
        <w:pStyle w:val="Heading3"/>
      </w:pPr>
      <w:r w:rsidRPr="008C5765">
        <w:t>Health state expectanc</w:t>
      </w:r>
      <w:r>
        <w:t>y measures</w:t>
      </w:r>
    </w:p>
    <w:p w:rsidR="009013FB" w:rsidRPr="008C5765" w:rsidRDefault="009013FB" w:rsidP="009013FB">
      <w:pPr>
        <w:keepLines/>
      </w:pPr>
      <w:r w:rsidRPr="008C5765">
        <w:t>Health state expectanc</w:t>
      </w:r>
      <w:r>
        <w:t>y measures</w:t>
      </w:r>
      <w:r w:rsidRPr="00DC635C">
        <w:t xml:space="preserve"> </w:t>
      </w:r>
      <w:r w:rsidRPr="008C5765">
        <w:t xml:space="preserve">categorise </w:t>
      </w:r>
      <w:r>
        <w:t>individuals (in terms of</w:t>
      </w:r>
      <w:r w:rsidRPr="008C5765">
        <w:t xml:space="preserve"> person years) into different health states </w:t>
      </w:r>
      <w:r>
        <w:t>based on</w:t>
      </w:r>
      <w:r w:rsidRPr="008C5765">
        <w:t xml:space="preserve"> </w:t>
      </w:r>
      <w:r>
        <w:t xml:space="preserve">their level of dependency, or </w:t>
      </w:r>
      <w:r w:rsidRPr="008C5765">
        <w:t xml:space="preserve">functional limitation thresholds. </w:t>
      </w:r>
      <w:r>
        <w:t>D</w:t>
      </w:r>
      <w:r w:rsidRPr="008C5765">
        <w:t xml:space="preserve">ependency </w:t>
      </w:r>
      <w:r>
        <w:t>in this context means</w:t>
      </w:r>
      <w:r w:rsidRPr="008C5765">
        <w:t xml:space="preserve"> the need for assistance</w:t>
      </w:r>
      <w:r w:rsidRPr="007051F9">
        <w:t xml:space="preserve"> </w:t>
      </w:r>
      <w:r w:rsidRPr="008C5765">
        <w:t>with everyday routines</w:t>
      </w:r>
      <w:r>
        <w:t>, which may come</w:t>
      </w:r>
      <w:r w:rsidRPr="008C5765">
        <w:t xml:space="preserve"> from another person or</w:t>
      </w:r>
      <w:r>
        <w:t xml:space="preserve"> from</w:t>
      </w:r>
      <w:r w:rsidRPr="008C5765">
        <w:t xml:space="preserve"> a complex assistive device, </w:t>
      </w:r>
      <w:r>
        <w:t xml:space="preserve">and may be </w:t>
      </w:r>
      <w:r w:rsidRPr="008C5765">
        <w:t>either intermittent or continuous. Statistics New Zealand (Statistics NZ) post-</w:t>
      </w:r>
      <w:proofErr w:type="spellStart"/>
      <w:r w:rsidRPr="008C5765">
        <w:t>censal</w:t>
      </w:r>
      <w:proofErr w:type="spellEnd"/>
      <w:r w:rsidRPr="008C5765">
        <w:t xml:space="preserve"> disability surveys</w:t>
      </w:r>
      <w:r>
        <w:t xml:space="preserve"> classify respondents</w:t>
      </w:r>
      <w:r w:rsidRPr="008C5765">
        <w:t xml:space="preserve"> into three support need levels:</w:t>
      </w:r>
    </w:p>
    <w:p w:rsidR="009013FB" w:rsidRPr="008C5765" w:rsidRDefault="009013FB" w:rsidP="009013FB">
      <w:pPr>
        <w:pStyle w:val="Bullet"/>
      </w:pPr>
      <w:r>
        <w:t>l</w:t>
      </w:r>
      <w:r w:rsidRPr="008C5765">
        <w:t xml:space="preserve">evel 1 (low support need) </w:t>
      </w:r>
      <w:r>
        <w:t>–</w:t>
      </w:r>
      <w:r w:rsidRPr="008C5765">
        <w:t xml:space="preserve"> </w:t>
      </w:r>
      <w:r>
        <w:t>a person has a functional limitation but does not</w:t>
      </w:r>
      <w:r w:rsidRPr="008C5765">
        <w:t xml:space="preserve"> need assistance</w:t>
      </w:r>
      <w:r>
        <w:t xml:space="preserve"> with any every day routines</w:t>
      </w:r>
    </w:p>
    <w:p w:rsidR="009013FB" w:rsidRPr="008C5765" w:rsidRDefault="009013FB" w:rsidP="009013FB">
      <w:pPr>
        <w:pStyle w:val="Bullet"/>
      </w:pPr>
      <w:r>
        <w:t>l</w:t>
      </w:r>
      <w:r w:rsidRPr="008C5765">
        <w:t xml:space="preserve">evel 2 (medium support need) </w:t>
      </w:r>
      <w:r>
        <w:t>–</w:t>
      </w:r>
      <w:r w:rsidRPr="008C5765">
        <w:t xml:space="preserve"> </w:t>
      </w:r>
      <w:r>
        <w:t>a person has a functional limitation</w:t>
      </w:r>
      <w:r w:rsidRPr="008C5765">
        <w:t xml:space="preserve"> </w:t>
      </w:r>
      <w:r>
        <w:t xml:space="preserve">and needs </w:t>
      </w:r>
      <w:r w:rsidRPr="008C5765">
        <w:t>assistance</w:t>
      </w:r>
      <w:r>
        <w:t xml:space="preserve"> but not on a daily basis</w:t>
      </w:r>
    </w:p>
    <w:p w:rsidR="009013FB" w:rsidRPr="008C5765" w:rsidRDefault="009013FB" w:rsidP="009013FB">
      <w:pPr>
        <w:pStyle w:val="Bullet"/>
      </w:pPr>
      <w:proofErr w:type="gramStart"/>
      <w:r>
        <w:t>l</w:t>
      </w:r>
      <w:r w:rsidRPr="008C5765">
        <w:t>evel</w:t>
      </w:r>
      <w:proofErr w:type="gramEnd"/>
      <w:r w:rsidRPr="008C5765">
        <w:t xml:space="preserve"> 3 (high support need) – </w:t>
      </w:r>
      <w:r>
        <w:t>a person has a functional limitation</w:t>
      </w:r>
      <w:r w:rsidRPr="008C5765">
        <w:t xml:space="preserve"> </w:t>
      </w:r>
      <w:r>
        <w:t>and needs</w:t>
      </w:r>
      <w:r w:rsidRPr="008C5765">
        <w:t xml:space="preserve"> some types of assistance daily.</w:t>
      </w:r>
    </w:p>
    <w:p w:rsidR="009013FB" w:rsidRPr="008C5765" w:rsidRDefault="009013FB" w:rsidP="009013FB"/>
    <w:p w:rsidR="009013FB" w:rsidRDefault="009013FB" w:rsidP="009013FB">
      <w:r>
        <w:t>Building</w:t>
      </w:r>
      <w:r w:rsidRPr="008C5765">
        <w:t xml:space="preserve"> on this framework, </w:t>
      </w:r>
      <w:r>
        <w:t xml:space="preserve">a model of </w:t>
      </w:r>
      <w:r w:rsidRPr="008C5765">
        <w:t>health state expectanc</w:t>
      </w:r>
      <w:r>
        <w:t>y measures</w:t>
      </w:r>
      <w:r w:rsidRPr="008C5765">
        <w:t xml:space="preserve"> can be constructed (Figure</w:t>
      </w:r>
      <w:r>
        <w:t> </w:t>
      </w:r>
      <w:r w:rsidRPr="008C5765">
        <w:t>1):</w:t>
      </w:r>
    </w:p>
    <w:p w:rsidR="009013FB" w:rsidRPr="008C5765" w:rsidRDefault="009013FB" w:rsidP="009013FB">
      <w:pPr>
        <w:pStyle w:val="Bullet"/>
      </w:pPr>
      <w:r>
        <w:t>life expectancy (LE) – the average full life span</w:t>
      </w:r>
    </w:p>
    <w:p w:rsidR="009013FB" w:rsidRPr="008C5765" w:rsidRDefault="009013FB" w:rsidP="009013FB">
      <w:pPr>
        <w:pStyle w:val="Bullet"/>
      </w:pPr>
      <w:r>
        <w:t>a</w:t>
      </w:r>
      <w:r w:rsidRPr="008C5765">
        <w:t xml:space="preserve">ctive life expectancy (ALE) </w:t>
      </w:r>
      <w:r>
        <w:t>–</w:t>
      </w:r>
      <w:r w:rsidRPr="008C5765">
        <w:t xml:space="preserve"> the average number of years </w:t>
      </w:r>
      <w:r>
        <w:t xml:space="preserve">it is </w:t>
      </w:r>
      <w:r w:rsidRPr="008C5765">
        <w:t xml:space="preserve">expected </w:t>
      </w:r>
      <w:r>
        <w:t xml:space="preserve">people will </w:t>
      </w:r>
      <w:r w:rsidRPr="008C5765">
        <w:t>live free of functional limitation needing daily assistance</w:t>
      </w:r>
      <w:r>
        <w:t xml:space="preserve"> (</w:t>
      </w:r>
      <w:proofErr w:type="spellStart"/>
      <w:r>
        <w:t>ie</w:t>
      </w:r>
      <w:proofErr w:type="spellEnd"/>
      <w:r>
        <w:t>, before reaching level 3)</w:t>
      </w:r>
    </w:p>
    <w:p w:rsidR="009013FB" w:rsidRPr="008C5765" w:rsidRDefault="009013FB" w:rsidP="009013FB">
      <w:pPr>
        <w:pStyle w:val="Bullet"/>
      </w:pPr>
      <w:r w:rsidRPr="008C5765">
        <w:t xml:space="preserve">independent life expectancy (ILE) </w:t>
      </w:r>
      <w:r>
        <w:t>–</w:t>
      </w:r>
      <w:r w:rsidRPr="008C5765">
        <w:t xml:space="preserve"> the average number of years </w:t>
      </w:r>
      <w:r>
        <w:t xml:space="preserve">it is </w:t>
      </w:r>
      <w:r w:rsidRPr="008C5765">
        <w:t xml:space="preserve">expected </w:t>
      </w:r>
      <w:r>
        <w:t xml:space="preserve">people will </w:t>
      </w:r>
      <w:r w:rsidRPr="008C5765">
        <w:t>live independently</w:t>
      </w:r>
      <w:r>
        <w:t xml:space="preserve">, with no </w:t>
      </w:r>
      <w:r w:rsidRPr="008C5765">
        <w:t xml:space="preserve">functional limitation </w:t>
      </w:r>
      <w:r>
        <w:t xml:space="preserve">that </w:t>
      </w:r>
      <w:r w:rsidRPr="008C5765">
        <w:t>need</w:t>
      </w:r>
      <w:r>
        <w:t xml:space="preserve">s </w:t>
      </w:r>
      <w:r w:rsidRPr="008C5765">
        <w:t>assistance</w:t>
      </w:r>
      <w:r>
        <w:t xml:space="preserve"> (</w:t>
      </w:r>
      <w:proofErr w:type="spellStart"/>
      <w:r>
        <w:t>ie</w:t>
      </w:r>
      <w:proofErr w:type="spellEnd"/>
      <w:r>
        <w:t>, before reaching level 2)</w:t>
      </w:r>
    </w:p>
    <w:p w:rsidR="009013FB" w:rsidRDefault="009013FB" w:rsidP="009013FB">
      <w:pPr>
        <w:pStyle w:val="Bullet"/>
      </w:pPr>
      <w:r>
        <w:t>life expectancy with dependency (LED) – the average number of years it is expected people will live with functional limitation that needs either daily or non-daily assistance (</w:t>
      </w:r>
      <w:proofErr w:type="spellStart"/>
      <w:r>
        <w:t>ie</w:t>
      </w:r>
      <w:proofErr w:type="spellEnd"/>
      <w:r>
        <w:t>, at support levels 2 and 3)</w:t>
      </w:r>
    </w:p>
    <w:p w:rsidR="009013FB" w:rsidRPr="008C5765" w:rsidRDefault="009013FB" w:rsidP="009013FB">
      <w:pPr>
        <w:pStyle w:val="Bullet"/>
      </w:pPr>
      <w:proofErr w:type="gramStart"/>
      <w:r>
        <w:t>disability</w:t>
      </w:r>
      <w:r w:rsidRPr="008C5765">
        <w:t>-free</w:t>
      </w:r>
      <w:proofErr w:type="gramEnd"/>
      <w:r w:rsidRPr="008C5765">
        <w:t xml:space="preserve"> life expectancy (</w:t>
      </w:r>
      <w:r>
        <w:t>D</w:t>
      </w:r>
      <w:r w:rsidRPr="008C5765">
        <w:t xml:space="preserve">FLE) </w:t>
      </w:r>
      <w:r>
        <w:t>–</w:t>
      </w:r>
      <w:r w:rsidRPr="008C5765">
        <w:t xml:space="preserve"> the average number of years </w:t>
      </w:r>
      <w:r>
        <w:t xml:space="preserve">it is </w:t>
      </w:r>
      <w:r w:rsidRPr="008C5765">
        <w:t xml:space="preserve">expected </w:t>
      </w:r>
      <w:r>
        <w:t xml:space="preserve">people will </w:t>
      </w:r>
      <w:r w:rsidRPr="008C5765">
        <w:t>live free of any functional limitation</w:t>
      </w:r>
      <w:r>
        <w:t xml:space="preserve"> (</w:t>
      </w:r>
      <w:proofErr w:type="spellStart"/>
      <w:r>
        <w:t>ie</w:t>
      </w:r>
      <w:proofErr w:type="spellEnd"/>
      <w:r>
        <w:t>, before reaching level 1).</w:t>
      </w:r>
    </w:p>
    <w:p w:rsidR="009013FB" w:rsidRPr="009013FB" w:rsidRDefault="009013FB" w:rsidP="009013FB"/>
    <w:p w:rsidR="00863117" w:rsidRDefault="0060134B" w:rsidP="0060134B">
      <w:pPr>
        <w:pStyle w:val="Figure"/>
      </w:pPr>
      <w:bookmarkStart w:id="13" w:name="_Toc424755743"/>
      <w:r>
        <w:t xml:space="preserve">Figure 1: </w:t>
      </w:r>
      <w:r w:rsidR="009013FB">
        <w:t>A model of different levels of health state expectancy measures</w:t>
      </w:r>
      <w:bookmarkEnd w:id="13"/>
    </w:p>
    <w:p w:rsidR="0060134B" w:rsidRDefault="00EE2385" w:rsidP="009013FB">
      <w:r>
        <w:rPr>
          <w:noProof/>
          <w:lang w:eastAsia="en-NZ"/>
        </w:rPr>
        <w:drawing>
          <wp:inline distT="0" distB="0" distL="0" distR="0" wp14:anchorId="08211AFA" wp14:editId="7914ACB4">
            <wp:extent cx="5919379" cy="2618509"/>
            <wp:effectExtent l="0" t="0" r="5715" b="0"/>
            <wp:docPr id="5" name="Picture 5" title="Figure 1: A model of different levels of health state expectanc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1393" cy="2623824"/>
                    </a:xfrm>
                    <a:prstGeom prst="rect">
                      <a:avLst/>
                    </a:prstGeom>
                    <a:noFill/>
                  </pic:spPr>
                </pic:pic>
              </a:graphicData>
            </a:graphic>
          </wp:inline>
        </w:drawing>
      </w:r>
    </w:p>
    <w:p w:rsidR="0060134B" w:rsidRDefault="0060134B" w:rsidP="00955690"/>
    <w:p w:rsidR="00955690" w:rsidRPr="008C5765" w:rsidRDefault="00955690" w:rsidP="00955690">
      <w:pPr>
        <w:pStyle w:val="Heading3"/>
      </w:pPr>
      <w:r w:rsidRPr="008C5765">
        <w:t>Health-adjusted life expectancy</w:t>
      </w:r>
    </w:p>
    <w:p w:rsidR="00955690" w:rsidRPr="008C5765" w:rsidRDefault="00955690" w:rsidP="00955690">
      <w:pPr>
        <w:keepLines/>
      </w:pPr>
      <w:r>
        <w:t>Where</w:t>
      </w:r>
      <w:r w:rsidRPr="003445D0">
        <w:t xml:space="preserve"> </w:t>
      </w:r>
      <w:r w:rsidRPr="008C5765">
        <w:t>health state expectancies</w:t>
      </w:r>
      <w:r>
        <w:t xml:space="preserve"> take a categorical approach with reference to</w:t>
      </w:r>
      <w:r w:rsidRPr="003445D0">
        <w:t xml:space="preserve"> </w:t>
      </w:r>
      <w:r w:rsidRPr="008C5765">
        <w:t>functional limitation thresholds</w:t>
      </w:r>
      <w:r>
        <w:t>, h</w:t>
      </w:r>
      <w:r w:rsidRPr="008C5765">
        <w:t xml:space="preserve">ealth-adjusted life expectancy or healthy life expectancy (HLE) is based on continuous weighting of non-fatal health states relative to full health. Therefore, HLE </w:t>
      </w:r>
      <w:r>
        <w:t>i</w:t>
      </w:r>
      <w:r w:rsidRPr="008C5765">
        <w:t>s the number of years of full health that an average person can expect to live.</w:t>
      </w:r>
    </w:p>
    <w:p w:rsidR="00955690" w:rsidRPr="008C5765" w:rsidRDefault="00955690" w:rsidP="00955690"/>
    <w:p w:rsidR="00955690" w:rsidRDefault="00955690" w:rsidP="00955690">
      <w:r>
        <w:t>This method was used in the New Zealand Burden of Diseases Study (NZBD). To e</w:t>
      </w:r>
      <w:r w:rsidRPr="008C5765">
        <w:t>stimate average levels of health among survivors</w:t>
      </w:r>
      <w:r>
        <w:t xml:space="preserve"> of disease and injury, researchers summed</w:t>
      </w:r>
      <w:r w:rsidRPr="008C5765">
        <w:t xml:space="preserve"> the NZBD</w:t>
      </w:r>
      <w:r>
        <w:t>’s</w:t>
      </w:r>
      <w:r w:rsidRPr="008C5765">
        <w:t xml:space="preserve"> estimates</w:t>
      </w:r>
      <w:r>
        <w:t xml:space="preserve"> of </w:t>
      </w:r>
      <w:r w:rsidRPr="008C5765">
        <w:t>years lived with disability (YLD) over all causes. YLD is estimated by multiplying the prevalence of the different health states by their disability weight</w:t>
      </w:r>
      <w:r>
        <w:t>, which</w:t>
      </w:r>
      <w:r w:rsidRPr="008C5765">
        <w:t xml:space="preserve"> </w:t>
      </w:r>
      <w:r>
        <w:t xml:space="preserve">ranges </w:t>
      </w:r>
      <w:r w:rsidRPr="008C5765">
        <w:t xml:space="preserve">from 0 (full health) to 1 (equivalent to being dead). These estimates </w:t>
      </w:r>
      <w:r>
        <w:t>we</w:t>
      </w:r>
      <w:r w:rsidRPr="008C5765">
        <w:t>re then incorporated into the life tables to give an estimate of health-adjusted life expectancy (Ministry of Health 2013).</w:t>
      </w:r>
    </w:p>
    <w:p w:rsidR="00955690" w:rsidRDefault="00955690" w:rsidP="00955690"/>
    <w:p w:rsidR="00955690" w:rsidRPr="008C5765" w:rsidRDefault="00955690" w:rsidP="00955690">
      <w:pPr>
        <w:pStyle w:val="Heading2"/>
      </w:pPr>
      <w:bookmarkStart w:id="14" w:name="_Toc423840670"/>
      <w:bookmarkStart w:id="15" w:name="_Toc424645279"/>
      <w:bookmarkStart w:id="16" w:name="_Toc424834166"/>
      <w:r>
        <w:t>How</w:t>
      </w:r>
      <w:r w:rsidRPr="008C5765">
        <w:t xml:space="preserve"> health expectancy </w:t>
      </w:r>
      <w:r>
        <w:t xml:space="preserve">and ILE are being applied </w:t>
      </w:r>
      <w:r w:rsidRPr="008C5765">
        <w:t>in New Zealand</w:t>
      </w:r>
      <w:bookmarkEnd w:id="14"/>
      <w:bookmarkEnd w:id="15"/>
      <w:bookmarkEnd w:id="16"/>
    </w:p>
    <w:p w:rsidR="00955690" w:rsidRPr="008C5765" w:rsidRDefault="00955690" w:rsidP="00955690">
      <w:r w:rsidRPr="008C5765">
        <w:t>The Ministry of Health</w:t>
      </w:r>
      <w:r>
        <w:t xml:space="preserve"> recognises health</w:t>
      </w:r>
      <w:r w:rsidRPr="00C85AF1">
        <w:t xml:space="preserve"> </w:t>
      </w:r>
      <w:r w:rsidRPr="008C5765">
        <w:t>expectancy</w:t>
      </w:r>
      <w:r w:rsidRPr="00C85AF1">
        <w:t xml:space="preserve"> </w:t>
      </w:r>
      <w:r w:rsidRPr="008C5765">
        <w:t>as a key outcome indicator</w:t>
      </w:r>
      <w:r>
        <w:t>.</w:t>
      </w:r>
      <w:r w:rsidRPr="008C5765">
        <w:t xml:space="preserve"> </w:t>
      </w:r>
      <w:r>
        <w:t>A</w:t>
      </w:r>
      <w:r w:rsidRPr="008C5765">
        <w:t xml:space="preserve">n increasing number of </w:t>
      </w:r>
      <w:r>
        <w:t xml:space="preserve">other </w:t>
      </w:r>
      <w:r w:rsidRPr="008C5765">
        <w:t xml:space="preserve">countries </w:t>
      </w:r>
      <w:r>
        <w:t>are also taking this approach, such as</w:t>
      </w:r>
      <w:r w:rsidRPr="008C5765">
        <w:t xml:space="preserve"> the United States </w:t>
      </w:r>
      <w:r>
        <w:t xml:space="preserve">of America </w:t>
      </w:r>
      <w:r w:rsidRPr="008C5765">
        <w:t>(</w:t>
      </w:r>
      <w:proofErr w:type="spellStart"/>
      <w:r w:rsidRPr="008C5765">
        <w:t>Molla</w:t>
      </w:r>
      <w:proofErr w:type="spellEnd"/>
      <w:r w:rsidRPr="008C5765">
        <w:t xml:space="preserve"> et al 2001), the United Kingdom (Office for National Statistics 2004), Canada (Public Health Agency of Canada 2012) and Australia (Australian Institute of Health and Welfare 2014).</w:t>
      </w:r>
    </w:p>
    <w:p w:rsidR="00955690" w:rsidRPr="008C5765" w:rsidRDefault="00955690" w:rsidP="00955690"/>
    <w:p w:rsidR="00955690" w:rsidRDefault="00955690" w:rsidP="00955690">
      <w:r w:rsidRPr="008C5765">
        <w:t>The Ministry of Health has been regularly reporting on health expectancy since 2003. I</w:t>
      </w:r>
      <w:r>
        <w:t>t reports i</w:t>
      </w:r>
      <w:r w:rsidRPr="008C5765">
        <w:t xml:space="preserve">ndependent life expectancy as a </w:t>
      </w:r>
      <w:r>
        <w:t>‘</w:t>
      </w:r>
      <w:r w:rsidRPr="008C5765">
        <w:t>headline</w:t>
      </w:r>
      <w:r>
        <w:t>’</w:t>
      </w:r>
      <w:r w:rsidRPr="008C5765">
        <w:t xml:space="preserve"> health indicator in both </w:t>
      </w:r>
      <w:r>
        <w:t>its</w:t>
      </w:r>
      <w:r w:rsidRPr="00F560AC">
        <w:rPr>
          <w:i/>
        </w:rPr>
        <w:t xml:space="preserve"> Statement of Intent </w:t>
      </w:r>
      <w:r w:rsidRPr="008C5765">
        <w:t xml:space="preserve">(Ministry of Health 2003a </w:t>
      </w:r>
      <w:r>
        <w:t>and later editions</w:t>
      </w:r>
      <w:r w:rsidRPr="008C5765">
        <w:t xml:space="preserve">) and </w:t>
      </w:r>
      <w:r>
        <w:t>its</w:t>
      </w:r>
      <w:r w:rsidRPr="008C5765">
        <w:t xml:space="preserve"> </w:t>
      </w:r>
      <w:r w:rsidRPr="00F560AC">
        <w:rPr>
          <w:i/>
        </w:rPr>
        <w:t>Health and Independence Report</w:t>
      </w:r>
      <w:r w:rsidRPr="008C5765">
        <w:t xml:space="preserve"> (Ministry of Health 2003b </w:t>
      </w:r>
      <w:r>
        <w:t>and later editions</w:t>
      </w:r>
      <w:r w:rsidRPr="008C5765">
        <w:t>). Independent life expectancy also feature</w:t>
      </w:r>
      <w:r>
        <w:t>s</w:t>
      </w:r>
      <w:r w:rsidRPr="008C5765">
        <w:t xml:space="preserve"> as the </w:t>
      </w:r>
      <w:r>
        <w:t>‘</w:t>
      </w:r>
      <w:r w:rsidRPr="008C5765">
        <w:t>peak</w:t>
      </w:r>
      <w:r>
        <w:t>’</w:t>
      </w:r>
      <w:r w:rsidRPr="008C5765">
        <w:t xml:space="preserve"> health indicator in the Health chapter of </w:t>
      </w:r>
      <w:r w:rsidRPr="00F560AC">
        <w:rPr>
          <w:i/>
        </w:rPr>
        <w:t>The Social Report</w:t>
      </w:r>
      <w:r w:rsidRPr="008C5765">
        <w:t xml:space="preserve"> (Ministry of Social Development 2003 </w:t>
      </w:r>
      <w:r>
        <w:t>and later editions</w:t>
      </w:r>
      <w:r w:rsidRPr="008C5765">
        <w:t xml:space="preserve">). </w:t>
      </w:r>
      <w:r>
        <w:t>In addition:</w:t>
      </w:r>
    </w:p>
    <w:p w:rsidR="00955690" w:rsidRDefault="00955690" w:rsidP="00955690">
      <w:pPr>
        <w:pStyle w:val="Bullet"/>
      </w:pPr>
      <w:r>
        <w:t>s</w:t>
      </w:r>
      <w:r w:rsidRPr="008C5765">
        <w:t xml:space="preserve">everal research studies </w:t>
      </w:r>
      <w:r>
        <w:t>have been</w:t>
      </w:r>
      <w:r w:rsidRPr="008C5765">
        <w:t xml:space="preserve"> conducted on social variations and evolution of health expectancy in New Zealand (Davis et al 1999</w:t>
      </w:r>
      <w:r>
        <w:t>;</w:t>
      </w:r>
      <w:r w:rsidRPr="008C5765">
        <w:t xml:space="preserve"> Graham et al 2004)</w:t>
      </w:r>
    </w:p>
    <w:p w:rsidR="00955690" w:rsidRDefault="00955690" w:rsidP="00955690">
      <w:pPr>
        <w:pStyle w:val="Bullet"/>
      </w:pPr>
      <w:r>
        <w:t xml:space="preserve">the </w:t>
      </w:r>
      <w:r w:rsidRPr="008C5765">
        <w:t xml:space="preserve">Ministry of Health </w:t>
      </w:r>
      <w:r>
        <w:t>used t</w:t>
      </w:r>
      <w:r w:rsidRPr="008C5765">
        <w:t xml:space="preserve">he health expectancy construct in </w:t>
      </w:r>
      <w:r>
        <w:t>its</w:t>
      </w:r>
      <w:r w:rsidRPr="008C5765">
        <w:t xml:space="preserve"> long-term forecasting of public health expenditure </w:t>
      </w:r>
      <w:r>
        <w:t>(</w:t>
      </w:r>
      <w:r w:rsidRPr="008C5765">
        <w:t>Tobias et al 2004)</w:t>
      </w:r>
    </w:p>
    <w:p w:rsidR="00955690" w:rsidRPr="008C5765" w:rsidRDefault="00955690" w:rsidP="00955690">
      <w:pPr>
        <w:pStyle w:val="Bullet"/>
      </w:pPr>
      <w:proofErr w:type="gramStart"/>
      <w:r>
        <w:t>the</w:t>
      </w:r>
      <w:proofErr w:type="gramEnd"/>
      <w:r>
        <w:t xml:space="preserve"> </w:t>
      </w:r>
      <w:r w:rsidRPr="008C5765">
        <w:t xml:space="preserve">Ministry of Health </w:t>
      </w:r>
      <w:r>
        <w:t>(2013</w:t>
      </w:r>
      <w:r w:rsidRPr="008C5765">
        <w:t>)</w:t>
      </w:r>
      <w:r>
        <w:t xml:space="preserve"> estimated h</w:t>
      </w:r>
      <w:r w:rsidRPr="008C5765">
        <w:t xml:space="preserve">ealth expectancy in the </w:t>
      </w:r>
      <w:r>
        <w:t>NZBD</w:t>
      </w:r>
      <w:r w:rsidRPr="008C5765">
        <w:t xml:space="preserve"> </w:t>
      </w:r>
      <w:r>
        <w:t>based on the health-adjusted life expectancy measures</w:t>
      </w:r>
      <w:r w:rsidRPr="008C5765" w:rsidDel="00E27B97">
        <w:t xml:space="preserve"> </w:t>
      </w:r>
      <w:r>
        <w:t>to estimate health loss.</w:t>
      </w:r>
    </w:p>
    <w:p w:rsidR="00955690" w:rsidRDefault="00955690" w:rsidP="00955690"/>
    <w:p w:rsidR="00955690" w:rsidRDefault="00955690" w:rsidP="00955690">
      <w:pPr>
        <w:pStyle w:val="Heading2"/>
      </w:pPr>
      <w:bookmarkStart w:id="17" w:name="_Toc423840671"/>
      <w:bookmarkStart w:id="18" w:name="_Toc424645280"/>
      <w:bookmarkStart w:id="19" w:name="_Toc424834167"/>
      <w:r>
        <w:t>Overview of this report</w:t>
      </w:r>
      <w:bookmarkEnd w:id="17"/>
      <w:bookmarkEnd w:id="18"/>
      <w:bookmarkEnd w:id="19"/>
    </w:p>
    <w:p w:rsidR="00955690" w:rsidRDefault="00955690" w:rsidP="00955690">
      <w:r>
        <w:t>The next section summarises the sources and methods for the data presented in this report (with more detail available in the Appendix). The following sections then set out recent data on independent life expectancy in 2013 and longer-term trends in this indicator from 1996 to 2013. The final sections analyse the performance of ILE as an indicator and draw overall conclusions from the findings in this report.</w:t>
      </w:r>
    </w:p>
    <w:p w:rsidR="00955690" w:rsidRPr="005E3821" w:rsidRDefault="00955690" w:rsidP="00955690"/>
    <w:p w:rsidR="00955690" w:rsidRDefault="00955690" w:rsidP="00955690">
      <w:bookmarkStart w:id="20" w:name="_Toc423840672"/>
      <w:bookmarkStart w:id="21" w:name="_Toc424645281"/>
      <w:r>
        <w:br w:type="page"/>
      </w:r>
    </w:p>
    <w:p w:rsidR="00955690" w:rsidRPr="00955690" w:rsidRDefault="00955690" w:rsidP="00955690">
      <w:pPr>
        <w:pStyle w:val="Heading1"/>
      </w:pPr>
      <w:bookmarkStart w:id="22" w:name="_Toc424834168"/>
      <w:r>
        <w:t>How independent life expectancy has been estimated</w:t>
      </w:r>
      <w:bookmarkEnd w:id="20"/>
      <w:bookmarkEnd w:id="21"/>
      <w:bookmarkEnd w:id="22"/>
    </w:p>
    <w:p w:rsidR="00955690" w:rsidRPr="008C5765" w:rsidRDefault="00955690" w:rsidP="00955690">
      <w:r w:rsidRPr="008C5765">
        <w:t xml:space="preserve">The first health expectancy tables in New Zealand were constructed using disability prevalence rates from the 1996 Household Disability Survey and its companion Disability Survey of Residential Facilities (Tobias </w:t>
      </w:r>
      <w:r>
        <w:t>and Cheung</w:t>
      </w:r>
      <w:r w:rsidRPr="008C5765">
        <w:t xml:space="preserve"> 1999). The</w:t>
      </w:r>
      <w:r>
        <w:t>se</w:t>
      </w:r>
      <w:r w:rsidRPr="008C5765">
        <w:t xml:space="preserve"> prevalence rates were based on a functional limitation concept of disability and corresponded closely with the</w:t>
      </w:r>
      <w:r>
        <w:t xml:space="preserve"> ICF’s</w:t>
      </w:r>
      <w:r w:rsidRPr="008C5765">
        <w:t xml:space="preserve"> core health and health-related domains. The survey was repeated after the 2001, 2006 and 2013 Censuses of Population and Dwellings. In each case</w:t>
      </w:r>
      <w:r>
        <w:t xml:space="preserve">, the survey was designed (with specific attention to </w:t>
      </w:r>
      <w:r w:rsidRPr="008C5765">
        <w:t>drift and fielding of household and institutional components</w:t>
      </w:r>
      <w:r>
        <w:t>) so that</w:t>
      </w:r>
      <w:r w:rsidRPr="008C5765">
        <w:t xml:space="preserve"> trends in health expectancy and differences between population subgroups and regions </w:t>
      </w:r>
      <w:r>
        <w:t xml:space="preserve">could be estimated </w:t>
      </w:r>
      <w:r w:rsidRPr="008C5765">
        <w:t>(Ministry of Health and Statistics N</w:t>
      </w:r>
      <w:r>
        <w:t>Z 2008).</w:t>
      </w:r>
    </w:p>
    <w:p w:rsidR="00955690" w:rsidRDefault="00955690" w:rsidP="00955690"/>
    <w:p w:rsidR="00955690" w:rsidRPr="008C5765" w:rsidRDefault="00955690" w:rsidP="00955690">
      <w:pPr>
        <w:pStyle w:val="Heading2"/>
      </w:pPr>
      <w:bookmarkStart w:id="23" w:name="_Toc424834169"/>
      <w:r>
        <w:t>Sources of data for this report</w:t>
      </w:r>
      <w:bookmarkEnd w:id="23"/>
    </w:p>
    <w:p w:rsidR="00955690" w:rsidRDefault="00955690" w:rsidP="00955690">
      <w:r>
        <w:t>All d</w:t>
      </w:r>
      <w:r w:rsidRPr="008C5765">
        <w:t xml:space="preserve">ata for this report </w:t>
      </w:r>
      <w:r>
        <w:t>were supplied by Statistics NZ</w:t>
      </w:r>
      <w:r w:rsidRPr="008C5765">
        <w:t>.</w:t>
      </w:r>
    </w:p>
    <w:p w:rsidR="00955690" w:rsidRDefault="00955690" w:rsidP="00955690"/>
    <w:p w:rsidR="00955690" w:rsidRDefault="00955690" w:rsidP="00955690">
      <w:r w:rsidRPr="008C5765">
        <w:t>Post-</w:t>
      </w:r>
      <w:proofErr w:type="spellStart"/>
      <w:r w:rsidRPr="008C5765">
        <w:t>censal</w:t>
      </w:r>
      <w:proofErr w:type="spellEnd"/>
      <w:r w:rsidRPr="008C5765">
        <w:t xml:space="preserve"> disability surveys </w:t>
      </w:r>
      <w:r>
        <w:t xml:space="preserve">(1996, </w:t>
      </w:r>
      <w:r w:rsidRPr="008C5765">
        <w:t>2001, 2006 and 2013</w:t>
      </w:r>
      <w:r>
        <w:t>, as noted above) provided data on:</w:t>
      </w:r>
    </w:p>
    <w:p w:rsidR="00955690" w:rsidRDefault="00955690" w:rsidP="00955690">
      <w:pPr>
        <w:pStyle w:val="Bullet"/>
      </w:pPr>
      <w:r>
        <w:t>d</w:t>
      </w:r>
      <w:r w:rsidRPr="00400CC1">
        <w:t>isability rates</w:t>
      </w:r>
      <w:r>
        <w:t xml:space="preserve"> –</w:t>
      </w:r>
      <w:r w:rsidRPr="00400CC1">
        <w:t xml:space="preserve"> </w:t>
      </w:r>
      <w:r>
        <w:t>more precisely described in the context of this report as</w:t>
      </w:r>
      <w:r w:rsidRPr="00400CC1">
        <w:t xml:space="preserve"> functional limitation rates by </w:t>
      </w:r>
      <w:r>
        <w:t xml:space="preserve">level of </w:t>
      </w:r>
      <w:r w:rsidRPr="00400CC1">
        <w:t xml:space="preserve">support </w:t>
      </w:r>
      <w:r>
        <w:t>needed</w:t>
      </w:r>
    </w:p>
    <w:p w:rsidR="00955690" w:rsidRDefault="00955690" w:rsidP="00955690">
      <w:pPr>
        <w:pStyle w:val="Bullet"/>
      </w:pPr>
      <w:proofErr w:type="gramStart"/>
      <w:r>
        <w:t>the</w:t>
      </w:r>
      <w:proofErr w:type="gramEnd"/>
      <w:r>
        <w:t xml:space="preserve"> number of respondents, which were needed to</w:t>
      </w:r>
      <w:r w:rsidRPr="008C5765">
        <w:t xml:space="preserve"> calculat</w:t>
      </w:r>
      <w:r>
        <w:t>e the</w:t>
      </w:r>
      <w:r w:rsidRPr="008C5765">
        <w:t xml:space="preserve"> standard error of ILE.</w:t>
      </w:r>
    </w:p>
    <w:p w:rsidR="00955690" w:rsidRDefault="00955690" w:rsidP="00955690"/>
    <w:p w:rsidR="00955690" w:rsidRPr="008C5765" w:rsidRDefault="00955690" w:rsidP="00955690">
      <w:r w:rsidRPr="008C5765">
        <w:t xml:space="preserve">Abridged life tables for the total, Māori and non-Māori populations by sex </w:t>
      </w:r>
      <w:r>
        <w:t>came</w:t>
      </w:r>
      <w:r w:rsidRPr="008C5765">
        <w:t xml:space="preserve"> from the complete period life tables 1995</w:t>
      </w:r>
      <w:r>
        <w:t>–19</w:t>
      </w:r>
      <w:r w:rsidRPr="008C5765">
        <w:t>97, 2000</w:t>
      </w:r>
      <w:r>
        <w:t>–20</w:t>
      </w:r>
      <w:r w:rsidRPr="008C5765">
        <w:t>02, 2005</w:t>
      </w:r>
      <w:r>
        <w:t>–20</w:t>
      </w:r>
      <w:r w:rsidRPr="008C5765">
        <w:t>07 and 2012</w:t>
      </w:r>
      <w:r>
        <w:t>–20</w:t>
      </w:r>
      <w:r w:rsidRPr="008C5765">
        <w:t>14 (Statistics N</w:t>
      </w:r>
      <w:r>
        <w:t>Z</w:t>
      </w:r>
      <w:r w:rsidRPr="008C5765">
        <w:t xml:space="preserve"> 2015b).</w:t>
      </w:r>
    </w:p>
    <w:p w:rsidR="00955690" w:rsidRDefault="00955690" w:rsidP="00955690"/>
    <w:p w:rsidR="00955690" w:rsidRPr="008C5765" w:rsidRDefault="00955690" w:rsidP="00955690">
      <w:pPr>
        <w:pStyle w:val="Heading2"/>
      </w:pPr>
      <w:bookmarkStart w:id="24" w:name="_Toc424834170"/>
      <w:r>
        <w:t>Methods of estimating ILE</w:t>
      </w:r>
      <w:bookmarkEnd w:id="24"/>
    </w:p>
    <w:p w:rsidR="00955690" w:rsidRPr="008C5765" w:rsidRDefault="00955690" w:rsidP="00955690">
      <w:r w:rsidRPr="008C5765">
        <w:t xml:space="preserve">The ILE prevalence estimates by 10-year age group were smoothed using kernel smoothing (Wand and Jones 1994) to </w:t>
      </w:r>
      <w:r>
        <w:t>produce</w:t>
      </w:r>
      <w:r w:rsidRPr="008C5765">
        <w:t xml:space="preserve"> estimates by five-year age group. The smoothing was conducted using statistical software Stata version 12.1. ILE and the other health state expectanc</w:t>
      </w:r>
      <w:r>
        <w:t>y measures</w:t>
      </w:r>
      <w:r w:rsidRPr="008C5765">
        <w:t xml:space="preserve"> were calculated by the Sullivan observed prevalence method (Sullivan 1971). T</w:t>
      </w:r>
      <w:r>
        <w:t>he t</w:t>
      </w:r>
      <w:r w:rsidRPr="008C5765">
        <w:t xml:space="preserve">wo main inputs were age-specific mortality obtained from Statistics NZ’s abridged life tables and smoothed disability prevalence rates by support need level and five-year age group. ILE and its standard error </w:t>
      </w:r>
      <w:r>
        <w:t>were calculated using</w:t>
      </w:r>
      <w:r w:rsidRPr="008C5765">
        <w:t xml:space="preserve"> the formulae embedded in the spreadsheet. </w:t>
      </w:r>
      <w:r>
        <w:t>(For a full explanation of</w:t>
      </w:r>
      <w:r w:rsidRPr="008C5765">
        <w:t xml:space="preserve"> these formulae</w:t>
      </w:r>
      <w:r>
        <w:t>, see</w:t>
      </w:r>
      <w:r w:rsidRPr="008C5765">
        <w:t xml:space="preserve"> Jagger et al 2006</w:t>
      </w:r>
      <w:r>
        <w:t>.</w:t>
      </w:r>
      <w:r w:rsidRPr="008C5765">
        <w:t>)</w:t>
      </w:r>
    </w:p>
    <w:p w:rsidR="00955690" w:rsidRPr="008C5765" w:rsidRDefault="00955690" w:rsidP="00955690"/>
    <w:p w:rsidR="00955690" w:rsidRDefault="00955690" w:rsidP="00955690">
      <w:r>
        <w:t>See the Appendix for a more detailed description of t</w:t>
      </w:r>
      <w:r w:rsidRPr="008C5765">
        <w:t>he methods used to estimate ILE.</w:t>
      </w:r>
    </w:p>
    <w:p w:rsidR="00955690" w:rsidRDefault="00955690" w:rsidP="00955690"/>
    <w:p w:rsidR="00955690" w:rsidRDefault="00955690" w:rsidP="00955690">
      <w:pPr>
        <w:pStyle w:val="Heading2"/>
      </w:pPr>
      <w:bookmarkStart w:id="25" w:name="_Toc424834171"/>
      <w:r>
        <w:t>Analysis by gender and ethnicity</w:t>
      </w:r>
      <w:bookmarkEnd w:id="25"/>
    </w:p>
    <w:p w:rsidR="00955690" w:rsidRDefault="00955690" w:rsidP="00955690">
      <w:pPr>
        <w:keepLines/>
      </w:pPr>
      <w:r>
        <w:t>Separate estimates have been calculated for New Zealand males and females overall, Māori males and females and non-Māori males and females. In this report, ‘non-Māori’ refers to those respondents</w:t>
      </w:r>
      <w:r w:rsidRPr="008C5765">
        <w:t xml:space="preserve"> who identified with an ethnic group</w:t>
      </w:r>
      <w:r>
        <w:t xml:space="preserve"> other than</w:t>
      </w:r>
      <w:r w:rsidRPr="008C5765">
        <w:t xml:space="preserve"> Māori</w:t>
      </w:r>
      <w:r>
        <w:t>. European/</w:t>
      </w:r>
      <w:proofErr w:type="spellStart"/>
      <w:r>
        <w:t>Pākehā</w:t>
      </w:r>
      <w:proofErr w:type="spellEnd"/>
      <w:r>
        <w:t xml:space="preserve"> </w:t>
      </w:r>
      <w:proofErr w:type="gramStart"/>
      <w:r>
        <w:t>are</w:t>
      </w:r>
      <w:proofErr w:type="gramEnd"/>
      <w:r>
        <w:t xml:space="preserve"> included in the non-</w:t>
      </w:r>
      <w:r w:rsidRPr="008C5765">
        <w:t>Māori</w:t>
      </w:r>
      <w:r>
        <w:t xml:space="preserve"> category. This category also includes Asian and Pacific peoples, for whom separate estimates could not be calculated accurately because the number of respondents was too small.</w:t>
      </w:r>
    </w:p>
    <w:p w:rsidR="00955690" w:rsidRPr="002B2AF3" w:rsidRDefault="00955690" w:rsidP="00955690"/>
    <w:p w:rsidR="00955690" w:rsidRDefault="00955690" w:rsidP="00955690">
      <w:bookmarkStart w:id="26" w:name="_Toc423840673"/>
      <w:bookmarkStart w:id="27" w:name="_Toc424645282"/>
      <w:r>
        <w:br w:type="page"/>
      </w:r>
    </w:p>
    <w:p w:rsidR="00955690" w:rsidRDefault="00955690" w:rsidP="00955690">
      <w:pPr>
        <w:pStyle w:val="Heading1"/>
      </w:pPr>
      <w:bookmarkStart w:id="28" w:name="_Toc424834172"/>
      <w:r w:rsidRPr="005E3821">
        <w:t>Independent life expectancy at birth in 2013</w:t>
      </w:r>
      <w:bookmarkEnd w:id="26"/>
      <w:bookmarkEnd w:id="27"/>
      <w:bookmarkEnd w:id="28"/>
    </w:p>
    <w:p w:rsidR="00955690" w:rsidRDefault="00955690" w:rsidP="00955690">
      <w:r>
        <w:t>This section presents estimates of independent life expectancy for New Zealanders born in 2013. Estimates are presented separately by gender and ethnicity (Māori and non-Māori)</w:t>
      </w:r>
      <w:r w:rsidRPr="00536688">
        <w:t xml:space="preserve"> </w:t>
      </w:r>
      <w:r>
        <w:t>before an overall analysis of the findings and limits to data reliability are discussed.</w:t>
      </w:r>
    </w:p>
    <w:p w:rsidR="00955690" w:rsidRPr="006B6695" w:rsidRDefault="00955690" w:rsidP="00955690"/>
    <w:p w:rsidR="00955690" w:rsidRDefault="00955690" w:rsidP="00955690">
      <w:pPr>
        <w:pStyle w:val="Heading2"/>
      </w:pPr>
      <w:bookmarkStart w:id="29" w:name="_Toc423840674"/>
      <w:bookmarkStart w:id="30" w:name="_Toc424645283"/>
      <w:bookmarkStart w:id="31" w:name="_Toc424834173"/>
      <w:r>
        <w:t>ILE by gender</w:t>
      </w:r>
      <w:bookmarkEnd w:id="29"/>
      <w:bookmarkEnd w:id="30"/>
      <w:bookmarkEnd w:id="31"/>
    </w:p>
    <w:p w:rsidR="00955690" w:rsidRPr="008C5765" w:rsidRDefault="00955690" w:rsidP="00955690">
      <w:r w:rsidRPr="008C5765">
        <w:t xml:space="preserve">The New Zealand life expectancy at birth for </w:t>
      </w:r>
      <w:r>
        <w:t>babies born between</w:t>
      </w:r>
      <w:r w:rsidRPr="008C5765">
        <w:t xml:space="preserve"> 2012</w:t>
      </w:r>
      <w:r>
        <w:t xml:space="preserve"> and 20</w:t>
      </w:r>
      <w:r w:rsidRPr="008C5765">
        <w:t>14 was 79.5 years for males and 83.2 years for females, which is a difference of 3.7 years.</w:t>
      </w:r>
    </w:p>
    <w:p w:rsidR="00955690" w:rsidRPr="008C5765" w:rsidRDefault="00955690" w:rsidP="00955690"/>
    <w:p w:rsidR="00955690" w:rsidRDefault="00955690" w:rsidP="00955690">
      <w:r>
        <w:t>A</w:t>
      </w:r>
      <w:r w:rsidRPr="008C5765">
        <w:t>pplying the</w:t>
      </w:r>
      <w:r>
        <w:t xml:space="preserve"> </w:t>
      </w:r>
      <w:r w:rsidRPr="008C5765">
        <w:t>2013 Disability Survey results to 2012</w:t>
      </w:r>
      <w:r>
        <w:t>–20</w:t>
      </w:r>
      <w:r w:rsidRPr="008C5765">
        <w:t xml:space="preserve">14 period life tables, </w:t>
      </w:r>
      <w:r>
        <w:t xml:space="preserve">a </w:t>
      </w:r>
      <w:r w:rsidRPr="008C5765">
        <w:t xml:space="preserve">male </w:t>
      </w:r>
      <w:r>
        <w:t xml:space="preserve">New Zealander </w:t>
      </w:r>
      <w:r w:rsidRPr="008C5765">
        <w:t xml:space="preserve">born in 2013 </w:t>
      </w:r>
      <w:r>
        <w:t xml:space="preserve">can expect to </w:t>
      </w:r>
      <w:r w:rsidRPr="008C5765">
        <w:t>live</w:t>
      </w:r>
      <w:r>
        <w:t xml:space="preserve"> for:</w:t>
      </w:r>
    </w:p>
    <w:p w:rsidR="00955690" w:rsidRDefault="00955690" w:rsidP="00955690">
      <w:pPr>
        <w:pStyle w:val="Bullet"/>
      </w:pPr>
      <w:r w:rsidRPr="008C5765">
        <w:t xml:space="preserve">an average of 65.2 years independently, which is 82.0% of </w:t>
      </w:r>
      <w:r>
        <w:t>his life</w:t>
      </w:r>
    </w:p>
    <w:p w:rsidR="00955690" w:rsidRDefault="00955690" w:rsidP="00955690">
      <w:pPr>
        <w:pStyle w:val="Bullet"/>
      </w:pPr>
      <w:proofErr w:type="gramStart"/>
      <w:r w:rsidRPr="008C5765">
        <w:t>another</w:t>
      </w:r>
      <w:proofErr w:type="gramEnd"/>
      <w:r w:rsidRPr="008C5765">
        <w:t xml:space="preserve"> 14.3 years with some level of disability requiring </w:t>
      </w:r>
      <w:r>
        <w:t>support</w:t>
      </w:r>
      <w:r w:rsidRPr="008C5765">
        <w:t xml:space="preserve"> (life expectancy with dependency </w:t>
      </w:r>
      <w:r>
        <w:t xml:space="preserve">or </w:t>
      </w:r>
      <w:r w:rsidRPr="008C5765">
        <w:t>LED)</w:t>
      </w:r>
      <w:r>
        <w:t>. For</w:t>
      </w:r>
      <w:r w:rsidRPr="008C5765">
        <w:t xml:space="preserve"> 10.2 years </w:t>
      </w:r>
      <w:r>
        <w:t>of this time, he will need</w:t>
      </w:r>
      <w:r w:rsidRPr="008C5765">
        <w:t xml:space="preserve"> </w:t>
      </w:r>
      <w:r>
        <w:t xml:space="preserve">some </w:t>
      </w:r>
      <w:r w:rsidRPr="008C5765">
        <w:t>assistance</w:t>
      </w:r>
      <w:r>
        <w:t xml:space="preserve"> but not every day</w:t>
      </w:r>
      <w:r w:rsidRPr="008C5765">
        <w:t xml:space="preserve"> and </w:t>
      </w:r>
      <w:r>
        <w:t xml:space="preserve">for the other </w:t>
      </w:r>
      <w:r w:rsidRPr="008C5765">
        <w:t xml:space="preserve">4.1 years </w:t>
      </w:r>
      <w:r>
        <w:t xml:space="preserve">he will need </w:t>
      </w:r>
      <w:r w:rsidRPr="008C5765">
        <w:t>daily assistance</w:t>
      </w:r>
      <w:r>
        <w:t xml:space="preserve"> due to his </w:t>
      </w:r>
      <w:r w:rsidRPr="008C5765">
        <w:t>functional limitations.</w:t>
      </w:r>
    </w:p>
    <w:p w:rsidR="00955690" w:rsidRDefault="00955690" w:rsidP="00955690"/>
    <w:p w:rsidR="00955690" w:rsidRDefault="00955690" w:rsidP="00955690">
      <w:r>
        <w:t>Also b</w:t>
      </w:r>
      <w:r w:rsidRPr="008C5765">
        <w:t>ased on the</w:t>
      </w:r>
      <w:r>
        <w:t xml:space="preserve"> </w:t>
      </w:r>
      <w:r w:rsidRPr="008C5765">
        <w:t xml:space="preserve">2013 Disability Survey results </w:t>
      </w:r>
      <w:r>
        <w:t>and</w:t>
      </w:r>
      <w:r w:rsidRPr="008C5765">
        <w:t xml:space="preserve"> 2012</w:t>
      </w:r>
      <w:r>
        <w:t>–20</w:t>
      </w:r>
      <w:r w:rsidRPr="008C5765">
        <w:t xml:space="preserve">14 period life tables, </w:t>
      </w:r>
      <w:r>
        <w:t xml:space="preserve">a </w:t>
      </w:r>
      <w:r w:rsidRPr="008C5765">
        <w:t>female</w:t>
      </w:r>
      <w:r>
        <w:t xml:space="preserve"> New Zealander</w:t>
      </w:r>
      <w:r w:rsidRPr="008C5765">
        <w:t xml:space="preserve"> born in 2013 </w:t>
      </w:r>
      <w:r>
        <w:t>can</w:t>
      </w:r>
      <w:r w:rsidRPr="008C5765">
        <w:t xml:space="preserve"> expect to live </w:t>
      </w:r>
      <w:r>
        <w:t>for:</w:t>
      </w:r>
    </w:p>
    <w:p w:rsidR="00955690" w:rsidRDefault="00955690" w:rsidP="00955690">
      <w:pPr>
        <w:pStyle w:val="Bullet"/>
      </w:pPr>
      <w:r>
        <w:t>an</w:t>
      </w:r>
      <w:r w:rsidRPr="008C5765">
        <w:t xml:space="preserve"> average </w:t>
      </w:r>
      <w:r>
        <w:t xml:space="preserve">of </w:t>
      </w:r>
      <w:r w:rsidRPr="008C5765">
        <w:t xml:space="preserve">66.5 years independently, which is 79.9% of </w:t>
      </w:r>
      <w:r>
        <w:t>her life</w:t>
      </w:r>
    </w:p>
    <w:p w:rsidR="00955690" w:rsidRDefault="00955690" w:rsidP="00955690">
      <w:pPr>
        <w:pStyle w:val="Bullet"/>
      </w:pPr>
      <w:proofErr w:type="gramStart"/>
      <w:r w:rsidRPr="008C5765">
        <w:t>another</w:t>
      </w:r>
      <w:proofErr w:type="gramEnd"/>
      <w:r w:rsidRPr="008C5765">
        <w:t xml:space="preserve"> 16.7 years </w:t>
      </w:r>
      <w:r>
        <w:t>with functional limitations that require</w:t>
      </w:r>
      <w:r w:rsidRPr="008C5765">
        <w:t xml:space="preserve"> </w:t>
      </w:r>
      <w:r>
        <w:t>support. During this time, she will need</w:t>
      </w:r>
      <w:r w:rsidRPr="008C5765">
        <w:t xml:space="preserve"> non-daily </w:t>
      </w:r>
      <w:r>
        <w:t xml:space="preserve">assistance for </w:t>
      </w:r>
      <w:r w:rsidRPr="008C5765">
        <w:t xml:space="preserve">10.7 years and daily </w:t>
      </w:r>
      <w:r>
        <w:t>assistance for 6.0 years.</w:t>
      </w:r>
    </w:p>
    <w:p w:rsidR="00955690" w:rsidRDefault="00955690" w:rsidP="00955690"/>
    <w:p w:rsidR="00955690" w:rsidRPr="008C5765" w:rsidRDefault="00955690" w:rsidP="00955690">
      <w:r>
        <w:t>A</w:t>
      </w:r>
      <w:r w:rsidRPr="008C5765">
        <w:t>t birth</w:t>
      </w:r>
      <w:r>
        <w:t>, therefore, females can expect to live</w:t>
      </w:r>
      <w:r w:rsidRPr="008C5765">
        <w:t xml:space="preserve"> independently </w:t>
      </w:r>
      <w:r>
        <w:t xml:space="preserve">for </w:t>
      </w:r>
      <w:r w:rsidRPr="008C5765">
        <w:t xml:space="preserve">1.3 years longer </w:t>
      </w:r>
      <w:r>
        <w:t xml:space="preserve">than </w:t>
      </w:r>
      <w:r w:rsidRPr="008C5765">
        <w:t xml:space="preserve">males. </w:t>
      </w:r>
      <w:r>
        <w:t>They can</w:t>
      </w:r>
      <w:r w:rsidRPr="008C5765">
        <w:t xml:space="preserve"> also expect to live</w:t>
      </w:r>
      <w:r>
        <w:t xml:space="preserve"> 2.4 years</w:t>
      </w:r>
      <w:r w:rsidRPr="008C5765">
        <w:t xml:space="preserve"> longer with disability requiring assistance than males (Figure</w:t>
      </w:r>
      <w:r>
        <w:t> </w:t>
      </w:r>
      <w:r w:rsidRPr="008C5765">
        <w:t>2).</w:t>
      </w:r>
    </w:p>
    <w:p w:rsidR="00955690" w:rsidRDefault="00955690" w:rsidP="00955690"/>
    <w:p w:rsidR="00955690" w:rsidRDefault="00955690" w:rsidP="00955690">
      <w:pPr>
        <w:pStyle w:val="Figure"/>
      </w:pPr>
      <w:bookmarkStart w:id="32" w:name="_Toc424755744"/>
      <w:r>
        <w:t>Figure 2: Independent life expectancy at birth, New Zealand males and females, 2013</w:t>
      </w:r>
      <w:bookmarkEnd w:id="32"/>
    </w:p>
    <w:p w:rsidR="00955690" w:rsidRDefault="00C475F3" w:rsidP="00955690">
      <w:r>
        <w:rPr>
          <w:noProof/>
          <w:lang w:eastAsia="en-NZ"/>
        </w:rPr>
        <w:drawing>
          <wp:inline distT="0" distB="0" distL="0" distR="0" wp14:anchorId="1671F0EE">
            <wp:extent cx="4917982" cy="3000894"/>
            <wp:effectExtent l="0" t="0" r="0" b="0"/>
            <wp:docPr id="4" name="Picture 4" title="Figure 2: Independent life expectancy at birth, New Zealand males 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19397" cy="3001757"/>
                    </a:xfrm>
                    <a:prstGeom prst="rect">
                      <a:avLst/>
                    </a:prstGeom>
                    <a:noFill/>
                  </pic:spPr>
                </pic:pic>
              </a:graphicData>
            </a:graphic>
          </wp:inline>
        </w:drawing>
      </w:r>
    </w:p>
    <w:p w:rsidR="00690EB3" w:rsidRPr="008C5765" w:rsidRDefault="00690EB3" w:rsidP="00690EB3">
      <w:pPr>
        <w:pStyle w:val="Note"/>
      </w:pPr>
      <w:r w:rsidRPr="008C5765">
        <w:t>Note: ILE = independent life expectancy, LED = life expectancy with dependency</w:t>
      </w:r>
      <w:r>
        <w:t>.</w:t>
      </w:r>
    </w:p>
    <w:p w:rsidR="00955690" w:rsidRDefault="00955690" w:rsidP="009D1572"/>
    <w:p w:rsidR="009D1572" w:rsidRDefault="009D1572" w:rsidP="009D1572">
      <w:r w:rsidRPr="008C5765">
        <w:t>The</w:t>
      </w:r>
      <w:r w:rsidRPr="006E5DBD">
        <w:t xml:space="preserve"> </w:t>
      </w:r>
      <w:r w:rsidRPr="008C5765">
        <w:t xml:space="preserve">literature </w:t>
      </w:r>
      <w:r>
        <w:t xml:space="preserve">does </w:t>
      </w:r>
      <w:r w:rsidRPr="008C5765">
        <w:t xml:space="preserve">not </w:t>
      </w:r>
      <w:r>
        <w:t xml:space="preserve">offer </w:t>
      </w:r>
      <w:r w:rsidRPr="008C5765">
        <w:t xml:space="preserve">sufficient evidence to determine whether biological, social or behavioural factors </w:t>
      </w:r>
      <w:r>
        <w:t>explain why males have a higher</w:t>
      </w:r>
      <w:r w:rsidRPr="008C5765">
        <w:t xml:space="preserve"> proportion of years free of dependency </w:t>
      </w:r>
      <w:r>
        <w:t xml:space="preserve">than females </w:t>
      </w:r>
      <w:r w:rsidRPr="008C5765">
        <w:t>(</w:t>
      </w:r>
      <w:proofErr w:type="spellStart"/>
      <w:r w:rsidRPr="008C5765">
        <w:t>Oksuzyan</w:t>
      </w:r>
      <w:proofErr w:type="spellEnd"/>
      <w:r w:rsidRPr="008C5765">
        <w:t xml:space="preserve"> et al 2010). It is possible that m</w:t>
      </w:r>
      <w:r>
        <w:t>ales are more active</w:t>
      </w:r>
      <w:r w:rsidRPr="008C5765">
        <w:t xml:space="preserve"> and </w:t>
      </w:r>
      <w:r>
        <w:t xml:space="preserve">are </w:t>
      </w:r>
      <w:r w:rsidRPr="008C5765">
        <w:t>less likel</w:t>
      </w:r>
      <w:r>
        <w:t>y</w:t>
      </w:r>
      <w:r w:rsidRPr="008C5765">
        <w:t xml:space="preserve"> to report </w:t>
      </w:r>
      <w:r>
        <w:t xml:space="preserve">functional </w:t>
      </w:r>
      <w:r w:rsidRPr="008C5765">
        <w:t xml:space="preserve">limitations. Males </w:t>
      </w:r>
      <w:r>
        <w:t xml:space="preserve">are </w:t>
      </w:r>
      <w:r w:rsidRPr="008C5765">
        <w:t xml:space="preserve">also </w:t>
      </w:r>
      <w:r>
        <w:t xml:space="preserve">more likely to </w:t>
      </w:r>
      <w:r w:rsidRPr="008C5765">
        <w:t>engage in risky behaviours that shorten their</w:t>
      </w:r>
      <w:r>
        <w:t xml:space="preserve"> life (</w:t>
      </w:r>
      <w:proofErr w:type="spellStart"/>
      <w:r>
        <w:t>Robine</w:t>
      </w:r>
      <w:proofErr w:type="spellEnd"/>
      <w:r>
        <w:t xml:space="preserve"> and Jagger 2005).</w:t>
      </w:r>
    </w:p>
    <w:p w:rsidR="009D1572" w:rsidRPr="008C5765" w:rsidRDefault="009D1572" w:rsidP="009D1572"/>
    <w:p w:rsidR="009D1572" w:rsidRPr="008C5765" w:rsidRDefault="009D1572" w:rsidP="009D1572">
      <w:pPr>
        <w:pStyle w:val="Heading2"/>
      </w:pPr>
      <w:bookmarkStart w:id="33" w:name="_Toc423840675"/>
      <w:bookmarkStart w:id="34" w:name="_Toc424645284"/>
      <w:bookmarkStart w:id="35" w:name="_Toc424834174"/>
      <w:r>
        <w:t>ILE by ethnicity</w:t>
      </w:r>
      <w:bookmarkEnd w:id="33"/>
      <w:bookmarkEnd w:id="34"/>
      <w:bookmarkEnd w:id="35"/>
    </w:p>
    <w:p w:rsidR="009D1572" w:rsidRPr="008C5765" w:rsidRDefault="009D1572" w:rsidP="009D1572">
      <w:r w:rsidRPr="008C5765">
        <w:t xml:space="preserve">Māori </w:t>
      </w:r>
      <w:r>
        <w:t xml:space="preserve">born between 2012 and 2014 </w:t>
      </w:r>
      <w:r w:rsidRPr="008C5765">
        <w:t xml:space="preserve">had </w:t>
      </w:r>
      <w:r>
        <w:t xml:space="preserve">a </w:t>
      </w:r>
      <w:r w:rsidRPr="008C5765">
        <w:t xml:space="preserve">shorter life expectancy at birth than non-Māori. </w:t>
      </w:r>
      <w:r>
        <w:t xml:space="preserve">Life expectancy for </w:t>
      </w:r>
      <w:r w:rsidRPr="008C5765">
        <w:t>Māori males</w:t>
      </w:r>
      <w:r>
        <w:t xml:space="preserve"> was</w:t>
      </w:r>
      <w:r w:rsidRPr="008C5765">
        <w:t xml:space="preserve"> 73.0 years</w:t>
      </w:r>
      <w:r>
        <w:t xml:space="preserve">, compared with 79.5 years for New Zealand males overall. For </w:t>
      </w:r>
      <w:r w:rsidRPr="008C5765">
        <w:t xml:space="preserve">Māori females </w:t>
      </w:r>
      <w:r>
        <w:t xml:space="preserve">it was </w:t>
      </w:r>
      <w:r w:rsidRPr="008C5765">
        <w:t>77.1 years</w:t>
      </w:r>
      <w:r>
        <w:t>, compared with 83.2 years for New Zealand females overall</w:t>
      </w:r>
      <w:r w:rsidRPr="008C5765">
        <w:t>.</w:t>
      </w:r>
    </w:p>
    <w:p w:rsidR="009D1572" w:rsidRPr="008C5765" w:rsidRDefault="009D1572" w:rsidP="009D1572"/>
    <w:p w:rsidR="009D1572" w:rsidRDefault="009D1572" w:rsidP="009D1572">
      <w:r w:rsidRPr="008C5765">
        <w:t>Based on</w:t>
      </w:r>
      <w:r>
        <w:t xml:space="preserve"> </w:t>
      </w:r>
      <w:r w:rsidRPr="008C5765">
        <w:t>the</w:t>
      </w:r>
      <w:r>
        <w:t xml:space="preserve"> </w:t>
      </w:r>
      <w:r w:rsidRPr="008C5765">
        <w:t xml:space="preserve">2013 Disability Survey results </w:t>
      </w:r>
      <w:r>
        <w:t>and</w:t>
      </w:r>
      <w:r w:rsidRPr="008C5765">
        <w:t xml:space="preserve"> 2012</w:t>
      </w:r>
      <w:r>
        <w:t>–20</w:t>
      </w:r>
      <w:r w:rsidRPr="008C5765">
        <w:t>14 period life tables,</w:t>
      </w:r>
      <w:r>
        <w:t xml:space="preserve"> a </w:t>
      </w:r>
      <w:r w:rsidRPr="008C5765">
        <w:t xml:space="preserve">Māori male born in 2013 </w:t>
      </w:r>
      <w:r>
        <w:t xml:space="preserve">can </w:t>
      </w:r>
      <w:r w:rsidRPr="008C5765">
        <w:t xml:space="preserve">expect to live </w:t>
      </w:r>
      <w:r>
        <w:t>for:</w:t>
      </w:r>
    </w:p>
    <w:p w:rsidR="009D1572" w:rsidRDefault="009D1572" w:rsidP="009D1572">
      <w:pPr>
        <w:pStyle w:val="Bullet"/>
      </w:pPr>
      <w:r w:rsidRPr="008C5765">
        <w:t xml:space="preserve">an average of 54.3 years </w:t>
      </w:r>
      <w:r>
        <w:t>independently</w:t>
      </w:r>
      <w:r w:rsidRPr="008C5765">
        <w:t xml:space="preserve">, which is 74.4% of </w:t>
      </w:r>
      <w:r>
        <w:t>his life</w:t>
      </w:r>
    </w:p>
    <w:p w:rsidR="009D1572" w:rsidRDefault="009D1572" w:rsidP="009D1572">
      <w:pPr>
        <w:pStyle w:val="Bullet"/>
      </w:pPr>
      <w:proofErr w:type="gramStart"/>
      <w:r w:rsidRPr="008C5765">
        <w:t>another</w:t>
      </w:r>
      <w:proofErr w:type="gramEnd"/>
      <w:r w:rsidRPr="008C5765">
        <w:t xml:space="preserve"> 18.7 years with disability requiring assistance (non-daily 14.2 years and daily 4.5</w:t>
      </w:r>
      <w:r>
        <w:t> </w:t>
      </w:r>
      <w:r w:rsidRPr="008C5765">
        <w:t>years).</w:t>
      </w:r>
    </w:p>
    <w:p w:rsidR="009D1572" w:rsidRDefault="009D1572" w:rsidP="009D1572"/>
    <w:p w:rsidR="009D1572" w:rsidRDefault="009D1572" w:rsidP="009D1572">
      <w:r>
        <w:t>A</w:t>
      </w:r>
      <w:r w:rsidRPr="008C5765">
        <w:t xml:space="preserve"> Māori female</w:t>
      </w:r>
      <w:r>
        <w:t xml:space="preserve"> born in 2013 can</w:t>
      </w:r>
      <w:r w:rsidRPr="008C5765">
        <w:t xml:space="preserve"> expect to live </w:t>
      </w:r>
      <w:r>
        <w:t>for:</w:t>
      </w:r>
    </w:p>
    <w:p w:rsidR="009D1572" w:rsidRDefault="009D1572" w:rsidP="009D1572">
      <w:pPr>
        <w:pStyle w:val="Bullet"/>
      </w:pPr>
      <w:r w:rsidRPr="008C5765">
        <w:t xml:space="preserve">60.4 years independently, which is 78.4% of </w:t>
      </w:r>
      <w:r>
        <w:t>her life</w:t>
      </w:r>
    </w:p>
    <w:p w:rsidR="009D1572" w:rsidRDefault="009D1572" w:rsidP="009D1572">
      <w:pPr>
        <w:pStyle w:val="Bullet"/>
      </w:pPr>
      <w:proofErr w:type="gramStart"/>
      <w:r w:rsidRPr="008C5765">
        <w:t>another</w:t>
      </w:r>
      <w:proofErr w:type="gramEnd"/>
      <w:r w:rsidRPr="008C5765">
        <w:t xml:space="preserve"> 16.7 years with some level of disability requiring assistance (non-daily 1</w:t>
      </w:r>
      <w:r>
        <w:t>2.0 years and daily 4.7 years).</w:t>
      </w:r>
    </w:p>
    <w:p w:rsidR="009D1572" w:rsidRDefault="009D1572" w:rsidP="009D1572"/>
    <w:p w:rsidR="009D1572" w:rsidRPr="008C5765" w:rsidRDefault="009D1572" w:rsidP="009D1572">
      <w:r>
        <w:t>A</w:t>
      </w:r>
      <w:r w:rsidRPr="008C5765">
        <w:t>t birth</w:t>
      </w:r>
      <w:r>
        <w:t>,</w:t>
      </w:r>
      <w:r w:rsidRPr="00142CC8">
        <w:t xml:space="preserve"> </w:t>
      </w:r>
      <w:r w:rsidRPr="008C5765">
        <w:t>Māori</w:t>
      </w:r>
      <w:r>
        <w:t xml:space="preserve"> females can expect to live</w:t>
      </w:r>
      <w:r w:rsidRPr="008C5765">
        <w:t xml:space="preserve"> independently </w:t>
      </w:r>
      <w:r>
        <w:t>for 6.1</w:t>
      </w:r>
      <w:r w:rsidRPr="008C5765">
        <w:t xml:space="preserve"> years longer </w:t>
      </w:r>
      <w:r>
        <w:t xml:space="preserve">than </w:t>
      </w:r>
      <w:r w:rsidRPr="008C5765">
        <w:t>Māori males (Figure 3). Māori can expect to live fewer years independently than non-Māori (males</w:t>
      </w:r>
      <w:r>
        <w:t>:</w:t>
      </w:r>
      <w:r w:rsidRPr="008C5765">
        <w:t xml:space="preserve"> Māori 54.3 </w:t>
      </w:r>
      <w:r>
        <w:t>and</w:t>
      </w:r>
      <w:r w:rsidRPr="008C5765">
        <w:t xml:space="preserve"> </w:t>
      </w:r>
      <w:r>
        <w:t>non-</w:t>
      </w:r>
      <w:r w:rsidRPr="008C5765">
        <w:t>Māori 66.7 years</w:t>
      </w:r>
      <w:r>
        <w:t>;</w:t>
      </w:r>
      <w:r w:rsidRPr="008C5765">
        <w:t xml:space="preserve"> females</w:t>
      </w:r>
      <w:r>
        <w:t>:</w:t>
      </w:r>
      <w:r w:rsidRPr="008C5765">
        <w:t xml:space="preserve"> Māori 60.4 </w:t>
      </w:r>
      <w:r>
        <w:t>and</w:t>
      </w:r>
      <w:r w:rsidRPr="008C5765">
        <w:t xml:space="preserve"> </w:t>
      </w:r>
      <w:r>
        <w:t>non-</w:t>
      </w:r>
      <w:r w:rsidRPr="008C5765">
        <w:t xml:space="preserve">Māori 67.4 years), a difference </w:t>
      </w:r>
      <w:r>
        <w:t>that</w:t>
      </w:r>
      <w:r w:rsidRPr="008C5765">
        <w:t xml:space="preserve"> is statistically significant at the 95% confidence level. Māori men are expected to live longer with disability requiring assistance </w:t>
      </w:r>
      <w:r>
        <w:t xml:space="preserve">(18.7 years) </w:t>
      </w:r>
      <w:r w:rsidRPr="008C5765">
        <w:t>than non-Māori men (13.</w:t>
      </w:r>
      <w:r>
        <w:t>6</w:t>
      </w:r>
      <w:r w:rsidRPr="008C5765">
        <w:t xml:space="preserve"> years).</w:t>
      </w:r>
    </w:p>
    <w:p w:rsidR="00955690" w:rsidRDefault="00955690" w:rsidP="009D1572"/>
    <w:p w:rsidR="00955690" w:rsidRDefault="00955690" w:rsidP="009D1572">
      <w:pPr>
        <w:pStyle w:val="Figure"/>
      </w:pPr>
      <w:bookmarkStart w:id="36" w:name="_Toc424755745"/>
      <w:r>
        <w:t>Figure 3:</w:t>
      </w:r>
      <w:r w:rsidR="009D1572">
        <w:t xml:space="preserve"> Independent life expectancy at birth, Māori males and females, 2013</w:t>
      </w:r>
      <w:bookmarkEnd w:id="36"/>
    </w:p>
    <w:p w:rsidR="00955690" w:rsidRDefault="00C475F3" w:rsidP="00955690">
      <w:r>
        <w:rPr>
          <w:noProof/>
          <w:lang w:eastAsia="en-NZ"/>
        </w:rPr>
        <w:drawing>
          <wp:inline distT="0" distB="0" distL="0" distR="0" wp14:anchorId="128B6E46">
            <wp:extent cx="4904509" cy="2992674"/>
            <wp:effectExtent l="0" t="0" r="0" b="0"/>
            <wp:docPr id="6" name="Picture 6" title="Figure 3: Independent life expectancy at birth, Māori males 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12678" cy="2997659"/>
                    </a:xfrm>
                    <a:prstGeom prst="rect">
                      <a:avLst/>
                    </a:prstGeom>
                    <a:noFill/>
                  </pic:spPr>
                </pic:pic>
              </a:graphicData>
            </a:graphic>
          </wp:inline>
        </w:drawing>
      </w:r>
    </w:p>
    <w:p w:rsidR="009D1572" w:rsidRPr="008C5765" w:rsidRDefault="009D1572" w:rsidP="009D1572">
      <w:pPr>
        <w:pStyle w:val="Note"/>
      </w:pPr>
      <w:r w:rsidRPr="008C5765">
        <w:t>Note: ILE = independent life expectancy, LED = life expectancy with dependency</w:t>
      </w:r>
      <w:r>
        <w:t>.</w:t>
      </w:r>
    </w:p>
    <w:p w:rsidR="009D1572" w:rsidRDefault="009D1572" w:rsidP="009D1572"/>
    <w:p w:rsidR="009D1572" w:rsidRPr="008C5765" w:rsidRDefault="009D1572" w:rsidP="009D1572">
      <w:r w:rsidRPr="008C5765">
        <w:t>Non-Māori (those who identified with an ethnic group</w:t>
      </w:r>
      <w:r>
        <w:t xml:space="preserve"> other than</w:t>
      </w:r>
      <w:r w:rsidRPr="008C5765">
        <w:t xml:space="preserve"> Māori)</w:t>
      </w:r>
      <w:r>
        <w:t xml:space="preserve"> born in 2013</w:t>
      </w:r>
      <w:r w:rsidRPr="008C5765">
        <w:t xml:space="preserve"> </w:t>
      </w:r>
      <w:r>
        <w:t>had</w:t>
      </w:r>
      <w:r w:rsidRPr="008C5765">
        <w:t xml:space="preserve"> a longer life expectancy at birth than Māori</w:t>
      </w:r>
      <w:r>
        <w:t>: life expectancy at birth was</w:t>
      </w:r>
      <w:r w:rsidRPr="008C5765">
        <w:t xml:space="preserve"> 80.3 years</w:t>
      </w:r>
      <w:r w:rsidRPr="00606E3B">
        <w:t xml:space="preserve"> </w:t>
      </w:r>
      <w:r>
        <w:t>for</w:t>
      </w:r>
      <w:r w:rsidRPr="008C5765">
        <w:t xml:space="preserve"> </w:t>
      </w:r>
      <w:r>
        <w:t>non-</w:t>
      </w:r>
      <w:r w:rsidRPr="008C5765">
        <w:t xml:space="preserve">Māori males and 83.9 years </w:t>
      </w:r>
      <w:r>
        <w:t>for non-</w:t>
      </w:r>
      <w:r w:rsidRPr="008C5765">
        <w:t xml:space="preserve">Māori females. </w:t>
      </w:r>
    </w:p>
    <w:p w:rsidR="009D1572" w:rsidRPr="008C5765" w:rsidRDefault="009D1572" w:rsidP="009D1572"/>
    <w:p w:rsidR="009D1572" w:rsidRDefault="009D1572" w:rsidP="009D1572">
      <w:r w:rsidRPr="008C5765">
        <w:t>Based on death and disability rates in 2012</w:t>
      </w:r>
      <w:r>
        <w:t>–20</w:t>
      </w:r>
      <w:r w:rsidRPr="008C5765">
        <w:t xml:space="preserve">14, </w:t>
      </w:r>
      <w:r>
        <w:t>a n</w:t>
      </w:r>
      <w:r w:rsidRPr="008C5765">
        <w:t xml:space="preserve">on-Māori male born in 2013 </w:t>
      </w:r>
      <w:r>
        <w:t xml:space="preserve">can </w:t>
      </w:r>
      <w:r w:rsidRPr="008C5765">
        <w:t xml:space="preserve">expect to live </w:t>
      </w:r>
      <w:r>
        <w:t>for:</w:t>
      </w:r>
    </w:p>
    <w:p w:rsidR="009D1572" w:rsidRDefault="009D1572" w:rsidP="009D1572">
      <w:pPr>
        <w:pStyle w:val="Bullet"/>
      </w:pPr>
      <w:r w:rsidRPr="008C5765">
        <w:t xml:space="preserve">an average of 66.7 years free of any functional limitation requiring assistance, which is 83.0% of </w:t>
      </w:r>
      <w:r>
        <w:t>his life</w:t>
      </w:r>
    </w:p>
    <w:p w:rsidR="009D1572" w:rsidRDefault="009D1572" w:rsidP="009D1572">
      <w:pPr>
        <w:pStyle w:val="Bullet"/>
      </w:pPr>
      <w:proofErr w:type="gramStart"/>
      <w:r w:rsidRPr="008C5765">
        <w:t>another</w:t>
      </w:r>
      <w:proofErr w:type="gramEnd"/>
      <w:r w:rsidRPr="008C5765">
        <w:t xml:space="preserve"> 13.6 years with disability requiring assistance (non-daily 9.6 years and daily 4.0</w:t>
      </w:r>
      <w:r>
        <w:t> </w:t>
      </w:r>
      <w:r w:rsidRPr="008C5765">
        <w:t>years).</w:t>
      </w:r>
    </w:p>
    <w:p w:rsidR="009D1572" w:rsidRDefault="009D1572" w:rsidP="009D1572"/>
    <w:p w:rsidR="009D1572" w:rsidRDefault="009D1572" w:rsidP="009D1572">
      <w:r>
        <w:t xml:space="preserve">A </w:t>
      </w:r>
      <w:r w:rsidRPr="008C5765">
        <w:t>non-Māori femal</w:t>
      </w:r>
      <w:r>
        <w:t>e born in 2013 can</w:t>
      </w:r>
      <w:r w:rsidRPr="008C5765">
        <w:t xml:space="preserve"> expect to live </w:t>
      </w:r>
      <w:r>
        <w:t>for:</w:t>
      </w:r>
    </w:p>
    <w:p w:rsidR="009D1572" w:rsidRDefault="009D1572" w:rsidP="009D1572">
      <w:pPr>
        <w:pStyle w:val="Bullet"/>
      </w:pPr>
      <w:r>
        <w:t>an</w:t>
      </w:r>
      <w:r w:rsidRPr="008C5765">
        <w:t xml:space="preserve"> average </w:t>
      </w:r>
      <w:r>
        <w:t xml:space="preserve">of </w:t>
      </w:r>
      <w:r w:rsidRPr="008C5765">
        <w:t xml:space="preserve">67.4 years independently, which is 80.4% of </w:t>
      </w:r>
      <w:r>
        <w:t>her life</w:t>
      </w:r>
    </w:p>
    <w:p w:rsidR="009D1572" w:rsidRDefault="009D1572" w:rsidP="009D1572">
      <w:pPr>
        <w:pStyle w:val="Bullet"/>
      </w:pPr>
      <w:proofErr w:type="gramStart"/>
      <w:r w:rsidRPr="008C5765">
        <w:t>another</w:t>
      </w:r>
      <w:proofErr w:type="gramEnd"/>
      <w:r w:rsidRPr="008C5765">
        <w:t xml:space="preserve"> 16.5 years requiring assistance (non-daily 1</w:t>
      </w:r>
      <w:r>
        <w:t>0.4 years and daily 6.1 years).</w:t>
      </w:r>
    </w:p>
    <w:p w:rsidR="009D1572" w:rsidRDefault="009D1572" w:rsidP="009D1572"/>
    <w:p w:rsidR="009D1572" w:rsidRPr="008C5765" w:rsidRDefault="009D1572" w:rsidP="009D1572">
      <w:r>
        <w:t>A</w:t>
      </w:r>
      <w:r w:rsidRPr="008C5765">
        <w:t>t birth</w:t>
      </w:r>
      <w:r>
        <w:t>,</w:t>
      </w:r>
      <w:r w:rsidRPr="00142CC8">
        <w:t xml:space="preserve"> </w:t>
      </w:r>
      <w:r>
        <w:t>non-</w:t>
      </w:r>
      <w:r w:rsidRPr="008C5765">
        <w:t>Māori</w:t>
      </w:r>
      <w:r>
        <w:t xml:space="preserve"> females are expected to live</w:t>
      </w:r>
      <w:r w:rsidRPr="008C5765">
        <w:t xml:space="preserve"> independently </w:t>
      </w:r>
      <w:r>
        <w:t>for 0.7</w:t>
      </w:r>
      <w:r w:rsidRPr="008C5765">
        <w:t xml:space="preserve"> years longer </w:t>
      </w:r>
      <w:r>
        <w:t>than non-</w:t>
      </w:r>
      <w:r w:rsidRPr="008C5765">
        <w:t>Māori males (Figure 4)</w:t>
      </w:r>
      <w:r>
        <w:t>.</w:t>
      </w:r>
      <w:r w:rsidRPr="008C5765">
        <w:t xml:space="preserve"> Non-Māori males and females live longer independently and have fewer years with </w:t>
      </w:r>
      <w:r>
        <w:t>a disability requiring assistance</w:t>
      </w:r>
      <w:r w:rsidRPr="008C5765">
        <w:t xml:space="preserve"> than Māori males and females.</w:t>
      </w:r>
    </w:p>
    <w:p w:rsidR="009D1572" w:rsidRDefault="009D1572" w:rsidP="009D1572"/>
    <w:p w:rsidR="00955690" w:rsidRDefault="00955690" w:rsidP="00955690">
      <w:pPr>
        <w:pStyle w:val="Figure"/>
      </w:pPr>
      <w:bookmarkStart w:id="37" w:name="_Toc424755746"/>
      <w:r>
        <w:t>Figure 4:</w:t>
      </w:r>
      <w:r w:rsidR="009D1572">
        <w:t xml:space="preserve"> Independent life expectancy at birth, non-Māori males and females, 2013</w:t>
      </w:r>
      <w:bookmarkEnd w:id="37"/>
    </w:p>
    <w:p w:rsidR="00955690" w:rsidRDefault="00C475F3" w:rsidP="00955690">
      <w:r>
        <w:rPr>
          <w:noProof/>
          <w:lang w:eastAsia="en-NZ"/>
        </w:rPr>
        <w:drawing>
          <wp:inline distT="0" distB="0" distL="0" distR="0" wp14:anchorId="35F24E01">
            <wp:extent cx="4890735" cy="2984269"/>
            <wp:effectExtent l="0" t="0" r="0" b="0"/>
            <wp:docPr id="7" name="Picture 7" title="Figure 4: Independent life expectancy at birth, non-Māori males 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698" cy="2987298"/>
                    </a:xfrm>
                    <a:prstGeom prst="rect">
                      <a:avLst/>
                    </a:prstGeom>
                    <a:noFill/>
                  </pic:spPr>
                </pic:pic>
              </a:graphicData>
            </a:graphic>
          </wp:inline>
        </w:drawing>
      </w:r>
    </w:p>
    <w:p w:rsidR="009D1572" w:rsidRDefault="009D1572" w:rsidP="009D1572">
      <w:pPr>
        <w:pStyle w:val="Note"/>
      </w:pPr>
      <w:r w:rsidRPr="008C5765">
        <w:t>Note: ILE = independent life expectancy, LED = life expectancy with dependency</w:t>
      </w:r>
      <w:r>
        <w:t>.</w:t>
      </w:r>
    </w:p>
    <w:p w:rsidR="009D1572" w:rsidRDefault="009D1572" w:rsidP="009D1572"/>
    <w:p w:rsidR="009D1572" w:rsidRPr="008C5765" w:rsidRDefault="009D1572" w:rsidP="009D1572">
      <w:pPr>
        <w:pStyle w:val="Heading2"/>
      </w:pPr>
      <w:bookmarkStart w:id="38" w:name="_Toc423840676"/>
      <w:bookmarkStart w:id="39" w:name="_Toc424645285"/>
      <w:bookmarkStart w:id="40" w:name="_Toc424834175"/>
      <w:r>
        <w:t>Analysis across gender and ethnic groups</w:t>
      </w:r>
      <w:bookmarkEnd w:id="38"/>
      <w:bookmarkEnd w:id="39"/>
      <w:bookmarkEnd w:id="40"/>
    </w:p>
    <w:p w:rsidR="009D1572" w:rsidRPr="008C5765" w:rsidRDefault="009D1572" w:rsidP="009D1572">
      <w:r w:rsidRPr="008C5765">
        <w:t>Table 1</w:t>
      </w:r>
      <w:r w:rsidRPr="00142CC8">
        <w:t xml:space="preserve"> </w:t>
      </w:r>
      <w:r>
        <w:t>compares</w:t>
      </w:r>
      <w:r w:rsidRPr="008C5765">
        <w:t xml:space="preserve"> </w:t>
      </w:r>
      <w:r>
        <w:t>the number of y</w:t>
      </w:r>
      <w:r w:rsidRPr="008C5765">
        <w:t>ears</w:t>
      </w:r>
      <w:r>
        <w:t xml:space="preserve"> people</w:t>
      </w:r>
      <w:r w:rsidRPr="000A7D70">
        <w:t xml:space="preserve"> </w:t>
      </w:r>
      <w:r w:rsidRPr="008C5765">
        <w:t>at birth</w:t>
      </w:r>
      <w:r>
        <w:t xml:space="preserve"> are expected to</w:t>
      </w:r>
      <w:r w:rsidRPr="008C5765">
        <w:t xml:space="preserve"> live independently </w:t>
      </w:r>
      <w:r>
        <w:t>with</w:t>
      </w:r>
      <w:r w:rsidRPr="008C5765">
        <w:t xml:space="preserve"> </w:t>
      </w:r>
      <w:r>
        <w:t xml:space="preserve">the number of </w:t>
      </w:r>
      <w:r w:rsidRPr="008C5765">
        <w:t>years</w:t>
      </w:r>
      <w:r>
        <w:t xml:space="preserve"> they are expected to live</w:t>
      </w:r>
      <w:r w:rsidRPr="008C5765">
        <w:t xml:space="preserve"> with dependency and </w:t>
      </w:r>
      <w:r>
        <w:t xml:space="preserve">their </w:t>
      </w:r>
      <w:r w:rsidRPr="008C5765">
        <w:t>life expectancy</w:t>
      </w:r>
      <w:r>
        <w:t>. It breaks down these data by gender and ethnic groups</w:t>
      </w:r>
      <w:r w:rsidRPr="008C5765">
        <w:t>.</w:t>
      </w:r>
    </w:p>
    <w:p w:rsidR="009D1572" w:rsidRPr="008C5765" w:rsidRDefault="009D1572" w:rsidP="009D1572"/>
    <w:p w:rsidR="009D1572" w:rsidRDefault="009D1572" w:rsidP="009D1572">
      <w:pPr>
        <w:pStyle w:val="Table"/>
      </w:pPr>
      <w:bookmarkStart w:id="41" w:name="_Toc424755736"/>
      <w:r>
        <w:t>Table 1: Independent life expectancy at birth, by gender and ethnicity, 2013</w:t>
      </w:r>
      <w:bookmarkEnd w:id="41"/>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157"/>
        <w:gridCol w:w="1158"/>
        <w:gridCol w:w="1158"/>
        <w:gridCol w:w="1157"/>
        <w:gridCol w:w="1158"/>
        <w:gridCol w:w="1158"/>
      </w:tblGrid>
      <w:tr w:rsidR="00680A4F" w:rsidRPr="00B95C61" w:rsidTr="00BE5285">
        <w:trPr>
          <w:cantSplit/>
        </w:trPr>
        <w:tc>
          <w:tcPr>
            <w:tcW w:w="2410" w:type="dxa"/>
            <w:vMerge w:val="restart"/>
            <w:tcBorders>
              <w:right w:val="nil"/>
            </w:tcBorders>
          </w:tcPr>
          <w:p w:rsidR="00680A4F" w:rsidRPr="00B95C61" w:rsidRDefault="00680A4F" w:rsidP="00BE5285">
            <w:pPr>
              <w:pStyle w:val="TableText"/>
              <w:rPr>
                <w:b/>
              </w:rPr>
            </w:pPr>
            <w:r w:rsidRPr="00B95C61">
              <w:rPr>
                <w:b/>
              </w:rPr>
              <w:t>Indicator</w:t>
            </w:r>
          </w:p>
        </w:tc>
        <w:tc>
          <w:tcPr>
            <w:tcW w:w="6946" w:type="dxa"/>
            <w:gridSpan w:val="6"/>
            <w:tcBorders>
              <w:top w:val="single" w:sz="4" w:space="0" w:color="auto"/>
              <w:left w:val="nil"/>
              <w:bottom w:val="single" w:sz="4" w:space="0" w:color="A6A6A6" w:themeColor="background1" w:themeShade="A6"/>
            </w:tcBorders>
          </w:tcPr>
          <w:p w:rsidR="00680A4F" w:rsidRPr="00B95C61" w:rsidRDefault="00680A4F" w:rsidP="00BE5285">
            <w:pPr>
              <w:pStyle w:val="TableText"/>
              <w:jc w:val="center"/>
              <w:rPr>
                <w:b/>
              </w:rPr>
            </w:pPr>
            <w:r w:rsidRPr="00B95C61">
              <w:rPr>
                <w:b/>
              </w:rPr>
              <w:t>Independent life expectancy in years</w:t>
            </w:r>
          </w:p>
        </w:tc>
      </w:tr>
      <w:tr w:rsidR="00680A4F" w:rsidRPr="00B95C61" w:rsidTr="00BE5285">
        <w:trPr>
          <w:cantSplit/>
        </w:trPr>
        <w:tc>
          <w:tcPr>
            <w:tcW w:w="2410" w:type="dxa"/>
            <w:vMerge/>
            <w:tcBorders>
              <w:bottom w:val="single" w:sz="4" w:space="0" w:color="auto"/>
              <w:right w:val="nil"/>
            </w:tcBorders>
          </w:tcPr>
          <w:p w:rsidR="00680A4F" w:rsidRPr="00B95C61" w:rsidRDefault="00680A4F" w:rsidP="00BE5285">
            <w:pPr>
              <w:pStyle w:val="TableText"/>
              <w:rPr>
                <w:b/>
              </w:rPr>
            </w:pPr>
          </w:p>
        </w:tc>
        <w:tc>
          <w:tcPr>
            <w:tcW w:w="1157" w:type="dxa"/>
            <w:tcBorders>
              <w:top w:val="single" w:sz="4" w:space="0" w:color="A6A6A6" w:themeColor="background1" w:themeShade="A6"/>
              <w:left w:val="nil"/>
              <w:bottom w:val="single" w:sz="4" w:space="0" w:color="auto"/>
            </w:tcBorders>
          </w:tcPr>
          <w:p w:rsidR="00680A4F" w:rsidRPr="00B95C61" w:rsidRDefault="00680A4F" w:rsidP="00BE5285">
            <w:pPr>
              <w:pStyle w:val="TableText"/>
              <w:jc w:val="center"/>
              <w:rPr>
                <w:b/>
              </w:rPr>
            </w:pPr>
            <w:r w:rsidRPr="00B95C61">
              <w:rPr>
                <w:b/>
              </w:rPr>
              <w:t>Total</w:t>
            </w:r>
            <w:r w:rsidRPr="00B95C61">
              <w:rPr>
                <w:b/>
              </w:rPr>
              <w:br/>
              <w:t>males</w:t>
            </w:r>
          </w:p>
        </w:tc>
        <w:tc>
          <w:tcPr>
            <w:tcW w:w="1158" w:type="dxa"/>
            <w:tcBorders>
              <w:top w:val="single" w:sz="4" w:space="0" w:color="A6A6A6" w:themeColor="background1" w:themeShade="A6"/>
              <w:bottom w:val="single" w:sz="4" w:space="0" w:color="auto"/>
            </w:tcBorders>
          </w:tcPr>
          <w:p w:rsidR="00680A4F" w:rsidRPr="00B95C61" w:rsidRDefault="00680A4F" w:rsidP="00BE5285">
            <w:pPr>
              <w:pStyle w:val="TableText"/>
              <w:jc w:val="center"/>
              <w:rPr>
                <w:b/>
              </w:rPr>
            </w:pPr>
            <w:r w:rsidRPr="00B95C61">
              <w:rPr>
                <w:b/>
              </w:rPr>
              <w:t>Total females</w:t>
            </w:r>
          </w:p>
        </w:tc>
        <w:tc>
          <w:tcPr>
            <w:tcW w:w="1158" w:type="dxa"/>
            <w:tcBorders>
              <w:top w:val="single" w:sz="4" w:space="0" w:color="A6A6A6" w:themeColor="background1" w:themeShade="A6"/>
              <w:bottom w:val="single" w:sz="4" w:space="0" w:color="auto"/>
            </w:tcBorders>
          </w:tcPr>
          <w:p w:rsidR="00680A4F" w:rsidRPr="00B95C61" w:rsidRDefault="00680A4F" w:rsidP="00BE5285">
            <w:pPr>
              <w:pStyle w:val="TableText"/>
              <w:jc w:val="center"/>
              <w:rPr>
                <w:b/>
              </w:rPr>
            </w:pPr>
            <w:r w:rsidRPr="00B95C61">
              <w:rPr>
                <w:b/>
              </w:rPr>
              <w:t>Māori</w:t>
            </w:r>
            <w:r w:rsidRPr="00B95C61">
              <w:rPr>
                <w:b/>
              </w:rPr>
              <w:br/>
              <w:t>males</w:t>
            </w:r>
          </w:p>
        </w:tc>
        <w:tc>
          <w:tcPr>
            <w:tcW w:w="1157" w:type="dxa"/>
            <w:tcBorders>
              <w:top w:val="single" w:sz="4" w:space="0" w:color="A6A6A6" w:themeColor="background1" w:themeShade="A6"/>
              <w:bottom w:val="single" w:sz="4" w:space="0" w:color="auto"/>
            </w:tcBorders>
          </w:tcPr>
          <w:p w:rsidR="00680A4F" w:rsidRPr="00B95C61" w:rsidRDefault="00680A4F" w:rsidP="00BE5285">
            <w:pPr>
              <w:pStyle w:val="TableText"/>
              <w:jc w:val="center"/>
              <w:rPr>
                <w:b/>
              </w:rPr>
            </w:pPr>
            <w:r w:rsidRPr="00B95C61">
              <w:rPr>
                <w:b/>
              </w:rPr>
              <w:t>Māori females</w:t>
            </w:r>
          </w:p>
        </w:tc>
        <w:tc>
          <w:tcPr>
            <w:tcW w:w="1158" w:type="dxa"/>
            <w:tcBorders>
              <w:top w:val="single" w:sz="4" w:space="0" w:color="A6A6A6" w:themeColor="background1" w:themeShade="A6"/>
              <w:bottom w:val="single" w:sz="4" w:space="0" w:color="auto"/>
            </w:tcBorders>
          </w:tcPr>
          <w:p w:rsidR="00680A4F" w:rsidRPr="00B95C61" w:rsidRDefault="00680A4F" w:rsidP="00BE5285">
            <w:pPr>
              <w:pStyle w:val="TableText"/>
              <w:jc w:val="center"/>
              <w:rPr>
                <w:b/>
              </w:rPr>
            </w:pPr>
            <w:r w:rsidRPr="00B95C61">
              <w:rPr>
                <w:b/>
              </w:rPr>
              <w:t>Non-Māori males</w:t>
            </w:r>
          </w:p>
        </w:tc>
        <w:tc>
          <w:tcPr>
            <w:tcW w:w="1158" w:type="dxa"/>
            <w:tcBorders>
              <w:top w:val="single" w:sz="4" w:space="0" w:color="A6A6A6" w:themeColor="background1" w:themeShade="A6"/>
              <w:bottom w:val="single" w:sz="4" w:space="0" w:color="auto"/>
            </w:tcBorders>
          </w:tcPr>
          <w:p w:rsidR="00680A4F" w:rsidRPr="00B95C61" w:rsidRDefault="00680A4F" w:rsidP="00BE5285">
            <w:pPr>
              <w:pStyle w:val="TableText"/>
              <w:jc w:val="center"/>
              <w:rPr>
                <w:b/>
              </w:rPr>
            </w:pPr>
            <w:r w:rsidRPr="00B95C61">
              <w:rPr>
                <w:b/>
              </w:rPr>
              <w:t>Non-Māori females</w:t>
            </w:r>
          </w:p>
        </w:tc>
      </w:tr>
      <w:tr w:rsidR="00680A4F" w:rsidTr="00BE5285">
        <w:trPr>
          <w:cantSplit/>
        </w:trPr>
        <w:tc>
          <w:tcPr>
            <w:tcW w:w="2410" w:type="dxa"/>
            <w:tcBorders>
              <w:top w:val="single" w:sz="4" w:space="0" w:color="auto"/>
              <w:bottom w:val="nil"/>
              <w:right w:val="nil"/>
            </w:tcBorders>
            <w:shd w:val="clear" w:color="auto" w:fill="F2F2F2" w:themeFill="background1" w:themeFillShade="F2"/>
          </w:tcPr>
          <w:p w:rsidR="00680A4F" w:rsidRPr="0060134B" w:rsidRDefault="00680A4F" w:rsidP="00BE5285">
            <w:pPr>
              <w:pStyle w:val="TableText"/>
            </w:pPr>
            <w:r w:rsidRPr="0060134B">
              <w:t>LE</w:t>
            </w:r>
          </w:p>
        </w:tc>
        <w:tc>
          <w:tcPr>
            <w:tcW w:w="1157" w:type="dxa"/>
            <w:tcBorders>
              <w:top w:val="single" w:sz="4" w:space="0" w:color="auto"/>
              <w:left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79.5</w:t>
            </w:r>
          </w:p>
        </w:tc>
        <w:tc>
          <w:tcPr>
            <w:tcW w:w="1158" w:type="dxa"/>
            <w:tcBorders>
              <w:top w:val="single" w:sz="4" w:space="0" w:color="auto"/>
              <w:bottom w:val="nil"/>
            </w:tcBorders>
            <w:shd w:val="clear" w:color="auto" w:fill="F2F2F2" w:themeFill="background1" w:themeFillShade="F2"/>
          </w:tcPr>
          <w:p w:rsidR="00680A4F" w:rsidRPr="0060134B" w:rsidRDefault="00680A4F" w:rsidP="00680A4F">
            <w:pPr>
              <w:pStyle w:val="TableText"/>
              <w:tabs>
                <w:tab w:val="decimal" w:pos="480"/>
              </w:tabs>
            </w:pPr>
            <w:r w:rsidRPr="0060134B">
              <w:t>83.2</w:t>
            </w:r>
          </w:p>
        </w:tc>
        <w:tc>
          <w:tcPr>
            <w:tcW w:w="1158" w:type="dxa"/>
            <w:tcBorders>
              <w:top w:val="single" w:sz="4" w:space="0" w:color="auto"/>
              <w:bottom w:val="nil"/>
            </w:tcBorders>
            <w:shd w:val="clear" w:color="auto" w:fill="F2F2F2" w:themeFill="background1" w:themeFillShade="F2"/>
          </w:tcPr>
          <w:p w:rsidR="00680A4F" w:rsidRPr="0060134B" w:rsidRDefault="00680A4F" w:rsidP="00680A4F">
            <w:pPr>
              <w:pStyle w:val="TableText"/>
              <w:tabs>
                <w:tab w:val="decimal" w:pos="480"/>
              </w:tabs>
            </w:pPr>
            <w:r w:rsidRPr="0060134B">
              <w:t>73.0</w:t>
            </w:r>
          </w:p>
        </w:tc>
        <w:tc>
          <w:tcPr>
            <w:tcW w:w="1157" w:type="dxa"/>
            <w:tcBorders>
              <w:top w:val="single" w:sz="4" w:space="0" w:color="auto"/>
              <w:bottom w:val="nil"/>
            </w:tcBorders>
            <w:shd w:val="clear" w:color="auto" w:fill="F2F2F2" w:themeFill="background1" w:themeFillShade="F2"/>
          </w:tcPr>
          <w:p w:rsidR="00680A4F" w:rsidRPr="0060134B" w:rsidRDefault="00680A4F" w:rsidP="00680A4F">
            <w:pPr>
              <w:pStyle w:val="TableText"/>
              <w:tabs>
                <w:tab w:val="decimal" w:pos="480"/>
              </w:tabs>
            </w:pPr>
            <w:r w:rsidRPr="0060134B">
              <w:t>77.1</w:t>
            </w:r>
          </w:p>
        </w:tc>
        <w:tc>
          <w:tcPr>
            <w:tcW w:w="1158" w:type="dxa"/>
            <w:tcBorders>
              <w:top w:val="single" w:sz="4" w:space="0" w:color="auto"/>
              <w:bottom w:val="nil"/>
            </w:tcBorders>
            <w:shd w:val="clear" w:color="auto" w:fill="F2F2F2" w:themeFill="background1" w:themeFillShade="F2"/>
          </w:tcPr>
          <w:p w:rsidR="00680A4F" w:rsidRPr="0060134B" w:rsidRDefault="00680A4F" w:rsidP="00680A4F">
            <w:pPr>
              <w:pStyle w:val="TableText"/>
              <w:tabs>
                <w:tab w:val="decimal" w:pos="480"/>
              </w:tabs>
            </w:pPr>
            <w:r w:rsidRPr="0060134B">
              <w:t>80.3</w:t>
            </w:r>
          </w:p>
        </w:tc>
        <w:tc>
          <w:tcPr>
            <w:tcW w:w="1158" w:type="dxa"/>
            <w:tcBorders>
              <w:top w:val="single" w:sz="4" w:space="0" w:color="auto"/>
              <w:bottom w:val="nil"/>
            </w:tcBorders>
            <w:shd w:val="clear" w:color="auto" w:fill="F2F2F2" w:themeFill="background1" w:themeFillShade="F2"/>
          </w:tcPr>
          <w:p w:rsidR="00680A4F" w:rsidRPr="0060134B" w:rsidRDefault="00680A4F" w:rsidP="00680A4F">
            <w:pPr>
              <w:pStyle w:val="TableText"/>
              <w:tabs>
                <w:tab w:val="decimal" w:pos="480"/>
              </w:tabs>
            </w:pPr>
            <w:r w:rsidRPr="0060134B">
              <w:t>83.9</w:t>
            </w:r>
          </w:p>
        </w:tc>
      </w:tr>
      <w:tr w:rsidR="00680A4F" w:rsidTr="00BE5285">
        <w:trPr>
          <w:cantSplit/>
        </w:trPr>
        <w:tc>
          <w:tcPr>
            <w:tcW w:w="2410" w:type="dxa"/>
            <w:tcBorders>
              <w:top w:val="nil"/>
              <w:bottom w:val="nil"/>
              <w:right w:val="nil"/>
            </w:tcBorders>
          </w:tcPr>
          <w:p w:rsidR="00680A4F" w:rsidRPr="0060134B" w:rsidRDefault="00680A4F" w:rsidP="00BE5285">
            <w:pPr>
              <w:pStyle w:val="TableText"/>
            </w:pPr>
            <w:r w:rsidRPr="0060134B">
              <w:t>LED daily</w:t>
            </w:r>
            <w:r>
              <w:t xml:space="preserve"> </w:t>
            </w:r>
            <w:r w:rsidRPr="0060134B">
              <w:t>assistance</w:t>
            </w:r>
          </w:p>
        </w:tc>
        <w:tc>
          <w:tcPr>
            <w:tcW w:w="1157" w:type="dxa"/>
            <w:tcBorders>
              <w:top w:val="nil"/>
              <w:left w:val="nil"/>
              <w:bottom w:val="nil"/>
            </w:tcBorders>
          </w:tcPr>
          <w:p w:rsidR="00680A4F" w:rsidRPr="0060134B" w:rsidRDefault="00680A4F" w:rsidP="00680A4F">
            <w:pPr>
              <w:pStyle w:val="TableText"/>
              <w:tabs>
                <w:tab w:val="decimal" w:pos="480"/>
              </w:tabs>
            </w:pPr>
            <w:r w:rsidRPr="0060134B">
              <w:t>4.1</w:t>
            </w:r>
          </w:p>
        </w:tc>
        <w:tc>
          <w:tcPr>
            <w:tcW w:w="1158" w:type="dxa"/>
            <w:tcBorders>
              <w:top w:val="nil"/>
              <w:bottom w:val="nil"/>
            </w:tcBorders>
          </w:tcPr>
          <w:p w:rsidR="00680A4F" w:rsidRPr="0060134B" w:rsidRDefault="00680A4F" w:rsidP="00680A4F">
            <w:pPr>
              <w:pStyle w:val="TableText"/>
              <w:tabs>
                <w:tab w:val="decimal" w:pos="480"/>
              </w:tabs>
            </w:pPr>
            <w:r w:rsidRPr="0060134B">
              <w:t>6.0</w:t>
            </w:r>
          </w:p>
        </w:tc>
        <w:tc>
          <w:tcPr>
            <w:tcW w:w="1158" w:type="dxa"/>
            <w:tcBorders>
              <w:top w:val="nil"/>
              <w:bottom w:val="nil"/>
            </w:tcBorders>
          </w:tcPr>
          <w:p w:rsidR="00680A4F" w:rsidRPr="0060134B" w:rsidRDefault="00680A4F" w:rsidP="00680A4F">
            <w:pPr>
              <w:pStyle w:val="TableText"/>
              <w:tabs>
                <w:tab w:val="decimal" w:pos="480"/>
              </w:tabs>
            </w:pPr>
            <w:r w:rsidRPr="0060134B">
              <w:t>4.5</w:t>
            </w:r>
          </w:p>
        </w:tc>
        <w:tc>
          <w:tcPr>
            <w:tcW w:w="1157" w:type="dxa"/>
            <w:tcBorders>
              <w:top w:val="nil"/>
              <w:bottom w:val="nil"/>
            </w:tcBorders>
          </w:tcPr>
          <w:p w:rsidR="00680A4F" w:rsidRPr="0060134B" w:rsidRDefault="00680A4F" w:rsidP="00680A4F">
            <w:pPr>
              <w:pStyle w:val="TableText"/>
              <w:tabs>
                <w:tab w:val="decimal" w:pos="480"/>
              </w:tabs>
            </w:pPr>
            <w:r w:rsidRPr="0060134B">
              <w:t>4.7</w:t>
            </w:r>
          </w:p>
        </w:tc>
        <w:tc>
          <w:tcPr>
            <w:tcW w:w="1158" w:type="dxa"/>
            <w:tcBorders>
              <w:top w:val="nil"/>
              <w:bottom w:val="nil"/>
            </w:tcBorders>
          </w:tcPr>
          <w:p w:rsidR="00680A4F" w:rsidRPr="0060134B" w:rsidRDefault="00680A4F" w:rsidP="00680A4F">
            <w:pPr>
              <w:pStyle w:val="TableText"/>
              <w:tabs>
                <w:tab w:val="decimal" w:pos="480"/>
              </w:tabs>
            </w:pPr>
            <w:r w:rsidRPr="0060134B">
              <w:t>4.0</w:t>
            </w:r>
          </w:p>
        </w:tc>
        <w:tc>
          <w:tcPr>
            <w:tcW w:w="1158" w:type="dxa"/>
            <w:tcBorders>
              <w:top w:val="nil"/>
              <w:bottom w:val="nil"/>
            </w:tcBorders>
          </w:tcPr>
          <w:p w:rsidR="00680A4F" w:rsidRPr="0060134B" w:rsidRDefault="00680A4F" w:rsidP="00680A4F">
            <w:pPr>
              <w:pStyle w:val="TableText"/>
              <w:tabs>
                <w:tab w:val="decimal" w:pos="480"/>
              </w:tabs>
            </w:pPr>
            <w:r w:rsidRPr="0060134B">
              <w:t>6.1</w:t>
            </w:r>
          </w:p>
        </w:tc>
      </w:tr>
      <w:tr w:rsidR="00680A4F" w:rsidTr="00BE5285">
        <w:trPr>
          <w:cantSplit/>
        </w:trPr>
        <w:tc>
          <w:tcPr>
            <w:tcW w:w="2410" w:type="dxa"/>
            <w:tcBorders>
              <w:top w:val="nil"/>
              <w:bottom w:val="nil"/>
              <w:right w:val="nil"/>
            </w:tcBorders>
            <w:shd w:val="clear" w:color="auto" w:fill="F2F2F2" w:themeFill="background1" w:themeFillShade="F2"/>
          </w:tcPr>
          <w:p w:rsidR="00680A4F" w:rsidRPr="0060134B" w:rsidRDefault="00680A4F" w:rsidP="00BE5285">
            <w:pPr>
              <w:pStyle w:val="TableText"/>
            </w:pPr>
            <w:r w:rsidRPr="0060134B">
              <w:t>LED non-daily</w:t>
            </w:r>
            <w:r>
              <w:t xml:space="preserve"> </w:t>
            </w:r>
            <w:r w:rsidRPr="0060134B">
              <w:t>assistance</w:t>
            </w:r>
          </w:p>
        </w:tc>
        <w:tc>
          <w:tcPr>
            <w:tcW w:w="1157" w:type="dxa"/>
            <w:tcBorders>
              <w:top w:val="nil"/>
              <w:left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10.2</w:t>
            </w:r>
          </w:p>
        </w:tc>
        <w:tc>
          <w:tcPr>
            <w:tcW w:w="1158" w:type="dxa"/>
            <w:tcBorders>
              <w:top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10.7</w:t>
            </w:r>
          </w:p>
        </w:tc>
        <w:tc>
          <w:tcPr>
            <w:tcW w:w="1158" w:type="dxa"/>
            <w:tcBorders>
              <w:top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14.2</w:t>
            </w:r>
          </w:p>
        </w:tc>
        <w:tc>
          <w:tcPr>
            <w:tcW w:w="1157" w:type="dxa"/>
            <w:tcBorders>
              <w:top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12.0</w:t>
            </w:r>
          </w:p>
        </w:tc>
        <w:tc>
          <w:tcPr>
            <w:tcW w:w="1158" w:type="dxa"/>
            <w:tcBorders>
              <w:top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9.6</w:t>
            </w:r>
          </w:p>
        </w:tc>
        <w:tc>
          <w:tcPr>
            <w:tcW w:w="1158" w:type="dxa"/>
            <w:tcBorders>
              <w:top w:val="nil"/>
              <w:bottom w:val="nil"/>
            </w:tcBorders>
            <w:shd w:val="clear" w:color="auto" w:fill="F2F2F2" w:themeFill="background1" w:themeFillShade="F2"/>
          </w:tcPr>
          <w:p w:rsidR="00680A4F" w:rsidRPr="0060134B" w:rsidRDefault="00680A4F" w:rsidP="00680A4F">
            <w:pPr>
              <w:pStyle w:val="TableText"/>
              <w:tabs>
                <w:tab w:val="decimal" w:pos="480"/>
              </w:tabs>
            </w:pPr>
            <w:r w:rsidRPr="0060134B">
              <w:t>10.4</w:t>
            </w:r>
          </w:p>
        </w:tc>
      </w:tr>
      <w:tr w:rsidR="00680A4F" w:rsidTr="00BE5285">
        <w:trPr>
          <w:cantSplit/>
        </w:trPr>
        <w:tc>
          <w:tcPr>
            <w:tcW w:w="2410" w:type="dxa"/>
            <w:tcBorders>
              <w:top w:val="nil"/>
              <w:bottom w:val="nil"/>
              <w:right w:val="nil"/>
            </w:tcBorders>
          </w:tcPr>
          <w:p w:rsidR="00680A4F" w:rsidRDefault="00680A4F" w:rsidP="00690EB3">
            <w:pPr>
              <w:pStyle w:val="TableText"/>
            </w:pPr>
            <w:r w:rsidRPr="0060134B">
              <w:t>ILE</w:t>
            </w:r>
          </w:p>
          <w:p w:rsidR="00690EB3" w:rsidRPr="0060134B" w:rsidRDefault="00690EB3" w:rsidP="00690EB3">
            <w:pPr>
              <w:pStyle w:val="TableText"/>
            </w:pPr>
            <w:r w:rsidRPr="0060134B">
              <w:t>(95% CI)</w:t>
            </w:r>
          </w:p>
        </w:tc>
        <w:tc>
          <w:tcPr>
            <w:tcW w:w="1157" w:type="dxa"/>
            <w:tcBorders>
              <w:top w:val="nil"/>
              <w:left w:val="nil"/>
              <w:bottom w:val="nil"/>
            </w:tcBorders>
          </w:tcPr>
          <w:p w:rsidR="00680A4F" w:rsidRDefault="00680A4F" w:rsidP="00690EB3">
            <w:pPr>
              <w:pStyle w:val="TableText"/>
              <w:tabs>
                <w:tab w:val="decimal" w:pos="480"/>
              </w:tabs>
            </w:pPr>
            <w:r w:rsidRPr="0060134B">
              <w:t>65.2</w:t>
            </w:r>
          </w:p>
          <w:p w:rsidR="00690EB3" w:rsidRPr="0060134B" w:rsidRDefault="00690EB3" w:rsidP="00690EB3">
            <w:pPr>
              <w:pStyle w:val="TableText"/>
              <w:tabs>
                <w:tab w:val="decimal" w:pos="480"/>
              </w:tabs>
            </w:pPr>
            <w:r w:rsidRPr="0060134B">
              <w:t>(64.6–65.9)</w:t>
            </w:r>
          </w:p>
        </w:tc>
        <w:tc>
          <w:tcPr>
            <w:tcW w:w="1158" w:type="dxa"/>
            <w:tcBorders>
              <w:top w:val="nil"/>
              <w:bottom w:val="nil"/>
            </w:tcBorders>
          </w:tcPr>
          <w:p w:rsidR="00680A4F" w:rsidRDefault="00680A4F" w:rsidP="00690EB3">
            <w:pPr>
              <w:pStyle w:val="TableText"/>
              <w:tabs>
                <w:tab w:val="decimal" w:pos="480"/>
              </w:tabs>
            </w:pPr>
            <w:r w:rsidRPr="0060134B">
              <w:t>66.5</w:t>
            </w:r>
          </w:p>
          <w:p w:rsidR="00690EB3" w:rsidRPr="0060134B" w:rsidRDefault="00690EB3" w:rsidP="00690EB3">
            <w:pPr>
              <w:pStyle w:val="TableText"/>
              <w:tabs>
                <w:tab w:val="decimal" w:pos="480"/>
              </w:tabs>
            </w:pPr>
            <w:r w:rsidRPr="0060134B">
              <w:t>(65.8–67.1)</w:t>
            </w:r>
          </w:p>
        </w:tc>
        <w:tc>
          <w:tcPr>
            <w:tcW w:w="1158" w:type="dxa"/>
            <w:tcBorders>
              <w:top w:val="nil"/>
              <w:bottom w:val="nil"/>
            </w:tcBorders>
          </w:tcPr>
          <w:p w:rsidR="00680A4F" w:rsidRDefault="00680A4F" w:rsidP="00690EB3">
            <w:pPr>
              <w:pStyle w:val="TableText"/>
              <w:tabs>
                <w:tab w:val="decimal" w:pos="480"/>
              </w:tabs>
            </w:pPr>
            <w:r w:rsidRPr="0060134B">
              <w:t>54.3</w:t>
            </w:r>
          </w:p>
          <w:p w:rsidR="00690EB3" w:rsidRPr="0060134B" w:rsidRDefault="00690EB3" w:rsidP="00690EB3">
            <w:pPr>
              <w:pStyle w:val="TableText"/>
              <w:tabs>
                <w:tab w:val="decimal" w:pos="480"/>
              </w:tabs>
            </w:pPr>
            <w:r w:rsidRPr="0060134B">
              <w:t>(52.6–56.0)</w:t>
            </w:r>
          </w:p>
        </w:tc>
        <w:tc>
          <w:tcPr>
            <w:tcW w:w="1157" w:type="dxa"/>
            <w:tcBorders>
              <w:top w:val="nil"/>
              <w:bottom w:val="nil"/>
            </w:tcBorders>
          </w:tcPr>
          <w:p w:rsidR="00680A4F" w:rsidRDefault="00680A4F" w:rsidP="00690EB3">
            <w:pPr>
              <w:pStyle w:val="TableText"/>
              <w:tabs>
                <w:tab w:val="decimal" w:pos="480"/>
              </w:tabs>
            </w:pPr>
            <w:r w:rsidRPr="0060134B">
              <w:t>60.4</w:t>
            </w:r>
          </w:p>
          <w:p w:rsidR="00690EB3" w:rsidRPr="0060134B" w:rsidRDefault="00690EB3" w:rsidP="00690EB3">
            <w:pPr>
              <w:pStyle w:val="TableText"/>
              <w:tabs>
                <w:tab w:val="decimal" w:pos="480"/>
              </w:tabs>
            </w:pPr>
            <w:r w:rsidRPr="0060134B">
              <w:t>(58.6–62.3)</w:t>
            </w:r>
          </w:p>
        </w:tc>
        <w:tc>
          <w:tcPr>
            <w:tcW w:w="1158" w:type="dxa"/>
            <w:tcBorders>
              <w:top w:val="nil"/>
              <w:bottom w:val="nil"/>
            </w:tcBorders>
          </w:tcPr>
          <w:p w:rsidR="00680A4F" w:rsidRDefault="00680A4F" w:rsidP="00690EB3">
            <w:pPr>
              <w:pStyle w:val="TableText"/>
              <w:tabs>
                <w:tab w:val="decimal" w:pos="480"/>
              </w:tabs>
            </w:pPr>
            <w:r w:rsidRPr="0060134B">
              <w:t>66.7</w:t>
            </w:r>
          </w:p>
          <w:p w:rsidR="00690EB3" w:rsidRPr="0060134B" w:rsidRDefault="00690EB3" w:rsidP="00690EB3">
            <w:pPr>
              <w:pStyle w:val="TableText"/>
              <w:tabs>
                <w:tab w:val="decimal" w:pos="480"/>
              </w:tabs>
            </w:pPr>
            <w:r w:rsidRPr="0060134B">
              <w:t>(65.9–67.4)</w:t>
            </w:r>
          </w:p>
        </w:tc>
        <w:tc>
          <w:tcPr>
            <w:tcW w:w="1158" w:type="dxa"/>
            <w:tcBorders>
              <w:top w:val="nil"/>
              <w:bottom w:val="nil"/>
            </w:tcBorders>
          </w:tcPr>
          <w:p w:rsidR="00680A4F" w:rsidRDefault="00680A4F" w:rsidP="00690EB3">
            <w:pPr>
              <w:pStyle w:val="TableText"/>
              <w:tabs>
                <w:tab w:val="decimal" w:pos="480"/>
              </w:tabs>
            </w:pPr>
            <w:r w:rsidRPr="0060134B">
              <w:t>67.4</w:t>
            </w:r>
          </w:p>
          <w:p w:rsidR="00690EB3" w:rsidRPr="0060134B" w:rsidRDefault="00690EB3" w:rsidP="00690EB3">
            <w:pPr>
              <w:pStyle w:val="TableText"/>
              <w:tabs>
                <w:tab w:val="decimal" w:pos="480"/>
              </w:tabs>
            </w:pPr>
            <w:r w:rsidRPr="0060134B">
              <w:t>(66.7–68.2)</w:t>
            </w:r>
          </w:p>
        </w:tc>
      </w:tr>
    </w:tbl>
    <w:p w:rsidR="009D1572" w:rsidRPr="008C5765" w:rsidRDefault="009D1572" w:rsidP="009D1572">
      <w:pPr>
        <w:pStyle w:val="Note"/>
        <w:ind w:left="0" w:right="0" w:firstLine="0"/>
        <w:rPr>
          <w:bCs/>
        </w:rPr>
      </w:pPr>
      <w:r w:rsidRPr="008C5765">
        <w:t>Note: LE = life expectancy, LED = life expectancy with dependency, ILE = independent life expectancy</w:t>
      </w:r>
      <w:r>
        <w:t>.</w:t>
      </w:r>
    </w:p>
    <w:p w:rsidR="009D1572" w:rsidRDefault="009D1572" w:rsidP="009D1572"/>
    <w:p w:rsidR="009D1572" w:rsidRDefault="009D1572" w:rsidP="009D1572">
      <w:r>
        <w:t xml:space="preserve">As the above data show, </w:t>
      </w:r>
      <w:r w:rsidRPr="008C5765">
        <w:t>Māori have shorter lives than non-Māori</w:t>
      </w:r>
      <w:r>
        <w:t>. The</w:t>
      </w:r>
      <w:r w:rsidRPr="008C5765">
        <w:t xml:space="preserve"> inequality is even greater if only healthy years are considered</w:t>
      </w:r>
      <w:r>
        <w:t>: a</w:t>
      </w:r>
      <w:r w:rsidRPr="008C5765">
        <w:t xml:space="preserve">lthough their lives are shorter, on average both Māori males and females live longer with dependency than non-Māori. </w:t>
      </w:r>
      <w:r>
        <w:t>This trend is</w:t>
      </w:r>
      <w:r w:rsidRPr="008C5765">
        <w:t xml:space="preserve"> particular</w:t>
      </w:r>
      <w:r>
        <w:t>ly marked</w:t>
      </w:r>
      <w:r w:rsidRPr="008C5765">
        <w:t xml:space="preserve"> with Māori males</w:t>
      </w:r>
      <w:r>
        <w:t xml:space="preserve">: </w:t>
      </w:r>
      <w:r w:rsidRPr="008C5765">
        <w:t>in 2013, Māori males ha</w:t>
      </w:r>
      <w:r>
        <w:t>d</w:t>
      </w:r>
      <w:r w:rsidRPr="008C5765">
        <w:t xml:space="preserve"> the lowest ILE at birth (54.3 years) and the </w:t>
      </w:r>
      <w:r>
        <w:t xml:space="preserve">lowest </w:t>
      </w:r>
      <w:r w:rsidRPr="008C5765">
        <w:t>proportion of years lived independently (74.4%) among all groups. They also liv</w:t>
      </w:r>
      <w:r>
        <w:t>ed for</w:t>
      </w:r>
      <w:r w:rsidRPr="008C5765">
        <w:t xml:space="preserve"> longest with dependency (18.7 years</w:t>
      </w:r>
      <w:r>
        <w:t xml:space="preserve"> with functional limitations requiring assistance – less than daily for</w:t>
      </w:r>
      <w:r w:rsidRPr="008C5765">
        <w:t xml:space="preserve"> 14.2</w:t>
      </w:r>
      <w:r>
        <w:t xml:space="preserve"> of those years</w:t>
      </w:r>
      <w:r w:rsidRPr="008C5765">
        <w:t xml:space="preserve"> and </w:t>
      </w:r>
      <w:r>
        <w:t xml:space="preserve">daily for the other </w:t>
      </w:r>
      <w:r w:rsidRPr="008C5765">
        <w:t>4.5 years</w:t>
      </w:r>
      <w:r>
        <w:t>).</w:t>
      </w:r>
    </w:p>
    <w:p w:rsidR="009D1572" w:rsidRDefault="009D1572" w:rsidP="009D1572"/>
    <w:p w:rsidR="009D1572" w:rsidRPr="008C5765" w:rsidRDefault="009D1572" w:rsidP="009D1572">
      <w:pPr>
        <w:keepNext/>
      </w:pPr>
      <w:r w:rsidRPr="008C5765">
        <w:t xml:space="preserve">The underlying causes for such inequality should be investigated by assessing the </w:t>
      </w:r>
      <w:r>
        <w:t>degree to which</w:t>
      </w:r>
      <w:r w:rsidRPr="008C5765">
        <w:t xml:space="preserve"> fatal and non-fatal outcomes</w:t>
      </w:r>
      <w:r>
        <w:t xml:space="preserve"> each contribute to that inequality</w:t>
      </w:r>
      <w:r w:rsidRPr="008C5765">
        <w:t xml:space="preserve">. The </w:t>
      </w:r>
      <w:r>
        <w:t>New Zealand Burden of Diseases S</w:t>
      </w:r>
      <w:r w:rsidRPr="008C5765">
        <w:t xml:space="preserve">tudy indicated that most of </w:t>
      </w:r>
      <w:r>
        <w:t xml:space="preserve">the </w:t>
      </w:r>
      <w:r w:rsidRPr="008C5765">
        <w:t>health loss in Māori is likely to be due to fatal ou</w:t>
      </w:r>
      <w:r>
        <w:t>tcomes (Ministry of Health 2013).</w:t>
      </w:r>
    </w:p>
    <w:p w:rsidR="009D1572" w:rsidRDefault="009D1572" w:rsidP="009D1572"/>
    <w:p w:rsidR="009D1572" w:rsidRPr="008C5765" w:rsidRDefault="009D1572" w:rsidP="009D1572">
      <w:pPr>
        <w:pStyle w:val="Heading2"/>
      </w:pPr>
      <w:bookmarkStart w:id="42" w:name="_Toc423840677"/>
      <w:bookmarkStart w:id="43" w:name="_Toc424645286"/>
      <w:bookmarkStart w:id="44" w:name="_Toc424834176"/>
      <w:r>
        <w:t>Limits to data reliability</w:t>
      </w:r>
      <w:bookmarkEnd w:id="42"/>
      <w:bookmarkEnd w:id="43"/>
      <w:bookmarkEnd w:id="44"/>
    </w:p>
    <w:p w:rsidR="009D1572" w:rsidRPr="008C5765" w:rsidRDefault="009D1572" w:rsidP="009D1572">
      <w:r w:rsidRPr="008C5765">
        <w:t>The</w:t>
      </w:r>
      <w:r>
        <w:t xml:space="preserve"> design of the</w:t>
      </w:r>
      <w:r w:rsidRPr="008C5765">
        <w:t xml:space="preserve"> disability survey </w:t>
      </w:r>
      <w:r>
        <w:t xml:space="preserve">providing much of the data for these estimates has changed </w:t>
      </w:r>
      <w:r w:rsidRPr="008C5765">
        <w:t>over time. M</w:t>
      </w:r>
      <w:r>
        <w:t>ā</w:t>
      </w:r>
      <w:r w:rsidRPr="008C5765">
        <w:t xml:space="preserve">ori and Pacific peoples were considerably over-sampled in the 2006 Disability Survey to allow for more robust estimates for these populations. </w:t>
      </w:r>
      <w:r>
        <w:t>T</w:t>
      </w:r>
      <w:r w:rsidRPr="008C5765">
        <w:t xml:space="preserve">he 2013 </w:t>
      </w:r>
      <w:r>
        <w:t xml:space="preserve">Disability </w:t>
      </w:r>
      <w:r w:rsidRPr="008C5765">
        <w:t>Survey</w:t>
      </w:r>
      <w:r>
        <w:t>, however, included</w:t>
      </w:r>
      <w:r w:rsidRPr="008C5765">
        <w:t xml:space="preserve"> a small over-sample for Māori only. Therefore, ILE estimates for Māori are less reliable given</w:t>
      </w:r>
      <w:r>
        <w:t xml:space="preserve"> the wide confidence intervals.</w:t>
      </w:r>
    </w:p>
    <w:p w:rsidR="009D1572" w:rsidRPr="008C5765" w:rsidRDefault="009D1572" w:rsidP="009D1572"/>
    <w:p w:rsidR="009D1572" w:rsidRDefault="009D1572" w:rsidP="009D1572">
      <w:bookmarkStart w:id="45" w:name="_Toc423840678"/>
      <w:bookmarkStart w:id="46" w:name="_Toc424645287"/>
      <w:r>
        <w:br w:type="page"/>
      </w:r>
    </w:p>
    <w:p w:rsidR="009D1572" w:rsidRPr="008C5765" w:rsidRDefault="009D1572" w:rsidP="009D1572">
      <w:pPr>
        <w:pStyle w:val="Heading1"/>
      </w:pPr>
      <w:bookmarkStart w:id="47" w:name="_Toc424834177"/>
      <w:r w:rsidRPr="008C5765">
        <w:t>Independent life expectancy at age 65 in 2013</w:t>
      </w:r>
      <w:bookmarkEnd w:id="45"/>
      <w:bookmarkEnd w:id="46"/>
      <w:bookmarkEnd w:id="47"/>
    </w:p>
    <w:p w:rsidR="009D1572" w:rsidRDefault="009D1572" w:rsidP="009D1572">
      <w:r w:rsidRPr="008C5765">
        <w:t xml:space="preserve">Independent life expectancy at </w:t>
      </w:r>
      <w:r>
        <w:t xml:space="preserve">the </w:t>
      </w:r>
      <w:r w:rsidRPr="008C5765">
        <w:t xml:space="preserve">age </w:t>
      </w:r>
      <w:r>
        <w:t xml:space="preserve">of </w:t>
      </w:r>
      <w:r w:rsidRPr="008C5765">
        <w:t xml:space="preserve">65 </w:t>
      </w:r>
      <w:r>
        <w:t xml:space="preserve">years </w:t>
      </w:r>
      <w:r w:rsidRPr="008C5765">
        <w:t xml:space="preserve">(pensionable age) is used </w:t>
      </w:r>
      <w:r>
        <w:t>to</w:t>
      </w:r>
      <w:r w:rsidRPr="008C5765">
        <w:t xml:space="preserve"> monitor healthy ageing</w:t>
      </w:r>
      <w:r>
        <w:t xml:space="preserve">. It is a </w:t>
      </w:r>
      <w:r w:rsidRPr="00C71D61">
        <w:t xml:space="preserve">more </w:t>
      </w:r>
      <w:r>
        <w:t xml:space="preserve">appropriate </w:t>
      </w:r>
      <w:r w:rsidRPr="00C71D61">
        <w:t xml:space="preserve">indicator for this age group because </w:t>
      </w:r>
      <w:r>
        <w:t>mortality in early life does not influence</w:t>
      </w:r>
      <w:r w:rsidRPr="00160C70">
        <w:t xml:space="preserve"> </w:t>
      </w:r>
      <w:r>
        <w:t>health state expectancies.</w:t>
      </w:r>
    </w:p>
    <w:p w:rsidR="009D1572" w:rsidRDefault="009D1572" w:rsidP="009D1572"/>
    <w:p w:rsidR="009D1572" w:rsidRPr="00C71D61" w:rsidRDefault="009D1572" w:rsidP="009D1572">
      <w:r>
        <w:t>Estimates are presented separately by gender and ethnicity (Māori and non-Māori) before an overall analysis of the findings and limits to data reliability are discussed.</w:t>
      </w:r>
    </w:p>
    <w:p w:rsidR="009D1572" w:rsidRPr="008C5765" w:rsidRDefault="009D1572" w:rsidP="009D1572"/>
    <w:p w:rsidR="009D1572" w:rsidRPr="008C5765" w:rsidRDefault="009D1572" w:rsidP="009D1572">
      <w:pPr>
        <w:pStyle w:val="Heading2"/>
      </w:pPr>
      <w:bookmarkStart w:id="48" w:name="_Toc423840679"/>
      <w:bookmarkStart w:id="49" w:name="_Toc424645288"/>
      <w:bookmarkStart w:id="50" w:name="_Toc424834178"/>
      <w:r>
        <w:t>ILE by gender</w:t>
      </w:r>
      <w:bookmarkEnd w:id="48"/>
      <w:bookmarkEnd w:id="49"/>
      <w:bookmarkEnd w:id="50"/>
    </w:p>
    <w:p w:rsidR="009D1572" w:rsidRPr="008C5765" w:rsidRDefault="009D1572" w:rsidP="009D1572">
      <w:r>
        <w:t>Between</w:t>
      </w:r>
      <w:r w:rsidRPr="008C5765">
        <w:t xml:space="preserve"> 2012</w:t>
      </w:r>
      <w:r>
        <w:t xml:space="preserve"> and 20</w:t>
      </w:r>
      <w:r w:rsidRPr="008C5765">
        <w:t xml:space="preserve">14, New Zealand life expectancy at age 65 was </w:t>
      </w:r>
      <w:r>
        <w:t xml:space="preserve">another </w:t>
      </w:r>
      <w:r w:rsidRPr="008C5765">
        <w:t xml:space="preserve">18.9 years for males and </w:t>
      </w:r>
      <w:r>
        <w:t xml:space="preserve">another </w:t>
      </w:r>
      <w:r w:rsidRPr="008C5765">
        <w:t>21.3 years for females.</w:t>
      </w:r>
    </w:p>
    <w:p w:rsidR="009D1572" w:rsidRPr="008C5765" w:rsidRDefault="009D1572" w:rsidP="009D1572"/>
    <w:p w:rsidR="009D1572" w:rsidRDefault="009D1572" w:rsidP="009D1572">
      <w:r w:rsidRPr="008C5765">
        <w:t>Based on death and disability rates in 2012</w:t>
      </w:r>
      <w:r>
        <w:t>–20</w:t>
      </w:r>
      <w:r w:rsidRPr="008C5765">
        <w:t xml:space="preserve">14, </w:t>
      </w:r>
      <w:r>
        <w:t xml:space="preserve">a </w:t>
      </w:r>
      <w:r w:rsidRPr="008C5765">
        <w:t>male</w:t>
      </w:r>
      <w:r>
        <w:t xml:space="preserve"> New Zealander</w:t>
      </w:r>
      <w:r w:rsidRPr="008C5765">
        <w:t xml:space="preserve"> age</w:t>
      </w:r>
      <w:r>
        <w:t>d</w:t>
      </w:r>
      <w:r w:rsidRPr="008C5765">
        <w:t xml:space="preserve"> 65</w:t>
      </w:r>
      <w:r>
        <w:t xml:space="preserve"> years in 2013</w:t>
      </w:r>
      <w:r w:rsidRPr="008C5765">
        <w:t xml:space="preserve"> </w:t>
      </w:r>
      <w:r>
        <w:t>can</w:t>
      </w:r>
      <w:r w:rsidRPr="008C5765">
        <w:t xml:space="preserve"> expect to live</w:t>
      </w:r>
      <w:r>
        <w:t xml:space="preserve"> for:</w:t>
      </w:r>
    </w:p>
    <w:p w:rsidR="009D1572" w:rsidRDefault="009D1572" w:rsidP="009D1572">
      <w:pPr>
        <w:pStyle w:val="Bullet"/>
      </w:pPr>
      <w:r>
        <w:t xml:space="preserve">another </w:t>
      </w:r>
      <w:r w:rsidRPr="008C5765">
        <w:t>10.2 years independently</w:t>
      </w:r>
      <w:r>
        <w:t>,</w:t>
      </w:r>
      <w:r w:rsidRPr="00C71D61">
        <w:t xml:space="preserve"> </w:t>
      </w:r>
      <w:r>
        <w:t>on</w:t>
      </w:r>
      <w:r w:rsidRPr="008C5765">
        <w:t xml:space="preserve"> average, which is 54.1% of </w:t>
      </w:r>
      <w:r>
        <w:t xml:space="preserve">his </w:t>
      </w:r>
      <w:r w:rsidRPr="008C5765">
        <w:t>remaining li</w:t>
      </w:r>
      <w:r>
        <w:t>fe</w:t>
      </w:r>
    </w:p>
    <w:p w:rsidR="009D1572" w:rsidRDefault="009D1572" w:rsidP="009D1572">
      <w:pPr>
        <w:pStyle w:val="Bullet"/>
      </w:pPr>
      <w:proofErr w:type="gramStart"/>
      <w:r>
        <w:t>a</w:t>
      </w:r>
      <w:proofErr w:type="gramEnd"/>
      <w:r>
        <w:t xml:space="preserve"> further</w:t>
      </w:r>
      <w:r w:rsidRPr="008C5765">
        <w:t xml:space="preserve"> 8.7 years with functional limitations requiring assistance (non-daily </w:t>
      </w:r>
      <w:r>
        <w:t>5.6 years and daily 3.1 years).</w:t>
      </w:r>
    </w:p>
    <w:p w:rsidR="009D1572" w:rsidRDefault="009D1572" w:rsidP="009D1572"/>
    <w:p w:rsidR="009D1572" w:rsidRDefault="009D1572" w:rsidP="009D1572">
      <w:r>
        <w:t>At</w:t>
      </w:r>
      <w:r w:rsidRPr="008C5765">
        <w:t xml:space="preserve"> 65</w:t>
      </w:r>
      <w:r>
        <w:t xml:space="preserve"> years of age in 2013</w:t>
      </w:r>
      <w:r w:rsidRPr="008C5765">
        <w:t xml:space="preserve">, </w:t>
      </w:r>
      <w:r>
        <w:t xml:space="preserve">a </w:t>
      </w:r>
      <w:r w:rsidRPr="008C5765">
        <w:t>female</w:t>
      </w:r>
      <w:r>
        <w:t xml:space="preserve"> New Zealander can</w:t>
      </w:r>
      <w:r w:rsidRPr="008C5765">
        <w:t xml:space="preserve"> expect to live </w:t>
      </w:r>
      <w:r>
        <w:t>for:</w:t>
      </w:r>
    </w:p>
    <w:p w:rsidR="009D1572" w:rsidRDefault="009D1572" w:rsidP="009D1572">
      <w:pPr>
        <w:pStyle w:val="Bullet"/>
      </w:pPr>
      <w:r>
        <w:t xml:space="preserve">another </w:t>
      </w:r>
      <w:r w:rsidRPr="008C5765">
        <w:t>10.6 years independently</w:t>
      </w:r>
      <w:r>
        <w:t>,</w:t>
      </w:r>
      <w:r w:rsidRPr="00C71D61">
        <w:t xml:space="preserve"> </w:t>
      </w:r>
      <w:r>
        <w:t>on</w:t>
      </w:r>
      <w:r w:rsidRPr="008C5765">
        <w:t xml:space="preserve"> average, which is 49.5% of </w:t>
      </w:r>
      <w:r>
        <w:t>her</w:t>
      </w:r>
      <w:r w:rsidRPr="008C5765">
        <w:t xml:space="preserve"> remaining li</w:t>
      </w:r>
      <w:r>
        <w:t>fe</w:t>
      </w:r>
    </w:p>
    <w:p w:rsidR="009D1572" w:rsidRDefault="009D1572" w:rsidP="009D1572">
      <w:pPr>
        <w:pStyle w:val="Bullet"/>
      </w:pPr>
      <w:proofErr w:type="gramStart"/>
      <w:r w:rsidRPr="008C5765">
        <w:t>a</w:t>
      </w:r>
      <w:proofErr w:type="gramEnd"/>
      <w:r w:rsidRPr="008C5765">
        <w:t xml:space="preserve"> further 10.7 years with disability requiring assistance (non-daily 5.9 years and daily 4.8</w:t>
      </w:r>
      <w:r>
        <w:t> </w:t>
      </w:r>
      <w:r w:rsidRPr="008C5765">
        <w:t>years).</w:t>
      </w:r>
    </w:p>
    <w:p w:rsidR="009D1572" w:rsidRDefault="009D1572" w:rsidP="009D1572"/>
    <w:p w:rsidR="009D1572" w:rsidRPr="008C5765" w:rsidRDefault="009D1572" w:rsidP="009D1572">
      <w:r>
        <w:t>At the age of 65 years, therefore, females can expect to live independently for only</w:t>
      </w:r>
      <w:r w:rsidRPr="008C5765">
        <w:t xml:space="preserve"> 0.4 years</w:t>
      </w:r>
      <w:r>
        <w:t xml:space="preserve"> more than males.</w:t>
      </w:r>
      <w:r w:rsidRPr="008C5765">
        <w:t xml:space="preserve"> </w:t>
      </w:r>
      <w:r>
        <w:t>However, they can expect</w:t>
      </w:r>
      <w:r w:rsidRPr="008C5765">
        <w:t xml:space="preserve"> </w:t>
      </w:r>
      <w:r>
        <w:t xml:space="preserve">to live 2.0 years </w:t>
      </w:r>
      <w:r w:rsidRPr="008C5765">
        <w:t xml:space="preserve">longer with disability requiring assistance </w:t>
      </w:r>
      <w:r>
        <w:t xml:space="preserve">than </w:t>
      </w:r>
      <w:r w:rsidRPr="008C5765">
        <w:t>males (Figure 5).</w:t>
      </w:r>
    </w:p>
    <w:p w:rsidR="009D1572" w:rsidRDefault="009D1572" w:rsidP="009D1572"/>
    <w:p w:rsidR="00955690" w:rsidRDefault="00955690" w:rsidP="00955690">
      <w:pPr>
        <w:pStyle w:val="Figure"/>
      </w:pPr>
      <w:bookmarkStart w:id="51" w:name="_Toc424755747"/>
      <w:r>
        <w:t>Figure 5:</w:t>
      </w:r>
      <w:r w:rsidR="009D1572">
        <w:t xml:space="preserve"> </w:t>
      </w:r>
      <w:r w:rsidR="00194DCC">
        <w:t>Independent life expectancy at age 65, New Zealand males and females, 2013</w:t>
      </w:r>
      <w:bookmarkEnd w:id="51"/>
    </w:p>
    <w:p w:rsidR="00955690" w:rsidRDefault="00C475F3" w:rsidP="00955690">
      <w:r>
        <w:rPr>
          <w:noProof/>
          <w:lang w:eastAsia="en-NZ"/>
        </w:rPr>
        <w:drawing>
          <wp:inline distT="0" distB="0" distL="0" distR="0" wp14:anchorId="3FBA72C2">
            <wp:extent cx="4917981" cy="3000894"/>
            <wp:effectExtent l="0" t="0" r="0" b="0"/>
            <wp:docPr id="8" name="Picture 8" title="Figure 5: Independent life expectancy at age 65, New Zealand males 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5129" cy="3005256"/>
                    </a:xfrm>
                    <a:prstGeom prst="rect">
                      <a:avLst/>
                    </a:prstGeom>
                    <a:noFill/>
                  </pic:spPr>
                </pic:pic>
              </a:graphicData>
            </a:graphic>
          </wp:inline>
        </w:drawing>
      </w:r>
    </w:p>
    <w:p w:rsidR="00194DCC" w:rsidRDefault="00194DCC" w:rsidP="00194DCC">
      <w:pPr>
        <w:pStyle w:val="Note"/>
        <w:rPr>
          <w:bCs/>
        </w:rPr>
      </w:pPr>
      <w:r w:rsidRPr="008C5765">
        <w:t>Note: ILE = independent life expectancy, LED = life expectancy with dependency</w:t>
      </w:r>
      <w:r>
        <w:t>.</w:t>
      </w:r>
    </w:p>
    <w:p w:rsidR="00194DCC" w:rsidRPr="008C5765" w:rsidRDefault="00194DCC" w:rsidP="00194DCC"/>
    <w:p w:rsidR="00194DCC" w:rsidRDefault="00194DCC" w:rsidP="00194DCC">
      <w:pPr>
        <w:pStyle w:val="Heading2"/>
      </w:pPr>
      <w:bookmarkStart w:id="52" w:name="_Toc423840680"/>
      <w:bookmarkStart w:id="53" w:name="_Toc424645289"/>
      <w:bookmarkStart w:id="54" w:name="_Toc424834179"/>
      <w:r>
        <w:t>ILE by ethnicity</w:t>
      </w:r>
      <w:bookmarkEnd w:id="52"/>
      <w:bookmarkEnd w:id="53"/>
      <w:bookmarkEnd w:id="54"/>
    </w:p>
    <w:p w:rsidR="00194DCC" w:rsidRPr="008C5765" w:rsidRDefault="00194DCC" w:rsidP="00194DCC">
      <w:r>
        <w:t>Between</w:t>
      </w:r>
      <w:r w:rsidRPr="008C5765">
        <w:t xml:space="preserve"> 2012</w:t>
      </w:r>
      <w:r>
        <w:t xml:space="preserve"> and 20</w:t>
      </w:r>
      <w:r w:rsidRPr="008C5765">
        <w:t>14, life expectancy for Māori at age 65 was</w:t>
      </w:r>
      <w:r>
        <w:t xml:space="preserve"> another</w:t>
      </w:r>
      <w:r w:rsidRPr="008C5765">
        <w:t xml:space="preserve"> 15.4 years for males and </w:t>
      </w:r>
      <w:r>
        <w:t xml:space="preserve">another </w:t>
      </w:r>
      <w:r w:rsidRPr="008C5765">
        <w:t>17.5 years for females.</w:t>
      </w:r>
      <w:r w:rsidRPr="00677D36">
        <w:t xml:space="preserve"> </w:t>
      </w:r>
      <w:r>
        <w:t>These estimates compare with</w:t>
      </w:r>
      <w:r w:rsidRPr="008C5765">
        <w:t xml:space="preserve"> </w:t>
      </w:r>
      <w:r>
        <w:t xml:space="preserve">another </w:t>
      </w:r>
      <w:r w:rsidRPr="008C5765">
        <w:t xml:space="preserve">19.1 years </w:t>
      </w:r>
      <w:r>
        <w:t>for non-</w:t>
      </w:r>
      <w:r w:rsidRPr="008C5765">
        <w:t>Māori</w:t>
      </w:r>
      <w:r>
        <w:t xml:space="preserve"> males </w:t>
      </w:r>
      <w:r w:rsidRPr="008C5765">
        <w:t>and</w:t>
      </w:r>
      <w:r>
        <w:t xml:space="preserve"> another</w:t>
      </w:r>
      <w:r w:rsidRPr="008C5765">
        <w:t xml:space="preserve"> 21.6 years</w:t>
      </w:r>
      <w:r w:rsidRPr="00677D36">
        <w:t xml:space="preserve"> </w:t>
      </w:r>
      <w:r>
        <w:t>for non-</w:t>
      </w:r>
      <w:r w:rsidRPr="008C5765">
        <w:t>Māori</w:t>
      </w:r>
      <w:r>
        <w:t xml:space="preserve"> </w:t>
      </w:r>
      <w:r w:rsidRPr="008C5765">
        <w:t xml:space="preserve">females. </w:t>
      </w:r>
    </w:p>
    <w:p w:rsidR="00194DCC" w:rsidRPr="008C5765" w:rsidRDefault="00194DCC" w:rsidP="00194DCC"/>
    <w:p w:rsidR="00194DCC" w:rsidRDefault="00194DCC" w:rsidP="00194DCC">
      <w:r w:rsidRPr="008C5765">
        <w:t xml:space="preserve">Based on death and disability rates </w:t>
      </w:r>
      <w:r>
        <w:t>between</w:t>
      </w:r>
      <w:r w:rsidRPr="008C5765">
        <w:t xml:space="preserve"> 2012</w:t>
      </w:r>
      <w:r>
        <w:t xml:space="preserve"> and 20</w:t>
      </w:r>
      <w:r w:rsidRPr="008C5765">
        <w:t>14</w:t>
      </w:r>
      <w:r>
        <w:t>, a</w:t>
      </w:r>
      <w:r w:rsidRPr="008C5765">
        <w:t xml:space="preserve"> Māori male</w:t>
      </w:r>
      <w:r>
        <w:t xml:space="preserve"> aged 65 years in 2013 can</w:t>
      </w:r>
      <w:r w:rsidRPr="008C5765">
        <w:t xml:space="preserve"> expect to live </w:t>
      </w:r>
      <w:r>
        <w:t>for:</w:t>
      </w:r>
    </w:p>
    <w:p w:rsidR="00194DCC" w:rsidRDefault="00194DCC" w:rsidP="00194DCC">
      <w:pPr>
        <w:pStyle w:val="Bullet"/>
      </w:pPr>
      <w:proofErr w:type="gramStart"/>
      <w:r>
        <w:t>another</w:t>
      </w:r>
      <w:proofErr w:type="gramEnd"/>
      <w:r>
        <w:t xml:space="preserve"> </w:t>
      </w:r>
      <w:r w:rsidRPr="008C5765">
        <w:t xml:space="preserve">5.5 years </w:t>
      </w:r>
      <w:r>
        <w:t xml:space="preserve"> independently</w:t>
      </w:r>
      <w:r w:rsidRPr="008C5765">
        <w:t>,</w:t>
      </w:r>
      <w:r>
        <w:t xml:space="preserve"> on average,</w:t>
      </w:r>
      <w:r w:rsidRPr="008C5765">
        <w:t xml:space="preserve"> which is about a third of the remaining years of </w:t>
      </w:r>
      <w:r>
        <w:t xml:space="preserve">his </w:t>
      </w:r>
      <w:r w:rsidRPr="008C5765">
        <w:t xml:space="preserve">life. </w:t>
      </w:r>
      <w:r>
        <w:t>It</w:t>
      </w:r>
      <w:r w:rsidRPr="008C5765">
        <w:t xml:space="preserve"> is </w:t>
      </w:r>
      <w:r>
        <w:t xml:space="preserve">also </w:t>
      </w:r>
      <w:r w:rsidRPr="008C5765">
        <w:t>half the number of years non-Māori males are expected to live independently (10.6 years)</w:t>
      </w:r>
      <w:r>
        <w:t>, a</w:t>
      </w:r>
      <w:r w:rsidRPr="008C5765">
        <w:t xml:space="preserve"> difference </w:t>
      </w:r>
      <w:r>
        <w:t xml:space="preserve">that </w:t>
      </w:r>
      <w:r w:rsidRPr="008C5765">
        <w:t>is statistically significant at the 95% confidence level</w:t>
      </w:r>
    </w:p>
    <w:p w:rsidR="00194DCC" w:rsidRDefault="00194DCC" w:rsidP="00194DCC">
      <w:pPr>
        <w:pStyle w:val="Bullet"/>
      </w:pPr>
      <w:proofErr w:type="gramStart"/>
      <w:r>
        <w:t>a</w:t>
      </w:r>
      <w:proofErr w:type="gramEnd"/>
      <w:r>
        <w:t xml:space="preserve"> further 9.9 years </w:t>
      </w:r>
      <w:r w:rsidRPr="008C5765">
        <w:t>with disability requiring assistance</w:t>
      </w:r>
      <w:r>
        <w:t>, which is longer</w:t>
      </w:r>
      <w:r w:rsidRPr="008C5765">
        <w:t xml:space="preserve"> than </w:t>
      </w:r>
      <w:r>
        <w:t xml:space="preserve">for </w:t>
      </w:r>
      <w:r w:rsidRPr="008C5765">
        <w:t>non-Māori males (8.5 years).</w:t>
      </w:r>
      <w:r>
        <w:t xml:space="preserve"> </w:t>
      </w:r>
      <w:r w:rsidRPr="008C5765">
        <w:t xml:space="preserve">Māori males </w:t>
      </w:r>
      <w:r>
        <w:t xml:space="preserve">can expect to </w:t>
      </w:r>
      <w:r w:rsidRPr="008C5765">
        <w:t xml:space="preserve">live </w:t>
      </w:r>
      <w:r>
        <w:t>most (7.5 years)</w:t>
      </w:r>
      <w:r w:rsidRPr="000F5045">
        <w:t xml:space="preserve"> </w:t>
      </w:r>
      <w:r>
        <w:t xml:space="preserve">of these 9.9 years </w:t>
      </w:r>
      <w:r w:rsidRPr="008C5765">
        <w:t>requiring non-daily</w:t>
      </w:r>
      <w:r>
        <w:t xml:space="preserve"> assistance and another 2.4 years requiring</w:t>
      </w:r>
      <w:r w:rsidRPr="008C5765">
        <w:t xml:space="preserve"> daily assistance.</w:t>
      </w:r>
    </w:p>
    <w:p w:rsidR="00194DCC" w:rsidRDefault="00194DCC" w:rsidP="00194DCC"/>
    <w:p w:rsidR="00194DCC" w:rsidRDefault="00194DCC" w:rsidP="00194DCC">
      <w:r>
        <w:t>At the</w:t>
      </w:r>
      <w:r w:rsidRPr="008C5765">
        <w:t xml:space="preserve"> age </w:t>
      </w:r>
      <w:r>
        <w:t xml:space="preserve">of </w:t>
      </w:r>
      <w:r w:rsidRPr="008C5765">
        <w:t>65</w:t>
      </w:r>
      <w:r>
        <w:t xml:space="preserve"> years</w:t>
      </w:r>
      <w:r w:rsidRPr="008C5765">
        <w:t>,</w:t>
      </w:r>
      <w:r>
        <w:t xml:space="preserve"> a</w:t>
      </w:r>
      <w:r w:rsidRPr="008C5765">
        <w:t xml:space="preserve"> Māori female</w:t>
      </w:r>
      <w:r>
        <w:t xml:space="preserve"> can</w:t>
      </w:r>
      <w:r w:rsidRPr="008C5765">
        <w:t xml:space="preserve"> expect to live </w:t>
      </w:r>
      <w:r>
        <w:t>for:</w:t>
      </w:r>
    </w:p>
    <w:p w:rsidR="00194DCC" w:rsidRDefault="00194DCC" w:rsidP="00194DCC">
      <w:pPr>
        <w:pStyle w:val="Bullet"/>
      </w:pPr>
      <w:r>
        <w:t xml:space="preserve">another </w:t>
      </w:r>
      <w:r w:rsidRPr="008C5765">
        <w:t>9.4 years independently,</w:t>
      </w:r>
      <w:r w:rsidRPr="00E257FA">
        <w:t xml:space="preserve"> </w:t>
      </w:r>
      <w:r>
        <w:t>on average,</w:t>
      </w:r>
      <w:r w:rsidRPr="008C5765">
        <w:t xml:space="preserve"> which is approximately half of </w:t>
      </w:r>
      <w:r>
        <w:t>her</w:t>
      </w:r>
      <w:r w:rsidRPr="008C5765">
        <w:t xml:space="preserve"> remaining years of life</w:t>
      </w:r>
      <w:r>
        <w:t xml:space="preserve"> and</w:t>
      </w:r>
      <w:r w:rsidRPr="008C5765">
        <w:t xml:space="preserve"> 3.9 </w:t>
      </w:r>
      <w:r>
        <w:t xml:space="preserve">more </w:t>
      </w:r>
      <w:r w:rsidRPr="008C5765">
        <w:t>years</w:t>
      </w:r>
      <w:r>
        <w:t xml:space="preserve"> than a </w:t>
      </w:r>
      <w:r w:rsidRPr="008C5765">
        <w:t xml:space="preserve">Māori </w:t>
      </w:r>
      <w:r>
        <w:t>male</w:t>
      </w:r>
    </w:p>
    <w:p w:rsidR="00194DCC" w:rsidRPr="008C5765" w:rsidRDefault="00194DCC" w:rsidP="00194DCC">
      <w:pPr>
        <w:pStyle w:val="Bullet"/>
      </w:pPr>
      <w:proofErr w:type="gramStart"/>
      <w:r>
        <w:t>a</w:t>
      </w:r>
      <w:proofErr w:type="gramEnd"/>
      <w:r>
        <w:t xml:space="preserve"> further 8.1 years</w:t>
      </w:r>
      <w:r w:rsidRPr="008C5765">
        <w:t xml:space="preserve"> with disability requiring assistance</w:t>
      </w:r>
      <w:r>
        <w:t>, which is not different at a statistically significant level from</w:t>
      </w:r>
      <w:r w:rsidR="00B6732A">
        <w:t xml:space="preserve"> non-Māori females (10.9</w:t>
      </w:r>
      <w:r w:rsidRPr="008C5765">
        <w:t xml:space="preserve"> years). Māori females</w:t>
      </w:r>
      <w:r>
        <w:t xml:space="preserve"> can expect to</w:t>
      </w:r>
      <w:r w:rsidRPr="008C5765">
        <w:t xml:space="preserve"> requir</w:t>
      </w:r>
      <w:r>
        <w:t>e</w:t>
      </w:r>
      <w:r w:rsidRPr="008C5765">
        <w:t xml:space="preserve"> non-daily </w:t>
      </w:r>
      <w:r>
        <w:t xml:space="preserve">assistance (4.8 years) for a longer time </w:t>
      </w:r>
      <w:r w:rsidRPr="008C5765">
        <w:t xml:space="preserve">than </w:t>
      </w:r>
      <w:r>
        <w:t xml:space="preserve">they require </w:t>
      </w:r>
      <w:r w:rsidRPr="008C5765">
        <w:t>daily support (3.3 years) (Figure 6).</w:t>
      </w:r>
    </w:p>
    <w:p w:rsidR="00194DCC" w:rsidRPr="008C5765" w:rsidRDefault="00194DCC" w:rsidP="00194DCC"/>
    <w:p w:rsidR="00955690" w:rsidRDefault="00955690" w:rsidP="00955690">
      <w:pPr>
        <w:pStyle w:val="Figure"/>
      </w:pPr>
      <w:bookmarkStart w:id="55" w:name="_Toc424755748"/>
      <w:r>
        <w:t>Figure 6:</w:t>
      </w:r>
      <w:r w:rsidR="00194DCC">
        <w:t xml:space="preserve"> Independent life expectancy at age 65, New Zealand </w:t>
      </w:r>
      <w:r w:rsidR="00B6732A" w:rsidRPr="00B6732A">
        <w:t xml:space="preserve">Māori </w:t>
      </w:r>
      <w:r w:rsidR="00194DCC">
        <w:t>males and females, 2013</w:t>
      </w:r>
      <w:bookmarkEnd w:id="55"/>
    </w:p>
    <w:p w:rsidR="00955690" w:rsidRDefault="00C475F3" w:rsidP="00955690">
      <w:r>
        <w:rPr>
          <w:noProof/>
          <w:lang w:eastAsia="en-NZ"/>
        </w:rPr>
        <w:drawing>
          <wp:inline distT="0" distB="0" distL="0" distR="0" wp14:anchorId="6B27DEEF">
            <wp:extent cx="4904509" cy="2992673"/>
            <wp:effectExtent l="0" t="0" r="0" b="0"/>
            <wp:docPr id="22" name="Picture 22" title="Figure 6: Independent life expectancy at age 65, New Zealand males 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05920" cy="2993534"/>
                    </a:xfrm>
                    <a:prstGeom prst="rect">
                      <a:avLst/>
                    </a:prstGeom>
                    <a:noFill/>
                  </pic:spPr>
                </pic:pic>
              </a:graphicData>
            </a:graphic>
          </wp:inline>
        </w:drawing>
      </w:r>
    </w:p>
    <w:p w:rsidR="00194DCC" w:rsidRDefault="00194DCC" w:rsidP="00194DCC">
      <w:pPr>
        <w:pStyle w:val="Note"/>
      </w:pPr>
      <w:r w:rsidRPr="008C5765">
        <w:t>Note: ILE = independent life expectancy, LED = life expectancy with dependency</w:t>
      </w:r>
      <w:r>
        <w:t>.</w:t>
      </w:r>
    </w:p>
    <w:p w:rsidR="00194DCC" w:rsidRPr="008C5765" w:rsidRDefault="00194DCC" w:rsidP="00194DCC"/>
    <w:p w:rsidR="00194DCC" w:rsidRPr="008C5765" w:rsidRDefault="00194DCC" w:rsidP="00194DCC">
      <w:r w:rsidRPr="008C5765">
        <w:t xml:space="preserve">ILE at </w:t>
      </w:r>
      <w:r>
        <w:t xml:space="preserve">the </w:t>
      </w:r>
      <w:r w:rsidRPr="008C5765">
        <w:t xml:space="preserve">age </w:t>
      </w:r>
      <w:r>
        <w:t xml:space="preserve">of </w:t>
      </w:r>
      <w:r w:rsidRPr="008C5765">
        <w:t xml:space="preserve">65 </w:t>
      </w:r>
      <w:r>
        <w:t xml:space="preserve">years </w:t>
      </w:r>
      <w:r w:rsidRPr="008C5765">
        <w:t>is nearly the same for non-Māori males and females (</w:t>
      </w:r>
      <w:r>
        <w:t xml:space="preserve">another </w:t>
      </w:r>
      <w:r w:rsidRPr="008C5765">
        <w:t>10.6 and 10.7 years respectively), and is approximately half of the</w:t>
      </w:r>
      <w:r>
        <w:t>ir</w:t>
      </w:r>
      <w:r w:rsidRPr="008C5765">
        <w:t xml:space="preserve"> remaining years of life. </w:t>
      </w:r>
      <w:r>
        <w:t>At</w:t>
      </w:r>
      <w:r w:rsidRPr="008C5765">
        <w:t xml:space="preserve"> 65</w:t>
      </w:r>
      <w:r>
        <w:t xml:space="preserve"> years of age</w:t>
      </w:r>
      <w:r w:rsidRPr="008C5765">
        <w:t xml:space="preserve">, non-Māori females </w:t>
      </w:r>
      <w:r>
        <w:t xml:space="preserve">can expect to </w:t>
      </w:r>
      <w:r w:rsidRPr="008C5765">
        <w:t xml:space="preserve">live longer with disability requiring assistance than non-Māori males (10.9 </w:t>
      </w:r>
      <w:r>
        <w:t>and</w:t>
      </w:r>
      <w:r w:rsidRPr="008C5765">
        <w:t xml:space="preserve"> 8.5 years</w:t>
      </w:r>
      <w:r>
        <w:t xml:space="preserve"> respectively</w:t>
      </w:r>
      <w:r w:rsidRPr="008C5765">
        <w:t>), but with a similar proportion of years requiring non-daily</w:t>
      </w:r>
      <w:r>
        <w:t xml:space="preserve"> support (females 6.0 years and males 5.4 years)</w:t>
      </w:r>
      <w:r w:rsidRPr="008C5765">
        <w:t xml:space="preserve"> and daily support (females 4.9</w:t>
      </w:r>
      <w:r>
        <w:t xml:space="preserve"> years and</w:t>
      </w:r>
      <w:r w:rsidRPr="008C5765">
        <w:t xml:space="preserve"> males 3.1 years) (Figure 7).</w:t>
      </w:r>
    </w:p>
    <w:p w:rsidR="00194DCC" w:rsidRDefault="00194DCC" w:rsidP="00194DCC"/>
    <w:p w:rsidR="00955690" w:rsidRDefault="00955690" w:rsidP="00955690">
      <w:pPr>
        <w:pStyle w:val="Figure"/>
      </w:pPr>
      <w:bookmarkStart w:id="56" w:name="_Toc424755749"/>
      <w:r>
        <w:t>Figure 7:</w:t>
      </w:r>
      <w:r w:rsidR="00194DCC">
        <w:t xml:space="preserve"> Independent life expectancy at age 65, non-Māori males and females, 2013</w:t>
      </w:r>
      <w:bookmarkEnd w:id="56"/>
    </w:p>
    <w:p w:rsidR="00955690" w:rsidRDefault="00C475F3" w:rsidP="00955690">
      <w:r>
        <w:rPr>
          <w:noProof/>
          <w:lang w:eastAsia="en-NZ"/>
        </w:rPr>
        <w:drawing>
          <wp:inline distT="0" distB="0" distL="0" distR="0" wp14:anchorId="6087E4CC">
            <wp:extent cx="4862945" cy="2967311"/>
            <wp:effectExtent l="0" t="0" r="0" b="0"/>
            <wp:docPr id="23" name="Picture 23" title="Figure 7: Independent life expectancy at age 65, non-Māori males 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8467" cy="2970680"/>
                    </a:xfrm>
                    <a:prstGeom prst="rect">
                      <a:avLst/>
                    </a:prstGeom>
                    <a:noFill/>
                  </pic:spPr>
                </pic:pic>
              </a:graphicData>
            </a:graphic>
          </wp:inline>
        </w:drawing>
      </w:r>
    </w:p>
    <w:p w:rsidR="00194DCC" w:rsidRDefault="00194DCC" w:rsidP="00194DCC">
      <w:pPr>
        <w:pStyle w:val="Note"/>
        <w:rPr>
          <w:bCs/>
        </w:rPr>
      </w:pPr>
      <w:r w:rsidRPr="008C5765">
        <w:t>Note: ILE = independent life expectancy, LED = life expectancy with dependency</w:t>
      </w:r>
      <w:r>
        <w:t>.</w:t>
      </w:r>
    </w:p>
    <w:p w:rsidR="00194DCC" w:rsidRPr="008C5765" w:rsidRDefault="00194DCC" w:rsidP="00194DCC"/>
    <w:p w:rsidR="00194DCC" w:rsidRPr="008C5765" w:rsidRDefault="00194DCC" w:rsidP="00194DCC">
      <w:pPr>
        <w:pStyle w:val="Heading2"/>
      </w:pPr>
      <w:bookmarkStart w:id="57" w:name="_Toc423840681"/>
      <w:bookmarkStart w:id="58" w:name="_Toc424645290"/>
      <w:bookmarkStart w:id="59" w:name="_Toc424834180"/>
      <w:r>
        <w:t>Analysis across gender and ethnic groups</w:t>
      </w:r>
      <w:bookmarkEnd w:id="57"/>
      <w:bookmarkEnd w:id="58"/>
      <w:bookmarkEnd w:id="59"/>
    </w:p>
    <w:p w:rsidR="00194DCC" w:rsidRPr="008C5765" w:rsidRDefault="00194DCC" w:rsidP="00194DCC">
      <w:r w:rsidRPr="008C5765">
        <w:t>Table 2</w:t>
      </w:r>
      <w:r>
        <w:t xml:space="preserve"> compares the remaining number of y</w:t>
      </w:r>
      <w:r w:rsidRPr="008C5765">
        <w:t xml:space="preserve">ears </w:t>
      </w:r>
      <w:r>
        <w:t xml:space="preserve">people aged 65 years in 2013 can expect to </w:t>
      </w:r>
      <w:r w:rsidRPr="008C5765">
        <w:t xml:space="preserve">live independently with </w:t>
      </w:r>
      <w:r>
        <w:t xml:space="preserve">the remaining number of years they are expected to live with </w:t>
      </w:r>
      <w:r w:rsidRPr="008C5765">
        <w:t xml:space="preserve">dependency and </w:t>
      </w:r>
      <w:r>
        <w:t xml:space="preserve">their remaining </w:t>
      </w:r>
      <w:r w:rsidRPr="008C5765">
        <w:t>life expectancy</w:t>
      </w:r>
      <w:r>
        <w:t>. It breaks these data down by gender and ethnic groups</w:t>
      </w:r>
      <w:r w:rsidRPr="008C5765">
        <w:t>.</w:t>
      </w:r>
    </w:p>
    <w:p w:rsidR="00194DCC" w:rsidRPr="008C5765" w:rsidRDefault="00194DCC" w:rsidP="00194DCC"/>
    <w:p w:rsidR="00194DCC" w:rsidRPr="008C5765" w:rsidRDefault="00194DCC" w:rsidP="00194DCC">
      <w:pPr>
        <w:pStyle w:val="Table"/>
        <w:rPr>
          <w:bCs/>
        </w:rPr>
      </w:pPr>
      <w:bookmarkStart w:id="60" w:name="_Toc423839092"/>
      <w:bookmarkStart w:id="61" w:name="_Toc424613638"/>
      <w:bookmarkStart w:id="62" w:name="_Toc424755737"/>
      <w:r w:rsidRPr="008C5765">
        <w:t xml:space="preserve">Table </w:t>
      </w:r>
      <w:r w:rsidR="00690EB3">
        <w:t>2</w:t>
      </w:r>
      <w:r>
        <w:rPr>
          <w:noProof/>
        </w:rPr>
        <w:t>:</w:t>
      </w:r>
      <w:r w:rsidRPr="008C5765">
        <w:t xml:space="preserve"> Independent life expectancy at age 65, by gender and ethnicity, 2013</w:t>
      </w:r>
      <w:bookmarkEnd w:id="60"/>
      <w:bookmarkEnd w:id="61"/>
      <w:bookmarkEnd w:id="62"/>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157"/>
        <w:gridCol w:w="1158"/>
        <w:gridCol w:w="1158"/>
        <w:gridCol w:w="1157"/>
        <w:gridCol w:w="1158"/>
        <w:gridCol w:w="1158"/>
      </w:tblGrid>
      <w:tr w:rsidR="00B95C61" w:rsidRPr="00B95C61" w:rsidTr="00E55510">
        <w:trPr>
          <w:cantSplit/>
        </w:trPr>
        <w:tc>
          <w:tcPr>
            <w:tcW w:w="2410" w:type="dxa"/>
            <w:vMerge w:val="restart"/>
            <w:tcBorders>
              <w:right w:val="nil"/>
            </w:tcBorders>
          </w:tcPr>
          <w:p w:rsidR="00B95C61" w:rsidRPr="00B95C61" w:rsidRDefault="00B95C61" w:rsidP="00B95C61">
            <w:pPr>
              <w:pStyle w:val="TableText"/>
              <w:rPr>
                <w:b/>
              </w:rPr>
            </w:pPr>
            <w:r w:rsidRPr="00B95C61">
              <w:rPr>
                <w:b/>
              </w:rPr>
              <w:t>Indicator</w:t>
            </w:r>
          </w:p>
        </w:tc>
        <w:tc>
          <w:tcPr>
            <w:tcW w:w="6946" w:type="dxa"/>
            <w:gridSpan w:val="6"/>
            <w:tcBorders>
              <w:top w:val="single" w:sz="4" w:space="0" w:color="auto"/>
              <w:left w:val="nil"/>
              <w:bottom w:val="single" w:sz="4" w:space="0" w:color="A6A6A6" w:themeColor="background1" w:themeShade="A6"/>
            </w:tcBorders>
          </w:tcPr>
          <w:p w:rsidR="00B95C61" w:rsidRPr="00B95C61" w:rsidRDefault="00B95C61" w:rsidP="00E55510">
            <w:pPr>
              <w:pStyle w:val="TableText"/>
              <w:jc w:val="center"/>
              <w:rPr>
                <w:b/>
              </w:rPr>
            </w:pPr>
            <w:r w:rsidRPr="00B95C61">
              <w:rPr>
                <w:b/>
              </w:rPr>
              <w:t>Independent life expectancy in years</w:t>
            </w:r>
          </w:p>
        </w:tc>
      </w:tr>
      <w:tr w:rsidR="00B95C61" w:rsidRPr="00B95C61" w:rsidTr="00E55510">
        <w:trPr>
          <w:cantSplit/>
        </w:trPr>
        <w:tc>
          <w:tcPr>
            <w:tcW w:w="2410" w:type="dxa"/>
            <w:vMerge/>
            <w:tcBorders>
              <w:bottom w:val="single" w:sz="4" w:space="0" w:color="auto"/>
              <w:right w:val="nil"/>
            </w:tcBorders>
          </w:tcPr>
          <w:p w:rsidR="00B95C61" w:rsidRPr="00B95C61" w:rsidRDefault="00B95C61" w:rsidP="00B95C61">
            <w:pPr>
              <w:pStyle w:val="TableText"/>
              <w:rPr>
                <w:b/>
              </w:rPr>
            </w:pPr>
          </w:p>
        </w:tc>
        <w:tc>
          <w:tcPr>
            <w:tcW w:w="1157" w:type="dxa"/>
            <w:tcBorders>
              <w:top w:val="single" w:sz="4" w:space="0" w:color="A6A6A6" w:themeColor="background1" w:themeShade="A6"/>
              <w:left w:val="nil"/>
              <w:bottom w:val="single" w:sz="4" w:space="0" w:color="auto"/>
            </w:tcBorders>
          </w:tcPr>
          <w:p w:rsidR="00B95C61" w:rsidRPr="00B95C61" w:rsidRDefault="00B95C61" w:rsidP="00E55510">
            <w:pPr>
              <w:pStyle w:val="TableText"/>
              <w:jc w:val="center"/>
              <w:rPr>
                <w:b/>
              </w:rPr>
            </w:pPr>
            <w:r w:rsidRPr="00B95C61">
              <w:rPr>
                <w:b/>
              </w:rPr>
              <w:t>Total</w:t>
            </w:r>
            <w:r w:rsidRPr="00B95C61">
              <w:rPr>
                <w:b/>
              </w:rPr>
              <w:br/>
              <w:t>males</w:t>
            </w:r>
          </w:p>
        </w:tc>
        <w:tc>
          <w:tcPr>
            <w:tcW w:w="1158" w:type="dxa"/>
            <w:tcBorders>
              <w:top w:val="single" w:sz="4" w:space="0" w:color="A6A6A6" w:themeColor="background1" w:themeShade="A6"/>
              <w:bottom w:val="single" w:sz="4" w:space="0" w:color="auto"/>
            </w:tcBorders>
          </w:tcPr>
          <w:p w:rsidR="00B95C61" w:rsidRPr="00B95C61" w:rsidRDefault="00B95C61" w:rsidP="00E55510">
            <w:pPr>
              <w:pStyle w:val="TableText"/>
              <w:jc w:val="center"/>
              <w:rPr>
                <w:b/>
              </w:rPr>
            </w:pPr>
            <w:r w:rsidRPr="00B95C61">
              <w:rPr>
                <w:b/>
              </w:rPr>
              <w:t>Total females</w:t>
            </w:r>
          </w:p>
        </w:tc>
        <w:tc>
          <w:tcPr>
            <w:tcW w:w="1158" w:type="dxa"/>
            <w:tcBorders>
              <w:top w:val="single" w:sz="4" w:space="0" w:color="A6A6A6" w:themeColor="background1" w:themeShade="A6"/>
              <w:bottom w:val="single" w:sz="4" w:space="0" w:color="auto"/>
            </w:tcBorders>
          </w:tcPr>
          <w:p w:rsidR="00B95C61" w:rsidRPr="00B95C61" w:rsidRDefault="00B95C61" w:rsidP="00E55510">
            <w:pPr>
              <w:pStyle w:val="TableText"/>
              <w:jc w:val="center"/>
              <w:rPr>
                <w:b/>
              </w:rPr>
            </w:pPr>
            <w:r w:rsidRPr="00B95C61">
              <w:rPr>
                <w:b/>
              </w:rPr>
              <w:t>Māori</w:t>
            </w:r>
            <w:r w:rsidRPr="00B95C61">
              <w:rPr>
                <w:b/>
              </w:rPr>
              <w:br/>
              <w:t>males</w:t>
            </w:r>
          </w:p>
        </w:tc>
        <w:tc>
          <w:tcPr>
            <w:tcW w:w="1157" w:type="dxa"/>
            <w:tcBorders>
              <w:top w:val="single" w:sz="4" w:space="0" w:color="A6A6A6" w:themeColor="background1" w:themeShade="A6"/>
              <w:bottom w:val="single" w:sz="4" w:space="0" w:color="auto"/>
            </w:tcBorders>
          </w:tcPr>
          <w:p w:rsidR="00B95C61" w:rsidRPr="00B95C61" w:rsidRDefault="00B95C61" w:rsidP="00E55510">
            <w:pPr>
              <w:pStyle w:val="TableText"/>
              <w:jc w:val="center"/>
              <w:rPr>
                <w:b/>
              </w:rPr>
            </w:pPr>
            <w:r w:rsidRPr="00B95C61">
              <w:rPr>
                <w:b/>
              </w:rPr>
              <w:t>Māori females</w:t>
            </w:r>
          </w:p>
        </w:tc>
        <w:tc>
          <w:tcPr>
            <w:tcW w:w="1158" w:type="dxa"/>
            <w:tcBorders>
              <w:top w:val="single" w:sz="4" w:space="0" w:color="A6A6A6" w:themeColor="background1" w:themeShade="A6"/>
              <w:bottom w:val="single" w:sz="4" w:space="0" w:color="auto"/>
            </w:tcBorders>
          </w:tcPr>
          <w:p w:rsidR="00B95C61" w:rsidRPr="00B95C61" w:rsidRDefault="00B95C61" w:rsidP="00E55510">
            <w:pPr>
              <w:pStyle w:val="TableText"/>
              <w:jc w:val="center"/>
              <w:rPr>
                <w:b/>
              </w:rPr>
            </w:pPr>
            <w:r w:rsidRPr="00B95C61">
              <w:rPr>
                <w:b/>
              </w:rPr>
              <w:t>Non-Māori males</w:t>
            </w:r>
          </w:p>
        </w:tc>
        <w:tc>
          <w:tcPr>
            <w:tcW w:w="1158" w:type="dxa"/>
            <w:tcBorders>
              <w:top w:val="single" w:sz="4" w:space="0" w:color="A6A6A6" w:themeColor="background1" w:themeShade="A6"/>
              <w:bottom w:val="single" w:sz="4" w:space="0" w:color="auto"/>
            </w:tcBorders>
          </w:tcPr>
          <w:p w:rsidR="00B95C61" w:rsidRPr="00B95C61" w:rsidRDefault="00B95C61" w:rsidP="00E55510">
            <w:pPr>
              <w:pStyle w:val="TableText"/>
              <w:jc w:val="center"/>
              <w:rPr>
                <w:b/>
              </w:rPr>
            </w:pPr>
            <w:r w:rsidRPr="00B95C61">
              <w:rPr>
                <w:b/>
              </w:rPr>
              <w:t>Non-Māori females</w:t>
            </w:r>
          </w:p>
        </w:tc>
      </w:tr>
      <w:tr w:rsidR="00B95C61" w:rsidTr="00E55510">
        <w:trPr>
          <w:cantSplit/>
        </w:trPr>
        <w:tc>
          <w:tcPr>
            <w:tcW w:w="2410" w:type="dxa"/>
            <w:tcBorders>
              <w:top w:val="single" w:sz="4" w:space="0" w:color="auto"/>
              <w:bottom w:val="nil"/>
              <w:right w:val="nil"/>
            </w:tcBorders>
            <w:shd w:val="clear" w:color="auto" w:fill="F2F2F2" w:themeFill="background1" w:themeFillShade="F2"/>
          </w:tcPr>
          <w:p w:rsidR="00B95C61" w:rsidRPr="0060134B" w:rsidRDefault="00B95C61" w:rsidP="00B95C61">
            <w:pPr>
              <w:pStyle w:val="TableText"/>
            </w:pPr>
            <w:r w:rsidRPr="0060134B">
              <w:t>LE</w:t>
            </w:r>
          </w:p>
        </w:tc>
        <w:tc>
          <w:tcPr>
            <w:tcW w:w="1157" w:type="dxa"/>
            <w:tcBorders>
              <w:top w:val="single" w:sz="4" w:space="0" w:color="auto"/>
              <w:left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18.9</w:t>
            </w:r>
          </w:p>
        </w:tc>
        <w:tc>
          <w:tcPr>
            <w:tcW w:w="1158" w:type="dxa"/>
            <w:tcBorders>
              <w:top w:val="single" w:sz="4" w:space="0" w:color="auto"/>
              <w:bottom w:val="nil"/>
            </w:tcBorders>
            <w:shd w:val="clear" w:color="auto" w:fill="F2F2F2" w:themeFill="background1" w:themeFillShade="F2"/>
          </w:tcPr>
          <w:p w:rsidR="00B95C61" w:rsidRPr="0060134B" w:rsidRDefault="00B95C61" w:rsidP="00E55510">
            <w:pPr>
              <w:pStyle w:val="TableText"/>
              <w:tabs>
                <w:tab w:val="decimal" w:pos="467"/>
              </w:tabs>
            </w:pPr>
            <w:r w:rsidRPr="0060134B">
              <w:t>21.3</w:t>
            </w:r>
          </w:p>
        </w:tc>
        <w:tc>
          <w:tcPr>
            <w:tcW w:w="1158" w:type="dxa"/>
            <w:tcBorders>
              <w:top w:val="single" w:sz="4" w:space="0" w:color="auto"/>
              <w:bottom w:val="nil"/>
            </w:tcBorders>
            <w:shd w:val="clear" w:color="auto" w:fill="F2F2F2" w:themeFill="background1" w:themeFillShade="F2"/>
          </w:tcPr>
          <w:p w:rsidR="00B95C61" w:rsidRPr="0060134B" w:rsidRDefault="00B95C61" w:rsidP="00E55510">
            <w:pPr>
              <w:pStyle w:val="TableText"/>
              <w:tabs>
                <w:tab w:val="decimal" w:pos="467"/>
              </w:tabs>
            </w:pPr>
            <w:r w:rsidRPr="0060134B">
              <w:t>15.4</w:t>
            </w:r>
          </w:p>
        </w:tc>
        <w:tc>
          <w:tcPr>
            <w:tcW w:w="1157" w:type="dxa"/>
            <w:tcBorders>
              <w:top w:val="single" w:sz="4" w:space="0" w:color="auto"/>
              <w:bottom w:val="nil"/>
            </w:tcBorders>
            <w:shd w:val="clear" w:color="auto" w:fill="F2F2F2" w:themeFill="background1" w:themeFillShade="F2"/>
          </w:tcPr>
          <w:p w:rsidR="00B95C61" w:rsidRPr="0060134B" w:rsidRDefault="00B95C61" w:rsidP="00E55510">
            <w:pPr>
              <w:pStyle w:val="TableText"/>
              <w:tabs>
                <w:tab w:val="decimal" w:pos="467"/>
              </w:tabs>
            </w:pPr>
            <w:r w:rsidRPr="0060134B">
              <w:t>17.5</w:t>
            </w:r>
          </w:p>
        </w:tc>
        <w:tc>
          <w:tcPr>
            <w:tcW w:w="1158" w:type="dxa"/>
            <w:tcBorders>
              <w:top w:val="single" w:sz="4" w:space="0" w:color="auto"/>
              <w:bottom w:val="nil"/>
            </w:tcBorders>
            <w:shd w:val="clear" w:color="auto" w:fill="F2F2F2" w:themeFill="background1" w:themeFillShade="F2"/>
          </w:tcPr>
          <w:p w:rsidR="00B95C61" w:rsidRPr="0060134B" w:rsidRDefault="00B95C61" w:rsidP="00E55510">
            <w:pPr>
              <w:pStyle w:val="TableText"/>
              <w:tabs>
                <w:tab w:val="decimal" w:pos="467"/>
              </w:tabs>
            </w:pPr>
            <w:r w:rsidRPr="0060134B">
              <w:t>19.1</w:t>
            </w:r>
          </w:p>
        </w:tc>
        <w:tc>
          <w:tcPr>
            <w:tcW w:w="1158" w:type="dxa"/>
            <w:tcBorders>
              <w:top w:val="single" w:sz="4" w:space="0" w:color="auto"/>
              <w:bottom w:val="nil"/>
            </w:tcBorders>
            <w:shd w:val="clear" w:color="auto" w:fill="F2F2F2" w:themeFill="background1" w:themeFillShade="F2"/>
          </w:tcPr>
          <w:p w:rsidR="00B95C61" w:rsidRPr="0060134B" w:rsidRDefault="00B95C61" w:rsidP="00E55510">
            <w:pPr>
              <w:pStyle w:val="TableText"/>
              <w:tabs>
                <w:tab w:val="decimal" w:pos="467"/>
              </w:tabs>
            </w:pPr>
            <w:r w:rsidRPr="0060134B">
              <w:t>21.6</w:t>
            </w:r>
          </w:p>
        </w:tc>
      </w:tr>
      <w:tr w:rsidR="00B95C61" w:rsidTr="00E55510">
        <w:trPr>
          <w:cantSplit/>
        </w:trPr>
        <w:tc>
          <w:tcPr>
            <w:tcW w:w="2410" w:type="dxa"/>
            <w:tcBorders>
              <w:top w:val="nil"/>
              <w:bottom w:val="nil"/>
              <w:right w:val="nil"/>
            </w:tcBorders>
          </w:tcPr>
          <w:p w:rsidR="00B95C61" w:rsidRPr="0060134B" w:rsidRDefault="00B95C61" w:rsidP="00B95C61">
            <w:pPr>
              <w:pStyle w:val="TableText"/>
            </w:pPr>
            <w:r w:rsidRPr="0060134B">
              <w:t>LED daily</w:t>
            </w:r>
            <w:r>
              <w:t xml:space="preserve"> </w:t>
            </w:r>
            <w:r w:rsidRPr="0060134B">
              <w:t>assistance</w:t>
            </w:r>
          </w:p>
        </w:tc>
        <w:tc>
          <w:tcPr>
            <w:tcW w:w="1157" w:type="dxa"/>
            <w:tcBorders>
              <w:top w:val="nil"/>
              <w:left w:val="nil"/>
              <w:bottom w:val="nil"/>
            </w:tcBorders>
          </w:tcPr>
          <w:p w:rsidR="00B95C61" w:rsidRPr="0060134B" w:rsidRDefault="00B95C61" w:rsidP="00E55510">
            <w:pPr>
              <w:pStyle w:val="TableText"/>
              <w:tabs>
                <w:tab w:val="decimal" w:pos="467"/>
              </w:tabs>
            </w:pPr>
            <w:r w:rsidRPr="0060134B">
              <w:t>3.1</w:t>
            </w:r>
          </w:p>
        </w:tc>
        <w:tc>
          <w:tcPr>
            <w:tcW w:w="1158" w:type="dxa"/>
            <w:tcBorders>
              <w:top w:val="nil"/>
              <w:bottom w:val="nil"/>
            </w:tcBorders>
          </w:tcPr>
          <w:p w:rsidR="00B95C61" w:rsidRPr="0060134B" w:rsidRDefault="00B95C61" w:rsidP="00E55510">
            <w:pPr>
              <w:pStyle w:val="TableText"/>
              <w:tabs>
                <w:tab w:val="decimal" w:pos="467"/>
              </w:tabs>
            </w:pPr>
            <w:r w:rsidRPr="0060134B">
              <w:t>4.8</w:t>
            </w:r>
          </w:p>
        </w:tc>
        <w:tc>
          <w:tcPr>
            <w:tcW w:w="1158" w:type="dxa"/>
            <w:tcBorders>
              <w:top w:val="nil"/>
              <w:bottom w:val="nil"/>
            </w:tcBorders>
          </w:tcPr>
          <w:p w:rsidR="00B95C61" w:rsidRPr="0060134B" w:rsidRDefault="00B95C61" w:rsidP="00E55510">
            <w:pPr>
              <w:pStyle w:val="TableText"/>
              <w:tabs>
                <w:tab w:val="decimal" w:pos="467"/>
              </w:tabs>
            </w:pPr>
            <w:r w:rsidRPr="0060134B">
              <w:t>2.4</w:t>
            </w:r>
          </w:p>
        </w:tc>
        <w:tc>
          <w:tcPr>
            <w:tcW w:w="1157" w:type="dxa"/>
            <w:tcBorders>
              <w:top w:val="nil"/>
              <w:bottom w:val="nil"/>
            </w:tcBorders>
          </w:tcPr>
          <w:p w:rsidR="00B95C61" w:rsidRPr="0060134B" w:rsidRDefault="00B95C61" w:rsidP="00E55510">
            <w:pPr>
              <w:pStyle w:val="TableText"/>
              <w:tabs>
                <w:tab w:val="decimal" w:pos="467"/>
              </w:tabs>
            </w:pPr>
            <w:r w:rsidRPr="0060134B">
              <w:t>3.3</w:t>
            </w:r>
          </w:p>
        </w:tc>
        <w:tc>
          <w:tcPr>
            <w:tcW w:w="1158" w:type="dxa"/>
            <w:tcBorders>
              <w:top w:val="nil"/>
              <w:bottom w:val="nil"/>
            </w:tcBorders>
          </w:tcPr>
          <w:p w:rsidR="00B95C61" w:rsidRPr="0060134B" w:rsidRDefault="00B95C61" w:rsidP="00E55510">
            <w:pPr>
              <w:pStyle w:val="TableText"/>
              <w:tabs>
                <w:tab w:val="decimal" w:pos="467"/>
              </w:tabs>
            </w:pPr>
            <w:r w:rsidRPr="0060134B">
              <w:t>3.1</w:t>
            </w:r>
          </w:p>
        </w:tc>
        <w:tc>
          <w:tcPr>
            <w:tcW w:w="1158" w:type="dxa"/>
            <w:tcBorders>
              <w:top w:val="nil"/>
              <w:bottom w:val="nil"/>
            </w:tcBorders>
          </w:tcPr>
          <w:p w:rsidR="00B95C61" w:rsidRPr="0060134B" w:rsidRDefault="00B95C61" w:rsidP="00E55510">
            <w:pPr>
              <w:pStyle w:val="TableText"/>
              <w:tabs>
                <w:tab w:val="decimal" w:pos="467"/>
              </w:tabs>
            </w:pPr>
            <w:r w:rsidRPr="0060134B">
              <w:t>4.9</w:t>
            </w:r>
          </w:p>
        </w:tc>
      </w:tr>
      <w:tr w:rsidR="00B95C61" w:rsidTr="00E55510">
        <w:trPr>
          <w:cantSplit/>
        </w:trPr>
        <w:tc>
          <w:tcPr>
            <w:tcW w:w="2410" w:type="dxa"/>
            <w:tcBorders>
              <w:top w:val="nil"/>
              <w:bottom w:val="nil"/>
              <w:right w:val="nil"/>
            </w:tcBorders>
            <w:shd w:val="clear" w:color="auto" w:fill="F2F2F2" w:themeFill="background1" w:themeFillShade="F2"/>
          </w:tcPr>
          <w:p w:rsidR="00B95C61" w:rsidRPr="0060134B" w:rsidRDefault="00B95C61" w:rsidP="00B95C61">
            <w:pPr>
              <w:pStyle w:val="TableText"/>
            </w:pPr>
            <w:r w:rsidRPr="0060134B">
              <w:t>LED non-daily</w:t>
            </w:r>
            <w:r>
              <w:t xml:space="preserve"> </w:t>
            </w:r>
            <w:r w:rsidRPr="0060134B">
              <w:t>assistance</w:t>
            </w:r>
          </w:p>
        </w:tc>
        <w:tc>
          <w:tcPr>
            <w:tcW w:w="1157" w:type="dxa"/>
            <w:tcBorders>
              <w:top w:val="nil"/>
              <w:left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5.6</w:t>
            </w:r>
          </w:p>
        </w:tc>
        <w:tc>
          <w:tcPr>
            <w:tcW w:w="1158" w:type="dxa"/>
            <w:tcBorders>
              <w:top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5.9</w:t>
            </w:r>
          </w:p>
        </w:tc>
        <w:tc>
          <w:tcPr>
            <w:tcW w:w="1158" w:type="dxa"/>
            <w:tcBorders>
              <w:top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7.5</w:t>
            </w:r>
          </w:p>
        </w:tc>
        <w:tc>
          <w:tcPr>
            <w:tcW w:w="1157" w:type="dxa"/>
            <w:tcBorders>
              <w:top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4.8</w:t>
            </w:r>
          </w:p>
        </w:tc>
        <w:tc>
          <w:tcPr>
            <w:tcW w:w="1158" w:type="dxa"/>
            <w:tcBorders>
              <w:top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5.4</w:t>
            </w:r>
          </w:p>
        </w:tc>
        <w:tc>
          <w:tcPr>
            <w:tcW w:w="1158" w:type="dxa"/>
            <w:tcBorders>
              <w:top w:val="nil"/>
              <w:bottom w:val="nil"/>
            </w:tcBorders>
            <w:shd w:val="clear" w:color="auto" w:fill="F2F2F2" w:themeFill="background1" w:themeFillShade="F2"/>
          </w:tcPr>
          <w:p w:rsidR="00B95C61" w:rsidRPr="0060134B" w:rsidRDefault="00B95C61" w:rsidP="00E55510">
            <w:pPr>
              <w:pStyle w:val="TableText"/>
              <w:tabs>
                <w:tab w:val="decimal" w:pos="467"/>
              </w:tabs>
            </w:pPr>
            <w:r w:rsidRPr="0060134B">
              <w:t>6.0</w:t>
            </w:r>
          </w:p>
        </w:tc>
      </w:tr>
      <w:tr w:rsidR="00B95C61" w:rsidTr="00690EB3">
        <w:trPr>
          <w:cantSplit/>
          <w:trHeight w:val="654"/>
        </w:trPr>
        <w:tc>
          <w:tcPr>
            <w:tcW w:w="2410" w:type="dxa"/>
            <w:tcBorders>
              <w:top w:val="nil"/>
              <w:bottom w:val="single" w:sz="4" w:space="0" w:color="auto"/>
              <w:right w:val="nil"/>
            </w:tcBorders>
          </w:tcPr>
          <w:p w:rsidR="00690EB3" w:rsidRPr="0060134B" w:rsidRDefault="00B95C61" w:rsidP="00B95C61">
            <w:pPr>
              <w:pStyle w:val="TableText"/>
            </w:pPr>
            <w:r w:rsidRPr="0060134B">
              <w:t>ILE</w:t>
            </w:r>
          </w:p>
          <w:p w:rsidR="00B95C61" w:rsidRPr="0060134B" w:rsidRDefault="00690EB3" w:rsidP="00B95C61">
            <w:pPr>
              <w:pStyle w:val="TableText"/>
            </w:pPr>
            <w:r w:rsidRPr="0060134B">
              <w:t>(95% CI)</w:t>
            </w:r>
          </w:p>
        </w:tc>
        <w:tc>
          <w:tcPr>
            <w:tcW w:w="1157" w:type="dxa"/>
            <w:tcBorders>
              <w:top w:val="nil"/>
              <w:left w:val="nil"/>
              <w:bottom w:val="single" w:sz="4" w:space="0" w:color="auto"/>
            </w:tcBorders>
          </w:tcPr>
          <w:p w:rsidR="00690EB3" w:rsidRPr="0060134B" w:rsidRDefault="00B95C61" w:rsidP="00E55510">
            <w:pPr>
              <w:pStyle w:val="TableText"/>
              <w:tabs>
                <w:tab w:val="decimal" w:pos="467"/>
              </w:tabs>
            </w:pPr>
            <w:r w:rsidRPr="0060134B">
              <w:t>10.2</w:t>
            </w:r>
          </w:p>
          <w:p w:rsidR="00B95C61" w:rsidRPr="0060134B" w:rsidRDefault="00690EB3" w:rsidP="00E55510">
            <w:pPr>
              <w:pStyle w:val="TableText"/>
              <w:jc w:val="center"/>
            </w:pPr>
            <w:r w:rsidRPr="0060134B">
              <w:t>(9.7–10.8)</w:t>
            </w:r>
          </w:p>
        </w:tc>
        <w:tc>
          <w:tcPr>
            <w:tcW w:w="1158" w:type="dxa"/>
            <w:tcBorders>
              <w:top w:val="nil"/>
              <w:bottom w:val="single" w:sz="4" w:space="0" w:color="auto"/>
            </w:tcBorders>
          </w:tcPr>
          <w:p w:rsidR="00690EB3" w:rsidRPr="0060134B" w:rsidRDefault="00B95C61" w:rsidP="00E55510">
            <w:pPr>
              <w:pStyle w:val="TableText"/>
              <w:tabs>
                <w:tab w:val="decimal" w:pos="467"/>
              </w:tabs>
            </w:pPr>
            <w:r w:rsidRPr="0060134B">
              <w:t>10.6</w:t>
            </w:r>
          </w:p>
          <w:p w:rsidR="00B95C61" w:rsidRPr="0060134B" w:rsidRDefault="00690EB3" w:rsidP="00E55510">
            <w:pPr>
              <w:pStyle w:val="TableText"/>
              <w:jc w:val="center"/>
            </w:pPr>
            <w:r w:rsidRPr="0060134B">
              <w:t>(10.0–11.1)</w:t>
            </w:r>
          </w:p>
        </w:tc>
        <w:tc>
          <w:tcPr>
            <w:tcW w:w="1158" w:type="dxa"/>
            <w:tcBorders>
              <w:top w:val="nil"/>
              <w:bottom w:val="single" w:sz="4" w:space="0" w:color="auto"/>
            </w:tcBorders>
          </w:tcPr>
          <w:p w:rsidR="00690EB3" w:rsidRPr="0060134B" w:rsidRDefault="00B95C61" w:rsidP="00E55510">
            <w:pPr>
              <w:pStyle w:val="TableText"/>
              <w:tabs>
                <w:tab w:val="decimal" w:pos="467"/>
              </w:tabs>
            </w:pPr>
            <w:r w:rsidRPr="0060134B">
              <w:t>5.5</w:t>
            </w:r>
          </w:p>
          <w:p w:rsidR="00B95C61" w:rsidRPr="0060134B" w:rsidRDefault="00690EB3" w:rsidP="00E55510">
            <w:pPr>
              <w:pStyle w:val="TableText"/>
              <w:jc w:val="center"/>
            </w:pPr>
            <w:r w:rsidRPr="0060134B">
              <w:t>(4.1–6.9)</w:t>
            </w:r>
          </w:p>
        </w:tc>
        <w:tc>
          <w:tcPr>
            <w:tcW w:w="1157" w:type="dxa"/>
            <w:tcBorders>
              <w:top w:val="nil"/>
              <w:bottom w:val="single" w:sz="4" w:space="0" w:color="auto"/>
            </w:tcBorders>
          </w:tcPr>
          <w:p w:rsidR="00690EB3" w:rsidRPr="0060134B" w:rsidRDefault="00B95C61" w:rsidP="00E55510">
            <w:pPr>
              <w:pStyle w:val="TableText"/>
              <w:tabs>
                <w:tab w:val="decimal" w:pos="467"/>
              </w:tabs>
            </w:pPr>
            <w:r w:rsidRPr="0060134B">
              <w:t>9.4</w:t>
            </w:r>
          </w:p>
          <w:p w:rsidR="00B95C61" w:rsidRPr="0060134B" w:rsidRDefault="00690EB3" w:rsidP="00E55510">
            <w:pPr>
              <w:pStyle w:val="TableText"/>
              <w:jc w:val="center"/>
            </w:pPr>
            <w:r w:rsidRPr="0060134B">
              <w:t>(7.7–11.0)</w:t>
            </w:r>
          </w:p>
        </w:tc>
        <w:tc>
          <w:tcPr>
            <w:tcW w:w="1158" w:type="dxa"/>
            <w:tcBorders>
              <w:top w:val="nil"/>
              <w:bottom w:val="single" w:sz="4" w:space="0" w:color="auto"/>
            </w:tcBorders>
          </w:tcPr>
          <w:p w:rsidR="00690EB3" w:rsidRPr="0060134B" w:rsidRDefault="00B95C61" w:rsidP="00E55510">
            <w:pPr>
              <w:pStyle w:val="TableText"/>
              <w:tabs>
                <w:tab w:val="decimal" w:pos="467"/>
              </w:tabs>
            </w:pPr>
            <w:r w:rsidRPr="0060134B">
              <w:t>10.6</w:t>
            </w:r>
          </w:p>
          <w:p w:rsidR="00B95C61" w:rsidRPr="0060134B" w:rsidRDefault="00690EB3" w:rsidP="00E55510">
            <w:pPr>
              <w:pStyle w:val="TableText"/>
              <w:jc w:val="center"/>
            </w:pPr>
            <w:r w:rsidRPr="0060134B">
              <w:t>(10.0–11.1)</w:t>
            </w:r>
          </w:p>
        </w:tc>
        <w:tc>
          <w:tcPr>
            <w:tcW w:w="1158" w:type="dxa"/>
            <w:tcBorders>
              <w:top w:val="nil"/>
              <w:bottom w:val="single" w:sz="4" w:space="0" w:color="auto"/>
            </w:tcBorders>
          </w:tcPr>
          <w:p w:rsidR="00690EB3" w:rsidRPr="0060134B" w:rsidRDefault="00B95C61" w:rsidP="00E55510">
            <w:pPr>
              <w:pStyle w:val="TableText"/>
              <w:tabs>
                <w:tab w:val="decimal" w:pos="467"/>
              </w:tabs>
            </w:pPr>
            <w:r w:rsidRPr="0060134B">
              <w:t>10.7</w:t>
            </w:r>
          </w:p>
          <w:p w:rsidR="00B95C61" w:rsidRPr="0060134B" w:rsidRDefault="00690EB3" w:rsidP="00E55510">
            <w:pPr>
              <w:pStyle w:val="TableText"/>
              <w:jc w:val="center"/>
            </w:pPr>
            <w:r w:rsidRPr="0060134B">
              <w:t>(10.1–11.2)</w:t>
            </w:r>
          </w:p>
        </w:tc>
      </w:tr>
    </w:tbl>
    <w:p w:rsidR="00B95C61" w:rsidRPr="008C5765" w:rsidRDefault="00B95C61" w:rsidP="00B95C61">
      <w:pPr>
        <w:pStyle w:val="Note"/>
        <w:ind w:left="0" w:right="0" w:firstLine="0"/>
        <w:rPr>
          <w:bCs/>
        </w:rPr>
      </w:pPr>
      <w:r w:rsidRPr="008C5765">
        <w:t>Notes: LE = life expectancy, LED = life expectancy with dependency, ILE = independent life expectancy</w:t>
      </w:r>
      <w:r>
        <w:t>.</w:t>
      </w:r>
    </w:p>
    <w:p w:rsidR="00B95C61" w:rsidRPr="008C5765" w:rsidRDefault="00B95C61" w:rsidP="00B95C61"/>
    <w:p w:rsidR="00194DCC" w:rsidRPr="008C5765" w:rsidRDefault="00194DCC" w:rsidP="00194DCC">
      <w:r w:rsidRPr="008C5765">
        <w:t>Figures 8 and 9</w:t>
      </w:r>
      <w:r>
        <w:t xml:space="preserve"> illustrate life expectancy, independent life expectancy and life expectancy with dependency</w:t>
      </w:r>
      <w:r w:rsidRPr="008C5765">
        <w:t xml:space="preserve"> for New Zealand males and females </w:t>
      </w:r>
      <w:r>
        <w:t>in 2013</w:t>
      </w:r>
      <w:r w:rsidRPr="008C5765">
        <w:t>.</w:t>
      </w:r>
      <w:r>
        <w:t xml:space="preserve"> Table 3</w:t>
      </w:r>
      <w:r w:rsidRPr="00677D36">
        <w:t xml:space="preserve"> </w:t>
      </w:r>
      <w:r>
        <w:t xml:space="preserve">gives an overview of </w:t>
      </w:r>
      <w:r w:rsidRPr="008C5765">
        <w:t>ILE at selected ages.</w:t>
      </w:r>
    </w:p>
    <w:p w:rsidR="00194DCC" w:rsidRPr="008C5765" w:rsidRDefault="00194DCC" w:rsidP="00194DCC"/>
    <w:p w:rsidR="00194DCC" w:rsidRDefault="00194DCC" w:rsidP="00194DCC">
      <w:pPr>
        <w:pStyle w:val="Figure"/>
      </w:pPr>
      <w:bookmarkStart w:id="63" w:name="_Toc424755750"/>
      <w:r>
        <w:t xml:space="preserve">Figure 8: Life expectancy, independent life expectancy and life expectancy with dependency, New Zealand males, </w:t>
      </w:r>
      <w:proofErr w:type="gramStart"/>
      <w:r>
        <w:t>2013</w:t>
      </w:r>
      <w:bookmarkEnd w:id="63"/>
      <w:proofErr w:type="gramEnd"/>
    </w:p>
    <w:p w:rsidR="00194DCC" w:rsidRDefault="00194DCC" w:rsidP="00194DCC">
      <w:r>
        <w:rPr>
          <w:noProof/>
          <w:lang w:eastAsia="en-NZ"/>
        </w:rPr>
        <w:drawing>
          <wp:inline distT="0" distB="0" distL="0" distR="0" wp14:anchorId="7CD6E778" wp14:editId="5B7AE093">
            <wp:extent cx="5108705" cy="3117272"/>
            <wp:effectExtent l="0" t="0" r="0" b="6985"/>
            <wp:docPr id="15" name="Picture 15" title="Figure 8: Life expectancy, independent life expectancy and life expectancy with dependency, New Zealand 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09075" cy="3117498"/>
                    </a:xfrm>
                    <a:prstGeom prst="rect">
                      <a:avLst/>
                    </a:prstGeom>
                    <a:noFill/>
                  </pic:spPr>
                </pic:pic>
              </a:graphicData>
            </a:graphic>
          </wp:inline>
        </w:drawing>
      </w:r>
    </w:p>
    <w:p w:rsidR="00194DCC" w:rsidRDefault="00194DCC" w:rsidP="00194DCC">
      <w:pPr>
        <w:pStyle w:val="Note"/>
        <w:ind w:left="0" w:firstLine="0"/>
        <w:rPr>
          <w:bCs/>
        </w:rPr>
      </w:pPr>
      <w:r w:rsidRPr="008C5765">
        <w:t>Note: LE = life expectancy, ILE = independent life expectancy, LED = life expectancy with dependency</w:t>
      </w:r>
      <w:r>
        <w:t>.</w:t>
      </w:r>
    </w:p>
    <w:p w:rsidR="00194DCC" w:rsidRPr="008C5765" w:rsidRDefault="00194DCC" w:rsidP="00194DCC"/>
    <w:p w:rsidR="00194DCC" w:rsidRDefault="00194DCC" w:rsidP="00194DCC">
      <w:pPr>
        <w:pStyle w:val="Figure"/>
      </w:pPr>
      <w:bookmarkStart w:id="64" w:name="_Toc424755751"/>
      <w:r>
        <w:t xml:space="preserve">Figure 9: Life expectancy, independent life expectancy and life expectancy with dependency, New Zealand females, </w:t>
      </w:r>
      <w:proofErr w:type="gramStart"/>
      <w:r>
        <w:t>2013</w:t>
      </w:r>
      <w:bookmarkEnd w:id="64"/>
      <w:proofErr w:type="gramEnd"/>
    </w:p>
    <w:p w:rsidR="00194DCC" w:rsidRDefault="00194DCC" w:rsidP="00194DCC">
      <w:r>
        <w:rPr>
          <w:noProof/>
          <w:lang w:eastAsia="en-NZ"/>
        </w:rPr>
        <w:drawing>
          <wp:inline distT="0" distB="0" distL="0" distR="0" wp14:anchorId="14065C85" wp14:editId="53180A1F">
            <wp:extent cx="4904360" cy="2992582"/>
            <wp:effectExtent l="0" t="0" r="0" b="0"/>
            <wp:docPr id="16" name="Picture 16" title="Figure 9: Life expectancy, independent life expectancy and life expectancy with dependency, New Zealand femal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05771" cy="2993443"/>
                    </a:xfrm>
                    <a:prstGeom prst="rect">
                      <a:avLst/>
                    </a:prstGeom>
                    <a:noFill/>
                  </pic:spPr>
                </pic:pic>
              </a:graphicData>
            </a:graphic>
          </wp:inline>
        </w:drawing>
      </w:r>
    </w:p>
    <w:p w:rsidR="00194DCC" w:rsidRPr="008C5765" w:rsidRDefault="00194DCC" w:rsidP="00194DCC">
      <w:pPr>
        <w:pStyle w:val="Note"/>
        <w:ind w:left="0" w:firstLine="0"/>
        <w:rPr>
          <w:bCs/>
        </w:rPr>
      </w:pPr>
      <w:r w:rsidRPr="008C5765">
        <w:t>Note: LE = life expectancy, ILE = independent life expectancy, LED = life expectancy with dependency</w:t>
      </w:r>
      <w:r>
        <w:t>.</w:t>
      </w:r>
    </w:p>
    <w:p w:rsidR="00194DCC" w:rsidRPr="008C5765" w:rsidRDefault="00194DCC" w:rsidP="00194DCC"/>
    <w:p w:rsidR="00194DCC" w:rsidRDefault="00194DCC" w:rsidP="00194DCC">
      <w:pPr>
        <w:pStyle w:val="Table"/>
      </w:pPr>
      <w:bookmarkStart w:id="65" w:name="_Toc423839093"/>
      <w:bookmarkStart w:id="66" w:name="_Toc424613639"/>
      <w:bookmarkStart w:id="67" w:name="_Toc424755738"/>
      <w:r>
        <w:t>Table</w:t>
      </w:r>
      <w:r>
        <w:rPr>
          <w:noProof/>
        </w:rPr>
        <w:t xml:space="preserve"> </w:t>
      </w:r>
      <w:r w:rsidR="00690EB3">
        <w:rPr>
          <w:noProof/>
        </w:rPr>
        <w:t>3</w:t>
      </w:r>
      <w:r>
        <w:rPr>
          <w:noProof/>
        </w:rPr>
        <w:t>:</w:t>
      </w:r>
      <w:r w:rsidRPr="008C5765">
        <w:t xml:space="preserve"> Independent life expectancy at selected ages in 2013</w:t>
      </w:r>
      <w:bookmarkEnd w:id="65"/>
      <w:bookmarkEnd w:id="66"/>
      <w:bookmarkEnd w:id="67"/>
    </w:p>
    <w:tbl>
      <w:tblPr>
        <w:tblStyle w:val="TableGrid"/>
        <w:tblW w:w="0" w:type="auto"/>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63"/>
        <w:gridCol w:w="1063"/>
        <w:gridCol w:w="1063"/>
        <w:gridCol w:w="1063"/>
        <w:gridCol w:w="1063"/>
        <w:gridCol w:w="1064"/>
        <w:gridCol w:w="1064"/>
        <w:gridCol w:w="1064"/>
        <w:gridCol w:w="849"/>
      </w:tblGrid>
      <w:tr w:rsidR="00680A4F" w:rsidRPr="00680A4F" w:rsidTr="004F3D79">
        <w:trPr>
          <w:cantSplit/>
          <w:tblHeader/>
        </w:trPr>
        <w:tc>
          <w:tcPr>
            <w:tcW w:w="1063" w:type="dxa"/>
            <w:tcBorders>
              <w:top w:val="single" w:sz="4" w:space="0" w:color="auto"/>
              <w:bottom w:val="single" w:sz="4" w:space="0" w:color="auto"/>
              <w:right w:val="single" w:sz="4" w:space="0" w:color="A6A6A6" w:themeColor="background1" w:themeShade="A6"/>
            </w:tcBorders>
          </w:tcPr>
          <w:p w:rsidR="00680A4F" w:rsidRPr="00680A4F" w:rsidRDefault="00680A4F" w:rsidP="00680A4F">
            <w:pPr>
              <w:pStyle w:val="TableText"/>
              <w:jc w:val="center"/>
              <w:rPr>
                <w:b/>
              </w:rPr>
            </w:pPr>
            <w:r w:rsidRPr="00680A4F">
              <w:rPr>
                <w:b/>
              </w:rPr>
              <w:t>Age (years)</w:t>
            </w:r>
          </w:p>
        </w:tc>
        <w:tc>
          <w:tcPr>
            <w:tcW w:w="1063" w:type="dxa"/>
            <w:tcBorders>
              <w:top w:val="single" w:sz="4" w:space="0" w:color="auto"/>
              <w:left w:val="single" w:sz="4" w:space="0" w:color="A6A6A6" w:themeColor="background1" w:themeShade="A6"/>
              <w:bottom w:val="single" w:sz="4" w:space="0" w:color="auto"/>
            </w:tcBorders>
          </w:tcPr>
          <w:p w:rsidR="00680A4F" w:rsidRPr="00680A4F" w:rsidRDefault="00680A4F" w:rsidP="00680A4F">
            <w:pPr>
              <w:pStyle w:val="TableText"/>
              <w:jc w:val="center"/>
              <w:rPr>
                <w:b/>
              </w:rPr>
            </w:pPr>
            <w:r w:rsidRPr="00680A4F">
              <w:rPr>
                <w:b/>
              </w:rPr>
              <w:t>LE</w:t>
            </w:r>
            <w:r w:rsidRPr="00680A4F">
              <w:rPr>
                <w:b/>
              </w:rPr>
              <w:br/>
              <w:t>(years)</w:t>
            </w:r>
          </w:p>
        </w:tc>
        <w:tc>
          <w:tcPr>
            <w:tcW w:w="1063" w:type="dxa"/>
            <w:tcBorders>
              <w:top w:val="single" w:sz="4" w:space="0" w:color="auto"/>
              <w:bottom w:val="single" w:sz="4" w:space="0" w:color="auto"/>
            </w:tcBorders>
          </w:tcPr>
          <w:p w:rsidR="00680A4F" w:rsidRPr="00680A4F" w:rsidRDefault="00680A4F" w:rsidP="00680A4F">
            <w:pPr>
              <w:pStyle w:val="TableText"/>
              <w:jc w:val="center"/>
              <w:rPr>
                <w:b/>
              </w:rPr>
            </w:pPr>
            <w:r w:rsidRPr="00680A4F">
              <w:rPr>
                <w:b/>
              </w:rPr>
              <w:t>ILE</w:t>
            </w:r>
            <w:r w:rsidRPr="00680A4F">
              <w:rPr>
                <w:b/>
              </w:rPr>
              <w:br/>
              <w:t>(years)</w:t>
            </w:r>
          </w:p>
        </w:tc>
        <w:tc>
          <w:tcPr>
            <w:tcW w:w="1063" w:type="dxa"/>
            <w:tcBorders>
              <w:top w:val="single" w:sz="4" w:space="0" w:color="auto"/>
              <w:bottom w:val="single" w:sz="4" w:space="0" w:color="auto"/>
            </w:tcBorders>
          </w:tcPr>
          <w:p w:rsidR="00680A4F" w:rsidRPr="00680A4F" w:rsidRDefault="00680A4F" w:rsidP="00680A4F">
            <w:pPr>
              <w:pStyle w:val="TableText"/>
              <w:jc w:val="center"/>
              <w:rPr>
                <w:b/>
              </w:rPr>
            </w:pPr>
            <w:r w:rsidRPr="00680A4F">
              <w:rPr>
                <w:b/>
              </w:rPr>
              <w:t>LE-ILE</w:t>
            </w:r>
            <w:r w:rsidRPr="00680A4F">
              <w:rPr>
                <w:b/>
              </w:rPr>
              <w:br/>
              <w:t>(years)</w:t>
            </w:r>
          </w:p>
        </w:tc>
        <w:tc>
          <w:tcPr>
            <w:tcW w:w="1063" w:type="dxa"/>
            <w:tcBorders>
              <w:top w:val="single" w:sz="4" w:space="0" w:color="auto"/>
              <w:bottom w:val="single" w:sz="4" w:space="0" w:color="auto"/>
              <w:right w:val="single" w:sz="4" w:space="0" w:color="A6A6A6" w:themeColor="background1" w:themeShade="A6"/>
            </w:tcBorders>
          </w:tcPr>
          <w:p w:rsidR="00680A4F" w:rsidRPr="00680A4F" w:rsidRDefault="00680A4F" w:rsidP="00680A4F">
            <w:pPr>
              <w:pStyle w:val="TableText"/>
              <w:jc w:val="center"/>
              <w:rPr>
                <w:b/>
              </w:rPr>
            </w:pPr>
            <w:r w:rsidRPr="00680A4F">
              <w:rPr>
                <w:b/>
              </w:rPr>
              <w:t>ILE/</w:t>
            </w:r>
            <w:proofErr w:type="gramStart"/>
            <w:r w:rsidRPr="00680A4F">
              <w:rPr>
                <w:b/>
              </w:rPr>
              <w:t>LE</w:t>
            </w:r>
            <w:proofErr w:type="gramEnd"/>
            <w:r w:rsidRPr="00680A4F">
              <w:rPr>
                <w:b/>
              </w:rPr>
              <w:br/>
              <w:t>(%)</w:t>
            </w:r>
          </w:p>
        </w:tc>
        <w:tc>
          <w:tcPr>
            <w:tcW w:w="1064" w:type="dxa"/>
            <w:tcBorders>
              <w:top w:val="single" w:sz="4" w:space="0" w:color="auto"/>
              <w:left w:val="single" w:sz="4" w:space="0" w:color="A6A6A6" w:themeColor="background1" w:themeShade="A6"/>
              <w:bottom w:val="single" w:sz="4" w:space="0" w:color="auto"/>
            </w:tcBorders>
          </w:tcPr>
          <w:p w:rsidR="00680A4F" w:rsidRPr="00680A4F" w:rsidRDefault="00680A4F" w:rsidP="00680A4F">
            <w:pPr>
              <w:pStyle w:val="TableText"/>
              <w:jc w:val="center"/>
              <w:rPr>
                <w:b/>
              </w:rPr>
            </w:pPr>
            <w:r w:rsidRPr="00680A4F">
              <w:rPr>
                <w:b/>
              </w:rPr>
              <w:t>LE</w:t>
            </w:r>
            <w:r w:rsidRPr="00680A4F">
              <w:rPr>
                <w:b/>
              </w:rPr>
              <w:br/>
              <w:t>(years)</w:t>
            </w:r>
          </w:p>
        </w:tc>
        <w:tc>
          <w:tcPr>
            <w:tcW w:w="1064" w:type="dxa"/>
            <w:tcBorders>
              <w:top w:val="single" w:sz="4" w:space="0" w:color="auto"/>
              <w:bottom w:val="single" w:sz="4" w:space="0" w:color="auto"/>
            </w:tcBorders>
          </w:tcPr>
          <w:p w:rsidR="00680A4F" w:rsidRPr="00680A4F" w:rsidRDefault="00680A4F" w:rsidP="00680A4F">
            <w:pPr>
              <w:pStyle w:val="TableText"/>
              <w:jc w:val="center"/>
              <w:rPr>
                <w:b/>
              </w:rPr>
            </w:pPr>
            <w:r w:rsidRPr="00680A4F">
              <w:rPr>
                <w:b/>
              </w:rPr>
              <w:t>ILE</w:t>
            </w:r>
            <w:r w:rsidRPr="00680A4F">
              <w:rPr>
                <w:b/>
              </w:rPr>
              <w:br/>
              <w:t>(years)</w:t>
            </w:r>
          </w:p>
        </w:tc>
        <w:tc>
          <w:tcPr>
            <w:tcW w:w="1064" w:type="dxa"/>
            <w:tcBorders>
              <w:top w:val="single" w:sz="4" w:space="0" w:color="auto"/>
              <w:bottom w:val="single" w:sz="4" w:space="0" w:color="auto"/>
            </w:tcBorders>
          </w:tcPr>
          <w:p w:rsidR="00680A4F" w:rsidRPr="00680A4F" w:rsidRDefault="00680A4F" w:rsidP="00680A4F">
            <w:pPr>
              <w:pStyle w:val="TableText"/>
              <w:jc w:val="center"/>
              <w:rPr>
                <w:b/>
              </w:rPr>
            </w:pPr>
            <w:r w:rsidRPr="00680A4F">
              <w:rPr>
                <w:b/>
              </w:rPr>
              <w:t>LE-ILE</w:t>
            </w:r>
            <w:r w:rsidRPr="00680A4F">
              <w:rPr>
                <w:b/>
              </w:rPr>
              <w:br/>
              <w:t>(years)</w:t>
            </w:r>
          </w:p>
        </w:tc>
        <w:tc>
          <w:tcPr>
            <w:tcW w:w="849" w:type="dxa"/>
            <w:tcBorders>
              <w:top w:val="single" w:sz="4" w:space="0" w:color="auto"/>
              <w:bottom w:val="single" w:sz="4" w:space="0" w:color="auto"/>
            </w:tcBorders>
          </w:tcPr>
          <w:p w:rsidR="00680A4F" w:rsidRPr="00680A4F" w:rsidRDefault="00680A4F" w:rsidP="00680A4F">
            <w:pPr>
              <w:pStyle w:val="TableText"/>
              <w:jc w:val="center"/>
              <w:rPr>
                <w:b/>
              </w:rPr>
            </w:pPr>
            <w:r w:rsidRPr="00680A4F">
              <w:rPr>
                <w:b/>
              </w:rPr>
              <w:t>ILE/</w:t>
            </w:r>
            <w:proofErr w:type="gramStart"/>
            <w:r w:rsidRPr="00680A4F">
              <w:rPr>
                <w:b/>
              </w:rPr>
              <w:t>LE</w:t>
            </w:r>
            <w:proofErr w:type="gramEnd"/>
            <w:r w:rsidRPr="00680A4F">
              <w:rPr>
                <w:b/>
              </w:rPr>
              <w:br/>
              <w:t>(%)</w:t>
            </w:r>
          </w:p>
        </w:tc>
      </w:tr>
      <w:tr w:rsidR="00680A4F" w:rsidRPr="00680A4F" w:rsidTr="004F3D79">
        <w:trPr>
          <w:cantSplit/>
        </w:trPr>
        <w:tc>
          <w:tcPr>
            <w:tcW w:w="1063" w:type="dxa"/>
            <w:tcBorders>
              <w:top w:val="single" w:sz="4" w:space="0" w:color="auto"/>
              <w:bottom w:val="single" w:sz="4" w:space="0" w:color="A6A6A6" w:themeColor="background1" w:themeShade="A6"/>
              <w:right w:val="single" w:sz="4" w:space="0" w:color="A6A6A6" w:themeColor="background1" w:themeShade="A6"/>
            </w:tcBorders>
            <w:shd w:val="clear" w:color="auto" w:fill="D9D9D9" w:themeFill="background1" w:themeFillShade="D9"/>
          </w:tcPr>
          <w:p w:rsidR="00680A4F" w:rsidRPr="00680A4F" w:rsidRDefault="00680A4F" w:rsidP="00680A4F">
            <w:pPr>
              <w:pStyle w:val="TableText"/>
              <w:rPr>
                <w:b/>
              </w:rPr>
            </w:pPr>
          </w:p>
        </w:tc>
        <w:tc>
          <w:tcPr>
            <w:tcW w:w="4252" w:type="dxa"/>
            <w:gridSpan w:val="4"/>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80A4F" w:rsidRPr="00680A4F" w:rsidRDefault="00680A4F" w:rsidP="00680A4F">
            <w:pPr>
              <w:pStyle w:val="TableText"/>
              <w:jc w:val="center"/>
              <w:rPr>
                <w:b/>
              </w:rPr>
            </w:pPr>
            <w:r w:rsidRPr="00680A4F">
              <w:rPr>
                <w:b/>
              </w:rPr>
              <w:t>New Zealand males</w:t>
            </w:r>
          </w:p>
        </w:tc>
        <w:tc>
          <w:tcPr>
            <w:tcW w:w="4041" w:type="dxa"/>
            <w:gridSpan w:val="4"/>
            <w:tcBorders>
              <w:top w:val="single" w:sz="4" w:space="0" w:color="auto"/>
              <w:left w:val="single" w:sz="4" w:space="0" w:color="A6A6A6" w:themeColor="background1" w:themeShade="A6"/>
              <w:bottom w:val="single" w:sz="4" w:space="0" w:color="A6A6A6" w:themeColor="background1" w:themeShade="A6"/>
            </w:tcBorders>
            <w:shd w:val="clear" w:color="auto" w:fill="D9D9D9" w:themeFill="background1" w:themeFillShade="D9"/>
          </w:tcPr>
          <w:p w:rsidR="00680A4F" w:rsidRPr="00680A4F" w:rsidRDefault="00680A4F" w:rsidP="00680A4F">
            <w:pPr>
              <w:pStyle w:val="TableText"/>
              <w:jc w:val="center"/>
              <w:rPr>
                <w:b/>
              </w:rPr>
            </w:pPr>
            <w:r w:rsidRPr="00680A4F">
              <w:rPr>
                <w:b/>
              </w:rPr>
              <w:t>New Zealand females</w:t>
            </w:r>
          </w:p>
        </w:tc>
      </w:tr>
      <w:tr w:rsidR="00680A4F" w:rsidTr="001963AA">
        <w:trPr>
          <w:cantSplit/>
        </w:trPr>
        <w:tc>
          <w:tcPr>
            <w:tcW w:w="1063" w:type="dxa"/>
            <w:tcBorders>
              <w:top w:val="single" w:sz="4" w:space="0" w:color="A6A6A6" w:themeColor="background1" w:themeShade="A6"/>
              <w:bottom w:val="nil"/>
              <w:right w:val="single" w:sz="4" w:space="0" w:color="A6A6A6" w:themeColor="background1" w:themeShade="A6"/>
            </w:tcBorders>
          </w:tcPr>
          <w:p w:rsidR="00680A4F" w:rsidRPr="00365D5B" w:rsidRDefault="00680A4F" w:rsidP="007E58D8">
            <w:pPr>
              <w:pStyle w:val="TableText"/>
              <w:tabs>
                <w:tab w:val="decimal" w:pos="510"/>
              </w:tabs>
            </w:pPr>
            <w:r w:rsidRPr="00365D5B">
              <w:t>0</w:t>
            </w:r>
          </w:p>
        </w:tc>
        <w:tc>
          <w:tcPr>
            <w:tcW w:w="1063" w:type="dxa"/>
            <w:tcBorders>
              <w:top w:val="single" w:sz="4" w:space="0" w:color="A6A6A6" w:themeColor="background1" w:themeShade="A6"/>
              <w:left w:val="single" w:sz="4" w:space="0" w:color="A6A6A6" w:themeColor="background1" w:themeShade="A6"/>
              <w:bottom w:val="nil"/>
            </w:tcBorders>
          </w:tcPr>
          <w:p w:rsidR="00680A4F" w:rsidRPr="00365D5B" w:rsidRDefault="00680A4F" w:rsidP="007E58D8">
            <w:pPr>
              <w:pStyle w:val="TableText"/>
              <w:tabs>
                <w:tab w:val="decimal" w:pos="477"/>
              </w:tabs>
            </w:pPr>
            <w:r w:rsidRPr="00365D5B">
              <w:t>79.5</w:t>
            </w:r>
          </w:p>
        </w:tc>
        <w:tc>
          <w:tcPr>
            <w:tcW w:w="1063" w:type="dxa"/>
            <w:tcBorders>
              <w:top w:val="single" w:sz="4" w:space="0" w:color="A6A6A6" w:themeColor="background1" w:themeShade="A6"/>
              <w:bottom w:val="nil"/>
            </w:tcBorders>
          </w:tcPr>
          <w:p w:rsidR="00680A4F" w:rsidRPr="00365D5B" w:rsidRDefault="00680A4F" w:rsidP="007E58D8">
            <w:pPr>
              <w:pStyle w:val="TableText"/>
              <w:tabs>
                <w:tab w:val="decimal" w:pos="477"/>
              </w:tabs>
            </w:pPr>
            <w:r w:rsidRPr="00365D5B">
              <w:t>65.2</w:t>
            </w:r>
          </w:p>
        </w:tc>
        <w:tc>
          <w:tcPr>
            <w:tcW w:w="1063" w:type="dxa"/>
            <w:tcBorders>
              <w:top w:val="single" w:sz="4" w:space="0" w:color="A6A6A6" w:themeColor="background1" w:themeShade="A6"/>
              <w:bottom w:val="nil"/>
            </w:tcBorders>
          </w:tcPr>
          <w:p w:rsidR="00680A4F" w:rsidRPr="00365D5B" w:rsidRDefault="00680A4F" w:rsidP="007E58D8">
            <w:pPr>
              <w:pStyle w:val="TableText"/>
              <w:tabs>
                <w:tab w:val="decimal" w:pos="477"/>
              </w:tabs>
            </w:pPr>
            <w:r w:rsidRPr="00365D5B">
              <w:t>14.3</w:t>
            </w:r>
          </w:p>
        </w:tc>
        <w:tc>
          <w:tcPr>
            <w:tcW w:w="1063" w:type="dxa"/>
            <w:tcBorders>
              <w:top w:val="single" w:sz="4" w:space="0" w:color="A6A6A6" w:themeColor="background1" w:themeShade="A6"/>
              <w:bottom w:val="nil"/>
              <w:right w:val="single" w:sz="4" w:space="0" w:color="A6A6A6" w:themeColor="background1" w:themeShade="A6"/>
            </w:tcBorders>
          </w:tcPr>
          <w:p w:rsidR="00680A4F" w:rsidRPr="00365D5B" w:rsidRDefault="00680A4F" w:rsidP="007E58D8">
            <w:pPr>
              <w:pStyle w:val="TableText"/>
              <w:tabs>
                <w:tab w:val="decimal" w:pos="477"/>
              </w:tabs>
            </w:pPr>
            <w:r w:rsidRPr="00365D5B">
              <w:t>82</w:t>
            </w:r>
            <w:r>
              <w:t>.0</w:t>
            </w:r>
          </w:p>
        </w:tc>
        <w:tc>
          <w:tcPr>
            <w:tcW w:w="1064" w:type="dxa"/>
            <w:tcBorders>
              <w:top w:val="single" w:sz="4" w:space="0" w:color="A6A6A6" w:themeColor="background1" w:themeShade="A6"/>
              <w:left w:val="single" w:sz="4" w:space="0" w:color="A6A6A6" w:themeColor="background1" w:themeShade="A6"/>
              <w:bottom w:val="nil"/>
            </w:tcBorders>
          </w:tcPr>
          <w:p w:rsidR="00680A4F" w:rsidRPr="00365D5B" w:rsidRDefault="00680A4F" w:rsidP="007E58D8">
            <w:pPr>
              <w:pStyle w:val="TableText"/>
              <w:tabs>
                <w:tab w:val="decimal" w:pos="466"/>
              </w:tabs>
            </w:pPr>
            <w:r w:rsidRPr="00365D5B">
              <w:t>83.2</w:t>
            </w:r>
          </w:p>
        </w:tc>
        <w:tc>
          <w:tcPr>
            <w:tcW w:w="1064" w:type="dxa"/>
            <w:tcBorders>
              <w:top w:val="single" w:sz="4" w:space="0" w:color="A6A6A6" w:themeColor="background1" w:themeShade="A6"/>
              <w:bottom w:val="nil"/>
            </w:tcBorders>
          </w:tcPr>
          <w:p w:rsidR="00680A4F" w:rsidRPr="00365D5B" w:rsidRDefault="00680A4F" w:rsidP="007E58D8">
            <w:pPr>
              <w:pStyle w:val="TableText"/>
              <w:tabs>
                <w:tab w:val="decimal" w:pos="466"/>
              </w:tabs>
            </w:pPr>
            <w:r w:rsidRPr="00365D5B">
              <w:t>66.5</w:t>
            </w:r>
          </w:p>
        </w:tc>
        <w:tc>
          <w:tcPr>
            <w:tcW w:w="1064" w:type="dxa"/>
            <w:tcBorders>
              <w:top w:val="single" w:sz="4" w:space="0" w:color="A6A6A6" w:themeColor="background1" w:themeShade="A6"/>
              <w:bottom w:val="nil"/>
            </w:tcBorders>
          </w:tcPr>
          <w:p w:rsidR="00680A4F" w:rsidRPr="00365D5B" w:rsidRDefault="00680A4F" w:rsidP="007E58D8">
            <w:pPr>
              <w:pStyle w:val="TableText"/>
              <w:tabs>
                <w:tab w:val="decimal" w:pos="466"/>
              </w:tabs>
            </w:pPr>
            <w:r w:rsidRPr="00365D5B">
              <w:t>16.7</w:t>
            </w:r>
          </w:p>
        </w:tc>
        <w:tc>
          <w:tcPr>
            <w:tcW w:w="849" w:type="dxa"/>
            <w:tcBorders>
              <w:top w:val="single" w:sz="4" w:space="0" w:color="A6A6A6" w:themeColor="background1" w:themeShade="A6"/>
              <w:bottom w:val="nil"/>
            </w:tcBorders>
          </w:tcPr>
          <w:p w:rsidR="00680A4F" w:rsidRPr="00365D5B" w:rsidRDefault="00680A4F" w:rsidP="007E58D8">
            <w:pPr>
              <w:pStyle w:val="TableText"/>
              <w:tabs>
                <w:tab w:val="decimal" w:pos="466"/>
              </w:tabs>
            </w:pPr>
            <w:r w:rsidRPr="00365D5B">
              <w:t>79.9</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1</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78.9</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64.6</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14.3</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81.9</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82.5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65.8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16.7</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79.7</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74.9</w:t>
            </w:r>
          </w:p>
        </w:tc>
        <w:tc>
          <w:tcPr>
            <w:tcW w:w="1063" w:type="dxa"/>
            <w:tcBorders>
              <w:top w:val="nil"/>
              <w:bottom w:val="nil"/>
            </w:tcBorders>
          </w:tcPr>
          <w:p w:rsidR="00680A4F" w:rsidRPr="00365D5B" w:rsidRDefault="00680A4F" w:rsidP="007E58D8">
            <w:pPr>
              <w:pStyle w:val="TableText"/>
              <w:tabs>
                <w:tab w:val="decimal" w:pos="477"/>
              </w:tabs>
            </w:pPr>
            <w:r w:rsidRPr="00365D5B">
              <w:t>61</w:t>
            </w:r>
            <w:r>
              <w:t>.0</w:t>
            </w:r>
          </w:p>
        </w:tc>
        <w:tc>
          <w:tcPr>
            <w:tcW w:w="1063" w:type="dxa"/>
            <w:tcBorders>
              <w:top w:val="nil"/>
              <w:bottom w:val="nil"/>
            </w:tcBorders>
          </w:tcPr>
          <w:p w:rsidR="00680A4F" w:rsidRPr="00365D5B" w:rsidRDefault="00680A4F" w:rsidP="007E58D8">
            <w:pPr>
              <w:pStyle w:val="TableText"/>
              <w:tabs>
                <w:tab w:val="decimal" w:pos="477"/>
              </w:tabs>
            </w:pPr>
            <w:r w:rsidRPr="00365D5B">
              <w:t>13.9</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81.4</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78.6</w:t>
            </w:r>
          </w:p>
        </w:tc>
        <w:tc>
          <w:tcPr>
            <w:tcW w:w="1064" w:type="dxa"/>
            <w:tcBorders>
              <w:top w:val="nil"/>
              <w:bottom w:val="nil"/>
            </w:tcBorders>
          </w:tcPr>
          <w:p w:rsidR="00680A4F" w:rsidRPr="00365D5B" w:rsidRDefault="00680A4F" w:rsidP="007E58D8">
            <w:pPr>
              <w:pStyle w:val="TableText"/>
              <w:tabs>
                <w:tab w:val="decimal" w:pos="466"/>
              </w:tabs>
            </w:pPr>
            <w:r w:rsidRPr="00365D5B">
              <w:t>62</w:t>
            </w:r>
            <w:r w:rsidR="00DE13AF">
              <w:t>.0</w:t>
            </w:r>
          </w:p>
        </w:tc>
        <w:tc>
          <w:tcPr>
            <w:tcW w:w="1064" w:type="dxa"/>
            <w:tcBorders>
              <w:top w:val="nil"/>
              <w:bottom w:val="nil"/>
            </w:tcBorders>
          </w:tcPr>
          <w:p w:rsidR="00680A4F" w:rsidRPr="00365D5B" w:rsidRDefault="00680A4F" w:rsidP="007E58D8">
            <w:pPr>
              <w:pStyle w:val="TableText"/>
              <w:tabs>
                <w:tab w:val="decimal" w:pos="466"/>
              </w:tabs>
            </w:pPr>
            <w:r w:rsidRPr="00365D5B">
              <w:t>16.6</w:t>
            </w:r>
          </w:p>
        </w:tc>
        <w:tc>
          <w:tcPr>
            <w:tcW w:w="849" w:type="dxa"/>
            <w:tcBorders>
              <w:top w:val="nil"/>
              <w:bottom w:val="nil"/>
            </w:tcBorders>
          </w:tcPr>
          <w:p w:rsidR="00680A4F" w:rsidRPr="00365D5B" w:rsidRDefault="00680A4F" w:rsidP="007E58D8">
            <w:pPr>
              <w:pStyle w:val="TableText"/>
              <w:tabs>
                <w:tab w:val="decimal" w:pos="466"/>
              </w:tabs>
            </w:pPr>
            <w:r w:rsidRPr="00365D5B">
              <w:t>78.9</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10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70</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56.4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13.6</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80.6</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73.6</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57.3</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16.3</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77.9</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15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65.1</w:t>
            </w:r>
          </w:p>
        </w:tc>
        <w:tc>
          <w:tcPr>
            <w:tcW w:w="1063" w:type="dxa"/>
            <w:tcBorders>
              <w:top w:val="nil"/>
              <w:bottom w:val="nil"/>
            </w:tcBorders>
          </w:tcPr>
          <w:p w:rsidR="00680A4F" w:rsidRPr="00365D5B" w:rsidRDefault="00680A4F" w:rsidP="007E58D8">
            <w:pPr>
              <w:pStyle w:val="TableText"/>
              <w:tabs>
                <w:tab w:val="decimal" w:pos="477"/>
              </w:tabs>
            </w:pPr>
            <w:r w:rsidRPr="00365D5B">
              <w:t>51.8</w:t>
            </w:r>
          </w:p>
        </w:tc>
        <w:tc>
          <w:tcPr>
            <w:tcW w:w="1063" w:type="dxa"/>
            <w:tcBorders>
              <w:top w:val="nil"/>
              <w:bottom w:val="nil"/>
            </w:tcBorders>
          </w:tcPr>
          <w:p w:rsidR="00680A4F" w:rsidRPr="00365D5B" w:rsidRDefault="00680A4F" w:rsidP="007E58D8">
            <w:pPr>
              <w:pStyle w:val="TableText"/>
              <w:tabs>
                <w:tab w:val="decimal" w:pos="477"/>
              </w:tabs>
            </w:pPr>
            <w:r w:rsidRPr="00365D5B">
              <w:t>13.3</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79.6</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68.7</w:t>
            </w:r>
          </w:p>
        </w:tc>
        <w:tc>
          <w:tcPr>
            <w:tcW w:w="1064" w:type="dxa"/>
            <w:tcBorders>
              <w:top w:val="nil"/>
              <w:bottom w:val="nil"/>
            </w:tcBorders>
          </w:tcPr>
          <w:p w:rsidR="00680A4F" w:rsidRPr="00365D5B" w:rsidRDefault="00680A4F" w:rsidP="007E58D8">
            <w:pPr>
              <w:pStyle w:val="TableText"/>
              <w:tabs>
                <w:tab w:val="decimal" w:pos="466"/>
              </w:tabs>
            </w:pPr>
            <w:r w:rsidRPr="00365D5B">
              <w:t>52.7</w:t>
            </w:r>
          </w:p>
        </w:tc>
        <w:tc>
          <w:tcPr>
            <w:tcW w:w="1064" w:type="dxa"/>
            <w:tcBorders>
              <w:top w:val="nil"/>
              <w:bottom w:val="nil"/>
            </w:tcBorders>
          </w:tcPr>
          <w:p w:rsidR="00680A4F" w:rsidRPr="00365D5B" w:rsidRDefault="00680A4F" w:rsidP="007E58D8">
            <w:pPr>
              <w:pStyle w:val="TableText"/>
              <w:tabs>
                <w:tab w:val="decimal" w:pos="466"/>
              </w:tabs>
            </w:pPr>
            <w:r w:rsidRPr="00365D5B">
              <w:t>16</w:t>
            </w:r>
            <w:r>
              <w:t>.0</w:t>
            </w:r>
          </w:p>
        </w:tc>
        <w:tc>
          <w:tcPr>
            <w:tcW w:w="849" w:type="dxa"/>
            <w:tcBorders>
              <w:top w:val="nil"/>
              <w:bottom w:val="nil"/>
            </w:tcBorders>
          </w:tcPr>
          <w:p w:rsidR="00680A4F" w:rsidRPr="00365D5B" w:rsidRDefault="00680A4F" w:rsidP="007E58D8">
            <w:pPr>
              <w:pStyle w:val="TableText"/>
              <w:tabs>
                <w:tab w:val="decimal" w:pos="466"/>
              </w:tabs>
            </w:pPr>
            <w:r w:rsidRPr="00365D5B">
              <w:t>76.7</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20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60.3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47.4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12.9</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78.5</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63.8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48.1</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15.7</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75.3</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25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55.5</w:t>
            </w:r>
          </w:p>
        </w:tc>
        <w:tc>
          <w:tcPr>
            <w:tcW w:w="1063" w:type="dxa"/>
            <w:tcBorders>
              <w:top w:val="nil"/>
              <w:bottom w:val="nil"/>
            </w:tcBorders>
          </w:tcPr>
          <w:p w:rsidR="00680A4F" w:rsidRPr="00365D5B" w:rsidRDefault="00680A4F" w:rsidP="007E58D8">
            <w:pPr>
              <w:pStyle w:val="TableText"/>
              <w:tabs>
                <w:tab w:val="decimal" w:pos="477"/>
              </w:tabs>
            </w:pPr>
            <w:r w:rsidRPr="00365D5B">
              <w:t>42.9</w:t>
            </w:r>
          </w:p>
        </w:tc>
        <w:tc>
          <w:tcPr>
            <w:tcW w:w="1063" w:type="dxa"/>
            <w:tcBorders>
              <w:top w:val="nil"/>
              <w:bottom w:val="nil"/>
            </w:tcBorders>
          </w:tcPr>
          <w:p w:rsidR="00680A4F" w:rsidRPr="00365D5B" w:rsidRDefault="00680A4F" w:rsidP="007E58D8">
            <w:pPr>
              <w:pStyle w:val="TableText"/>
              <w:tabs>
                <w:tab w:val="decimal" w:pos="477"/>
              </w:tabs>
            </w:pPr>
            <w:r w:rsidRPr="00365D5B">
              <w:t>12.6</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77.2</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58.9</w:t>
            </w:r>
          </w:p>
        </w:tc>
        <w:tc>
          <w:tcPr>
            <w:tcW w:w="1064" w:type="dxa"/>
            <w:tcBorders>
              <w:top w:val="nil"/>
              <w:bottom w:val="nil"/>
            </w:tcBorders>
          </w:tcPr>
          <w:p w:rsidR="00680A4F" w:rsidRPr="00365D5B" w:rsidRDefault="00680A4F" w:rsidP="007E58D8">
            <w:pPr>
              <w:pStyle w:val="TableText"/>
              <w:tabs>
                <w:tab w:val="decimal" w:pos="466"/>
              </w:tabs>
            </w:pPr>
            <w:r w:rsidRPr="00365D5B">
              <w:t>43.5</w:t>
            </w:r>
          </w:p>
        </w:tc>
        <w:tc>
          <w:tcPr>
            <w:tcW w:w="1064" w:type="dxa"/>
            <w:tcBorders>
              <w:top w:val="nil"/>
              <w:bottom w:val="nil"/>
            </w:tcBorders>
          </w:tcPr>
          <w:p w:rsidR="00680A4F" w:rsidRPr="00365D5B" w:rsidRDefault="00680A4F" w:rsidP="007E58D8">
            <w:pPr>
              <w:pStyle w:val="TableText"/>
              <w:tabs>
                <w:tab w:val="decimal" w:pos="466"/>
              </w:tabs>
            </w:pPr>
            <w:r w:rsidRPr="00365D5B">
              <w:t>15.4</w:t>
            </w:r>
          </w:p>
        </w:tc>
        <w:tc>
          <w:tcPr>
            <w:tcW w:w="849" w:type="dxa"/>
            <w:tcBorders>
              <w:top w:val="nil"/>
              <w:bottom w:val="nil"/>
            </w:tcBorders>
          </w:tcPr>
          <w:p w:rsidR="00680A4F" w:rsidRPr="00365D5B" w:rsidRDefault="00680A4F" w:rsidP="007E58D8">
            <w:pPr>
              <w:pStyle w:val="TableText"/>
              <w:tabs>
                <w:tab w:val="decimal" w:pos="466"/>
              </w:tabs>
            </w:pPr>
            <w:r w:rsidRPr="00365D5B">
              <w:t>73.8</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30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50.7</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38.3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12.4</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75.6</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54</w:t>
            </w:r>
            <w:r>
              <w:t>.0</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38.9</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15.1</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72.1</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35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45.9</w:t>
            </w:r>
          </w:p>
        </w:tc>
        <w:tc>
          <w:tcPr>
            <w:tcW w:w="1063" w:type="dxa"/>
            <w:tcBorders>
              <w:top w:val="nil"/>
              <w:bottom w:val="nil"/>
            </w:tcBorders>
          </w:tcPr>
          <w:p w:rsidR="00680A4F" w:rsidRPr="00365D5B" w:rsidRDefault="00680A4F" w:rsidP="007E58D8">
            <w:pPr>
              <w:pStyle w:val="TableText"/>
              <w:tabs>
                <w:tab w:val="decimal" w:pos="477"/>
              </w:tabs>
            </w:pPr>
            <w:r w:rsidRPr="00365D5B">
              <w:t>33.8</w:t>
            </w:r>
          </w:p>
        </w:tc>
        <w:tc>
          <w:tcPr>
            <w:tcW w:w="1063" w:type="dxa"/>
            <w:tcBorders>
              <w:top w:val="nil"/>
              <w:bottom w:val="nil"/>
            </w:tcBorders>
          </w:tcPr>
          <w:p w:rsidR="00680A4F" w:rsidRPr="00365D5B" w:rsidRDefault="00680A4F" w:rsidP="007E58D8">
            <w:pPr>
              <w:pStyle w:val="TableText"/>
              <w:tabs>
                <w:tab w:val="decimal" w:pos="477"/>
              </w:tabs>
            </w:pPr>
            <w:r w:rsidRPr="00365D5B">
              <w:t>12.1</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73.7</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49.1</w:t>
            </w:r>
          </w:p>
        </w:tc>
        <w:tc>
          <w:tcPr>
            <w:tcW w:w="1064" w:type="dxa"/>
            <w:tcBorders>
              <w:top w:val="nil"/>
              <w:bottom w:val="nil"/>
            </w:tcBorders>
          </w:tcPr>
          <w:p w:rsidR="00680A4F" w:rsidRPr="00365D5B" w:rsidRDefault="00680A4F" w:rsidP="007E58D8">
            <w:pPr>
              <w:pStyle w:val="TableText"/>
              <w:tabs>
                <w:tab w:val="decimal" w:pos="466"/>
              </w:tabs>
            </w:pPr>
            <w:r w:rsidRPr="00365D5B">
              <w:t>34.4</w:t>
            </w:r>
          </w:p>
        </w:tc>
        <w:tc>
          <w:tcPr>
            <w:tcW w:w="1064" w:type="dxa"/>
            <w:tcBorders>
              <w:top w:val="nil"/>
              <w:bottom w:val="nil"/>
            </w:tcBorders>
          </w:tcPr>
          <w:p w:rsidR="00680A4F" w:rsidRPr="00365D5B" w:rsidRDefault="00680A4F" w:rsidP="007E58D8">
            <w:pPr>
              <w:pStyle w:val="TableText"/>
              <w:tabs>
                <w:tab w:val="decimal" w:pos="466"/>
              </w:tabs>
            </w:pPr>
            <w:r w:rsidRPr="00365D5B">
              <w:t>14.7</w:t>
            </w:r>
          </w:p>
        </w:tc>
        <w:tc>
          <w:tcPr>
            <w:tcW w:w="849" w:type="dxa"/>
            <w:tcBorders>
              <w:top w:val="nil"/>
              <w:bottom w:val="nil"/>
            </w:tcBorders>
          </w:tcPr>
          <w:p w:rsidR="00680A4F" w:rsidRPr="00365D5B" w:rsidRDefault="00680A4F" w:rsidP="007E58D8">
            <w:pPr>
              <w:pStyle w:val="TableText"/>
              <w:tabs>
                <w:tab w:val="decimal" w:pos="466"/>
              </w:tabs>
            </w:pPr>
            <w:r w:rsidRPr="00365D5B">
              <w:t>70.1</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40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41.2</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29.4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11.8</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71.5</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44.2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30</w:t>
            </w:r>
            <w:r w:rsidR="00DE13AF">
              <w:t>.0</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14.2</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67.9</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45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36.4</w:t>
            </w:r>
          </w:p>
        </w:tc>
        <w:tc>
          <w:tcPr>
            <w:tcW w:w="1063" w:type="dxa"/>
            <w:tcBorders>
              <w:top w:val="nil"/>
              <w:bottom w:val="nil"/>
            </w:tcBorders>
          </w:tcPr>
          <w:p w:rsidR="00680A4F" w:rsidRPr="00365D5B" w:rsidRDefault="00680A4F" w:rsidP="007E58D8">
            <w:pPr>
              <w:pStyle w:val="TableText"/>
              <w:tabs>
                <w:tab w:val="decimal" w:pos="477"/>
              </w:tabs>
            </w:pPr>
            <w:r w:rsidRPr="00365D5B">
              <w:t>25.2</w:t>
            </w:r>
          </w:p>
        </w:tc>
        <w:tc>
          <w:tcPr>
            <w:tcW w:w="1063" w:type="dxa"/>
            <w:tcBorders>
              <w:top w:val="nil"/>
              <w:bottom w:val="nil"/>
            </w:tcBorders>
          </w:tcPr>
          <w:p w:rsidR="00680A4F" w:rsidRPr="00365D5B" w:rsidRDefault="00680A4F" w:rsidP="007E58D8">
            <w:pPr>
              <w:pStyle w:val="TableText"/>
              <w:tabs>
                <w:tab w:val="decimal" w:pos="477"/>
              </w:tabs>
            </w:pPr>
            <w:r w:rsidRPr="00365D5B">
              <w:t>11.2</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69.1</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39.5</w:t>
            </w:r>
          </w:p>
        </w:tc>
        <w:tc>
          <w:tcPr>
            <w:tcW w:w="1064" w:type="dxa"/>
            <w:tcBorders>
              <w:top w:val="nil"/>
              <w:bottom w:val="nil"/>
            </w:tcBorders>
          </w:tcPr>
          <w:p w:rsidR="00680A4F" w:rsidRPr="00365D5B" w:rsidRDefault="00680A4F" w:rsidP="007E58D8">
            <w:pPr>
              <w:pStyle w:val="TableText"/>
              <w:tabs>
                <w:tab w:val="decimal" w:pos="466"/>
              </w:tabs>
            </w:pPr>
            <w:r w:rsidRPr="00365D5B">
              <w:t>25.8</w:t>
            </w:r>
          </w:p>
        </w:tc>
        <w:tc>
          <w:tcPr>
            <w:tcW w:w="1064" w:type="dxa"/>
            <w:tcBorders>
              <w:top w:val="nil"/>
              <w:bottom w:val="nil"/>
            </w:tcBorders>
          </w:tcPr>
          <w:p w:rsidR="00680A4F" w:rsidRPr="00365D5B" w:rsidRDefault="00680A4F" w:rsidP="007E58D8">
            <w:pPr>
              <w:pStyle w:val="TableText"/>
              <w:tabs>
                <w:tab w:val="decimal" w:pos="466"/>
              </w:tabs>
            </w:pPr>
            <w:r w:rsidRPr="00365D5B">
              <w:t>13.7</w:t>
            </w:r>
          </w:p>
        </w:tc>
        <w:tc>
          <w:tcPr>
            <w:tcW w:w="849" w:type="dxa"/>
            <w:tcBorders>
              <w:top w:val="nil"/>
              <w:bottom w:val="nil"/>
            </w:tcBorders>
          </w:tcPr>
          <w:p w:rsidR="00680A4F" w:rsidRPr="00365D5B" w:rsidRDefault="00680A4F" w:rsidP="007E58D8">
            <w:pPr>
              <w:pStyle w:val="TableText"/>
              <w:tabs>
                <w:tab w:val="decimal" w:pos="466"/>
              </w:tabs>
            </w:pPr>
            <w:r w:rsidRPr="00365D5B">
              <w:t>65.3</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50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31.8</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21</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10.8</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66.1</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34.8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21.7</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13.1</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62.3</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55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27.4</w:t>
            </w:r>
          </w:p>
        </w:tc>
        <w:tc>
          <w:tcPr>
            <w:tcW w:w="1063" w:type="dxa"/>
            <w:tcBorders>
              <w:top w:val="nil"/>
              <w:bottom w:val="nil"/>
            </w:tcBorders>
          </w:tcPr>
          <w:p w:rsidR="00680A4F" w:rsidRPr="00365D5B" w:rsidRDefault="00680A4F" w:rsidP="007E58D8">
            <w:pPr>
              <w:pStyle w:val="TableText"/>
              <w:tabs>
                <w:tab w:val="decimal" w:pos="477"/>
              </w:tabs>
            </w:pPr>
            <w:r w:rsidRPr="00365D5B">
              <w:t>17.1</w:t>
            </w:r>
          </w:p>
        </w:tc>
        <w:tc>
          <w:tcPr>
            <w:tcW w:w="1063" w:type="dxa"/>
            <w:tcBorders>
              <w:top w:val="nil"/>
              <w:bottom w:val="nil"/>
            </w:tcBorders>
          </w:tcPr>
          <w:p w:rsidR="00680A4F" w:rsidRPr="00365D5B" w:rsidRDefault="00680A4F" w:rsidP="007E58D8">
            <w:pPr>
              <w:pStyle w:val="TableText"/>
              <w:tabs>
                <w:tab w:val="decimal" w:pos="477"/>
              </w:tabs>
            </w:pPr>
            <w:r w:rsidRPr="00365D5B">
              <w:t>10.3</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62.4</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30.2</w:t>
            </w:r>
          </w:p>
        </w:tc>
        <w:tc>
          <w:tcPr>
            <w:tcW w:w="1064" w:type="dxa"/>
            <w:tcBorders>
              <w:top w:val="nil"/>
              <w:bottom w:val="nil"/>
            </w:tcBorders>
          </w:tcPr>
          <w:p w:rsidR="00680A4F" w:rsidRPr="00365D5B" w:rsidRDefault="00680A4F" w:rsidP="007E58D8">
            <w:pPr>
              <w:pStyle w:val="TableText"/>
              <w:tabs>
                <w:tab w:val="decimal" w:pos="466"/>
              </w:tabs>
            </w:pPr>
            <w:r w:rsidRPr="00365D5B">
              <w:t>17.8</w:t>
            </w:r>
          </w:p>
        </w:tc>
        <w:tc>
          <w:tcPr>
            <w:tcW w:w="1064" w:type="dxa"/>
            <w:tcBorders>
              <w:top w:val="nil"/>
              <w:bottom w:val="nil"/>
            </w:tcBorders>
          </w:tcPr>
          <w:p w:rsidR="00680A4F" w:rsidRPr="00365D5B" w:rsidRDefault="00680A4F" w:rsidP="007E58D8">
            <w:pPr>
              <w:pStyle w:val="TableText"/>
              <w:tabs>
                <w:tab w:val="decimal" w:pos="466"/>
              </w:tabs>
            </w:pPr>
            <w:r w:rsidRPr="00365D5B">
              <w:t>12.4</w:t>
            </w:r>
          </w:p>
        </w:tc>
        <w:tc>
          <w:tcPr>
            <w:tcW w:w="849" w:type="dxa"/>
            <w:tcBorders>
              <w:top w:val="nil"/>
              <w:bottom w:val="nil"/>
            </w:tcBorders>
          </w:tcPr>
          <w:p w:rsidR="00680A4F" w:rsidRPr="00365D5B" w:rsidRDefault="00680A4F" w:rsidP="007E58D8">
            <w:pPr>
              <w:pStyle w:val="TableText"/>
              <w:tabs>
                <w:tab w:val="decimal" w:pos="466"/>
              </w:tabs>
            </w:pPr>
            <w:r w:rsidRPr="00365D5B">
              <w:t>58.8</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60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23</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13.5</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9.5</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58.7</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25.7</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14</w:t>
            </w:r>
            <w:r>
              <w:t>.0</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11.7</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54.5</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65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18.9</w:t>
            </w:r>
          </w:p>
        </w:tc>
        <w:tc>
          <w:tcPr>
            <w:tcW w:w="1063" w:type="dxa"/>
            <w:tcBorders>
              <w:top w:val="nil"/>
              <w:bottom w:val="nil"/>
            </w:tcBorders>
          </w:tcPr>
          <w:p w:rsidR="00680A4F" w:rsidRPr="00365D5B" w:rsidRDefault="00680A4F" w:rsidP="007E58D8">
            <w:pPr>
              <w:pStyle w:val="TableText"/>
              <w:tabs>
                <w:tab w:val="decimal" w:pos="477"/>
              </w:tabs>
            </w:pPr>
            <w:r w:rsidRPr="00365D5B">
              <w:t>10.2</w:t>
            </w:r>
          </w:p>
        </w:tc>
        <w:tc>
          <w:tcPr>
            <w:tcW w:w="1063" w:type="dxa"/>
            <w:tcBorders>
              <w:top w:val="nil"/>
              <w:bottom w:val="nil"/>
            </w:tcBorders>
          </w:tcPr>
          <w:p w:rsidR="00680A4F" w:rsidRPr="00365D5B" w:rsidRDefault="00680A4F" w:rsidP="007E58D8">
            <w:pPr>
              <w:pStyle w:val="TableText"/>
              <w:tabs>
                <w:tab w:val="decimal" w:pos="477"/>
              </w:tabs>
            </w:pPr>
            <w:r w:rsidRPr="00365D5B">
              <w:t>8.7</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54.1</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21.3</w:t>
            </w:r>
          </w:p>
        </w:tc>
        <w:tc>
          <w:tcPr>
            <w:tcW w:w="1064" w:type="dxa"/>
            <w:tcBorders>
              <w:top w:val="nil"/>
              <w:bottom w:val="nil"/>
            </w:tcBorders>
          </w:tcPr>
          <w:p w:rsidR="00680A4F" w:rsidRPr="00365D5B" w:rsidRDefault="00680A4F" w:rsidP="007E58D8">
            <w:pPr>
              <w:pStyle w:val="TableText"/>
              <w:tabs>
                <w:tab w:val="decimal" w:pos="466"/>
              </w:tabs>
            </w:pPr>
            <w:r w:rsidRPr="00365D5B">
              <w:t>10.6</w:t>
            </w:r>
          </w:p>
        </w:tc>
        <w:tc>
          <w:tcPr>
            <w:tcW w:w="1064" w:type="dxa"/>
            <w:tcBorders>
              <w:top w:val="nil"/>
              <w:bottom w:val="nil"/>
            </w:tcBorders>
          </w:tcPr>
          <w:p w:rsidR="00680A4F" w:rsidRPr="00365D5B" w:rsidRDefault="00680A4F" w:rsidP="007E58D8">
            <w:pPr>
              <w:pStyle w:val="TableText"/>
              <w:tabs>
                <w:tab w:val="decimal" w:pos="466"/>
              </w:tabs>
            </w:pPr>
            <w:r w:rsidRPr="00365D5B">
              <w:t>10.7</w:t>
            </w:r>
          </w:p>
        </w:tc>
        <w:tc>
          <w:tcPr>
            <w:tcW w:w="849" w:type="dxa"/>
            <w:tcBorders>
              <w:top w:val="nil"/>
              <w:bottom w:val="nil"/>
            </w:tcBorders>
          </w:tcPr>
          <w:p w:rsidR="00680A4F" w:rsidRPr="00365D5B" w:rsidRDefault="00680A4F" w:rsidP="007E58D8">
            <w:pPr>
              <w:pStyle w:val="TableText"/>
              <w:tabs>
                <w:tab w:val="decimal" w:pos="466"/>
              </w:tabs>
            </w:pPr>
            <w:r w:rsidRPr="00365D5B">
              <w:t>49.5</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70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15</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7.6</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49.1</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17.2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7.5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9.7</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43.4</w:t>
            </w:r>
          </w:p>
        </w:tc>
      </w:tr>
      <w:tr w:rsidR="00680A4F" w:rsidTr="001963AA">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75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11.5</w:t>
            </w:r>
          </w:p>
        </w:tc>
        <w:tc>
          <w:tcPr>
            <w:tcW w:w="1063" w:type="dxa"/>
            <w:tcBorders>
              <w:top w:val="nil"/>
              <w:bottom w:val="nil"/>
            </w:tcBorders>
          </w:tcPr>
          <w:p w:rsidR="00680A4F" w:rsidRPr="00365D5B" w:rsidRDefault="00680A4F" w:rsidP="007E58D8">
            <w:pPr>
              <w:pStyle w:val="TableText"/>
              <w:tabs>
                <w:tab w:val="decimal" w:pos="477"/>
              </w:tabs>
            </w:pPr>
            <w:r w:rsidRPr="00365D5B">
              <w:t>5</w:t>
            </w:r>
            <w:r>
              <w:t>.0</w:t>
            </w:r>
          </w:p>
        </w:tc>
        <w:tc>
          <w:tcPr>
            <w:tcW w:w="1063" w:type="dxa"/>
            <w:tcBorders>
              <w:top w:val="nil"/>
              <w:bottom w:val="nil"/>
            </w:tcBorders>
          </w:tcPr>
          <w:p w:rsidR="00680A4F" w:rsidRPr="00365D5B" w:rsidRDefault="00680A4F" w:rsidP="007E58D8">
            <w:pPr>
              <w:pStyle w:val="TableText"/>
              <w:tabs>
                <w:tab w:val="decimal" w:pos="477"/>
              </w:tabs>
            </w:pPr>
            <w:r w:rsidRPr="00365D5B">
              <w:t>6.5</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43.5</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66"/>
              </w:tabs>
            </w:pPr>
            <w:r w:rsidRPr="00365D5B">
              <w:t>13.3</w:t>
            </w:r>
          </w:p>
        </w:tc>
        <w:tc>
          <w:tcPr>
            <w:tcW w:w="1064" w:type="dxa"/>
            <w:tcBorders>
              <w:top w:val="nil"/>
              <w:bottom w:val="nil"/>
            </w:tcBorders>
          </w:tcPr>
          <w:p w:rsidR="00680A4F" w:rsidRPr="00365D5B" w:rsidRDefault="00680A4F" w:rsidP="007E58D8">
            <w:pPr>
              <w:pStyle w:val="TableText"/>
              <w:tabs>
                <w:tab w:val="decimal" w:pos="466"/>
              </w:tabs>
            </w:pPr>
            <w:r w:rsidRPr="00365D5B">
              <w:t>4.9</w:t>
            </w:r>
          </w:p>
        </w:tc>
        <w:tc>
          <w:tcPr>
            <w:tcW w:w="1064" w:type="dxa"/>
            <w:tcBorders>
              <w:top w:val="nil"/>
              <w:bottom w:val="nil"/>
            </w:tcBorders>
          </w:tcPr>
          <w:p w:rsidR="00680A4F" w:rsidRPr="00365D5B" w:rsidRDefault="00680A4F" w:rsidP="007E58D8">
            <w:pPr>
              <w:pStyle w:val="TableText"/>
              <w:tabs>
                <w:tab w:val="decimal" w:pos="466"/>
              </w:tabs>
            </w:pPr>
            <w:r w:rsidRPr="00365D5B">
              <w:t>8.4</w:t>
            </w:r>
          </w:p>
        </w:tc>
        <w:tc>
          <w:tcPr>
            <w:tcW w:w="849" w:type="dxa"/>
            <w:tcBorders>
              <w:top w:val="nil"/>
              <w:bottom w:val="nil"/>
            </w:tcBorders>
          </w:tcPr>
          <w:p w:rsidR="00680A4F" w:rsidRPr="00365D5B" w:rsidRDefault="00680A4F" w:rsidP="007E58D8">
            <w:pPr>
              <w:pStyle w:val="TableText"/>
              <w:tabs>
                <w:tab w:val="decimal" w:pos="466"/>
              </w:tabs>
            </w:pPr>
            <w:r w:rsidRPr="00365D5B">
              <w:t>37</w:t>
            </w:r>
            <w:r>
              <w:t>.0</w:t>
            </w:r>
          </w:p>
        </w:tc>
      </w:tr>
      <w:tr w:rsidR="00680A4F" w:rsidTr="001963AA">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80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8.4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5.1</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38.9</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9.8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3.1</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66"/>
              </w:tabs>
            </w:pPr>
            <w:r w:rsidRPr="00365D5B">
              <w:t>6.7</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66"/>
              </w:tabs>
            </w:pPr>
            <w:r w:rsidRPr="00365D5B">
              <w:t>31.9</w:t>
            </w:r>
          </w:p>
        </w:tc>
      </w:tr>
      <w:tr w:rsidR="00680A4F" w:rsidTr="004F3D79">
        <w:trPr>
          <w:cantSplit/>
        </w:trPr>
        <w:tc>
          <w:tcPr>
            <w:tcW w:w="1063" w:type="dxa"/>
            <w:tcBorders>
              <w:top w:val="nil"/>
              <w:bottom w:val="single" w:sz="4" w:space="0" w:color="A6A6A6" w:themeColor="background1" w:themeShade="A6"/>
              <w:right w:val="single" w:sz="4" w:space="0" w:color="A6A6A6" w:themeColor="background1" w:themeShade="A6"/>
            </w:tcBorders>
          </w:tcPr>
          <w:p w:rsidR="00680A4F" w:rsidRPr="00365D5B" w:rsidRDefault="00680A4F" w:rsidP="007E58D8">
            <w:pPr>
              <w:pStyle w:val="TableText"/>
              <w:tabs>
                <w:tab w:val="decimal" w:pos="510"/>
              </w:tabs>
            </w:pPr>
            <w:r w:rsidRPr="00365D5B">
              <w:t>85</w:t>
            </w:r>
          </w:p>
        </w:tc>
        <w:tc>
          <w:tcPr>
            <w:tcW w:w="1063" w:type="dxa"/>
            <w:tcBorders>
              <w:top w:val="nil"/>
              <w:left w:val="single" w:sz="4" w:space="0" w:color="A6A6A6" w:themeColor="background1" w:themeShade="A6"/>
              <w:bottom w:val="single" w:sz="4" w:space="0" w:color="A6A6A6" w:themeColor="background1" w:themeShade="A6"/>
            </w:tcBorders>
          </w:tcPr>
          <w:p w:rsidR="00680A4F" w:rsidRPr="00365D5B" w:rsidRDefault="00680A4F" w:rsidP="007E58D8">
            <w:pPr>
              <w:pStyle w:val="TableText"/>
              <w:tabs>
                <w:tab w:val="decimal" w:pos="477"/>
              </w:tabs>
            </w:pPr>
            <w:r w:rsidRPr="00365D5B">
              <w:t>5.9</w:t>
            </w:r>
          </w:p>
        </w:tc>
        <w:tc>
          <w:tcPr>
            <w:tcW w:w="1063" w:type="dxa"/>
            <w:tcBorders>
              <w:top w:val="nil"/>
              <w:bottom w:val="single" w:sz="4" w:space="0" w:color="A6A6A6" w:themeColor="background1" w:themeShade="A6"/>
            </w:tcBorders>
          </w:tcPr>
          <w:p w:rsidR="00680A4F" w:rsidRPr="00365D5B" w:rsidRDefault="00680A4F" w:rsidP="007E58D8">
            <w:pPr>
              <w:pStyle w:val="TableText"/>
              <w:tabs>
                <w:tab w:val="decimal" w:pos="477"/>
              </w:tabs>
            </w:pPr>
            <w:r w:rsidRPr="00365D5B">
              <w:t>2.2</w:t>
            </w:r>
          </w:p>
        </w:tc>
        <w:tc>
          <w:tcPr>
            <w:tcW w:w="1063" w:type="dxa"/>
            <w:tcBorders>
              <w:top w:val="nil"/>
              <w:bottom w:val="single" w:sz="4" w:space="0" w:color="A6A6A6" w:themeColor="background1" w:themeShade="A6"/>
            </w:tcBorders>
          </w:tcPr>
          <w:p w:rsidR="00680A4F" w:rsidRPr="00365D5B" w:rsidRDefault="00680A4F" w:rsidP="007E58D8">
            <w:pPr>
              <w:pStyle w:val="TableText"/>
              <w:tabs>
                <w:tab w:val="decimal" w:pos="477"/>
              </w:tabs>
            </w:pPr>
            <w:r w:rsidRPr="00365D5B">
              <w:t>3.7</w:t>
            </w:r>
          </w:p>
        </w:tc>
        <w:tc>
          <w:tcPr>
            <w:tcW w:w="1063" w:type="dxa"/>
            <w:tcBorders>
              <w:top w:val="nil"/>
              <w:bottom w:val="single" w:sz="4" w:space="0" w:color="A6A6A6" w:themeColor="background1" w:themeShade="A6"/>
              <w:right w:val="single" w:sz="4" w:space="0" w:color="A6A6A6" w:themeColor="background1" w:themeShade="A6"/>
            </w:tcBorders>
          </w:tcPr>
          <w:p w:rsidR="00680A4F" w:rsidRPr="00365D5B" w:rsidRDefault="00680A4F" w:rsidP="007E58D8">
            <w:pPr>
              <w:pStyle w:val="TableText"/>
              <w:tabs>
                <w:tab w:val="decimal" w:pos="477"/>
              </w:tabs>
            </w:pPr>
            <w:r w:rsidRPr="00365D5B">
              <w:t>36.8</w:t>
            </w:r>
          </w:p>
        </w:tc>
        <w:tc>
          <w:tcPr>
            <w:tcW w:w="1064" w:type="dxa"/>
            <w:tcBorders>
              <w:top w:val="nil"/>
              <w:left w:val="single" w:sz="4" w:space="0" w:color="A6A6A6" w:themeColor="background1" w:themeShade="A6"/>
              <w:bottom w:val="single" w:sz="4" w:space="0" w:color="A6A6A6" w:themeColor="background1" w:themeShade="A6"/>
            </w:tcBorders>
          </w:tcPr>
          <w:p w:rsidR="00680A4F" w:rsidRPr="00365D5B" w:rsidRDefault="00680A4F" w:rsidP="007E58D8">
            <w:pPr>
              <w:pStyle w:val="TableText"/>
              <w:tabs>
                <w:tab w:val="decimal" w:pos="466"/>
              </w:tabs>
            </w:pPr>
            <w:r w:rsidRPr="00365D5B">
              <w:t>6.8</w:t>
            </w:r>
          </w:p>
        </w:tc>
        <w:tc>
          <w:tcPr>
            <w:tcW w:w="1064" w:type="dxa"/>
            <w:tcBorders>
              <w:top w:val="nil"/>
              <w:bottom w:val="single" w:sz="4" w:space="0" w:color="A6A6A6" w:themeColor="background1" w:themeShade="A6"/>
            </w:tcBorders>
          </w:tcPr>
          <w:p w:rsidR="00680A4F" w:rsidRPr="00365D5B" w:rsidRDefault="00680A4F" w:rsidP="007E58D8">
            <w:pPr>
              <w:pStyle w:val="TableText"/>
              <w:tabs>
                <w:tab w:val="decimal" w:pos="466"/>
              </w:tabs>
            </w:pPr>
            <w:r w:rsidRPr="00365D5B">
              <w:t>2</w:t>
            </w:r>
            <w:r>
              <w:t>.0</w:t>
            </w:r>
          </w:p>
        </w:tc>
        <w:tc>
          <w:tcPr>
            <w:tcW w:w="1064" w:type="dxa"/>
            <w:tcBorders>
              <w:top w:val="nil"/>
              <w:bottom w:val="single" w:sz="4" w:space="0" w:color="A6A6A6" w:themeColor="background1" w:themeShade="A6"/>
            </w:tcBorders>
          </w:tcPr>
          <w:p w:rsidR="00680A4F" w:rsidRPr="00365D5B" w:rsidRDefault="00680A4F" w:rsidP="007E58D8">
            <w:pPr>
              <w:pStyle w:val="TableText"/>
              <w:tabs>
                <w:tab w:val="decimal" w:pos="466"/>
              </w:tabs>
            </w:pPr>
            <w:r w:rsidRPr="00365D5B">
              <w:t>4.8</w:t>
            </w:r>
          </w:p>
        </w:tc>
        <w:tc>
          <w:tcPr>
            <w:tcW w:w="849" w:type="dxa"/>
            <w:tcBorders>
              <w:top w:val="nil"/>
              <w:bottom w:val="single" w:sz="4" w:space="0" w:color="A6A6A6" w:themeColor="background1" w:themeShade="A6"/>
            </w:tcBorders>
          </w:tcPr>
          <w:p w:rsidR="00680A4F" w:rsidRPr="00365D5B" w:rsidRDefault="00680A4F" w:rsidP="007E58D8">
            <w:pPr>
              <w:pStyle w:val="TableText"/>
              <w:tabs>
                <w:tab w:val="decimal" w:pos="466"/>
              </w:tabs>
            </w:pPr>
            <w:r w:rsidRPr="00365D5B">
              <w:t>29.8</w:t>
            </w:r>
          </w:p>
        </w:tc>
      </w:tr>
      <w:tr w:rsidR="00680A4F" w:rsidRPr="00680A4F" w:rsidTr="004F3D79">
        <w:trPr>
          <w:cantSplit/>
        </w:trPr>
        <w:tc>
          <w:tcPr>
            <w:tcW w:w="106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80A4F" w:rsidRPr="00680A4F" w:rsidRDefault="00680A4F" w:rsidP="00680A4F">
            <w:pPr>
              <w:pStyle w:val="TableText"/>
              <w:keepNext/>
              <w:jc w:val="center"/>
              <w:rPr>
                <w:b/>
              </w:rPr>
            </w:pPr>
          </w:p>
        </w:tc>
        <w:tc>
          <w:tcPr>
            <w:tcW w:w="42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80A4F" w:rsidRPr="00680A4F" w:rsidRDefault="00680A4F" w:rsidP="00680A4F">
            <w:pPr>
              <w:pStyle w:val="TableText"/>
              <w:keepNext/>
              <w:jc w:val="center"/>
              <w:rPr>
                <w:b/>
              </w:rPr>
            </w:pPr>
            <w:r w:rsidRPr="00680A4F">
              <w:rPr>
                <w:b/>
              </w:rPr>
              <w:t>Māori males</w:t>
            </w:r>
          </w:p>
        </w:tc>
        <w:tc>
          <w:tcPr>
            <w:tcW w:w="404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680A4F" w:rsidRPr="00680A4F" w:rsidRDefault="00680A4F" w:rsidP="00680A4F">
            <w:pPr>
              <w:pStyle w:val="TableText"/>
              <w:keepNext/>
              <w:jc w:val="center"/>
              <w:rPr>
                <w:b/>
              </w:rPr>
            </w:pPr>
            <w:r w:rsidRPr="00680A4F">
              <w:rPr>
                <w:b/>
              </w:rPr>
              <w:t>Māori females</w:t>
            </w:r>
          </w:p>
        </w:tc>
      </w:tr>
      <w:tr w:rsidR="00680A4F" w:rsidTr="004F3D79">
        <w:trPr>
          <w:cantSplit/>
        </w:trPr>
        <w:tc>
          <w:tcPr>
            <w:tcW w:w="1063" w:type="dxa"/>
            <w:tcBorders>
              <w:top w:val="single" w:sz="4" w:space="0" w:color="A6A6A6" w:themeColor="background1" w:themeShade="A6"/>
              <w:bottom w:val="nil"/>
              <w:right w:val="single" w:sz="4" w:space="0" w:color="A6A6A6" w:themeColor="background1" w:themeShade="A6"/>
            </w:tcBorders>
          </w:tcPr>
          <w:p w:rsidR="00680A4F" w:rsidRPr="00365D5B" w:rsidRDefault="00680A4F" w:rsidP="007E58D8">
            <w:pPr>
              <w:pStyle w:val="TableText"/>
              <w:keepNext/>
              <w:tabs>
                <w:tab w:val="decimal" w:pos="519"/>
              </w:tabs>
            </w:pPr>
            <w:r w:rsidRPr="00365D5B">
              <w:t>0</w:t>
            </w:r>
          </w:p>
        </w:tc>
        <w:tc>
          <w:tcPr>
            <w:tcW w:w="1063" w:type="dxa"/>
            <w:tcBorders>
              <w:top w:val="single" w:sz="4" w:space="0" w:color="A6A6A6" w:themeColor="background1" w:themeShade="A6"/>
              <w:left w:val="single" w:sz="4" w:space="0" w:color="A6A6A6" w:themeColor="background1" w:themeShade="A6"/>
              <w:bottom w:val="nil"/>
            </w:tcBorders>
          </w:tcPr>
          <w:p w:rsidR="00680A4F" w:rsidRPr="00365D5B" w:rsidRDefault="00680A4F" w:rsidP="007E58D8">
            <w:pPr>
              <w:pStyle w:val="TableText"/>
              <w:keepNext/>
              <w:tabs>
                <w:tab w:val="decimal" w:pos="440"/>
              </w:tabs>
            </w:pPr>
            <w:r w:rsidRPr="00365D5B">
              <w:t>73</w:t>
            </w:r>
            <w:r>
              <w:t>.0</w:t>
            </w:r>
          </w:p>
        </w:tc>
        <w:tc>
          <w:tcPr>
            <w:tcW w:w="1063" w:type="dxa"/>
            <w:tcBorders>
              <w:top w:val="single" w:sz="4" w:space="0" w:color="A6A6A6" w:themeColor="background1" w:themeShade="A6"/>
              <w:bottom w:val="nil"/>
            </w:tcBorders>
          </w:tcPr>
          <w:p w:rsidR="00680A4F" w:rsidRPr="00365D5B" w:rsidRDefault="00680A4F" w:rsidP="007E58D8">
            <w:pPr>
              <w:pStyle w:val="TableText"/>
              <w:keepNext/>
              <w:tabs>
                <w:tab w:val="decimal" w:pos="440"/>
              </w:tabs>
            </w:pPr>
            <w:r w:rsidRPr="00365D5B">
              <w:t>54.3</w:t>
            </w:r>
          </w:p>
        </w:tc>
        <w:tc>
          <w:tcPr>
            <w:tcW w:w="1063" w:type="dxa"/>
            <w:tcBorders>
              <w:top w:val="single" w:sz="4" w:space="0" w:color="A6A6A6" w:themeColor="background1" w:themeShade="A6"/>
              <w:bottom w:val="nil"/>
            </w:tcBorders>
          </w:tcPr>
          <w:p w:rsidR="00680A4F" w:rsidRPr="00365D5B" w:rsidRDefault="00680A4F" w:rsidP="007E58D8">
            <w:pPr>
              <w:pStyle w:val="TableText"/>
              <w:keepNext/>
              <w:tabs>
                <w:tab w:val="decimal" w:pos="440"/>
              </w:tabs>
            </w:pPr>
            <w:r w:rsidRPr="00365D5B">
              <w:t>18.7</w:t>
            </w:r>
          </w:p>
        </w:tc>
        <w:tc>
          <w:tcPr>
            <w:tcW w:w="1063" w:type="dxa"/>
            <w:tcBorders>
              <w:top w:val="single" w:sz="4" w:space="0" w:color="A6A6A6" w:themeColor="background1" w:themeShade="A6"/>
              <w:bottom w:val="nil"/>
              <w:right w:val="single" w:sz="4" w:space="0" w:color="A6A6A6" w:themeColor="background1" w:themeShade="A6"/>
            </w:tcBorders>
          </w:tcPr>
          <w:p w:rsidR="00680A4F" w:rsidRPr="00365D5B" w:rsidRDefault="00680A4F" w:rsidP="007E58D8">
            <w:pPr>
              <w:pStyle w:val="TableText"/>
              <w:keepNext/>
              <w:tabs>
                <w:tab w:val="decimal" w:pos="440"/>
              </w:tabs>
            </w:pPr>
            <w:r w:rsidRPr="00365D5B">
              <w:t>74.4</w:t>
            </w:r>
          </w:p>
        </w:tc>
        <w:tc>
          <w:tcPr>
            <w:tcW w:w="1064" w:type="dxa"/>
            <w:tcBorders>
              <w:top w:val="single" w:sz="4" w:space="0" w:color="A6A6A6" w:themeColor="background1" w:themeShade="A6"/>
              <w:left w:val="single" w:sz="4" w:space="0" w:color="A6A6A6" w:themeColor="background1" w:themeShade="A6"/>
              <w:bottom w:val="nil"/>
            </w:tcBorders>
          </w:tcPr>
          <w:p w:rsidR="00680A4F" w:rsidRPr="00365D5B" w:rsidRDefault="00680A4F" w:rsidP="007E58D8">
            <w:pPr>
              <w:pStyle w:val="TableText"/>
              <w:keepNext/>
              <w:tabs>
                <w:tab w:val="decimal" w:pos="453"/>
              </w:tabs>
            </w:pPr>
            <w:r w:rsidRPr="00365D5B">
              <w:t>77.1</w:t>
            </w:r>
          </w:p>
        </w:tc>
        <w:tc>
          <w:tcPr>
            <w:tcW w:w="1064" w:type="dxa"/>
            <w:tcBorders>
              <w:top w:val="single" w:sz="4" w:space="0" w:color="A6A6A6" w:themeColor="background1" w:themeShade="A6"/>
              <w:bottom w:val="nil"/>
            </w:tcBorders>
          </w:tcPr>
          <w:p w:rsidR="00680A4F" w:rsidRPr="00365D5B" w:rsidRDefault="00680A4F" w:rsidP="007E58D8">
            <w:pPr>
              <w:pStyle w:val="TableText"/>
              <w:keepNext/>
              <w:tabs>
                <w:tab w:val="decimal" w:pos="453"/>
              </w:tabs>
            </w:pPr>
            <w:r w:rsidRPr="00365D5B">
              <w:t>60.4</w:t>
            </w:r>
          </w:p>
        </w:tc>
        <w:tc>
          <w:tcPr>
            <w:tcW w:w="1064" w:type="dxa"/>
            <w:tcBorders>
              <w:top w:val="single" w:sz="4" w:space="0" w:color="A6A6A6" w:themeColor="background1" w:themeShade="A6"/>
              <w:bottom w:val="nil"/>
            </w:tcBorders>
          </w:tcPr>
          <w:p w:rsidR="00680A4F" w:rsidRPr="00365D5B" w:rsidRDefault="00680A4F" w:rsidP="007E58D8">
            <w:pPr>
              <w:pStyle w:val="TableText"/>
              <w:keepNext/>
              <w:tabs>
                <w:tab w:val="decimal" w:pos="453"/>
              </w:tabs>
            </w:pPr>
            <w:r w:rsidRPr="00365D5B">
              <w:t>16.7</w:t>
            </w:r>
          </w:p>
        </w:tc>
        <w:tc>
          <w:tcPr>
            <w:tcW w:w="849" w:type="dxa"/>
            <w:tcBorders>
              <w:top w:val="single" w:sz="4" w:space="0" w:color="A6A6A6" w:themeColor="background1" w:themeShade="A6"/>
              <w:bottom w:val="nil"/>
            </w:tcBorders>
          </w:tcPr>
          <w:p w:rsidR="00680A4F" w:rsidRPr="00365D5B" w:rsidRDefault="00680A4F" w:rsidP="007E58D8">
            <w:pPr>
              <w:pStyle w:val="TableText"/>
              <w:keepNext/>
              <w:tabs>
                <w:tab w:val="decimal" w:pos="453"/>
              </w:tabs>
            </w:pPr>
            <w:r w:rsidRPr="00365D5B">
              <w:t>78.4</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1</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72.4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53.8</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18.6</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74.3</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76.6</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59.8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16.8</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78.1</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68.5</w:t>
            </w:r>
          </w:p>
        </w:tc>
        <w:tc>
          <w:tcPr>
            <w:tcW w:w="1063" w:type="dxa"/>
            <w:tcBorders>
              <w:top w:val="nil"/>
              <w:bottom w:val="nil"/>
            </w:tcBorders>
          </w:tcPr>
          <w:p w:rsidR="00680A4F" w:rsidRPr="00365D5B" w:rsidRDefault="00680A4F" w:rsidP="007E58D8">
            <w:pPr>
              <w:pStyle w:val="TableText"/>
              <w:tabs>
                <w:tab w:val="decimal" w:pos="440"/>
              </w:tabs>
            </w:pPr>
            <w:r w:rsidRPr="00365D5B">
              <w:t>50.3</w:t>
            </w:r>
          </w:p>
        </w:tc>
        <w:tc>
          <w:tcPr>
            <w:tcW w:w="1063" w:type="dxa"/>
            <w:tcBorders>
              <w:top w:val="nil"/>
              <w:bottom w:val="nil"/>
            </w:tcBorders>
          </w:tcPr>
          <w:p w:rsidR="00680A4F" w:rsidRPr="00365D5B" w:rsidRDefault="00680A4F" w:rsidP="007E58D8">
            <w:pPr>
              <w:pStyle w:val="TableText"/>
              <w:tabs>
                <w:tab w:val="decimal" w:pos="440"/>
              </w:tabs>
            </w:pPr>
            <w:r w:rsidRPr="00365D5B">
              <w:t>18.2</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73.4</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72.7</w:t>
            </w:r>
          </w:p>
        </w:tc>
        <w:tc>
          <w:tcPr>
            <w:tcW w:w="1064" w:type="dxa"/>
            <w:tcBorders>
              <w:top w:val="nil"/>
              <w:bottom w:val="nil"/>
            </w:tcBorders>
          </w:tcPr>
          <w:p w:rsidR="00680A4F" w:rsidRPr="00365D5B" w:rsidRDefault="00680A4F" w:rsidP="007E58D8">
            <w:pPr>
              <w:pStyle w:val="TableText"/>
              <w:tabs>
                <w:tab w:val="decimal" w:pos="453"/>
              </w:tabs>
            </w:pPr>
            <w:r w:rsidRPr="00365D5B">
              <w:t>56.1</w:t>
            </w:r>
          </w:p>
        </w:tc>
        <w:tc>
          <w:tcPr>
            <w:tcW w:w="1064" w:type="dxa"/>
            <w:tcBorders>
              <w:top w:val="nil"/>
              <w:bottom w:val="nil"/>
            </w:tcBorders>
          </w:tcPr>
          <w:p w:rsidR="00680A4F" w:rsidRPr="00365D5B" w:rsidRDefault="00680A4F" w:rsidP="007E58D8">
            <w:pPr>
              <w:pStyle w:val="TableText"/>
              <w:tabs>
                <w:tab w:val="decimal" w:pos="453"/>
              </w:tabs>
            </w:pPr>
            <w:r w:rsidRPr="00365D5B">
              <w:t>16.6</w:t>
            </w:r>
          </w:p>
        </w:tc>
        <w:tc>
          <w:tcPr>
            <w:tcW w:w="849" w:type="dxa"/>
            <w:tcBorders>
              <w:top w:val="nil"/>
              <w:bottom w:val="nil"/>
            </w:tcBorders>
          </w:tcPr>
          <w:p w:rsidR="00680A4F" w:rsidRPr="00365D5B" w:rsidRDefault="00680A4F" w:rsidP="007E58D8">
            <w:pPr>
              <w:pStyle w:val="TableText"/>
              <w:tabs>
                <w:tab w:val="decimal" w:pos="453"/>
              </w:tabs>
            </w:pPr>
            <w:r w:rsidRPr="00365D5B">
              <w:t>77.2</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10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63.6</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45.9</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17.7</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72.1</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67.7</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51.5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16.2</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76.1</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15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58.7</w:t>
            </w:r>
          </w:p>
        </w:tc>
        <w:tc>
          <w:tcPr>
            <w:tcW w:w="1063" w:type="dxa"/>
            <w:tcBorders>
              <w:top w:val="nil"/>
              <w:bottom w:val="nil"/>
            </w:tcBorders>
          </w:tcPr>
          <w:p w:rsidR="00680A4F" w:rsidRPr="00365D5B" w:rsidRDefault="00680A4F" w:rsidP="007E58D8">
            <w:pPr>
              <w:pStyle w:val="TableText"/>
              <w:tabs>
                <w:tab w:val="decimal" w:pos="440"/>
              </w:tabs>
            </w:pPr>
            <w:r w:rsidRPr="00365D5B">
              <w:t>41.5</w:t>
            </w:r>
          </w:p>
        </w:tc>
        <w:tc>
          <w:tcPr>
            <w:tcW w:w="1063" w:type="dxa"/>
            <w:tcBorders>
              <w:top w:val="nil"/>
              <w:bottom w:val="nil"/>
            </w:tcBorders>
          </w:tcPr>
          <w:p w:rsidR="00680A4F" w:rsidRPr="00365D5B" w:rsidRDefault="00680A4F" w:rsidP="007E58D8">
            <w:pPr>
              <w:pStyle w:val="TableText"/>
              <w:tabs>
                <w:tab w:val="decimal" w:pos="440"/>
              </w:tabs>
            </w:pPr>
            <w:r w:rsidRPr="00365D5B">
              <w:t>17.2</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70.8</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62.8</w:t>
            </w:r>
          </w:p>
        </w:tc>
        <w:tc>
          <w:tcPr>
            <w:tcW w:w="1064" w:type="dxa"/>
            <w:tcBorders>
              <w:top w:val="nil"/>
              <w:bottom w:val="nil"/>
            </w:tcBorders>
          </w:tcPr>
          <w:p w:rsidR="00680A4F" w:rsidRPr="00365D5B" w:rsidRDefault="00680A4F" w:rsidP="007E58D8">
            <w:pPr>
              <w:pStyle w:val="TableText"/>
              <w:tabs>
                <w:tab w:val="decimal" w:pos="453"/>
              </w:tabs>
            </w:pPr>
            <w:r w:rsidRPr="00365D5B">
              <w:t>47.1</w:t>
            </w:r>
          </w:p>
        </w:tc>
        <w:tc>
          <w:tcPr>
            <w:tcW w:w="1064" w:type="dxa"/>
            <w:tcBorders>
              <w:top w:val="nil"/>
              <w:bottom w:val="nil"/>
            </w:tcBorders>
          </w:tcPr>
          <w:p w:rsidR="00680A4F" w:rsidRPr="00365D5B" w:rsidRDefault="00680A4F" w:rsidP="007E58D8">
            <w:pPr>
              <w:pStyle w:val="TableText"/>
              <w:tabs>
                <w:tab w:val="decimal" w:pos="453"/>
              </w:tabs>
            </w:pPr>
            <w:r w:rsidRPr="00365D5B">
              <w:t>15.7</w:t>
            </w:r>
          </w:p>
        </w:tc>
        <w:tc>
          <w:tcPr>
            <w:tcW w:w="849" w:type="dxa"/>
            <w:tcBorders>
              <w:top w:val="nil"/>
              <w:bottom w:val="nil"/>
            </w:tcBorders>
          </w:tcPr>
          <w:p w:rsidR="00680A4F" w:rsidRPr="00365D5B" w:rsidRDefault="00680A4F" w:rsidP="007E58D8">
            <w:pPr>
              <w:pStyle w:val="TableText"/>
              <w:tabs>
                <w:tab w:val="decimal" w:pos="453"/>
              </w:tabs>
            </w:pPr>
            <w:r w:rsidRPr="00365D5B">
              <w:t>74.9</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20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54</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37.3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16.7</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69.2</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57.9</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42.7</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15.2</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73.7</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25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49.3</w:t>
            </w:r>
          </w:p>
        </w:tc>
        <w:tc>
          <w:tcPr>
            <w:tcW w:w="1063" w:type="dxa"/>
            <w:tcBorders>
              <w:top w:val="nil"/>
              <w:bottom w:val="nil"/>
            </w:tcBorders>
          </w:tcPr>
          <w:p w:rsidR="00680A4F" w:rsidRPr="00365D5B" w:rsidRDefault="00680A4F" w:rsidP="007E58D8">
            <w:pPr>
              <w:pStyle w:val="TableText"/>
              <w:tabs>
                <w:tab w:val="decimal" w:pos="440"/>
              </w:tabs>
            </w:pPr>
            <w:r w:rsidRPr="00365D5B">
              <w:t>33.2</w:t>
            </w:r>
          </w:p>
        </w:tc>
        <w:tc>
          <w:tcPr>
            <w:tcW w:w="1063" w:type="dxa"/>
            <w:tcBorders>
              <w:top w:val="nil"/>
              <w:bottom w:val="nil"/>
            </w:tcBorders>
          </w:tcPr>
          <w:p w:rsidR="00680A4F" w:rsidRPr="00365D5B" w:rsidRDefault="00680A4F" w:rsidP="007E58D8">
            <w:pPr>
              <w:pStyle w:val="TableText"/>
              <w:tabs>
                <w:tab w:val="decimal" w:pos="440"/>
              </w:tabs>
            </w:pPr>
            <w:r w:rsidRPr="00365D5B">
              <w:t>16.1</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67.3</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53.1</w:t>
            </w:r>
          </w:p>
        </w:tc>
        <w:tc>
          <w:tcPr>
            <w:tcW w:w="1064" w:type="dxa"/>
            <w:tcBorders>
              <w:top w:val="nil"/>
              <w:bottom w:val="nil"/>
            </w:tcBorders>
          </w:tcPr>
          <w:p w:rsidR="00680A4F" w:rsidRPr="00365D5B" w:rsidRDefault="00680A4F" w:rsidP="007E58D8">
            <w:pPr>
              <w:pStyle w:val="TableText"/>
              <w:tabs>
                <w:tab w:val="decimal" w:pos="453"/>
              </w:tabs>
            </w:pPr>
            <w:r w:rsidRPr="00365D5B">
              <w:t>38.3</w:t>
            </w:r>
          </w:p>
        </w:tc>
        <w:tc>
          <w:tcPr>
            <w:tcW w:w="1064" w:type="dxa"/>
            <w:tcBorders>
              <w:top w:val="nil"/>
              <w:bottom w:val="nil"/>
            </w:tcBorders>
          </w:tcPr>
          <w:p w:rsidR="00680A4F" w:rsidRPr="00365D5B" w:rsidRDefault="00680A4F" w:rsidP="007E58D8">
            <w:pPr>
              <w:pStyle w:val="TableText"/>
              <w:tabs>
                <w:tab w:val="decimal" w:pos="453"/>
              </w:tabs>
            </w:pPr>
            <w:r w:rsidRPr="00365D5B">
              <w:t>14.8</w:t>
            </w:r>
          </w:p>
        </w:tc>
        <w:tc>
          <w:tcPr>
            <w:tcW w:w="849" w:type="dxa"/>
            <w:tcBorders>
              <w:top w:val="nil"/>
              <w:bottom w:val="nil"/>
            </w:tcBorders>
          </w:tcPr>
          <w:p w:rsidR="00680A4F" w:rsidRPr="00365D5B" w:rsidRDefault="00680A4F" w:rsidP="007E58D8">
            <w:pPr>
              <w:pStyle w:val="TableText"/>
              <w:tabs>
                <w:tab w:val="decimal" w:pos="453"/>
              </w:tabs>
            </w:pPr>
            <w:r w:rsidRPr="00365D5B">
              <w:t>72.2</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30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44.6</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29</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15.6</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65</w:t>
            </w:r>
            <w:r>
              <w:t>.0</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48.2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34</w:t>
            </w:r>
            <w:r>
              <w:t>.0</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14.2</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70.6</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35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40</w:t>
            </w:r>
            <w:r>
              <w:t>.0</w:t>
            </w:r>
          </w:p>
        </w:tc>
        <w:tc>
          <w:tcPr>
            <w:tcW w:w="1063" w:type="dxa"/>
            <w:tcBorders>
              <w:top w:val="nil"/>
              <w:bottom w:val="nil"/>
            </w:tcBorders>
          </w:tcPr>
          <w:p w:rsidR="00680A4F" w:rsidRPr="00365D5B" w:rsidRDefault="00680A4F" w:rsidP="007E58D8">
            <w:pPr>
              <w:pStyle w:val="TableText"/>
              <w:tabs>
                <w:tab w:val="decimal" w:pos="440"/>
              </w:tabs>
            </w:pPr>
            <w:r w:rsidRPr="00365D5B">
              <w:t>24.8</w:t>
            </w:r>
          </w:p>
        </w:tc>
        <w:tc>
          <w:tcPr>
            <w:tcW w:w="1063" w:type="dxa"/>
            <w:tcBorders>
              <w:top w:val="nil"/>
              <w:bottom w:val="nil"/>
            </w:tcBorders>
          </w:tcPr>
          <w:p w:rsidR="00680A4F" w:rsidRPr="00365D5B" w:rsidRDefault="00680A4F" w:rsidP="007E58D8">
            <w:pPr>
              <w:pStyle w:val="TableText"/>
              <w:tabs>
                <w:tab w:val="decimal" w:pos="440"/>
              </w:tabs>
            </w:pPr>
            <w:r w:rsidRPr="00365D5B">
              <w:t>15.2</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61.9</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43.4</w:t>
            </w:r>
          </w:p>
        </w:tc>
        <w:tc>
          <w:tcPr>
            <w:tcW w:w="1064" w:type="dxa"/>
            <w:tcBorders>
              <w:top w:val="nil"/>
              <w:bottom w:val="nil"/>
            </w:tcBorders>
          </w:tcPr>
          <w:p w:rsidR="00680A4F" w:rsidRPr="00365D5B" w:rsidRDefault="00680A4F" w:rsidP="007E58D8">
            <w:pPr>
              <w:pStyle w:val="TableText"/>
              <w:tabs>
                <w:tab w:val="decimal" w:pos="453"/>
              </w:tabs>
            </w:pPr>
            <w:r w:rsidRPr="00365D5B">
              <w:t>29.8</w:t>
            </w:r>
          </w:p>
        </w:tc>
        <w:tc>
          <w:tcPr>
            <w:tcW w:w="1064" w:type="dxa"/>
            <w:tcBorders>
              <w:top w:val="nil"/>
              <w:bottom w:val="nil"/>
            </w:tcBorders>
          </w:tcPr>
          <w:p w:rsidR="00680A4F" w:rsidRPr="00365D5B" w:rsidRDefault="00680A4F" w:rsidP="007E58D8">
            <w:pPr>
              <w:pStyle w:val="TableText"/>
              <w:tabs>
                <w:tab w:val="decimal" w:pos="453"/>
              </w:tabs>
            </w:pPr>
            <w:r w:rsidRPr="00365D5B">
              <w:t>13.6</w:t>
            </w:r>
          </w:p>
        </w:tc>
        <w:tc>
          <w:tcPr>
            <w:tcW w:w="849" w:type="dxa"/>
            <w:tcBorders>
              <w:top w:val="nil"/>
              <w:bottom w:val="nil"/>
            </w:tcBorders>
          </w:tcPr>
          <w:p w:rsidR="00680A4F" w:rsidRPr="00365D5B" w:rsidRDefault="00680A4F" w:rsidP="007E58D8">
            <w:pPr>
              <w:pStyle w:val="TableText"/>
              <w:tabs>
                <w:tab w:val="decimal" w:pos="453"/>
              </w:tabs>
            </w:pPr>
            <w:r w:rsidRPr="00365D5B">
              <w:t>68.8</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40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35.4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20.7</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14.7</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58.4</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38.7</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25.8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12.9</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66.8</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45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31</w:t>
            </w:r>
            <w:r>
              <w:t>.0</w:t>
            </w:r>
          </w:p>
        </w:tc>
        <w:tc>
          <w:tcPr>
            <w:tcW w:w="1063" w:type="dxa"/>
            <w:tcBorders>
              <w:top w:val="nil"/>
              <w:bottom w:val="nil"/>
            </w:tcBorders>
          </w:tcPr>
          <w:p w:rsidR="00680A4F" w:rsidRPr="00365D5B" w:rsidRDefault="00680A4F" w:rsidP="007E58D8">
            <w:pPr>
              <w:pStyle w:val="TableText"/>
              <w:tabs>
                <w:tab w:val="decimal" w:pos="440"/>
              </w:tabs>
            </w:pPr>
            <w:r w:rsidRPr="00365D5B">
              <w:t>16.8</w:t>
            </w:r>
          </w:p>
        </w:tc>
        <w:tc>
          <w:tcPr>
            <w:tcW w:w="1063" w:type="dxa"/>
            <w:tcBorders>
              <w:top w:val="nil"/>
              <w:bottom w:val="nil"/>
            </w:tcBorders>
          </w:tcPr>
          <w:p w:rsidR="00680A4F" w:rsidRPr="00365D5B" w:rsidRDefault="00680A4F" w:rsidP="007E58D8">
            <w:pPr>
              <w:pStyle w:val="TableText"/>
              <w:tabs>
                <w:tab w:val="decimal" w:pos="440"/>
              </w:tabs>
            </w:pPr>
            <w:r w:rsidRPr="00365D5B">
              <w:t>14.2</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54.3</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34</w:t>
            </w:r>
            <w:r>
              <w:t>.0</w:t>
            </w:r>
          </w:p>
        </w:tc>
        <w:tc>
          <w:tcPr>
            <w:tcW w:w="1064" w:type="dxa"/>
            <w:tcBorders>
              <w:top w:val="nil"/>
              <w:bottom w:val="nil"/>
            </w:tcBorders>
          </w:tcPr>
          <w:p w:rsidR="00680A4F" w:rsidRPr="00365D5B" w:rsidRDefault="00680A4F" w:rsidP="007E58D8">
            <w:pPr>
              <w:pStyle w:val="TableText"/>
              <w:tabs>
                <w:tab w:val="decimal" w:pos="453"/>
              </w:tabs>
            </w:pPr>
            <w:r w:rsidRPr="00365D5B">
              <w:t>22.1</w:t>
            </w:r>
          </w:p>
        </w:tc>
        <w:tc>
          <w:tcPr>
            <w:tcW w:w="1064" w:type="dxa"/>
            <w:tcBorders>
              <w:top w:val="nil"/>
              <w:bottom w:val="nil"/>
            </w:tcBorders>
          </w:tcPr>
          <w:p w:rsidR="00680A4F" w:rsidRPr="00365D5B" w:rsidRDefault="00680A4F" w:rsidP="007E58D8">
            <w:pPr>
              <w:pStyle w:val="TableText"/>
              <w:tabs>
                <w:tab w:val="decimal" w:pos="453"/>
              </w:tabs>
            </w:pPr>
            <w:r w:rsidRPr="00365D5B">
              <w:t>11.9</w:t>
            </w:r>
          </w:p>
        </w:tc>
        <w:tc>
          <w:tcPr>
            <w:tcW w:w="849" w:type="dxa"/>
            <w:tcBorders>
              <w:top w:val="nil"/>
              <w:bottom w:val="nil"/>
            </w:tcBorders>
          </w:tcPr>
          <w:p w:rsidR="00680A4F" w:rsidRPr="00365D5B" w:rsidRDefault="00680A4F" w:rsidP="007E58D8">
            <w:pPr>
              <w:pStyle w:val="TableText"/>
              <w:tabs>
                <w:tab w:val="decimal" w:pos="453"/>
              </w:tabs>
            </w:pPr>
            <w:r w:rsidRPr="00365D5B">
              <w:t>64.9</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50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26.7</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13.3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13.4</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49.7</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29.5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18.5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11</w:t>
            </w:r>
            <w:r>
              <w:t>.0</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62.7</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55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22.6</w:t>
            </w:r>
          </w:p>
        </w:tc>
        <w:tc>
          <w:tcPr>
            <w:tcW w:w="1063" w:type="dxa"/>
            <w:tcBorders>
              <w:top w:val="nil"/>
              <w:bottom w:val="nil"/>
            </w:tcBorders>
          </w:tcPr>
          <w:p w:rsidR="00680A4F" w:rsidRPr="00365D5B" w:rsidRDefault="00680A4F" w:rsidP="007E58D8">
            <w:pPr>
              <w:pStyle w:val="TableText"/>
              <w:tabs>
                <w:tab w:val="decimal" w:pos="440"/>
              </w:tabs>
            </w:pPr>
            <w:r w:rsidRPr="00365D5B">
              <w:t>10.2</w:t>
            </w:r>
          </w:p>
        </w:tc>
        <w:tc>
          <w:tcPr>
            <w:tcW w:w="1063" w:type="dxa"/>
            <w:tcBorders>
              <w:top w:val="nil"/>
              <w:bottom w:val="nil"/>
            </w:tcBorders>
          </w:tcPr>
          <w:p w:rsidR="00680A4F" w:rsidRPr="00365D5B" w:rsidRDefault="00680A4F" w:rsidP="007E58D8">
            <w:pPr>
              <w:pStyle w:val="TableText"/>
              <w:tabs>
                <w:tab w:val="decimal" w:pos="440"/>
              </w:tabs>
            </w:pPr>
            <w:r w:rsidRPr="00365D5B">
              <w:t>12.4</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44.9</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25.2</w:t>
            </w:r>
          </w:p>
        </w:tc>
        <w:tc>
          <w:tcPr>
            <w:tcW w:w="1064" w:type="dxa"/>
            <w:tcBorders>
              <w:top w:val="nil"/>
              <w:bottom w:val="nil"/>
            </w:tcBorders>
          </w:tcPr>
          <w:p w:rsidR="00680A4F" w:rsidRPr="00365D5B" w:rsidRDefault="00680A4F" w:rsidP="007E58D8">
            <w:pPr>
              <w:pStyle w:val="TableText"/>
              <w:tabs>
                <w:tab w:val="decimal" w:pos="453"/>
              </w:tabs>
            </w:pPr>
            <w:r w:rsidRPr="00365D5B">
              <w:t>15.2</w:t>
            </w:r>
          </w:p>
        </w:tc>
        <w:tc>
          <w:tcPr>
            <w:tcW w:w="1064" w:type="dxa"/>
            <w:tcBorders>
              <w:top w:val="nil"/>
              <w:bottom w:val="nil"/>
            </w:tcBorders>
          </w:tcPr>
          <w:p w:rsidR="00680A4F" w:rsidRPr="00365D5B" w:rsidRDefault="00680A4F" w:rsidP="007E58D8">
            <w:pPr>
              <w:pStyle w:val="TableText"/>
              <w:tabs>
                <w:tab w:val="decimal" w:pos="453"/>
              </w:tabs>
            </w:pPr>
            <w:r w:rsidRPr="00365D5B">
              <w:t>10</w:t>
            </w:r>
            <w:r>
              <w:t>.0</w:t>
            </w:r>
          </w:p>
        </w:tc>
        <w:tc>
          <w:tcPr>
            <w:tcW w:w="849" w:type="dxa"/>
            <w:tcBorders>
              <w:top w:val="nil"/>
              <w:bottom w:val="nil"/>
            </w:tcBorders>
          </w:tcPr>
          <w:p w:rsidR="00680A4F" w:rsidRPr="00365D5B" w:rsidRDefault="00680A4F" w:rsidP="007E58D8">
            <w:pPr>
              <w:pStyle w:val="TableText"/>
              <w:tabs>
                <w:tab w:val="decimal" w:pos="453"/>
              </w:tabs>
            </w:pPr>
            <w:r w:rsidRPr="00365D5B">
              <w:t>60.4</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60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18.8</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7.5</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11.3</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40.1</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21.1</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12.1</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9</w:t>
            </w:r>
            <w:r>
              <w:t>.0</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57.5</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65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15.4</w:t>
            </w:r>
          </w:p>
        </w:tc>
        <w:tc>
          <w:tcPr>
            <w:tcW w:w="1063" w:type="dxa"/>
            <w:tcBorders>
              <w:top w:val="nil"/>
              <w:bottom w:val="nil"/>
            </w:tcBorders>
          </w:tcPr>
          <w:p w:rsidR="00680A4F" w:rsidRPr="00365D5B" w:rsidRDefault="00680A4F" w:rsidP="007E58D8">
            <w:pPr>
              <w:pStyle w:val="TableText"/>
              <w:tabs>
                <w:tab w:val="decimal" w:pos="440"/>
              </w:tabs>
            </w:pPr>
            <w:r w:rsidRPr="00365D5B">
              <w:t>5.5</w:t>
            </w:r>
          </w:p>
        </w:tc>
        <w:tc>
          <w:tcPr>
            <w:tcW w:w="1063" w:type="dxa"/>
            <w:tcBorders>
              <w:top w:val="nil"/>
              <w:bottom w:val="nil"/>
            </w:tcBorders>
          </w:tcPr>
          <w:p w:rsidR="00680A4F" w:rsidRPr="00365D5B" w:rsidRDefault="00680A4F" w:rsidP="007E58D8">
            <w:pPr>
              <w:pStyle w:val="TableText"/>
              <w:tabs>
                <w:tab w:val="decimal" w:pos="440"/>
              </w:tabs>
            </w:pPr>
            <w:r w:rsidRPr="00365D5B">
              <w:t>9.9</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35.5</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17.5</w:t>
            </w:r>
          </w:p>
        </w:tc>
        <w:tc>
          <w:tcPr>
            <w:tcW w:w="1064" w:type="dxa"/>
            <w:tcBorders>
              <w:top w:val="nil"/>
              <w:bottom w:val="nil"/>
            </w:tcBorders>
          </w:tcPr>
          <w:p w:rsidR="00680A4F" w:rsidRPr="00365D5B" w:rsidRDefault="00680A4F" w:rsidP="007E58D8">
            <w:pPr>
              <w:pStyle w:val="TableText"/>
              <w:tabs>
                <w:tab w:val="decimal" w:pos="453"/>
              </w:tabs>
            </w:pPr>
            <w:r w:rsidRPr="00365D5B">
              <w:t>9.4</w:t>
            </w:r>
          </w:p>
        </w:tc>
        <w:tc>
          <w:tcPr>
            <w:tcW w:w="1064" w:type="dxa"/>
            <w:tcBorders>
              <w:top w:val="nil"/>
              <w:bottom w:val="nil"/>
            </w:tcBorders>
          </w:tcPr>
          <w:p w:rsidR="00680A4F" w:rsidRPr="00365D5B" w:rsidRDefault="00680A4F" w:rsidP="007E58D8">
            <w:pPr>
              <w:pStyle w:val="TableText"/>
              <w:tabs>
                <w:tab w:val="decimal" w:pos="453"/>
              </w:tabs>
            </w:pPr>
            <w:r w:rsidRPr="00365D5B">
              <w:t>8.1</w:t>
            </w:r>
          </w:p>
        </w:tc>
        <w:tc>
          <w:tcPr>
            <w:tcW w:w="849" w:type="dxa"/>
            <w:tcBorders>
              <w:top w:val="nil"/>
              <w:bottom w:val="nil"/>
            </w:tcBorders>
          </w:tcPr>
          <w:p w:rsidR="00680A4F" w:rsidRPr="00365D5B" w:rsidRDefault="00680A4F" w:rsidP="007E58D8">
            <w:pPr>
              <w:pStyle w:val="TableText"/>
              <w:tabs>
                <w:tab w:val="decimal" w:pos="453"/>
              </w:tabs>
            </w:pPr>
            <w:r w:rsidRPr="00365D5B">
              <w:t>53.6</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70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12.3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3.6</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8.7</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28.9</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14.2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6.8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7.4</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47.7</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9"/>
              </w:tabs>
            </w:pPr>
            <w:r w:rsidRPr="00365D5B">
              <w:t>75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9.6</w:t>
            </w:r>
          </w:p>
        </w:tc>
        <w:tc>
          <w:tcPr>
            <w:tcW w:w="1063" w:type="dxa"/>
            <w:tcBorders>
              <w:top w:val="nil"/>
              <w:bottom w:val="nil"/>
            </w:tcBorders>
          </w:tcPr>
          <w:p w:rsidR="00680A4F" w:rsidRPr="00365D5B" w:rsidRDefault="00680A4F" w:rsidP="007E58D8">
            <w:pPr>
              <w:pStyle w:val="TableText"/>
              <w:tabs>
                <w:tab w:val="decimal" w:pos="440"/>
              </w:tabs>
            </w:pPr>
            <w:r w:rsidRPr="00365D5B">
              <w:t>1.9</w:t>
            </w:r>
          </w:p>
        </w:tc>
        <w:tc>
          <w:tcPr>
            <w:tcW w:w="1063" w:type="dxa"/>
            <w:tcBorders>
              <w:top w:val="nil"/>
              <w:bottom w:val="nil"/>
            </w:tcBorders>
          </w:tcPr>
          <w:p w:rsidR="00680A4F" w:rsidRPr="00365D5B" w:rsidRDefault="00680A4F" w:rsidP="007E58D8">
            <w:pPr>
              <w:pStyle w:val="TableText"/>
              <w:tabs>
                <w:tab w:val="decimal" w:pos="440"/>
              </w:tabs>
            </w:pPr>
            <w:r w:rsidRPr="00365D5B">
              <w:t>7.7</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40"/>
              </w:tabs>
            </w:pPr>
            <w:r w:rsidRPr="00365D5B">
              <w:t>20</w:t>
            </w:r>
            <w:r>
              <w:t>.0</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53"/>
              </w:tabs>
            </w:pPr>
            <w:r w:rsidRPr="00365D5B">
              <w:t>11.2</w:t>
            </w:r>
          </w:p>
        </w:tc>
        <w:tc>
          <w:tcPr>
            <w:tcW w:w="1064" w:type="dxa"/>
            <w:tcBorders>
              <w:top w:val="nil"/>
              <w:bottom w:val="nil"/>
            </w:tcBorders>
          </w:tcPr>
          <w:p w:rsidR="00680A4F" w:rsidRPr="00365D5B" w:rsidRDefault="00680A4F" w:rsidP="007E58D8">
            <w:pPr>
              <w:pStyle w:val="TableText"/>
              <w:tabs>
                <w:tab w:val="decimal" w:pos="453"/>
              </w:tabs>
            </w:pPr>
            <w:r w:rsidRPr="00365D5B">
              <w:t>4.5</w:t>
            </w:r>
          </w:p>
        </w:tc>
        <w:tc>
          <w:tcPr>
            <w:tcW w:w="1064" w:type="dxa"/>
            <w:tcBorders>
              <w:top w:val="nil"/>
              <w:bottom w:val="nil"/>
            </w:tcBorders>
          </w:tcPr>
          <w:p w:rsidR="00680A4F" w:rsidRPr="00365D5B" w:rsidRDefault="00680A4F" w:rsidP="007E58D8">
            <w:pPr>
              <w:pStyle w:val="TableText"/>
              <w:tabs>
                <w:tab w:val="decimal" w:pos="453"/>
              </w:tabs>
            </w:pPr>
            <w:r w:rsidRPr="00365D5B">
              <w:t>6.7</w:t>
            </w:r>
          </w:p>
        </w:tc>
        <w:tc>
          <w:tcPr>
            <w:tcW w:w="849" w:type="dxa"/>
            <w:tcBorders>
              <w:top w:val="nil"/>
              <w:bottom w:val="nil"/>
            </w:tcBorders>
          </w:tcPr>
          <w:p w:rsidR="00680A4F" w:rsidRPr="00365D5B" w:rsidRDefault="00680A4F" w:rsidP="007E58D8">
            <w:pPr>
              <w:pStyle w:val="TableText"/>
              <w:tabs>
                <w:tab w:val="decimal" w:pos="453"/>
              </w:tabs>
            </w:pPr>
            <w:r w:rsidRPr="00365D5B">
              <w:t>40.2</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9"/>
              </w:tabs>
            </w:pPr>
            <w:r w:rsidRPr="00365D5B">
              <w:t>80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7.4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0.9</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6.5</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40"/>
              </w:tabs>
            </w:pPr>
            <w:r w:rsidRPr="00365D5B">
              <w:t>12.4</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8.5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2.9</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53"/>
              </w:tabs>
            </w:pPr>
            <w:r w:rsidRPr="00365D5B">
              <w:t>5.6</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53"/>
              </w:tabs>
            </w:pPr>
            <w:r w:rsidRPr="00365D5B">
              <w:t>33.8</w:t>
            </w:r>
          </w:p>
        </w:tc>
      </w:tr>
      <w:tr w:rsidR="00680A4F" w:rsidTr="004F3D79">
        <w:trPr>
          <w:cantSplit/>
        </w:trPr>
        <w:tc>
          <w:tcPr>
            <w:tcW w:w="1063" w:type="dxa"/>
            <w:tcBorders>
              <w:top w:val="nil"/>
              <w:bottom w:val="single" w:sz="4" w:space="0" w:color="A6A6A6" w:themeColor="background1" w:themeShade="A6"/>
              <w:right w:val="single" w:sz="4" w:space="0" w:color="A6A6A6" w:themeColor="background1" w:themeShade="A6"/>
            </w:tcBorders>
          </w:tcPr>
          <w:p w:rsidR="00680A4F" w:rsidRPr="00365D5B" w:rsidRDefault="00680A4F" w:rsidP="007E58D8">
            <w:pPr>
              <w:pStyle w:val="TableText"/>
              <w:tabs>
                <w:tab w:val="decimal" w:pos="519"/>
              </w:tabs>
            </w:pPr>
            <w:r w:rsidRPr="00365D5B">
              <w:t>85</w:t>
            </w:r>
          </w:p>
        </w:tc>
        <w:tc>
          <w:tcPr>
            <w:tcW w:w="1063" w:type="dxa"/>
            <w:tcBorders>
              <w:top w:val="nil"/>
              <w:left w:val="single" w:sz="4" w:space="0" w:color="A6A6A6" w:themeColor="background1" w:themeShade="A6"/>
              <w:bottom w:val="single" w:sz="4" w:space="0" w:color="A6A6A6" w:themeColor="background1" w:themeShade="A6"/>
            </w:tcBorders>
          </w:tcPr>
          <w:p w:rsidR="00680A4F" w:rsidRPr="00365D5B" w:rsidRDefault="00680A4F" w:rsidP="007E58D8">
            <w:pPr>
              <w:pStyle w:val="TableText"/>
              <w:tabs>
                <w:tab w:val="decimal" w:pos="440"/>
              </w:tabs>
            </w:pPr>
            <w:r w:rsidRPr="00365D5B">
              <w:t>5.7</w:t>
            </w:r>
          </w:p>
        </w:tc>
        <w:tc>
          <w:tcPr>
            <w:tcW w:w="1063" w:type="dxa"/>
            <w:tcBorders>
              <w:top w:val="nil"/>
              <w:bottom w:val="single" w:sz="4" w:space="0" w:color="A6A6A6" w:themeColor="background1" w:themeShade="A6"/>
            </w:tcBorders>
          </w:tcPr>
          <w:p w:rsidR="00680A4F" w:rsidRPr="00365D5B" w:rsidRDefault="00680A4F" w:rsidP="007E58D8">
            <w:pPr>
              <w:pStyle w:val="TableText"/>
              <w:tabs>
                <w:tab w:val="decimal" w:pos="440"/>
              </w:tabs>
            </w:pPr>
            <w:r w:rsidRPr="00365D5B">
              <w:t>0.5</w:t>
            </w:r>
          </w:p>
        </w:tc>
        <w:tc>
          <w:tcPr>
            <w:tcW w:w="1063" w:type="dxa"/>
            <w:tcBorders>
              <w:top w:val="nil"/>
              <w:bottom w:val="single" w:sz="4" w:space="0" w:color="A6A6A6" w:themeColor="background1" w:themeShade="A6"/>
            </w:tcBorders>
          </w:tcPr>
          <w:p w:rsidR="00680A4F" w:rsidRPr="00365D5B" w:rsidRDefault="00680A4F" w:rsidP="007E58D8">
            <w:pPr>
              <w:pStyle w:val="TableText"/>
              <w:tabs>
                <w:tab w:val="decimal" w:pos="440"/>
              </w:tabs>
            </w:pPr>
            <w:r w:rsidRPr="00365D5B">
              <w:t>5.2</w:t>
            </w:r>
          </w:p>
        </w:tc>
        <w:tc>
          <w:tcPr>
            <w:tcW w:w="1063" w:type="dxa"/>
            <w:tcBorders>
              <w:top w:val="nil"/>
              <w:bottom w:val="single" w:sz="4" w:space="0" w:color="A6A6A6" w:themeColor="background1" w:themeShade="A6"/>
              <w:right w:val="single" w:sz="4" w:space="0" w:color="A6A6A6" w:themeColor="background1" w:themeShade="A6"/>
            </w:tcBorders>
          </w:tcPr>
          <w:p w:rsidR="00680A4F" w:rsidRPr="00365D5B" w:rsidRDefault="00680A4F" w:rsidP="007E58D8">
            <w:pPr>
              <w:pStyle w:val="TableText"/>
              <w:tabs>
                <w:tab w:val="decimal" w:pos="440"/>
              </w:tabs>
            </w:pPr>
            <w:r w:rsidRPr="00365D5B">
              <w:t>9</w:t>
            </w:r>
            <w:r>
              <w:t>.0</w:t>
            </w:r>
          </w:p>
        </w:tc>
        <w:tc>
          <w:tcPr>
            <w:tcW w:w="1064" w:type="dxa"/>
            <w:tcBorders>
              <w:top w:val="nil"/>
              <w:left w:val="single" w:sz="4" w:space="0" w:color="A6A6A6" w:themeColor="background1" w:themeShade="A6"/>
              <w:bottom w:val="single" w:sz="4" w:space="0" w:color="A6A6A6" w:themeColor="background1" w:themeShade="A6"/>
            </w:tcBorders>
          </w:tcPr>
          <w:p w:rsidR="00680A4F" w:rsidRPr="00365D5B" w:rsidRDefault="00680A4F" w:rsidP="007E58D8">
            <w:pPr>
              <w:pStyle w:val="TableText"/>
              <w:tabs>
                <w:tab w:val="decimal" w:pos="453"/>
              </w:tabs>
            </w:pPr>
            <w:r w:rsidRPr="00365D5B">
              <w:t>6.4</w:t>
            </w:r>
          </w:p>
        </w:tc>
        <w:tc>
          <w:tcPr>
            <w:tcW w:w="1064" w:type="dxa"/>
            <w:tcBorders>
              <w:top w:val="nil"/>
              <w:bottom w:val="single" w:sz="4" w:space="0" w:color="A6A6A6" w:themeColor="background1" w:themeShade="A6"/>
            </w:tcBorders>
          </w:tcPr>
          <w:p w:rsidR="00680A4F" w:rsidRPr="00365D5B" w:rsidRDefault="00680A4F" w:rsidP="007E58D8">
            <w:pPr>
              <w:pStyle w:val="TableText"/>
              <w:tabs>
                <w:tab w:val="decimal" w:pos="453"/>
              </w:tabs>
            </w:pPr>
            <w:r w:rsidRPr="00365D5B">
              <w:t>2</w:t>
            </w:r>
            <w:r>
              <w:t>.0</w:t>
            </w:r>
          </w:p>
        </w:tc>
        <w:tc>
          <w:tcPr>
            <w:tcW w:w="1064" w:type="dxa"/>
            <w:tcBorders>
              <w:top w:val="nil"/>
              <w:bottom w:val="single" w:sz="4" w:space="0" w:color="A6A6A6" w:themeColor="background1" w:themeShade="A6"/>
            </w:tcBorders>
          </w:tcPr>
          <w:p w:rsidR="00680A4F" w:rsidRPr="00365D5B" w:rsidRDefault="00680A4F" w:rsidP="007E58D8">
            <w:pPr>
              <w:pStyle w:val="TableText"/>
              <w:tabs>
                <w:tab w:val="decimal" w:pos="453"/>
              </w:tabs>
            </w:pPr>
            <w:r w:rsidRPr="00365D5B">
              <w:t>4.4</w:t>
            </w:r>
          </w:p>
        </w:tc>
        <w:tc>
          <w:tcPr>
            <w:tcW w:w="849" w:type="dxa"/>
            <w:tcBorders>
              <w:top w:val="nil"/>
              <w:bottom w:val="single" w:sz="4" w:space="0" w:color="A6A6A6" w:themeColor="background1" w:themeShade="A6"/>
            </w:tcBorders>
          </w:tcPr>
          <w:p w:rsidR="00680A4F" w:rsidRPr="00365D5B" w:rsidRDefault="00680A4F" w:rsidP="007E58D8">
            <w:pPr>
              <w:pStyle w:val="TableText"/>
              <w:tabs>
                <w:tab w:val="decimal" w:pos="453"/>
              </w:tabs>
            </w:pPr>
            <w:r w:rsidRPr="00365D5B">
              <w:t>31.1</w:t>
            </w:r>
          </w:p>
        </w:tc>
      </w:tr>
      <w:tr w:rsidR="007E58D8" w:rsidRPr="007E58D8" w:rsidTr="004F3D79">
        <w:trPr>
          <w:cantSplit/>
        </w:trPr>
        <w:tc>
          <w:tcPr>
            <w:tcW w:w="106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7E58D8" w:rsidRPr="007E58D8" w:rsidRDefault="007E58D8" w:rsidP="007E58D8">
            <w:pPr>
              <w:pStyle w:val="TableText"/>
              <w:jc w:val="center"/>
              <w:rPr>
                <w:b/>
              </w:rPr>
            </w:pPr>
          </w:p>
        </w:tc>
        <w:tc>
          <w:tcPr>
            <w:tcW w:w="42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7E58D8" w:rsidRPr="007E58D8" w:rsidRDefault="007E58D8" w:rsidP="007E58D8">
            <w:pPr>
              <w:pStyle w:val="TableText"/>
              <w:jc w:val="center"/>
              <w:rPr>
                <w:b/>
              </w:rPr>
            </w:pPr>
            <w:r w:rsidRPr="007E58D8">
              <w:rPr>
                <w:b/>
              </w:rPr>
              <w:t>Non-Māori males</w:t>
            </w:r>
          </w:p>
        </w:tc>
        <w:tc>
          <w:tcPr>
            <w:tcW w:w="404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tcPr>
          <w:p w:rsidR="007E58D8" w:rsidRPr="007E58D8" w:rsidRDefault="007E58D8" w:rsidP="007E58D8">
            <w:pPr>
              <w:pStyle w:val="TableText"/>
              <w:jc w:val="center"/>
              <w:rPr>
                <w:b/>
              </w:rPr>
            </w:pPr>
            <w:r w:rsidRPr="007E58D8">
              <w:rPr>
                <w:b/>
              </w:rPr>
              <w:t>Non-Māori females</w:t>
            </w:r>
          </w:p>
        </w:tc>
      </w:tr>
      <w:tr w:rsidR="00680A4F" w:rsidTr="004F3D79">
        <w:trPr>
          <w:cantSplit/>
        </w:trPr>
        <w:tc>
          <w:tcPr>
            <w:tcW w:w="1063" w:type="dxa"/>
            <w:tcBorders>
              <w:top w:val="single" w:sz="4" w:space="0" w:color="A6A6A6" w:themeColor="background1" w:themeShade="A6"/>
              <w:bottom w:val="nil"/>
              <w:right w:val="single" w:sz="4" w:space="0" w:color="A6A6A6" w:themeColor="background1" w:themeShade="A6"/>
            </w:tcBorders>
          </w:tcPr>
          <w:p w:rsidR="00680A4F" w:rsidRPr="00365D5B" w:rsidRDefault="00680A4F" w:rsidP="007E58D8">
            <w:pPr>
              <w:pStyle w:val="TableText"/>
              <w:tabs>
                <w:tab w:val="decimal" w:pos="510"/>
              </w:tabs>
            </w:pPr>
            <w:r w:rsidRPr="00365D5B">
              <w:t>0</w:t>
            </w:r>
          </w:p>
        </w:tc>
        <w:tc>
          <w:tcPr>
            <w:tcW w:w="1063" w:type="dxa"/>
            <w:tcBorders>
              <w:top w:val="single" w:sz="4" w:space="0" w:color="A6A6A6" w:themeColor="background1" w:themeShade="A6"/>
              <w:left w:val="single" w:sz="4" w:space="0" w:color="A6A6A6" w:themeColor="background1" w:themeShade="A6"/>
              <w:bottom w:val="nil"/>
            </w:tcBorders>
          </w:tcPr>
          <w:p w:rsidR="00680A4F" w:rsidRPr="00365D5B" w:rsidRDefault="00680A4F" w:rsidP="007E58D8">
            <w:pPr>
              <w:pStyle w:val="TableText"/>
              <w:tabs>
                <w:tab w:val="decimal" w:pos="477"/>
              </w:tabs>
            </w:pPr>
            <w:r w:rsidRPr="00365D5B">
              <w:t>80.3</w:t>
            </w:r>
          </w:p>
        </w:tc>
        <w:tc>
          <w:tcPr>
            <w:tcW w:w="1063" w:type="dxa"/>
            <w:tcBorders>
              <w:top w:val="single" w:sz="4" w:space="0" w:color="A6A6A6" w:themeColor="background1" w:themeShade="A6"/>
              <w:bottom w:val="nil"/>
            </w:tcBorders>
          </w:tcPr>
          <w:p w:rsidR="00680A4F" w:rsidRPr="00365D5B" w:rsidRDefault="00680A4F" w:rsidP="007E58D8">
            <w:pPr>
              <w:pStyle w:val="TableText"/>
              <w:tabs>
                <w:tab w:val="decimal" w:pos="477"/>
              </w:tabs>
            </w:pPr>
            <w:r w:rsidRPr="00365D5B">
              <w:t>66.7</w:t>
            </w:r>
          </w:p>
        </w:tc>
        <w:tc>
          <w:tcPr>
            <w:tcW w:w="1063" w:type="dxa"/>
            <w:tcBorders>
              <w:top w:val="single" w:sz="4" w:space="0" w:color="A6A6A6" w:themeColor="background1" w:themeShade="A6"/>
              <w:bottom w:val="nil"/>
            </w:tcBorders>
          </w:tcPr>
          <w:p w:rsidR="00680A4F" w:rsidRPr="00365D5B" w:rsidRDefault="00680A4F" w:rsidP="007E58D8">
            <w:pPr>
              <w:pStyle w:val="TableText"/>
              <w:tabs>
                <w:tab w:val="decimal" w:pos="477"/>
              </w:tabs>
            </w:pPr>
            <w:r w:rsidRPr="00365D5B">
              <w:t>13.6</w:t>
            </w:r>
          </w:p>
        </w:tc>
        <w:tc>
          <w:tcPr>
            <w:tcW w:w="1063" w:type="dxa"/>
            <w:tcBorders>
              <w:top w:val="single" w:sz="4" w:space="0" w:color="A6A6A6" w:themeColor="background1" w:themeShade="A6"/>
              <w:bottom w:val="nil"/>
              <w:right w:val="single" w:sz="4" w:space="0" w:color="A6A6A6" w:themeColor="background1" w:themeShade="A6"/>
            </w:tcBorders>
          </w:tcPr>
          <w:p w:rsidR="00680A4F" w:rsidRPr="00365D5B" w:rsidRDefault="00680A4F" w:rsidP="007E58D8">
            <w:pPr>
              <w:pStyle w:val="TableText"/>
              <w:tabs>
                <w:tab w:val="decimal" w:pos="477"/>
              </w:tabs>
            </w:pPr>
            <w:r w:rsidRPr="00365D5B">
              <w:t>83</w:t>
            </w:r>
            <w:r>
              <w:t>.0</w:t>
            </w:r>
          </w:p>
        </w:tc>
        <w:tc>
          <w:tcPr>
            <w:tcW w:w="1064" w:type="dxa"/>
            <w:tcBorders>
              <w:top w:val="single" w:sz="4" w:space="0" w:color="A6A6A6" w:themeColor="background1" w:themeShade="A6"/>
              <w:left w:val="single" w:sz="4" w:space="0" w:color="A6A6A6" w:themeColor="background1" w:themeShade="A6"/>
              <w:bottom w:val="nil"/>
            </w:tcBorders>
          </w:tcPr>
          <w:p w:rsidR="00680A4F" w:rsidRPr="00365D5B" w:rsidRDefault="00680A4F" w:rsidP="007E58D8">
            <w:pPr>
              <w:pStyle w:val="TableText"/>
              <w:tabs>
                <w:tab w:val="decimal" w:pos="440"/>
              </w:tabs>
            </w:pPr>
            <w:r w:rsidRPr="00365D5B">
              <w:t>83.9</w:t>
            </w:r>
          </w:p>
        </w:tc>
        <w:tc>
          <w:tcPr>
            <w:tcW w:w="1064" w:type="dxa"/>
            <w:tcBorders>
              <w:top w:val="single" w:sz="4" w:space="0" w:color="A6A6A6" w:themeColor="background1" w:themeShade="A6"/>
              <w:bottom w:val="nil"/>
            </w:tcBorders>
          </w:tcPr>
          <w:p w:rsidR="00680A4F" w:rsidRPr="00365D5B" w:rsidRDefault="00680A4F" w:rsidP="007E58D8">
            <w:pPr>
              <w:pStyle w:val="TableText"/>
              <w:tabs>
                <w:tab w:val="decimal" w:pos="440"/>
              </w:tabs>
            </w:pPr>
            <w:r w:rsidRPr="00365D5B">
              <w:t>67.4</w:t>
            </w:r>
          </w:p>
        </w:tc>
        <w:tc>
          <w:tcPr>
            <w:tcW w:w="1064" w:type="dxa"/>
            <w:tcBorders>
              <w:top w:val="single" w:sz="4" w:space="0" w:color="A6A6A6" w:themeColor="background1" w:themeShade="A6"/>
              <w:bottom w:val="nil"/>
            </w:tcBorders>
          </w:tcPr>
          <w:p w:rsidR="00680A4F" w:rsidRPr="00365D5B" w:rsidRDefault="00680A4F" w:rsidP="007E58D8">
            <w:pPr>
              <w:pStyle w:val="TableText"/>
              <w:tabs>
                <w:tab w:val="decimal" w:pos="440"/>
              </w:tabs>
            </w:pPr>
            <w:r w:rsidRPr="00365D5B">
              <w:t>16.5</w:t>
            </w:r>
          </w:p>
        </w:tc>
        <w:tc>
          <w:tcPr>
            <w:tcW w:w="849" w:type="dxa"/>
            <w:tcBorders>
              <w:top w:val="single" w:sz="4" w:space="0" w:color="A6A6A6" w:themeColor="background1" w:themeShade="A6"/>
              <w:bottom w:val="nil"/>
            </w:tcBorders>
          </w:tcPr>
          <w:p w:rsidR="00680A4F" w:rsidRPr="00365D5B" w:rsidRDefault="00680A4F" w:rsidP="007E58D8">
            <w:pPr>
              <w:pStyle w:val="TableText"/>
              <w:tabs>
                <w:tab w:val="decimal" w:pos="440"/>
              </w:tabs>
            </w:pPr>
            <w:r w:rsidRPr="00365D5B">
              <w:t>80.4</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1</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79.7</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66</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13.7</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82.8</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83.2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66.7</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16.5</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80.2</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75.7</w:t>
            </w:r>
          </w:p>
        </w:tc>
        <w:tc>
          <w:tcPr>
            <w:tcW w:w="1063" w:type="dxa"/>
            <w:tcBorders>
              <w:top w:val="nil"/>
              <w:bottom w:val="nil"/>
            </w:tcBorders>
          </w:tcPr>
          <w:p w:rsidR="00680A4F" w:rsidRPr="00365D5B" w:rsidRDefault="00680A4F" w:rsidP="007E58D8">
            <w:pPr>
              <w:pStyle w:val="TableText"/>
              <w:tabs>
                <w:tab w:val="decimal" w:pos="477"/>
              </w:tabs>
            </w:pPr>
            <w:r w:rsidRPr="00365D5B">
              <w:t>62.3</w:t>
            </w:r>
          </w:p>
        </w:tc>
        <w:tc>
          <w:tcPr>
            <w:tcW w:w="1063" w:type="dxa"/>
            <w:tcBorders>
              <w:top w:val="nil"/>
              <w:bottom w:val="nil"/>
            </w:tcBorders>
          </w:tcPr>
          <w:p w:rsidR="00680A4F" w:rsidRPr="00365D5B" w:rsidRDefault="00680A4F" w:rsidP="007E58D8">
            <w:pPr>
              <w:pStyle w:val="TableText"/>
              <w:tabs>
                <w:tab w:val="decimal" w:pos="477"/>
              </w:tabs>
            </w:pPr>
            <w:r w:rsidRPr="00365D5B">
              <w:t>13.4</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82.3</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79.3</w:t>
            </w:r>
          </w:p>
        </w:tc>
        <w:tc>
          <w:tcPr>
            <w:tcW w:w="1064" w:type="dxa"/>
            <w:tcBorders>
              <w:top w:val="nil"/>
              <w:bottom w:val="nil"/>
            </w:tcBorders>
          </w:tcPr>
          <w:p w:rsidR="00680A4F" w:rsidRPr="00365D5B" w:rsidRDefault="00680A4F" w:rsidP="007E58D8">
            <w:pPr>
              <w:pStyle w:val="TableText"/>
              <w:tabs>
                <w:tab w:val="decimal" w:pos="440"/>
              </w:tabs>
            </w:pPr>
            <w:r w:rsidRPr="00365D5B">
              <w:t>62.9</w:t>
            </w:r>
          </w:p>
        </w:tc>
        <w:tc>
          <w:tcPr>
            <w:tcW w:w="1064" w:type="dxa"/>
            <w:tcBorders>
              <w:top w:val="nil"/>
              <w:bottom w:val="nil"/>
            </w:tcBorders>
          </w:tcPr>
          <w:p w:rsidR="00680A4F" w:rsidRPr="00365D5B" w:rsidRDefault="00680A4F" w:rsidP="007E58D8">
            <w:pPr>
              <w:pStyle w:val="TableText"/>
              <w:tabs>
                <w:tab w:val="decimal" w:pos="440"/>
              </w:tabs>
            </w:pPr>
            <w:r w:rsidRPr="00365D5B">
              <w:t>16.4</w:t>
            </w:r>
          </w:p>
        </w:tc>
        <w:tc>
          <w:tcPr>
            <w:tcW w:w="849" w:type="dxa"/>
            <w:tcBorders>
              <w:top w:val="nil"/>
              <w:bottom w:val="nil"/>
            </w:tcBorders>
          </w:tcPr>
          <w:p w:rsidR="00680A4F" w:rsidRPr="00365D5B" w:rsidRDefault="00680A4F" w:rsidP="007E58D8">
            <w:pPr>
              <w:pStyle w:val="TableText"/>
              <w:tabs>
                <w:tab w:val="decimal" w:pos="440"/>
              </w:tabs>
            </w:pPr>
            <w:r w:rsidRPr="00365D5B">
              <w:t>79.3</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10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70.8</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57.7</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13.1</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81.5</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74.3</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58.2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16.1</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78.3</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15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65.8</w:t>
            </w:r>
          </w:p>
        </w:tc>
        <w:tc>
          <w:tcPr>
            <w:tcW w:w="1063" w:type="dxa"/>
            <w:tcBorders>
              <w:top w:val="nil"/>
              <w:bottom w:val="nil"/>
            </w:tcBorders>
          </w:tcPr>
          <w:p w:rsidR="00680A4F" w:rsidRPr="00365D5B" w:rsidRDefault="00680A4F" w:rsidP="007E58D8">
            <w:pPr>
              <w:pStyle w:val="TableText"/>
              <w:tabs>
                <w:tab w:val="decimal" w:pos="477"/>
              </w:tabs>
            </w:pPr>
            <w:r w:rsidRPr="00365D5B">
              <w:t>53.1</w:t>
            </w:r>
          </w:p>
        </w:tc>
        <w:tc>
          <w:tcPr>
            <w:tcW w:w="1063" w:type="dxa"/>
            <w:tcBorders>
              <w:top w:val="nil"/>
              <w:bottom w:val="nil"/>
            </w:tcBorders>
          </w:tcPr>
          <w:p w:rsidR="00680A4F" w:rsidRPr="00365D5B" w:rsidRDefault="00680A4F" w:rsidP="007E58D8">
            <w:pPr>
              <w:pStyle w:val="TableText"/>
              <w:tabs>
                <w:tab w:val="decimal" w:pos="477"/>
              </w:tabs>
            </w:pPr>
            <w:r w:rsidRPr="00365D5B">
              <w:t>12.7</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80.6</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69.4</w:t>
            </w:r>
          </w:p>
        </w:tc>
        <w:tc>
          <w:tcPr>
            <w:tcW w:w="1064" w:type="dxa"/>
            <w:tcBorders>
              <w:top w:val="nil"/>
              <w:bottom w:val="nil"/>
            </w:tcBorders>
          </w:tcPr>
          <w:p w:rsidR="00680A4F" w:rsidRPr="00365D5B" w:rsidRDefault="00680A4F" w:rsidP="007E58D8">
            <w:pPr>
              <w:pStyle w:val="TableText"/>
              <w:tabs>
                <w:tab w:val="decimal" w:pos="440"/>
              </w:tabs>
            </w:pPr>
            <w:r w:rsidRPr="00365D5B">
              <w:t>53.5</w:t>
            </w:r>
          </w:p>
        </w:tc>
        <w:tc>
          <w:tcPr>
            <w:tcW w:w="1064" w:type="dxa"/>
            <w:tcBorders>
              <w:top w:val="nil"/>
              <w:bottom w:val="nil"/>
            </w:tcBorders>
          </w:tcPr>
          <w:p w:rsidR="00680A4F" w:rsidRPr="00365D5B" w:rsidRDefault="00680A4F" w:rsidP="007E58D8">
            <w:pPr>
              <w:pStyle w:val="TableText"/>
              <w:tabs>
                <w:tab w:val="decimal" w:pos="440"/>
              </w:tabs>
            </w:pPr>
            <w:r w:rsidRPr="00365D5B">
              <w:t>15.9</w:t>
            </w:r>
          </w:p>
        </w:tc>
        <w:tc>
          <w:tcPr>
            <w:tcW w:w="849" w:type="dxa"/>
            <w:tcBorders>
              <w:top w:val="nil"/>
              <w:bottom w:val="nil"/>
            </w:tcBorders>
          </w:tcPr>
          <w:p w:rsidR="00680A4F" w:rsidRPr="00365D5B" w:rsidRDefault="00680A4F" w:rsidP="007E58D8">
            <w:pPr>
              <w:pStyle w:val="TableText"/>
              <w:tabs>
                <w:tab w:val="decimal" w:pos="440"/>
              </w:tabs>
            </w:pPr>
            <w:r w:rsidRPr="00365D5B">
              <w:t>77.1</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20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61</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48.5</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12.5</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79.5</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64.4</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48.8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15.6</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75.8</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25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56.2</w:t>
            </w:r>
          </w:p>
        </w:tc>
        <w:tc>
          <w:tcPr>
            <w:tcW w:w="1063" w:type="dxa"/>
            <w:tcBorders>
              <w:top w:val="nil"/>
              <w:bottom w:val="nil"/>
            </w:tcBorders>
          </w:tcPr>
          <w:p w:rsidR="00680A4F" w:rsidRPr="00365D5B" w:rsidRDefault="00680A4F" w:rsidP="007E58D8">
            <w:pPr>
              <w:pStyle w:val="TableText"/>
              <w:tabs>
                <w:tab w:val="decimal" w:pos="477"/>
              </w:tabs>
            </w:pPr>
            <w:r w:rsidRPr="00365D5B">
              <w:t>43.9</w:t>
            </w:r>
          </w:p>
        </w:tc>
        <w:tc>
          <w:tcPr>
            <w:tcW w:w="1063" w:type="dxa"/>
            <w:tcBorders>
              <w:top w:val="nil"/>
              <w:bottom w:val="nil"/>
            </w:tcBorders>
          </w:tcPr>
          <w:p w:rsidR="00680A4F" w:rsidRPr="00365D5B" w:rsidRDefault="00680A4F" w:rsidP="007E58D8">
            <w:pPr>
              <w:pStyle w:val="TableText"/>
              <w:tabs>
                <w:tab w:val="decimal" w:pos="477"/>
              </w:tabs>
            </w:pPr>
            <w:r w:rsidRPr="00365D5B">
              <w:t>12.3</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78.2</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59.5</w:t>
            </w:r>
          </w:p>
        </w:tc>
        <w:tc>
          <w:tcPr>
            <w:tcW w:w="1064" w:type="dxa"/>
            <w:tcBorders>
              <w:top w:val="nil"/>
              <w:bottom w:val="nil"/>
            </w:tcBorders>
          </w:tcPr>
          <w:p w:rsidR="00680A4F" w:rsidRPr="00365D5B" w:rsidRDefault="00680A4F" w:rsidP="007E58D8">
            <w:pPr>
              <w:pStyle w:val="TableText"/>
              <w:tabs>
                <w:tab w:val="decimal" w:pos="440"/>
              </w:tabs>
            </w:pPr>
            <w:r w:rsidRPr="00365D5B">
              <w:t>44.2</w:t>
            </w:r>
          </w:p>
        </w:tc>
        <w:tc>
          <w:tcPr>
            <w:tcW w:w="1064" w:type="dxa"/>
            <w:tcBorders>
              <w:top w:val="nil"/>
              <w:bottom w:val="nil"/>
            </w:tcBorders>
          </w:tcPr>
          <w:p w:rsidR="00680A4F" w:rsidRPr="00365D5B" w:rsidRDefault="00680A4F" w:rsidP="007E58D8">
            <w:pPr>
              <w:pStyle w:val="TableText"/>
              <w:tabs>
                <w:tab w:val="decimal" w:pos="440"/>
              </w:tabs>
            </w:pPr>
            <w:r w:rsidRPr="00365D5B">
              <w:t>15.3</w:t>
            </w:r>
          </w:p>
        </w:tc>
        <w:tc>
          <w:tcPr>
            <w:tcW w:w="849" w:type="dxa"/>
            <w:tcBorders>
              <w:top w:val="nil"/>
              <w:bottom w:val="nil"/>
            </w:tcBorders>
          </w:tcPr>
          <w:p w:rsidR="00680A4F" w:rsidRPr="00365D5B" w:rsidRDefault="00680A4F" w:rsidP="007E58D8">
            <w:pPr>
              <w:pStyle w:val="TableText"/>
              <w:tabs>
                <w:tab w:val="decimal" w:pos="440"/>
              </w:tabs>
            </w:pPr>
            <w:r w:rsidRPr="00365D5B">
              <w:t>74.3</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30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51.4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39.3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12.1</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76.5</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54.6</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39.6</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15</w:t>
            </w:r>
            <w:r>
              <w:t>.0</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72.5</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35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46.5</w:t>
            </w:r>
          </w:p>
        </w:tc>
        <w:tc>
          <w:tcPr>
            <w:tcW w:w="1063" w:type="dxa"/>
            <w:tcBorders>
              <w:top w:val="nil"/>
              <w:bottom w:val="nil"/>
            </w:tcBorders>
          </w:tcPr>
          <w:p w:rsidR="00680A4F" w:rsidRPr="00365D5B" w:rsidRDefault="00680A4F" w:rsidP="007E58D8">
            <w:pPr>
              <w:pStyle w:val="TableText"/>
              <w:tabs>
                <w:tab w:val="decimal" w:pos="477"/>
              </w:tabs>
            </w:pPr>
            <w:r w:rsidRPr="00365D5B">
              <w:t>34.8</w:t>
            </w:r>
          </w:p>
        </w:tc>
        <w:tc>
          <w:tcPr>
            <w:tcW w:w="1063" w:type="dxa"/>
            <w:tcBorders>
              <w:top w:val="nil"/>
              <w:bottom w:val="nil"/>
            </w:tcBorders>
          </w:tcPr>
          <w:p w:rsidR="00680A4F" w:rsidRPr="00365D5B" w:rsidRDefault="00680A4F" w:rsidP="007E58D8">
            <w:pPr>
              <w:pStyle w:val="TableText"/>
              <w:tabs>
                <w:tab w:val="decimal" w:pos="477"/>
              </w:tabs>
            </w:pPr>
            <w:r w:rsidRPr="00365D5B">
              <w:t>11.7</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74.8</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49.7</w:t>
            </w:r>
          </w:p>
        </w:tc>
        <w:tc>
          <w:tcPr>
            <w:tcW w:w="1064" w:type="dxa"/>
            <w:tcBorders>
              <w:top w:val="nil"/>
              <w:bottom w:val="nil"/>
            </w:tcBorders>
          </w:tcPr>
          <w:p w:rsidR="00680A4F" w:rsidRPr="00365D5B" w:rsidRDefault="00680A4F" w:rsidP="007E58D8">
            <w:pPr>
              <w:pStyle w:val="TableText"/>
              <w:tabs>
                <w:tab w:val="decimal" w:pos="440"/>
              </w:tabs>
            </w:pPr>
            <w:r w:rsidRPr="00365D5B">
              <w:t>35</w:t>
            </w:r>
            <w:r>
              <w:t>.0</w:t>
            </w:r>
          </w:p>
        </w:tc>
        <w:tc>
          <w:tcPr>
            <w:tcW w:w="1064" w:type="dxa"/>
            <w:tcBorders>
              <w:top w:val="nil"/>
              <w:bottom w:val="nil"/>
            </w:tcBorders>
          </w:tcPr>
          <w:p w:rsidR="00680A4F" w:rsidRPr="00365D5B" w:rsidRDefault="00680A4F" w:rsidP="007E58D8">
            <w:pPr>
              <w:pStyle w:val="TableText"/>
              <w:tabs>
                <w:tab w:val="decimal" w:pos="440"/>
              </w:tabs>
            </w:pPr>
            <w:r w:rsidRPr="00365D5B">
              <w:t>14.7</w:t>
            </w:r>
          </w:p>
        </w:tc>
        <w:tc>
          <w:tcPr>
            <w:tcW w:w="849" w:type="dxa"/>
            <w:tcBorders>
              <w:top w:val="nil"/>
              <w:bottom w:val="nil"/>
            </w:tcBorders>
          </w:tcPr>
          <w:p w:rsidR="00680A4F" w:rsidRPr="00365D5B" w:rsidRDefault="00680A4F" w:rsidP="007E58D8">
            <w:pPr>
              <w:pStyle w:val="TableText"/>
              <w:tabs>
                <w:tab w:val="decimal" w:pos="440"/>
              </w:tabs>
            </w:pPr>
            <w:r w:rsidRPr="00365D5B">
              <w:t>70.4</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40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41.8</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30.3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11.5</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72.5</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44.8</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30.5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14.3</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68.2</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45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37</w:t>
            </w:r>
            <w:r>
              <w:t>.0</w:t>
            </w:r>
          </w:p>
        </w:tc>
        <w:tc>
          <w:tcPr>
            <w:tcW w:w="1063" w:type="dxa"/>
            <w:tcBorders>
              <w:top w:val="nil"/>
              <w:bottom w:val="nil"/>
            </w:tcBorders>
          </w:tcPr>
          <w:p w:rsidR="00680A4F" w:rsidRPr="00365D5B" w:rsidRDefault="00680A4F" w:rsidP="007E58D8">
            <w:pPr>
              <w:pStyle w:val="TableText"/>
              <w:tabs>
                <w:tab w:val="decimal" w:pos="477"/>
              </w:tabs>
            </w:pPr>
            <w:r w:rsidRPr="00365D5B">
              <w:t>26</w:t>
            </w:r>
            <w:r>
              <w:t>.0</w:t>
            </w:r>
          </w:p>
        </w:tc>
        <w:tc>
          <w:tcPr>
            <w:tcW w:w="1063" w:type="dxa"/>
            <w:tcBorders>
              <w:top w:val="nil"/>
              <w:bottom w:val="nil"/>
            </w:tcBorders>
          </w:tcPr>
          <w:p w:rsidR="00680A4F" w:rsidRPr="00365D5B" w:rsidRDefault="00680A4F" w:rsidP="007E58D8">
            <w:pPr>
              <w:pStyle w:val="TableText"/>
              <w:tabs>
                <w:tab w:val="decimal" w:pos="477"/>
              </w:tabs>
            </w:pPr>
            <w:r w:rsidRPr="00365D5B">
              <w:t>11</w:t>
            </w:r>
            <w:r>
              <w:t>.0</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70.2</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40</w:t>
            </w:r>
            <w:r w:rsidR="007E58D8">
              <w:t>.0</w:t>
            </w:r>
          </w:p>
        </w:tc>
        <w:tc>
          <w:tcPr>
            <w:tcW w:w="1064" w:type="dxa"/>
            <w:tcBorders>
              <w:top w:val="nil"/>
              <w:bottom w:val="nil"/>
            </w:tcBorders>
          </w:tcPr>
          <w:p w:rsidR="00680A4F" w:rsidRPr="00365D5B" w:rsidRDefault="00680A4F" w:rsidP="007E58D8">
            <w:pPr>
              <w:pStyle w:val="TableText"/>
              <w:tabs>
                <w:tab w:val="decimal" w:pos="440"/>
              </w:tabs>
            </w:pPr>
            <w:r w:rsidRPr="00365D5B">
              <w:t>26.2</w:t>
            </w:r>
          </w:p>
        </w:tc>
        <w:tc>
          <w:tcPr>
            <w:tcW w:w="1064" w:type="dxa"/>
            <w:tcBorders>
              <w:top w:val="nil"/>
              <w:bottom w:val="nil"/>
            </w:tcBorders>
          </w:tcPr>
          <w:p w:rsidR="00680A4F" w:rsidRPr="00365D5B" w:rsidRDefault="00680A4F" w:rsidP="007E58D8">
            <w:pPr>
              <w:pStyle w:val="TableText"/>
              <w:tabs>
                <w:tab w:val="decimal" w:pos="440"/>
              </w:tabs>
            </w:pPr>
            <w:r w:rsidRPr="00365D5B">
              <w:t>13.8</w:t>
            </w:r>
          </w:p>
        </w:tc>
        <w:tc>
          <w:tcPr>
            <w:tcW w:w="849" w:type="dxa"/>
            <w:tcBorders>
              <w:top w:val="nil"/>
              <w:bottom w:val="nil"/>
            </w:tcBorders>
          </w:tcPr>
          <w:p w:rsidR="00680A4F" w:rsidRPr="00365D5B" w:rsidRDefault="00680A4F" w:rsidP="007E58D8">
            <w:pPr>
              <w:pStyle w:val="TableText"/>
              <w:tabs>
                <w:tab w:val="decimal" w:pos="440"/>
              </w:tabs>
            </w:pPr>
            <w:r w:rsidRPr="00365D5B">
              <w:t>65.5</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50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32.3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21.7</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10.6</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67.3</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35.3</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22</w:t>
            </w:r>
            <w:r>
              <w:t>.0</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13.3</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62.4</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55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27.8</w:t>
            </w:r>
          </w:p>
        </w:tc>
        <w:tc>
          <w:tcPr>
            <w:tcW w:w="1063" w:type="dxa"/>
            <w:tcBorders>
              <w:top w:val="nil"/>
              <w:bottom w:val="nil"/>
            </w:tcBorders>
          </w:tcPr>
          <w:p w:rsidR="00680A4F" w:rsidRPr="00365D5B" w:rsidRDefault="00680A4F" w:rsidP="007E58D8">
            <w:pPr>
              <w:pStyle w:val="TableText"/>
              <w:tabs>
                <w:tab w:val="decimal" w:pos="477"/>
              </w:tabs>
            </w:pPr>
            <w:r w:rsidRPr="00365D5B">
              <w:t>17.7</w:t>
            </w:r>
          </w:p>
        </w:tc>
        <w:tc>
          <w:tcPr>
            <w:tcW w:w="1063" w:type="dxa"/>
            <w:tcBorders>
              <w:top w:val="nil"/>
              <w:bottom w:val="nil"/>
            </w:tcBorders>
          </w:tcPr>
          <w:p w:rsidR="00680A4F" w:rsidRPr="00365D5B" w:rsidRDefault="00680A4F" w:rsidP="007E58D8">
            <w:pPr>
              <w:pStyle w:val="TableText"/>
              <w:tabs>
                <w:tab w:val="decimal" w:pos="477"/>
              </w:tabs>
            </w:pPr>
            <w:r w:rsidRPr="00365D5B">
              <w:t>10.1</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63.7</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30.6</w:t>
            </w:r>
          </w:p>
        </w:tc>
        <w:tc>
          <w:tcPr>
            <w:tcW w:w="1064" w:type="dxa"/>
            <w:tcBorders>
              <w:top w:val="nil"/>
              <w:bottom w:val="nil"/>
            </w:tcBorders>
          </w:tcPr>
          <w:p w:rsidR="00680A4F" w:rsidRPr="00365D5B" w:rsidRDefault="00680A4F" w:rsidP="007E58D8">
            <w:pPr>
              <w:pStyle w:val="TableText"/>
              <w:tabs>
                <w:tab w:val="decimal" w:pos="440"/>
              </w:tabs>
            </w:pPr>
            <w:r w:rsidRPr="00365D5B">
              <w:t>18</w:t>
            </w:r>
            <w:r>
              <w:t>.0</w:t>
            </w:r>
          </w:p>
        </w:tc>
        <w:tc>
          <w:tcPr>
            <w:tcW w:w="1064" w:type="dxa"/>
            <w:tcBorders>
              <w:top w:val="nil"/>
              <w:bottom w:val="nil"/>
            </w:tcBorders>
          </w:tcPr>
          <w:p w:rsidR="00680A4F" w:rsidRPr="00365D5B" w:rsidRDefault="00680A4F" w:rsidP="007E58D8">
            <w:pPr>
              <w:pStyle w:val="TableText"/>
              <w:tabs>
                <w:tab w:val="decimal" w:pos="440"/>
              </w:tabs>
            </w:pPr>
            <w:r w:rsidRPr="00365D5B">
              <w:t>12.6</w:t>
            </w:r>
          </w:p>
        </w:tc>
        <w:tc>
          <w:tcPr>
            <w:tcW w:w="849" w:type="dxa"/>
            <w:tcBorders>
              <w:top w:val="nil"/>
              <w:bottom w:val="nil"/>
            </w:tcBorders>
          </w:tcPr>
          <w:p w:rsidR="00680A4F" w:rsidRPr="00365D5B" w:rsidRDefault="00680A4F" w:rsidP="007E58D8">
            <w:pPr>
              <w:pStyle w:val="TableText"/>
              <w:tabs>
                <w:tab w:val="decimal" w:pos="440"/>
              </w:tabs>
            </w:pPr>
            <w:r w:rsidRPr="00365D5B">
              <w:t>58.9</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60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23.4</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14</w:t>
            </w:r>
            <w:r>
              <w:t>.0</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9.4</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59.7</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26.1</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14.2</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11.9</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54.4</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65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19.1</w:t>
            </w:r>
          </w:p>
        </w:tc>
        <w:tc>
          <w:tcPr>
            <w:tcW w:w="1063" w:type="dxa"/>
            <w:tcBorders>
              <w:top w:val="nil"/>
              <w:bottom w:val="nil"/>
            </w:tcBorders>
          </w:tcPr>
          <w:p w:rsidR="00680A4F" w:rsidRPr="00365D5B" w:rsidRDefault="00680A4F" w:rsidP="007E58D8">
            <w:pPr>
              <w:pStyle w:val="TableText"/>
              <w:tabs>
                <w:tab w:val="decimal" w:pos="477"/>
              </w:tabs>
            </w:pPr>
            <w:r w:rsidRPr="00365D5B">
              <w:t>10.6</w:t>
            </w:r>
          </w:p>
        </w:tc>
        <w:tc>
          <w:tcPr>
            <w:tcW w:w="1063" w:type="dxa"/>
            <w:tcBorders>
              <w:top w:val="nil"/>
              <w:bottom w:val="nil"/>
            </w:tcBorders>
          </w:tcPr>
          <w:p w:rsidR="00680A4F" w:rsidRPr="00365D5B" w:rsidRDefault="00680A4F" w:rsidP="007E58D8">
            <w:pPr>
              <w:pStyle w:val="TableText"/>
              <w:tabs>
                <w:tab w:val="decimal" w:pos="477"/>
              </w:tabs>
            </w:pPr>
            <w:r w:rsidRPr="00365D5B">
              <w:t>8.5</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55.3</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21.6</w:t>
            </w:r>
          </w:p>
        </w:tc>
        <w:tc>
          <w:tcPr>
            <w:tcW w:w="1064" w:type="dxa"/>
            <w:tcBorders>
              <w:top w:val="nil"/>
              <w:bottom w:val="nil"/>
            </w:tcBorders>
          </w:tcPr>
          <w:p w:rsidR="00680A4F" w:rsidRPr="00365D5B" w:rsidRDefault="00680A4F" w:rsidP="007E58D8">
            <w:pPr>
              <w:pStyle w:val="TableText"/>
              <w:tabs>
                <w:tab w:val="decimal" w:pos="440"/>
              </w:tabs>
            </w:pPr>
            <w:r w:rsidRPr="00365D5B">
              <w:t>10.7</w:t>
            </w:r>
          </w:p>
        </w:tc>
        <w:tc>
          <w:tcPr>
            <w:tcW w:w="1064" w:type="dxa"/>
            <w:tcBorders>
              <w:top w:val="nil"/>
              <w:bottom w:val="nil"/>
            </w:tcBorders>
          </w:tcPr>
          <w:p w:rsidR="00680A4F" w:rsidRPr="00365D5B" w:rsidRDefault="00680A4F" w:rsidP="007E58D8">
            <w:pPr>
              <w:pStyle w:val="TableText"/>
              <w:tabs>
                <w:tab w:val="decimal" w:pos="440"/>
              </w:tabs>
            </w:pPr>
            <w:r w:rsidRPr="00365D5B">
              <w:t>10.9</w:t>
            </w:r>
          </w:p>
        </w:tc>
        <w:tc>
          <w:tcPr>
            <w:tcW w:w="849" w:type="dxa"/>
            <w:tcBorders>
              <w:top w:val="nil"/>
              <w:bottom w:val="nil"/>
            </w:tcBorders>
          </w:tcPr>
          <w:p w:rsidR="00680A4F" w:rsidRPr="00365D5B" w:rsidRDefault="00680A4F" w:rsidP="007E58D8">
            <w:pPr>
              <w:pStyle w:val="TableText"/>
              <w:tabs>
                <w:tab w:val="decimal" w:pos="440"/>
              </w:tabs>
            </w:pPr>
            <w:r w:rsidRPr="00365D5B">
              <w:t>49.4</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70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15.2</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7.6</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7.6</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49.9</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17.4</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7.5</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9.9</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43.2</w:t>
            </w:r>
          </w:p>
        </w:tc>
      </w:tr>
      <w:tr w:rsidR="00680A4F" w:rsidTr="004F3D79">
        <w:trPr>
          <w:cantSplit/>
        </w:trPr>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510"/>
              </w:tabs>
            </w:pPr>
            <w:r w:rsidRPr="00365D5B">
              <w:t>75</w:t>
            </w:r>
          </w:p>
        </w:tc>
        <w:tc>
          <w:tcPr>
            <w:tcW w:w="1063" w:type="dxa"/>
            <w:tcBorders>
              <w:top w:val="nil"/>
              <w:left w:val="single" w:sz="4" w:space="0" w:color="A6A6A6" w:themeColor="background1" w:themeShade="A6"/>
              <w:bottom w:val="nil"/>
            </w:tcBorders>
          </w:tcPr>
          <w:p w:rsidR="00680A4F" w:rsidRPr="00365D5B" w:rsidRDefault="00680A4F" w:rsidP="007E58D8">
            <w:pPr>
              <w:pStyle w:val="TableText"/>
              <w:tabs>
                <w:tab w:val="decimal" w:pos="477"/>
              </w:tabs>
            </w:pPr>
            <w:r w:rsidRPr="00365D5B">
              <w:t>11.6</w:t>
            </w:r>
          </w:p>
        </w:tc>
        <w:tc>
          <w:tcPr>
            <w:tcW w:w="1063" w:type="dxa"/>
            <w:tcBorders>
              <w:top w:val="nil"/>
              <w:bottom w:val="nil"/>
            </w:tcBorders>
          </w:tcPr>
          <w:p w:rsidR="00680A4F" w:rsidRPr="00365D5B" w:rsidRDefault="00680A4F" w:rsidP="007E58D8">
            <w:pPr>
              <w:pStyle w:val="TableText"/>
              <w:tabs>
                <w:tab w:val="decimal" w:pos="477"/>
              </w:tabs>
            </w:pPr>
            <w:r w:rsidRPr="00365D5B">
              <w:t>5.1</w:t>
            </w:r>
          </w:p>
        </w:tc>
        <w:tc>
          <w:tcPr>
            <w:tcW w:w="1063" w:type="dxa"/>
            <w:tcBorders>
              <w:top w:val="nil"/>
              <w:bottom w:val="nil"/>
            </w:tcBorders>
          </w:tcPr>
          <w:p w:rsidR="00680A4F" w:rsidRPr="00365D5B" w:rsidRDefault="00680A4F" w:rsidP="007E58D8">
            <w:pPr>
              <w:pStyle w:val="TableText"/>
              <w:tabs>
                <w:tab w:val="decimal" w:pos="477"/>
              </w:tabs>
            </w:pPr>
            <w:r w:rsidRPr="00365D5B">
              <w:t>6.5</w:t>
            </w:r>
          </w:p>
        </w:tc>
        <w:tc>
          <w:tcPr>
            <w:tcW w:w="1063" w:type="dxa"/>
            <w:tcBorders>
              <w:top w:val="nil"/>
              <w:bottom w:val="nil"/>
              <w:right w:val="single" w:sz="4" w:space="0" w:color="A6A6A6" w:themeColor="background1" w:themeShade="A6"/>
            </w:tcBorders>
          </w:tcPr>
          <w:p w:rsidR="00680A4F" w:rsidRPr="00365D5B" w:rsidRDefault="00680A4F" w:rsidP="007E58D8">
            <w:pPr>
              <w:pStyle w:val="TableText"/>
              <w:tabs>
                <w:tab w:val="decimal" w:pos="477"/>
              </w:tabs>
            </w:pPr>
            <w:r w:rsidRPr="00365D5B">
              <w:t>44.3</w:t>
            </w:r>
          </w:p>
        </w:tc>
        <w:tc>
          <w:tcPr>
            <w:tcW w:w="1064" w:type="dxa"/>
            <w:tcBorders>
              <w:top w:val="nil"/>
              <w:left w:val="single" w:sz="4" w:space="0" w:color="A6A6A6" w:themeColor="background1" w:themeShade="A6"/>
              <w:bottom w:val="nil"/>
            </w:tcBorders>
          </w:tcPr>
          <w:p w:rsidR="00680A4F" w:rsidRPr="00365D5B" w:rsidRDefault="00680A4F" w:rsidP="007E58D8">
            <w:pPr>
              <w:pStyle w:val="TableText"/>
              <w:tabs>
                <w:tab w:val="decimal" w:pos="440"/>
              </w:tabs>
            </w:pPr>
            <w:r w:rsidRPr="00365D5B">
              <w:t>13.4</w:t>
            </w:r>
          </w:p>
        </w:tc>
        <w:tc>
          <w:tcPr>
            <w:tcW w:w="1064" w:type="dxa"/>
            <w:tcBorders>
              <w:top w:val="nil"/>
              <w:bottom w:val="nil"/>
            </w:tcBorders>
          </w:tcPr>
          <w:p w:rsidR="00680A4F" w:rsidRPr="00365D5B" w:rsidRDefault="00680A4F" w:rsidP="007E58D8">
            <w:pPr>
              <w:pStyle w:val="TableText"/>
              <w:tabs>
                <w:tab w:val="decimal" w:pos="440"/>
              </w:tabs>
            </w:pPr>
            <w:r w:rsidRPr="00365D5B">
              <w:t>4.9</w:t>
            </w:r>
          </w:p>
        </w:tc>
        <w:tc>
          <w:tcPr>
            <w:tcW w:w="1064" w:type="dxa"/>
            <w:tcBorders>
              <w:top w:val="nil"/>
              <w:bottom w:val="nil"/>
            </w:tcBorders>
          </w:tcPr>
          <w:p w:rsidR="00680A4F" w:rsidRPr="00365D5B" w:rsidRDefault="00680A4F" w:rsidP="007E58D8">
            <w:pPr>
              <w:pStyle w:val="TableText"/>
              <w:tabs>
                <w:tab w:val="decimal" w:pos="440"/>
              </w:tabs>
            </w:pPr>
            <w:r w:rsidRPr="00365D5B">
              <w:t>8.5</w:t>
            </w:r>
          </w:p>
        </w:tc>
        <w:tc>
          <w:tcPr>
            <w:tcW w:w="849" w:type="dxa"/>
            <w:tcBorders>
              <w:top w:val="nil"/>
              <w:bottom w:val="nil"/>
            </w:tcBorders>
          </w:tcPr>
          <w:p w:rsidR="00680A4F" w:rsidRPr="00365D5B" w:rsidRDefault="00680A4F" w:rsidP="007E58D8">
            <w:pPr>
              <w:pStyle w:val="TableText"/>
              <w:tabs>
                <w:tab w:val="decimal" w:pos="440"/>
              </w:tabs>
            </w:pPr>
            <w:r w:rsidRPr="00365D5B">
              <w:t>36.9</w:t>
            </w:r>
          </w:p>
        </w:tc>
      </w:tr>
      <w:tr w:rsidR="00680A4F" w:rsidTr="004F3D79">
        <w:trPr>
          <w:cantSplit/>
        </w:trPr>
        <w:tc>
          <w:tcPr>
            <w:tcW w:w="1063" w:type="dxa"/>
            <w:tcBorders>
              <w:top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510"/>
              </w:tabs>
            </w:pPr>
            <w:r w:rsidRPr="00365D5B">
              <w:t>80</w:t>
            </w:r>
          </w:p>
        </w:tc>
        <w:tc>
          <w:tcPr>
            <w:tcW w:w="1063"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8.5</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3.3</w:t>
            </w:r>
          </w:p>
        </w:tc>
        <w:tc>
          <w:tcPr>
            <w:tcW w:w="1063"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77"/>
              </w:tabs>
            </w:pPr>
            <w:r w:rsidRPr="00365D5B">
              <w:t>5.2</w:t>
            </w:r>
          </w:p>
        </w:tc>
        <w:tc>
          <w:tcPr>
            <w:tcW w:w="1063" w:type="dxa"/>
            <w:tcBorders>
              <w:top w:val="nil"/>
              <w:left w:val="nil"/>
              <w:bottom w:val="nil"/>
              <w:right w:val="single" w:sz="4" w:space="0" w:color="A6A6A6" w:themeColor="background1" w:themeShade="A6"/>
            </w:tcBorders>
            <w:shd w:val="clear" w:color="auto" w:fill="F2F2F2" w:themeFill="background1" w:themeFillShade="F2"/>
          </w:tcPr>
          <w:p w:rsidR="00680A4F" w:rsidRPr="00365D5B" w:rsidRDefault="00680A4F" w:rsidP="007E58D8">
            <w:pPr>
              <w:pStyle w:val="TableText"/>
              <w:tabs>
                <w:tab w:val="decimal" w:pos="477"/>
              </w:tabs>
            </w:pPr>
            <w:r w:rsidRPr="00365D5B">
              <w:t>39.4</w:t>
            </w:r>
          </w:p>
        </w:tc>
        <w:tc>
          <w:tcPr>
            <w:tcW w:w="1064" w:type="dxa"/>
            <w:tcBorders>
              <w:top w:val="nil"/>
              <w:left w:val="single" w:sz="4" w:space="0" w:color="A6A6A6" w:themeColor="background1" w:themeShade="A6"/>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9.9</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3.1</w:t>
            </w:r>
          </w:p>
        </w:tc>
        <w:tc>
          <w:tcPr>
            <w:tcW w:w="1064" w:type="dxa"/>
            <w:tcBorders>
              <w:top w:val="nil"/>
              <w:left w:val="nil"/>
              <w:bottom w:val="nil"/>
              <w:right w:val="nil"/>
            </w:tcBorders>
            <w:shd w:val="clear" w:color="auto" w:fill="F2F2F2" w:themeFill="background1" w:themeFillShade="F2"/>
          </w:tcPr>
          <w:p w:rsidR="00680A4F" w:rsidRPr="00365D5B" w:rsidRDefault="00680A4F" w:rsidP="007E58D8">
            <w:pPr>
              <w:pStyle w:val="TableText"/>
              <w:tabs>
                <w:tab w:val="decimal" w:pos="440"/>
              </w:tabs>
            </w:pPr>
            <w:r w:rsidRPr="00365D5B">
              <w:t>6.8</w:t>
            </w:r>
          </w:p>
        </w:tc>
        <w:tc>
          <w:tcPr>
            <w:tcW w:w="849" w:type="dxa"/>
            <w:tcBorders>
              <w:top w:val="nil"/>
              <w:left w:val="nil"/>
              <w:bottom w:val="nil"/>
            </w:tcBorders>
            <w:shd w:val="clear" w:color="auto" w:fill="F2F2F2" w:themeFill="background1" w:themeFillShade="F2"/>
          </w:tcPr>
          <w:p w:rsidR="00680A4F" w:rsidRPr="00365D5B" w:rsidRDefault="00680A4F" w:rsidP="007E58D8">
            <w:pPr>
              <w:pStyle w:val="TableText"/>
              <w:tabs>
                <w:tab w:val="decimal" w:pos="440"/>
              </w:tabs>
            </w:pPr>
            <w:r w:rsidRPr="00365D5B">
              <w:t>31.8</w:t>
            </w:r>
          </w:p>
        </w:tc>
      </w:tr>
      <w:tr w:rsidR="00680A4F" w:rsidTr="004F3D79">
        <w:trPr>
          <w:cantSplit/>
        </w:trPr>
        <w:tc>
          <w:tcPr>
            <w:tcW w:w="1063" w:type="dxa"/>
            <w:tcBorders>
              <w:top w:val="nil"/>
              <w:right w:val="single" w:sz="4" w:space="0" w:color="A6A6A6" w:themeColor="background1" w:themeShade="A6"/>
            </w:tcBorders>
          </w:tcPr>
          <w:p w:rsidR="00680A4F" w:rsidRPr="00365D5B" w:rsidRDefault="00680A4F" w:rsidP="007E58D8">
            <w:pPr>
              <w:pStyle w:val="TableText"/>
              <w:tabs>
                <w:tab w:val="decimal" w:pos="510"/>
              </w:tabs>
            </w:pPr>
            <w:r w:rsidRPr="00365D5B">
              <w:t>85</w:t>
            </w:r>
          </w:p>
        </w:tc>
        <w:tc>
          <w:tcPr>
            <w:tcW w:w="1063" w:type="dxa"/>
            <w:tcBorders>
              <w:top w:val="nil"/>
              <w:left w:val="single" w:sz="4" w:space="0" w:color="A6A6A6" w:themeColor="background1" w:themeShade="A6"/>
              <w:bottom w:val="single" w:sz="4" w:space="0" w:color="auto"/>
            </w:tcBorders>
          </w:tcPr>
          <w:p w:rsidR="00680A4F" w:rsidRPr="00365D5B" w:rsidRDefault="00680A4F" w:rsidP="007E58D8">
            <w:pPr>
              <w:pStyle w:val="TableText"/>
              <w:tabs>
                <w:tab w:val="decimal" w:pos="477"/>
              </w:tabs>
            </w:pPr>
            <w:r w:rsidRPr="00365D5B">
              <w:t>5.9</w:t>
            </w:r>
          </w:p>
        </w:tc>
        <w:tc>
          <w:tcPr>
            <w:tcW w:w="1063" w:type="dxa"/>
            <w:tcBorders>
              <w:top w:val="nil"/>
              <w:bottom w:val="single" w:sz="4" w:space="0" w:color="auto"/>
            </w:tcBorders>
          </w:tcPr>
          <w:p w:rsidR="00680A4F" w:rsidRPr="00365D5B" w:rsidRDefault="00680A4F" w:rsidP="007E58D8">
            <w:pPr>
              <w:pStyle w:val="TableText"/>
              <w:tabs>
                <w:tab w:val="decimal" w:pos="477"/>
              </w:tabs>
            </w:pPr>
            <w:r w:rsidRPr="00365D5B">
              <w:t>2.2</w:t>
            </w:r>
          </w:p>
        </w:tc>
        <w:tc>
          <w:tcPr>
            <w:tcW w:w="1063" w:type="dxa"/>
            <w:tcBorders>
              <w:top w:val="nil"/>
              <w:bottom w:val="single" w:sz="4" w:space="0" w:color="auto"/>
            </w:tcBorders>
          </w:tcPr>
          <w:p w:rsidR="00680A4F" w:rsidRPr="00365D5B" w:rsidRDefault="00680A4F" w:rsidP="007E58D8">
            <w:pPr>
              <w:pStyle w:val="TableText"/>
              <w:tabs>
                <w:tab w:val="decimal" w:pos="477"/>
              </w:tabs>
            </w:pPr>
            <w:r w:rsidRPr="00365D5B">
              <w:t>3.7</w:t>
            </w:r>
          </w:p>
        </w:tc>
        <w:tc>
          <w:tcPr>
            <w:tcW w:w="1063" w:type="dxa"/>
            <w:tcBorders>
              <w:top w:val="nil"/>
              <w:bottom w:val="single" w:sz="4" w:space="0" w:color="auto"/>
              <w:right w:val="single" w:sz="4" w:space="0" w:color="A6A6A6" w:themeColor="background1" w:themeShade="A6"/>
            </w:tcBorders>
          </w:tcPr>
          <w:p w:rsidR="00680A4F" w:rsidRPr="00365D5B" w:rsidRDefault="00680A4F" w:rsidP="007E58D8">
            <w:pPr>
              <w:pStyle w:val="TableText"/>
              <w:tabs>
                <w:tab w:val="decimal" w:pos="477"/>
              </w:tabs>
            </w:pPr>
            <w:r w:rsidRPr="00365D5B">
              <w:t>37.5</w:t>
            </w:r>
          </w:p>
        </w:tc>
        <w:tc>
          <w:tcPr>
            <w:tcW w:w="1064" w:type="dxa"/>
            <w:tcBorders>
              <w:top w:val="nil"/>
              <w:left w:val="single" w:sz="4" w:space="0" w:color="A6A6A6" w:themeColor="background1" w:themeShade="A6"/>
            </w:tcBorders>
          </w:tcPr>
          <w:p w:rsidR="00680A4F" w:rsidRPr="00365D5B" w:rsidRDefault="00680A4F" w:rsidP="007E58D8">
            <w:pPr>
              <w:pStyle w:val="TableText"/>
              <w:tabs>
                <w:tab w:val="decimal" w:pos="440"/>
              </w:tabs>
            </w:pPr>
            <w:r w:rsidRPr="00365D5B">
              <w:t>6.9</w:t>
            </w:r>
          </w:p>
        </w:tc>
        <w:tc>
          <w:tcPr>
            <w:tcW w:w="1064" w:type="dxa"/>
            <w:tcBorders>
              <w:top w:val="nil"/>
            </w:tcBorders>
          </w:tcPr>
          <w:p w:rsidR="00680A4F" w:rsidRPr="00365D5B" w:rsidRDefault="00680A4F" w:rsidP="007E58D8">
            <w:pPr>
              <w:pStyle w:val="TableText"/>
              <w:tabs>
                <w:tab w:val="decimal" w:pos="440"/>
              </w:tabs>
            </w:pPr>
            <w:r w:rsidRPr="00365D5B">
              <w:t>2</w:t>
            </w:r>
            <w:r>
              <w:t>.0</w:t>
            </w:r>
          </w:p>
        </w:tc>
        <w:tc>
          <w:tcPr>
            <w:tcW w:w="1064" w:type="dxa"/>
            <w:tcBorders>
              <w:top w:val="nil"/>
            </w:tcBorders>
          </w:tcPr>
          <w:p w:rsidR="00680A4F" w:rsidRPr="00365D5B" w:rsidRDefault="00680A4F" w:rsidP="007E58D8">
            <w:pPr>
              <w:pStyle w:val="TableText"/>
              <w:tabs>
                <w:tab w:val="decimal" w:pos="440"/>
              </w:tabs>
            </w:pPr>
            <w:r w:rsidRPr="00365D5B">
              <w:t>4.9</w:t>
            </w:r>
          </w:p>
        </w:tc>
        <w:tc>
          <w:tcPr>
            <w:tcW w:w="849" w:type="dxa"/>
            <w:tcBorders>
              <w:top w:val="nil"/>
            </w:tcBorders>
          </w:tcPr>
          <w:p w:rsidR="00680A4F" w:rsidRPr="00365D5B" w:rsidRDefault="00680A4F" w:rsidP="007E58D8">
            <w:pPr>
              <w:pStyle w:val="TableText"/>
              <w:tabs>
                <w:tab w:val="decimal" w:pos="440"/>
              </w:tabs>
            </w:pPr>
            <w:r w:rsidRPr="00365D5B">
              <w:t>29.4</w:t>
            </w:r>
          </w:p>
        </w:tc>
      </w:tr>
    </w:tbl>
    <w:p w:rsidR="00194DCC" w:rsidRDefault="00194DCC" w:rsidP="00194DCC">
      <w:pPr>
        <w:pStyle w:val="Note"/>
        <w:ind w:left="0" w:right="0" w:firstLine="0"/>
      </w:pPr>
      <w:r w:rsidRPr="008C5765">
        <w:t>Note: LE = life expectancy, ILE = independent life expectancy</w:t>
      </w:r>
      <w:r>
        <w:t>; LE-ILE = number of years estimated to be living with dependency; ILE/LE = proportion of years estimated to be living independently relative to overall life expectancy.</w:t>
      </w:r>
    </w:p>
    <w:p w:rsidR="00194DCC" w:rsidRPr="008C5765" w:rsidRDefault="00194DCC" w:rsidP="00194DCC"/>
    <w:p w:rsidR="00194DCC" w:rsidRPr="008C5765" w:rsidRDefault="00194DCC" w:rsidP="00194DCC">
      <w:pPr>
        <w:pStyle w:val="Heading2"/>
      </w:pPr>
      <w:bookmarkStart w:id="68" w:name="_Toc423840682"/>
      <w:bookmarkStart w:id="69" w:name="_Toc424645291"/>
      <w:bookmarkStart w:id="70" w:name="_Toc424834181"/>
      <w:r>
        <w:t>Limits to data reliability</w:t>
      </w:r>
      <w:bookmarkEnd w:id="68"/>
      <w:bookmarkEnd w:id="69"/>
      <w:bookmarkEnd w:id="70"/>
    </w:p>
    <w:p w:rsidR="00194DCC" w:rsidRDefault="00194DCC" w:rsidP="00194DCC">
      <w:r w:rsidRPr="008C5765">
        <w:t>ILE</w:t>
      </w:r>
      <w:r>
        <w:t xml:space="preserve"> estimates</w:t>
      </w:r>
      <w:r w:rsidRPr="008C5765">
        <w:t xml:space="preserve"> at </w:t>
      </w:r>
      <w:r>
        <w:t xml:space="preserve">the </w:t>
      </w:r>
      <w:r w:rsidRPr="008C5765">
        <w:t>age</w:t>
      </w:r>
      <w:r>
        <w:t xml:space="preserve"> of</w:t>
      </w:r>
      <w:r w:rsidRPr="008C5765">
        <w:t xml:space="preserve"> 65 </w:t>
      </w:r>
      <w:r>
        <w:t>years must be interpreted</w:t>
      </w:r>
      <w:r w:rsidRPr="008C5765">
        <w:t xml:space="preserve"> cautious</w:t>
      </w:r>
      <w:r>
        <w:t>ly</w:t>
      </w:r>
      <w:r w:rsidRPr="008C5765">
        <w:t>. Health expectancies are average estimates for the population of that age group</w:t>
      </w:r>
      <w:r>
        <w:t>, which</w:t>
      </w:r>
      <w:r w:rsidRPr="008C5765">
        <w:t xml:space="preserve"> includ</w:t>
      </w:r>
      <w:r>
        <w:t>es</w:t>
      </w:r>
      <w:r w:rsidRPr="008C5765">
        <w:t xml:space="preserve"> people who already have functional limitations.</w:t>
      </w:r>
      <w:r>
        <w:t xml:space="preserve"> If </w:t>
      </w:r>
      <w:r w:rsidRPr="008C5765">
        <w:t>expected years of life without and with dependency</w:t>
      </w:r>
      <w:r>
        <w:t xml:space="preserve"> were calculated based on only those 65-year-olds who </w:t>
      </w:r>
      <w:r w:rsidRPr="008C5765">
        <w:t>do not</w:t>
      </w:r>
      <w:r>
        <w:t xml:space="preserve"> yet</w:t>
      </w:r>
      <w:r w:rsidRPr="008C5765">
        <w:t xml:space="preserve"> have functional limitations, the</w:t>
      </w:r>
      <w:r>
        <w:t xml:space="preserve"> figures</w:t>
      </w:r>
      <w:r w:rsidRPr="008C5765">
        <w:t xml:space="preserve"> may be different (AIHW 2014).</w:t>
      </w:r>
    </w:p>
    <w:p w:rsidR="00194DCC" w:rsidRPr="008C5765" w:rsidRDefault="00194DCC" w:rsidP="00194DCC"/>
    <w:p w:rsidR="00194DCC" w:rsidRDefault="00194DCC" w:rsidP="00194DCC">
      <w:bookmarkStart w:id="71" w:name="_Toc423840683"/>
      <w:bookmarkStart w:id="72" w:name="_Toc424645292"/>
      <w:r>
        <w:br w:type="page"/>
      </w:r>
    </w:p>
    <w:p w:rsidR="00194DCC" w:rsidRPr="005E3821" w:rsidRDefault="00194DCC" w:rsidP="00194DCC">
      <w:pPr>
        <w:pStyle w:val="Heading1"/>
      </w:pPr>
      <w:bookmarkStart w:id="73" w:name="_Toc424834182"/>
      <w:r>
        <w:t>Trends in i</w:t>
      </w:r>
      <w:r w:rsidRPr="005E3821">
        <w:t>ndependent life expectancy 1996</w:t>
      </w:r>
      <w:r>
        <w:t>–</w:t>
      </w:r>
      <w:r w:rsidRPr="005E3821">
        <w:t>2013</w:t>
      </w:r>
      <w:bookmarkEnd w:id="71"/>
      <w:bookmarkEnd w:id="72"/>
      <w:bookmarkEnd w:id="73"/>
    </w:p>
    <w:p w:rsidR="00194DCC" w:rsidRDefault="00194DCC" w:rsidP="00194DCC">
      <w:r>
        <w:t>This section presents estimates of independent life expectancy at birth in 1996, 2001, 2006 and 2013 to identify any trends over this 17-year period. Estimates are presented by gender and ethnicity (Māori and non-Māori) before an overall analysis of the findings is presented. A discussion of the limits to the reliability and comparability of these data concludes this section.</w:t>
      </w:r>
    </w:p>
    <w:p w:rsidR="00194DCC" w:rsidRDefault="00194DCC" w:rsidP="00194DCC"/>
    <w:p w:rsidR="00194DCC" w:rsidRDefault="00194DCC" w:rsidP="00194DCC">
      <w:pPr>
        <w:pStyle w:val="Heading2"/>
      </w:pPr>
      <w:bookmarkStart w:id="74" w:name="_Toc424645293"/>
      <w:bookmarkStart w:id="75" w:name="_Toc424834183"/>
      <w:r>
        <w:t>Trends in ILE by gender</w:t>
      </w:r>
      <w:bookmarkEnd w:id="74"/>
      <w:bookmarkEnd w:id="75"/>
    </w:p>
    <w:p w:rsidR="00194DCC" w:rsidRDefault="00194DCC" w:rsidP="00194DCC">
      <w:r>
        <w:t>Male New Zealanders born in 2013 can expect to live</w:t>
      </w:r>
      <w:r w:rsidRPr="0088629A">
        <w:t xml:space="preserve"> </w:t>
      </w:r>
      <w:r>
        <w:t>independently for 65.2 years, 1.4 more years than male New Zealanders born in 1996 (63.8 years). Over the same period, independent life expectancy for female New Zealanders has increased slightly, by 0.1 years, from 66.4 years in 1996 to 66.5 years in 2013 (Figure 10 and Table 4).</w:t>
      </w:r>
      <w:r w:rsidRPr="00194DCC">
        <w:rPr>
          <w:rStyle w:val="FootnoteReference"/>
        </w:rPr>
        <w:footnoteReference w:id="1"/>
      </w:r>
    </w:p>
    <w:p w:rsidR="00365D5B" w:rsidRDefault="00365D5B" w:rsidP="00365D5B"/>
    <w:p w:rsidR="00194DCC" w:rsidRDefault="00194DCC" w:rsidP="00194DCC">
      <w:pPr>
        <w:pStyle w:val="Figure"/>
      </w:pPr>
      <w:bookmarkStart w:id="76" w:name="_Toc424755752"/>
      <w:r>
        <w:t>Figure 10: Independent life expectancy at birth, New Zealand males and females</w:t>
      </w:r>
      <w:proofErr w:type="gramStart"/>
      <w:r>
        <w:t>,</w:t>
      </w:r>
      <w:proofErr w:type="gramEnd"/>
      <w:r>
        <w:br/>
        <w:t>1996–2013</w:t>
      </w:r>
      <w:bookmarkEnd w:id="76"/>
    </w:p>
    <w:p w:rsidR="00194DCC" w:rsidRDefault="00194DCC" w:rsidP="00194DCC">
      <w:r>
        <w:rPr>
          <w:noProof/>
          <w:lang w:eastAsia="en-NZ"/>
        </w:rPr>
        <w:drawing>
          <wp:inline distT="0" distB="0" distL="0" distR="0" wp14:anchorId="5C491CC1" wp14:editId="7BE0FB9D">
            <wp:extent cx="4890735" cy="2984269"/>
            <wp:effectExtent l="0" t="0" r="5715" b="6985"/>
            <wp:docPr id="17" name="Picture 17" title="Figure 10: Independent life expectancy at birth, New Zealand males and fema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2143" cy="2985128"/>
                    </a:xfrm>
                    <a:prstGeom prst="rect">
                      <a:avLst/>
                    </a:prstGeom>
                    <a:noFill/>
                  </pic:spPr>
                </pic:pic>
              </a:graphicData>
            </a:graphic>
          </wp:inline>
        </w:drawing>
      </w:r>
    </w:p>
    <w:p w:rsidR="00194DCC" w:rsidRDefault="00194DCC" w:rsidP="00194DCC">
      <w:pPr>
        <w:pStyle w:val="Note"/>
        <w:ind w:left="0" w:right="0" w:firstLine="0"/>
      </w:pPr>
      <w:r w:rsidRPr="008C5765">
        <w:t xml:space="preserve">Note: ILE = independent life expectancy, LED </w:t>
      </w:r>
      <w:proofErr w:type="spellStart"/>
      <w:r w:rsidRPr="008C5765">
        <w:t>nd</w:t>
      </w:r>
      <w:proofErr w:type="spellEnd"/>
      <w:r w:rsidRPr="008C5765">
        <w:t xml:space="preserve"> = life expectancy with dependency requiring non-daily assistance, LED d = life expectancy with dependency requiring daily assistance</w:t>
      </w:r>
      <w:r>
        <w:t>.</w:t>
      </w:r>
    </w:p>
    <w:p w:rsidR="00194DCC" w:rsidRDefault="00194DCC" w:rsidP="00194DCC">
      <w:pPr>
        <w:rPr>
          <w:lang w:eastAsia="en-NZ"/>
        </w:rPr>
      </w:pPr>
    </w:p>
    <w:p w:rsidR="00194DCC" w:rsidRDefault="00194DCC" w:rsidP="00194DCC">
      <w:pPr>
        <w:pStyle w:val="Table"/>
      </w:pPr>
      <w:bookmarkStart w:id="77" w:name="_Toc424613640"/>
      <w:bookmarkStart w:id="78" w:name="_Toc424755739"/>
      <w:r w:rsidRPr="008C5765">
        <w:t xml:space="preserve">Table </w:t>
      </w:r>
      <w:r w:rsidR="00690EB3">
        <w:t>4</w:t>
      </w:r>
      <w:r>
        <w:rPr>
          <w:noProof/>
        </w:rPr>
        <w:t>:</w:t>
      </w:r>
      <w:r w:rsidRPr="008C5765">
        <w:t xml:space="preserve"> Independent life expectancy at birth, by gender, 1996</w:t>
      </w:r>
      <w:r>
        <w:t>–</w:t>
      </w:r>
      <w:r w:rsidRPr="008C5765">
        <w:t>2013</w:t>
      </w:r>
      <w:bookmarkEnd w:id="77"/>
      <w:bookmarkEnd w:id="78"/>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36"/>
        <w:gridCol w:w="1737"/>
        <w:gridCol w:w="1736"/>
        <w:gridCol w:w="1737"/>
      </w:tblGrid>
      <w:tr w:rsidR="00A06FEC" w:rsidRPr="00A06FEC" w:rsidTr="00092321">
        <w:trPr>
          <w:cantSplit/>
        </w:trPr>
        <w:tc>
          <w:tcPr>
            <w:tcW w:w="2410" w:type="dxa"/>
          </w:tcPr>
          <w:p w:rsidR="00A06FEC" w:rsidRPr="00A06FEC" w:rsidRDefault="00A06FEC" w:rsidP="00A06FEC">
            <w:pPr>
              <w:pStyle w:val="TableText"/>
              <w:keepNext/>
              <w:rPr>
                <w:b/>
              </w:rPr>
            </w:pPr>
          </w:p>
        </w:tc>
        <w:tc>
          <w:tcPr>
            <w:tcW w:w="6946" w:type="dxa"/>
            <w:gridSpan w:val="4"/>
            <w:tcBorders>
              <w:bottom w:val="single" w:sz="4" w:space="0" w:color="A6A6A6" w:themeColor="background1" w:themeShade="A6"/>
            </w:tcBorders>
          </w:tcPr>
          <w:p w:rsidR="00A06FEC" w:rsidRPr="00A06FEC" w:rsidRDefault="00A06FEC" w:rsidP="00A06FEC">
            <w:pPr>
              <w:pStyle w:val="TableText"/>
              <w:keepNext/>
              <w:jc w:val="center"/>
              <w:rPr>
                <w:b/>
              </w:rPr>
            </w:pPr>
            <w:r w:rsidRPr="00A06FEC">
              <w:rPr>
                <w:b/>
              </w:rPr>
              <w:t>Independent life expectancy in years (95% confidence interval)</w:t>
            </w:r>
          </w:p>
        </w:tc>
      </w:tr>
      <w:tr w:rsidR="00A06FEC" w:rsidRPr="00A06FEC" w:rsidTr="004F3D79">
        <w:trPr>
          <w:cantSplit/>
        </w:trPr>
        <w:tc>
          <w:tcPr>
            <w:tcW w:w="2410" w:type="dxa"/>
            <w:tcBorders>
              <w:bottom w:val="single" w:sz="4" w:space="0" w:color="auto"/>
            </w:tcBorders>
          </w:tcPr>
          <w:p w:rsidR="00A06FEC" w:rsidRPr="00A06FEC" w:rsidRDefault="00A06FEC" w:rsidP="00A06FEC">
            <w:pPr>
              <w:pStyle w:val="TableText"/>
              <w:keepNext/>
              <w:rPr>
                <w:b/>
              </w:rPr>
            </w:pPr>
          </w:p>
        </w:tc>
        <w:tc>
          <w:tcPr>
            <w:tcW w:w="1736" w:type="dxa"/>
            <w:tcBorders>
              <w:top w:val="single" w:sz="4" w:space="0" w:color="A6A6A6" w:themeColor="background1" w:themeShade="A6"/>
              <w:bottom w:val="single" w:sz="4" w:space="0" w:color="auto"/>
            </w:tcBorders>
          </w:tcPr>
          <w:p w:rsidR="00A06FEC" w:rsidRPr="00A06FEC" w:rsidRDefault="00A06FEC" w:rsidP="00A06FEC">
            <w:pPr>
              <w:pStyle w:val="TableText"/>
              <w:keepNext/>
              <w:jc w:val="center"/>
              <w:rPr>
                <w:b/>
              </w:rPr>
            </w:pPr>
            <w:r w:rsidRPr="00A06FEC">
              <w:rPr>
                <w:b/>
              </w:rPr>
              <w:t>1996</w:t>
            </w:r>
          </w:p>
        </w:tc>
        <w:tc>
          <w:tcPr>
            <w:tcW w:w="1737" w:type="dxa"/>
            <w:tcBorders>
              <w:top w:val="single" w:sz="4" w:space="0" w:color="A6A6A6" w:themeColor="background1" w:themeShade="A6"/>
              <w:bottom w:val="single" w:sz="4" w:space="0" w:color="auto"/>
            </w:tcBorders>
          </w:tcPr>
          <w:p w:rsidR="00A06FEC" w:rsidRPr="00A06FEC" w:rsidRDefault="00A06FEC" w:rsidP="00A06FEC">
            <w:pPr>
              <w:pStyle w:val="TableText"/>
              <w:keepNext/>
              <w:jc w:val="center"/>
              <w:rPr>
                <w:b/>
              </w:rPr>
            </w:pPr>
            <w:r w:rsidRPr="00A06FEC">
              <w:rPr>
                <w:b/>
              </w:rPr>
              <w:t>2001</w:t>
            </w:r>
          </w:p>
        </w:tc>
        <w:tc>
          <w:tcPr>
            <w:tcW w:w="1736" w:type="dxa"/>
            <w:tcBorders>
              <w:top w:val="single" w:sz="4" w:space="0" w:color="A6A6A6" w:themeColor="background1" w:themeShade="A6"/>
              <w:bottom w:val="single" w:sz="4" w:space="0" w:color="auto"/>
            </w:tcBorders>
          </w:tcPr>
          <w:p w:rsidR="00A06FEC" w:rsidRPr="00A06FEC" w:rsidRDefault="00A06FEC" w:rsidP="00A06FEC">
            <w:pPr>
              <w:pStyle w:val="TableText"/>
              <w:keepNext/>
              <w:jc w:val="center"/>
              <w:rPr>
                <w:b/>
              </w:rPr>
            </w:pPr>
            <w:r w:rsidRPr="00A06FEC">
              <w:rPr>
                <w:b/>
              </w:rPr>
              <w:t>2006</w:t>
            </w:r>
          </w:p>
        </w:tc>
        <w:tc>
          <w:tcPr>
            <w:tcW w:w="1737" w:type="dxa"/>
            <w:tcBorders>
              <w:top w:val="single" w:sz="4" w:space="0" w:color="A6A6A6" w:themeColor="background1" w:themeShade="A6"/>
              <w:bottom w:val="single" w:sz="4" w:space="0" w:color="auto"/>
            </w:tcBorders>
          </w:tcPr>
          <w:p w:rsidR="00A06FEC" w:rsidRPr="00A06FEC" w:rsidRDefault="00A06FEC" w:rsidP="00A06FEC">
            <w:pPr>
              <w:pStyle w:val="TableText"/>
              <w:keepNext/>
              <w:jc w:val="center"/>
              <w:rPr>
                <w:b/>
              </w:rPr>
            </w:pPr>
            <w:r w:rsidRPr="00A06FEC">
              <w:rPr>
                <w:b/>
              </w:rPr>
              <w:t>2013</w:t>
            </w:r>
          </w:p>
        </w:tc>
      </w:tr>
      <w:tr w:rsidR="00690EB3" w:rsidTr="00D118A0">
        <w:trPr>
          <w:cantSplit/>
        </w:trPr>
        <w:tc>
          <w:tcPr>
            <w:tcW w:w="2410" w:type="dxa"/>
            <w:tcBorders>
              <w:top w:val="single" w:sz="4" w:space="0" w:color="auto"/>
              <w:bottom w:val="nil"/>
            </w:tcBorders>
            <w:shd w:val="clear" w:color="auto" w:fill="F2F2F2" w:themeFill="background1" w:themeFillShade="F2"/>
          </w:tcPr>
          <w:p w:rsidR="00690EB3" w:rsidRPr="00E44CE9" w:rsidRDefault="00690EB3" w:rsidP="00BE5285">
            <w:pPr>
              <w:pStyle w:val="TableText"/>
            </w:pPr>
            <w:r w:rsidRPr="00E44CE9">
              <w:t>New Zealand males</w:t>
            </w:r>
          </w:p>
        </w:tc>
        <w:tc>
          <w:tcPr>
            <w:tcW w:w="1736" w:type="dxa"/>
            <w:vMerge w:val="restart"/>
            <w:tcBorders>
              <w:top w:val="single" w:sz="4" w:space="0" w:color="auto"/>
            </w:tcBorders>
            <w:shd w:val="clear" w:color="auto" w:fill="F2F2F2" w:themeFill="background1" w:themeFillShade="F2"/>
          </w:tcPr>
          <w:p w:rsidR="00690EB3" w:rsidRPr="00E44CE9" w:rsidRDefault="00690EB3" w:rsidP="00A06FEC">
            <w:pPr>
              <w:pStyle w:val="TableText"/>
              <w:jc w:val="center"/>
            </w:pPr>
            <w:r w:rsidRPr="00E44CE9">
              <w:t>63.8</w:t>
            </w:r>
          </w:p>
          <w:p w:rsidR="00690EB3" w:rsidRPr="00E44CE9" w:rsidRDefault="00690EB3" w:rsidP="004F3D79">
            <w:pPr>
              <w:pStyle w:val="TableText"/>
              <w:jc w:val="center"/>
            </w:pPr>
            <w:r w:rsidRPr="00E44CE9">
              <w:t>(63.2–64.4)</w:t>
            </w:r>
          </w:p>
        </w:tc>
        <w:tc>
          <w:tcPr>
            <w:tcW w:w="1737" w:type="dxa"/>
            <w:vMerge w:val="restart"/>
            <w:tcBorders>
              <w:top w:val="single" w:sz="4" w:space="0" w:color="auto"/>
            </w:tcBorders>
            <w:shd w:val="clear" w:color="auto" w:fill="F2F2F2" w:themeFill="background1" w:themeFillShade="F2"/>
          </w:tcPr>
          <w:p w:rsidR="00690EB3" w:rsidRPr="00E44CE9" w:rsidRDefault="00690EB3" w:rsidP="00A06FEC">
            <w:pPr>
              <w:pStyle w:val="TableText"/>
              <w:jc w:val="center"/>
            </w:pPr>
            <w:r w:rsidRPr="00E44CE9">
              <w:t>64.2</w:t>
            </w:r>
          </w:p>
          <w:p w:rsidR="00690EB3" w:rsidRPr="00E44CE9" w:rsidRDefault="00690EB3" w:rsidP="004F3D79">
            <w:pPr>
              <w:pStyle w:val="TableText"/>
              <w:jc w:val="center"/>
            </w:pPr>
            <w:r w:rsidRPr="00E44CE9">
              <w:t>(63.7–64.7)</w:t>
            </w:r>
          </w:p>
        </w:tc>
        <w:tc>
          <w:tcPr>
            <w:tcW w:w="1736" w:type="dxa"/>
            <w:vMerge w:val="restart"/>
            <w:tcBorders>
              <w:top w:val="single" w:sz="4" w:space="0" w:color="auto"/>
            </w:tcBorders>
            <w:shd w:val="clear" w:color="auto" w:fill="F2F2F2" w:themeFill="background1" w:themeFillShade="F2"/>
          </w:tcPr>
          <w:p w:rsidR="00690EB3" w:rsidRPr="00E44CE9" w:rsidRDefault="00690EB3" w:rsidP="00A06FEC">
            <w:pPr>
              <w:pStyle w:val="TableText"/>
              <w:jc w:val="center"/>
            </w:pPr>
            <w:r w:rsidRPr="00E44CE9">
              <w:t>67.2</w:t>
            </w:r>
          </w:p>
          <w:p w:rsidR="00690EB3" w:rsidRPr="00E44CE9" w:rsidRDefault="00690EB3" w:rsidP="004F3D79">
            <w:pPr>
              <w:pStyle w:val="TableText"/>
              <w:jc w:val="center"/>
            </w:pPr>
            <w:r w:rsidRPr="00E44CE9">
              <w:t>(66.7–67.7)</w:t>
            </w:r>
          </w:p>
        </w:tc>
        <w:tc>
          <w:tcPr>
            <w:tcW w:w="1737" w:type="dxa"/>
            <w:vMerge w:val="restart"/>
            <w:tcBorders>
              <w:top w:val="single" w:sz="4" w:space="0" w:color="auto"/>
            </w:tcBorders>
            <w:shd w:val="clear" w:color="auto" w:fill="F2F2F2" w:themeFill="background1" w:themeFillShade="F2"/>
          </w:tcPr>
          <w:p w:rsidR="00690EB3" w:rsidRPr="00E44CE9" w:rsidRDefault="00690EB3" w:rsidP="00A06FEC">
            <w:pPr>
              <w:pStyle w:val="TableText"/>
              <w:jc w:val="center"/>
            </w:pPr>
            <w:r w:rsidRPr="00E44CE9">
              <w:t>65.2</w:t>
            </w:r>
          </w:p>
          <w:p w:rsidR="00690EB3" w:rsidRPr="00E44CE9" w:rsidRDefault="00690EB3" w:rsidP="004F3D79">
            <w:pPr>
              <w:pStyle w:val="TableText"/>
              <w:jc w:val="center"/>
            </w:pPr>
            <w:r w:rsidRPr="00E44CE9">
              <w:t>(64.6–65.9)</w:t>
            </w:r>
          </w:p>
        </w:tc>
      </w:tr>
      <w:tr w:rsidR="00690EB3" w:rsidTr="00D118A0">
        <w:trPr>
          <w:cantSplit/>
        </w:trPr>
        <w:tc>
          <w:tcPr>
            <w:tcW w:w="2410" w:type="dxa"/>
            <w:tcBorders>
              <w:top w:val="nil"/>
              <w:bottom w:val="nil"/>
            </w:tcBorders>
            <w:shd w:val="clear" w:color="auto" w:fill="auto"/>
          </w:tcPr>
          <w:p w:rsidR="00690EB3" w:rsidRPr="00E44CE9" w:rsidRDefault="00690EB3" w:rsidP="00BE5285">
            <w:pPr>
              <w:pStyle w:val="TableText"/>
            </w:pPr>
          </w:p>
        </w:tc>
        <w:tc>
          <w:tcPr>
            <w:tcW w:w="1736" w:type="dxa"/>
            <w:vMerge/>
            <w:tcBorders>
              <w:bottom w:val="nil"/>
            </w:tcBorders>
            <w:shd w:val="clear" w:color="auto" w:fill="auto"/>
          </w:tcPr>
          <w:p w:rsidR="00690EB3" w:rsidRPr="00E44CE9" w:rsidRDefault="00690EB3" w:rsidP="004F3D79">
            <w:pPr>
              <w:pStyle w:val="TableText"/>
              <w:jc w:val="center"/>
            </w:pPr>
          </w:p>
        </w:tc>
        <w:tc>
          <w:tcPr>
            <w:tcW w:w="1737" w:type="dxa"/>
            <w:vMerge/>
            <w:tcBorders>
              <w:bottom w:val="nil"/>
            </w:tcBorders>
            <w:shd w:val="clear" w:color="auto" w:fill="auto"/>
          </w:tcPr>
          <w:p w:rsidR="00690EB3" w:rsidRPr="00E44CE9" w:rsidRDefault="00690EB3" w:rsidP="004F3D79">
            <w:pPr>
              <w:pStyle w:val="TableText"/>
              <w:jc w:val="center"/>
            </w:pPr>
          </w:p>
        </w:tc>
        <w:tc>
          <w:tcPr>
            <w:tcW w:w="1736" w:type="dxa"/>
            <w:vMerge/>
            <w:tcBorders>
              <w:bottom w:val="nil"/>
            </w:tcBorders>
            <w:shd w:val="clear" w:color="auto" w:fill="auto"/>
          </w:tcPr>
          <w:p w:rsidR="00690EB3" w:rsidRPr="00E44CE9" w:rsidRDefault="00690EB3" w:rsidP="004F3D79">
            <w:pPr>
              <w:pStyle w:val="TableText"/>
              <w:jc w:val="center"/>
            </w:pPr>
          </w:p>
        </w:tc>
        <w:tc>
          <w:tcPr>
            <w:tcW w:w="1737" w:type="dxa"/>
            <w:vMerge/>
            <w:tcBorders>
              <w:bottom w:val="nil"/>
            </w:tcBorders>
            <w:shd w:val="clear" w:color="auto" w:fill="auto"/>
          </w:tcPr>
          <w:p w:rsidR="00690EB3" w:rsidRPr="00E44CE9" w:rsidRDefault="00690EB3" w:rsidP="004F3D79">
            <w:pPr>
              <w:pStyle w:val="TableText"/>
              <w:jc w:val="center"/>
            </w:pPr>
          </w:p>
        </w:tc>
      </w:tr>
      <w:tr w:rsidR="00690EB3" w:rsidTr="00D118A0">
        <w:trPr>
          <w:cantSplit/>
        </w:trPr>
        <w:tc>
          <w:tcPr>
            <w:tcW w:w="2410" w:type="dxa"/>
            <w:tcBorders>
              <w:top w:val="nil"/>
              <w:bottom w:val="nil"/>
            </w:tcBorders>
            <w:shd w:val="clear" w:color="auto" w:fill="F2F2F2" w:themeFill="background1" w:themeFillShade="F2"/>
          </w:tcPr>
          <w:p w:rsidR="00690EB3" w:rsidRPr="00E44CE9" w:rsidRDefault="00690EB3" w:rsidP="00BE5285">
            <w:pPr>
              <w:pStyle w:val="TableText"/>
            </w:pPr>
            <w:r w:rsidRPr="00E44CE9">
              <w:t>New Zealand females</w:t>
            </w:r>
          </w:p>
        </w:tc>
        <w:tc>
          <w:tcPr>
            <w:tcW w:w="1736" w:type="dxa"/>
            <w:vMerge w:val="restart"/>
            <w:tcBorders>
              <w:top w:val="nil"/>
            </w:tcBorders>
            <w:shd w:val="clear" w:color="auto" w:fill="F2F2F2" w:themeFill="background1" w:themeFillShade="F2"/>
          </w:tcPr>
          <w:p w:rsidR="00690EB3" w:rsidRPr="00E44CE9" w:rsidRDefault="00690EB3" w:rsidP="00A06FEC">
            <w:pPr>
              <w:pStyle w:val="TableText"/>
              <w:jc w:val="center"/>
            </w:pPr>
            <w:r w:rsidRPr="00E44CE9">
              <w:t>66.4</w:t>
            </w:r>
          </w:p>
          <w:p w:rsidR="00690EB3" w:rsidRPr="00E44CE9" w:rsidRDefault="00690EB3" w:rsidP="004F3D79">
            <w:pPr>
              <w:pStyle w:val="TableText"/>
              <w:jc w:val="center"/>
            </w:pPr>
            <w:r w:rsidRPr="00E44CE9">
              <w:t>(65.7–67.0)</w:t>
            </w:r>
          </w:p>
        </w:tc>
        <w:tc>
          <w:tcPr>
            <w:tcW w:w="1737" w:type="dxa"/>
            <w:vMerge w:val="restart"/>
            <w:tcBorders>
              <w:top w:val="nil"/>
            </w:tcBorders>
            <w:shd w:val="clear" w:color="auto" w:fill="F2F2F2" w:themeFill="background1" w:themeFillShade="F2"/>
          </w:tcPr>
          <w:p w:rsidR="00690EB3" w:rsidRPr="00E44CE9" w:rsidRDefault="00690EB3" w:rsidP="00A06FEC">
            <w:pPr>
              <w:pStyle w:val="TableText"/>
              <w:jc w:val="center"/>
            </w:pPr>
            <w:r w:rsidRPr="00E44CE9">
              <w:t>67.2</w:t>
            </w:r>
          </w:p>
          <w:p w:rsidR="00690EB3" w:rsidRPr="00E44CE9" w:rsidRDefault="00690EB3" w:rsidP="004F3D79">
            <w:pPr>
              <w:pStyle w:val="TableText"/>
              <w:jc w:val="center"/>
            </w:pPr>
            <w:r w:rsidRPr="00E44CE9">
              <w:t>(66.7–67.7)</w:t>
            </w:r>
          </w:p>
        </w:tc>
        <w:tc>
          <w:tcPr>
            <w:tcW w:w="1736" w:type="dxa"/>
            <w:vMerge w:val="restart"/>
            <w:tcBorders>
              <w:top w:val="nil"/>
            </w:tcBorders>
            <w:shd w:val="clear" w:color="auto" w:fill="F2F2F2" w:themeFill="background1" w:themeFillShade="F2"/>
          </w:tcPr>
          <w:p w:rsidR="00690EB3" w:rsidRPr="00E44CE9" w:rsidRDefault="00690EB3" w:rsidP="00A06FEC">
            <w:pPr>
              <w:pStyle w:val="TableText"/>
              <w:jc w:val="center"/>
            </w:pPr>
            <w:r w:rsidRPr="00E44CE9">
              <w:t>68.8</w:t>
            </w:r>
          </w:p>
          <w:p w:rsidR="00690EB3" w:rsidRPr="00E44CE9" w:rsidRDefault="00690EB3" w:rsidP="004F3D79">
            <w:pPr>
              <w:pStyle w:val="TableText"/>
              <w:jc w:val="center"/>
            </w:pPr>
            <w:r w:rsidRPr="00E44CE9">
              <w:t>(68.3–69.3)</w:t>
            </w:r>
          </w:p>
        </w:tc>
        <w:tc>
          <w:tcPr>
            <w:tcW w:w="1737" w:type="dxa"/>
            <w:vMerge w:val="restart"/>
            <w:tcBorders>
              <w:top w:val="nil"/>
            </w:tcBorders>
            <w:shd w:val="clear" w:color="auto" w:fill="F2F2F2" w:themeFill="background1" w:themeFillShade="F2"/>
          </w:tcPr>
          <w:p w:rsidR="00690EB3" w:rsidRPr="00E44CE9" w:rsidRDefault="00690EB3" w:rsidP="00A06FEC">
            <w:pPr>
              <w:pStyle w:val="TableText"/>
              <w:jc w:val="center"/>
            </w:pPr>
            <w:r w:rsidRPr="00E44CE9">
              <w:t>66.5</w:t>
            </w:r>
          </w:p>
          <w:p w:rsidR="00690EB3" w:rsidRPr="00E44CE9" w:rsidRDefault="00690EB3" w:rsidP="004F3D79">
            <w:pPr>
              <w:pStyle w:val="TableText"/>
              <w:jc w:val="center"/>
            </w:pPr>
            <w:r w:rsidRPr="00E44CE9">
              <w:t>(65.8–67.1)</w:t>
            </w:r>
          </w:p>
        </w:tc>
      </w:tr>
      <w:tr w:rsidR="00690EB3" w:rsidTr="00D118A0">
        <w:trPr>
          <w:cantSplit/>
        </w:trPr>
        <w:tc>
          <w:tcPr>
            <w:tcW w:w="2410" w:type="dxa"/>
            <w:tcBorders>
              <w:top w:val="nil"/>
            </w:tcBorders>
          </w:tcPr>
          <w:p w:rsidR="00690EB3" w:rsidRPr="00E44CE9" w:rsidRDefault="00690EB3" w:rsidP="00BE5285">
            <w:pPr>
              <w:pStyle w:val="TableText"/>
            </w:pPr>
          </w:p>
        </w:tc>
        <w:tc>
          <w:tcPr>
            <w:tcW w:w="1736" w:type="dxa"/>
            <w:vMerge/>
          </w:tcPr>
          <w:p w:rsidR="00690EB3" w:rsidRPr="00E44CE9" w:rsidRDefault="00690EB3" w:rsidP="004F3D79">
            <w:pPr>
              <w:pStyle w:val="TableText"/>
              <w:jc w:val="center"/>
            </w:pPr>
          </w:p>
        </w:tc>
        <w:tc>
          <w:tcPr>
            <w:tcW w:w="1737" w:type="dxa"/>
            <w:vMerge/>
          </w:tcPr>
          <w:p w:rsidR="00690EB3" w:rsidRPr="00E44CE9" w:rsidRDefault="00690EB3" w:rsidP="004F3D79">
            <w:pPr>
              <w:pStyle w:val="TableText"/>
              <w:jc w:val="center"/>
            </w:pPr>
          </w:p>
        </w:tc>
        <w:tc>
          <w:tcPr>
            <w:tcW w:w="1736" w:type="dxa"/>
            <w:vMerge/>
          </w:tcPr>
          <w:p w:rsidR="00690EB3" w:rsidRPr="00E44CE9" w:rsidRDefault="00690EB3" w:rsidP="004F3D79">
            <w:pPr>
              <w:pStyle w:val="TableText"/>
              <w:jc w:val="center"/>
            </w:pPr>
          </w:p>
        </w:tc>
        <w:tc>
          <w:tcPr>
            <w:tcW w:w="1737" w:type="dxa"/>
            <w:vMerge/>
          </w:tcPr>
          <w:p w:rsidR="00690EB3" w:rsidRPr="00E44CE9" w:rsidRDefault="00690EB3" w:rsidP="004F3D79">
            <w:pPr>
              <w:pStyle w:val="TableText"/>
              <w:jc w:val="center"/>
            </w:pPr>
          </w:p>
        </w:tc>
      </w:tr>
    </w:tbl>
    <w:p w:rsidR="00010E61" w:rsidRDefault="00010E61" w:rsidP="00010E61"/>
    <w:p w:rsidR="00010E61" w:rsidRDefault="00010E61" w:rsidP="00010E61">
      <w:r>
        <w:t>In relative terms, however, independent life expectancy has fallen for both male and female New Zealanders between 1996 and 2013. That is, the proportion of years a male New Zealander born in 2013 can expect to live independently relative to his overall life expectancy has fallen by 3.7% since 1996. Similarly, the proportion of years that a female New Zealander can expect to live independently relative to her overall life expectancy fell by 3.4% over the same period (Table 5).</w:t>
      </w:r>
    </w:p>
    <w:p w:rsidR="00010E61" w:rsidRDefault="00010E61" w:rsidP="00010E61"/>
    <w:p w:rsidR="00010E61" w:rsidRDefault="00010E61" w:rsidP="00010E61">
      <w:pPr>
        <w:pStyle w:val="Table"/>
      </w:pPr>
      <w:bookmarkStart w:id="79" w:name="_Toc424613641"/>
      <w:bookmarkStart w:id="80" w:name="_Toc424755740"/>
      <w:r w:rsidRPr="008C5765">
        <w:t xml:space="preserve">Table </w:t>
      </w:r>
      <w:r w:rsidR="00690EB3">
        <w:t>5</w:t>
      </w:r>
      <w:r>
        <w:rPr>
          <w:noProof/>
        </w:rPr>
        <w:t>:</w:t>
      </w:r>
      <w:r w:rsidRPr="008C5765">
        <w:t xml:space="preserve"> </w:t>
      </w:r>
      <w:r>
        <w:t>Change in i</w:t>
      </w:r>
      <w:r w:rsidRPr="008C5765">
        <w:t xml:space="preserve">ndependent life expectancy at birth, by gender, </w:t>
      </w:r>
      <w:r>
        <w:t xml:space="preserve">between </w:t>
      </w:r>
      <w:r w:rsidRPr="008C5765">
        <w:t>1996</w:t>
      </w:r>
      <w:r>
        <w:t xml:space="preserve"> and </w:t>
      </w:r>
      <w:r w:rsidRPr="008C5765">
        <w:t>2013</w:t>
      </w:r>
      <w:bookmarkEnd w:id="79"/>
      <w:bookmarkEnd w:id="80"/>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36"/>
        <w:gridCol w:w="1950"/>
        <w:gridCol w:w="1701"/>
        <w:gridCol w:w="1560"/>
      </w:tblGrid>
      <w:tr w:rsidR="00092321" w:rsidTr="00092321">
        <w:trPr>
          <w:cantSplit/>
        </w:trPr>
        <w:tc>
          <w:tcPr>
            <w:tcW w:w="2410" w:type="dxa"/>
            <w:vMerge w:val="restart"/>
            <w:tcBorders>
              <w:right w:val="single" w:sz="4" w:space="0" w:color="A6A6A6" w:themeColor="background1" w:themeShade="A6"/>
            </w:tcBorders>
          </w:tcPr>
          <w:p w:rsidR="00092321" w:rsidRDefault="00092321" w:rsidP="00092321">
            <w:pPr>
              <w:pStyle w:val="TableText"/>
            </w:pPr>
          </w:p>
        </w:tc>
        <w:tc>
          <w:tcPr>
            <w:tcW w:w="3686"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rsidR="00092321" w:rsidRPr="00E44CE9" w:rsidRDefault="00092321" w:rsidP="00092321">
            <w:pPr>
              <w:pStyle w:val="TableText"/>
              <w:jc w:val="center"/>
              <w:rPr>
                <w:b/>
              </w:rPr>
            </w:pPr>
            <w:r w:rsidRPr="00E44CE9">
              <w:rPr>
                <w:b/>
              </w:rPr>
              <w:t>Independent life expectancy in years</w:t>
            </w:r>
          </w:p>
        </w:tc>
        <w:tc>
          <w:tcPr>
            <w:tcW w:w="3261" w:type="dxa"/>
            <w:gridSpan w:val="2"/>
            <w:tcBorders>
              <w:left w:val="single" w:sz="4" w:space="0" w:color="A6A6A6" w:themeColor="background1" w:themeShade="A6"/>
              <w:bottom w:val="single" w:sz="4" w:space="0" w:color="A6A6A6" w:themeColor="background1" w:themeShade="A6"/>
            </w:tcBorders>
          </w:tcPr>
          <w:p w:rsidR="00092321" w:rsidRPr="00E44CE9" w:rsidRDefault="00092321" w:rsidP="00092321">
            <w:pPr>
              <w:pStyle w:val="TableText"/>
              <w:jc w:val="center"/>
              <w:rPr>
                <w:b/>
              </w:rPr>
            </w:pPr>
            <w:r w:rsidRPr="00E44CE9">
              <w:rPr>
                <w:b/>
              </w:rPr>
              <w:t>Change</w:t>
            </w:r>
          </w:p>
        </w:tc>
      </w:tr>
      <w:tr w:rsidR="00092321" w:rsidTr="004F3D79">
        <w:trPr>
          <w:cantSplit/>
        </w:trPr>
        <w:tc>
          <w:tcPr>
            <w:tcW w:w="2410" w:type="dxa"/>
            <w:vMerge/>
            <w:tcBorders>
              <w:bottom w:val="single" w:sz="4" w:space="0" w:color="auto"/>
              <w:right w:val="single" w:sz="4" w:space="0" w:color="A6A6A6" w:themeColor="background1" w:themeShade="A6"/>
            </w:tcBorders>
          </w:tcPr>
          <w:p w:rsidR="00092321" w:rsidRDefault="00092321" w:rsidP="00092321">
            <w:pPr>
              <w:pStyle w:val="TableText"/>
            </w:pPr>
          </w:p>
        </w:tc>
        <w:tc>
          <w:tcPr>
            <w:tcW w:w="1736" w:type="dxa"/>
            <w:tcBorders>
              <w:top w:val="single" w:sz="4" w:space="0" w:color="A6A6A6" w:themeColor="background1" w:themeShade="A6"/>
              <w:left w:val="single" w:sz="4" w:space="0" w:color="A6A6A6" w:themeColor="background1" w:themeShade="A6"/>
              <w:bottom w:val="single" w:sz="4" w:space="0" w:color="auto"/>
            </w:tcBorders>
          </w:tcPr>
          <w:p w:rsidR="00092321" w:rsidRPr="00E44CE9" w:rsidRDefault="00092321" w:rsidP="00092321">
            <w:pPr>
              <w:pStyle w:val="TableText"/>
              <w:jc w:val="center"/>
              <w:rPr>
                <w:b/>
              </w:rPr>
            </w:pPr>
            <w:r w:rsidRPr="00E44CE9">
              <w:rPr>
                <w:b/>
              </w:rPr>
              <w:t>1996</w:t>
            </w:r>
          </w:p>
        </w:tc>
        <w:tc>
          <w:tcPr>
            <w:tcW w:w="1950" w:type="dxa"/>
            <w:tcBorders>
              <w:top w:val="single" w:sz="4" w:space="0" w:color="A6A6A6" w:themeColor="background1" w:themeShade="A6"/>
              <w:bottom w:val="single" w:sz="4" w:space="0" w:color="auto"/>
              <w:right w:val="single" w:sz="4" w:space="0" w:color="A6A6A6" w:themeColor="background1" w:themeShade="A6"/>
            </w:tcBorders>
          </w:tcPr>
          <w:p w:rsidR="00092321" w:rsidRPr="00E44CE9" w:rsidRDefault="00092321" w:rsidP="00092321">
            <w:pPr>
              <w:pStyle w:val="TableText"/>
              <w:jc w:val="center"/>
              <w:rPr>
                <w:b/>
              </w:rPr>
            </w:pPr>
            <w:r w:rsidRPr="00E44CE9">
              <w:rPr>
                <w:b/>
              </w:rPr>
              <w:t>2013</w:t>
            </w:r>
          </w:p>
        </w:tc>
        <w:tc>
          <w:tcPr>
            <w:tcW w:w="1701" w:type="dxa"/>
            <w:tcBorders>
              <w:top w:val="single" w:sz="4" w:space="0" w:color="A6A6A6" w:themeColor="background1" w:themeShade="A6"/>
              <w:left w:val="single" w:sz="4" w:space="0" w:color="A6A6A6" w:themeColor="background1" w:themeShade="A6"/>
              <w:bottom w:val="single" w:sz="4" w:space="0" w:color="auto"/>
            </w:tcBorders>
          </w:tcPr>
          <w:p w:rsidR="00092321" w:rsidRPr="00E44CE9" w:rsidRDefault="00092321" w:rsidP="00092321">
            <w:pPr>
              <w:pStyle w:val="TableText"/>
              <w:jc w:val="center"/>
              <w:rPr>
                <w:b/>
              </w:rPr>
            </w:pPr>
            <w:r w:rsidRPr="00E44CE9">
              <w:rPr>
                <w:b/>
              </w:rPr>
              <w:t>Absolute</w:t>
            </w:r>
            <w:r>
              <w:rPr>
                <w:b/>
              </w:rPr>
              <w:t xml:space="preserve"> (years)</w:t>
            </w:r>
          </w:p>
        </w:tc>
        <w:tc>
          <w:tcPr>
            <w:tcW w:w="1560" w:type="dxa"/>
            <w:tcBorders>
              <w:top w:val="single" w:sz="4" w:space="0" w:color="A6A6A6" w:themeColor="background1" w:themeShade="A6"/>
              <w:bottom w:val="single" w:sz="4" w:space="0" w:color="auto"/>
            </w:tcBorders>
          </w:tcPr>
          <w:p w:rsidR="00092321" w:rsidRPr="00E44CE9" w:rsidRDefault="00092321" w:rsidP="00092321">
            <w:pPr>
              <w:pStyle w:val="TableText"/>
              <w:jc w:val="center"/>
              <w:rPr>
                <w:b/>
              </w:rPr>
            </w:pPr>
            <w:r w:rsidRPr="00E44CE9">
              <w:rPr>
                <w:b/>
              </w:rPr>
              <w:t>Relative*</w:t>
            </w:r>
            <w:r>
              <w:rPr>
                <w:b/>
              </w:rPr>
              <w:t xml:space="preserve"> </w:t>
            </w:r>
            <w:r w:rsidRPr="00E44CE9">
              <w:rPr>
                <w:b/>
              </w:rPr>
              <w:t>(%)</w:t>
            </w:r>
          </w:p>
        </w:tc>
      </w:tr>
      <w:tr w:rsidR="00092321" w:rsidTr="004F3D79">
        <w:trPr>
          <w:cantSplit/>
        </w:trPr>
        <w:tc>
          <w:tcPr>
            <w:tcW w:w="2410" w:type="dxa"/>
            <w:tcBorders>
              <w:top w:val="single" w:sz="4" w:space="0" w:color="auto"/>
              <w:bottom w:val="nil"/>
              <w:right w:val="single" w:sz="4" w:space="0" w:color="A6A6A6" w:themeColor="background1" w:themeShade="A6"/>
            </w:tcBorders>
            <w:shd w:val="clear" w:color="auto" w:fill="F2F2F2" w:themeFill="background1" w:themeFillShade="F2"/>
          </w:tcPr>
          <w:p w:rsidR="00092321" w:rsidRPr="00E44CE9" w:rsidRDefault="00092321" w:rsidP="00BE5285">
            <w:pPr>
              <w:pStyle w:val="TableText"/>
            </w:pPr>
            <w:r w:rsidRPr="00E44CE9">
              <w:t>New Zealand males</w:t>
            </w:r>
          </w:p>
        </w:tc>
        <w:tc>
          <w:tcPr>
            <w:tcW w:w="1736" w:type="dxa"/>
            <w:tcBorders>
              <w:top w:val="single" w:sz="4" w:space="0" w:color="auto"/>
              <w:left w:val="single" w:sz="4" w:space="0" w:color="A6A6A6" w:themeColor="background1" w:themeShade="A6"/>
              <w:bottom w:val="nil"/>
            </w:tcBorders>
            <w:shd w:val="clear" w:color="auto" w:fill="F2F2F2" w:themeFill="background1" w:themeFillShade="F2"/>
          </w:tcPr>
          <w:p w:rsidR="00092321" w:rsidRPr="00E44CE9" w:rsidRDefault="00092321" w:rsidP="00092321">
            <w:pPr>
              <w:pStyle w:val="TableText"/>
              <w:jc w:val="center"/>
            </w:pPr>
            <w:r w:rsidRPr="00E44CE9">
              <w:t>63.8</w:t>
            </w:r>
          </w:p>
        </w:tc>
        <w:tc>
          <w:tcPr>
            <w:tcW w:w="1950" w:type="dxa"/>
            <w:tcBorders>
              <w:top w:val="single" w:sz="4" w:space="0" w:color="auto"/>
              <w:bottom w:val="nil"/>
              <w:right w:val="single" w:sz="4" w:space="0" w:color="A6A6A6" w:themeColor="background1" w:themeShade="A6"/>
            </w:tcBorders>
            <w:shd w:val="clear" w:color="auto" w:fill="F2F2F2" w:themeFill="background1" w:themeFillShade="F2"/>
          </w:tcPr>
          <w:p w:rsidR="00092321" w:rsidRPr="00E44CE9" w:rsidRDefault="00092321" w:rsidP="00092321">
            <w:pPr>
              <w:pStyle w:val="TableText"/>
              <w:jc w:val="center"/>
            </w:pPr>
            <w:r w:rsidRPr="00E44CE9">
              <w:t>65.2</w:t>
            </w:r>
          </w:p>
        </w:tc>
        <w:tc>
          <w:tcPr>
            <w:tcW w:w="1701" w:type="dxa"/>
            <w:tcBorders>
              <w:top w:val="single" w:sz="4" w:space="0" w:color="auto"/>
              <w:left w:val="single" w:sz="4" w:space="0" w:color="A6A6A6" w:themeColor="background1" w:themeShade="A6"/>
              <w:bottom w:val="nil"/>
            </w:tcBorders>
            <w:shd w:val="clear" w:color="auto" w:fill="F2F2F2" w:themeFill="background1" w:themeFillShade="F2"/>
          </w:tcPr>
          <w:p w:rsidR="00092321" w:rsidRPr="00E44CE9" w:rsidRDefault="00092321" w:rsidP="00092321">
            <w:pPr>
              <w:pStyle w:val="TableText"/>
              <w:jc w:val="center"/>
            </w:pPr>
            <w:r w:rsidRPr="00E44CE9">
              <w:t>1.4</w:t>
            </w:r>
          </w:p>
        </w:tc>
        <w:tc>
          <w:tcPr>
            <w:tcW w:w="1560" w:type="dxa"/>
            <w:tcBorders>
              <w:top w:val="single" w:sz="4" w:space="0" w:color="auto"/>
              <w:bottom w:val="nil"/>
            </w:tcBorders>
            <w:shd w:val="clear" w:color="auto" w:fill="F2F2F2" w:themeFill="background1" w:themeFillShade="F2"/>
          </w:tcPr>
          <w:p w:rsidR="00092321" w:rsidRPr="00E44CE9" w:rsidRDefault="00092321" w:rsidP="00092321">
            <w:pPr>
              <w:pStyle w:val="TableText"/>
              <w:jc w:val="center"/>
            </w:pPr>
            <w:r w:rsidRPr="00E44CE9">
              <w:t>–3.7</w:t>
            </w:r>
          </w:p>
        </w:tc>
      </w:tr>
      <w:tr w:rsidR="00092321" w:rsidTr="00092321">
        <w:trPr>
          <w:cantSplit/>
        </w:trPr>
        <w:tc>
          <w:tcPr>
            <w:tcW w:w="2410" w:type="dxa"/>
            <w:tcBorders>
              <w:top w:val="nil"/>
              <w:right w:val="single" w:sz="4" w:space="0" w:color="A6A6A6" w:themeColor="background1" w:themeShade="A6"/>
            </w:tcBorders>
          </w:tcPr>
          <w:p w:rsidR="00092321" w:rsidRPr="00E44CE9" w:rsidRDefault="00092321" w:rsidP="00BE5285">
            <w:pPr>
              <w:pStyle w:val="TableText"/>
            </w:pPr>
            <w:r w:rsidRPr="00E44CE9">
              <w:t>New Zealand females</w:t>
            </w:r>
          </w:p>
        </w:tc>
        <w:tc>
          <w:tcPr>
            <w:tcW w:w="1736" w:type="dxa"/>
            <w:tcBorders>
              <w:top w:val="nil"/>
              <w:left w:val="single" w:sz="4" w:space="0" w:color="A6A6A6" w:themeColor="background1" w:themeShade="A6"/>
              <w:bottom w:val="single" w:sz="4" w:space="0" w:color="auto"/>
            </w:tcBorders>
          </w:tcPr>
          <w:p w:rsidR="00092321" w:rsidRPr="00E44CE9" w:rsidRDefault="00092321" w:rsidP="00092321">
            <w:pPr>
              <w:pStyle w:val="TableText"/>
              <w:jc w:val="center"/>
            </w:pPr>
            <w:r w:rsidRPr="00E44CE9">
              <w:t>66.4</w:t>
            </w:r>
          </w:p>
        </w:tc>
        <w:tc>
          <w:tcPr>
            <w:tcW w:w="1950" w:type="dxa"/>
            <w:tcBorders>
              <w:top w:val="nil"/>
              <w:bottom w:val="single" w:sz="4" w:space="0" w:color="auto"/>
              <w:right w:val="single" w:sz="4" w:space="0" w:color="A6A6A6" w:themeColor="background1" w:themeShade="A6"/>
            </w:tcBorders>
          </w:tcPr>
          <w:p w:rsidR="00092321" w:rsidRPr="00E44CE9" w:rsidRDefault="00092321" w:rsidP="00092321">
            <w:pPr>
              <w:pStyle w:val="TableText"/>
              <w:jc w:val="center"/>
            </w:pPr>
            <w:r w:rsidRPr="00E44CE9">
              <w:t>66.5</w:t>
            </w:r>
          </w:p>
        </w:tc>
        <w:tc>
          <w:tcPr>
            <w:tcW w:w="1701" w:type="dxa"/>
            <w:tcBorders>
              <w:top w:val="nil"/>
              <w:left w:val="single" w:sz="4" w:space="0" w:color="A6A6A6" w:themeColor="background1" w:themeShade="A6"/>
            </w:tcBorders>
          </w:tcPr>
          <w:p w:rsidR="00092321" w:rsidRPr="00E44CE9" w:rsidRDefault="00092321" w:rsidP="00092321">
            <w:pPr>
              <w:pStyle w:val="TableText"/>
              <w:jc w:val="center"/>
            </w:pPr>
            <w:r w:rsidRPr="00E44CE9">
              <w:t>0.1</w:t>
            </w:r>
          </w:p>
        </w:tc>
        <w:tc>
          <w:tcPr>
            <w:tcW w:w="1560" w:type="dxa"/>
            <w:tcBorders>
              <w:top w:val="nil"/>
            </w:tcBorders>
          </w:tcPr>
          <w:p w:rsidR="00092321" w:rsidRPr="00E44CE9" w:rsidRDefault="00092321" w:rsidP="00092321">
            <w:pPr>
              <w:pStyle w:val="TableText"/>
              <w:jc w:val="center"/>
            </w:pPr>
            <w:r w:rsidRPr="00E44CE9">
              <w:t>–3.4</w:t>
            </w:r>
          </w:p>
        </w:tc>
      </w:tr>
    </w:tbl>
    <w:p w:rsidR="00010E61" w:rsidRPr="008C5765" w:rsidRDefault="00010E61" w:rsidP="00010E61">
      <w:pPr>
        <w:pStyle w:val="Note"/>
        <w:ind w:left="0" w:right="0" w:firstLine="0"/>
      </w:pPr>
      <w:r w:rsidRPr="008C5765">
        <w:t>Note: * Difference in the proportion of years l</w:t>
      </w:r>
      <w:r>
        <w:t>ived independently (ILE/LE*100).</w:t>
      </w:r>
    </w:p>
    <w:p w:rsidR="00010E61" w:rsidRPr="0088629A" w:rsidRDefault="00010E61" w:rsidP="00010E61"/>
    <w:p w:rsidR="00010E61" w:rsidRPr="008C5765" w:rsidRDefault="00010E61" w:rsidP="00010E61">
      <w:pPr>
        <w:pStyle w:val="Heading2"/>
      </w:pPr>
      <w:bookmarkStart w:id="81" w:name="_Toc424645294"/>
      <w:bookmarkStart w:id="82" w:name="_Toc424834184"/>
      <w:r>
        <w:t>Trends in ILE by ethnicity</w:t>
      </w:r>
      <w:bookmarkEnd w:id="81"/>
      <w:bookmarkEnd w:id="82"/>
    </w:p>
    <w:p w:rsidR="00010E61" w:rsidRDefault="00010E61" w:rsidP="00010E61">
      <w:r>
        <w:t>Table 6 presents the trends in independent life expectancy at birth for Māori and non-Māori males and females. Table 7 provides a comparison of 1996 and 2013 figures in both relative and absolute terms for these same four groups.</w:t>
      </w:r>
    </w:p>
    <w:p w:rsidR="00010E61" w:rsidRDefault="00010E61" w:rsidP="00010E61"/>
    <w:p w:rsidR="00010E61" w:rsidRDefault="00010E61" w:rsidP="00010E61">
      <w:pPr>
        <w:pStyle w:val="Table"/>
      </w:pPr>
      <w:bookmarkStart w:id="83" w:name="_Toc424613642"/>
      <w:bookmarkStart w:id="84" w:name="_Toc424755741"/>
      <w:r w:rsidRPr="008C5765">
        <w:t xml:space="preserve">Table </w:t>
      </w:r>
      <w:r w:rsidR="00495773">
        <w:t>6</w:t>
      </w:r>
      <w:r>
        <w:rPr>
          <w:noProof/>
        </w:rPr>
        <w:t>:</w:t>
      </w:r>
      <w:r w:rsidRPr="008C5765">
        <w:t xml:space="preserve"> Independent life expectancy at birth, by ethnicity, 1996</w:t>
      </w:r>
      <w:r>
        <w:t>–</w:t>
      </w:r>
      <w:r w:rsidRPr="008C5765">
        <w:t>2013</w:t>
      </w:r>
      <w:bookmarkEnd w:id="83"/>
      <w:bookmarkEnd w:id="84"/>
    </w:p>
    <w:tbl>
      <w:tblPr>
        <w:tblStyle w:val="TableGrid"/>
        <w:tblW w:w="9356"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36"/>
        <w:gridCol w:w="1737"/>
        <w:gridCol w:w="1736"/>
        <w:gridCol w:w="1737"/>
      </w:tblGrid>
      <w:tr w:rsidR="00231F82" w:rsidTr="00231F82">
        <w:trPr>
          <w:cantSplit/>
        </w:trPr>
        <w:tc>
          <w:tcPr>
            <w:tcW w:w="2410" w:type="dxa"/>
            <w:vMerge w:val="restart"/>
          </w:tcPr>
          <w:p w:rsidR="00231F82" w:rsidRDefault="00231F82" w:rsidP="00231F82">
            <w:pPr>
              <w:pStyle w:val="TableText"/>
            </w:pPr>
          </w:p>
        </w:tc>
        <w:tc>
          <w:tcPr>
            <w:tcW w:w="6946" w:type="dxa"/>
            <w:gridSpan w:val="4"/>
            <w:tcBorders>
              <w:bottom w:val="single" w:sz="4" w:space="0" w:color="A6A6A6" w:themeColor="background1" w:themeShade="A6"/>
            </w:tcBorders>
          </w:tcPr>
          <w:p w:rsidR="00231F82" w:rsidRDefault="00231F82" w:rsidP="00231F82">
            <w:pPr>
              <w:pStyle w:val="TableText"/>
              <w:jc w:val="center"/>
            </w:pPr>
            <w:r w:rsidRPr="00E44CE9">
              <w:rPr>
                <w:b/>
              </w:rPr>
              <w:t>Independent life expectancy in years</w:t>
            </w:r>
            <w:r>
              <w:rPr>
                <w:b/>
              </w:rPr>
              <w:t xml:space="preserve"> </w:t>
            </w:r>
            <w:r w:rsidRPr="00E44CE9">
              <w:rPr>
                <w:b/>
              </w:rPr>
              <w:t>(95% confidence interval)</w:t>
            </w:r>
          </w:p>
        </w:tc>
      </w:tr>
      <w:tr w:rsidR="00231F82" w:rsidTr="004F3D79">
        <w:trPr>
          <w:cantSplit/>
        </w:trPr>
        <w:tc>
          <w:tcPr>
            <w:tcW w:w="2410" w:type="dxa"/>
            <w:vMerge/>
            <w:tcBorders>
              <w:bottom w:val="single" w:sz="4" w:space="0" w:color="auto"/>
            </w:tcBorders>
          </w:tcPr>
          <w:p w:rsidR="00231F82" w:rsidRDefault="00231F82" w:rsidP="00231F82">
            <w:pPr>
              <w:pStyle w:val="TableText"/>
            </w:pPr>
          </w:p>
        </w:tc>
        <w:tc>
          <w:tcPr>
            <w:tcW w:w="1736" w:type="dxa"/>
            <w:tcBorders>
              <w:top w:val="single" w:sz="4" w:space="0" w:color="A6A6A6" w:themeColor="background1" w:themeShade="A6"/>
              <w:bottom w:val="single" w:sz="4" w:space="0" w:color="auto"/>
            </w:tcBorders>
          </w:tcPr>
          <w:p w:rsidR="00231F82" w:rsidRPr="00E44CE9" w:rsidRDefault="00231F82" w:rsidP="00231F82">
            <w:pPr>
              <w:pStyle w:val="TableText"/>
              <w:jc w:val="center"/>
              <w:rPr>
                <w:b/>
              </w:rPr>
            </w:pPr>
            <w:r w:rsidRPr="00E44CE9">
              <w:rPr>
                <w:b/>
              </w:rPr>
              <w:t>1996</w:t>
            </w:r>
          </w:p>
        </w:tc>
        <w:tc>
          <w:tcPr>
            <w:tcW w:w="1737" w:type="dxa"/>
            <w:tcBorders>
              <w:top w:val="single" w:sz="4" w:space="0" w:color="A6A6A6" w:themeColor="background1" w:themeShade="A6"/>
              <w:bottom w:val="single" w:sz="4" w:space="0" w:color="auto"/>
            </w:tcBorders>
          </w:tcPr>
          <w:p w:rsidR="00231F82" w:rsidRPr="00E44CE9" w:rsidRDefault="00231F82" w:rsidP="00231F82">
            <w:pPr>
              <w:pStyle w:val="TableText"/>
              <w:jc w:val="center"/>
              <w:rPr>
                <w:b/>
              </w:rPr>
            </w:pPr>
            <w:r w:rsidRPr="00E44CE9">
              <w:rPr>
                <w:b/>
              </w:rPr>
              <w:t>2001</w:t>
            </w:r>
          </w:p>
        </w:tc>
        <w:tc>
          <w:tcPr>
            <w:tcW w:w="1736" w:type="dxa"/>
            <w:tcBorders>
              <w:top w:val="single" w:sz="4" w:space="0" w:color="A6A6A6" w:themeColor="background1" w:themeShade="A6"/>
              <w:bottom w:val="single" w:sz="4" w:space="0" w:color="auto"/>
            </w:tcBorders>
          </w:tcPr>
          <w:p w:rsidR="00231F82" w:rsidRPr="00E44CE9" w:rsidRDefault="00231F82" w:rsidP="00231F82">
            <w:pPr>
              <w:pStyle w:val="TableText"/>
              <w:jc w:val="center"/>
              <w:rPr>
                <w:b/>
              </w:rPr>
            </w:pPr>
            <w:r w:rsidRPr="00E44CE9">
              <w:rPr>
                <w:b/>
              </w:rPr>
              <w:t>2006</w:t>
            </w:r>
          </w:p>
        </w:tc>
        <w:tc>
          <w:tcPr>
            <w:tcW w:w="1737" w:type="dxa"/>
            <w:tcBorders>
              <w:top w:val="single" w:sz="4" w:space="0" w:color="A6A6A6" w:themeColor="background1" w:themeShade="A6"/>
              <w:bottom w:val="single" w:sz="4" w:space="0" w:color="auto"/>
            </w:tcBorders>
          </w:tcPr>
          <w:p w:rsidR="00231F82" w:rsidRPr="00E44CE9" w:rsidRDefault="00231F82" w:rsidP="00231F82">
            <w:pPr>
              <w:pStyle w:val="TableText"/>
              <w:jc w:val="center"/>
              <w:rPr>
                <w:b/>
              </w:rPr>
            </w:pPr>
            <w:r w:rsidRPr="00E44CE9">
              <w:rPr>
                <w:b/>
              </w:rPr>
              <w:t>2013</w:t>
            </w:r>
          </w:p>
        </w:tc>
      </w:tr>
      <w:tr w:rsidR="00690EB3" w:rsidTr="00D118A0">
        <w:trPr>
          <w:cantSplit/>
        </w:trPr>
        <w:tc>
          <w:tcPr>
            <w:tcW w:w="2410" w:type="dxa"/>
            <w:tcBorders>
              <w:top w:val="single" w:sz="4" w:space="0" w:color="auto"/>
              <w:bottom w:val="nil"/>
            </w:tcBorders>
            <w:shd w:val="clear" w:color="auto" w:fill="F2F2F2" w:themeFill="background1" w:themeFillShade="F2"/>
          </w:tcPr>
          <w:p w:rsidR="00690EB3" w:rsidRPr="00E44CE9" w:rsidRDefault="00690EB3" w:rsidP="00BE5285">
            <w:pPr>
              <w:pStyle w:val="TableText"/>
            </w:pPr>
            <w:r w:rsidRPr="00E44CE9">
              <w:t>Māori males</w:t>
            </w:r>
          </w:p>
        </w:tc>
        <w:tc>
          <w:tcPr>
            <w:tcW w:w="1736" w:type="dxa"/>
            <w:vMerge w:val="restart"/>
            <w:tcBorders>
              <w:top w:val="single" w:sz="4" w:space="0" w:color="auto"/>
            </w:tcBorders>
            <w:shd w:val="clear" w:color="auto" w:fill="F2F2F2" w:themeFill="background1" w:themeFillShade="F2"/>
          </w:tcPr>
          <w:p w:rsidR="00690EB3" w:rsidRPr="00E44CE9" w:rsidRDefault="00690EB3" w:rsidP="00231F82">
            <w:pPr>
              <w:pStyle w:val="TableText"/>
              <w:jc w:val="center"/>
            </w:pPr>
            <w:r w:rsidRPr="00E44CE9">
              <w:t>56</w:t>
            </w:r>
            <w:r>
              <w:t>.0</w:t>
            </w:r>
          </w:p>
          <w:p w:rsidR="00690EB3" w:rsidRPr="00E44CE9" w:rsidRDefault="00690EB3" w:rsidP="004F3D79">
            <w:pPr>
              <w:pStyle w:val="TableText"/>
              <w:jc w:val="center"/>
            </w:pPr>
            <w:r w:rsidRPr="00E44CE9">
              <w:t>(54.1–58.0)</w:t>
            </w:r>
          </w:p>
        </w:tc>
        <w:tc>
          <w:tcPr>
            <w:tcW w:w="1737" w:type="dxa"/>
            <w:vMerge w:val="restart"/>
            <w:tcBorders>
              <w:top w:val="single" w:sz="4" w:space="0" w:color="auto"/>
            </w:tcBorders>
            <w:shd w:val="clear" w:color="auto" w:fill="F2F2F2" w:themeFill="background1" w:themeFillShade="F2"/>
          </w:tcPr>
          <w:p w:rsidR="00690EB3" w:rsidRPr="00E44CE9" w:rsidRDefault="00690EB3" w:rsidP="00231F82">
            <w:pPr>
              <w:pStyle w:val="TableText"/>
              <w:jc w:val="center"/>
            </w:pPr>
            <w:r w:rsidRPr="00E44CE9">
              <w:t>56.9</w:t>
            </w:r>
          </w:p>
          <w:p w:rsidR="00690EB3" w:rsidRPr="00E44CE9" w:rsidRDefault="00690EB3" w:rsidP="004F3D79">
            <w:pPr>
              <w:pStyle w:val="TableText"/>
              <w:jc w:val="center"/>
            </w:pPr>
            <w:r w:rsidRPr="00E44CE9">
              <w:t>(56.0–57.9)</w:t>
            </w:r>
          </w:p>
        </w:tc>
        <w:tc>
          <w:tcPr>
            <w:tcW w:w="1736" w:type="dxa"/>
            <w:vMerge w:val="restart"/>
            <w:tcBorders>
              <w:top w:val="single" w:sz="4" w:space="0" w:color="auto"/>
            </w:tcBorders>
            <w:shd w:val="clear" w:color="auto" w:fill="F2F2F2" w:themeFill="background1" w:themeFillShade="F2"/>
          </w:tcPr>
          <w:p w:rsidR="00690EB3" w:rsidRPr="00E44CE9" w:rsidRDefault="00690EB3" w:rsidP="00231F82">
            <w:pPr>
              <w:pStyle w:val="TableText"/>
              <w:jc w:val="center"/>
            </w:pPr>
            <w:r w:rsidRPr="00E44CE9">
              <w:t>60.1</w:t>
            </w:r>
          </w:p>
          <w:p w:rsidR="00690EB3" w:rsidRPr="00E44CE9" w:rsidRDefault="00690EB3" w:rsidP="004F3D79">
            <w:pPr>
              <w:pStyle w:val="TableText"/>
              <w:jc w:val="center"/>
            </w:pPr>
            <w:r w:rsidRPr="00E44CE9">
              <w:t>(59.2–61.0)</w:t>
            </w:r>
          </w:p>
        </w:tc>
        <w:tc>
          <w:tcPr>
            <w:tcW w:w="1737" w:type="dxa"/>
            <w:vMerge w:val="restart"/>
            <w:tcBorders>
              <w:top w:val="single" w:sz="4" w:space="0" w:color="auto"/>
            </w:tcBorders>
            <w:shd w:val="clear" w:color="auto" w:fill="F2F2F2" w:themeFill="background1" w:themeFillShade="F2"/>
          </w:tcPr>
          <w:p w:rsidR="00690EB3" w:rsidRPr="00E44CE9" w:rsidRDefault="00690EB3" w:rsidP="00231F82">
            <w:pPr>
              <w:pStyle w:val="TableText"/>
              <w:jc w:val="center"/>
            </w:pPr>
            <w:r w:rsidRPr="00E44CE9">
              <w:t>54.3</w:t>
            </w:r>
          </w:p>
          <w:p w:rsidR="00690EB3" w:rsidRPr="00E44CE9" w:rsidRDefault="00690EB3" w:rsidP="004F3D79">
            <w:pPr>
              <w:pStyle w:val="TableText"/>
              <w:jc w:val="center"/>
            </w:pPr>
            <w:r w:rsidRPr="00E44CE9">
              <w:t>(52.6–56.0)</w:t>
            </w:r>
          </w:p>
        </w:tc>
      </w:tr>
      <w:tr w:rsidR="00690EB3" w:rsidTr="00D118A0">
        <w:trPr>
          <w:cantSplit/>
        </w:trPr>
        <w:tc>
          <w:tcPr>
            <w:tcW w:w="2410" w:type="dxa"/>
            <w:tcBorders>
              <w:top w:val="nil"/>
              <w:bottom w:val="nil"/>
            </w:tcBorders>
          </w:tcPr>
          <w:p w:rsidR="00690EB3" w:rsidRPr="00E44CE9" w:rsidRDefault="00690EB3" w:rsidP="00BE5285">
            <w:pPr>
              <w:pStyle w:val="TableText"/>
            </w:pPr>
          </w:p>
        </w:tc>
        <w:tc>
          <w:tcPr>
            <w:tcW w:w="1736" w:type="dxa"/>
            <w:vMerge/>
            <w:tcBorders>
              <w:bottom w:val="nil"/>
            </w:tcBorders>
          </w:tcPr>
          <w:p w:rsidR="00690EB3" w:rsidRPr="00E44CE9" w:rsidRDefault="00690EB3" w:rsidP="004F3D79">
            <w:pPr>
              <w:pStyle w:val="TableText"/>
              <w:jc w:val="center"/>
            </w:pPr>
          </w:p>
        </w:tc>
        <w:tc>
          <w:tcPr>
            <w:tcW w:w="1737" w:type="dxa"/>
            <w:vMerge/>
            <w:tcBorders>
              <w:bottom w:val="nil"/>
            </w:tcBorders>
          </w:tcPr>
          <w:p w:rsidR="00690EB3" w:rsidRPr="00E44CE9" w:rsidRDefault="00690EB3" w:rsidP="004F3D79">
            <w:pPr>
              <w:pStyle w:val="TableText"/>
              <w:jc w:val="center"/>
            </w:pPr>
          </w:p>
        </w:tc>
        <w:tc>
          <w:tcPr>
            <w:tcW w:w="1736" w:type="dxa"/>
            <w:vMerge/>
            <w:tcBorders>
              <w:bottom w:val="nil"/>
            </w:tcBorders>
          </w:tcPr>
          <w:p w:rsidR="00690EB3" w:rsidRPr="00E44CE9" w:rsidRDefault="00690EB3" w:rsidP="004F3D79">
            <w:pPr>
              <w:pStyle w:val="TableText"/>
              <w:jc w:val="center"/>
            </w:pPr>
          </w:p>
        </w:tc>
        <w:tc>
          <w:tcPr>
            <w:tcW w:w="1737" w:type="dxa"/>
            <w:vMerge/>
            <w:tcBorders>
              <w:bottom w:val="nil"/>
            </w:tcBorders>
          </w:tcPr>
          <w:p w:rsidR="00690EB3" w:rsidRPr="00E44CE9" w:rsidRDefault="00690EB3" w:rsidP="004F3D79">
            <w:pPr>
              <w:pStyle w:val="TableText"/>
              <w:jc w:val="center"/>
            </w:pPr>
          </w:p>
        </w:tc>
      </w:tr>
      <w:tr w:rsidR="00690EB3" w:rsidTr="00D118A0">
        <w:trPr>
          <w:cantSplit/>
        </w:trPr>
        <w:tc>
          <w:tcPr>
            <w:tcW w:w="2410" w:type="dxa"/>
            <w:tcBorders>
              <w:top w:val="nil"/>
              <w:bottom w:val="nil"/>
            </w:tcBorders>
            <w:shd w:val="clear" w:color="auto" w:fill="F2F2F2" w:themeFill="background1" w:themeFillShade="F2"/>
          </w:tcPr>
          <w:p w:rsidR="00690EB3" w:rsidRPr="00E44CE9" w:rsidRDefault="00690EB3" w:rsidP="00BE5285">
            <w:pPr>
              <w:pStyle w:val="TableText"/>
            </w:pPr>
            <w:r w:rsidRPr="00E44CE9">
              <w:t>Māori females</w:t>
            </w:r>
          </w:p>
        </w:tc>
        <w:tc>
          <w:tcPr>
            <w:tcW w:w="1736"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58.2</w:t>
            </w:r>
          </w:p>
          <w:p w:rsidR="00690EB3" w:rsidRPr="00E44CE9" w:rsidRDefault="00690EB3" w:rsidP="004F3D79">
            <w:pPr>
              <w:pStyle w:val="TableText"/>
              <w:jc w:val="center"/>
            </w:pPr>
            <w:r w:rsidRPr="00E44CE9">
              <w:t>(56.0–60.4)</w:t>
            </w:r>
          </w:p>
        </w:tc>
        <w:tc>
          <w:tcPr>
            <w:tcW w:w="1737"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58</w:t>
            </w:r>
            <w:r>
              <w:t>.0</w:t>
            </w:r>
          </w:p>
          <w:p w:rsidR="00690EB3" w:rsidRPr="00E44CE9" w:rsidRDefault="00690EB3" w:rsidP="004F3D79">
            <w:pPr>
              <w:pStyle w:val="TableText"/>
              <w:jc w:val="center"/>
            </w:pPr>
            <w:r w:rsidRPr="00E44CE9">
              <w:t>(57.0–59.0)</w:t>
            </w:r>
          </w:p>
        </w:tc>
        <w:tc>
          <w:tcPr>
            <w:tcW w:w="1736"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61.6</w:t>
            </w:r>
          </w:p>
          <w:p w:rsidR="00690EB3" w:rsidRPr="00E44CE9" w:rsidRDefault="00690EB3" w:rsidP="004F3D79">
            <w:pPr>
              <w:pStyle w:val="TableText"/>
              <w:jc w:val="center"/>
            </w:pPr>
            <w:r w:rsidRPr="00E44CE9">
              <w:t>(60.6–62.5)</w:t>
            </w:r>
          </w:p>
        </w:tc>
        <w:tc>
          <w:tcPr>
            <w:tcW w:w="1737"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60.4</w:t>
            </w:r>
          </w:p>
          <w:p w:rsidR="00690EB3" w:rsidRPr="00E44CE9" w:rsidRDefault="00690EB3" w:rsidP="004F3D79">
            <w:pPr>
              <w:pStyle w:val="TableText"/>
              <w:jc w:val="center"/>
            </w:pPr>
            <w:r w:rsidRPr="00E44CE9">
              <w:t>(58.6–62.3)</w:t>
            </w:r>
          </w:p>
        </w:tc>
      </w:tr>
      <w:tr w:rsidR="00690EB3" w:rsidTr="00D118A0">
        <w:trPr>
          <w:cantSplit/>
        </w:trPr>
        <w:tc>
          <w:tcPr>
            <w:tcW w:w="2410" w:type="dxa"/>
            <w:tcBorders>
              <w:top w:val="nil"/>
              <w:bottom w:val="nil"/>
            </w:tcBorders>
          </w:tcPr>
          <w:p w:rsidR="00690EB3" w:rsidRPr="00E44CE9" w:rsidRDefault="00690EB3" w:rsidP="00BE5285">
            <w:pPr>
              <w:pStyle w:val="TableText"/>
            </w:pPr>
          </w:p>
        </w:tc>
        <w:tc>
          <w:tcPr>
            <w:tcW w:w="1736" w:type="dxa"/>
            <w:vMerge/>
            <w:tcBorders>
              <w:bottom w:val="nil"/>
            </w:tcBorders>
          </w:tcPr>
          <w:p w:rsidR="00690EB3" w:rsidRPr="00E44CE9" w:rsidRDefault="00690EB3" w:rsidP="004F3D79">
            <w:pPr>
              <w:pStyle w:val="TableText"/>
              <w:jc w:val="center"/>
            </w:pPr>
          </w:p>
        </w:tc>
        <w:tc>
          <w:tcPr>
            <w:tcW w:w="1737" w:type="dxa"/>
            <w:vMerge/>
            <w:tcBorders>
              <w:bottom w:val="nil"/>
            </w:tcBorders>
          </w:tcPr>
          <w:p w:rsidR="00690EB3" w:rsidRPr="00E44CE9" w:rsidRDefault="00690EB3" w:rsidP="004F3D79">
            <w:pPr>
              <w:pStyle w:val="TableText"/>
              <w:jc w:val="center"/>
            </w:pPr>
          </w:p>
        </w:tc>
        <w:tc>
          <w:tcPr>
            <w:tcW w:w="1736" w:type="dxa"/>
            <w:vMerge/>
            <w:tcBorders>
              <w:bottom w:val="nil"/>
            </w:tcBorders>
          </w:tcPr>
          <w:p w:rsidR="00690EB3" w:rsidRPr="00E44CE9" w:rsidRDefault="00690EB3" w:rsidP="004F3D79">
            <w:pPr>
              <w:pStyle w:val="TableText"/>
              <w:jc w:val="center"/>
            </w:pPr>
          </w:p>
        </w:tc>
        <w:tc>
          <w:tcPr>
            <w:tcW w:w="1737" w:type="dxa"/>
            <w:vMerge/>
            <w:tcBorders>
              <w:bottom w:val="nil"/>
            </w:tcBorders>
          </w:tcPr>
          <w:p w:rsidR="00690EB3" w:rsidRPr="00E44CE9" w:rsidRDefault="00690EB3" w:rsidP="004F3D79">
            <w:pPr>
              <w:pStyle w:val="TableText"/>
              <w:jc w:val="center"/>
            </w:pPr>
          </w:p>
        </w:tc>
      </w:tr>
      <w:tr w:rsidR="00690EB3" w:rsidTr="00D118A0">
        <w:trPr>
          <w:cantSplit/>
        </w:trPr>
        <w:tc>
          <w:tcPr>
            <w:tcW w:w="2410" w:type="dxa"/>
            <w:tcBorders>
              <w:top w:val="nil"/>
              <w:bottom w:val="nil"/>
            </w:tcBorders>
            <w:shd w:val="clear" w:color="auto" w:fill="F2F2F2" w:themeFill="background1" w:themeFillShade="F2"/>
          </w:tcPr>
          <w:p w:rsidR="00690EB3" w:rsidRPr="00E44CE9" w:rsidRDefault="00690EB3" w:rsidP="00BE5285">
            <w:pPr>
              <w:pStyle w:val="TableText"/>
            </w:pPr>
            <w:r w:rsidRPr="00E44CE9">
              <w:t>Non-Māori males</w:t>
            </w:r>
          </w:p>
        </w:tc>
        <w:tc>
          <w:tcPr>
            <w:tcW w:w="1736"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64.5</w:t>
            </w:r>
          </w:p>
          <w:p w:rsidR="00690EB3" w:rsidRPr="00E44CE9" w:rsidRDefault="00690EB3" w:rsidP="004F3D79">
            <w:pPr>
              <w:pStyle w:val="TableText"/>
              <w:jc w:val="center"/>
            </w:pPr>
            <w:r w:rsidRPr="00E44CE9">
              <w:t>(63.8–65.1)</w:t>
            </w:r>
          </w:p>
        </w:tc>
        <w:tc>
          <w:tcPr>
            <w:tcW w:w="1737"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64.9</w:t>
            </w:r>
          </w:p>
          <w:p w:rsidR="00690EB3" w:rsidRPr="00E44CE9" w:rsidRDefault="00690EB3" w:rsidP="004F3D79">
            <w:pPr>
              <w:pStyle w:val="TableText"/>
              <w:jc w:val="center"/>
            </w:pPr>
            <w:r w:rsidRPr="00E44CE9">
              <w:t>(64.3–65.5)</w:t>
            </w:r>
          </w:p>
        </w:tc>
        <w:tc>
          <w:tcPr>
            <w:tcW w:w="1736"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68.2</w:t>
            </w:r>
          </w:p>
          <w:p w:rsidR="00690EB3" w:rsidRPr="00E44CE9" w:rsidRDefault="00690EB3" w:rsidP="004F3D79">
            <w:pPr>
              <w:pStyle w:val="TableText"/>
              <w:jc w:val="center"/>
            </w:pPr>
            <w:r w:rsidRPr="00E44CE9">
              <w:t>(67.7–68.8)</w:t>
            </w:r>
          </w:p>
        </w:tc>
        <w:tc>
          <w:tcPr>
            <w:tcW w:w="1737"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66.7</w:t>
            </w:r>
          </w:p>
          <w:p w:rsidR="00690EB3" w:rsidRPr="00E44CE9" w:rsidRDefault="00690EB3" w:rsidP="004F3D79">
            <w:pPr>
              <w:pStyle w:val="TableText"/>
              <w:jc w:val="center"/>
            </w:pPr>
            <w:r w:rsidRPr="00E44CE9">
              <w:t>(65.9–67.4)</w:t>
            </w:r>
          </w:p>
        </w:tc>
      </w:tr>
      <w:tr w:rsidR="00690EB3" w:rsidTr="00D118A0">
        <w:trPr>
          <w:cantSplit/>
        </w:trPr>
        <w:tc>
          <w:tcPr>
            <w:tcW w:w="2410" w:type="dxa"/>
            <w:tcBorders>
              <w:top w:val="nil"/>
              <w:bottom w:val="nil"/>
            </w:tcBorders>
          </w:tcPr>
          <w:p w:rsidR="00690EB3" w:rsidRPr="00E44CE9" w:rsidRDefault="00690EB3" w:rsidP="00BE5285">
            <w:pPr>
              <w:pStyle w:val="TableText"/>
            </w:pPr>
          </w:p>
        </w:tc>
        <w:tc>
          <w:tcPr>
            <w:tcW w:w="1736" w:type="dxa"/>
            <w:vMerge/>
            <w:tcBorders>
              <w:bottom w:val="nil"/>
            </w:tcBorders>
          </w:tcPr>
          <w:p w:rsidR="00690EB3" w:rsidRPr="00E44CE9" w:rsidRDefault="00690EB3" w:rsidP="004F3D79">
            <w:pPr>
              <w:pStyle w:val="TableText"/>
              <w:jc w:val="center"/>
            </w:pPr>
          </w:p>
        </w:tc>
        <w:tc>
          <w:tcPr>
            <w:tcW w:w="1737" w:type="dxa"/>
            <w:vMerge/>
            <w:tcBorders>
              <w:bottom w:val="nil"/>
            </w:tcBorders>
          </w:tcPr>
          <w:p w:rsidR="00690EB3" w:rsidRPr="00E44CE9" w:rsidRDefault="00690EB3" w:rsidP="004F3D79">
            <w:pPr>
              <w:pStyle w:val="TableText"/>
              <w:jc w:val="center"/>
            </w:pPr>
          </w:p>
        </w:tc>
        <w:tc>
          <w:tcPr>
            <w:tcW w:w="1736" w:type="dxa"/>
            <w:vMerge/>
            <w:tcBorders>
              <w:bottom w:val="nil"/>
            </w:tcBorders>
          </w:tcPr>
          <w:p w:rsidR="00690EB3" w:rsidRPr="00E44CE9" w:rsidRDefault="00690EB3" w:rsidP="004F3D79">
            <w:pPr>
              <w:pStyle w:val="TableText"/>
              <w:jc w:val="center"/>
            </w:pPr>
          </w:p>
        </w:tc>
        <w:tc>
          <w:tcPr>
            <w:tcW w:w="1737" w:type="dxa"/>
            <w:vMerge/>
            <w:tcBorders>
              <w:bottom w:val="nil"/>
            </w:tcBorders>
          </w:tcPr>
          <w:p w:rsidR="00690EB3" w:rsidRPr="00E44CE9" w:rsidRDefault="00690EB3" w:rsidP="004F3D79">
            <w:pPr>
              <w:pStyle w:val="TableText"/>
              <w:jc w:val="center"/>
            </w:pPr>
          </w:p>
        </w:tc>
      </w:tr>
      <w:tr w:rsidR="00690EB3" w:rsidTr="00D118A0">
        <w:trPr>
          <w:cantSplit/>
        </w:trPr>
        <w:tc>
          <w:tcPr>
            <w:tcW w:w="2410" w:type="dxa"/>
            <w:tcBorders>
              <w:top w:val="nil"/>
              <w:bottom w:val="nil"/>
            </w:tcBorders>
            <w:shd w:val="clear" w:color="auto" w:fill="F2F2F2" w:themeFill="background1" w:themeFillShade="F2"/>
          </w:tcPr>
          <w:p w:rsidR="00690EB3" w:rsidRPr="00E44CE9" w:rsidRDefault="00690EB3" w:rsidP="00BE5285">
            <w:pPr>
              <w:pStyle w:val="TableText"/>
            </w:pPr>
            <w:r w:rsidRPr="00E44CE9">
              <w:t>Non-Māori females</w:t>
            </w:r>
          </w:p>
        </w:tc>
        <w:tc>
          <w:tcPr>
            <w:tcW w:w="1736"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66.9</w:t>
            </w:r>
          </w:p>
          <w:p w:rsidR="00690EB3" w:rsidRPr="00E44CE9" w:rsidRDefault="00690EB3" w:rsidP="004F3D79">
            <w:pPr>
              <w:pStyle w:val="TableText"/>
              <w:jc w:val="center"/>
            </w:pPr>
            <w:r w:rsidRPr="00E44CE9">
              <w:t>(66.2–67.7)</w:t>
            </w:r>
          </w:p>
        </w:tc>
        <w:tc>
          <w:tcPr>
            <w:tcW w:w="1737"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67.9</w:t>
            </w:r>
          </w:p>
          <w:p w:rsidR="00690EB3" w:rsidRPr="00E44CE9" w:rsidRDefault="00690EB3" w:rsidP="004F3D79">
            <w:pPr>
              <w:pStyle w:val="TableText"/>
              <w:jc w:val="center"/>
            </w:pPr>
            <w:r w:rsidRPr="00E44CE9">
              <w:t>(67.3–68.5)</w:t>
            </w:r>
          </w:p>
        </w:tc>
        <w:tc>
          <w:tcPr>
            <w:tcW w:w="1736"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69.8</w:t>
            </w:r>
          </w:p>
          <w:p w:rsidR="00690EB3" w:rsidRPr="00E44CE9" w:rsidRDefault="00690EB3" w:rsidP="004F3D79">
            <w:pPr>
              <w:pStyle w:val="TableText"/>
              <w:jc w:val="center"/>
            </w:pPr>
            <w:r w:rsidRPr="00E44CE9">
              <w:t>(69.2–70.3)</w:t>
            </w:r>
          </w:p>
        </w:tc>
        <w:tc>
          <w:tcPr>
            <w:tcW w:w="1737" w:type="dxa"/>
            <w:vMerge w:val="restart"/>
            <w:tcBorders>
              <w:top w:val="nil"/>
            </w:tcBorders>
            <w:shd w:val="clear" w:color="auto" w:fill="F2F2F2" w:themeFill="background1" w:themeFillShade="F2"/>
          </w:tcPr>
          <w:p w:rsidR="00690EB3" w:rsidRPr="00E44CE9" w:rsidRDefault="00690EB3" w:rsidP="00231F82">
            <w:pPr>
              <w:pStyle w:val="TableText"/>
              <w:jc w:val="center"/>
            </w:pPr>
            <w:r w:rsidRPr="00E44CE9">
              <w:t>67.4</w:t>
            </w:r>
          </w:p>
          <w:p w:rsidR="00690EB3" w:rsidRPr="00E44CE9" w:rsidRDefault="00690EB3" w:rsidP="004F3D79">
            <w:pPr>
              <w:pStyle w:val="TableText"/>
              <w:jc w:val="center"/>
            </w:pPr>
            <w:r w:rsidRPr="00E44CE9">
              <w:t>(66.7–68.2)</w:t>
            </w:r>
          </w:p>
        </w:tc>
      </w:tr>
      <w:tr w:rsidR="00690EB3" w:rsidTr="00D118A0">
        <w:trPr>
          <w:cantSplit/>
        </w:trPr>
        <w:tc>
          <w:tcPr>
            <w:tcW w:w="2410" w:type="dxa"/>
            <w:tcBorders>
              <w:top w:val="nil"/>
            </w:tcBorders>
          </w:tcPr>
          <w:p w:rsidR="00690EB3" w:rsidRPr="00E44CE9" w:rsidRDefault="00690EB3" w:rsidP="00BE5285">
            <w:pPr>
              <w:pStyle w:val="TableText"/>
            </w:pPr>
          </w:p>
        </w:tc>
        <w:tc>
          <w:tcPr>
            <w:tcW w:w="1736" w:type="dxa"/>
            <w:vMerge/>
          </w:tcPr>
          <w:p w:rsidR="00690EB3" w:rsidRPr="00E44CE9" w:rsidRDefault="00690EB3" w:rsidP="004F3D79">
            <w:pPr>
              <w:pStyle w:val="TableText"/>
              <w:jc w:val="center"/>
            </w:pPr>
          </w:p>
        </w:tc>
        <w:tc>
          <w:tcPr>
            <w:tcW w:w="1737" w:type="dxa"/>
            <w:vMerge/>
          </w:tcPr>
          <w:p w:rsidR="00690EB3" w:rsidRPr="00E44CE9" w:rsidRDefault="00690EB3" w:rsidP="004F3D79">
            <w:pPr>
              <w:pStyle w:val="TableText"/>
              <w:jc w:val="center"/>
            </w:pPr>
          </w:p>
        </w:tc>
        <w:tc>
          <w:tcPr>
            <w:tcW w:w="1736" w:type="dxa"/>
            <w:vMerge/>
          </w:tcPr>
          <w:p w:rsidR="00690EB3" w:rsidRPr="00E44CE9" w:rsidRDefault="00690EB3" w:rsidP="004F3D79">
            <w:pPr>
              <w:pStyle w:val="TableText"/>
              <w:jc w:val="center"/>
            </w:pPr>
          </w:p>
        </w:tc>
        <w:tc>
          <w:tcPr>
            <w:tcW w:w="1737" w:type="dxa"/>
            <w:vMerge/>
          </w:tcPr>
          <w:p w:rsidR="00690EB3" w:rsidRPr="00E44CE9" w:rsidRDefault="00690EB3" w:rsidP="004F3D79">
            <w:pPr>
              <w:pStyle w:val="TableText"/>
              <w:jc w:val="center"/>
            </w:pPr>
          </w:p>
        </w:tc>
      </w:tr>
    </w:tbl>
    <w:p w:rsidR="00231F82" w:rsidRPr="008C5765" w:rsidRDefault="00231F82" w:rsidP="00231F82"/>
    <w:p w:rsidR="00010E61" w:rsidRDefault="00010E61" w:rsidP="00010E61">
      <w:pPr>
        <w:pStyle w:val="Table"/>
      </w:pPr>
      <w:bookmarkStart w:id="85" w:name="_Toc424613643"/>
      <w:bookmarkStart w:id="86" w:name="_Toc424755742"/>
      <w:r w:rsidRPr="008C5765">
        <w:t xml:space="preserve">Table </w:t>
      </w:r>
      <w:r w:rsidR="00495773">
        <w:t>7</w:t>
      </w:r>
      <w:r>
        <w:rPr>
          <w:noProof/>
        </w:rPr>
        <w:t>:</w:t>
      </w:r>
      <w:r w:rsidRPr="008C5765">
        <w:t xml:space="preserve"> </w:t>
      </w:r>
      <w:r>
        <w:t>Change in i</w:t>
      </w:r>
      <w:r w:rsidRPr="008C5765">
        <w:t xml:space="preserve">ndependent life expectancy at birth, by ethnicity, </w:t>
      </w:r>
      <w:r>
        <w:t xml:space="preserve">between </w:t>
      </w:r>
      <w:r w:rsidRPr="008C5765">
        <w:t>1996</w:t>
      </w:r>
      <w:r>
        <w:t xml:space="preserve"> and </w:t>
      </w:r>
      <w:r w:rsidRPr="008C5765">
        <w:t>2013</w:t>
      </w:r>
      <w:bookmarkEnd w:id="85"/>
      <w:bookmarkEnd w:id="86"/>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36"/>
        <w:gridCol w:w="1737"/>
        <w:gridCol w:w="1736"/>
        <w:gridCol w:w="1737"/>
      </w:tblGrid>
      <w:tr w:rsidR="00231F82" w:rsidTr="00231F82">
        <w:trPr>
          <w:cantSplit/>
        </w:trPr>
        <w:tc>
          <w:tcPr>
            <w:tcW w:w="2410" w:type="dxa"/>
            <w:vMerge w:val="restart"/>
            <w:tcBorders>
              <w:right w:val="single" w:sz="4" w:space="0" w:color="A6A6A6" w:themeColor="background1" w:themeShade="A6"/>
            </w:tcBorders>
          </w:tcPr>
          <w:p w:rsidR="00231F82" w:rsidRDefault="00231F82" w:rsidP="00231F82">
            <w:pPr>
              <w:pStyle w:val="TableText"/>
              <w:keepNext/>
            </w:pPr>
          </w:p>
        </w:tc>
        <w:tc>
          <w:tcPr>
            <w:tcW w:w="3473"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rsidR="00231F82" w:rsidRPr="00E44CE9" w:rsidRDefault="00231F82" w:rsidP="00231F82">
            <w:pPr>
              <w:pStyle w:val="TableText"/>
              <w:keepNext/>
              <w:jc w:val="center"/>
              <w:rPr>
                <w:b/>
              </w:rPr>
            </w:pPr>
            <w:r w:rsidRPr="00E44CE9">
              <w:rPr>
                <w:b/>
              </w:rPr>
              <w:t>Independent life expectancy in years</w:t>
            </w:r>
          </w:p>
        </w:tc>
        <w:tc>
          <w:tcPr>
            <w:tcW w:w="3473" w:type="dxa"/>
            <w:gridSpan w:val="2"/>
            <w:tcBorders>
              <w:left w:val="single" w:sz="4" w:space="0" w:color="A6A6A6" w:themeColor="background1" w:themeShade="A6"/>
              <w:bottom w:val="single" w:sz="4" w:space="0" w:color="A6A6A6" w:themeColor="background1" w:themeShade="A6"/>
            </w:tcBorders>
          </w:tcPr>
          <w:p w:rsidR="00231F82" w:rsidRPr="00E44CE9" w:rsidRDefault="00231F82" w:rsidP="00231F82">
            <w:pPr>
              <w:pStyle w:val="TableText"/>
              <w:keepNext/>
              <w:jc w:val="center"/>
              <w:rPr>
                <w:b/>
              </w:rPr>
            </w:pPr>
            <w:r w:rsidRPr="00E44CE9">
              <w:rPr>
                <w:b/>
              </w:rPr>
              <w:t>Change</w:t>
            </w:r>
          </w:p>
        </w:tc>
      </w:tr>
      <w:tr w:rsidR="00231F82" w:rsidTr="004F3D79">
        <w:trPr>
          <w:cantSplit/>
        </w:trPr>
        <w:tc>
          <w:tcPr>
            <w:tcW w:w="2410" w:type="dxa"/>
            <w:vMerge/>
            <w:tcBorders>
              <w:bottom w:val="single" w:sz="4" w:space="0" w:color="auto"/>
              <w:right w:val="single" w:sz="4" w:space="0" w:color="A6A6A6" w:themeColor="background1" w:themeShade="A6"/>
            </w:tcBorders>
          </w:tcPr>
          <w:p w:rsidR="00231F82" w:rsidRDefault="00231F82" w:rsidP="00231F82">
            <w:pPr>
              <w:pStyle w:val="TableText"/>
              <w:keepNext/>
            </w:pPr>
          </w:p>
        </w:tc>
        <w:tc>
          <w:tcPr>
            <w:tcW w:w="1736" w:type="dxa"/>
            <w:tcBorders>
              <w:top w:val="single" w:sz="4" w:space="0" w:color="A6A6A6" w:themeColor="background1" w:themeShade="A6"/>
              <w:left w:val="single" w:sz="4" w:space="0" w:color="A6A6A6" w:themeColor="background1" w:themeShade="A6"/>
              <w:bottom w:val="single" w:sz="4" w:space="0" w:color="auto"/>
            </w:tcBorders>
          </w:tcPr>
          <w:p w:rsidR="00231F82" w:rsidRPr="00E44CE9" w:rsidRDefault="00231F82" w:rsidP="00231F82">
            <w:pPr>
              <w:pStyle w:val="TableText"/>
              <w:keepNext/>
              <w:jc w:val="center"/>
              <w:rPr>
                <w:b/>
              </w:rPr>
            </w:pPr>
            <w:r w:rsidRPr="00E44CE9">
              <w:rPr>
                <w:b/>
              </w:rPr>
              <w:t>1996</w:t>
            </w:r>
          </w:p>
        </w:tc>
        <w:tc>
          <w:tcPr>
            <w:tcW w:w="1737" w:type="dxa"/>
            <w:tcBorders>
              <w:top w:val="single" w:sz="4" w:space="0" w:color="A6A6A6" w:themeColor="background1" w:themeShade="A6"/>
              <w:bottom w:val="single" w:sz="4" w:space="0" w:color="auto"/>
              <w:right w:val="single" w:sz="4" w:space="0" w:color="A6A6A6" w:themeColor="background1" w:themeShade="A6"/>
            </w:tcBorders>
          </w:tcPr>
          <w:p w:rsidR="00231F82" w:rsidRPr="00E44CE9" w:rsidRDefault="00231F82" w:rsidP="00231F82">
            <w:pPr>
              <w:pStyle w:val="TableText"/>
              <w:keepNext/>
              <w:jc w:val="center"/>
              <w:rPr>
                <w:b/>
              </w:rPr>
            </w:pPr>
            <w:r w:rsidRPr="00E44CE9">
              <w:rPr>
                <w:b/>
              </w:rPr>
              <w:t>2013</w:t>
            </w:r>
          </w:p>
        </w:tc>
        <w:tc>
          <w:tcPr>
            <w:tcW w:w="1736" w:type="dxa"/>
            <w:tcBorders>
              <w:top w:val="single" w:sz="4" w:space="0" w:color="A6A6A6" w:themeColor="background1" w:themeShade="A6"/>
              <w:left w:val="single" w:sz="4" w:space="0" w:color="A6A6A6" w:themeColor="background1" w:themeShade="A6"/>
              <w:bottom w:val="single" w:sz="4" w:space="0" w:color="auto"/>
            </w:tcBorders>
          </w:tcPr>
          <w:p w:rsidR="00231F82" w:rsidRPr="00E44CE9" w:rsidRDefault="00231F82" w:rsidP="00231F82">
            <w:pPr>
              <w:pStyle w:val="TableText"/>
              <w:keepNext/>
              <w:jc w:val="center"/>
              <w:rPr>
                <w:b/>
              </w:rPr>
            </w:pPr>
            <w:r w:rsidRPr="00E44CE9">
              <w:rPr>
                <w:b/>
              </w:rPr>
              <w:t>Absolute</w:t>
            </w:r>
            <w:r>
              <w:rPr>
                <w:b/>
              </w:rPr>
              <w:t xml:space="preserve"> (years)</w:t>
            </w:r>
          </w:p>
        </w:tc>
        <w:tc>
          <w:tcPr>
            <w:tcW w:w="1737" w:type="dxa"/>
            <w:tcBorders>
              <w:top w:val="single" w:sz="4" w:space="0" w:color="A6A6A6" w:themeColor="background1" w:themeShade="A6"/>
              <w:bottom w:val="single" w:sz="4" w:space="0" w:color="auto"/>
            </w:tcBorders>
          </w:tcPr>
          <w:p w:rsidR="00231F82" w:rsidRPr="00E44CE9" w:rsidRDefault="00231F82" w:rsidP="00231F82">
            <w:pPr>
              <w:pStyle w:val="TableText"/>
              <w:keepNext/>
              <w:jc w:val="center"/>
              <w:rPr>
                <w:b/>
              </w:rPr>
            </w:pPr>
            <w:r w:rsidRPr="00E44CE9">
              <w:rPr>
                <w:b/>
              </w:rPr>
              <w:t>Relative*</w:t>
            </w:r>
            <w:r>
              <w:rPr>
                <w:b/>
              </w:rPr>
              <w:t xml:space="preserve"> (%)</w:t>
            </w:r>
          </w:p>
        </w:tc>
      </w:tr>
      <w:tr w:rsidR="00231F82" w:rsidTr="004F3D79">
        <w:trPr>
          <w:cantSplit/>
        </w:trPr>
        <w:tc>
          <w:tcPr>
            <w:tcW w:w="2410" w:type="dxa"/>
            <w:tcBorders>
              <w:top w:val="single" w:sz="4" w:space="0" w:color="auto"/>
              <w:bottom w:val="nil"/>
              <w:right w:val="single" w:sz="4" w:space="0" w:color="A6A6A6" w:themeColor="background1" w:themeShade="A6"/>
            </w:tcBorders>
            <w:shd w:val="clear" w:color="auto" w:fill="F2F2F2" w:themeFill="background1" w:themeFillShade="F2"/>
          </w:tcPr>
          <w:p w:rsidR="00231F82" w:rsidRPr="00E44CE9" w:rsidRDefault="00231F82" w:rsidP="00231F82">
            <w:pPr>
              <w:pStyle w:val="TableText"/>
              <w:keepNext/>
            </w:pPr>
            <w:r w:rsidRPr="00E44CE9">
              <w:t>Māori males</w:t>
            </w:r>
          </w:p>
        </w:tc>
        <w:tc>
          <w:tcPr>
            <w:tcW w:w="1736" w:type="dxa"/>
            <w:tcBorders>
              <w:top w:val="single" w:sz="4" w:space="0" w:color="auto"/>
              <w:left w:val="single" w:sz="4" w:space="0" w:color="A6A6A6" w:themeColor="background1" w:themeShade="A6"/>
              <w:bottom w:val="nil"/>
            </w:tcBorders>
            <w:shd w:val="clear" w:color="auto" w:fill="F2F2F2" w:themeFill="background1" w:themeFillShade="F2"/>
          </w:tcPr>
          <w:p w:rsidR="00231F82" w:rsidRPr="00E44CE9" w:rsidRDefault="00231F82" w:rsidP="00231F82">
            <w:pPr>
              <w:pStyle w:val="TableText"/>
              <w:keepNext/>
              <w:jc w:val="center"/>
            </w:pPr>
            <w:r w:rsidRPr="00E44CE9">
              <w:t>56</w:t>
            </w:r>
            <w:r>
              <w:t>.0</w:t>
            </w:r>
          </w:p>
        </w:tc>
        <w:tc>
          <w:tcPr>
            <w:tcW w:w="1737" w:type="dxa"/>
            <w:tcBorders>
              <w:top w:val="single" w:sz="4" w:space="0" w:color="auto"/>
              <w:bottom w:val="nil"/>
              <w:right w:val="single" w:sz="4" w:space="0" w:color="A6A6A6" w:themeColor="background1" w:themeShade="A6"/>
            </w:tcBorders>
            <w:shd w:val="clear" w:color="auto" w:fill="F2F2F2" w:themeFill="background1" w:themeFillShade="F2"/>
          </w:tcPr>
          <w:p w:rsidR="00231F82" w:rsidRPr="00E44CE9" w:rsidRDefault="00231F82" w:rsidP="00231F82">
            <w:pPr>
              <w:pStyle w:val="TableText"/>
              <w:keepNext/>
              <w:jc w:val="center"/>
            </w:pPr>
            <w:r w:rsidRPr="00E44CE9">
              <w:t>54.3</w:t>
            </w:r>
          </w:p>
        </w:tc>
        <w:tc>
          <w:tcPr>
            <w:tcW w:w="1736" w:type="dxa"/>
            <w:tcBorders>
              <w:top w:val="single" w:sz="4" w:space="0" w:color="auto"/>
              <w:left w:val="single" w:sz="4" w:space="0" w:color="A6A6A6" w:themeColor="background1" w:themeShade="A6"/>
              <w:bottom w:val="nil"/>
            </w:tcBorders>
            <w:shd w:val="clear" w:color="auto" w:fill="F2F2F2" w:themeFill="background1" w:themeFillShade="F2"/>
          </w:tcPr>
          <w:p w:rsidR="00231F82" w:rsidRPr="00E44CE9" w:rsidRDefault="00231F82" w:rsidP="00231F82">
            <w:pPr>
              <w:pStyle w:val="TableText"/>
              <w:keepNext/>
              <w:tabs>
                <w:tab w:val="decimal" w:pos="803"/>
              </w:tabs>
            </w:pPr>
            <w:r w:rsidRPr="00E44CE9">
              <w:t>–1.7</w:t>
            </w:r>
          </w:p>
        </w:tc>
        <w:tc>
          <w:tcPr>
            <w:tcW w:w="1737" w:type="dxa"/>
            <w:tcBorders>
              <w:top w:val="single" w:sz="4" w:space="0" w:color="auto"/>
              <w:bottom w:val="nil"/>
            </w:tcBorders>
            <w:shd w:val="clear" w:color="auto" w:fill="F2F2F2" w:themeFill="background1" w:themeFillShade="F2"/>
          </w:tcPr>
          <w:p w:rsidR="00231F82" w:rsidRPr="00E44CE9" w:rsidRDefault="00231F82" w:rsidP="00231F82">
            <w:pPr>
              <w:pStyle w:val="TableText"/>
              <w:keepNext/>
              <w:jc w:val="center"/>
            </w:pPr>
            <w:r w:rsidRPr="00E44CE9">
              <w:t>–9.7</w:t>
            </w:r>
          </w:p>
        </w:tc>
      </w:tr>
      <w:tr w:rsidR="00231F82" w:rsidTr="004F3D79">
        <w:trPr>
          <w:cantSplit/>
        </w:trPr>
        <w:tc>
          <w:tcPr>
            <w:tcW w:w="2410" w:type="dxa"/>
            <w:tcBorders>
              <w:top w:val="nil"/>
              <w:bottom w:val="nil"/>
              <w:right w:val="single" w:sz="4" w:space="0" w:color="A6A6A6" w:themeColor="background1" w:themeShade="A6"/>
            </w:tcBorders>
          </w:tcPr>
          <w:p w:rsidR="00231F82" w:rsidRPr="00E44CE9" w:rsidRDefault="00231F82" w:rsidP="00231F82">
            <w:pPr>
              <w:pStyle w:val="TableText"/>
              <w:keepNext/>
            </w:pPr>
            <w:r w:rsidRPr="00E44CE9">
              <w:t>Māori females</w:t>
            </w:r>
          </w:p>
        </w:tc>
        <w:tc>
          <w:tcPr>
            <w:tcW w:w="1736" w:type="dxa"/>
            <w:tcBorders>
              <w:top w:val="nil"/>
              <w:left w:val="single" w:sz="4" w:space="0" w:color="A6A6A6" w:themeColor="background1" w:themeShade="A6"/>
              <w:bottom w:val="nil"/>
            </w:tcBorders>
          </w:tcPr>
          <w:p w:rsidR="00231F82" w:rsidRPr="00E44CE9" w:rsidRDefault="00231F82" w:rsidP="00231F82">
            <w:pPr>
              <w:pStyle w:val="TableText"/>
              <w:keepNext/>
              <w:jc w:val="center"/>
            </w:pPr>
            <w:r w:rsidRPr="00E44CE9">
              <w:t>58.2</w:t>
            </w:r>
          </w:p>
        </w:tc>
        <w:tc>
          <w:tcPr>
            <w:tcW w:w="1737" w:type="dxa"/>
            <w:tcBorders>
              <w:top w:val="nil"/>
              <w:bottom w:val="nil"/>
              <w:right w:val="single" w:sz="4" w:space="0" w:color="A6A6A6" w:themeColor="background1" w:themeShade="A6"/>
            </w:tcBorders>
          </w:tcPr>
          <w:p w:rsidR="00231F82" w:rsidRPr="00E44CE9" w:rsidRDefault="00231F82" w:rsidP="00231F82">
            <w:pPr>
              <w:pStyle w:val="TableText"/>
              <w:keepNext/>
              <w:jc w:val="center"/>
            </w:pPr>
            <w:r w:rsidRPr="00E44CE9">
              <w:t>60.4</w:t>
            </w:r>
          </w:p>
        </w:tc>
        <w:tc>
          <w:tcPr>
            <w:tcW w:w="1736" w:type="dxa"/>
            <w:tcBorders>
              <w:top w:val="nil"/>
              <w:left w:val="single" w:sz="4" w:space="0" w:color="A6A6A6" w:themeColor="background1" w:themeShade="A6"/>
              <w:bottom w:val="nil"/>
            </w:tcBorders>
          </w:tcPr>
          <w:p w:rsidR="00231F82" w:rsidRPr="00E44CE9" w:rsidRDefault="00231F82" w:rsidP="00231F82">
            <w:pPr>
              <w:pStyle w:val="TableText"/>
              <w:keepNext/>
              <w:tabs>
                <w:tab w:val="decimal" w:pos="803"/>
              </w:tabs>
            </w:pPr>
            <w:r w:rsidRPr="00E44CE9">
              <w:t>2.2</w:t>
            </w:r>
          </w:p>
        </w:tc>
        <w:tc>
          <w:tcPr>
            <w:tcW w:w="1737" w:type="dxa"/>
            <w:tcBorders>
              <w:top w:val="nil"/>
              <w:bottom w:val="nil"/>
            </w:tcBorders>
          </w:tcPr>
          <w:p w:rsidR="00231F82" w:rsidRPr="00E44CE9" w:rsidRDefault="00231F82" w:rsidP="00231F82">
            <w:pPr>
              <w:pStyle w:val="TableText"/>
              <w:keepNext/>
              <w:jc w:val="center"/>
            </w:pPr>
            <w:r w:rsidRPr="00E44CE9">
              <w:t>–3.3</w:t>
            </w:r>
          </w:p>
        </w:tc>
      </w:tr>
      <w:tr w:rsidR="00231F82" w:rsidTr="004F3D79">
        <w:trPr>
          <w:cantSplit/>
        </w:trPr>
        <w:tc>
          <w:tcPr>
            <w:tcW w:w="2410" w:type="dxa"/>
            <w:tcBorders>
              <w:top w:val="nil"/>
              <w:bottom w:val="nil"/>
              <w:right w:val="single" w:sz="4" w:space="0" w:color="A6A6A6" w:themeColor="background1" w:themeShade="A6"/>
            </w:tcBorders>
            <w:shd w:val="clear" w:color="auto" w:fill="F2F2F2" w:themeFill="background1" w:themeFillShade="F2"/>
          </w:tcPr>
          <w:p w:rsidR="00231F82" w:rsidRPr="00E44CE9" w:rsidRDefault="00231F82" w:rsidP="00BE5285">
            <w:pPr>
              <w:pStyle w:val="TableText"/>
            </w:pPr>
            <w:r w:rsidRPr="00E44CE9">
              <w:t>Non-Māori males</w:t>
            </w:r>
          </w:p>
        </w:tc>
        <w:tc>
          <w:tcPr>
            <w:tcW w:w="1736" w:type="dxa"/>
            <w:tcBorders>
              <w:top w:val="nil"/>
              <w:left w:val="single" w:sz="4" w:space="0" w:color="A6A6A6" w:themeColor="background1" w:themeShade="A6"/>
              <w:bottom w:val="nil"/>
              <w:right w:val="nil"/>
            </w:tcBorders>
            <w:shd w:val="clear" w:color="auto" w:fill="F2F2F2" w:themeFill="background1" w:themeFillShade="F2"/>
          </w:tcPr>
          <w:p w:rsidR="00231F82" w:rsidRPr="00E44CE9" w:rsidRDefault="00231F82" w:rsidP="00231F82">
            <w:pPr>
              <w:pStyle w:val="TableText"/>
              <w:jc w:val="center"/>
            </w:pPr>
            <w:r w:rsidRPr="00E44CE9">
              <w:t>64.5</w:t>
            </w:r>
          </w:p>
        </w:tc>
        <w:tc>
          <w:tcPr>
            <w:tcW w:w="1737" w:type="dxa"/>
            <w:tcBorders>
              <w:top w:val="nil"/>
              <w:left w:val="nil"/>
              <w:bottom w:val="nil"/>
              <w:right w:val="single" w:sz="4" w:space="0" w:color="A6A6A6" w:themeColor="background1" w:themeShade="A6"/>
            </w:tcBorders>
            <w:shd w:val="clear" w:color="auto" w:fill="F2F2F2" w:themeFill="background1" w:themeFillShade="F2"/>
          </w:tcPr>
          <w:p w:rsidR="00231F82" w:rsidRPr="00E44CE9" w:rsidRDefault="00231F82" w:rsidP="00231F82">
            <w:pPr>
              <w:pStyle w:val="TableText"/>
              <w:jc w:val="center"/>
            </w:pPr>
            <w:r w:rsidRPr="00E44CE9">
              <w:t>66.7</w:t>
            </w:r>
          </w:p>
        </w:tc>
        <w:tc>
          <w:tcPr>
            <w:tcW w:w="1736" w:type="dxa"/>
            <w:tcBorders>
              <w:top w:val="nil"/>
              <w:left w:val="single" w:sz="4" w:space="0" w:color="A6A6A6" w:themeColor="background1" w:themeShade="A6"/>
              <w:bottom w:val="nil"/>
              <w:right w:val="nil"/>
            </w:tcBorders>
            <w:shd w:val="clear" w:color="auto" w:fill="F2F2F2" w:themeFill="background1" w:themeFillShade="F2"/>
          </w:tcPr>
          <w:p w:rsidR="00231F82" w:rsidRPr="00E44CE9" w:rsidRDefault="00231F82" w:rsidP="00231F82">
            <w:pPr>
              <w:pStyle w:val="TableText"/>
              <w:tabs>
                <w:tab w:val="decimal" w:pos="803"/>
              </w:tabs>
            </w:pPr>
            <w:r w:rsidRPr="00E44CE9">
              <w:t>2.2</w:t>
            </w:r>
          </w:p>
        </w:tc>
        <w:tc>
          <w:tcPr>
            <w:tcW w:w="1737" w:type="dxa"/>
            <w:tcBorders>
              <w:top w:val="nil"/>
              <w:left w:val="nil"/>
              <w:bottom w:val="nil"/>
            </w:tcBorders>
            <w:shd w:val="clear" w:color="auto" w:fill="F2F2F2" w:themeFill="background1" w:themeFillShade="F2"/>
          </w:tcPr>
          <w:p w:rsidR="00231F82" w:rsidRPr="00E44CE9" w:rsidRDefault="00231F82" w:rsidP="00231F82">
            <w:pPr>
              <w:pStyle w:val="TableText"/>
              <w:jc w:val="center"/>
            </w:pPr>
            <w:r w:rsidRPr="00E44CE9">
              <w:t>–2.5</w:t>
            </w:r>
          </w:p>
        </w:tc>
      </w:tr>
      <w:tr w:rsidR="00231F82" w:rsidTr="004F3D79">
        <w:trPr>
          <w:cantSplit/>
        </w:trPr>
        <w:tc>
          <w:tcPr>
            <w:tcW w:w="2410" w:type="dxa"/>
            <w:tcBorders>
              <w:top w:val="nil"/>
              <w:right w:val="single" w:sz="4" w:space="0" w:color="A6A6A6" w:themeColor="background1" w:themeShade="A6"/>
            </w:tcBorders>
          </w:tcPr>
          <w:p w:rsidR="00231F82" w:rsidRPr="00E44CE9" w:rsidRDefault="00231F82" w:rsidP="00BE5285">
            <w:pPr>
              <w:pStyle w:val="TableText"/>
            </w:pPr>
            <w:r w:rsidRPr="00E44CE9">
              <w:t>Non-Māori females</w:t>
            </w:r>
          </w:p>
        </w:tc>
        <w:tc>
          <w:tcPr>
            <w:tcW w:w="1736" w:type="dxa"/>
            <w:tcBorders>
              <w:top w:val="nil"/>
              <w:left w:val="single" w:sz="4" w:space="0" w:color="A6A6A6" w:themeColor="background1" w:themeShade="A6"/>
              <w:bottom w:val="single" w:sz="4" w:space="0" w:color="auto"/>
            </w:tcBorders>
          </w:tcPr>
          <w:p w:rsidR="00231F82" w:rsidRPr="00E44CE9" w:rsidRDefault="00231F82" w:rsidP="00231F82">
            <w:pPr>
              <w:pStyle w:val="TableText"/>
              <w:jc w:val="center"/>
            </w:pPr>
            <w:r w:rsidRPr="00E44CE9">
              <w:t>66.9</w:t>
            </w:r>
          </w:p>
        </w:tc>
        <w:tc>
          <w:tcPr>
            <w:tcW w:w="1737" w:type="dxa"/>
            <w:tcBorders>
              <w:top w:val="nil"/>
              <w:bottom w:val="single" w:sz="4" w:space="0" w:color="auto"/>
              <w:right w:val="single" w:sz="4" w:space="0" w:color="A6A6A6" w:themeColor="background1" w:themeShade="A6"/>
            </w:tcBorders>
          </w:tcPr>
          <w:p w:rsidR="00231F82" w:rsidRPr="00E44CE9" w:rsidRDefault="00231F82" w:rsidP="00231F82">
            <w:pPr>
              <w:pStyle w:val="TableText"/>
              <w:jc w:val="center"/>
            </w:pPr>
            <w:r w:rsidRPr="00E44CE9">
              <w:t>67.4</w:t>
            </w:r>
          </w:p>
        </w:tc>
        <w:tc>
          <w:tcPr>
            <w:tcW w:w="1736" w:type="dxa"/>
            <w:tcBorders>
              <w:top w:val="nil"/>
              <w:left w:val="single" w:sz="4" w:space="0" w:color="A6A6A6" w:themeColor="background1" w:themeShade="A6"/>
            </w:tcBorders>
          </w:tcPr>
          <w:p w:rsidR="00231F82" w:rsidRPr="00E44CE9" w:rsidRDefault="00231F82" w:rsidP="00231F82">
            <w:pPr>
              <w:pStyle w:val="TableText"/>
              <w:tabs>
                <w:tab w:val="decimal" w:pos="803"/>
              </w:tabs>
            </w:pPr>
            <w:r w:rsidRPr="00E44CE9">
              <w:t>0.5</w:t>
            </w:r>
          </w:p>
        </w:tc>
        <w:tc>
          <w:tcPr>
            <w:tcW w:w="1737" w:type="dxa"/>
            <w:tcBorders>
              <w:top w:val="nil"/>
            </w:tcBorders>
          </w:tcPr>
          <w:p w:rsidR="00231F82" w:rsidRPr="00E44CE9" w:rsidRDefault="00231F82" w:rsidP="00231F82">
            <w:pPr>
              <w:pStyle w:val="TableText"/>
              <w:jc w:val="center"/>
            </w:pPr>
            <w:r w:rsidRPr="00E44CE9">
              <w:t>–2.7</w:t>
            </w:r>
          </w:p>
        </w:tc>
      </w:tr>
    </w:tbl>
    <w:p w:rsidR="00010E61" w:rsidRPr="008C5765" w:rsidRDefault="00010E61" w:rsidP="00010E61">
      <w:pPr>
        <w:pStyle w:val="Note"/>
        <w:ind w:right="0"/>
      </w:pPr>
      <w:r w:rsidRPr="008C5765">
        <w:t>Note: * Difference in the proportion of years lived independently (ILE/LE*100)</w:t>
      </w:r>
      <w:r>
        <w:t>.</w:t>
      </w:r>
    </w:p>
    <w:p w:rsidR="00010E61" w:rsidRDefault="00010E61" w:rsidP="00010E61"/>
    <w:p w:rsidR="00010E61" w:rsidRDefault="00010E61" w:rsidP="00010E61">
      <w:r>
        <w:t>F</w:t>
      </w:r>
      <w:r w:rsidRPr="008C5765">
        <w:t>or Māori males</w:t>
      </w:r>
      <w:r>
        <w:t>:</w:t>
      </w:r>
    </w:p>
    <w:p w:rsidR="00010E61" w:rsidRDefault="00010E61" w:rsidP="00010E61">
      <w:pPr>
        <w:pStyle w:val="Bullet"/>
      </w:pPr>
      <w:r w:rsidRPr="008C5765">
        <w:t>life expectancy at birth</w:t>
      </w:r>
      <w:r>
        <w:t xml:space="preserve"> </w:t>
      </w:r>
      <w:r w:rsidRPr="008C5765">
        <w:t>increase</w:t>
      </w:r>
      <w:r>
        <w:t>d by 6.4 years</w:t>
      </w:r>
      <w:r w:rsidRPr="008C5765">
        <w:t xml:space="preserve"> from 66.6 years in 1996 to 73.0</w:t>
      </w:r>
      <w:r>
        <w:t xml:space="preserve"> years</w:t>
      </w:r>
      <w:r w:rsidRPr="008C5765">
        <w:t xml:space="preserve"> in 2013</w:t>
      </w:r>
    </w:p>
    <w:p w:rsidR="00010E61" w:rsidRDefault="00010E61" w:rsidP="00010E61">
      <w:pPr>
        <w:pStyle w:val="Bullet"/>
      </w:pPr>
      <w:r w:rsidRPr="008C5765">
        <w:t xml:space="preserve">ILE at birth </w:t>
      </w:r>
      <w:r>
        <w:t>decreased by</w:t>
      </w:r>
      <w:r w:rsidRPr="008C5765">
        <w:t xml:space="preserve"> 1.7 years</w:t>
      </w:r>
      <w:r>
        <w:t xml:space="preserve"> in absolute terms, </w:t>
      </w:r>
      <w:r w:rsidRPr="008C5765">
        <w:t>from 56.0 to 54.3 years (</w:t>
      </w:r>
      <w:r>
        <w:t xml:space="preserve">Table 6 and </w:t>
      </w:r>
      <w:r w:rsidRPr="008C5765">
        <w:t>Figure 1</w:t>
      </w:r>
      <w:r>
        <w:t>1</w:t>
      </w:r>
      <w:r w:rsidRPr="008C5765">
        <w:t>)</w:t>
      </w:r>
    </w:p>
    <w:p w:rsidR="00010E61" w:rsidRDefault="00010E61" w:rsidP="00010E61">
      <w:pPr>
        <w:pStyle w:val="Bullet"/>
      </w:pPr>
      <w:r w:rsidRPr="008C5765">
        <w:t xml:space="preserve">ILE at birth </w:t>
      </w:r>
      <w:r>
        <w:t>also decreased in</w:t>
      </w:r>
      <w:r w:rsidRPr="008C5765">
        <w:t xml:space="preserve"> relative terms</w:t>
      </w:r>
      <w:r>
        <w:t xml:space="preserve"> – </w:t>
      </w:r>
      <w:r w:rsidRPr="008C5765">
        <w:t>Māori males</w:t>
      </w:r>
      <w:r>
        <w:t xml:space="preserve"> born in 1996 could expect to live</w:t>
      </w:r>
      <w:r w:rsidRPr="008C5765">
        <w:t xml:space="preserve"> 84.1%</w:t>
      </w:r>
      <w:r>
        <w:t xml:space="preserve"> of their lives independently, compared with</w:t>
      </w:r>
      <w:r w:rsidRPr="008C5765">
        <w:t xml:space="preserve"> 74.4% of</w:t>
      </w:r>
      <w:r>
        <w:t xml:space="preserve"> </w:t>
      </w:r>
      <w:r w:rsidRPr="008C5765">
        <w:t>Māori males</w:t>
      </w:r>
      <w:r>
        <w:t xml:space="preserve"> born in 2013 (Table 7).</w:t>
      </w:r>
    </w:p>
    <w:p w:rsidR="00010E61" w:rsidRDefault="00010E61" w:rsidP="00010E61"/>
    <w:p w:rsidR="00010E61" w:rsidRPr="008C5765" w:rsidRDefault="00010E61" w:rsidP="00010E61">
      <w:r>
        <w:t>These findings indicate</w:t>
      </w:r>
      <w:r w:rsidRPr="008C5765">
        <w:t xml:space="preserve"> that Māori males</w:t>
      </w:r>
      <w:r>
        <w:t xml:space="preserve"> are living </w:t>
      </w:r>
      <w:r w:rsidRPr="008C5765">
        <w:t>longer but spend</w:t>
      </w:r>
      <w:r>
        <w:t>ing</w:t>
      </w:r>
      <w:r w:rsidRPr="008C5765">
        <w:t xml:space="preserve"> much more </w:t>
      </w:r>
      <w:r>
        <w:t>of their lives</w:t>
      </w:r>
      <w:r w:rsidRPr="008C5765">
        <w:t xml:space="preserve"> in poor health</w:t>
      </w:r>
      <w:r>
        <w:t xml:space="preserve"> than they were in 1996</w:t>
      </w:r>
      <w:r w:rsidRPr="008C5765">
        <w:t>.</w:t>
      </w:r>
    </w:p>
    <w:p w:rsidR="00010E61" w:rsidRPr="008C5765" w:rsidRDefault="00010E61" w:rsidP="00010E61"/>
    <w:p w:rsidR="00DB72F8" w:rsidRDefault="00DB72F8" w:rsidP="00DB72F8">
      <w:pPr>
        <w:pStyle w:val="Figure"/>
      </w:pPr>
      <w:bookmarkStart w:id="87" w:name="_Toc424755753"/>
      <w:r>
        <w:t>Figure 11:</w:t>
      </w:r>
      <w:r w:rsidR="00010E61">
        <w:t xml:space="preserve"> Independent life expectancy at birth, Māori males, 1996–2013</w:t>
      </w:r>
      <w:bookmarkEnd w:id="87"/>
    </w:p>
    <w:p w:rsidR="00DB72F8" w:rsidRDefault="00DB72F8" w:rsidP="00DB72F8">
      <w:r>
        <w:rPr>
          <w:noProof/>
          <w:lang w:eastAsia="en-NZ"/>
        </w:rPr>
        <w:drawing>
          <wp:inline distT="0" distB="0" distL="0" distR="0" wp14:anchorId="0121BEA2" wp14:editId="069B056D">
            <wp:extent cx="4937760" cy="3012963"/>
            <wp:effectExtent l="0" t="0" r="0" b="0"/>
            <wp:docPr id="18" name="Picture 18" title="Figure 11: Independent life expectancy at birth, Māori males, 199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39180" cy="3013830"/>
                    </a:xfrm>
                    <a:prstGeom prst="rect">
                      <a:avLst/>
                    </a:prstGeom>
                    <a:noFill/>
                  </pic:spPr>
                </pic:pic>
              </a:graphicData>
            </a:graphic>
          </wp:inline>
        </w:drawing>
      </w:r>
    </w:p>
    <w:p w:rsidR="00010E61" w:rsidRPr="008C5765" w:rsidRDefault="00010E61" w:rsidP="00010E61">
      <w:pPr>
        <w:pStyle w:val="Note"/>
        <w:ind w:left="0" w:firstLine="0"/>
      </w:pPr>
      <w:r w:rsidRPr="008C5765">
        <w:t xml:space="preserve">Note: ILE = independent life expectancy, LED </w:t>
      </w:r>
      <w:proofErr w:type="spellStart"/>
      <w:r w:rsidRPr="008C5765">
        <w:t>nd</w:t>
      </w:r>
      <w:proofErr w:type="spellEnd"/>
      <w:r w:rsidRPr="008C5765">
        <w:t xml:space="preserve"> = life expectancy with dependency requiring non-daily assistance, LED d = life expectancy with dependency</w:t>
      </w:r>
      <w:r>
        <w:t xml:space="preserve"> requiring daily assistance.</w:t>
      </w:r>
    </w:p>
    <w:p w:rsidR="00010E61" w:rsidRPr="008C5765" w:rsidRDefault="00010E61" w:rsidP="00010E61"/>
    <w:p w:rsidR="00010E61" w:rsidRDefault="00010E61" w:rsidP="00010E61">
      <w:pPr>
        <w:keepNext/>
      </w:pPr>
      <w:r w:rsidRPr="008C5765">
        <w:t>For Māori females</w:t>
      </w:r>
      <w:r>
        <w:t>:</w:t>
      </w:r>
    </w:p>
    <w:p w:rsidR="00010E61" w:rsidRDefault="00010E61" w:rsidP="00010E61">
      <w:pPr>
        <w:pStyle w:val="Bullet"/>
        <w:keepNext/>
      </w:pPr>
      <w:r>
        <w:t>l</w:t>
      </w:r>
      <w:r w:rsidRPr="008C5765">
        <w:t xml:space="preserve">ife expectancy increased </w:t>
      </w:r>
      <w:r>
        <w:t>by</w:t>
      </w:r>
      <w:r w:rsidRPr="008C5765">
        <w:t xml:space="preserve"> 5.8 years</w:t>
      </w:r>
      <w:r>
        <w:t xml:space="preserve">, </w:t>
      </w:r>
      <w:r w:rsidRPr="008C5765">
        <w:t>from 71.3 years in 1996 to 77.1 years in 2013</w:t>
      </w:r>
    </w:p>
    <w:p w:rsidR="00010E61" w:rsidRDefault="00010E61" w:rsidP="00010E61">
      <w:pPr>
        <w:pStyle w:val="Bullet"/>
        <w:keepNext/>
      </w:pPr>
      <w:r w:rsidRPr="008C5765">
        <w:t xml:space="preserve">ILE at birth </w:t>
      </w:r>
      <w:r>
        <w:t>increased by</w:t>
      </w:r>
      <w:r w:rsidRPr="008C5765">
        <w:t xml:space="preserve"> 2.2 years in absolute terms</w:t>
      </w:r>
      <w:r>
        <w:t>,</w:t>
      </w:r>
      <w:r w:rsidRPr="008C5765">
        <w:t xml:space="preserve"> from 58.2 to 60.4 years, </w:t>
      </w:r>
      <w:r>
        <w:t xml:space="preserve">in contrast to the trend for </w:t>
      </w:r>
      <w:r w:rsidRPr="008C5765">
        <w:t xml:space="preserve">Māori males </w:t>
      </w:r>
      <w:r>
        <w:t>(Table 6 and Figure 12)</w:t>
      </w:r>
    </w:p>
    <w:p w:rsidR="00010E61" w:rsidRDefault="00010E61" w:rsidP="00010E61">
      <w:pPr>
        <w:pStyle w:val="Bullet"/>
        <w:keepNext/>
      </w:pPr>
      <w:r w:rsidRPr="008C5765">
        <w:t>ILE at birth</w:t>
      </w:r>
      <w:r w:rsidRPr="008C5765" w:rsidDel="00F02B2D">
        <w:t xml:space="preserve"> </w:t>
      </w:r>
      <w:r w:rsidRPr="008C5765">
        <w:t>decrease</w:t>
      </w:r>
      <w:r>
        <w:t>d</w:t>
      </w:r>
      <w:r w:rsidRPr="008C5765">
        <w:t xml:space="preserve"> </w:t>
      </w:r>
      <w:r>
        <w:t>by</w:t>
      </w:r>
      <w:r w:rsidRPr="008C5765">
        <w:t xml:space="preserve"> 3.3% in relative terms</w:t>
      </w:r>
      <w:r>
        <w:t xml:space="preserve"> (Table 7)</w:t>
      </w:r>
      <w:r w:rsidRPr="008C5765">
        <w:t>.</w:t>
      </w:r>
    </w:p>
    <w:p w:rsidR="00010E61" w:rsidRDefault="00010E61" w:rsidP="00010E61"/>
    <w:p w:rsidR="00010E61" w:rsidRPr="008C5765" w:rsidRDefault="00010E61" w:rsidP="00010E61">
      <w:r w:rsidRPr="008C5765">
        <w:t xml:space="preserve">The </w:t>
      </w:r>
      <w:r>
        <w:t>relative de</w:t>
      </w:r>
      <w:r w:rsidRPr="008C5765">
        <w:t xml:space="preserve">crease in </w:t>
      </w:r>
      <w:r>
        <w:t>the proportion of years spent living independently</w:t>
      </w:r>
      <w:r w:rsidRPr="008C5765">
        <w:t xml:space="preserve"> was associated with</w:t>
      </w:r>
      <w:r>
        <w:t xml:space="preserve"> an increase in the number of years</w:t>
      </w:r>
      <w:r w:rsidRPr="00F02B2D">
        <w:t xml:space="preserve"> </w:t>
      </w:r>
      <w:r w:rsidRPr="008C5765">
        <w:t xml:space="preserve">Māori </w:t>
      </w:r>
      <w:r>
        <w:t>fe</w:t>
      </w:r>
      <w:r w:rsidRPr="008C5765">
        <w:t xml:space="preserve">males </w:t>
      </w:r>
      <w:r>
        <w:t xml:space="preserve">spent with </w:t>
      </w:r>
      <w:r w:rsidRPr="008C5765">
        <w:t>functional</w:t>
      </w:r>
      <w:r>
        <w:t xml:space="preserve"> limitations</w:t>
      </w:r>
      <w:r w:rsidRPr="008C5765">
        <w:t xml:space="preserve"> </w:t>
      </w:r>
      <w:r>
        <w:t>that needed a</w:t>
      </w:r>
      <w:r w:rsidRPr="008C5765">
        <w:t xml:space="preserve"> medium </w:t>
      </w:r>
      <w:r>
        <w:t xml:space="preserve">(non-daily) level of </w:t>
      </w:r>
      <w:r w:rsidRPr="008C5765">
        <w:t>support</w:t>
      </w:r>
      <w:r>
        <w:t>,</w:t>
      </w:r>
      <w:r w:rsidRPr="008C5765">
        <w:t xml:space="preserve"> from 6.9 </w:t>
      </w:r>
      <w:r>
        <w:t xml:space="preserve">years </w:t>
      </w:r>
      <w:r w:rsidRPr="008C5765">
        <w:t xml:space="preserve">in 1996 to 12.0 </w:t>
      </w:r>
      <w:r>
        <w:t xml:space="preserve">years </w:t>
      </w:r>
      <w:r w:rsidRPr="008C5765">
        <w:t>in 2013.</w:t>
      </w:r>
      <w:r>
        <w:t xml:space="preserve"> At the same time, the number of years they spent with functional</w:t>
      </w:r>
      <w:r w:rsidRPr="008C5765">
        <w:t xml:space="preserve"> limitations requiring </w:t>
      </w:r>
      <w:r>
        <w:t>a higher (</w:t>
      </w:r>
      <w:r w:rsidRPr="008C5765">
        <w:t>daily</w:t>
      </w:r>
      <w:r>
        <w:t>) level of support</w:t>
      </w:r>
      <w:r w:rsidRPr="008C5765">
        <w:t xml:space="preserve"> decreased from 6.2</w:t>
      </w:r>
      <w:r>
        <w:t xml:space="preserve"> years</w:t>
      </w:r>
      <w:r w:rsidRPr="008C5765">
        <w:t xml:space="preserve"> in 1996 to 4.7 </w:t>
      </w:r>
      <w:r>
        <w:t xml:space="preserve">years </w:t>
      </w:r>
      <w:r w:rsidRPr="008C5765">
        <w:t>in 2013 (Figure 1</w:t>
      </w:r>
      <w:r>
        <w:t>2</w:t>
      </w:r>
      <w:r w:rsidRPr="008C5765">
        <w:t>)</w:t>
      </w:r>
      <w:r>
        <w:t>.</w:t>
      </w:r>
    </w:p>
    <w:p w:rsidR="00DB72F8" w:rsidRDefault="00DB72F8" w:rsidP="00010E61"/>
    <w:p w:rsidR="00DB72F8" w:rsidRDefault="00DB72F8" w:rsidP="00DB72F8">
      <w:pPr>
        <w:pStyle w:val="Figure"/>
      </w:pPr>
      <w:bookmarkStart w:id="88" w:name="_Toc424755754"/>
      <w:r>
        <w:t>Figure 12:</w:t>
      </w:r>
      <w:r w:rsidR="00010E61">
        <w:t xml:space="preserve"> Independent life expectancy at birth, Māori females, 1996–2013</w:t>
      </w:r>
      <w:bookmarkEnd w:id="88"/>
    </w:p>
    <w:p w:rsidR="00DB72F8" w:rsidRDefault="00DB72F8" w:rsidP="00DB72F8">
      <w:r>
        <w:rPr>
          <w:noProof/>
          <w:lang w:eastAsia="en-NZ"/>
        </w:rPr>
        <w:drawing>
          <wp:inline distT="0" distB="0" distL="0" distR="0" wp14:anchorId="042BDF66" wp14:editId="2225FEE5">
            <wp:extent cx="4912822" cy="2997746"/>
            <wp:effectExtent l="0" t="0" r="0" b="0"/>
            <wp:docPr id="19" name="Picture 19" title="Figure 12: Independent life expectancy at birth, Māori females, 199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14235" cy="2998608"/>
                    </a:xfrm>
                    <a:prstGeom prst="rect">
                      <a:avLst/>
                    </a:prstGeom>
                    <a:noFill/>
                  </pic:spPr>
                </pic:pic>
              </a:graphicData>
            </a:graphic>
          </wp:inline>
        </w:drawing>
      </w:r>
    </w:p>
    <w:p w:rsidR="00010E61" w:rsidRDefault="00010E61" w:rsidP="00010E61">
      <w:pPr>
        <w:pStyle w:val="Note"/>
        <w:ind w:left="0" w:firstLine="0"/>
      </w:pPr>
      <w:r w:rsidRPr="008C5765">
        <w:t xml:space="preserve">Note: ILE = independent life expectancy, LED </w:t>
      </w:r>
      <w:proofErr w:type="spellStart"/>
      <w:r w:rsidRPr="008C5765">
        <w:t>nd</w:t>
      </w:r>
      <w:proofErr w:type="spellEnd"/>
      <w:r w:rsidRPr="008C5765">
        <w:t xml:space="preserve"> = life expectancy with dependency requiring non-daily assistance, LED d = life expectancy with dependency requiring daily assistance</w:t>
      </w:r>
      <w:r>
        <w:t>.</w:t>
      </w:r>
    </w:p>
    <w:p w:rsidR="00010E61" w:rsidRPr="008C5765" w:rsidRDefault="00010E61" w:rsidP="00010E61"/>
    <w:p w:rsidR="00010E61" w:rsidRDefault="00010E61" w:rsidP="00010E61">
      <w:r>
        <w:t>F</w:t>
      </w:r>
      <w:r w:rsidRPr="008C5765">
        <w:t>or non-Māori males</w:t>
      </w:r>
      <w:r>
        <w:t>:</w:t>
      </w:r>
    </w:p>
    <w:p w:rsidR="00010E61" w:rsidRDefault="00010E61" w:rsidP="00010E61">
      <w:pPr>
        <w:pStyle w:val="Bullet"/>
      </w:pPr>
      <w:r>
        <w:t>l</w:t>
      </w:r>
      <w:r w:rsidRPr="008C5765">
        <w:t>ife expectancy at birth increased</w:t>
      </w:r>
      <w:r>
        <w:t xml:space="preserve"> by </w:t>
      </w:r>
      <w:r w:rsidRPr="008C5765">
        <w:t>4.9 years</w:t>
      </w:r>
      <w:r>
        <w:t>,</w:t>
      </w:r>
      <w:r w:rsidRPr="008C5765">
        <w:t xml:space="preserve"> from 75.4 years in 1996 to 80.3 years in 2013</w:t>
      </w:r>
      <w:r>
        <w:t xml:space="preserve"> </w:t>
      </w:r>
      <w:r w:rsidRPr="008C5765">
        <w:t xml:space="preserve">ILE at birth </w:t>
      </w:r>
      <w:r>
        <w:t>increased by</w:t>
      </w:r>
      <w:r w:rsidRPr="008C5765">
        <w:t xml:space="preserve"> 2.2 years in absolute terms</w:t>
      </w:r>
      <w:r>
        <w:t>,</w:t>
      </w:r>
      <w:r w:rsidRPr="008C5765">
        <w:t xml:space="preserve"> from 64.5 to 66.7 years</w:t>
      </w:r>
      <w:r>
        <w:t>, while the</w:t>
      </w:r>
      <w:r w:rsidRPr="00B75EDA">
        <w:t xml:space="preserve"> </w:t>
      </w:r>
      <w:r w:rsidRPr="008C5765">
        <w:t>number of years lived with dependency (functional limitations requiring non-daily and daily assistance) increased from 10.9 years to 13.6 years (</w:t>
      </w:r>
      <w:r>
        <w:t xml:space="preserve">Table 6 and </w:t>
      </w:r>
      <w:r w:rsidRPr="008C5765">
        <w:t>Figure 1</w:t>
      </w:r>
      <w:r>
        <w:t>3</w:t>
      </w:r>
      <w:r w:rsidRPr="008C5765">
        <w:t>)</w:t>
      </w:r>
    </w:p>
    <w:p w:rsidR="00010E61" w:rsidRPr="008C5765" w:rsidRDefault="00010E61" w:rsidP="00010E61">
      <w:pPr>
        <w:pStyle w:val="Bullet"/>
      </w:pPr>
      <w:r w:rsidRPr="008C5765">
        <w:t>ILE at birth decrease</w:t>
      </w:r>
      <w:r>
        <w:t xml:space="preserve">d by </w:t>
      </w:r>
      <w:r w:rsidRPr="008C5765">
        <w:t>2.5% in relative terms</w:t>
      </w:r>
      <w:r>
        <w:t xml:space="preserve">, </w:t>
      </w:r>
      <w:r w:rsidRPr="008C5765">
        <w:t>from 85.5% to 83.0%</w:t>
      </w:r>
      <w:r>
        <w:t xml:space="preserve"> of their lives (Table 7)</w:t>
      </w:r>
      <w:r w:rsidRPr="008C5765">
        <w:t>.</w:t>
      </w:r>
    </w:p>
    <w:p w:rsidR="00010E61" w:rsidRPr="008C5765" w:rsidRDefault="00010E61" w:rsidP="00010E61"/>
    <w:p w:rsidR="00DB72F8" w:rsidRDefault="00DB72F8" w:rsidP="00DB72F8">
      <w:pPr>
        <w:pStyle w:val="Figure"/>
      </w:pPr>
      <w:bookmarkStart w:id="89" w:name="_Toc424755755"/>
      <w:r>
        <w:t>Figure 13:</w:t>
      </w:r>
      <w:r w:rsidR="00010E61">
        <w:t xml:space="preserve"> Independent life expectancy at birth, non-Māori males, 1996–2013</w:t>
      </w:r>
      <w:bookmarkEnd w:id="89"/>
    </w:p>
    <w:p w:rsidR="00DB72F8" w:rsidRDefault="00DB72F8" w:rsidP="00DB72F8">
      <w:r>
        <w:rPr>
          <w:noProof/>
          <w:lang w:eastAsia="en-NZ"/>
        </w:rPr>
        <w:drawing>
          <wp:inline distT="0" distB="0" distL="0" distR="0" wp14:anchorId="26B0672E" wp14:editId="58731295">
            <wp:extent cx="4972475" cy="3034145"/>
            <wp:effectExtent l="0" t="0" r="0" b="0"/>
            <wp:docPr id="20" name="Picture 20" title="Figure 13: Independent life expectancy at birth, non-Māori males, 199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74478" cy="3035367"/>
                    </a:xfrm>
                    <a:prstGeom prst="rect">
                      <a:avLst/>
                    </a:prstGeom>
                    <a:noFill/>
                  </pic:spPr>
                </pic:pic>
              </a:graphicData>
            </a:graphic>
          </wp:inline>
        </w:drawing>
      </w:r>
    </w:p>
    <w:p w:rsidR="00010E61" w:rsidRPr="008C5765" w:rsidRDefault="00010E61" w:rsidP="00010E61">
      <w:pPr>
        <w:pStyle w:val="Note"/>
        <w:ind w:left="0" w:firstLine="0"/>
      </w:pPr>
      <w:r w:rsidRPr="008C5765">
        <w:t xml:space="preserve">Note: ILE = independent life expectancy, LED </w:t>
      </w:r>
      <w:proofErr w:type="spellStart"/>
      <w:r w:rsidRPr="008C5765">
        <w:t>nd</w:t>
      </w:r>
      <w:proofErr w:type="spellEnd"/>
      <w:r w:rsidRPr="008C5765">
        <w:t xml:space="preserve"> = life expectancy with dependency requiring non-daily assistance, LED d = life expectancy with dependency requiring daily assistance</w:t>
      </w:r>
      <w:r>
        <w:t>.</w:t>
      </w:r>
    </w:p>
    <w:p w:rsidR="00010E61" w:rsidRDefault="00010E61" w:rsidP="00010E61"/>
    <w:p w:rsidR="00010E61" w:rsidRDefault="00010E61" w:rsidP="00010E61">
      <w:r>
        <w:t>For n</w:t>
      </w:r>
      <w:r w:rsidRPr="008C5765">
        <w:t>on-Māori females</w:t>
      </w:r>
      <w:r>
        <w:t>,</w:t>
      </w:r>
      <w:r w:rsidRPr="00B75EDA">
        <w:t xml:space="preserve"> </w:t>
      </w:r>
      <w:r>
        <w:t>t</w:t>
      </w:r>
      <w:r w:rsidRPr="008C5765">
        <w:t>rends in life expectancy and ILE at birth are similar to non-Māori males</w:t>
      </w:r>
      <w:r>
        <w:t xml:space="preserve"> but n</w:t>
      </w:r>
      <w:r w:rsidRPr="008C5765">
        <w:t>on-Māori females</w:t>
      </w:r>
      <w:r>
        <w:t xml:space="preserve"> </w:t>
      </w:r>
      <w:r w:rsidRPr="008C5765">
        <w:t>are expected to live longer and have more independent years than non-Māori males.</w:t>
      </w:r>
      <w:r>
        <w:t xml:space="preserve"> Specifically:</w:t>
      </w:r>
    </w:p>
    <w:p w:rsidR="00010E61" w:rsidRDefault="00010E61" w:rsidP="00010E61">
      <w:pPr>
        <w:pStyle w:val="Bullet"/>
      </w:pPr>
      <w:r>
        <w:t>l</w:t>
      </w:r>
      <w:r w:rsidRPr="008C5765">
        <w:t xml:space="preserve">ife expectancy </w:t>
      </w:r>
      <w:r>
        <w:t xml:space="preserve">at birth </w:t>
      </w:r>
      <w:r w:rsidRPr="008C5765">
        <w:t xml:space="preserve">increased </w:t>
      </w:r>
      <w:r>
        <w:t>by</w:t>
      </w:r>
      <w:r w:rsidRPr="008C5765">
        <w:t xml:space="preserve"> 3.3 years</w:t>
      </w:r>
      <w:r>
        <w:t>,</w:t>
      </w:r>
      <w:r w:rsidRPr="008C5765">
        <w:t xml:space="preserve"> from 80.6 to 83.9 years</w:t>
      </w:r>
      <w:r>
        <w:t xml:space="preserve"> </w:t>
      </w:r>
    </w:p>
    <w:p w:rsidR="00010E61" w:rsidRDefault="00010E61" w:rsidP="00010E61">
      <w:pPr>
        <w:pStyle w:val="Bullet"/>
      </w:pPr>
      <w:r w:rsidRPr="008C5765">
        <w:t>ILE</w:t>
      </w:r>
      <w:r>
        <w:t xml:space="preserve"> at birth</w:t>
      </w:r>
      <w:r w:rsidRPr="008C5765">
        <w:t xml:space="preserve"> </w:t>
      </w:r>
      <w:r>
        <w:t xml:space="preserve">increased by only </w:t>
      </w:r>
      <w:r w:rsidRPr="008C5765">
        <w:t xml:space="preserve">0.5 years </w:t>
      </w:r>
      <w:r>
        <w:t xml:space="preserve">in absolute terms, </w:t>
      </w:r>
      <w:r w:rsidRPr="008C5765">
        <w:t>from 66.9 to 67.4 years</w:t>
      </w:r>
      <w:r>
        <w:t xml:space="preserve"> (Table 6 and Figure 14)</w:t>
      </w:r>
    </w:p>
    <w:p w:rsidR="00010E61" w:rsidRDefault="00010E61" w:rsidP="00010E61">
      <w:pPr>
        <w:pStyle w:val="Bullet"/>
      </w:pPr>
      <w:r w:rsidRPr="008C5765">
        <w:t>ILE</w:t>
      </w:r>
      <w:r>
        <w:t xml:space="preserve"> at birth</w:t>
      </w:r>
      <w:r w:rsidRPr="008C5765">
        <w:t xml:space="preserve"> decreased </w:t>
      </w:r>
      <w:r>
        <w:t xml:space="preserve">by 2.7% </w:t>
      </w:r>
      <w:r w:rsidRPr="008C5765">
        <w:t>in relative terms</w:t>
      </w:r>
      <w:r>
        <w:t>,</w:t>
      </w:r>
      <w:r w:rsidRPr="008C5765">
        <w:t xml:space="preserve"> from 83.1% </w:t>
      </w:r>
      <w:r>
        <w:t xml:space="preserve">of their lives </w:t>
      </w:r>
      <w:r w:rsidRPr="008C5765">
        <w:t>in 1996 to 80.4% in 2013</w:t>
      </w:r>
      <w:r>
        <w:t xml:space="preserve"> (Table 7)</w:t>
      </w:r>
      <w:r w:rsidRPr="008C5765">
        <w:t>.</w:t>
      </w:r>
    </w:p>
    <w:p w:rsidR="00010E61" w:rsidRDefault="00010E61" w:rsidP="00010E61"/>
    <w:p w:rsidR="00010E61" w:rsidRPr="008C5765" w:rsidRDefault="00010E61" w:rsidP="00010E61">
      <w:r>
        <w:t>The relative decrease in the number of years lived independently was mainly associated with an</w:t>
      </w:r>
      <w:r w:rsidRPr="008C5765">
        <w:t xml:space="preserve"> increase in </w:t>
      </w:r>
      <w:r>
        <w:t xml:space="preserve">the number of </w:t>
      </w:r>
      <w:r w:rsidRPr="008C5765">
        <w:t xml:space="preserve">years lived with functional limitations requiring </w:t>
      </w:r>
      <w:r>
        <w:t>a medium (</w:t>
      </w:r>
      <w:r w:rsidRPr="008C5765">
        <w:t>non-daily</w:t>
      </w:r>
      <w:r>
        <w:t>) level of</w:t>
      </w:r>
      <w:r w:rsidRPr="008C5765">
        <w:t xml:space="preserve"> assistance (Figure 1</w:t>
      </w:r>
      <w:r>
        <w:t>4</w:t>
      </w:r>
      <w:r w:rsidRPr="008C5765">
        <w:t>).</w:t>
      </w:r>
    </w:p>
    <w:p w:rsidR="00DB72F8" w:rsidRDefault="00DB72F8" w:rsidP="00010E61"/>
    <w:p w:rsidR="00DB72F8" w:rsidRDefault="00DB72F8" w:rsidP="00DB72F8">
      <w:pPr>
        <w:pStyle w:val="Figure"/>
      </w:pPr>
      <w:bookmarkStart w:id="90" w:name="_Toc424755756"/>
      <w:r>
        <w:t>Figure 14:</w:t>
      </w:r>
      <w:r w:rsidR="00010E61">
        <w:t xml:space="preserve"> Independent life expectancy at birth, non-Māori females, 1996–2013</w:t>
      </w:r>
      <w:bookmarkEnd w:id="90"/>
    </w:p>
    <w:p w:rsidR="00DB72F8" w:rsidRDefault="00DB72F8" w:rsidP="00DB72F8">
      <w:r>
        <w:rPr>
          <w:noProof/>
          <w:lang w:eastAsia="en-NZ"/>
        </w:rPr>
        <w:drawing>
          <wp:inline distT="0" distB="0" distL="0" distR="0" wp14:anchorId="19D78618" wp14:editId="7C40110B">
            <wp:extent cx="4912821" cy="2997745"/>
            <wp:effectExtent l="0" t="0" r="0" b="0"/>
            <wp:docPr id="21" name="Picture 21" title="Figure 14: Independent life expectancy at birth, non-Māori females, 199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31046" cy="3008866"/>
                    </a:xfrm>
                    <a:prstGeom prst="rect">
                      <a:avLst/>
                    </a:prstGeom>
                    <a:noFill/>
                  </pic:spPr>
                </pic:pic>
              </a:graphicData>
            </a:graphic>
          </wp:inline>
        </w:drawing>
      </w:r>
    </w:p>
    <w:p w:rsidR="00010E61" w:rsidRPr="008C5765" w:rsidRDefault="00010E61" w:rsidP="00010E61">
      <w:pPr>
        <w:pStyle w:val="Note"/>
        <w:ind w:left="0" w:firstLine="0"/>
      </w:pPr>
      <w:r w:rsidRPr="008C5765">
        <w:t xml:space="preserve">Note: ILE = independent life expectancy, LED </w:t>
      </w:r>
      <w:proofErr w:type="spellStart"/>
      <w:r w:rsidRPr="008C5765">
        <w:t>nd</w:t>
      </w:r>
      <w:proofErr w:type="spellEnd"/>
      <w:r w:rsidRPr="008C5765">
        <w:t xml:space="preserve"> = life expectancy with dependency requiring non-daily assistance, LED d = life expectancy with dependency requiring daily assistance</w:t>
      </w:r>
      <w:r>
        <w:t>.</w:t>
      </w:r>
    </w:p>
    <w:p w:rsidR="00010E61" w:rsidRDefault="00010E61" w:rsidP="00010E61"/>
    <w:p w:rsidR="00010E61" w:rsidRDefault="00010E61" w:rsidP="00010E61">
      <w:pPr>
        <w:pStyle w:val="Heading2"/>
      </w:pPr>
      <w:bookmarkStart w:id="91" w:name="_Toc424645295"/>
      <w:bookmarkStart w:id="92" w:name="_Toc424834185"/>
      <w:r>
        <w:t>Analysis across gender and ethnic groups</w:t>
      </w:r>
      <w:bookmarkEnd w:id="91"/>
      <w:bookmarkEnd w:id="92"/>
    </w:p>
    <w:p w:rsidR="00010E61" w:rsidRPr="008C5765" w:rsidRDefault="00010E61" w:rsidP="00010E61">
      <w:r w:rsidRPr="008C5765">
        <w:t>Between 1996 and 2013, independent life expectancy increased</w:t>
      </w:r>
      <w:r>
        <w:t xml:space="preserve"> in an absolute sense</w:t>
      </w:r>
      <w:r w:rsidRPr="008C5765">
        <w:t xml:space="preserve"> for all groups apart from Māori males</w:t>
      </w:r>
      <w:r>
        <w:t>.</w:t>
      </w:r>
      <w:r w:rsidRPr="008C5765">
        <w:t xml:space="preserve"> </w:t>
      </w:r>
      <w:r>
        <w:t>I</w:t>
      </w:r>
      <w:r w:rsidRPr="008C5765">
        <w:t>n relative terms</w:t>
      </w:r>
      <w:r>
        <w:t>, however, all groups experienced a decrease: that is,</w:t>
      </w:r>
      <w:r w:rsidRPr="008C5765">
        <w:t xml:space="preserve"> the proportion of years </w:t>
      </w:r>
      <w:r>
        <w:t xml:space="preserve">they </w:t>
      </w:r>
      <w:r w:rsidRPr="008C5765">
        <w:t>lived independently</w:t>
      </w:r>
      <w:r>
        <w:t xml:space="preserve"> relative to their life expectancy was lower than it was for their counterparts in 1996</w:t>
      </w:r>
      <w:r w:rsidRPr="008C5765">
        <w:t xml:space="preserve">. </w:t>
      </w:r>
      <w:r>
        <w:t>These findings</w:t>
      </w:r>
      <w:r w:rsidRPr="008C5765">
        <w:t xml:space="preserve"> indicate that people </w:t>
      </w:r>
      <w:r>
        <w:t xml:space="preserve">are </w:t>
      </w:r>
      <w:r w:rsidRPr="008C5765">
        <w:t>liv</w:t>
      </w:r>
      <w:r>
        <w:t>ing</w:t>
      </w:r>
      <w:r w:rsidRPr="008C5765">
        <w:t xml:space="preserve"> longer, but spend more time in dependent health states</w:t>
      </w:r>
      <w:r>
        <w:t>.</w:t>
      </w:r>
      <w:r w:rsidRPr="008C5765">
        <w:t xml:space="preserve"> </w:t>
      </w:r>
      <w:r>
        <w:t>T</w:t>
      </w:r>
      <w:r w:rsidRPr="000E7C2D">
        <w:t>he ageing populatio</w:t>
      </w:r>
      <w:r w:rsidRPr="008C5765">
        <w:t>n</w:t>
      </w:r>
      <w:r>
        <w:t xml:space="preserve"> structure is likely to influence this finding: with a higher proportion of older people in the population, the proportion of people with functional limitations is likely to be correspondingly higher.</w:t>
      </w:r>
    </w:p>
    <w:p w:rsidR="00010E61" w:rsidRPr="008C5765" w:rsidRDefault="00010E61" w:rsidP="00010E61"/>
    <w:p w:rsidR="00010E61" w:rsidRPr="008C5765" w:rsidRDefault="00010E61" w:rsidP="00010E61">
      <w:r w:rsidRPr="008C5765">
        <w:t>When dependency is used as the threshold to monitor trends</w:t>
      </w:r>
      <w:r>
        <w:t>, as in this report,</w:t>
      </w:r>
      <w:r w:rsidRPr="008C5765">
        <w:t xml:space="preserve"> ILE </w:t>
      </w:r>
      <w:r>
        <w:t>may relate</w:t>
      </w:r>
      <w:r w:rsidRPr="008C5765">
        <w:t xml:space="preserve"> to increasing </w:t>
      </w:r>
      <w:r>
        <w:t>life expectancy in any of the following ways.</w:t>
      </w:r>
    </w:p>
    <w:p w:rsidR="00010E61" w:rsidRPr="008C5765" w:rsidRDefault="00010E61" w:rsidP="00010E61">
      <w:pPr>
        <w:pStyle w:val="Bullet"/>
      </w:pPr>
      <w:r w:rsidRPr="00F560AC">
        <w:rPr>
          <w:b/>
        </w:rPr>
        <w:t>Compression of morbidity:</w:t>
      </w:r>
      <w:r w:rsidRPr="008C5765">
        <w:t xml:space="preserve"> ILE is increasing more quickly than </w:t>
      </w:r>
      <w:r>
        <w:t>life expectancy</w:t>
      </w:r>
      <w:r w:rsidRPr="008C5765">
        <w:t xml:space="preserve"> and the proportion of life spent in </w:t>
      </w:r>
      <w:r>
        <w:t>‘</w:t>
      </w:r>
      <w:r w:rsidRPr="008C5765">
        <w:t>good</w:t>
      </w:r>
      <w:r>
        <w:t>’</w:t>
      </w:r>
      <w:r w:rsidRPr="008C5765">
        <w:t xml:space="preserve"> health </w:t>
      </w:r>
      <w:r>
        <w:t>is increasing.</w:t>
      </w:r>
    </w:p>
    <w:p w:rsidR="00010E61" w:rsidRPr="008C5765" w:rsidRDefault="00010E61" w:rsidP="00010E61">
      <w:pPr>
        <w:pStyle w:val="Bullet"/>
      </w:pPr>
      <w:r w:rsidRPr="00F560AC">
        <w:rPr>
          <w:b/>
        </w:rPr>
        <w:t>Expansion of morbidity:</w:t>
      </w:r>
      <w:r w:rsidRPr="008C5765">
        <w:t xml:space="preserve"> ILE is not keeping pace with </w:t>
      </w:r>
      <w:r>
        <w:t>life expectancy</w:t>
      </w:r>
      <w:r w:rsidRPr="008C5765">
        <w:t xml:space="preserve"> and the proportion of life spent in </w:t>
      </w:r>
      <w:r>
        <w:t>‘</w:t>
      </w:r>
      <w:r w:rsidRPr="008C5765">
        <w:t>good</w:t>
      </w:r>
      <w:r>
        <w:t>’</w:t>
      </w:r>
      <w:r w:rsidRPr="008C5765">
        <w:t xml:space="preserve"> health </w:t>
      </w:r>
      <w:r>
        <w:t>is decreasing.</w:t>
      </w:r>
    </w:p>
    <w:p w:rsidR="00010E61" w:rsidRPr="008C5765" w:rsidRDefault="00010E61" w:rsidP="00010E61">
      <w:pPr>
        <w:pStyle w:val="Bullet"/>
      </w:pPr>
      <w:r w:rsidRPr="00F560AC">
        <w:rPr>
          <w:b/>
        </w:rPr>
        <w:t xml:space="preserve">Dynamic equilibrium: </w:t>
      </w:r>
      <w:r w:rsidRPr="008C5765">
        <w:t xml:space="preserve">Both the proportion of life spent in </w:t>
      </w:r>
      <w:r>
        <w:t>‘</w:t>
      </w:r>
      <w:r w:rsidRPr="008C5765">
        <w:t>good</w:t>
      </w:r>
      <w:r>
        <w:t>’</w:t>
      </w:r>
      <w:r w:rsidRPr="008C5765">
        <w:t xml:space="preserve"> health and the required support level are decreasing.</w:t>
      </w:r>
    </w:p>
    <w:p w:rsidR="00010E61" w:rsidRDefault="00010E61" w:rsidP="00010E61"/>
    <w:p w:rsidR="00010E61" w:rsidRDefault="00010E61" w:rsidP="00010E61">
      <w:proofErr w:type="gramStart"/>
      <w:r w:rsidRPr="008C5765">
        <w:t>As life expectancy</w:t>
      </w:r>
      <w:r>
        <w:t xml:space="preserve"> increased faster than ILE between 1996 and 2013</w:t>
      </w:r>
      <w:r w:rsidRPr="008C5765">
        <w:t>, the proportion of years lived independently decreased for all groups</w:t>
      </w:r>
      <w:r>
        <w:t>, indicating that morbidity is expanding in relative terms</w:t>
      </w:r>
      <w:r w:rsidRPr="008C5765">
        <w:t>.</w:t>
      </w:r>
      <w:proofErr w:type="gramEnd"/>
    </w:p>
    <w:p w:rsidR="00010E61" w:rsidRPr="008C5765" w:rsidRDefault="00010E61" w:rsidP="00010E61"/>
    <w:p w:rsidR="00010E61" w:rsidRPr="008C5765" w:rsidRDefault="00010E61" w:rsidP="00010E61">
      <w:pPr>
        <w:keepLines/>
        <w:rPr>
          <w:lang w:eastAsia="en-NZ"/>
        </w:rPr>
      </w:pPr>
      <w:r>
        <w:t>Data by ethnicity generally follow this trend.</w:t>
      </w:r>
      <w:r w:rsidRPr="00587F31">
        <w:t xml:space="preserve"> </w:t>
      </w:r>
      <w:r>
        <w:t xml:space="preserve">From 1996 to 2013, </w:t>
      </w:r>
      <w:r w:rsidRPr="008C5765">
        <w:t>ILE</w:t>
      </w:r>
      <w:r>
        <w:t xml:space="preserve"> at birth</w:t>
      </w:r>
      <w:r w:rsidRPr="008C5765">
        <w:t xml:space="preserve"> for Māori females increased in absolute</w:t>
      </w:r>
      <w:r>
        <w:t xml:space="preserve"> terms</w:t>
      </w:r>
      <w:r w:rsidRPr="008C5765">
        <w:t xml:space="preserve"> and decreased in relative terms</w:t>
      </w:r>
      <w:r>
        <w:t xml:space="preserve">; in addition, the number of </w:t>
      </w:r>
      <w:r w:rsidRPr="008C5765">
        <w:t xml:space="preserve">Māori females with functional limitations </w:t>
      </w:r>
      <w:r>
        <w:t xml:space="preserve">requiring a medium level of support increased while the number requiring a high level of </w:t>
      </w:r>
      <w:r w:rsidRPr="008C5765">
        <w:t>support</w:t>
      </w:r>
      <w:r>
        <w:t xml:space="preserve"> decreased</w:t>
      </w:r>
      <w:r w:rsidRPr="008C5765">
        <w:t xml:space="preserve">. </w:t>
      </w:r>
      <w:r>
        <w:t xml:space="preserve">Likewise, </w:t>
      </w:r>
      <w:r w:rsidRPr="008C5765">
        <w:t xml:space="preserve">ILE for non-Māori males and females increased in absolute terms, but decreased in relative terms. </w:t>
      </w:r>
      <w:r>
        <w:t>These trends indicate</w:t>
      </w:r>
      <w:r w:rsidRPr="008C5765">
        <w:t xml:space="preserve"> morbidity</w:t>
      </w:r>
      <w:r>
        <w:t xml:space="preserve"> is expanding</w:t>
      </w:r>
      <w:r w:rsidRPr="008C5765">
        <w:t xml:space="preserve"> in relative terms</w:t>
      </w:r>
      <w:r>
        <w:t xml:space="preserve"> for </w:t>
      </w:r>
      <w:r w:rsidRPr="008C5765">
        <w:t xml:space="preserve">Māori females </w:t>
      </w:r>
      <w:r>
        <w:t>and for non-</w:t>
      </w:r>
      <w:r w:rsidRPr="008C5765">
        <w:t>Māori. Māori males</w:t>
      </w:r>
      <w:r>
        <w:t>, however,</w:t>
      </w:r>
      <w:r w:rsidRPr="008C5765">
        <w:t xml:space="preserve"> experienced a decrease in ILE in both absolute and relative terms</w:t>
      </w:r>
      <w:r>
        <w:t>, indicating an</w:t>
      </w:r>
      <w:r w:rsidRPr="008C5765">
        <w:t xml:space="preserve"> absolute expansion of dependent health states (morbidity).</w:t>
      </w:r>
    </w:p>
    <w:p w:rsidR="00010E61" w:rsidRPr="008C5765" w:rsidRDefault="00010E61" w:rsidP="00010E61"/>
    <w:p w:rsidR="00010E61" w:rsidRPr="008C5765" w:rsidRDefault="00010E61" w:rsidP="00010E61">
      <w:r w:rsidRPr="008C5765">
        <w:t xml:space="preserve">In terms of gender, the </w:t>
      </w:r>
      <w:r>
        <w:t>differences</w:t>
      </w:r>
      <w:r w:rsidRPr="008C5765">
        <w:t xml:space="preserve"> in </w:t>
      </w:r>
      <w:r>
        <w:t>life expectancy</w:t>
      </w:r>
      <w:r w:rsidRPr="008C5765">
        <w:t xml:space="preserve"> and ILE </w:t>
      </w:r>
      <w:r>
        <w:t xml:space="preserve">for males and females </w:t>
      </w:r>
      <w:r w:rsidRPr="008C5765">
        <w:t xml:space="preserve">generally narrowed from 1996 to 2013. The estimated gain in ILE during that period was 1.4 years for </w:t>
      </w:r>
      <w:r>
        <w:t xml:space="preserve">New Zealand </w:t>
      </w:r>
      <w:r w:rsidRPr="008C5765">
        <w:t>males</w:t>
      </w:r>
      <w:r>
        <w:t xml:space="preserve"> overall</w:t>
      </w:r>
      <w:r w:rsidRPr="008C5765">
        <w:t xml:space="preserve"> and only 0.1 years for</w:t>
      </w:r>
      <w:r>
        <w:t xml:space="preserve"> New Zealand</w:t>
      </w:r>
      <w:r w:rsidRPr="008C5765">
        <w:t xml:space="preserve"> females. This suggests that most of the rise in life expectancy for women was due to increased number of years lived with dependency. The only exception is a widened gap in ILE between Māori females and males</w:t>
      </w:r>
      <w:r>
        <w:t>:</w:t>
      </w:r>
      <w:r w:rsidRPr="00481F6F">
        <w:t xml:space="preserve"> </w:t>
      </w:r>
      <w:r w:rsidRPr="008C5765">
        <w:t>Māori females</w:t>
      </w:r>
      <w:r>
        <w:t xml:space="preserve"> born in 1996 could expect to live independently for 2.2 years more than males (ILE </w:t>
      </w:r>
      <w:r w:rsidRPr="008C5765">
        <w:t>58.2</w:t>
      </w:r>
      <w:r>
        <w:t xml:space="preserve"> and </w:t>
      </w:r>
      <w:r w:rsidRPr="008C5765">
        <w:t xml:space="preserve">56.0 years </w:t>
      </w:r>
      <w:r>
        <w:t>respectively)</w:t>
      </w:r>
      <w:r w:rsidRPr="008C5765">
        <w:t>,</w:t>
      </w:r>
      <w:r>
        <w:t xml:space="preserve"> whereas those born in 2013 could expect to live</w:t>
      </w:r>
      <w:r w:rsidRPr="008C5765">
        <w:t xml:space="preserve"> </w:t>
      </w:r>
      <w:r>
        <w:t xml:space="preserve">independently for 6.1 years longer (ILE </w:t>
      </w:r>
      <w:r w:rsidRPr="008C5765">
        <w:t>60.4</w:t>
      </w:r>
      <w:r>
        <w:t xml:space="preserve"> and </w:t>
      </w:r>
      <w:r w:rsidRPr="008C5765">
        <w:t>54.3 years</w:t>
      </w:r>
      <w:r>
        <w:t xml:space="preserve"> respectively).</w:t>
      </w:r>
    </w:p>
    <w:p w:rsidR="00010E61" w:rsidRDefault="00010E61" w:rsidP="00010E61"/>
    <w:p w:rsidR="00010E61" w:rsidRDefault="00010E61" w:rsidP="00010E61">
      <w:pPr>
        <w:pStyle w:val="Heading2"/>
      </w:pPr>
      <w:bookmarkStart w:id="93" w:name="_Toc423840687"/>
      <w:bookmarkStart w:id="94" w:name="_Toc424645296"/>
      <w:bookmarkStart w:id="95" w:name="_Toc424834186"/>
      <w:r>
        <w:t>Limits to data reliability and comparability</w:t>
      </w:r>
      <w:bookmarkEnd w:id="93"/>
      <w:bookmarkEnd w:id="94"/>
      <w:bookmarkEnd w:id="95"/>
    </w:p>
    <w:p w:rsidR="00010E61" w:rsidRDefault="00010E61" w:rsidP="00010E61">
      <w:pPr>
        <w:rPr>
          <w:lang w:eastAsia="en-NZ"/>
        </w:rPr>
      </w:pPr>
      <w:r>
        <w:rPr>
          <w:lang w:eastAsia="en-NZ"/>
        </w:rPr>
        <w:t>When comparing</w:t>
      </w:r>
      <w:r w:rsidRPr="008C5765">
        <w:rPr>
          <w:lang w:eastAsia="en-NZ"/>
        </w:rPr>
        <w:t xml:space="preserve"> data</w:t>
      </w:r>
      <w:r>
        <w:rPr>
          <w:lang w:eastAsia="en-NZ"/>
        </w:rPr>
        <w:t xml:space="preserve"> over time and interpreting</w:t>
      </w:r>
      <w:r w:rsidRPr="008C5765">
        <w:rPr>
          <w:lang w:eastAsia="en-NZ"/>
        </w:rPr>
        <w:t xml:space="preserve"> trends</w:t>
      </w:r>
      <w:r>
        <w:rPr>
          <w:lang w:eastAsia="en-NZ"/>
        </w:rPr>
        <w:t>,</w:t>
      </w:r>
      <w:r w:rsidRPr="008C5765">
        <w:rPr>
          <w:lang w:eastAsia="en-NZ"/>
        </w:rPr>
        <w:t xml:space="preserve"> caution</w:t>
      </w:r>
      <w:r>
        <w:rPr>
          <w:lang w:eastAsia="en-NZ"/>
        </w:rPr>
        <w:t xml:space="preserve"> is necessary</w:t>
      </w:r>
      <w:r w:rsidRPr="00F46C3F">
        <w:t xml:space="preserve"> </w:t>
      </w:r>
      <w:r>
        <w:t>as h</w:t>
      </w:r>
      <w:r w:rsidRPr="008C5765">
        <w:t>ealth measures may change over time even when health does not</w:t>
      </w:r>
      <w:r w:rsidRPr="008C5765">
        <w:rPr>
          <w:lang w:eastAsia="en-NZ"/>
        </w:rPr>
        <w:t xml:space="preserve">. </w:t>
      </w:r>
      <w:r>
        <w:t>The following are</w:t>
      </w:r>
      <w:r w:rsidRPr="008C5765">
        <w:t xml:space="preserve"> potential issues </w:t>
      </w:r>
      <w:r>
        <w:t xml:space="preserve">that </w:t>
      </w:r>
      <w:r w:rsidRPr="008C5765">
        <w:t>should be considered when explaining the trends in ILE</w:t>
      </w:r>
      <w:r>
        <w:t xml:space="preserve"> reported above</w:t>
      </w:r>
      <w:r w:rsidRPr="008C5765">
        <w:t>.</w:t>
      </w:r>
    </w:p>
    <w:p w:rsidR="00010E61" w:rsidRDefault="00010E61" w:rsidP="00010E61">
      <w:pPr>
        <w:rPr>
          <w:lang w:eastAsia="en-NZ"/>
        </w:rPr>
      </w:pPr>
    </w:p>
    <w:p w:rsidR="00010E61" w:rsidRDefault="00010E61" w:rsidP="00010E61">
      <w:r w:rsidRPr="008C5765">
        <w:t>The health expectancy estimates for 1996, 2001, 2006 and 2013 should be comparable</w:t>
      </w:r>
      <w:r>
        <w:t xml:space="preserve"> because all the surveys on which they are based</w:t>
      </w:r>
      <w:r w:rsidRPr="008C5765">
        <w:t xml:space="preserve"> use</w:t>
      </w:r>
      <w:r>
        <w:t>d the</w:t>
      </w:r>
      <w:r w:rsidRPr="008C5765">
        <w:t xml:space="preserve"> same methods. However, </w:t>
      </w:r>
      <w:r>
        <w:t xml:space="preserve">the </w:t>
      </w:r>
      <w:r w:rsidRPr="008C5765">
        <w:t>survey design</w:t>
      </w:r>
      <w:r>
        <w:t xml:space="preserve"> did vary</w:t>
      </w:r>
      <w:r w:rsidRPr="008C5765">
        <w:t xml:space="preserve"> over time. In particular, the findings of the 2006 Disability Survey </w:t>
      </w:r>
      <w:r>
        <w:t>may be</w:t>
      </w:r>
      <w:r w:rsidRPr="008C5765">
        <w:t xml:space="preserve"> </w:t>
      </w:r>
      <w:r>
        <w:t xml:space="preserve">less </w:t>
      </w:r>
      <w:r w:rsidRPr="008C5765">
        <w:t>comparab</w:t>
      </w:r>
      <w:r>
        <w:t>le</w:t>
      </w:r>
      <w:r w:rsidRPr="008C5765">
        <w:t xml:space="preserve"> </w:t>
      </w:r>
      <w:r>
        <w:t xml:space="preserve">and </w:t>
      </w:r>
      <w:r w:rsidRPr="008C5765">
        <w:t>should be interpreted cautiously. Changes in life table methodology and statistical model used to estimate death rates may also</w:t>
      </w:r>
      <w:r>
        <w:t xml:space="preserve"> have contributed to</w:t>
      </w:r>
      <w:r w:rsidRPr="008C5765">
        <w:t xml:space="preserve"> observed differences </w:t>
      </w:r>
      <w:r>
        <w:t>between groups</w:t>
      </w:r>
      <w:r w:rsidRPr="008C5765">
        <w:t xml:space="preserve"> between 2006 and 2013 (Statistics N</w:t>
      </w:r>
      <w:r>
        <w:t>Z</w:t>
      </w:r>
      <w:r w:rsidRPr="008C5765">
        <w:t xml:space="preserve"> 2015b). </w:t>
      </w:r>
    </w:p>
    <w:p w:rsidR="00010E61" w:rsidRPr="008C5765" w:rsidRDefault="00010E61" w:rsidP="00010E61"/>
    <w:p w:rsidR="00010E61" w:rsidRPr="008C5765" w:rsidRDefault="00010E61" w:rsidP="00010E61">
      <w:r>
        <w:rPr>
          <w:lang w:eastAsia="en-NZ"/>
        </w:rPr>
        <w:t>Because the</w:t>
      </w:r>
      <w:r w:rsidRPr="008C5765">
        <w:rPr>
          <w:lang w:eastAsia="en-NZ"/>
        </w:rPr>
        <w:t xml:space="preserve"> disability rate reported in the 2006 Disability Survey</w:t>
      </w:r>
      <w:r>
        <w:rPr>
          <w:lang w:eastAsia="en-NZ"/>
        </w:rPr>
        <w:t xml:space="preserve"> (17%)</w:t>
      </w:r>
      <w:r w:rsidRPr="008C5765">
        <w:rPr>
          <w:lang w:eastAsia="en-NZ"/>
        </w:rPr>
        <w:t xml:space="preserve"> </w:t>
      </w:r>
      <w:r>
        <w:rPr>
          <w:lang w:eastAsia="en-NZ"/>
        </w:rPr>
        <w:t>was</w:t>
      </w:r>
      <w:r w:rsidRPr="008C5765">
        <w:rPr>
          <w:lang w:eastAsia="en-NZ"/>
        </w:rPr>
        <w:t xml:space="preserve"> lower</w:t>
      </w:r>
      <w:r>
        <w:rPr>
          <w:lang w:eastAsia="en-NZ"/>
        </w:rPr>
        <w:t xml:space="preserve"> than in the other surveys</w:t>
      </w:r>
      <w:r w:rsidRPr="008C5765">
        <w:rPr>
          <w:lang w:eastAsia="en-NZ"/>
        </w:rPr>
        <w:t xml:space="preserve"> (20% in 1996 and 2001</w:t>
      </w:r>
      <w:r>
        <w:rPr>
          <w:lang w:eastAsia="en-NZ"/>
        </w:rPr>
        <w:t>;</w:t>
      </w:r>
      <w:r w:rsidRPr="008C5765">
        <w:rPr>
          <w:lang w:eastAsia="en-NZ"/>
        </w:rPr>
        <w:t xml:space="preserve"> 24% in 2013)</w:t>
      </w:r>
      <w:r>
        <w:rPr>
          <w:lang w:eastAsia="en-NZ"/>
        </w:rPr>
        <w:t>,</w:t>
      </w:r>
      <w:r w:rsidRPr="008C5765">
        <w:rPr>
          <w:lang w:eastAsia="en-NZ"/>
        </w:rPr>
        <w:t xml:space="preserve"> ILE estimates</w:t>
      </w:r>
      <w:r>
        <w:rPr>
          <w:lang w:eastAsia="en-NZ"/>
        </w:rPr>
        <w:t xml:space="preserve"> for 2006</w:t>
      </w:r>
      <w:r w:rsidRPr="008C5765">
        <w:rPr>
          <w:lang w:eastAsia="en-NZ"/>
        </w:rPr>
        <w:t xml:space="preserve"> are</w:t>
      </w:r>
      <w:r>
        <w:rPr>
          <w:lang w:eastAsia="en-NZ"/>
        </w:rPr>
        <w:t xml:space="preserve"> correspondingly</w:t>
      </w:r>
      <w:r w:rsidRPr="008C5765">
        <w:rPr>
          <w:lang w:eastAsia="en-NZ"/>
        </w:rPr>
        <w:t xml:space="preserve"> higher. A combination of statistical and non-statistical factors </w:t>
      </w:r>
      <w:r>
        <w:rPr>
          <w:lang w:eastAsia="en-NZ"/>
        </w:rPr>
        <w:t>may</w:t>
      </w:r>
      <w:r w:rsidRPr="008C5765">
        <w:rPr>
          <w:lang w:eastAsia="en-NZ"/>
        </w:rPr>
        <w:t xml:space="preserve"> explain the apparent difference. </w:t>
      </w:r>
      <w:r>
        <w:rPr>
          <w:lang w:eastAsia="en-NZ"/>
        </w:rPr>
        <w:t>First, the lower</w:t>
      </w:r>
      <w:r w:rsidRPr="008C5765">
        <w:rPr>
          <w:lang w:eastAsia="en-NZ"/>
        </w:rPr>
        <w:t xml:space="preserve"> disability rate in 2006 was observed primarily in adult household</w:t>
      </w:r>
      <w:r>
        <w:rPr>
          <w:lang w:eastAsia="en-NZ"/>
        </w:rPr>
        <w:t>s</w:t>
      </w:r>
      <w:r w:rsidRPr="008C5765">
        <w:rPr>
          <w:lang w:eastAsia="en-NZ"/>
        </w:rPr>
        <w:t xml:space="preserve"> with low support need</w:t>
      </w:r>
      <w:r>
        <w:rPr>
          <w:lang w:eastAsia="en-NZ"/>
        </w:rPr>
        <w:t>s</w:t>
      </w:r>
      <w:r w:rsidRPr="008C5765">
        <w:rPr>
          <w:lang w:eastAsia="en-NZ"/>
        </w:rPr>
        <w:t xml:space="preserve">, rather than </w:t>
      </w:r>
      <w:r>
        <w:rPr>
          <w:lang w:eastAsia="en-NZ"/>
        </w:rPr>
        <w:t xml:space="preserve">in </w:t>
      </w:r>
      <w:r w:rsidRPr="008C5765">
        <w:rPr>
          <w:lang w:eastAsia="en-NZ"/>
        </w:rPr>
        <w:t>those with medium or high support needs</w:t>
      </w:r>
      <w:r>
        <w:rPr>
          <w:lang w:eastAsia="en-NZ"/>
        </w:rPr>
        <w:t>, so could have been influenced by</w:t>
      </w:r>
      <w:r w:rsidRPr="008C5765">
        <w:rPr>
          <w:lang w:eastAsia="en-NZ"/>
        </w:rPr>
        <w:t xml:space="preserve"> minor variations between questionnaires and changes in people’s perception of whether they are limited by a condition. </w:t>
      </w:r>
      <w:r>
        <w:rPr>
          <w:lang w:eastAsia="en-NZ"/>
        </w:rPr>
        <w:t>Another contributing reason may be an</w:t>
      </w:r>
      <w:r w:rsidRPr="008C5765">
        <w:rPr>
          <w:lang w:eastAsia="en-NZ"/>
        </w:rPr>
        <w:t xml:space="preserve"> increase in proxy interviews, where a person in the household provides information on behalf of the selected respondent</w:t>
      </w:r>
      <w:r>
        <w:rPr>
          <w:lang w:eastAsia="en-NZ"/>
        </w:rPr>
        <w:t>, and this person</w:t>
      </w:r>
      <w:r w:rsidRPr="008C5765">
        <w:rPr>
          <w:lang w:eastAsia="en-NZ"/>
        </w:rPr>
        <w:t xml:space="preserve"> may underestimate or overestimate the level of disability (Statistics N</w:t>
      </w:r>
      <w:r>
        <w:rPr>
          <w:lang w:eastAsia="en-NZ"/>
        </w:rPr>
        <w:t>Z</w:t>
      </w:r>
      <w:r w:rsidRPr="008C5765">
        <w:rPr>
          <w:lang w:eastAsia="en-NZ"/>
        </w:rPr>
        <w:t xml:space="preserve"> 2007).</w:t>
      </w:r>
      <w:r>
        <w:t xml:space="preserve"> Moreover, b</w:t>
      </w:r>
      <w:r w:rsidRPr="008C5765">
        <w:t>etween 2006 and 2013, the criteria had to be re-examined</w:t>
      </w:r>
      <w:r>
        <w:t xml:space="preserve"> due to changes to the questionnaire </w:t>
      </w:r>
      <w:r w:rsidRPr="008C5765">
        <w:t xml:space="preserve">and a </w:t>
      </w:r>
      <w:r>
        <w:t>‘</w:t>
      </w:r>
      <w:r w:rsidRPr="008C5765">
        <w:t>best-match</w:t>
      </w:r>
      <w:r>
        <w:t>’</w:t>
      </w:r>
      <w:r w:rsidRPr="008C5765">
        <w:t xml:space="preserve"> </w:t>
      </w:r>
      <w:r>
        <w:t xml:space="preserve">was </w:t>
      </w:r>
      <w:r w:rsidRPr="008C5765">
        <w:t>created</w:t>
      </w:r>
      <w:r>
        <w:t xml:space="preserve"> so that</w:t>
      </w:r>
      <w:r w:rsidRPr="008C5765">
        <w:t xml:space="preserve"> the independent population</w:t>
      </w:r>
      <w:r>
        <w:t xml:space="preserve"> could be identified consistently over time</w:t>
      </w:r>
      <w:r w:rsidRPr="008C5765">
        <w:t>.</w:t>
      </w:r>
    </w:p>
    <w:p w:rsidR="00010E61" w:rsidRPr="008C5765" w:rsidRDefault="00010E61" w:rsidP="00010E61"/>
    <w:p w:rsidR="00010E61" w:rsidRDefault="00010E61" w:rsidP="00010E61">
      <w:r>
        <w:t>Another potential issue is that a</w:t>
      </w:r>
      <w:r w:rsidRPr="008C5765">
        <w:t xml:space="preserve">n individual’s perceptions </w:t>
      </w:r>
      <w:r>
        <w:t xml:space="preserve">of their </w:t>
      </w:r>
      <w:r w:rsidRPr="008C5765">
        <w:t>health may change whil</w:t>
      </w:r>
      <w:r>
        <w:t>e their</w:t>
      </w:r>
      <w:r w:rsidRPr="008C5765">
        <w:t xml:space="preserve"> health remains the same. Improving the social and physical environment</w:t>
      </w:r>
      <w:r>
        <w:t xml:space="preserve"> so that it is more inclusive and accessible</w:t>
      </w:r>
      <w:r w:rsidRPr="008C5765">
        <w:t xml:space="preserve"> can help disabled people to be more active and report less disability. </w:t>
      </w:r>
      <w:r>
        <w:t>Conversely, if</w:t>
      </w:r>
      <w:r w:rsidRPr="008C5765">
        <w:t xml:space="preserve"> the </w:t>
      </w:r>
      <w:r>
        <w:t xml:space="preserve">overall health of the </w:t>
      </w:r>
      <w:r w:rsidRPr="008C5765">
        <w:t>population improves, people may be less likely to tolerate their health problems and report them more systematically. A change in the situation of disabled people may also influence how they feel rather than</w:t>
      </w:r>
      <w:r>
        <w:t xml:space="preserve"> changing</w:t>
      </w:r>
      <w:r w:rsidRPr="008C5765">
        <w:t xml:space="preserve"> how they are (EHEMU 2007).</w:t>
      </w:r>
    </w:p>
    <w:p w:rsidR="00010E61" w:rsidRDefault="00010E61" w:rsidP="00010E61"/>
    <w:p w:rsidR="00010E61" w:rsidRDefault="00010E61" w:rsidP="00010E61">
      <w:bookmarkStart w:id="96" w:name="_Toc423840688"/>
      <w:bookmarkStart w:id="97" w:name="_Toc424645297"/>
      <w:r>
        <w:br w:type="page"/>
      </w:r>
    </w:p>
    <w:p w:rsidR="00010E61" w:rsidRPr="00ED0956" w:rsidRDefault="00010E61" w:rsidP="00010E61">
      <w:pPr>
        <w:pStyle w:val="Heading1"/>
      </w:pPr>
      <w:bookmarkStart w:id="98" w:name="_Toc424834187"/>
      <w:r w:rsidRPr="00ED0956">
        <w:t>How well does ILE perform as an indicator?</w:t>
      </w:r>
      <w:bookmarkEnd w:id="96"/>
      <w:bookmarkEnd w:id="97"/>
      <w:bookmarkEnd w:id="98"/>
    </w:p>
    <w:p w:rsidR="00010E61" w:rsidRPr="00ED0956" w:rsidRDefault="00010E61" w:rsidP="00010E61">
      <w:r w:rsidRPr="00ED0956">
        <w:t xml:space="preserve">This section </w:t>
      </w:r>
      <w:r>
        <w:t>turns from</w:t>
      </w:r>
      <w:r w:rsidRPr="00ED0956">
        <w:t xml:space="preserve"> the findings </w:t>
      </w:r>
      <w:r>
        <w:t>on ILE in New Zealand</w:t>
      </w:r>
      <w:r w:rsidRPr="00ED0956">
        <w:t xml:space="preserve"> to </w:t>
      </w:r>
      <w:r>
        <w:t>focus on</w:t>
      </w:r>
      <w:r w:rsidRPr="00ED0956">
        <w:t xml:space="preserve"> how well ILE itself performs as an indicator of population health and, consequently, </w:t>
      </w:r>
      <w:r>
        <w:t xml:space="preserve">as an indicator </w:t>
      </w:r>
      <w:r w:rsidRPr="00ED0956">
        <w:t xml:space="preserve">of </w:t>
      </w:r>
      <w:r>
        <w:t>the effectiveness of</w:t>
      </w:r>
      <w:r w:rsidRPr="00ED0956">
        <w:t xml:space="preserve"> </w:t>
      </w:r>
      <w:r>
        <w:t>the</w:t>
      </w:r>
      <w:r w:rsidRPr="00ED0956">
        <w:t xml:space="preserve"> national health system.</w:t>
      </w:r>
    </w:p>
    <w:p w:rsidR="00010E61" w:rsidRPr="008C5765" w:rsidRDefault="00010E61" w:rsidP="00010E61"/>
    <w:p w:rsidR="00010E61" w:rsidRPr="008C5765" w:rsidRDefault="00010E61" w:rsidP="00010E61">
      <w:pPr>
        <w:pStyle w:val="Heading2"/>
      </w:pPr>
      <w:bookmarkStart w:id="99" w:name="_Toc423840689"/>
      <w:bookmarkStart w:id="100" w:name="_Toc424645298"/>
      <w:bookmarkStart w:id="101" w:name="_Toc424834188"/>
      <w:r w:rsidRPr="008C5765">
        <w:t>Strengths</w:t>
      </w:r>
      <w:bookmarkEnd w:id="99"/>
      <w:bookmarkEnd w:id="100"/>
      <w:bookmarkEnd w:id="101"/>
    </w:p>
    <w:p w:rsidR="00010E61" w:rsidRPr="008C5765" w:rsidRDefault="00010E61" w:rsidP="00010E61">
      <w:r w:rsidRPr="008C5765">
        <w:t>Measur</w:t>
      </w:r>
      <w:r>
        <w:t>ing</w:t>
      </w:r>
      <w:r w:rsidRPr="008C5765">
        <w:t xml:space="preserve"> and monitoring population health is an essential </w:t>
      </w:r>
      <w:r>
        <w:t xml:space="preserve">part </w:t>
      </w:r>
      <w:r w:rsidRPr="008C5765">
        <w:t>of</w:t>
      </w:r>
      <w:r>
        <w:t xml:space="preserve"> assessing the performance of a</w:t>
      </w:r>
      <w:r w:rsidRPr="008C5765">
        <w:t xml:space="preserve"> national health system</w:t>
      </w:r>
      <w:r>
        <w:t>.</w:t>
      </w:r>
      <w:r w:rsidRPr="008C5765">
        <w:t xml:space="preserve"> </w:t>
      </w:r>
      <w:r>
        <w:t>H</w:t>
      </w:r>
      <w:r w:rsidRPr="008C5765">
        <w:t>ealth expectancy is perhaps better suited to this task than any other available measure (WHO 2000).</w:t>
      </w:r>
      <w:r w:rsidRPr="008C5765" w:rsidDel="00C37665">
        <w:t xml:space="preserve"> </w:t>
      </w:r>
      <w:r>
        <w:t>A</w:t>
      </w:r>
      <w:r w:rsidRPr="008C5765">
        <w:t xml:space="preserve">s a single indicator to inform policy (Ministry of Health </w:t>
      </w:r>
      <w:r>
        <w:t xml:space="preserve">and Statistics NZ </w:t>
      </w:r>
      <w:r w:rsidRPr="008C5765">
        <w:t>2009)</w:t>
      </w:r>
      <w:r>
        <w:t>,</w:t>
      </w:r>
      <w:r w:rsidRPr="004D5E55">
        <w:t xml:space="preserve"> </w:t>
      </w:r>
      <w:r w:rsidRPr="008C5765">
        <w:t xml:space="preserve">ILE </w:t>
      </w:r>
      <w:r>
        <w:t xml:space="preserve">offers the following </w:t>
      </w:r>
      <w:r w:rsidRPr="008C5765">
        <w:t>advantages</w:t>
      </w:r>
      <w:r>
        <w:t>.</w:t>
      </w:r>
    </w:p>
    <w:p w:rsidR="00010E61" w:rsidRDefault="00010E61" w:rsidP="00010E61">
      <w:pPr>
        <w:pStyle w:val="Bullet"/>
      </w:pPr>
      <w:r>
        <w:t>It is directly comparable with life expectancy.</w:t>
      </w:r>
    </w:p>
    <w:p w:rsidR="00010E61" w:rsidRPr="004E303A" w:rsidRDefault="00010E61" w:rsidP="00010E61">
      <w:pPr>
        <w:pStyle w:val="Bullet"/>
      </w:pPr>
      <w:r>
        <w:t>It is comparable across populations.</w:t>
      </w:r>
    </w:p>
    <w:p w:rsidR="00010E61" w:rsidRPr="008C5765" w:rsidRDefault="00010E61" w:rsidP="00010E61">
      <w:pPr>
        <w:pStyle w:val="Bullet"/>
      </w:pPr>
      <w:r w:rsidRPr="008C5765">
        <w:t xml:space="preserve">It </w:t>
      </w:r>
      <w:r>
        <w:t xml:space="preserve">can be calculated without needing to allocate values to different types of </w:t>
      </w:r>
      <w:r w:rsidRPr="008C5765">
        <w:t>non-fatal health states.</w:t>
      </w:r>
    </w:p>
    <w:p w:rsidR="00010E61" w:rsidRPr="008C5765" w:rsidRDefault="00010E61" w:rsidP="00010E61">
      <w:pPr>
        <w:pStyle w:val="Bullet"/>
      </w:pPr>
      <w:r w:rsidRPr="008C5765">
        <w:t xml:space="preserve">The functional limitation threshold used </w:t>
      </w:r>
      <w:r>
        <w:t>to define</w:t>
      </w:r>
      <w:r w:rsidRPr="008C5765">
        <w:t xml:space="preserve"> ILE is meaningful in a policy sense</w:t>
      </w:r>
      <w:r>
        <w:t xml:space="preserve"> </w:t>
      </w:r>
      <w:r w:rsidRPr="00FC4CFC">
        <w:t xml:space="preserve">in that the health system needs to plan for those </w:t>
      </w:r>
      <w:r>
        <w:t>people with functional limitations</w:t>
      </w:r>
      <w:r w:rsidRPr="00FC4CFC">
        <w:t xml:space="preserve"> who need </w:t>
      </w:r>
      <w:r>
        <w:t>assistance.</w:t>
      </w:r>
    </w:p>
    <w:p w:rsidR="00010E61" w:rsidRPr="008C5765" w:rsidRDefault="00010E61" w:rsidP="00010E61">
      <w:pPr>
        <w:pStyle w:val="Bullet"/>
      </w:pPr>
      <w:r w:rsidRPr="008C5765">
        <w:t xml:space="preserve">The </w:t>
      </w:r>
      <w:r>
        <w:t xml:space="preserve">approach produces figures that are readily interpreted, in the form of difference between life expectancy and </w:t>
      </w:r>
      <w:r w:rsidRPr="008C5765">
        <w:t xml:space="preserve">ILE </w:t>
      </w:r>
      <w:r>
        <w:t>and the proportion of years of ILE relative to overall life expectancy</w:t>
      </w:r>
      <w:r w:rsidRPr="008C5765">
        <w:t>.</w:t>
      </w:r>
    </w:p>
    <w:p w:rsidR="00010E61" w:rsidRPr="008C5765" w:rsidRDefault="00010E61" w:rsidP="00010E61"/>
    <w:p w:rsidR="00010E61" w:rsidRPr="008C5765" w:rsidRDefault="00010E61" w:rsidP="00010E61">
      <w:r>
        <w:t xml:space="preserve">Moreover, </w:t>
      </w:r>
      <w:r w:rsidRPr="008C5765">
        <w:t xml:space="preserve">New Zealand </w:t>
      </w:r>
      <w:r>
        <w:t>already has the</w:t>
      </w:r>
      <w:r w:rsidRPr="008C5765">
        <w:t xml:space="preserve"> information infrastructure </w:t>
      </w:r>
      <w:r>
        <w:t xml:space="preserve">it needs </w:t>
      </w:r>
      <w:r w:rsidRPr="008C5765">
        <w:t>to measure and monitor health expectancy. Statistics NZ provide</w:t>
      </w:r>
      <w:r>
        <w:t>s</w:t>
      </w:r>
      <w:r w:rsidRPr="008C5765">
        <w:t xml:space="preserve"> high</w:t>
      </w:r>
      <w:r>
        <w:t>-</w:t>
      </w:r>
      <w:r w:rsidRPr="008C5765">
        <w:t>quality vital statistics based on a five-yearly population census and full registration of deaths</w:t>
      </w:r>
      <w:r>
        <w:t>. In addition, it gathers</w:t>
      </w:r>
      <w:r w:rsidRPr="008C5765">
        <w:t xml:space="preserve"> data from a post-</w:t>
      </w:r>
      <w:proofErr w:type="spellStart"/>
      <w:r w:rsidRPr="008C5765">
        <w:t>censal</w:t>
      </w:r>
      <w:proofErr w:type="spellEnd"/>
      <w:r w:rsidRPr="008C5765">
        <w:t xml:space="preserve"> disability survey covering people of all ages living in both private dwellings and in residential institutions.</w:t>
      </w:r>
    </w:p>
    <w:p w:rsidR="00010E61" w:rsidRPr="008C5765" w:rsidRDefault="00010E61" w:rsidP="00010E61"/>
    <w:p w:rsidR="00010E61" w:rsidRPr="00976872" w:rsidRDefault="00010E61" w:rsidP="00010E61">
      <w:pPr>
        <w:pStyle w:val="Heading2"/>
      </w:pPr>
      <w:bookmarkStart w:id="102" w:name="_Toc423840690"/>
      <w:bookmarkStart w:id="103" w:name="_Toc424645299"/>
      <w:bookmarkStart w:id="104" w:name="_Toc424834189"/>
      <w:r w:rsidRPr="00976872">
        <w:t>Limitations</w:t>
      </w:r>
      <w:bookmarkEnd w:id="102"/>
      <w:bookmarkEnd w:id="103"/>
      <w:bookmarkEnd w:id="104"/>
    </w:p>
    <w:p w:rsidR="00010E61" w:rsidRPr="008C5765" w:rsidRDefault="00010E61" w:rsidP="00010E61">
      <w:r w:rsidRPr="008C5765">
        <w:t xml:space="preserve">The major limitation of ILE is that it </w:t>
      </w:r>
      <w:r>
        <w:t>places</w:t>
      </w:r>
      <w:r w:rsidRPr="008C5765">
        <w:t xml:space="preserve"> an arbitrary threshold on disability. </w:t>
      </w:r>
      <w:r>
        <w:t>It overlooks a</w:t>
      </w:r>
      <w:r w:rsidRPr="008C5765">
        <w:t xml:space="preserve">ll disability </w:t>
      </w:r>
      <w:r>
        <w:t>that does not meet</w:t>
      </w:r>
      <w:r w:rsidRPr="008C5765">
        <w:t xml:space="preserve"> the threshold </w:t>
      </w:r>
      <w:r>
        <w:t>of a functional limitation requiring some level of assistance. Likewise, it treats</w:t>
      </w:r>
      <w:r w:rsidRPr="008C5765">
        <w:t xml:space="preserve"> all disability above the threshold </w:t>
      </w:r>
      <w:r>
        <w:t xml:space="preserve">as </w:t>
      </w:r>
      <w:r w:rsidRPr="008C5765">
        <w:t>the same.</w:t>
      </w:r>
    </w:p>
    <w:p w:rsidR="00010E61" w:rsidRPr="008C5765" w:rsidRDefault="00010E61" w:rsidP="00010E61"/>
    <w:p w:rsidR="00010E61" w:rsidRDefault="00010E61" w:rsidP="00010E61">
      <w:r w:rsidRPr="008C5765">
        <w:t>Furthermore,</w:t>
      </w:r>
      <w:r>
        <w:t xml:space="preserve"> the i</w:t>
      </w:r>
      <w:r w:rsidRPr="008C5765">
        <w:t xml:space="preserve">nformation on functional limitation </w:t>
      </w:r>
      <w:r>
        <w:t>used in this report</w:t>
      </w:r>
      <w:r w:rsidRPr="008C5765">
        <w:t xml:space="preserve"> </w:t>
      </w:r>
      <w:r>
        <w:t xml:space="preserve">came from respondents’ </w:t>
      </w:r>
      <w:r w:rsidRPr="008C5765">
        <w:t>self-reports</w:t>
      </w:r>
      <w:r>
        <w:t xml:space="preserve">, which can be influenced by </w:t>
      </w:r>
      <w:r w:rsidRPr="008C5765">
        <w:t xml:space="preserve">norms and expectations </w:t>
      </w:r>
      <w:r>
        <w:t xml:space="preserve">that differ </w:t>
      </w:r>
      <w:r w:rsidRPr="008C5765">
        <w:t xml:space="preserve">between cultural groups and over time. </w:t>
      </w:r>
      <w:r>
        <w:t>The greatest difficulty lies in getting accurate self-report data</w:t>
      </w:r>
      <w:r w:rsidRPr="008C5765">
        <w:t xml:space="preserve"> for people with lower support needs,</w:t>
      </w:r>
      <w:r>
        <w:t xml:space="preserve"> as individuals may differ in their perception of whether they need or do</w:t>
      </w:r>
      <w:r w:rsidRPr="008C5765">
        <w:t xml:space="preserve"> not need assistance</w:t>
      </w:r>
      <w:r w:rsidRPr="00AD5C46">
        <w:t xml:space="preserve"> </w:t>
      </w:r>
      <w:r>
        <w:t>with their functional</w:t>
      </w:r>
      <w:r w:rsidRPr="008C5765">
        <w:t xml:space="preserve"> limitation.</w:t>
      </w:r>
    </w:p>
    <w:p w:rsidR="00010E61" w:rsidRDefault="00010E61" w:rsidP="00010E61"/>
    <w:p w:rsidR="00010E61" w:rsidRPr="008C5765" w:rsidRDefault="00010E61" w:rsidP="00010E61">
      <w:pPr>
        <w:pStyle w:val="Heading3"/>
      </w:pPr>
      <w:r>
        <w:t>Caution with estimates based on period life tables</w:t>
      </w:r>
    </w:p>
    <w:p w:rsidR="00010E61" w:rsidRPr="0038435B" w:rsidRDefault="00010E61" w:rsidP="00010E61">
      <w:pPr>
        <w:keepLines/>
      </w:pPr>
      <w:r w:rsidRPr="00976872">
        <w:t xml:space="preserve">Independent life expectancy </w:t>
      </w:r>
      <w:r w:rsidRPr="00862A4C">
        <w:t xml:space="preserve">reflects population health status during </w:t>
      </w:r>
      <w:r w:rsidRPr="00AC17C8">
        <w:t xml:space="preserve">a specific period. </w:t>
      </w:r>
      <w:r w:rsidRPr="005F24FB">
        <w:t xml:space="preserve">It is calculated with </w:t>
      </w:r>
      <w:r w:rsidRPr="0038435B">
        <w:t>reference to period life tables, which are based on the mortality experience for a three-year period. Because mortality rates tend to change over time, the ILE estimates that are based on them should be interpreted with caution.</w:t>
      </w:r>
    </w:p>
    <w:p w:rsidR="00010E61" w:rsidRPr="0038435B" w:rsidRDefault="00010E61" w:rsidP="00010E61"/>
    <w:p w:rsidR="00010E61" w:rsidRPr="0038435B" w:rsidRDefault="00010E61" w:rsidP="00010E61">
      <w:r w:rsidRPr="0038435B">
        <w:t>In addition, the methodology on which period life tables are based has the limitations that:</w:t>
      </w:r>
    </w:p>
    <w:p w:rsidR="00010E61" w:rsidRPr="0038435B" w:rsidRDefault="00010E61" w:rsidP="00010E61">
      <w:pPr>
        <w:pStyle w:val="Bullet"/>
      </w:pPr>
      <w:r w:rsidRPr="0038435B">
        <w:t>death rates at the youngest and oldest age groups, in which there are relatively few deaths and/or small populations, are less accurate</w:t>
      </w:r>
    </w:p>
    <w:p w:rsidR="00010E61" w:rsidRPr="0038435B" w:rsidRDefault="00010E61" w:rsidP="00010E61">
      <w:pPr>
        <w:pStyle w:val="Bullet"/>
      </w:pPr>
      <w:r w:rsidRPr="0038435B">
        <w:t>collection and reporting of ethnicity data may lack consistency across all official statistics</w:t>
      </w:r>
    </w:p>
    <w:p w:rsidR="00010E61" w:rsidRPr="0038435B" w:rsidRDefault="00010E61" w:rsidP="00010E61">
      <w:pPr>
        <w:pStyle w:val="Bullet"/>
      </w:pPr>
      <w:proofErr w:type="gramStart"/>
      <w:r w:rsidRPr="0038435B">
        <w:t>some</w:t>
      </w:r>
      <w:proofErr w:type="gramEnd"/>
      <w:r w:rsidRPr="0038435B">
        <w:t xml:space="preserve"> death registrations and census forms do not contain information about the individual’s ethnicity.</w:t>
      </w:r>
    </w:p>
    <w:p w:rsidR="00010E61" w:rsidRDefault="00010E61" w:rsidP="00010E61"/>
    <w:p w:rsidR="00010E61" w:rsidRPr="008C5765" w:rsidRDefault="00010E61" w:rsidP="00010E61">
      <w:r w:rsidRPr="008C5765">
        <w:t>The latest 2012</w:t>
      </w:r>
      <w:r>
        <w:t>–20</w:t>
      </w:r>
      <w:r w:rsidRPr="008C5765">
        <w:t>14 period life tables include credible intervals for the first time to help users interpret this uncertainty.</w:t>
      </w:r>
    </w:p>
    <w:p w:rsidR="00010E61" w:rsidRDefault="00010E61" w:rsidP="00010E61"/>
    <w:p w:rsidR="00010E61" w:rsidRPr="008C5765" w:rsidRDefault="00010E61" w:rsidP="00010E61">
      <w:pPr>
        <w:pStyle w:val="Heading3"/>
      </w:pPr>
      <w:r>
        <w:t>Limited insights into causes</w:t>
      </w:r>
    </w:p>
    <w:p w:rsidR="00010E61" w:rsidRPr="008C5765" w:rsidRDefault="00010E61" w:rsidP="00010E61">
      <w:r>
        <w:t>With</w:t>
      </w:r>
      <w:r w:rsidRPr="008C5765">
        <w:t xml:space="preserve"> a single measure such as ILE</w:t>
      </w:r>
      <w:r>
        <w:t>, there is not enough information</w:t>
      </w:r>
      <w:r w:rsidRPr="008C5765">
        <w:t xml:space="preserve"> to </w:t>
      </w:r>
      <w:r>
        <w:t>analyse</w:t>
      </w:r>
      <w:r w:rsidRPr="008C5765">
        <w:t xml:space="preserve"> specific causes or</w:t>
      </w:r>
      <w:r>
        <w:t xml:space="preserve"> groups of</w:t>
      </w:r>
      <w:r w:rsidRPr="008C5765">
        <w:t xml:space="preserve"> cause</w:t>
      </w:r>
      <w:r>
        <w:t>s in any depth.</w:t>
      </w:r>
      <w:r w:rsidRPr="008C5765">
        <w:t xml:space="preserve"> Causal data collected in the disability survey </w:t>
      </w:r>
      <w:r>
        <w:t>make a</w:t>
      </w:r>
      <w:r w:rsidRPr="008C5765">
        <w:t xml:space="preserve"> very limited </w:t>
      </w:r>
      <w:r>
        <w:t>contribution to the task of</w:t>
      </w:r>
      <w:r w:rsidRPr="008C5765">
        <w:t xml:space="preserve"> estimat</w:t>
      </w:r>
      <w:r>
        <w:t>ing</w:t>
      </w:r>
      <w:r w:rsidRPr="008C5765">
        <w:t xml:space="preserve"> the impact of different diseases and risk factors that may affect ILE.</w:t>
      </w:r>
    </w:p>
    <w:p w:rsidR="00010E61" w:rsidRDefault="00010E61" w:rsidP="00010E61"/>
    <w:p w:rsidR="00010E61" w:rsidRPr="008C5765" w:rsidRDefault="00010E61" w:rsidP="00010E61">
      <w:pPr>
        <w:pStyle w:val="Heading3"/>
      </w:pPr>
      <w:r>
        <w:t>Limited insights into the experiences of subgroups and regions</w:t>
      </w:r>
    </w:p>
    <w:p w:rsidR="00010E61" w:rsidRPr="008C5765" w:rsidRDefault="00010E61" w:rsidP="00010E61">
      <w:r>
        <w:t xml:space="preserve">In calculating </w:t>
      </w:r>
      <w:r w:rsidRPr="008C5765">
        <w:t>the health expectancy measure</w:t>
      </w:r>
      <w:r>
        <w:t>,</w:t>
      </w:r>
      <w:r w:rsidRPr="008C5765">
        <w:t xml:space="preserve"> </w:t>
      </w:r>
      <w:r>
        <w:t xml:space="preserve">some of the </w:t>
      </w:r>
      <w:r w:rsidRPr="008C5765">
        <w:t xml:space="preserve">statistics </w:t>
      </w:r>
      <w:r>
        <w:t xml:space="preserve">used </w:t>
      </w:r>
      <w:r w:rsidRPr="008C5765">
        <w:t xml:space="preserve">may have high sampling errors </w:t>
      </w:r>
      <w:r>
        <w:t xml:space="preserve">due to a limited </w:t>
      </w:r>
      <w:r w:rsidRPr="008C5765">
        <w:t>number of respondents</w:t>
      </w:r>
      <w:r>
        <w:t xml:space="preserve"> in particular categories </w:t>
      </w:r>
      <w:r w:rsidRPr="008C5765">
        <w:t>(</w:t>
      </w:r>
      <w:proofErr w:type="spellStart"/>
      <w:r w:rsidRPr="008C5765">
        <w:t>eg</w:t>
      </w:r>
      <w:proofErr w:type="spellEnd"/>
      <w:r>
        <w:t>,</w:t>
      </w:r>
      <w:r w:rsidRPr="008C5765">
        <w:t xml:space="preserve"> older age groups</w:t>
      </w:r>
      <w:r>
        <w:t xml:space="preserve"> and</w:t>
      </w:r>
      <w:r w:rsidRPr="008C5765">
        <w:t xml:space="preserve"> Māori). </w:t>
      </w:r>
      <w:r>
        <w:t>For this reason,</w:t>
      </w:r>
      <w:r w:rsidRPr="008C5765">
        <w:t xml:space="preserve"> </w:t>
      </w:r>
      <w:r>
        <w:t xml:space="preserve">data for </w:t>
      </w:r>
      <w:r w:rsidRPr="008C5765">
        <w:t xml:space="preserve">Asian </w:t>
      </w:r>
      <w:r>
        <w:t>and</w:t>
      </w:r>
      <w:r w:rsidRPr="008C5765">
        <w:t xml:space="preserve"> Pacific peoples are </w:t>
      </w:r>
      <w:r>
        <w:t xml:space="preserve">included in </w:t>
      </w:r>
      <w:r w:rsidRPr="008C5765">
        <w:t xml:space="preserve">the </w:t>
      </w:r>
      <w:r>
        <w:t>data for the ‘</w:t>
      </w:r>
      <w:r w:rsidRPr="008C5765">
        <w:t>non-Māori</w:t>
      </w:r>
      <w:r>
        <w:t>’</w:t>
      </w:r>
      <w:r w:rsidRPr="008C5765">
        <w:t xml:space="preserve"> population</w:t>
      </w:r>
      <w:r>
        <w:t xml:space="preserve"> rather than being presented separately</w:t>
      </w:r>
      <w:r w:rsidRPr="008C5765">
        <w:t>.</w:t>
      </w:r>
      <w:r>
        <w:t xml:space="preserve"> The capacity for analysing ILE by region, socioeconomic group and other ethnic groups is likewise limited.</w:t>
      </w:r>
    </w:p>
    <w:p w:rsidR="00010E61" w:rsidRPr="008C5765" w:rsidRDefault="00010E61" w:rsidP="00010E61"/>
    <w:p w:rsidR="00010E61" w:rsidRPr="008C5765" w:rsidRDefault="00010E61" w:rsidP="00010E61">
      <w:pPr>
        <w:pStyle w:val="Heading3"/>
      </w:pPr>
      <w:r>
        <w:t>The need for a reliable data source</w:t>
      </w:r>
    </w:p>
    <w:p w:rsidR="00010E61" w:rsidRPr="008C5765" w:rsidRDefault="00010E61" w:rsidP="00010E61">
      <w:r>
        <w:t>The d</w:t>
      </w:r>
      <w:r w:rsidRPr="008C5765">
        <w:t xml:space="preserve">isability prevalence rates </w:t>
      </w:r>
      <w:r>
        <w:t xml:space="preserve">used in this report came </w:t>
      </w:r>
      <w:r w:rsidRPr="008C5765">
        <w:t>from the post-</w:t>
      </w:r>
      <w:proofErr w:type="spellStart"/>
      <w:r w:rsidRPr="008C5765">
        <w:t>censal</w:t>
      </w:r>
      <w:proofErr w:type="spellEnd"/>
      <w:r w:rsidRPr="008C5765">
        <w:t xml:space="preserve"> disability surveys. If</w:t>
      </w:r>
      <w:r>
        <w:t xml:space="preserve"> the future of</w:t>
      </w:r>
      <w:r w:rsidRPr="008C5765">
        <w:t xml:space="preserve"> these surveys is not assured, substitute data sources should be found. </w:t>
      </w:r>
      <w:r>
        <w:t>One possibility is the</w:t>
      </w:r>
      <w:r w:rsidRPr="008C5765">
        <w:t xml:space="preserve"> New Zealand Health Survey, but </w:t>
      </w:r>
      <w:r>
        <w:t xml:space="preserve">it is unlikely to </w:t>
      </w:r>
      <w:r w:rsidRPr="008C5765">
        <w:t>collect</w:t>
      </w:r>
      <w:r>
        <w:t xml:space="preserve"> data from which disability </w:t>
      </w:r>
      <w:r w:rsidRPr="008C5765">
        <w:t xml:space="preserve">prevalence </w:t>
      </w:r>
      <w:r>
        <w:t xml:space="preserve">can be calculated </w:t>
      </w:r>
      <w:r w:rsidRPr="008C5765">
        <w:t xml:space="preserve">at the </w:t>
      </w:r>
      <w:r>
        <w:t xml:space="preserve">level of </w:t>
      </w:r>
      <w:r w:rsidRPr="008C5765">
        <w:t xml:space="preserve">support need. Alternatively, </w:t>
      </w:r>
      <w:r>
        <w:t>the</w:t>
      </w:r>
      <w:r w:rsidRPr="00AD76CA">
        <w:t xml:space="preserve"> </w:t>
      </w:r>
      <w:r w:rsidRPr="008C5765">
        <w:t>Institute of Health Metrics and Evaluation</w:t>
      </w:r>
      <w:r>
        <w:t xml:space="preserve"> (IHME)</w:t>
      </w:r>
      <w:r w:rsidRPr="008C5765">
        <w:t xml:space="preserve"> </w:t>
      </w:r>
      <w:r>
        <w:t>conducts</w:t>
      </w:r>
      <w:r w:rsidRPr="008C5765">
        <w:t xml:space="preserve"> the Global Burden of Disease</w:t>
      </w:r>
      <w:r>
        <w:t>s</w:t>
      </w:r>
      <w:r w:rsidRPr="008C5765">
        <w:t xml:space="preserve"> Study</w:t>
      </w:r>
      <w:r>
        <w:t xml:space="preserve"> to</w:t>
      </w:r>
      <w:r w:rsidRPr="008C5765">
        <w:t xml:space="preserve"> produce estimates for almost 300 diseases and injuries and 70 risk factors for 187 countries</w:t>
      </w:r>
      <w:r>
        <w:t>,</w:t>
      </w:r>
      <w:r w:rsidRPr="008C5765">
        <w:t xml:space="preserve"> including New Zealand (</w:t>
      </w:r>
      <w:r>
        <w:t>IHME</w:t>
      </w:r>
      <w:r w:rsidRPr="008C5765" w:rsidDel="00AD76CA">
        <w:t xml:space="preserve"> </w:t>
      </w:r>
      <w:r w:rsidRPr="008C5765">
        <w:t>2015).</w:t>
      </w:r>
      <w:r>
        <w:t xml:space="preserve"> These data could potentially be used to update </w:t>
      </w:r>
      <w:r w:rsidRPr="008C5765">
        <w:t xml:space="preserve">health expectancy </w:t>
      </w:r>
      <w:r>
        <w:t>estimates</w:t>
      </w:r>
      <w:r w:rsidRPr="008C5765">
        <w:t xml:space="preserve"> in the future</w:t>
      </w:r>
      <w:r>
        <w:t>.</w:t>
      </w:r>
      <w:r w:rsidRPr="008C5765">
        <w:t xml:space="preserve"> </w:t>
      </w:r>
      <w:r>
        <w:t xml:space="preserve">Moreover, as the </w:t>
      </w:r>
      <w:r w:rsidRPr="008C5765">
        <w:t xml:space="preserve">New Zealand Burden of Diseases </w:t>
      </w:r>
      <w:r>
        <w:t>S</w:t>
      </w:r>
      <w:r w:rsidRPr="008C5765">
        <w:t xml:space="preserve">tudy </w:t>
      </w:r>
      <w:r>
        <w:t xml:space="preserve">is updated annually, </w:t>
      </w:r>
      <w:r w:rsidRPr="008C5765">
        <w:t xml:space="preserve">health-adjusted life expectancy can also be updated every year rather than every five </w:t>
      </w:r>
      <w:r>
        <w:t xml:space="preserve">or more </w:t>
      </w:r>
      <w:r w:rsidRPr="008C5765">
        <w:t>years.</w:t>
      </w:r>
    </w:p>
    <w:p w:rsidR="00010E61" w:rsidRPr="008C5765" w:rsidRDefault="00010E61" w:rsidP="00010E61"/>
    <w:p w:rsidR="00010E61" w:rsidRDefault="00010E61" w:rsidP="00010E61">
      <w:pPr>
        <w:pStyle w:val="Heading2"/>
      </w:pPr>
      <w:bookmarkStart w:id="105" w:name="_Toc423840691"/>
      <w:bookmarkStart w:id="106" w:name="_Toc424645300"/>
      <w:bookmarkStart w:id="107" w:name="_Toc424834190"/>
      <w:r>
        <w:t>Overall assessment</w:t>
      </w:r>
      <w:bookmarkEnd w:id="105"/>
      <w:bookmarkEnd w:id="106"/>
      <w:bookmarkEnd w:id="107"/>
    </w:p>
    <w:p w:rsidR="00010E61" w:rsidRPr="008C5765" w:rsidRDefault="00010E61" w:rsidP="00010E61">
      <w:r>
        <w:t>Taking account of both the strengths and limitations noted above, ILE has been selected as the ‘peak’</w:t>
      </w:r>
      <w:r w:rsidRPr="00621305">
        <w:t xml:space="preserve"> health indicator because it integrates both quality and quantity of life outcomes. </w:t>
      </w:r>
      <w:r>
        <w:t>In this respect, it offers a major</w:t>
      </w:r>
      <w:r w:rsidRPr="00621305">
        <w:t xml:space="preserve"> advantage compared </w:t>
      </w:r>
      <w:r>
        <w:t>with</w:t>
      </w:r>
      <w:r w:rsidRPr="00621305">
        <w:t xml:space="preserve"> life expectancy</w:t>
      </w:r>
      <w:r>
        <w:t>, which focuses on quantity alone</w:t>
      </w:r>
      <w:r w:rsidRPr="00621305">
        <w:t>.</w:t>
      </w:r>
      <w:r>
        <w:t xml:space="preserve"> In addition,</w:t>
      </w:r>
      <w:r w:rsidRPr="00621305">
        <w:t xml:space="preserve"> ILE meets all principles and protocols </w:t>
      </w:r>
      <w:r>
        <w:t>that</w:t>
      </w:r>
      <w:r w:rsidRPr="00621305">
        <w:t xml:space="preserve"> apply to Tier 1 statistics.</w:t>
      </w:r>
    </w:p>
    <w:p w:rsidR="00010E61" w:rsidRDefault="00010E61" w:rsidP="00010E61">
      <w:bookmarkStart w:id="108" w:name="_Toc423840692"/>
      <w:bookmarkStart w:id="109" w:name="_Toc424645301"/>
      <w:r>
        <w:br w:type="page"/>
      </w:r>
    </w:p>
    <w:p w:rsidR="00010E61" w:rsidRPr="008C5765" w:rsidRDefault="00010E61" w:rsidP="00010E61">
      <w:pPr>
        <w:pStyle w:val="Heading1"/>
      </w:pPr>
      <w:bookmarkStart w:id="110" w:name="_Toc424834191"/>
      <w:r>
        <w:t>Conclusions</w:t>
      </w:r>
      <w:bookmarkEnd w:id="108"/>
      <w:bookmarkEnd w:id="109"/>
      <w:bookmarkEnd w:id="110"/>
    </w:p>
    <w:p w:rsidR="00010E61" w:rsidRDefault="00010E61" w:rsidP="00010E61">
      <w:r w:rsidRPr="008C5765">
        <w:t xml:space="preserve">The findings in this report are aligned with the results </w:t>
      </w:r>
      <w:r>
        <w:t>from</w:t>
      </w:r>
      <w:r w:rsidRPr="008C5765">
        <w:t xml:space="preserve"> the </w:t>
      </w:r>
      <w:r w:rsidRPr="00F560AC">
        <w:t>New Zealand Burden of Diseases, Injuries and Risk Factors Study</w:t>
      </w:r>
      <w:r w:rsidRPr="007167F0">
        <w:t xml:space="preserve"> </w:t>
      </w:r>
      <w:r w:rsidRPr="008C5765">
        <w:t>and illustrate the value of ILE for health policy.</w:t>
      </w:r>
    </w:p>
    <w:p w:rsidR="00010E61" w:rsidRDefault="00010E61" w:rsidP="00010E61"/>
    <w:p w:rsidR="00010E61" w:rsidRPr="008C5765" w:rsidRDefault="00010E61" w:rsidP="00010E61">
      <w:r>
        <w:t>Today</w:t>
      </w:r>
      <w:r w:rsidRPr="008C5765">
        <w:t xml:space="preserve"> people in New Zealand live longer in good health, but</w:t>
      </w:r>
      <w:r w:rsidRPr="007119D4">
        <w:t xml:space="preserve"> </w:t>
      </w:r>
      <w:r w:rsidRPr="008C5765">
        <w:t xml:space="preserve">spend proportionally more time </w:t>
      </w:r>
      <w:r>
        <w:t xml:space="preserve">living </w:t>
      </w:r>
      <w:r w:rsidRPr="008C5765">
        <w:t>with dependency than before</w:t>
      </w:r>
      <w:r>
        <w:t>. Part of the reason for this trend is the ageing</w:t>
      </w:r>
      <w:r w:rsidRPr="008C5765">
        <w:t xml:space="preserve"> population</w:t>
      </w:r>
      <w:r>
        <w:t xml:space="preserve"> structure because, with a higher proportion of older people in the population, the proportion of people with functional limitations is likely to be correspondingly higher</w:t>
      </w:r>
      <w:r w:rsidRPr="008C5765">
        <w:t>.</w:t>
      </w:r>
    </w:p>
    <w:p w:rsidR="00010E61" w:rsidRPr="008C5765" w:rsidRDefault="00010E61" w:rsidP="00010E61"/>
    <w:p w:rsidR="00010E61" w:rsidRPr="008C5765" w:rsidRDefault="00010E61" w:rsidP="00010E61">
      <w:r w:rsidRPr="008C5765">
        <w:t xml:space="preserve">As ILE is not keeping pace with life expectancy, key findings </w:t>
      </w:r>
      <w:r>
        <w:t>indicate an</w:t>
      </w:r>
      <w:r w:rsidRPr="008C5765">
        <w:t xml:space="preserve"> increasing need </w:t>
      </w:r>
      <w:r>
        <w:t xml:space="preserve">in the future </w:t>
      </w:r>
      <w:r w:rsidRPr="008C5765">
        <w:t>for the treatment of long-term conditions with relatively low fatality</w:t>
      </w:r>
      <w:r>
        <w:t>. They also highlight</w:t>
      </w:r>
      <w:r w:rsidRPr="008C5765">
        <w:t xml:space="preserve"> substantial inequality between Māori and non-Māori groups. Th</w:t>
      </w:r>
      <w:r>
        <w:t>ese issues are</w:t>
      </w:r>
      <w:r w:rsidRPr="008C5765">
        <w:t xml:space="preserve"> </w:t>
      </w:r>
      <w:r>
        <w:t>particularly</w:t>
      </w:r>
      <w:r w:rsidRPr="008C5765">
        <w:t xml:space="preserve"> important at a time when the health system is facing challenges associated with population ageing and increased expenditure on long-term care.</w:t>
      </w:r>
    </w:p>
    <w:p w:rsidR="00010E61" w:rsidRPr="008C5765" w:rsidRDefault="00010E61" w:rsidP="00010E61"/>
    <w:p w:rsidR="00010E61" w:rsidRDefault="00010E61" w:rsidP="00010E61">
      <w:bookmarkStart w:id="111" w:name="_Toc423840693"/>
      <w:bookmarkStart w:id="112" w:name="_Toc424645302"/>
      <w:r>
        <w:br w:type="page"/>
      </w:r>
    </w:p>
    <w:p w:rsidR="00010E61" w:rsidRPr="008C5765" w:rsidRDefault="00010E61" w:rsidP="00010E61">
      <w:pPr>
        <w:pStyle w:val="Heading1"/>
      </w:pPr>
      <w:bookmarkStart w:id="113" w:name="_Toc424834192"/>
      <w:r w:rsidRPr="008C5765">
        <w:t>References</w:t>
      </w:r>
      <w:bookmarkEnd w:id="111"/>
      <w:bookmarkEnd w:id="112"/>
      <w:bookmarkEnd w:id="113"/>
    </w:p>
    <w:p w:rsidR="00010E61" w:rsidRPr="008C5765" w:rsidRDefault="00010E61" w:rsidP="00010E61">
      <w:pPr>
        <w:pStyle w:val="References"/>
      </w:pPr>
      <w:proofErr w:type="gramStart"/>
      <w:r>
        <w:t>AIHW.</w:t>
      </w:r>
      <w:proofErr w:type="gramEnd"/>
      <w:r>
        <w:t xml:space="preserve"> </w:t>
      </w:r>
      <w:r w:rsidRPr="008C5765">
        <w:t>2014.</w:t>
      </w:r>
      <w:r w:rsidRPr="00F560AC">
        <w:t xml:space="preserve"> </w:t>
      </w:r>
      <w:r w:rsidRPr="00010E61">
        <w:rPr>
          <w:i/>
        </w:rPr>
        <w:t>Healthy Life Expectancy in Australia: Patterns and trends 1998 to 2012</w:t>
      </w:r>
      <w:r w:rsidRPr="008C5765">
        <w:t>. Canberra:</w:t>
      </w:r>
      <w:r>
        <w:t xml:space="preserve"> </w:t>
      </w:r>
      <w:r w:rsidRPr="008C5765">
        <w:t>Australian Institute of Health and Welfare.</w:t>
      </w:r>
    </w:p>
    <w:p w:rsidR="00010E61" w:rsidRPr="008C5765" w:rsidRDefault="00010E61" w:rsidP="00010E61">
      <w:pPr>
        <w:pStyle w:val="References"/>
      </w:pPr>
      <w:proofErr w:type="gramStart"/>
      <w:r w:rsidRPr="008C5765">
        <w:t>Davis P, Graham P, Pearce N</w:t>
      </w:r>
      <w:r>
        <w:t>.</w:t>
      </w:r>
      <w:r w:rsidRPr="008C5765">
        <w:t xml:space="preserve"> 1999.</w:t>
      </w:r>
      <w:proofErr w:type="gramEnd"/>
      <w:r w:rsidRPr="008C5765">
        <w:t xml:space="preserve"> Health expectancy in New Zealand 1981–1991: social variations and trends in a period of rapid social and economic change. </w:t>
      </w:r>
      <w:r w:rsidRPr="00010E61">
        <w:rPr>
          <w:i/>
          <w:iCs/>
        </w:rPr>
        <w:t>Journal of Epidemiology and Community Health</w:t>
      </w:r>
      <w:r w:rsidRPr="008C5765">
        <w:rPr>
          <w:iCs/>
        </w:rPr>
        <w:t xml:space="preserve"> </w:t>
      </w:r>
      <w:r w:rsidRPr="008C5765">
        <w:t>53: 519–27.</w:t>
      </w:r>
    </w:p>
    <w:p w:rsidR="00010E61" w:rsidRPr="008C5765" w:rsidRDefault="00010E61" w:rsidP="00010E61">
      <w:pPr>
        <w:pStyle w:val="References"/>
      </w:pPr>
      <w:proofErr w:type="gramStart"/>
      <w:r w:rsidRPr="008C5765">
        <w:t>EHEMU</w:t>
      </w:r>
      <w:r>
        <w:t>.</w:t>
      </w:r>
      <w:proofErr w:type="gramEnd"/>
      <w:r w:rsidRPr="008C5765">
        <w:t xml:space="preserve"> 2007. </w:t>
      </w:r>
      <w:r w:rsidRPr="00010E61">
        <w:rPr>
          <w:i/>
        </w:rPr>
        <w:t>Interpreting Health Expectancies</w:t>
      </w:r>
      <w:r w:rsidRPr="008C5765">
        <w:t>. Montpellier: European Health Expectancy Monitoring Unit</w:t>
      </w:r>
      <w:r w:rsidRPr="008C5765" w:rsidDel="00144C6B">
        <w:t xml:space="preserve"> </w:t>
      </w:r>
      <w:r w:rsidRPr="008C5765">
        <w:t>Reports.</w:t>
      </w:r>
    </w:p>
    <w:p w:rsidR="00010E61" w:rsidRPr="00010E61" w:rsidRDefault="00010E61" w:rsidP="00010E61">
      <w:pPr>
        <w:pStyle w:val="References"/>
      </w:pPr>
      <w:r w:rsidRPr="008C5765">
        <w:t>Graham P, Blakely T, Davis P et al</w:t>
      </w:r>
      <w:r>
        <w:t xml:space="preserve">. </w:t>
      </w:r>
      <w:r w:rsidRPr="008C5765">
        <w:t xml:space="preserve">2004. </w:t>
      </w:r>
      <w:proofErr w:type="gramStart"/>
      <w:r w:rsidRPr="008C5765">
        <w:t>Compression, expansion or dynamic equilibrium?</w:t>
      </w:r>
      <w:proofErr w:type="gramEnd"/>
      <w:r w:rsidRPr="008C5765">
        <w:t xml:space="preserve"> </w:t>
      </w:r>
      <w:proofErr w:type="gramStart"/>
      <w:r w:rsidRPr="008C5765">
        <w:t>The evolution of health expectancy in New Zealand.</w:t>
      </w:r>
      <w:proofErr w:type="gramEnd"/>
      <w:r w:rsidRPr="008C5765">
        <w:t xml:space="preserve"> </w:t>
      </w:r>
      <w:r w:rsidRPr="00134D78">
        <w:rPr>
          <w:i/>
          <w:iCs/>
        </w:rPr>
        <w:t>Journal of Epidemiology and Community Health</w:t>
      </w:r>
      <w:r w:rsidRPr="008C5765">
        <w:rPr>
          <w:iCs/>
        </w:rPr>
        <w:t xml:space="preserve"> </w:t>
      </w:r>
      <w:r w:rsidRPr="008C5765">
        <w:t>58:</w:t>
      </w:r>
      <w:r w:rsidR="00134D78">
        <w:t> </w:t>
      </w:r>
      <w:r w:rsidRPr="008C5765">
        <w:t>659–66.</w:t>
      </w:r>
    </w:p>
    <w:p w:rsidR="00010E61" w:rsidRPr="008C5765" w:rsidRDefault="00010E61" w:rsidP="00010E61">
      <w:pPr>
        <w:pStyle w:val="References"/>
      </w:pPr>
      <w:proofErr w:type="gramStart"/>
      <w:r>
        <w:t>IHME.</w:t>
      </w:r>
      <w:proofErr w:type="gramEnd"/>
      <w:r>
        <w:t xml:space="preserve"> </w:t>
      </w:r>
      <w:r w:rsidRPr="008C5765">
        <w:t xml:space="preserve">2015. GBD Compare. </w:t>
      </w:r>
      <w:proofErr w:type="gramStart"/>
      <w:r w:rsidRPr="008C5765">
        <w:t>Institute of Health Metrics and Evaluation</w:t>
      </w:r>
      <w:r>
        <w:t>.</w:t>
      </w:r>
      <w:proofErr w:type="gramEnd"/>
      <w:r>
        <w:t xml:space="preserve"> URL: </w:t>
      </w:r>
      <w:hyperlink r:id="rId30" w:history="1">
        <w:r w:rsidRPr="008C5765">
          <w:rPr>
            <w:rStyle w:val="Hyperlink"/>
          </w:rPr>
          <w:t>www.healthdata.org/data-visualization/gbd-compare</w:t>
        </w:r>
      </w:hyperlink>
      <w:r>
        <w:t xml:space="preserve"> (accessed 2 July 2015).</w:t>
      </w:r>
    </w:p>
    <w:p w:rsidR="00010E61" w:rsidRPr="008C5765" w:rsidRDefault="00010E61" w:rsidP="00010E61">
      <w:pPr>
        <w:pStyle w:val="References"/>
      </w:pPr>
      <w:proofErr w:type="gramStart"/>
      <w:r w:rsidRPr="008C5765">
        <w:t>Jagger C, Cox B, Le Roy S</w:t>
      </w:r>
      <w:r>
        <w:t xml:space="preserve">. </w:t>
      </w:r>
      <w:r w:rsidRPr="008C5765">
        <w:t>2006.</w:t>
      </w:r>
      <w:proofErr w:type="gramEnd"/>
      <w:r w:rsidRPr="008C5765">
        <w:t xml:space="preserve"> </w:t>
      </w:r>
      <w:r w:rsidRPr="00134D78">
        <w:rPr>
          <w:i/>
        </w:rPr>
        <w:t>Health Expectancy Calculation by the Sullivan method</w:t>
      </w:r>
      <w:r w:rsidRPr="008C5765">
        <w:t xml:space="preserve">. </w:t>
      </w:r>
      <w:proofErr w:type="gramStart"/>
      <w:r w:rsidRPr="008C5765">
        <w:t xml:space="preserve">Third </w:t>
      </w:r>
      <w:r>
        <w:t>e</w:t>
      </w:r>
      <w:r w:rsidRPr="008C5765">
        <w:t>dition.</w:t>
      </w:r>
      <w:proofErr w:type="gramEnd"/>
      <w:r w:rsidRPr="008C5765">
        <w:t xml:space="preserve"> Montpellier: European Health Expectancy Monitoring Unit.</w:t>
      </w:r>
      <w:r>
        <w:t xml:space="preserve"> URL: </w:t>
      </w:r>
      <w:hyperlink r:id="rId31" w:history="1">
        <w:r w:rsidRPr="008C5765">
          <w:rPr>
            <w:rStyle w:val="Hyperlink"/>
          </w:rPr>
          <w:t>www.eurohex.eu/pdf/Sullivan_guide_final_jun2007.pdf</w:t>
        </w:r>
      </w:hyperlink>
      <w:r>
        <w:t xml:space="preserve"> (accessed 3 July 2015).</w:t>
      </w:r>
    </w:p>
    <w:p w:rsidR="00010E61" w:rsidRPr="008C5765" w:rsidRDefault="00010E61" w:rsidP="00010E61">
      <w:pPr>
        <w:pStyle w:val="References"/>
      </w:pPr>
      <w:proofErr w:type="gramStart"/>
      <w:r w:rsidRPr="008C5765">
        <w:t>Ministry of Health</w:t>
      </w:r>
      <w:r>
        <w:t>.</w:t>
      </w:r>
      <w:proofErr w:type="gramEnd"/>
      <w:r>
        <w:t xml:space="preserve"> </w:t>
      </w:r>
      <w:r w:rsidRPr="008C5765">
        <w:t xml:space="preserve">2003a. </w:t>
      </w:r>
      <w:r w:rsidRPr="00134D78">
        <w:rPr>
          <w:i/>
          <w:iCs/>
        </w:rPr>
        <w:t>Statement of Intent 2003–2004</w:t>
      </w:r>
      <w:r w:rsidRPr="008C5765">
        <w:t xml:space="preserve">. Wellington: </w:t>
      </w:r>
      <w:r>
        <w:t>Ministry of Health</w:t>
      </w:r>
      <w:r w:rsidRPr="008C5765">
        <w:t>.</w:t>
      </w:r>
      <w:r>
        <w:t xml:space="preserve"> URL: </w:t>
      </w:r>
      <w:hyperlink r:id="rId32" w:history="1">
        <w:r w:rsidRPr="008C5765">
          <w:rPr>
            <w:rStyle w:val="Hyperlink"/>
          </w:rPr>
          <w:t>www.moh.govt.nz/notebook/nbbooks.nsf/0/7611cbbb226ee839cc256bc800100085/$FILE/MoHSOI03-04.pdf</w:t>
        </w:r>
      </w:hyperlink>
      <w:r>
        <w:t xml:space="preserve"> (accessed 3 July 2015).</w:t>
      </w:r>
    </w:p>
    <w:p w:rsidR="00010E61" w:rsidRPr="008C5765" w:rsidRDefault="00010E61" w:rsidP="00010E61">
      <w:pPr>
        <w:pStyle w:val="References"/>
        <w:rPr>
          <w:rStyle w:val="HTMLCite"/>
          <w:i w:val="0"/>
          <w:color w:val="222222"/>
        </w:rPr>
      </w:pPr>
      <w:proofErr w:type="gramStart"/>
      <w:r w:rsidRPr="008C5765">
        <w:t>Ministry of Health</w:t>
      </w:r>
      <w:r>
        <w:t>.</w:t>
      </w:r>
      <w:proofErr w:type="gramEnd"/>
      <w:r>
        <w:t xml:space="preserve"> </w:t>
      </w:r>
      <w:r w:rsidRPr="008C5765">
        <w:t>2003b.</w:t>
      </w:r>
      <w:r w:rsidRPr="00F560AC">
        <w:t xml:space="preserve"> </w:t>
      </w:r>
      <w:r w:rsidRPr="00134D78">
        <w:rPr>
          <w:i/>
          <w:iCs/>
        </w:rPr>
        <w:t>Health and Independence Report 2003</w:t>
      </w:r>
      <w:r w:rsidRPr="008C5765">
        <w:t xml:space="preserve">. Wellington: </w:t>
      </w:r>
      <w:r>
        <w:t>Ministry of Health</w:t>
      </w:r>
      <w:r w:rsidRPr="008C5765">
        <w:t>.</w:t>
      </w:r>
      <w:r>
        <w:t xml:space="preserve"> </w:t>
      </w:r>
      <w:hyperlink r:id="rId33" w:history="1">
        <w:r w:rsidRPr="008C5765">
          <w:rPr>
            <w:rStyle w:val="Hyperlink"/>
          </w:rPr>
          <w:t>http://www.moh.govt.nz/notebook/nbbooks.nsf/0/4160aae38cd6faa3cc256b440002395b/$FILE/HealthandIndependenceReport2003.pdf</w:t>
        </w:r>
      </w:hyperlink>
      <w:r>
        <w:rPr>
          <w:rStyle w:val="Hyperlink"/>
        </w:rPr>
        <w:t xml:space="preserve"> </w:t>
      </w:r>
      <w:r>
        <w:t>(accessed 3 July 2015).</w:t>
      </w:r>
    </w:p>
    <w:p w:rsidR="00010E61" w:rsidRPr="008C5765" w:rsidRDefault="00010E61" w:rsidP="00010E61">
      <w:pPr>
        <w:pStyle w:val="References"/>
      </w:pPr>
      <w:proofErr w:type="gramStart"/>
      <w:r w:rsidRPr="008C5765">
        <w:t>Ministry of Health</w:t>
      </w:r>
      <w:r>
        <w:t>.</w:t>
      </w:r>
      <w:proofErr w:type="gramEnd"/>
      <w:r w:rsidRPr="008C5765">
        <w:t xml:space="preserve"> 2013. </w:t>
      </w:r>
      <w:r w:rsidRPr="00134D78">
        <w:rPr>
          <w:i/>
          <w:iCs/>
        </w:rPr>
        <w:t>Health Loss in New Zealand: A report from the New Zealand Burden of Diseases, Injuries and Risk Factors Study, 2006–2016</w:t>
      </w:r>
      <w:r w:rsidRPr="00F560AC">
        <w:t>.</w:t>
      </w:r>
      <w:r w:rsidRPr="008C5765">
        <w:t xml:space="preserve"> Wellington: </w:t>
      </w:r>
      <w:r>
        <w:t>Ministry of Health</w:t>
      </w:r>
      <w:r w:rsidRPr="008C5765">
        <w:t>.</w:t>
      </w:r>
      <w:r>
        <w:t xml:space="preserve"> URL: </w:t>
      </w:r>
      <w:hyperlink r:id="rId34" w:history="1">
        <w:r w:rsidRPr="008C5765">
          <w:rPr>
            <w:rStyle w:val="Hyperlink"/>
          </w:rPr>
          <w:t>www.health.govt.nz/system/files/documents/publications/health-loss-in-new-zealand-final.pdf</w:t>
        </w:r>
      </w:hyperlink>
      <w:r>
        <w:rPr>
          <w:rStyle w:val="Hyperlink"/>
        </w:rPr>
        <w:t xml:space="preserve"> </w:t>
      </w:r>
      <w:r>
        <w:t>(accessed 3 July 2015).</w:t>
      </w:r>
    </w:p>
    <w:p w:rsidR="00010E61" w:rsidRDefault="00010E61" w:rsidP="00010E61">
      <w:pPr>
        <w:pStyle w:val="References"/>
        <w:rPr>
          <w:rStyle w:val="Hyperlink"/>
        </w:rPr>
      </w:pPr>
      <w:proofErr w:type="gramStart"/>
      <w:r w:rsidRPr="008C5765">
        <w:t>Ministry of Health and Statistics N</w:t>
      </w:r>
      <w:r>
        <w:t>Z</w:t>
      </w:r>
      <w:r w:rsidRPr="008C5765">
        <w:t>.</w:t>
      </w:r>
      <w:proofErr w:type="gramEnd"/>
      <w:r w:rsidRPr="008C5765">
        <w:t xml:space="preserve"> 2008. </w:t>
      </w:r>
      <w:r w:rsidRPr="00134D78">
        <w:rPr>
          <w:i/>
          <w:iCs/>
        </w:rPr>
        <w:t>Health Expectancy: Toward Tier 1 official statistic status</w:t>
      </w:r>
      <w:r w:rsidRPr="00F560AC">
        <w:rPr>
          <w:iCs/>
        </w:rPr>
        <w:t>.</w:t>
      </w:r>
      <w:r w:rsidRPr="003A0B3A">
        <w:rPr>
          <w:iCs/>
        </w:rPr>
        <w:t xml:space="preserve"> </w:t>
      </w:r>
      <w:r w:rsidRPr="008C5765">
        <w:t>Wellington: Ministry of Health and Statistics N</w:t>
      </w:r>
      <w:r>
        <w:t>Z</w:t>
      </w:r>
      <w:r w:rsidRPr="008C5765">
        <w:t>.</w:t>
      </w:r>
      <w:r>
        <w:t xml:space="preserve"> URL: </w:t>
      </w:r>
      <w:hyperlink r:id="rId35" w:history="1">
        <w:r w:rsidRPr="008C5765">
          <w:rPr>
            <w:rStyle w:val="Hyperlink"/>
          </w:rPr>
          <w:t>www.moh.govt.nz/notebook/nbbooks.nsf/0/c0c861cb917e1761cc257543006e0d09/$FILE/health-expectancy-toward-tier1-official-statistic-status%5B1%5D.pdf</w:t>
        </w:r>
      </w:hyperlink>
      <w:r>
        <w:rPr>
          <w:rStyle w:val="Hyperlink"/>
        </w:rPr>
        <w:t xml:space="preserve"> </w:t>
      </w:r>
      <w:r>
        <w:t>(accessed 3 July 2015).</w:t>
      </w:r>
    </w:p>
    <w:p w:rsidR="00010E61" w:rsidRPr="008C5765" w:rsidRDefault="00010E61" w:rsidP="00010E61">
      <w:pPr>
        <w:pStyle w:val="References"/>
      </w:pPr>
      <w:proofErr w:type="gramStart"/>
      <w:r w:rsidRPr="008C5765">
        <w:t xml:space="preserve">Ministry of Health and Statistics </w:t>
      </w:r>
      <w:r>
        <w:t>NZ.</w:t>
      </w:r>
      <w:proofErr w:type="gramEnd"/>
      <w:r>
        <w:t xml:space="preserve"> </w:t>
      </w:r>
      <w:r w:rsidRPr="008C5765">
        <w:t xml:space="preserve">2009. </w:t>
      </w:r>
      <w:r w:rsidRPr="00134D78">
        <w:rPr>
          <w:i/>
          <w:iCs/>
        </w:rPr>
        <w:t xml:space="preserve">Longer Life, Better Health? </w:t>
      </w:r>
      <w:proofErr w:type="gramStart"/>
      <w:r w:rsidRPr="00134D78">
        <w:rPr>
          <w:i/>
          <w:iCs/>
        </w:rPr>
        <w:t>Trends in health expectancy in New Zealand 1996–2006</w:t>
      </w:r>
      <w:r w:rsidRPr="008C5765">
        <w:rPr>
          <w:iCs/>
        </w:rPr>
        <w:t>.</w:t>
      </w:r>
      <w:proofErr w:type="gramEnd"/>
      <w:r w:rsidRPr="008C5765">
        <w:rPr>
          <w:iCs/>
        </w:rPr>
        <w:t xml:space="preserve"> Wellington: </w:t>
      </w:r>
      <w:r w:rsidRPr="008C5765">
        <w:t>Ministry of Health and Statistics N</w:t>
      </w:r>
      <w:r>
        <w:t>Z</w:t>
      </w:r>
      <w:r w:rsidRPr="008C5765">
        <w:rPr>
          <w:iCs/>
        </w:rPr>
        <w:t>.</w:t>
      </w:r>
      <w:r>
        <w:t xml:space="preserve"> URL: </w:t>
      </w:r>
      <w:hyperlink r:id="rId36" w:history="1">
        <w:r w:rsidRPr="008C5765">
          <w:rPr>
            <w:rStyle w:val="Hyperlink"/>
          </w:rPr>
          <w:t>www.stats.govt.nz/browse_for_stats/health/life_expectancy/longer-life-better-health.aspx</w:t>
        </w:r>
      </w:hyperlink>
      <w:r>
        <w:rPr>
          <w:rStyle w:val="Hyperlink"/>
        </w:rPr>
        <w:t xml:space="preserve"> </w:t>
      </w:r>
      <w:r>
        <w:t>(accessed 3 July 2015).</w:t>
      </w:r>
    </w:p>
    <w:p w:rsidR="00010E61" w:rsidRPr="008C5765" w:rsidRDefault="00010E61" w:rsidP="00010E61">
      <w:pPr>
        <w:pStyle w:val="References"/>
        <w:rPr>
          <w:color w:val="231F20"/>
        </w:rPr>
      </w:pPr>
      <w:proofErr w:type="gramStart"/>
      <w:r w:rsidRPr="008C5765">
        <w:t>Ministry of Social Development</w:t>
      </w:r>
      <w:r>
        <w:t>.</w:t>
      </w:r>
      <w:proofErr w:type="gramEnd"/>
      <w:r w:rsidRPr="008C5765">
        <w:t xml:space="preserve"> 2003.</w:t>
      </w:r>
      <w:r w:rsidRPr="00F560AC">
        <w:t xml:space="preserve"> </w:t>
      </w:r>
      <w:r w:rsidRPr="00134D78">
        <w:rPr>
          <w:i/>
          <w:iCs/>
        </w:rPr>
        <w:t>The Social Report 2003</w:t>
      </w:r>
      <w:r w:rsidRPr="008C5765">
        <w:t>. Wellington: Ministry of Social Development.</w:t>
      </w:r>
    </w:p>
    <w:p w:rsidR="00010E61" w:rsidRPr="008C5765" w:rsidRDefault="00010E61" w:rsidP="00010E61">
      <w:pPr>
        <w:pStyle w:val="References"/>
      </w:pPr>
      <w:proofErr w:type="spellStart"/>
      <w:r w:rsidRPr="008C5765">
        <w:rPr>
          <w:color w:val="231F20"/>
        </w:rPr>
        <w:t>Molla</w:t>
      </w:r>
      <w:proofErr w:type="spellEnd"/>
      <w:r w:rsidRPr="008C5765">
        <w:rPr>
          <w:color w:val="231F20"/>
        </w:rPr>
        <w:t xml:space="preserve"> M, Wagener DK, </w:t>
      </w:r>
      <w:proofErr w:type="spellStart"/>
      <w:r w:rsidRPr="008C5765">
        <w:rPr>
          <w:color w:val="231F20"/>
        </w:rPr>
        <w:t>Madans</w:t>
      </w:r>
      <w:proofErr w:type="spellEnd"/>
      <w:r w:rsidRPr="008C5765">
        <w:rPr>
          <w:color w:val="231F20"/>
        </w:rPr>
        <w:t xml:space="preserve"> JH</w:t>
      </w:r>
      <w:r>
        <w:rPr>
          <w:color w:val="231F20"/>
        </w:rPr>
        <w:t>.</w:t>
      </w:r>
      <w:r w:rsidRPr="008C5765">
        <w:rPr>
          <w:color w:val="231F20"/>
        </w:rPr>
        <w:t xml:space="preserve"> 2001. Summary measures of population health: Methods for calculating health expectancy. </w:t>
      </w:r>
      <w:proofErr w:type="gramStart"/>
      <w:r w:rsidRPr="008C5765">
        <w:rPr>
          <w:color w:val="231F20"/>
        </w:rPr>
        <w:t>Healthy People Statistical Notes No 21.</w:t>
      </w:r>
      <w:proofErr w:type="gramEnd"/>
      <w:r w:rsidRPr="008C5765">
        <w:rPr>
          <w:color w:val="231F20"/>
        </w:rPr>
        <w:t xml:space="preserve"> Hyattsville: National </w:t>
      </w:r>
      <w:proofErr w:type="spellStart"/>
      <w:r w:rsidRPr="008C5765">
        <w:rPr>
          <w:color w:val="231F20"/>
        </w:rPr>
        <w:t>Center</w:t>
      </w:r>
      <w:proofErr w:type="spellEnd"/>
      <w:r w:rsidRPr="008C5765">
        <w:rPr>
          <w:color w:val="231F20"/>
        </w:rPr>
        <w:t xml:space="preserve"> for Health Statistics.</w:t>
      </w:r>
    </w:p>
    <w:p w:rsidR="00010E61" w:rsidRPr="008C5765" w:rsidRDefault="00010E61" w:rsidP="00134D78">
      <w:pPr>
        <w:pStyle w:val="References"/>
        <w:keepLines/>
      </w:pPr>
      <w:proofErr w:type="gramStart"/>
      <w:r w:rsidRPr="008C5765">
        <w:t xml:space="preserve">Murray CJL, Salomon JA, </w:t>
      </w:r>
      <w:proofErr w:type="spellStart"/>
      <w:r w:rsidRPr="008C5765">
        <w:t>Mathers</w:t>
      </w:r>
      <w:proofErr w:type="spellEnd"/>
      <w:r w:rsidRPr="008C5765">
        <w:t xml:space="preserve"> CD et al</w:t>
      </w:r>
      <w:r>
        <w:t xml:space="preserve">. </w:t>
      </w:r>
      <w:r w:rsidRPr="008C5765">
        <w:t>2002.</w:t>
      </w:r>
      <w:proofErr w:type="gramEnd"/>
      <w:r w:rsidRPr="00F560AC">
        <w:t xml:space="preserve"> </w:t>
      </w:r>
      <w:proofErr w:type="gramStart"/>
      <w:r w:rsidRPr="00134D78">
        <w:rPr>
          <w:i/>
        </w:rPr>
        <w:t>Summary Measures of Population Health</w:t>
      </w:r>
      <w:r w:rsidRPr="008C5765">
        <w:t>.</w:t>
      </w:r>
      <w:proofErr w:type="gramEnd"/>
      <w:r w:rsidRPr="008C5765">
        <w:t xml:space="preserve"> Geneva: World Health Organization</w:t>
      </w:r>
      <w:r>
        <w:t xml:space="preserve">. URL: </w:t>
      </w:r>
      <w:hyperlink r:id="rId37" w:history="1">
        <w:r w:rsidRPr="008C5765">
          <w:rPr>
            <w:rStyle w:val="Hyperlink"/>
          </w:rPr>
          <w:t>www.webcitation.org/query.php?url=http://www.who.int/pub/smph/en/index.html&amp;refdoi=10.1186/1478-7954-1-6</w:t>
        </w:r>
      </w:hyperlink>
      <w:r>
        <w:rPr>
          <w:rStyle w:val="Hyperlink"/>
        </w:rPr>
        <w:t xml:space="preserve"> </w:t>
      </w:r>
      <w:r>
        <w:t>(accessed 3 July 2015).</w:t>
      </w:r>
    </w:p>
    <w:p w:rsidR="00010E61" w:rsidRPr="008C5765" w:rsidRDefault="00010E61" w:rsidP="00010E61">
      <w:pPr>
        <w:pStyle w:val="References"/>
      </w:pPr>
      <w:proofErr w:type="gramStart"/>
      <w:r w:rsidRPr="008C5765">
        <w:t>Office for National Statistics</w:t>
      </w:r>
      <w:r>
        <w:t>.</w:t>
      </w:r>
      <w:proofErr w:type="gramEnd"/>
      <w:r w:rsidRPr="008C5765">
        <w:t xml:space="preserve"> 2004. </w:t>
      </w:r>
      <w:r w:rsidRPr="00134D78">
        <w:rPr>
          <w:i/>
        </w:rPr>
        <w:t>Health Expectancies at Birth and at Age 65 in the United Kingdom, 1981–2001</w:t>
      </w:r>
      <w:r w:rsidRPr="008C5765">
        <w:t xml:space="preserve">. London: </w:t>
      </w:r>
      <w:r>
        <w:t>Office for National Statistics</w:t>
      </w:r>
      <w:r w:rsidRPr="008C5765">
        <w:t>.</w:t>
      </w:r>
    </w:p>
    <w:p w:rsidR="00010E61" w:rsidRPr="008C5765" w:rsidRDefault="00010E61" w:rsidP="00010E61">
      <w:pPr>
        <w:pStyle w:val="References"/>
      </w:pPr>
      <w:proofErr w:type="spellStart"/>
      <w:r w:rsidRPr="008C5765">
        <w:t>Oksuzyan</w:t>
      </w:r>
      <w:proofErr w:type="spellEnd"/>
      <w:r w:rsidRPr="008C5765">
        <w:t xml:space="preserve"> A, </w:t>
      </w:r>
      <w:proofErr w:type="spellStart"/>
      <w:r w:rsidRPr="008C5765">
        <w:t>Bronnum</w:t>
      </w:r>
      <w:proofErr w:type="spellEnd"/>
      <w:r w:rsidRPr="008C5765">
        <w:t xml:space="preserve"> H, </w:t>
      </w:r>
      <w:proofErr w:type="spellStart"/>
      <w:r w:rsidRPr="008C5765">
        <w:t>Jeune</w:t>
      </w:r>
      <w:proofErr w:type="spellEnd"/>
      <w:r w:rsidRPr="008C5765">
        <w:t xml:space="preserve"> B</w:t>
      </w:r>
      <w:r>
        <w:t>.</w:t>
      </w:r>
      <w:r w:rsidRPr="008C5765">
        <w:t xml:space="preserve"> 2010. </w:t>
      </w:r>
      <w:proofErr w:type="gramStart"/>
      <w:r w:rsidRPr="008C5765">
        <w:t>Gender gap in health expectancy.</w:t>
      </w:r>
      <w:proofErr w:type="gramEnd"/>
      <w:r w:rsidRPr="008C5765">
        <w:t xml:space="preserve"> </w:t>
      </w:r>
      <w:r w:rsidRPr="00134D78">
        <w:rPr>
          <w:i/>
        </w:rPr>
        <w:t>European Journal of Ageing</w:t>
      </w:r>
      <w:r w:rsidRPr="008C5765">
        <w:t xml:space="preserve"> 7:</w:t>
      </w:r>
      <w:r>
        <w:t> </w:t>
      </w:r>
      <w:r w:rsidRPr="008C5765">
        <w:t>213</w:t>
      </w:r>
      <w:r>
        <w:t>–</w:t>
      </w:r>
      <w:r w:rsidRPr="008C5765">
        <w:t>8.</w:t>
      </w:r>
    </w:p>
    <w:p w:rsidR="00010E61" w:rsidRPr="008C5765" w:rsidRDefault="00010E61" w:rsidP="00010E61">
      <w:pPr>
        <w:pStyle w:val="References"/>
      </w:pPr>
      <w:proofErr w:type="gramStart"/>
      <w:r w:rsidRPr="008C5765">
        <w:t>Public Health Agency of Canada Steering Committee on Health-Adjusted Life Expectancy</w:t>
      </w:r>
      <w:r>
        <w:t>.</w:t>
      </w:r>
      <w:proofErr w:type="gramEnd"/>
      <w:r w:rsidRPr="008C5765">
        <w:t xml:space="preserve"> 2012.</w:t>
      </w:r>
      <w:r w:rsidRPr="00F560AC">
        <w:t xml:space="preserve"> </w:t>
      </w:r>
      <w:r w:rsidRPr="00134D78">
        <w:rPr>
          <w:i/>
          <w:iCs/>
        </w:rPr>
        <w:t>Health-adjusted Life Expectancy in Canada: 2012 Report by the Public Health Agency of Canada</w:t>
      </w:r>
      <w:r w:rsidRPr="008C5765">
        <w:t>. Ottawa: Public Health Agency of Canada.</w:t>
      </w:r>
    </w:p>
    <w:p w:rsidR="00010E61" w:rsidRPr="008C5765" w:rsidRDefault="00010E61" w:rsidP="00010E61">
      <w:pPr>
        <w:pStyle w:val="References"/>
      </w:pPr>
      <w:proofErr w:type="spellStart"/>
      <w:r w:rsidRPr="008C5765">
        <w:t>Robine</w:t>
      </w:r>
      <w:proofErr w:type="spellEnd"/>
      <w:r w:rsidRPr="008C5765">
        <w:t xml:space="preserve"> J, Jagger C</w:t>
      </w:r>
      <w:r>
        <w:t>.</w:t>
      </w:r>
      <w:r w:rsidRPr="008C5765">
        <w:t xml:space="preserve"> 2005. </w:t>
      </w:r>
      <w:proofErr w:type="gramStart"/>
      <w:r w:rsidRPr="008C5765">
        <w:t>The relationship between increasing life expectancy and healthy life expectancy.</w:t>
      </w:r>
      <w:proofErr w:type="gramEnd"/>
      <w:r w:rsidRPr="008C5765">
        <w:t xml:space="preserve"> </w:t>
      </w:r>
      <w:proofErr w:type="gramStart"/>
      <w:r w:rsidRPr="00134D78">
        <w:rPr>
          <w:i/>
        </w:rPr>
        <w:t>Ageing Horizons</w:t>
      </w:r>
      <w:r w:rsidRPr="008C5765">
        <w:t xml:space="preserve"> 3:</w:t>
      </w:r>
      <w:r>
        <w:t xml:space="preserve"> </w:t>
      </w:r>
      <w:r w:rsidRPr="008C5765">
        <w:t>14</w:t>
      </w:r>
      <w:r>
        <w:t>–</w:t>
      </w:r>
      <w:r w:rsidRPr="008C5765">
        <w:t>21.</w:t>
      </w:r>
      <w:proofErr w:type="gramEnd"/>
    </w:p>
    <w:p w:rsidR="00010E61" w:rsidRPr="008C5765" w:rsidRDefault="00010E61" w:rsidP="00010E61">
      <w:pPr>
        <w:pStyle w:val="References"/>
      </w:pPr>
      <w:proofErr w:type="gramStart"/>
      <w:r w:rsidRPr="008C5765">
        <w:t>Statistics N</w:t>
      </w:r>
      <w:r>
        <w:t>Z.</w:t>
      </w:r>
      <w:proofErr w:type="gramEnd"/>
      <w:r w:rsidRPr="008C5765">
        <w:t xml:space="preserve"> 2007. </w:t>
      </w:r>
      <w:r w:rsidRPr="00134D78">
        <w:rPr>
          <w:i/>
        </w:rPr>
        <w:t>2006 Disability Survey</w:t>
      </w:r>
      <w:r w:rsidRPr="008C5765">
        <w:t xml:space="preserve">. Wellington: </w:t>
      </w:r>
      <w:r>
        <w:t>Statistics New Zealand</w:t>
      </w:r>
      <w:r w:rsidRPr="008C5765">
        <w:t>.</w:t>
      </w:r>
      <w:r>
        <w:t xml:space="preserve"> URL: </w:t>
      </w:r>
      <w:hyperlink r:id="rId38" w:history="1">
        <w:r w:rsidRPr="008C5765">
          <w:rPr>
            <w:rStyle w:val="Hyperlink"/>
          </w:rPr>
          <w:t>www.stats.govt.nz/browse_for_stats/health/disabilities/DisabilitySurvey2006_HOTP06/Technical%20Notes.aspx</w:t>
        </w:r>
      </w:hyperlink>
      <w:r>
        <w:rPr>
          <w:rStyle w:val="Hyperlink"/>
        </w:rPr>
        <w:t xml:space="preserve"> </w:t>
      </w:r>
      <w:r>
        <w:t>(accessed 3 July 2015).</w:t>
      </w:r>
    </w:p>
    <w:p w:rsidR="00010E61" w:rsidRPr="008C5765" w:rsidRDefault="00010E61" w:rsidP="00010E61">
      <w:pPr>
        <w:pStyle w:val="References"/>
      </w:pPr>
      <w:proofErr w:type="gramStart"/>
      <w:r w:rsidRPr="008C5765">
        <w:t>Statistics N</w:t>
      </w:r>
      <w:r>
        <w:t>Z.</w:t>
      </w:r>
      <w:proofErr w:type="gramEnd"/>
      <w:r w:rsidRPr="008C5765">
        <w:t xml:space="preserve"> 2013.</w:t>
      </w:r>
      <w:r w:rsidRPr="00F560AC">
        <w:t xml:space="preserve"> </w:t>
      </w:r>
      <w:r w:rsidRPr="00134D78">
        <w:rPr>
          <w:i/>
        </w:rPr>
        <w:t>Disability Survey</w:t>
      </w:r>
      <w:r w:rsidRPr="008C5765">
        <w:t xml:space="preserve">. Wellington: </w:t>
      </w:r>
      <w:r>
        <w:t>Statistics New Zealand</w:t>
      </w:r>
      <w:r w:rsidRPr="008C5765">
        <w:t>.</w:t>
      </w:r>
      <w:r>
        <w:t xml:space="preserve"> URL: </w:t>
      </w:r>
      <w:hyperlink r:id="rId39" w:history="1">
        <w:r w:rsidRPr="008C5765">
          <w:rPr>
            <w:rStyle w:val="Hyperlink"/>
          </w:rPr>
          <w:t>www.stats.govt.nz/survey-participants/a-z-of-our-surveys/disability-survey.aspx</w:t>
        </w:r>
      </w:hyperlink>
      <w:r>
        <w:rPr>
          <w:rStyle w:val="Hyperlink"/>
        </w:rPr>
        <w:t xml:space="preserve">  </w:t>
      </w:r>
      <w:r>
        <w:t>(accessed 3 July 2015).</w:t>
      </w:r>
    </w:p>
    <w:p w:rsidR="00010E61" w:rsidRPr="008C5765" w:rsidRDefault="00010E61" w:rsidP="00010E61">
      <w:pPr>
        <w:pStyle w:val="References"/>
        <w:rPr>
          <w:rStyle w:val="Hyperlink"/>
        </w:rPr>
      </w:pPr>
      <w:proofErr w:type="gramStart"/>
      <w:r w:rsidRPr="008C5765">
        <w:t>Statistics N</w:t>
      </w:r>
      <w:r>
        <w:t>Z.</w:t>
      </w:r>
      <w:proofErr w:type="gramEnd"/>
      <w:r w:rsidRPr="008C5765">
        <w:t xml:space="preserve"> 2014. </w:t>
      </w:r>
      <w:r w:rsidRPr="00134D78">
        <w:rPr>
          <w:i/>
        </w:rPr>
        <w:t>Disabilities</w:t>
      </w:r>
      <w:r w:rsidRPr="008C5765">
        <w:t xml:space="preserve">. Wellington: </w:t>
      </w:r>
      <w:r>
        <w:t>Statistics New Zealand</w:t>
      </w:r>
      <w:r w:rsidRPr="008C5765">
        <w:t xml:space="preserve">. </w:t>
      </w:r>
      <w:r>
        <w:t xml:space="preserve">URL: </w:t>
      </w:r>
      <w:hyperlink r:id="rId40" w:history="1">
        <w:r w:rsidRPr="008C5765">
          <w:rPr>
            <w:rStyle w:val="Hyperlink"/>
          </w:rPr>
          <w:t>www.stats.govt.nz/browse_for_stats/health/disabilities.aspx</w:t>
        </w:r>
      </w:hyperlink>
      <w:r>
        <w:rPr>
          <w:rStyle w:val="Hyperlink"/>
        </w:rPr>
        <w:t xml:space="preserve"> </w:t>
      </w:r>
      <w:r>
        <w:t>(accessed 3 July 2015).</w:t>
      </w:r>
    </w:p>
    <w:p w:rsidR="00010E61" w:rsidRPr="008C5765" w:rsidRDefault="00010E61" w:rsidP="00010E61">
      <w:pPr>
        <w:pStyle w:val="References"/>
      </w:pPr>
      <w:proofErr w:type="gramStart"/>
      <w:r w:rsidRPr="008C5765">
        <w:t>Statistics N</w:t>
      </w:r>
      <w:r>
        <w:t>Z.</w:t>
      </w:r>
      <w:proofErr w:type="gramEnd"/>
      <w:r w:rsidRPr="008C5765">
        <w:t xml:space="preserve"> </w:t>
      </w:r>
      <w:proofErr w:type="gramStart"/>
      <w:r w:rsidRPr="008C5765">
        <w:t xml:space="preserve">2015a. </w:t>
      </w:r>
      <w:r w:rsidRPr="00134D78">
        <w:rPr>
          <w:i/>
        </w:rPr>
        <w:t>Life Expectancy</w:t>
      </w:r>
      <w:r w:rsidRPr="008C5765">
        <w:t>.</w:t>
      </w:r>
      <w:proofErr w:type="gramEnd"/>
      <w:r w:rsidRPr="008C5765">
        <w:t xml:space="preserve"> Wellington: </w:t>
      </w:r>
      <w:r>
        <w:t>Statistics New Zealand</w:t>
      </w:r>
      <w:r w:rsidRPr="008C5765">
        <w:t>.</w:t>
      </w:r>
      <w:r>
        <w:t xml:space="preserve"> URL: </w:t>
      </w:r>
      <w:hyperlink r:id="rId41" w:history="1">
        <w:r w:rsidRPr="008C5765">
          <w:rPr>
            <w:rStyle w:val="Hyperlink"/>
          </w:rPr>
          <w:t>www.stats.govt.nz/browse_for_stats/health/life_expectancy.aspx</w:t>
        </w:r>
      </w:hyperlink>
      <w:r>
        <w:rPr>
          <w:rStyle w:val="Hyperlink"/>
        </w:rPr>
        <w:t xml:space="preserve"> </w:t>
      </w:r>
      <w:r>
        <w:t>(accessed 3 July 2015).</w:t>
      </w:r>
    </w:p>
    <w:p w:rsidR="00010E61" w:rsidRPr="008C5765" w:rsidRDefault="00010E61" w:rsidP="00010E61">
      <w:pPr>
        <w:pStyle w:val="References"/>
      </w:pPr>
      <w:proofErr w:type="gramStart"/>
      <w:r w:rsidRPr="008C5765">
        <w:t>Statistics N</w:t>
      </w:r>
      <w:r>
        <w:t>Z.</w:t>
      </w:r>
      <w:proofErr w:type="gramEnd"/>
      <w:r>
        <w:t xml:space="preserve"> </w:t>
      </w:r>
      <w:r w:rsidRPr="008C5765">
        <w:t xml:space="preserve">2015b. </w:t>
      </w:r>
      <w:r w:rsidRPr="00134D78">
        <w:rPr>
          <w:i/>
        </w:rPr>
        <w:t>New Zealand Period Life Tables: Information releases</w:t>
      </w:r>
      <w:r w:rsidRPr="008C5765">
        <w:t>. Wellington:</w:t>
      </w:r>
      <w:r w:rsidRPr="0095336F">
        <w:t xml:space="preserve"> </w:t>
      </w:r>
      <w:r>
        <w:t>Statistics New Zealand</w:t>
      </w:r>
      <w:r w:rsidRPr="008C5765">
        <w:t>.</w:t>
      </w:r>
      <w:r>
        <w:t xml:space="preserve"> URL: </w:t>
      </w:r>
      <w:hyperlink r:id="rId42" w:history="1">
        <w:r w:rsidRPr="008C5765">
          <w:rPr>
            <w:rStyle w:val="Hyperlink"/>
          </w:rPr>
          <w:t>www.stats.govt.nz/browse_for_stats/health/life_expectancy/nz-period-life-tables-info-releases.aspx</w:t>
        </w:r>
      </w:hyperlink>
      <w:r>
        <w:rPr>
          <w:rStyle w:val="Hyperlink"/>
        </w:rPr>
        <w:t xml:space="preserve"> </w:t>
      </w:r>
      <w:r>
        <w:t>(accessed 3 July 2015).</w:t>
      </w:r>
    </w:p>
    <w:p w:rsidR="00010E61" w:rsidRPr="008C5765" w:rsidRDefault="00010E61" w:rsidP="00010E61">
      <w:pPr>
        <w:pStyle w:val="References"/>
      </w:pPr>
      <w:r w:rsidRPr="008C5765">
        <w:t>Sullivan DF</w:t>
      </w:r>
      <w:r>
        <w:t>.</w:t>
      </w:r>
      <w:r w:rsidRPr="008C5765">
        <w:t xml:space="preserve"> 1971. A single index of mortality and morbidity. </w:t>
      </w:r>
      <w:proofErr w:type="gramStart"/>
      <w:r w:rsidRPr="00134D78">
        <w:rPr>
          <w:i/>
        </w:rPr>
        <w:t>HSMHA Health Reports</w:t>
      </w:r>
      <w:r w:rsidRPr="008C5765">
        <w:t xml:space="preserve"> 86(4):</w:t>
      </w:r>
      <w:r w:rsidR="00134D78">
        <w:br/>
      </w:r>
      <w:r w:rsidRPr="008C5765">
        <w:t>347</w:t>
      </w:r>
      <w:r>
        <w:t>–</w:t>
      </w:r>
      <w:r w:rsidRPr="008C5765">
        <w:t>54.</w:t>
      </w:r>
      <w:proofErr w:type="gramEnd"/>
    </w:p>
    <w:p w:rsidR="00010E61" w:rsidRDefault="00010E61" w:rsidP="00010E61">
      <w:pPr>
        <w:pStyle w:val="References"/>
      </w:pPr>
      <w:r w:rsidRPr="008C5765">
        <w:t>Tobias M, Cheung J</w:t>
      </w:r>
      <w:r>
        <w:t xml:space="preserve">. </w:t>
      </w:r>
      <w:r w:rsidRPr="008C5765">
        <w:t xml:space="preserve">1999. </w:t>
      </w:r>
      <w:proofErr w:type="gramStart"/>
      <w:r w:rsidRPr="008C5765">
        <w:t>Independent life expectancy in New Zealand, 1996</w:t>
      </w:r>
      <w:r>
        <w:t>–</w:t>
      </w:r>
      <w:r w:rsidRPr="008C5765">
        <w:t>97.</w:t>
      </w:r>
      <w:proofErr w:type="gramEnd"/>
      <w:r w:rsidRPr="008C5765">
        <w:t xml:space="preserve"> </w:t>
      </w:r>
      <w:r w:rsidRPr="00134D78">
        <w:rPr>
          <w:i/>
        </w:rPr>
        <w:t>Australian Health Review</w:t>
      </w:r>
      <w:r w:rsidRPr="00F560AC">
        <w:t xml:space="preserve"> </w:t>
      </w:r>
      <w:r w:rsidRPr="008C5765">
        <w:t>22:</w:t>
      </w:r>
      <w:r>
        <w:t> </w:t>
      </w:r>
      <w:r w:rsidRPr="008C5765">
        <w:t>78</w:t>
      </w:r>
      <w:r>
        <w:t>–</w:t>
      </w:r>
      <w:r w:rsidRPr="008C5765">
        <w:t>91.</w:t>
      </w:r>
    </w:p>
    <w:p w:rsidR="00010E61" w:rsidRPr="008C5765" w:rsidRDefault="00010E61" w:rsidP="00010E61">
      <w:pPr>
        <w:pStyle w:val="References"/>
      </w:pPr>
      <w:r w:rsidRPr="008C5765">
        <w:t>Tobias M, Bryant J, Teasdale A et al</w:t>
      </w:r>
      <w:r>
        <w:t>.</w:t>
      </w:r>
      <w:r w:rsidRPr="008C5765">
        <w:t xml:space="preserve"> 2004. </w:t>
      </w:r>
      <w:r w:rsidRPr="00134D78">
        <w:rPr>
          <w:i/>
          <w:iCs/>
        </w:rPr>
        <w:t>Population Ageing and Health Expenditure: New Zealand 2002–2051</w:t>
      </w:r>
      <w:r w:rsidRPr="008C5765">
        <w:t>. Wellington: Ministry of Health.</w:t>
      </w:r>
    </w:p>
    <w:p w:rsidR="00010E61" w:rsidRPr="008C5765" w:rsidRDefault="00010E61" w:rsidP="00010E61">
      <w:pPr>
        <w:pStyle w:val="References"/>
      </w:pPr>
      <w:r w:rsidRPr="008C5765">
        <w:t>Wand MP, Jones MC</w:t>
      </w:r>
      <w:r>
        <w:t>.</w:t>
      </w:r>
      <w:r w:rsidRPr="008C5765">
        <w:t xml:space="preserve"> 1994.</w:t>
      </w:r>
      <w:r w:rsidRPr="00F560AC">
        <w:t xml:space="preserve"> </w:t>
      </w:r>
      <w:proofErr w:type="gramStart"/>
      <w:r w:rsidRPr="00134D78">
        <w:rPr>
          <w:i/>
          <w:iCs/>
        </w:rPr>
        <w:t>Kernel Smoothing</w:t>
      </w:r>
      <w:r w:rsidRPr="008C5765">
        <w:rPr>
          <w:iCs/>
        </w:rPr>
        <w:t>.</w:t>
      </w:r>
      <w:proofErr w:type="gramEnd"/>
      <w:r w:rsidRPr="008C5765">
        <w:rPr>
          <w:iCs/>
        </w:rPr>
        <w:t xml:space="preserve"> </w:t>
      </w:r>
      <w:r w:rsidRPr="008C5765">
        <w:t>London: Chapman and Hall.</w:t>
      </w:r>
    </w:p>
    <w:p w:rsidR="00010E61" w:rsidRPr="008C5765" w:rsidRDefault="00010E61" w:rsidP="00010E61">
      <w:pPr>
        <w:pStyle w:val="References"/>
      </w:pPr>
      <w:proofErr w:type="gramStart"/>
      <w:r>
        <w:t>WHO.</w:t>
      </w:r>
      <w:proofErr w:type="gramEnd"/>
      <w:r>
        <w:t xml:space="preserve"> </w:t>
      </w:r>
      <w:r w:rsidRPr="008C5765">
        <w:t xml:space="preserve">2000. </w:t>
      </w:r>
      <w:r w:rsidRPr="00134D78">
        <w:rPr>
          <w:i/>
        </w:rPr>
        <w:t>The World Health Report 2000: Health systems: improving performance</w:t>
      </w:r>
      <w:r w:rsidRPr="008C5765">
        <w:t>. Geneva: World Health Organization.</w:t>
      </w:r>
    </w:p>
    <w:p w:rsidR="00010E61" w:rsidRPr="008C5765" w:rsidRDefault="00010E61" w:rsidP="00010E61">
      <w:pPr>
        <w:pStyle w:val="References"/>
      </w:pPr>
      <w:proofErr w:type="gramStart"/>
      <w:r>
        <w:t>WHO.</w:t>
      </w:r>
      <w:proofErr w:type="gramEnd"/>
      <w:r>
        <w:t xml:space="preserve"> </w:t>
      </w:r>
      <w:r w:rsidRPr="008C5765">
        <w:t xml:space="preserve">2001. </w:t>
      </w:r>
      <w:r w:rsidRPr="00134D78">
        <w:rPr>
          <w:i/>
        </w:rPr>
        <w:t>ICF: International Classification of Functioning, Disability and Health</w:t>
      </w:r>
      <w:r w:rsidRPr="008C5765">
        <w:t xml:space="preserve">. Geneva: </w:t>
      </w:r>
      <w:r>
        <w:t>World Health Organization</w:t>
      </w:r>
      <w:r w:rsidRPr="008C5765">
        <w:t xml:space="preserve">. </w:t>
      </w:r>
      <w:r>
        <w:t xml:space="preserve">URL: </w:t>
      </w:r>
      <w:hyperlink r:id="rId43" w:history="1">
        <w:r w:rsidRPr="008C5765">
          <w:rPr>
            <w:rStyle w:val="Hyperlink"/>
          </w:rPr>
          <w:t>www.who.int/classifications/icf/en</w:t>
        </w:r>
      </w:hyperlink>
      <w:r>
        <w:rPr>
          <w:rStyle w:val="Hyperlink"/>
        </w:rPr>
        <w:t xml:space="preserve"> </w:t>
      </w:r>
      <w:r>
        <w:t>(accessed 5 July 2015).</w:t>
      </w:r>
    </w:p>
    <w:p w:rsidR="00010E61" w:rsidRPr="008C5765" w:rsidRDefault="00010E61" w:rsidP="00010E61"/>
    <w:p w:rsidR="00010E61" w:rsidRPr="008C5765" w:rsidRDefault="00010E61" w:rsidP="00134D78">
      <w:pPr>
        <w:rPr>
          <w:rFonts w:eastAsiaTheme="majorEastAsia"/>
        </w:rPr>
      </w:pPr>
      <w:r w:rsidRPr="008C5765">
        <w:br w:type="page"/>
      </w:r>
    </w:p>
    <w:p w:rsidR="00010E61" w:rsidRPr="008C5765" w:rsidRDefault="00010E61" w:rsidP="00134D78">
      <w:pPr>
        <w:pStyle w:val="Heading1"/>
      </w:pPr>
      <w:bookmarkStart w:id="114" w:name="_Toc423840694"/>
      <w:bookmarkStart w:id="115" w:name="_Toc424645303"/>
      <w:bookmarkStart w:id="116" w:name="_Toc424834193"/>
      <w:r w:rsidRPr="008C5765">
        <w:t>Appendix</w:t>
      </w:r>
      <w:r>
        <w:t>: Methods used to produce the findings in this report</w:t>
      </w:r>
      <w:bookmarkEnd w:id="114"/>
      <w:bookmarkEnd w:id="115"/>
      <w:bookmarkEnd w:id="116"/>
    </w:p>
    <w:p w:rsidR="00010E61" w:rsidRPr="00F560AC" w:rsidRDefault="00010E61" w:rsidP="000E04A3">
      <w:pPr>
        <w:pStyle w:val="Heading3"/>
      </w:pPr>
      <w:r w:rsidRPr="00F560AC">
        <w:t xml:space="preserve">Method for estimating the independent population using the </w:t>
      </w:r>
      <w:r>
        <w:t>New Zealand</w:t>
      </w:r>
      <w:r w:rsidRPr="00F560AC">
        <w:t xml:space="preserve"> Disability Survey</w:t>
      </w:r>
    </w:p>
    <w:p w:rsidR="00010E61" w:rsidRPr="008C5765" w:rsidRDefault="00010E61" w:rsidP="000E04A3">
      <w:r w:rsidRPr="008C5765">
        <w:t xml:space="preserve">Data from the disability survey </w:t>
      </w:r>
      <w:r>
        <w:t>were</w:t>
      </w:r>
      <w:r w:rsidRPr="008C5765">
        <w:t xml:space="preserve"> used to identify the </w:t>
      </w:r>
      <w:r>
        <w:t>‘</w:t>
      </w:r>
      <w:r w:rsidRPr="008C5765">
        <w:t>independent</w:t>
      </w:r>
      <w:r>
        <w:t>’</w:t>
      </w:r>
      <w:r w:rsidRPr="008C5765">
        <w:t xml:space="preserve"> population. People in the independent population </w:t>
      </w:r>
      <w:r>
        <w:t>fit into one of the following categories</w:t>
      </w:r>
      <w:r w:rsidR="000E04A3">
        <w:t>:</w:t>
      </w:r>
    </w:p>
    <w:p w:rsidR="00010E61" w:rsidRPr="008C5765" w:rsidRDefault="000E04A3" w:rsidP="000E04A3">
      <w:pPr>
        <w:spacing w:before="120"/>
        <w:ind w:left="567" w:hanging="567"/>
      </w:pPr>
      <w:r>
        <w:t>1.</w:t>
      </w:r>
      <w:r>
        <w:tab/>
      </w:r>
      <w:proofErr w:type="gramStart"/>
      <w:r w:rsidR="00010E61">
        <w:t>n</w:t>
      </w:r>
      <w:r w:rsidR="00010E61" w:rsidRPr="008C5765">
        <w:t>o</w:t>
      </w:r>
      <w:proofErr w:type="gramEnd"/>
      <w:r w:rsidR="00010E61" w:rsidRPr="008C5765">
        <w:t xml:space="preserve"> long-term limiting impairments (</w:t>
      </w:r>
      <w:proofErr w:type="spellStart"/>
      <w:r w:rsidR="00010E61" w:rsidRPr="008C5765">
        <w:t>ie</w:t>
      </w:r>
      <w:proofErr w:type="spellEnd"/>
      <w:r w:rsidR="00010E61">
        <w:t>,</w:t>
      </w:r>
      <w:r w:rsidR="00010E61" w:rsidRPr="008C5765">
        <w:t xml:space="preserve"> are not disabled)</w:t>
      </w:r>
    </w:p>
    <w:p w:rsidR="00010E61" w:rsidRPr="008C5765" w:rsidRDefault="000E04A3" w:rsidP="000E04A3">
      <w:pPr>
        <w:spacing w:before="120"/>
        <w:ind w:left="567" w:hanging="567"/>
      </w:pPr>
      <w:r>
        <w:t>2.</w:t>
      </w:r>
      <w:r>
        <w:tab/>
      </w:r>
      <w:proofErr w:type="gramStart"/>
      <w:r w:rsidR="00010E61">
        <w:t>l</w:t>
      </w:r>
      <w:r w:rsidR="00010E61" w:rsidRPr="008C5765">
        <w:t>ong-term</w:t>
      </w:r>
      <w:proofErr w:type="gramEnd"/>
      <w:r w:rsidR="00010E61" w:rsidRPr="008C5765">
        <w:t xml:space="preserve"> limiting impairments </w:t>
      </w:r>
      <w:r w:rsidR="00010E61">
        <w:t>that</w:t>
      </w:r>
      <w:r w:rsidR="00010E61" w:rsidRPr="008C5765">
        <w:t xml:space="preserve"> are entirely eliminated by assistive devices (</w:t>
      </w:r>
      <w:proofErr w:type="spellStart"/>
      <w:r w:rsidR="00010E61">
        <w:t>ie</w:t>
      </w:r>
      <w:proofErr w:type="spellEnd"/>
      <w:r w:rsidR="00010E61">
        <w:t xml:space="preserve">, </w:t>
      </w:r>
      <w:r w:rsidR="00010E61" w:rsidRPr="008C5765">
        <w:t>not disabled)</w:t>
      </w:r>
    </w:p>
    <w:p w:rsidR="00010E61" w:rsidRPr="008C5765" w:rsidRDefault="000E04A3" w:rsidP="000E04A3">
      <w:pPr>
        <w:spacing w:before="120"/>
        <w:ind w:left="567" w:hanging="567"/>
      </w:pPr>
      <w:r>
        <w:t>3.</w:t>
      </w:r>
      <w:r>
        <w:tab/>
      </w:r>
      <w:proofErr w:type="gramStart"/>
      <w:r w:rsidR="00010E61">
        <w:t>l</w:t>
      </w:r>
      <w:r w:rsidR="00010E61" w:rsidRPr="008C5765">
        <w:t>ong-term</w:t>
      </w:r>
      <w:proofErr w:type="gramEnd"/>
      <w:r w:rsidR="00010E61" w:rsidRPr="008C5765">
        <w:t xml:space="preserve"> limiting impairments for which they do not use or need assistive devices or support services (</w:t>
      </w:r>
      <w:proofErr w:type="spellStart"/>
      <w:r w:rsidR="00010E61">
        <w:t>ie</w:t>
      </w:r>
      <w:proofErr w:type="spellEnd"/>
      <w:r w:rsidR="00010E61">
        <w:t xml:space="preserve">, </w:t>
      </w:r>
      <w:r w:rsidR="00010E61" w:rsidRPr="008C5765">
        <w:t>disabled with low support need).</w:t>
      </w:r>
    </w:p>
    <w:p w:rsidR="00010E61" w:rsidRPr="008C5765" w:rsidRDefault="00010E61" w:rsidP="000E04A3"/>
    <w:p w:rsidR="00010E61" w:rsidRPr="008C5765" w:rsidRDefault="00010E61" w:rsidP="000E04A3">
      <w:r w:rsidRPr="008C5765">
        <w:t xml:space="preserve">A survey of disability in New Zealand has been carried out in the same year as the </w:t>
      </w:r>
      <w:r>
        <w:t>p</w:t>
      </w:r>
      <w:r w:rsidRPr="008C5765">
        <w:t xml:space="preserve">opulation </w:t>
      </w:r>
      <w:r>
        <w:t>c</w:t>
      </w:r>
      <w:r w:rsidRPr="008C5765">
        <w:t>ensus since 1996. Each time the survey is run</w:t>
      </w:r>
      <w:r>
        <w:t>,</w:t>
      </w:r>
      <w:r w:rsidRPr="008C5765">
        <w:t xml:space="preserve"> there are two data collections</w:t>
      </w:r>
      <w:r>
        <w:t>:</w:t>
      </w:r>
      <w:r w:rsidRPr="008C5765">
        <w:t xml:space="preserve"> one selecting adults (15 years or </w:t>
      </w:r>
      <w:r>
        <w:t>older</w:t>
      </w:r>
      <w:r w:rsidRPr="008C5765">
        <w:t>) living in long-term residential care</w:t>
      </w:r>
      <w:r>
        <w:t>;</w:t>
      </w:r>
      <w:r w:rsidRPr="008C5765">
        <w:t xml:space="preserve"> and the other selecting people (adults and children) living in private dwellings. The latter collection uses the cens</w:t>
      </w:r>
      <w:r w:rsidR="000E04A3">
        <w:t>us to inform the sample design.</w:t>
      </w:r>
    </w:p>
    <w:p w:rsidR="00010E61" w:rsidRPr="008C5765" w:rsidRDefault="00010E61" w:rsidP="000E04A3"/>
    <w:p w:rsidR="00010E61" w:rsidRPr="008C5765" w:rsidRDefault="00010E61" w:rsidP="000E04A3">
      <w:r w:rsidRPr="008C5765">
        <w:t>Disabled people are identified in the survey by a series of questions (called screening questions)</w:t>
      </w:r>
      <w:r>
        <w:t>,</w:t>
      </w:r>
      <w:r w:rsidRPr="008C5765">
        <w:t xml:space="preserve"> most of which ask how well the respondent can carry out a range of common daily activities. To </w:t>
      </w:r>
      <w:r>
        <w:t>be defined</w:t>
      </w:r>
      <w:r w:rsidRPr="008C5765">
        <w:t xml:space="preserve"> as disabling</w:t>
      </w:r>
      <w:r>
        <w:t>,</w:t>
      </w:r>
      <w:r w:rsidRPr="008C5765">
        <w:t xml:space="preserve"> </w:t>
      </w:r>
      <w:r>
        <w:t>t</w:t>
      </w:r>
      <w:r w:rsidRPr="008C5765">
        <w:t>he limitation the</w:t>
      </w:r>
      <w:r>
        <w:t xml:space="preserve"> respondent</w:t>
      </w:r>
      <w:r w:rsidRPr="008C5765">
        <w:t xml:space="preserve"> experience</w:t>
      </w:r>
      <w:r>
        <w:t>s</w:t>
      </w:r>
      <w:r w:rsidRPr="008C5765">
        <w:t xml:space="preserve"> must </w:t>
      </w:r>
      <w:r>
        <w:t>have existed</w:t>
      </w:r>
      <w:r w:rsidRPr="008C5765">
        <w:t xml:space="preserve"> for at least </w:t>
      </w:r>
      <w:r>
        <w:t>six</w:t>
      </w:r>
      <w:r w:rsidRPr="008C5765">
        <w:t xml:space="preserve"> months or be expected to last </w:t>
      </w:r>
      <w:r>
        <w:t xml:space="preserve">for </w:t>
      </w:r>
      <w:r w:rsidRPr="008C5765">
        <w:t xml:space="preserve">at least </w:t>
      </w:r>
      <w:r>
        <w:t>six</w:t>
      </w:r>
      <w:r w:rsidRPr="008C5765">
        <w:t xml:space="preserve"> months (Statistics N</w:t>
      </w:r>
      <w:r>
        <w:t>Z</w:t>
      </w:r>
      <w:r w:rsidR="000E04A3">
        <w:t xml:space="preserve"> 2014).</w:t>
      </w:r>
    </w:p>
    <w:p w:rsidR="00010E61" w:rsidRPr="008C5765" w:rsidRDefault="00010E61" w:rsidP="000E04A3"/>
    <w:p w:rsidR="00010E61" w:rsidRPr="008C5765" w:rsidRDefault="00010E61" w:rsidP="000E04A3">
      <w:r w:rsidRPr="008C5765">
        <w:t xml:space="preserve">The disabled population is classified into three levels of ‘support need’ according to responses across a number of questions. The lowest level of support need includes people who, while disabled in some way, do not need or use support services or assistive devices to help them in their daily lives. All disabled people are assigned to level </w:t>
      </w:r>
      <w:r>
        <w:t>1</w:t>
      </w:r>
      <w:r w:rsidRPr="008C5765">
        <w:t xml:space="preserve"> unless they meet a set of specified criteria</w:t>
      </w:r>
      <w:r>
        <w:t>, which</w:t>
      </w:r>
      <w:r w:rsidRPr="008C5765">
        <w:t xml:space="preserve"> moves them into a higher level of support need.</w:t>
      </w:r>
    </w:p>
    <w:p w:rsidR="00010E61" w:rsidRPr="008C5765" w:rsidRDefault="00010E61" w:rsidP="000E04A3"/>
    <w:p w:rsidR="00010E61" w:rsidRPr="008C5765" w:rsidRDefault="00010E61" w:rsidP="000E04A3">
      <w:r w:rsidRPr="008C5765">
        <w:t xml:space="preserve">The criteria for moving up to support level 2 (medium need) </w:t>
      </w:r>
      <w:r>
        <w:t xml:space="preserve">or support level </w:t>
      </w:r>
      <w:r w:rsidRPr="008C5765">
        <w:t xml:space="preserve">3 (high need) were specified by the Ministry of Health prior to the 2001 survey and were defined in terms of the 1996 questionnaire. Little change was made to the questions when the </w:t>
      </w:r>
      <w:r>
        <w:t>d</w:t>
      </w:r>
      <w:r w:rsidRPr="008C5765">
        <w:t xml:space="preserve">isability </w:t>
      </w:r>
      <w:r>
        <w:t>s</w:t>
      </w:r>
      <w:r w:rsidRPr="008C5765">
        <w:t>urvey was run in 2001 and 2006. Between 2006 and 2013</w:t>
      </w:r>
      <w:r>
        <w:t>,</w:t>
      </w:r>
      <w:r w:rsidRPr="008C5765">
        <w:t xml:space="preserve"> changes to the questionnaire meant that the criteria had to be re-examined and a ‘best-match’ created that maintained consistency over time in the identification of the independent population.</w:t>
      </w:r>
    </w:p>
    <w:p w:rsidR="00010E61" w:rsidRPr="008C5765" w:rsidRDefault="00010E61" w:rsidP="000E04A3"/>
    <w:p w:rsidR="00010E61" w:rsidRPr="008C5765" w:rsidRDefault="00010E61" w:rsidP="000E04A3">
      <w:pPr>
        <w:keepNext/>
      </w:pPr>
      <w:r w:rsidRPr="008C5765">
        <w:t>To move up from support level 1 to support level 2</w:t>
      </w:r>
      <w:r>
        <w:t>,</w:t>
      </w:r>
      <w:r w:rsidRPr="008C5765">
        <w:t xml:space="preserve"> a disabled adult:</w:t>
      </w:r>
    </w:p>
    <w:p w:rsidR="00010E61" w:rsidRPr="008C5765" w:rsidRDefault="000E04A3" w:rsidP="000E04A3">
      <w:pPr>
        <w:keepNext/>
        <w:spacing w:before="120"/>
        <w:ind w:left="567" w:hanging="567"/>
      </w:pPr>
      <w:r>
        <w:t>1.</w:t>
      </w:r>
      <w:r>
        <w:tab/>
      </w:r>
      <w:proofErr w:type="gramStart"/>
      <w:r w:rsidR="00010E61">
        <w:t>h</w:t>
      </w:r>
      <w:r w:rsidR="00010E61" w:rsidRPr="008C5765">
        <w:t>as</w:t>
      </w:r>
      <w:proofErr w:type="gramEnd"/>
      <w:r w:rsidR="00010E61" w:rsidRPr="008C5765">
        <w:t xml:space="preserve"> need (met or unmet) for equipment to assist with hearing, speaking, vision, moving around, use of hands or arms, or </w:t>
      </w:r>
      <w:r w:rsidR="00010E61">
        <w:t>for an</w:t>
      </w:r>
      <w:r w:rsidR="00010E61" w:rsidRPr="008C5765">
        <w:t>other purpose</w:t>
      </w:r>
    </w:p>
    <w:p w:rsidR="00010E61" w:rsidRPr="008C5765" w:rsidRDefault="000E04A3" w:rsidP="000E04A3">
      <w:pPr>
        <w:keepNext/>
        <w:spacing w:before="120"/>
        <w:ind w:left="567" w:hanging="567"/>
      </w:pPr>
      <w:r>
        <w:t>2.</w:t>
      </w:r>
      <w:r>
        <w:tab/>
      </w:r>
      <w:proofErr w:type="gramStart"/>
      <w:r w:rsidR="00010E61">
        <w:t>h</w:t>
      </w:r>
      <w:r w:rsidR="00010E61" w:rsidRPr="008C5765">
        <w:t>as</w:t>
      </w:r>
      <w:proofErr w:type="gramEnd"/>
      <w:r w:rsidR="00010E61" w:rsidRPr="008C5765">
        <w:t xml:space="preserve"> need (met or unmet) for special modification of their work area;</w:t>
      </w:r>
      <w:r w:rsidR="00010E61">
        <w:t xml:space="preserve"> or</w:t>
      </w:r>
      <w:r w:rsidR="00010E61" w:rsidRPr="008C5765">
        <w:t xml:space="preserve"> do</w:t>
      </w:r>
      <w:r w:rsidR="00010E61">
        <w:t>es</w:t>
      </w:r>
      <w:r w:rsidR="00010E61" w:rsidRPr="008C5765">
        <w:t xml:space="preserve"> not work and would need modifications, special equipment or special building features in order to work</w:t>
      </w:r>
    </w:p>
    <w:p w:rsidR="00010E61" w:rsidRPr="008C5765" w:rsidRDefault="000E04A3" w:rsidP="000E04A3">
      <w:pPr>
        <w:spacing w:before="120"/>
        <w:ind w:left="567" w:hanging="567"/>
      </w:pPr>
      <w:r>
        <w:t>3.</w:t>
      </w:r>
      <w:r>
        <w:tab/>
      </w:r>
      <w:proofErr w:type="gramStart"/>
      <w:r w:rsidR="00010E61">
        <w:t>g</w:t>
      </w:r>
      <w:r w:rsidR="00010E61" w:rsidRPr="008C5765">
        <w:t>ets</w:t>
      </w:r>
      <w:proofErr w:type="gramEnd"/>
      <w:r w:rsidR="00010E61" w:rsidRPr="008C5765">
        <w:t xml:space="preserve"> help with cooking, shopping, cleaning, managing finances, communication</w:t>
      </w:r>
      <w:r w:rsidR="00010E61">
        <w:t xml:space="preserve"> or</w:t>
      </w:r>
      <w:r w:rsidR="00010E61" w:rsidRPr="008C5765">
        <w:t xml:space="preserve"> personal care at least once a month</w:t>
      </w:r>
    </w:p>
    <w:p w:rsidR="00010E61" w:rsidRPr="008C5765" w:rsidRDefault="000E04A3" w:rsidP="000E04A3">
      <w:pPr>
        <w:spacing w:before="120"/>
        <w:ind w:left="567" w:hanging="567"/>
      </w:pPr>
      <w:r>
        <w:t>4.</w:t>
      </w:r>
      <w:r>
        <w:tab/>
      </w:r>
      <w:r w:rsidR="00010E61">
        <w:t>i</w:t>
      </w:r>
      <w:r w:rsidR="00010E61" w:rsidRPr="008C5765">
        <w:t>s unable to get help with personal care, housework or shopping when needing it</w:t>
      </w:r>
    </w:p>
    <w:p w:rsidR="00010E61" w:rsidRPr="008C5765" w:rsidRDefault="000E04A3" w:rsidP="000E04A3">
      <w:pPr>
        <w:spacing w:before="120"/>
        <w:ind w:left="567" w:hanging="567"/>
      </w:pPr>
      <w:r>
        <w:t>5.</w:t>
      </w:r>
      <w:r>
        <w:tab/>
      </w:r>
      <w:proofErr w:type="gramStart"/>
      <w:r w:rsidR="00010E61">
        <w:t>h</w:t>
      </w:r>
      <w:r w:rsidR="00010E61" w:rsidRPr="008C5765">
        <w:t>as</w:t>
      </w:r>
      <w:proofErr w:type="gramEnd"/>
      <w:r w:rsidR="00010E61" w:rsidRPr="008C5765">
        <w:t xml:space="preserve"> had respite care (carer support) in</w:t>
      </w:r>
      <w:r w:rsidR="00010E61">
        <w:t xml:space="preserve"> the</w:t>
      </w:r>
      <w:r w:rsidR="00010E61" w:rsidRPr="008C5765">
        <w:t xml:space="preserve"> last 12 months or needs respite care.</w:t>
      </w:r>
    </w:p>
    <w:p w:rsidR="00010E61" w:rsidRPr="008C5765" w:rsidRDefault="00010E61" w:rsidP="000E04A3"/>
    <w:p w:rsidR="00010E61" w:rsidRPr="008C5765" w:rsidRDefault="00010E61" w:rsidP="000E04A3">
      <w:r w:rsidRPr="008C5765">
        <w:t>To move up from support level 2 to support level 3</w:t>
      </w:r>
      <w:r>
        <w:t>,</w:t>
      </w:r>
      <w:r w:rsidRPr="008C5765">
        <w:t xml:space="preserve"> a disabled adult:</w:t>
      </w:r>
    </w:p>
    <w:p w:rsidR="00010E61" w:rsidRPr="008C5765" w:rsidRDefault="000E04A3" w:rsidP="000E04A3">
      <w:pPr>
        <w:spacing w:before="120"/>
        <w:ind w:left="567" w:hanging="567"/>
      </w:pPr>
      <w:r>
        <w:t>1.</w:t>
      </w:r>
      <w:r>
        <w:tab/>
      </w:r>
      <w:proofErr w:type="gramStart"/>
      <w:r w:rsidR="00010E61">
        <w:t>g</w:t>
      </w:r>
      <w:r w:rsidR="00010E61" w:rsidRPr="008C5765">
        <w:t>ets</w:t>
      </w:r>
      <w:proofErr w:type="gramEnd"/>
      <w:r w:rsidR="00010E61" w:rsidRPr="008C5765">
        <w:t xml:space="preserve"> help with cooking, shopping, cleaning, managing finances, or personal care every day.</w:t>
      </w:r>
    </w:p>
    <w:p w:rsidR="00010E61" w:rsidRPr="008C5765" w:rsidRDefault="00010E61" w:rsidP="000E04A3"/>
    <w:p w:rsidR="00010E61" w:rsidRPr="008C5765" w:rsidRDefault="00010E61" w:rsidP="000E04A3">
      <w:r w:rsidRPr="008C5765">
        <w:t>To move up from support level 1 to support level 2</w:t>
      </w:r>
      <w:r>
        <w:t>,</w:t>
      </w:r>
      <w:r w:rsidRPr="008C5765">
        <w:t xml:space="preserve"> a disabled child:</w:t>
      </w:r>
    </w:p>
    <w:p w:rsidR="00010E61" w:rsidRPr="008C5765" w:rsidRDefault="000E04A3" w:rsidP="000E04A3">
      <w:pPr>
        <w:spacing w:before="120"/>
        <w:ind w:left="567" w:hanging="567"/>
      </w:pPr>
      <w:r>
        <w:t>1.</w:t>
      </w:r>
      <w:r>
        <w:tab/>
      </w:r>
      <w:proofErr w:type="gramStart"/>
      <w:r w:rsidR="00010E61">
        <w:t>h</w:t>
      </w:r>
      <w:r w:rsidR="00010E61" w:rsidRPr="008C5765">
        <w:t>as</w:t>
      </w:r>
      <w:proofErr w:type="gramEnd"/>
      <w:r w:rsidR="00010E61" w:rsidRPr="008C5765">
        <w:t xml:space="preserve"> need (met or unmet) for equipment to assist with hearing, speaking, vision, moving around, use of hands or arms, or </w:t>
      </w:r>
      <w:r w:rsidR="00010E61">
        <w:t>for an</w:t>
      </w:r>
      <w:r w:rsidR="00010E61" w:rsidRPr="008C5765">
        <w:t>other purpose</w:t>
      </w:r>
    </w:p>
    <w:p w:rsidR="00010E61" w:rsidRPr="008C5765" w:rsidRDefault="000E04A3" w:rsidP="000E04A3">
      <w:pPr>
        <w:spacing w:before="120"/>
        <w:ind w:left="567" w:hanging="567"/>
      </w:pPr>
      <w:r>
        <w:t>2.</w:t>
      </w:r>
      <w:r>
        <w:tab/>
      </w:r>
      <w:proofErr w:type="gramStart"/>
      <w:r w:rsidR="00010E61">
        <w:t>n</w:t>
      </w:r>
      <w:r w:rsidR="00010E61" w:rsidRPr="008C5765">
        <w:t>eeds</w:t>
      </w:r>
      <w:proofErr w:type="gramEnd"/>
      <w:r w:rsidR="00010E61" w:rsidRPr="008C5765">
        <w:t xml:space="preserve"> special help with education or at school: attends special school or special classes or needs extra help at school, needs special equipment at school, </w:t>
      </w:r>
      <w:r w:rsidR="00010E61">
        <w:t xml:space="preserve">or </w:t>
      </w:r>
      <w:r w:rsidR="00010E61" w:rsidRPr="008C5765">
        <w:t>needs adapted classroom materials</w:t>
      </w:r>
    </w:p>
    <w:p w:rsidR="00010E61" w:rsidRPr="008C5765" w:rsidRDefault="000E04A3" w:rsidP="000E04A3">
      <w:pPr>
        <w:spacing w:before="120"/>
        <w:ind w:left="567" w:hanging="567"/>
      </w:pPr>
      <w:r>
        <w:t>3.</w:t>
      </w:r>
      <w:r>
        <w:tab/>
      </w:r>
      <w:proofErr w:type="gramStart"/>
      <w:r w:rsidR="00010E61">
        <w:t>n</w:t>
      </w:r>
      <w:r w:rsidR="00010E61" w:rsidRPr="008C5765">
        <w:t>eeds</w:t>
      </w:r>
      <w:proofErr w:type="gramEnd"/>
      <w:r w:rsidR="00010E61" w:rsidRPr="008C5765">
        <w:t xml:space="preserve"> special features to enter or leave home,</w:t>
      </w:r>
      <w:r w:rsidR="00010E61">
        <w:t xml:space="preserve"> or</w:t>
      </w:r>
      <w:r w:rsidR="00010E61" w:rsidRPr="008C5765">
        <w:t xml:space="preserve"> move around home or in the bathroom, or needs other special features in the home</w:t>
      </w:r>
    </w:p>
    <w:p w:rsidR="00010E61" w:rsidRPr="008C5765" w:rsidRDefault="000E04A3" w:rsidP="000E04A3">
      <w:pPr>
        <w:spacing w:before="120"/>
        <w:ind w:left="567" w:hanging="567"/>
      </w:pPr>
      <w:r>
        <w:t>4.</w:t>
      </w:r>
      <w:r>
        <w:tab/>
      </w:r>
      <w:proofErr w:type="gramStart"/>
      <w:r w:rsidR="00010E61">
        <w:t>n</w:t>
      </w:r>
      <w:r w:rsidR="00010E61" w:rsidRPr="008C5765">
        <w:t>eeds</w:t>
      </w:r>
      <w:proofErr w:type="gramEnd"/>
      <w:r w:rsidR="00010E61" w:rsidRPr="008C5765">
        <w:t xml:space="preserve"> modifications made to a private car to travel as a passenger, </w:t>
      </w:r>
      <w:r w:rsidR="00010E61">
        <w:t xml:space="preserve">or </w:t>
      </w:r>
      <w:r w:rsidR="00010E61" w:rsidRPr="008C5765">
        <w:t>uses and has difficulty using public transport.</w:t>
      </w:r>
    </w:p>
    <w:p w:rsidR="00010E61" w:rsidRPr="008C5765" w:rsidRDefault="00010E61" w:rsidP="000E04A3"/>
    <w:p w:rsidR="00010E61" w:rsidRPr="008C5765" w:rsidRDefault="00010E61" w:rsidP="000E04A3">
      <w:r w:rsidRPr="008C5765">
        <w:t>To move up from support level 2 to support level 3</w:t>
      </w:r>
      <w:r>
        <w:t>,</w:t>
      </w:r>
      <w:r w:rsidRPr="008C5765">
        <w:t xml:space="preserve"> a disabled child:</w:t>
      </w:r>
    </w:p>
    <w:p w:rsidR="00010E61" w:rsidRPr="008C5765" w:rsidRDefault="000E04A3" w:rsidP="000E04A3">
      <w:pPr>
        <w:spacing w:before="120"/>
        <w:ind w:left="567" w:hanging="567"/>
      </w:pPr>
      <w:r>
        <w:t>1.</w:t>
      </w:r>
      <w:r>
        <w:tab/>
      </w:r>
      <w:proofErr w:type="gramStart"/>
      <w:r w:rsidR="00010E61">
        <w:t>n</w:t>
      </w:r>
      <w:r w:rsidR="00010E61" w:rsidRPr="008C5765">
        <w:t>eeds</w:t>
      </w:r>
      <w:proofErr w:type="gramEnd"/>
      <w:r w:rsidR="00010E61" w:rsidRPr="008C5765">
        <w:t xml:space="preserve"> extra help with personal care (more than other children of</w:t>
      </w:r>
      <w:r w:rsidR="00010E61">
        <w:t xml:space="preserve"> the</w:t>
      </w:r>
      <w:r w:rsidR="00010E61" w:rsidRPr="008C5765">
        <w:t xml:space="preserve"> same age)</w:t>
      </w:r>
    </w:p>
    <w:p w:rsidR="00010E61" w:rsidRPr="008C5765" w:rsidRDefault="000E04A3" w:rsidP="000E04A3">
      <w:pPr>
        <w:spacing w:before="120"/>
        <w:ind w:left="567" w:hanging="567"/>
      </w:pPr>
      <w:r>
        <w:t>2.</w:t>
      </w:r>
      <w:r>
        <w:tab/>
      </w:r>
      <w:proofErr w:type="gramStart"/>
      <w:r w:rsidR="00010E61">
        <w:t>i</w:t>
      </w:r>
      <w:r w:rsidR="00010E61" w:rsidRPr="008C5765">
        <w:t>s</w:t>
      </w:r>
      <w:proofErr w:type="gramEnd"/>
      <w:r w:rsidR="00010E61" w:rsidRPr="008C5765">
        <w:t xml:space="preserve"> in a household that needs help with general housework, shopping, cooking and other household chores due to the child’s condition</w:t>
      </w:r>
    </w:p>
    <w:p w:rsidR="00010E61" w:rsidRPr="008C5765" w:rsidRDefault="000E04A3" w:rsidP="000E04A3">
      <w:pPr>
        <w:spacing w:before="120"/>
        <w:ind w:left="567" w:hanging="567"/>
      </w:pPr>
      <w:r>
        <w:t>3.</w:t>
      </w:r>
      <w:r>
        <w:tab/>
      </w:r>
      <w:proofErr w:type="gramStart"/>
      <w:r w:rsidR="00010E61">
        <w:t>h</w:t>
      </w:r>
      <w:r w:rsidR="00010E61" w:rsidRPr="008C5765">
        <w:t>as</w:t>
      </w:r>
      <w:proofErr w:type="gramEnd"/>
      <w:r w:rsidR="00010E61" w:rsidRPr="008C5765">
        <w:t xml:space="preserve"> had respite care (carer support) in last 12 months plus at least one other level 2 criteri</w:t>
      </w:r>
      <w:r w:rsidR="00010E61">
        <w:t>on</w:t>
      </w:r>
      <w:r w:rsidR="00010E61" w:rsidRPr="008C5765">
        <w:t>.</w:t>
      </w:r>
    </w:p>
    <w:p w:rsidR="00010E61" w:rsidRPr="008C5765" w:rsidRDefault="00010E61" w:rsidP="000E04A3"/>
    <w:p w:rsidR="00010E61" w:rsidRPr="008C5765" w:rsidRDefault="00010E61" w:rsidP="000E04A3">
      <w:r w:rsidRPr="008C5765">
        <w:t>Once a person meets the criteria for moving into level 2 support</w:t>
      </w:r>
      <w:r>
        <w:t>,</w:t>
      </w:r>
      <w:r w:rsidRPr="008C5765">
        <w:t xml:space="preserve"> they are no longer independent. Having determined the level of support need for each disabled person, estimated numbers of males and females for each population by 10</w:t>
      </w:r>
      <w:r>
        <w:t>-</w:t>
      </w:r>
      <w:r w:rsidRPr="008C5765">
        <w:t xml:space="preserve">year age groups </w:t>
      </w:r>
      <w:proofErr w:type="gramStart"/>
      <w:r w:rsidRPr="008C5765">
        <w:t>were</w:t>
      </w:r>
      <w:proofErr w:type="gramEnd"/>
      <w:r w:rsidRPr="008C5765">
        <w:t xml:space="preserve"> generated for use in </w:t>
      </w:r>
      <w:r>
        <w:t>estimating</w:t>
      </w:r>
      <w:r w:rsidRPr="008C5765">
        <w:t xml:space="preserve"> health expectancy. For analytical purposes, ethnic information was aggregated to one of three mutually exclusive categories: Māori, non-Māori (identified with an ethnic group</w:t>
      </w:r>
      <w:r>
        <w:t xml:space="preserve"> other than</w:t>
      </w:r>
      <w:r w:rsidRPr="008C5765">
        <w:t xml:space="preserve"> Māori) and unspecified (no identification with any ethnic group).</w:t>
      </w:r>
    </w:p>
    <w:p w:rsidR="00010E61" w:rsidRPr="008C5765" w:rsidRDefault="00010E61" w:rsidP="000E04A3"/>
    <w:p w:rsidR="00010E61" w:rsidRPr="00F560AC" w:rsidRDefault="00010E61" w:rsidP="000E04A3">
      <w:pPr>
        <w:pStyle w:val="Heading3"/>
      </w:pPr>
      <w:r w:rsidRPr="00F560AC">
        <w:t>Method for smoothing disability prevalence rates</w:t>
      </w:r>
    </w:p>
    <w:p w:rsidR="00010E61" w:rsidRPr="008C5765" w:rsidRDefault="00010E61" w:rsidP="000E04A3">
      <w:pPr>
        <w:keepNext/>
      </w:pPr>
      <w:r w:rsidRPr="008C5765">
        <w:t>The following process was used to estimate smoothed disability prevalence rates</w:t>
      </w:r>
      <w:r>
        <w:t>.</w:t>
      </w:r>
    </w:p>
    <w:p w:rsidR="00010E61" w:rsidRPr="008C5765" w:rsidRDefault="000E04A3" w:rsidP="000E04A3">
      <w:pPr>
        <w:keepNext/>
        <w:spacing w:before="120"/>
        <w:ind w:left="567" w:hanging="567"/>
      </w:pPr>
      <w:r>
        <w:t>1.</w:t>
      </w:r>
      <w:r>
        <w:tab/>
      </w:r>
      <w:r w:rsidR="00010E61" w:rsidRPr="008C5765">
        <w:t>The crude disability rates were calculated by age group, gender, ethnicity, and support need level. The numerator was the population-weighted number of people with disability in the 2013 Disability Survey and the denominator was the 2013 Census population</w:t>
      </w:r>
      <w:r w:rsidR="00010E61">
        <w:t xml:space="preserve"> (Statistics NZ 2013)</w:t>
      </w:r>
      <w:r w:rsidR="00010E61" w:rsidRPr="008C5765">
        <w:t>.</w:t>
      </w:r>
    </w:p>
    <w:p w:rsidR="00010E61" w:rsidRPr="008C5765" w:rsidRDefault="000E04A3" w:rsidP="000E04A3">
      <w:pPr>
        <w:keepNext/>
        <w:spacing w:before="120"/>
        <w:ind w:left="567" w:hanging="567"/>
      </w:pPr>
      <w:r>
        <w:t>2.</w:t>
      </w:r>
      <w:r>
        <w:tab/>
      </w:r>
      <w:r w:rsidR="00010E61" w:rsidRPr="008C5765">
        <w:t>The 2013 Disability Survey data yielded rates by 10-year age group and up to 80+ years of age.</w:t>
      </w:r>
    </w:p>
    <w:p w:rsidR="00010E61" w:rsidRPr="008C5765" w:rsidRDefault="000E04A3" w:rsidP="000E04A3">
      <w:pPr>
        <w:spacing w:before="120"/>
        <w:ind w:left="567" w:hanging="567"/>
      </w:pPr>
      <w:r>
        <w:t>3.</w:t>
      </w:r>
      <w:r>
        <w:tab/>
      </w:r>
      <w:r w:rsidR="00010E61" w:rsidRPr="008C5765">
        <w:t xml:space="preserve">Kernel smoothing was performed by the statistical software STATA version 12.1 with function </w:t>
      </w:r>
      <w:proofErr w:type="spellStart"/>
      <w:r w:rsidR="00010E61" w:rsidRPr="008C5765">
        <w:rPr>
          <w:i/>
        </w:rPr>
        <w:t>lpoly</w:t>
      </w:r>
      <w:proofErr w:type="spellEnd"/>
      <w:r w:rsidR="00010E61" w:rsidRPr="008C5765">
        <w:t xml:space="preserve"> to estimate disability rates by </w:t>
      </w:r>
      <w:r w:rsidR="00010E61">
        <w:t>five</w:t>
      </w:r>
      <w:r w:rsidR="00010E61" w:rsidRPr="008C5765">
        <w:t>-year age group.</w:t>
      </w:r>
    </w:p>
    <w:p w:rsidR="00010E61" w:rsidRPr="008C5765" w:rsidRDefault="00010E61" w:rsidP="000E04A3"/>
    <w:p w:rsidR="00010E61" w:rsidRPr="008C5765" w:rsidRDefault="00010E61" w:rsidP="000E04A3">
      <w:pPr>
        <w:pStyle w:val="Heading3"/>
      </w:pPr>
      <w:r w:rsidRPr="008C5765">
        <w:t xml:space="preserve">Method for calculating New Zealand life tables </w:t>
      </w:r>
    </w:p>
    <w:p w:rsidR="00010E61" w:rsidRDefault="00010E61" w:rsidP="000E04A3">
      <w:r w:rsidRPr="008C5765">
        <w:t>The period life tables are based on death rates during a specific period. Such tables are derived every five years using average death rates for three successive years centred on a census year. A complete life table presents functions for each single year of age, while an abridged life table presents functions for five-year age groups. Information on methods used to produce life tables is available on Statistics NZ’s website (Statistics N</w:t>
      </w:r>
      <w:r>
        <w:t>Z</w:t>
      </w:r>
      <w:r w:rsidRPr="008C5765">
        <w:t xml:space="preserve"> 2015a).</w:t>
      </w:r>
    </w:p>
    <w:p w:rsidR="000E04A3" w:rsidRPr="008C5765" w:rsidRDefault="000E04A3" w:rsidP="000E04A3"/>
    <w:p w:rsidR="00010E61" w:rsidRPr="00213C37" w:rsidRDefault="00010E61" w:rsidP="000E04A3">
      <w:pPr>
        <w:pStyle w:val="Heading3"/>
      </w:pPr>
      <w:r w:rsidRPr="00F560AC">
        <w:t>Method for calculating ILE</w:t>
      </w:r>
    </w:p>
    <w:p w:rsidR="00010E61" w:rsidRPr="008C5765" w:rsidRDefault="00010E61" w:rsidP="000E04A3">
      <w:r w:rsidRPr="008C5765">
        <w:t xml:space="preserve">ILE and the other health state expectancies were estimated </w:t>
      </w:r>
      <w:r>
        <w:t>using</w:t>
      </w:r>
      <w:r w:rsidRPr="008C5765">
        <w:t xml:space="preserve"> the Sullivan prevalence method. The formulae for calculating the standard error of ILE are embedded in the spreadsheet. Columns in the Sullivan spreadsheet are explained below</w:t>
      </w:r>
      <w:r>
        <w:t>.</w:t>
      </w:r>
    </w:p>
    <w:p w:rsidR="00010E61" w:rsidRDefault="00010E61" w:rsidP="000E04A3"/>
    <w:tbl>
      <w:tblPr>
        <w:tblStyle w:val="TableGrid"/>
        <w:tblW w:w="9356"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8222"/>
      </w:tblGrid>
      <w:tr w:rsidR="00616387" w:rsidRPr="00616387" w:rsidTr="00616387">
        <w:trPr>
          <w:cantSplit/>
        </w:trPr>
        <w:tc>
          <w:tcPr>
            <w:tcW w:w="1134" w:type="dxa"/>
            <w:tcBorders>
              <w:top w:val="single" w:sz="4" w:space="0" w:color="auto"/>
              <w:bottom w:val="single" w:sz="4" w:space="0" w:color="auto"/>
            </w:tcBorders>
          </w:tcPr>
          <w:p w:rsidR="00616387" w:rsidRPr="00616387" w:rsidRDefault="00616387" w:rsidP="00616387">
            <w:pPr>
              <w:pStyle w:val="TableText"/>
              <w:rPr>
                <w:b/>
              </w:rPr>
            </w:pPr>
            <w:r>
              <w:rPr>
                <w:b/>
              </w:rPr>
              <w:t>Column</w:t>
            </w:r>
          </w:p>
        </w:tc>
        <w:tc>
          <w:tcPr>
            <w:tcW w:w="8222" w:type="dxa"/>
            <w:tcBorders>
              <w:top w:val="single" w:sz="4" w:space="0" w:color="auto"/>
              <w:bottom w:val="single" w:sz="4" w:space="0" w:color="auto"/>
            </w:tcBorders>
          </w:tcPr>
          <w:p w:rsidR="00616387" w:rsidRPr="00616387" w:rsidRDefault="00616387" w:rsidP="00616387">
            <w:pPr>
              <w:pStyle w:val="TableText"/>
              <w:rPr>
                <w:b/>
              </w:rPr>
            </w:pPr>
            <w:r>
              <w:rPr>
                <w:b/>
              </w:rPr>
              <w:t>Explanation</w:t>
            </w:r>
          </w:p>
        </w:tc>
      </w:tr>
      <w:tr w:rsidR="00616387" w:rsidTr="00616387">
        <w:trPr>
          <w:cantSplit/>
        </w:trPr>
        <w:tc>
          <w:tcPr>
            <w:tcW w:w="1134" w:type="dxa"/>
            <w:tcBorders>
              <w:top w:val="single" w:sz="4" w:space="0" w:color="auto"/>
              <w:bottom w:val="nil"/>
            </w:tcBorders>
            <w:shd w:val="clear" w:color="auto" w:fill="F2F2F2" w:themeFill="background1" w:themeFillShade="F2"/>
          </w:tcPr>
          <w:p w:rsidR="00616387" w:rsidRPr="008C5765" w:rsidRDefault="00616387" w:rsidP="00B95C61">
            <w:pPr>
              <w:pStyle w:val="TableText"/>
            </w:pPr>
            <w:r w:rsidRPr="008C5765">
              <w:t>1</w:t>
            </w:r>
            <w:r>
              <w:t>–</w:t>
            </w:r>
            <w:r w:rsidRPr="008C5765">
              <w:t>9</w:t>
            </w:r>
          </w:p>
        </w:tc>
        <w:tc>
          <w:tcPr>
            <w:tcW w:w="8222" w:type="dxa"/>
            <w:tcBorders>
              <w:top w:val="single" w:sz="4" w:space="0" w:color="auto"/>
              <w:bottom w:val="nil"/>
            </w:tcBorders>
            <w:shd w:val="clear" w:color="auto" w:fill="F2F2F2" w:themeFill="background1" w:themeFillShade="F2"/>
          </w:tcPr>
          <w:p w:rsidR="00616387" w:rsidRPr="008C5765" w:rsidRDefault="00616387" w:rsidP="00B95C61">
            <w:pPr>
              <w:pStyle w:val="TableText"/>
            </w:pPr>
            <w:r w:rsidRPr="008C5765">
              <w:t>abridged life table supplied by Statistics NZ</w:t>
            </w:r>
          </w:p>
        </w:tc>
      </w:tr>
      <w:tr w:rsidR="00616387" w:rsidTr="00616387">
        <w:trPr>
          <w:cantSplit/>
        </w:trPr>
        <w:tc>
          <w:tcPr>
            <w:tcW w:w="1134" w:type="dxa"/>
            <w:tcBorders>
              <w:top w:val="nil"/>
              <w:bottom w:val="nil"/>
            </w:tcBorders>
          </w:tcPr>
          <w:p w:rsidR="00616387" w:rsidRPr="008C5765" w:rsidRDefault="00616387" w:rsidP="00B95C61">
            <w:pPr>
              <w:pStyle w:val="TableText"/>
            </w:pPr>
            <w:r w:rsidRPr="008C5765">
              <w:t>10</w:t>
            </w:r>
          </w:p>
        </w:tc>
        <w:tc>
          <w:tcPr>
            <w:tcW w:w="8222" w:type="dxa"/>
            <w:tcBorders>
              <w:top w:val="nil"/>
              <w:bottom w:val="nil"/>
            </w:tcBorders>
          </w:tcPr>
          <w:p w:rsidR="00616387" w:rsidRPr="008C5765" w:rsidRDefault="00616387" w:rsidP="00495773">
            <w:pPr>
              <w:pStyle w:val="TableText"/>
            </w:pPr>
            <w:r w:rsidRPr="008C5765">
              <w:t>smoothed disability prevalence rates from the 2013 post-</w:t>
            </w:r>
            <w:proofErr w:type="spellStart"/>
            <w:r w:rsidRPr="008C5765">
              <w:t>censal</w:t>
            </w:r>
            <w:proofErr w:type="spellEnd"/>
            <w:r w:rsidRPr="008C5765">
              <w:t xml:space="preserve"> </w:t>
            </w:r>
            <w:r>
              <w:t>D</w:t>
            </w:r>
            <w:r w:rsidRPr="008C5765">
              <w:t xml:space="preserve">isability </w:t>
            </w:r>
            <w:r w:rsidR="00495773">
              <w:t>S</w:t>
            </w:r>
            <w:r w:rsidRPr="008C5765">
              <w:t>urvey</w:t>
            </w:r>
          </w:p>
        </w:tc>
      </w:tr>
      <w:tr w:rsidR="00616387" w:rsidTr="00616387">
        <w:trPr>
          <w:cantSplit/>
        </w:trPr>
        <w:tc>
          <w:tcPr>
            <w:tcW w:w="1134" w:type="dxa"/>
            <w:tcBorders>
              <w:top w:val="nil"/>
              <w:bottom w:val="nil"/>
            </w:tcBorders>
            <w:shd w:val="clear" w:color="auto" w:fill="F2F2F2" w:themeFill="background1" w:themeFillShade="F2"/>
          </w:tcPr>
          <w:p w:rsidR="00616387" w:rsidRPr="008C5765" w:rsidRDefault="00616387" w:rsidP="00B95C61">
            <w:pPr>
              <w:pStyle w:val="TableText"/>
            </w:pPr>
            <w:r w:rsidRPr="008C5765">
              <w:t>13</w:t>
            </w:r>
          </w:p>
        </w:tc>
        <w:tc>
          <w:tcPr>
            <w:tcW w:w="8222" w:type="dxa"/>
            <w:tcBorders>
              <w:top w:val="nil"/>
              <w:bottom w:val="nil"/>
            </w:tcBorders>
            <w:shd w:val="clear" w:color="auto" w:fill="F2F2F2" w:themeFill="background1" w:themeFillShade="F2"/>
          </w:tcPr>
          <w:p w:rsidR="00616387" w:rsidRPr="008C5765" w:rsidRDefault="00616387" w:rsidP="00B95C61">
            <w:pPr>
              <w:pStyle w:val="TableText"/>
            </w:pPr>
            <w:r w:rsidRPr="008C5765">
              <w:t xml:space="preserve">column 12 / column 2, </w:t>
            </w:r>
            <w:proofErr w:type="spellStart"/>
            <w:r w:rsidRPr="00F560AC">
              <w:t>ie</w:t>
            </w:r>
            <w:proofErr w:type="spellEnd"/>
            <w:r>
              <w:t>,</w:t>
            </w:r>
            <w:r w:rsidRPr="008C5765">
              <w:t xml:space="preserve"> </w:t>
            </w:r>
            <w:proofErr w:type="spellStart"/>
            <w:r w:rsidRPr="008C5765">
              <w:t>ILEx</w:t>
            </w:r>
            <w:proofErr w:type="spellEnd"/>
            <w:r w:rsidRPr="008C5765">
              <w:t xml:space="preserve"> = Σ[(1-πx)×Lx] / lx</w:t>
            </w:r>
          </w:p>
        </w:tc>
      </w:tr>
      <w:tr w:rsidR="00616387" w:rsidTr="00616387">
        <w:trPr>
          <w:cantSplit/>
        </w:trPr>
        <w:tc>
          <w:tcPr>
            <w:tcW w:w="1134" w:type="dxa"/>
            <w:tcBorders>
              <w:top w:val="nil"/>
              <w:bottom w:val="nil"/>
            </w:tcBorders>
          </w:tcPr>
          <w:p w:rsidR="00616387" w:rsidRPr="008C5765" w:rsidRDefault="00616387" w:rsidP="00B95C61">
            <w:pPr>
              <w:pStyle w:val="TableText"/>
            </w:pPr>
            <w:r w:rsidRPr="008C5765">
              <w:t>14</w:t>
            </w:r>
          </w:p>
        </w:tc>
        <w:tc>
          <w:tcPr>
            <w:tcW w:w="8222" w:type="dxa"/>
            <w:tcBorders>
              <w:top w:val="nil"/>
              <w:bottom w:val="nil"/>
            </w:tcBorders>
          </w:tcPr>
          <w:p w:rsidR="00616387" w:rsidRPr="008C5765" w:rsidRDefault="00616387" w:rsidP="00B95C61">
            <w:pPr>
              <w:pStyle w:val="TableText"/>
            </w:pPr>
            <w:r w:rsidRPr="008C5765">
              <w:t>total number of participants in the 2013 Disability Survey per the age interval</w:t>
            </w:r>
          </w:p>
        </w:tc>
      </w:tr>
      <w:tr w:rsidR="00616387" w:rsidTr="00616387">
        <w:trPr>
          <w:cantSplit/>
        </w:trPr>
        <w:tc>
          <w:tcPr>
            <w:tcW w:w="1134" w:type="dxa"/>
            <w:tcBorders>
              <w:top w:val="nil"/>
              <w:bottom w:val="nil"/>
            </w:tcBorders>
            <w:shd w:val="clear" w:color="auto" w:fill="F2F2F2" w:themeFill="background1" w:themeFillShade="F2"/>
          </w:tcPr>
          <w:p w:rsidR="00616387" w:rsidRPr="008C5765" w:rsidRDefault="00616387" w:rsidP="00B95C61">
            <w:pPr>
              <w:pStyle w:val="TableText"/>
            </w:pPr>
            <w:r w:rsidRPr="008C5765">
              <w:t>15</w:t>
            </w:r>
          </w:p>
        </w:tc>
        <w:tc>
          <w:tcPr>
            <w:tcW w:w="8222" w:type="dxa"/>
            <w:tcBorders>
              <w:top w:val="nil"/>
              <w:bottom w:val="nil"/>
            </w:tcBorders>
            <w:shd w:val="clear" w:color="auto" w:fill="F2F2F2" w:themeFill="background1" w:themeFillShade="F2"/>
          </w:tcPr>
          <w:p w:rsidR="00616387" w:rsidRPr="008C5765" w:rsidRDefault="00616387" w:rsidP="00B95C61">
            <w:pPr>
              <w:pStyle w:val="TableText"/>
            </w:pPr>
            <w:r w:rsidRPr="008C5765">
              <w:t xml:space="preserve">[column 10×(1–column 10)] / column 14, </w:t>
            </w:r>
            <w:proofErr w:type="spellStart"/>
            <w:r w:rsidRPr="00F560AC">
              <w:t>ie</w:t>
            </w:r>
            <w:proofErr w:type="spellEnd"/>
            <w:r w:rsidRPr="00F560AC">
              <w:t>,</w:t>
            </w:r>
            <w:r w:rsidRPr="008C5765">
              <w:t xml:space="preserve"> S</w:t>
            </w:r>
            <w:r w:rsidRPr="008C5765">
              <w:rPr>
                <w:vertAlign w:val="superscript"/>
              </w:rPr>
              <w:t>2</w:t>
            </w:r>
            <w:r w:rsidRPr="008C5765">
              <w:t xml:space="preserve">(πx) = [πx×(1– πx)] / </w:t>
            </w:r>
            <w:proofErr w:type="spellStart"/>
            <w:r w:rsidRPr="008C5765">
              <w:t>Nx</w:t>
            </w:r>
            <w:proofErr w:type="spellEnd"/>
          </w:p>
        </w:tc>
      </w:tr>
      <w:tr w:rsidR="00616387" w:rsidTr="00616387">
        <w:trPr>
          <w:cantSplit/>
        </w:trPr>
        <w:tc>
          <w:tcPr>
            <w:tcW w:w="1134" w:type="dxa"/>
            <w:tcBorders>
              <w:top w:val="nil"/>
              <w:bottom w:val="nil"/>
            </w:tcBorders>
          </w:tcPr>
          <w:p w:rsidR="00616387" w:rsidRPr="008C5765" w:rsidRDefault="00616387" w:rsidP="00B95C61">
            <w:pPr>
              <w:pStyle w:val="TableText"/>
            </w:pPr>
            <w:r w:rsidRPr="008C5765">
              <w:t>18</w:t>
            </w:r>
          </w:p>
        </w:tc>
        <w:tc>
          <w:tcPr>
            <w:tcW w:w="8222" w:type="dxa"/>
            <w:tcBorders>
              <w:top w:val="nil"/>
              <w:bottom w:val="nil"/>
            </w:tcBorders>
          </w:tcPr>
          <w:p w:rsidR="00616387" w:rsidRPr="008C5765" w:rsidRDefault="00616387" w:rsidP="00B95C61">
            <w:pPr>
              <w:pStyle w:val="TableText"/>
            </w:pPr>
            <w:r w:rsidRPr="008C5765">
              <w:t>column 17 / (column 2)</w:t>
            </w:r>
            <w:r w:rsidRPr="008C5765">
              <w:rPr>
                <w:vertAlign w:val="superscript"/>
              </w:rPr>
              <w:t>2</w:t>
            </w:r>
            <w:r w:rsidRPr="008C5765">
              <w:t xml:space="preserve"> , </w:t>
            </w:r>
            <w:proofErr w:type="spellStart"/>
            <w:r w:rsidRPr="00F560AC">
              <w:t>ie</w:t>
            </w:r>
            <w:proofErr w:type="spellEnd"/>
            <w:r>
              <w:t>,</w:t>
            </w:r>
            <w:r w:rsidRPr="008C5765">
              <w:t xml:space="preserve"> S</w:t>
            </w:r>
            <w:r w:rsidRPr="008C5765">
              <w:rPr>
                <w:vertAlign w:val="superscript"/>
              </w:rPr>
              <w:t>2</w:t>
            </w:r>
            <w:r w:rsidRPr="008C5765">
              <w:t>(</w:t>
            </w:r>
            <w:proofErr w:type="spellStart"/>
            <w:r w:rsidRPr="008C5765">
              <w:t>ILEx</w:t>
            </w:r>
            <w:proofErr w:type="spellEnd"/>
            <w:r w:rsidRPr="008C5765">
              <w:t>) = ΣL</w:t>
            </w:r>
            <w:r w:rsidRPr="008C5765">
              <w:rPr>
                <w:vertAlign w:val="superscript"/>
              </w:rPr>
              <w:t>2</w:t>
            </w:r>
            <w:r w:rsidRPr="008C5765">
              <w:t xml:space="preserve"> S</w:t>
            </w:r>
            <w:r w:rsidRPr="008C5765">
              <w:rPr>
                <w:vertAlign w:val="superscript"/>
              </w:rPr>
              <w:t>2</w:t>
            </w:r>
            <w:r w:rsidRPr="008C5765">
              <w:t>(πx) / (lx)</w:t>
            </w:r>
            <w:r w:rsidRPr="008C5765">
              <w:rPr>
                <w:vertAlign w:val="superscript"/>
              </w:rPr>
              <w:t>2</w:t>
            </w:r>
          </w:p>
        </w:tc>
      </w:tr>
      <w:tr w:rsidR="00616387" w:rsidTr="00616387">
        <w:trPr>
          <w:cantSplit/>
        </w:trPr>
        <w:tc>
          <w:tcPr>
            <w:tcW w:w="1134" w:type="dxa"/>
            <w:tcBorders>
              <w:top w:val="nil"/>
              <w:bottom w:val="nil"/>
            </w:tcBorders>
            <w:shd w:val="clear" w:color="auto" w:fill="F2F2F2" w:themeFill="background1" w:themeFillShade="F2"/>
          </w:tcPr>
          <w:p w:rsidR="00616387" w:rsidRPr="008C5765" w:rsidRDefault="00616387" w:rsidP="00B95C61">
            <w:pPr>
              <w:pStyle w:val="TableText"/>
            </w:pPr>
            <w:r w:rsidRPr="008C5765">
              <w:t>19</w:t>
            </w:r>
          </w:p>
        </w:tc>
        <w:tc>
          <w:tcPr>
            <w:tcW w:w="8222" w:type="dxa"/>
            <w:tcBorders>
              <w:top w:val="nil"/>
              <w:bottom w:val="nil"/>
            </w:tcBorders>
            <w:shd w:val="clear" w:color="auto" w:fill="F2F2F2" w:themeFill="background1" w:themeFillShade="F2"/>
          </w:tcPr>
          <w:p w:rsidR="00616387" w:rsidRPr="008C5765" w:rsidRDefault="00616387" w:rsidP="00B95C61">
            <w:pPr>
              <w:pStyle w:val="TableText"/>
            </w:pPr>
            <w:r w:rsidRPr="008C5765">
              <w:t xml:space="preserve">square root of column 18, </w:t>
            </w:r>
            <w:proofErr w:type="spellStart"/>
            <w:r w:rsidRPr="00F560AC">
              <w:t>ie</w:t>
            </w:r>
            <w:proofErr w:type="spellEnd"/>
            <w:r>
              <w:t>,</w:t>
            </w:r>
            <w:r w:rsidRPr="00A10BB4">
              <w:t xml:space="preserve"> </w:t>
            </w:r>
            <w:r w:rsidRPr="008C5765">
              <w:t>S(</w:t>
            </w:r>
            <w:proofErr w:type="spellStart"/>
            <w:r w:rsidRPr="008C5765">
              <w:t>ILEx</w:t>
            </w:r>
            <w:proofErr w:type="spellEnd"/>
            <w:r w:rsidRPr="008C5765">
              <w:t>) = √S</w:t>
            </w:r>
            <w:r w:rsidRPr="008C5765">
              <w:rPr>
                <w:vertAlign w:val="superscript"/>
              </w:rPr>
              <w:t>2</w:t>
            </w:r>
            <w:r w:rsidRPr="008C5765">
              <w:t>(</w:t>
            </w:r>
            <w:proofErr w:type="spellStart"/>
            <w:r w:rsidRPr="008C5765">
              <w:t>ILEx</w:t>
            </w:r>
            <w:proofErr w:type="spellEnd"/>
            <w:r w:rsidRPr="008C5765">
              <w:t>)</w:t>
            </w:r>
          </w:p>
        </w:tc>
      </w:tr>
      <w:tr w:rsidR="00616387" w:rsidTr="00616387">
        <w:trPr>
          <w:cantSplit/>
        </w:trPr>
        <w:tc>
          <w:tcPr>
            <w:tcW w:w="1134" w:type="dxa"/>
            <w:tcBorders>
              <w:top w:val="nil"/>
            </w:tcBorders>
          </w:tcPr>
          <w:p w:rsidR="00616387" w:rsidRPr="008C5765" w:rsidRDefault="00616387" w:rsidP="00B95C61">
            <w:pPr>
              <w:pStyle w:val="TableText"/>
            </w:pPr>
            <w:r w:rsidRPr="008C5765">
              <w:t>20 and 21</w:t>
            </w:r>
          </w:p>
        </w:tc>
        <w:tc>
          <w:tcPr>
            <w:tcW w:w="8222" w:type="dxa"/>
            <w:tcBorders>
              <w:top w:val="nil"/>
            </w:tcBorders>
          </w:tcPr>
          <w:p w:rsidR="00616387" w:rsidRPr="008C5765" w:rsidRDefault="00616387" w:rsidP="00B95C61">
            <w:pPr>
              <w:pStyle w:val="TableText"/>
            </w:pPr>
            <w:r w:rsidRPr="008C5765">
              <w:t>column 13 ± 1.96 × column 19</w:t>
            </w:r>
          </w:p>
        </w:tc>
      </w:tr>
    </w:tbl>
    <w:p w:rsidR="00616387" w:rsidRPr="008C5765" w:rsidRDefault="00616387" w:rsidP="00616387"/>
    <w:p w:rsidR="00616387" w:rsidRDefault="00616387" w:rsidP="00616387">
      <w:pPr>
        <w:sectPr w:rsidR="00616387" w:rsidSect="009D5125">
          <w:headerReference w:type="default" r:id="rId44"/>
          <w:footerReference w:type="default" r:id="rId45"/>
          <w:pgSz w:w="11907" w:h="16834" w:code="9"/>
          <w:pgMar w:top="851" w:right="1134" w:bottom="1134" w:left="1134" w:header="284" w:footer="567" w:gutter="284"/>
          <w:pgNumType w:start="1"/>
          <w:cols w:space="720"/>
        </w:sectPr>
      </w:pPr>
    </w:p>
    <w:p w:rsidR="00010E61" w:rsidRPr="008C5765" w:rsidRDefault="00010E61" w:rsidP="00616387">
      <w:r w:rsidRPr="008C5765">
        <w:t>An example spreadsheet is shown below. Please note that the numbers in columns 10 and 14 are illustrative only.</w:t>
      </w:r>
    </w:p>
    <w:p w:rsidR="00010E61" w:rsidRPr="008C5765" w:rsidRDefault="00010E61" w:rsidP="00616387"/>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851"/>
        <w:gridCol w:w="1134"/>
        <w:gridCol w:w="142"/>
        <w:gridCol w:w="1653"/>
        <w:gridCol w:w="1465"/>
        <w:gridCol w:w="1276"/>
        <w:gridCol w:w="1134"/>
        <w:gridCol w:w="1389"/>
        <w:gridCol w:w="1588"/>
        <w:gridCol w:w="1275"/>
        <w:gridCol w:w="1304"/>
        <w:gridCol w:w="1390"/>
      </w:tblGrid>
      <w:tr w:rsidR="00F11157" w:rsidRPr="00616387" w:rsidTr="00F11157">
        <w:trPr>
          <w:cantSplit/>
        </w:trPr>
        <w:tc>
          <w:tcPr>
            <w:tcW w:w="851" w:type="dxa"/>
            <w:tcBorders>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1</w:t>
            </w:r>
          </w:p>
        </w:tc>
        <w:tc>
          <w:tcPr>
            <w:tcW w:w="1134" w:type="dxa"/>
            <w:tcBorders>
              <w:top w:val="single" w:sz="4" w:space="0" w:color="auto"/>
              <w:left w:val="single" w:sz="4" w:space="0" w:color="A6A6A6" w:themeColor="background1" w:themeShade="A6"/>
              <w:bottom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2</w:t>
            </w:r>
          </w:p>
        </w:tc>
        <w:tc>
          <w:tcPr>
            <w:tcW w:w="1795" w:type="dxa"/>
            <w:gridSpan w:val="2"/>
            <w:tcBorders>
              <w:top w:val="single" w:sz="4" w:space="0" w:color="auto"/>
              <w:bottom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3</w:t>
            </w:r>
          </w:p>
        </w:tc>
        <w:tc>
          <w:tcPr>
            <w:tcW w:w="1465" w:type="dxa"/>
            <w:tcBorders>
              <w:top w:val="single" w:sz="4" w:space="0" w:color="auto"/>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4</w:t>
            </w:r>
          </w:p>
        </w:tc>
        <w:tc>
          <w:tcPr>
            <w:tcW w:w="1276" w:type="dxa"/>
            <w:tcBorders>
              <w:left w:val="single" w:sz="4" w:space="0" w:color="A6A6A6" w:themeColor="background1" w:themeShade="A6"/>
              <w:bottom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5</w:t>
            </w:r>
          </w:p>
        </w:tc>
        <w:tc>
          <w:tcPr>
            <w:tcW w:w="1134" w:type="dxa"/>
            <w:tcBorders>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6</w:t>
            </w:r>
          </w:p>
        </w:tc>
        <w:tc>
          <w:tcPr>
            <w:tcW w:w="1389"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7</w:t>
            </w:r>
          </w:p>
        </w:tc>
        <w:tc>
          <w:tcPr>
            <w:tcW w:w="1588"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8</w:t>
            </w:r>
          </w:p>
        </w:tc>
        <w:tc>
          <w:tcPr>
            <w:tcW w:w="1275"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9</w:t>
            </w:r>
          </w:p>
        </w:tc>
        <w:tc>
          <w:tcPr>
            <w:tcW w:w="130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10</w:t>
            </w:r>
          </w:p>
        </w:tc>
        <w:tc>
          <w:tcPr>
            <w:tcW w:w="1390" w:type="dxa"/>
            <w:tcBorders>
              <w:left w:val="single" w:sz="4" w:space="0" w:color="A6A6A6" w:themeColor="background1" w:themeShade="A6"/>
              <w:bottom w:val="single" w:sz="4" w:space="0" w:color="A6A6A6" w:themeColor="background1" w:themeShade="A6"/>
            </w:tcBorders>
            <w:shd w:val="clear" w:color="auto" w:fill="auto"/>
            <w:noWrap/>
            <w:hideMark/>
          </w:tcPr>
          <w:p w:rsidR="00010E61" w:rsidRPr="00616387" w:rsidRDefault="00010E61" w:rsidP="00F11157">
            <w:pPr>
              <w:pStyle w:val="TableText"/>
              <w:jc w:val="center"/>
              <w:rPr>
                <w:b/>
                <w:lang w:eastAsia="en-NZ"/>
              </w:rPr>
            </w:pPr>
            <w:r w:rsidRPr="00616387">
              <w:rPr>
                <w:b/>
                <w:lang w:eastAsia="en-NZ"/>
              </w:rPr>
              <w:t>11</w:t>
            </w:r>
          </w:p>
        </w:tc>
      </w:tr>
      <w:tr w:rsidR="00F11157" w:rsidRPr="00616387" w:rsidTr="00F11157">
        <w:trPr>
          <w:cantSplit/>
          <w:trHeight w:val="267"/>
        </w:trPr>
        <w:tc>
          <w:tcPr>
            <w:tcW w:w="851" w:type="dxa"/>
            <w:vMerge w:val="restart"/>
            <w:tcBorders>
              <w:top w:val="single" w:sz="4" w:space="0" w:color="A6A6A6" w:themeColor="background1" w:themeShade="A6"/>
              <w:bottom w:val="nil"/>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Exact age (y</w:t>
            </w:r>
            <w:r w:rsidR="00F11157">
              <w:rPr>
                <w:b/>
                <w:lang w:eastAsia="en-NZ"/>
              </w:rPr>
              <w:t>ea</w:t>
            </w:r>
            <w:r w:rsidRPr="00616387">
              <w:rPr>
                <w:b/>
                <w:lang w:eastAsia="en-NZ"/>
              </w:rPr>
              <w:t>rs)</w:t>
            </w:r>
          </w:p>
        </w:tc>
        <w:tc>
          <w:tcPr>
            <w:tcW w:w="43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Out of 100,000 people born:</w:t>
            </w:r>
          </w:p>
        </w:tc>
        <w:tc>
          <w:tcPr>
            <w:tcW w:w="24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Probability that a person who reaches this age:</w:t>
            </w:r>
          </w:p>
        </w:tc>
        <w:tc>
          <w:tcPr>
            <w:tcW w:w="1389"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 xml:space="preserve">Central annual </w:t>
            </w:r>
            <w:r w:rsidR="00F11157">
              <w:rPr>
                <w:b/>
                <w:lang w:eastAsia="en-NZ"/>
              </w:rPr>
              <w:t>d</w:t>
            </w:r>
            <w:r w:rsidRPr="00616387">
              <w:rPr>
                <w:b/>
                <w:lang w:eastAsia="en-NZ"/>
              </w:rPr>
              <w:t>eath rate for the age interval</w:t>
            </w:r>
          </w:p>
        </w:tc>
        <w:tc>
          <w:tcPr>
            <w:tcW w:w="1588"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Proportion of age group x to x+5 surviving another five years</w:t>
            </w:r>
          </w:p>
        </w:tc>
        <w:tc>
          <w:tcPr>
            <w:tcW w:w="1275"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 xml:space="preserve">Expected number of years of life remaining at age </w:t>
            </w:r>
            <w:r w:rsidRPr="00616387">
              <w:rPr>
                <w:b/>
                <w:i/>
                <w:iCs/>
                <w:lang w:eastAsia="en-NZ"/>
              </w:rPr>
              <w:t>x</w:t>
            </w:r>
          </w:p>
        </w:tc>
        <w:tc>
          <w:tcPr>
            <w:tcW w:w="1304"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Proportion of age group with disability</w:t>
            </w:r>
          </w:p>
        </w:tc>
        <w:tc>
          <w:tcPr>
            <w:tcW w:w="1390" w:type="dxa"/>
            <w:vMerge w:val="restart"/>
            <w:tcBorders>
              <w:top w:val="single" w:sz="4" w:space="0" w:color="A6A6A6" w:themeColor="background1" w:themeShade="A6"/>
              <w:left w:val="single" w:sz="4" w:space="0" w:color="A6A6A6" w:themeColor="background1" w:themeShade="A6"/>
              <w:bottom w:val="nil"/>
            </w:tcBorders>
            <w:shd w:val="clear" w:color="auto" w:fill="auto"/>
            <w:hideMark/>
          </w:tcPr>
          <w:p w:rsidR="00010E61" w:rsidRPr="00616387" w:rsidRDefault="00010E61" w:rsidP="00F11157">
            <w:pPr>
              <w:pStyle w:val="TableText"/>
              <w:jc w:val="center"/>
              <w:rPr>
                <w:b/>
                <w:lang w:eastAsia="en-NZ"/>
              </w:rPr>
            </w:pPr>
            <w:r w:rsidRPr="00616387">
              <w:rPr>
                <w:b/>
                <w:lang w:eastAsia="en-NZ"/>
              </w:rPr>
              <w:t>Person years lived without disability in interval</w:t>
            </w:r>
          </w:p>
        </w:tc>
      </w:tr>
      <w:tr w:rsidR="00F11157" w:rsidRPr="008C5765" w:rsidTr="00F11157">
        <w:trPr>
          <w:cantSplit/>
          <w:trHeight w:val="327"/>
        </w:trPr>
        <w:tc>
          <w:tcPr>
            <w:tcW w:w="851" w:type="dxa"/>
            <w:vMerge/>
            <w:tcBorders>
              <w:top w:val="nil"/>
              <w:bottom w:val="nil"/>
              <w:right w:val="single" w:sz="4" w:space="0" w:color="A6A6A6" w:themeColor="background1" w:themeShade="A6"/>
            </w:tcBorders>
            <w:shd w:val="clear" w:color="auto" w:fill="auto"/>
            <w:hideMark/>
          </w:tcPr>
          <w:p w:rsidR="00010E61" w:rsidRPr="008C5765" w:rsidRDefault="00010E61" w:rsidP="00616387">
            <w:pPr>
              <w:pStyle w:val="TableText"/>
              <w:rPr>
                <w:lang w:eastAsia="en-NZ"/>
              </w:rPr>
            </w:pPr>
          </w:p>
        </w:tc>
        <w:tc>
          <w:tcPr>
            <w:tcW w:w="1276" w:type="dxa"/>
            <w:gridSpan w:val="2"/>
            <w:tcBorders>
              <w:top w:val="single" w:sz="4" w:space="0" w:color="A6A6A6" w:themeColor="background1" w:themeShade="A6"/>
              <w:lef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Number alive at exact age</w:t>
            </w:r>
          </w:p>
        </w:tc>
        <w:tc>
          <w:tcPr>
            <w:tcW w:w="1653" w:type="dxa"/>
            <w:tcBorders>
              <w:top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Average number alive in the age interval</w:t>
            </w:r>
          </w:p>
        </w:tc>
        <w:tc>
          <w:tcPr>
            <w:tcW w:w="1465" w:type="dxa"/>
            <w:tcBorders>
              <w:top w:val="single" w:sz="4" w:space="0" w:color="A6A6A6" w:themeColor="background1" w:themeShade="A6"/>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Number dying in the age interval</w:t>
            </w:r>
          </w:p>
        </w:tc>
        <w:tc>
          <w:tcPr>
            <w:tcW w:w="1276" w:type="dxa"/>
            <w:tcBorders>
              <w:top w:val="single" w:sz="4" w:space="0" w:color="A6A6A6" w:themeColor="background1" w:themeShade="A6"/>
              <w:lef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Is alive at end of the age interval</w:t>
            </w:r>
          </w:p>
        </w:tc>
        <w:tc>
          <w:tcPr>
            <w:tcW w:w="1134" w:type="dxa"/>
            <w:tcBorders>
              <w:top w:val="single" w:sz="4" w:space="0" w:color="A6A6A6" w:themeColor="background1" w:themeShade="A6"/>
              <w:right w:val="single" w:sz="4" w:space="0" w:color="A6A6A6" w:themeColor="background1" w:themeShade="A6"/>
            </w:tcBorders>
            <w:shd w:val="clear" w:color="auto" w:fill="auto"/>
            <w:hideMark/>
          </w:tcPr>
          <w:p w:rsidR="00010E61" w:rsidRPr="00616387" w:rsidRDefault="00010E61" w:rsidP="00F11157">
            <w:pPr>
              <w:pStyle w:val="TableText"/>
              <w:jc w:val="center"/>
              <w:rPr>
                <w:b/>
                <w:lang w:eastAsia="en-NZ"/>
              </w:rPr>
            </w:pPr>
            <w:r w:rsidRPr="00616387">
              <w:rPr>
                <w:b/>
                <w:lang w:eastAsia="en-NZ"/>
              </w:rPr>
              <w:t>Dies in the age interval</w:t>
            </w:r>
          </w:p>
        </w:tc>
        <w:tc>
          <w:tcPr>
            <w:tcW w:w="1389"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8C5765" w:rsidRDefault="00010E61" w:rsidP="00616387">
            <w:pPr>
              <w:pStyle w:val="TableText"/>
              <w:rPr>
                <w:lang w:eastAsia="en-NZ"/>
              </w:rPr>
            </w:pPr>
          </w:p>
        </w:tc>
        <w:tc>
          <w:tcPr>
            <w:tcW w:w="1588"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8C5765" w:rsidRDefault="00010E61" w:rsidP="00616387">
            <w:pPr>
              <w:pStyle w:val="TableText"/>
              <w:rPr>
                <w:lang w:eastAsia="en-NZ"/>
              </w:rPr>
            </w:pPr>
          </w:p>
        </w:tc>
        <w:tc>
          <w:tcPr>
            <w:tcW w:w="1275"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8C5765" w:rsidRDefault="00010E61" w:rsidP="00616387">
            <w:pPr>
              <w:pStyle w:val="TableText"/>
              <w:rPr>
                <w:lang w:eastAsia="en-NZ"/>
              </w:rPr>
            </w:pPr>
          </w:p>
        </w:tc>
        <w:tc>
          <w:tcPr>
            <w:tcW w:w="1304" w:type="dxa"/>
            <w:vMerge/>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8C5765" w:rsidRDefault="00010E61" w:rsidP="00616387">
            <w:pPr>
              <w:pStyle w:val="TableText"/>
              <w:rPr>
                <w:lang w:eastAsia="en-NZ"/>
              </w:rPr>
            </w:pPr>
          </w:p>
        </w:tc>
        <w:tc>
          <w:tcPr>
            <w:tcW w:w="1390" w:type="dxa"/>
            <w:vMerge/>
            <w:tcBorders>
              <w:top w:val="single" w:sz="4" w:space="0" w:color="A6A6A6" w:themeColor="background1" w:themeShade="A6"/>
              <w:left w:val="single" w:sz="4" w:space="0" w:color="A6A6A6" w:themeColor="background1" w:themeShade="A6"/>
              <w:bottom w:val="nil"/>
            </w:tcBorders>
            <w:shd w:val="clear" w:color="auto" w:fill="auto"/>
            <w:hideMark/>
          </w:tcPr>
          <w:p w:rsidR="00010E61" w:rsidRPr="008C5765" w:rsidRDefault="00010E61" w:rsidP="00616387">
            <w:pPr>
              <w:pStyle w:val="TableText"/>
              <w:rPr>
                <w:lang w:eastAsia="en-NZ"/>
              </w:rPr>
            </w:pPr>
          </w:p>
        </w:tc>
      </w:tr>
      <w:tr w:rsidR="00F11157" w:rsidRPr="00F11157" w:rsidTr="003A64CA">
        <w:trPr>
          <w:cantSplit/>
        </w:trPr>
        <w:tc>
          <w:tcPr>
            <w:tcW w:w="851" w:type="dxa"/>
            <w:tcBorders>
              <w:top w:val="nil"/>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X</w:t>
            </w:r>
          </w:p>
        </w:tc>
        <w:tc>
          <w:tcPr>
            <w:tcW w:w="1276" w:type="dxa"/>
            <w:gridSpan w:val="2"/>
            <w:tcBorders>
              <w:top w:val="nil"/>
              <w:left w:val="single" w:sz="4" w:space="0" w:color="A6A6A6" w:themeColor="background1" w:themeShade="A6"/>
              <w:bottom w:val="single" w:sz="4" w:space="0" w:color="auto"/>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l</w:t>
            </w:r>
            <w:r w:rsidRPr="00F11157">
              <w:rPr>
                <w:b/>
                <w:i/>
                <w:iCs/>
                <w:vertAlign w:val="subscript"/>
                <w:lang w:eastAsia="en-NZ"/>
              </w:rPr>
              <w:t>x</w:t>
            </w:r>
          </w:p>
        </w:tc>
        <w:tc>
          <w:tcPr>
            <w:tcW w:w="1653" w:type="dxa"/>
            <w:tcBorders>
              <w:top w:val="nil"/>
              <w:bottom w:val="single" w:sz="4" w:space="0" w:color="auto"/>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L</w:t>
            </w:r>
            <w:r w:rsidRPr="00F11157">
              <w:rPr>
                <w:b/>
                <w:i/>
                <w:iCs/>
                <w:vertAlign w:val="subscript"/>
                <w:lang w:eastAsia="en-NZ"/>
              </w:rPr>
              <w:t>x</w:t>
            </w:r>
          </w:p>
        </w:tc>
        <w:tc>
          <w:tcPr>
            <w:tcW w:w="1465" w:type="dxa"/>
            <w:tcBorders>
              <w:top w:val="nil"/>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d</w:t>
            </w:r>
            <w:r w:rsidRPr="00F11157">
              <w:rPr>
                <w:b/>
                <w:i/>
                <w:iCs/>
                <w:vertAlign w:val="subscript"/>
                <w:lang w:eastAsia="en-NZ"/>
              </w:rPr>
              <w:t>x</w:t>
            </w:r>
          </w:p>
        </w:tc>
        <w:tc>
          <w:tcPr>
            <w:tcW w:w="1276" w:type="dxa"/>
            <w:tcBorders>
              <w:top w:val="nil"/>
              <w:left w:val="single" w:sz="4" w:space="0" w:color="A6A6A6" w:themeColor="background1" w:themeShade="A6"/>
              <w:bottom w:val="single" w:sz="4" w:space="0" w:color="auto"/>
            </w:tcBorders>
            <w:shd w:val="clear" w:color="auto" w:fill="auto"/>
            <w:noWrap/>
            <w:hideMark/>
          </w:tcPr>
          <w:p w:rsidR="00010E61" w:rsidRPr="00F11157" w:rsidRDefault="00010E61" w:rsidP="00F11157">
            <w:pPr>
              <w:pStyle w:val="TableText"/>
              <w:jc w:val="center"/>
              <w:rPr>
                <w:b/>
                <w:i/>
                <w:iCs/>
                <w:lang w:eastAsia="en-NZ"/>
              </w:rPr>
            </w:pPr>
            <w:proofErr w:type="spellStart"/>
            <w:r w:rsidRPr="00F11157">
              <w:rPr>
                <w:b/>
                <w:i/>
                <w:iCs/>
                <w:lang w:eastAsia="en-NZ"/>
              </w:rPr>
              <w:t>p</w:t>
            </w:r>
            <w:r w:rsidRPr="00F11157">
              <w:rPr>
                <w:b/>
                <w:i/>
                <w:iCs/>
                <w:vertAlign w:val="subscript"/>
                <w:lang w:eastAsia="en-NZ"/>
              </w:rPr>
              <w:t>x</w:t>
            </w:r>
            <w:proofErr w:type="spellEnd"/>
          </w:p>
        </w:tc>
        <w:tc>
          <w:tcPr>
            <w:tcW w:w="1134" w:type="dxa"/>
            <w:tcBorders>
              <w:top w:val="nil"/>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proofErr w:type="spellStart"/>
            <w:r w:rsidRPr="00F11157">
              <w:rPr>
                <w:b/>
                <w:i/>
                <w:iCs/>
                <w:lang w:eastAsia="en-NZ"/>
              </w:rPr>
              <w:t>q</w:t>
            </w:r>
            <w:r w:rsidRPr="00F11157">
              <w:rPr>
                <w:b/>
                <w:i/>
                <w:iCs/>
                <w:vertAlign w:val="subscript"/>
                <w:lang w:eastAsia="en-NZ"/>
              </w:rPr>
              <w:t>x</w:t>
            </w:r>
            <w:proofErr w:type="spellEnd"/>
          </w:p>
        </w:tc>
        <w:tc>
          <w:tcPr>
            <w:tcW w:w="1389"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m</w:t>
            </w:r>
            <w:r w:rsidRPr="00F11157">
              <w:rPr>
                <w:b/>
                <w:i/>
                <w:iCs/>
                <w:vertAlign w:val="subscript"/>
                <w:lang w:eastAsia="en-NZ"/>
              </w:rPr>
              <w:t>x</w:t>
            </w:r>
          </w:p>
        </w:tc>
        <w:tc>
          <w:tcPr>
            <w:tcW w:w="1588"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proofErr w:type="spellStart"/>
            <w:r w:rsidRPr="00F11157">
              <w:rPr>
                <w:b/>
                <w:i/>
                <w:iCs/>
                <w:lang w:eastAsia="en-NZ"/>
              </w:rPr>
              <w:t>s</w:t>
            </w:r>
            <w:r w:rsidRPr="00F11157">
              <w:rPr>
                <w:b/>
                <w:i/>
                <w:iCs/>
                <w:vertAlign w:val="subscript"/>
                <w:lang w:eastAsia="en-NZ"/>
              </w:rPr>
              <w:t>x</w:t>
            </w:r>
            <w:proofErr w:type="spellEnd"/>
          </w:p>
        </w:tc>
        <w:tc>
          <w:tcPr>
            <w:tcW w:w="127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e</w:t>
            </w:r>
            <w:r w:rsidRPr="00F11157">
              <w:rPr>
                <w:b/>
                <w:i/>
                <w:iCs/>
                <w:vertAlign w:val="subscript"/>
                <w:lang w:eastAsia="en-NZ"/>
              </w:rPr>
              <w:t>x</w:t>
            </w:r>
          </w:p>
        </w:tc>
        <w:tc>
          <w:tcPr>
            <w:tcW w:w="130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π</w:t>
            </w:r>
            <w:r w:rsidRPr="00F11157">
              <w:rPr>
                <w:b/>
                <w:i/>
                <w:iCs/>
                <w:vertAlign w:val="subscript"/>
                <w:lang w:eastAsia="en-NZ"/>
              </w:rPr>
              <w:t>x</w:t>
            </w:r>
          </w:p>
        </w:tc>
        <w:tc>
          <w:tcPr>
            <w:tcW w:w="1390" w:type="dxa"/>
            <w:tcBorders>
              <w:top w:val="nil"/>
              <w:left w:val="single" w:sz="4" w:space="0" w:color="A6A6A6" w:themeColor="background1" w:themeShade="A6"/>
              <w:bottom w:val="single" w:sz="4" w:space="0" w:color="auto"/>
            </w:tcBorders>
            <w:shd w:val="clear" w:color="auto" w:fill="auto"/>
            <w:noWrap/>
            <w:hideMark/>
          </w:tcPr>
          <w:p w:rsidR="00010E61" w:rsidRPr="00F11157" w:rsidRDefault="00010E61" w:rsidP="00F11157">
            <w:pPr>
              <w:pStyle w:val="TableText"/>
              <w:jc w:val="center"/>
              <w:rPr>
                <w:b/>
                <w:i/>
                <w:iCs/>
                <w:lang w:eastAsia="en-NZ"/>
              </w:rPr>
            </w:pPr>
            <w:r w:rsidRPr="00F11157">
              <w:rPr>
                <w:b/>
                <w:i/>
                <w:iCs/>
                <w:lang w:eastAsia="en-NZ"/>
              </w:rPr>
              <w:t>(1-πx)*L</w:t>
            </w:r>
            <w:r w:rsidRPr="00F11157">
              <w:rPr>
                <w:b/>
                <w:i/>
                <w:iCs/>
                <w:vertAlign w:val="subscript"/>
                <w:lang w:eastAsia="en-NZ"/>
              </w:rPr>
              <w:t>x</w:t>
            </w:r>
          </w:p>
        </w:tc>
      </w:tr>
      <w:tr w:rsidR="00F11157" w:rsidRPr="008C5765" w:rsidTr="003A64CA">
        <w:trPr>
          <w:cantSplit/>
        </w:trPr>
        <w:tc>
          <w:tcPr>
            <w:tcW w:w="851"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0</w:t>
            </w:r>
          </w:p>
        </w:tc>
        <w:tc>
          <w:tcPr>
            <w:tcW w:w="1276" w:type="dxa"/>
            <w:gridSpan w:val="2"/>
            <w:tcBorders>
              <w:top w:val="single" w:sz="4" w:space="0" w:color="auto"/>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100,000</w:t>
            </w:r>
          </w:p>
        </w:tc>
        <w:tc>
          <w:tcPr>
            <w:tcW w:w="1653" w:type="dxa"/>
            <w:tcBorders>
              <w:top w:val="single" w:sz="4" w:space="0" w:color="auto"/>
              <w:bottom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99,568</w:t>
            </w:r>
          </w:p>
        </w:tc>
        <w:tc>
          <w:tcPr>
            <w:tcW w:w="1465"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509</w:t>
            </w:r>
          </w:p>
        </w:tc>
        <w:tc>
          <w:tcPr>
            <w:tcW w:w="1276"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0.99491</w:t>
            </w:r>
          </w:p>
        </w:tc>
        <w:tc>
          <w:tcPr>
            <w:tcW w:w="1134"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0.00509</w:t>
            </w:r>
          </w:p>
        </w:tc>
        <w:tc>
          <w:tcPr>
            <w:tcW w:w="1389"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0.00511</w:t>
            </w:r>
          </w:p>
        </w:tc>
        <w:tc>
          <w:tcPr>
            <w:tcW w:w="1588"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0.99904</w:t>
            </w:r>
          </w:p>
        </w:tc>
        <w:tc>
          <w:tcPr>
            <w:tcW w:w="1275"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79.3</w:t>
            </w:r>
          </w:p>
        </w:tc>
        <w:tc>
          <w:tcPr>
            <w:tcW w:w="1304"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0.06500</w:t>
            </w:r>
          </w:p>
        </w:tc>
        <w:tc>
          <w:tcPr>
            <w:tcW w:w="1390"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93096.08</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1</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99,491</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397,725</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100</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0.99899</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0.00101</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0.00025</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78.7</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0.06500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371872.88</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99,391</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496,817</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48</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0.99952</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0.00048</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0.00010</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0.99949</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74.8</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0.07000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462039.81</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10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99,343</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496,563</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82</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0.99917</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0.00083</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0.00017</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0.99805</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69.9</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0.07500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459320.78</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15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99,261</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495,593</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338</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0.99659</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0.00341</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0.00068</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0.99567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64.9</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0.07000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460901.49</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20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98,923</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493,446</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452</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0.99543</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0.00457</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0.00092</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0.99600</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60.1</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0.06500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461372.01</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25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98,471</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491,473</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345</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0.99650</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0.00350</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0.00070</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0.99640</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55.4</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0.06500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459526.79</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30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98,126</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489,702</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392</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0.99601</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0.00399</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0.00080</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0.99519</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50.6</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0.07000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455422.86</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35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97,734</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487,346</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560</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0.99427</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0.00573</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0.00115</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0.99317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45.8</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0.08000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448358.32</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40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97,174</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484,017</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785</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0.99192</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0.00808</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0.00162</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0.99019</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41.0</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0.10000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435614.85</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45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96,389</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479,269</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1,142</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0.98815</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0.01185</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0.00238</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0.98530</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36.3</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0.12500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419360.38</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50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95,247</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472,226</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1,713</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0.98202</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0.01798</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0.00363</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0.97777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31.7</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0.15000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401391.68</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55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93,534</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461,730</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2,534</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0.97291</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0.02709</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0.00549</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0.96621</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27.3</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0.20000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369384.00</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60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91,000</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446,130</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3,804</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0.95820</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0.04180</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0.00853</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0.94673</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23.0</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0.25000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334597.50</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65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87,196</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422,363</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5,849</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0.93292</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0.06708</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0.01385</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0.91372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18.8</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0.30000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295653.75</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70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81,347</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385,921</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8,897</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0.89063</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0.10937</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0.02305</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0.85921</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15.0</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0.40000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231552.30</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75</w:t>
            </w:r>
          </w:p>
        </w:tc>
        <w:tc>
          <w:tcPr>
            <w:tcW w:w="1276" w:type="dxa"/>
            <w:gridSpan w:val="2"/>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72,450</w:t>
            </w:r>
          </w:p>
        </w:tc>
        <w:tc>
          <w:tcPr>
            <w:tcW w:w="1653" w:type="dxa"/>
            <w:tcBorders>
              <w:top w:val="nil"/>
              <w:left w:val="nil"/>
              <w:bottom w:val="nil"/>
              <w:right w:val="nil"/>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331,588</w:t>
            </w:r>
          </w:p>
        </w:tc>
        <w:tc>
          <w:tcPr>
            <w:tcW w:w="1465"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13,002</w:t>
            </w:r>
          </w:p>
        </w:tc>
        <w:tc>
          <w:tcPr>
            <w:tcW w:w="1276"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0.82054</w:t>
            </w:r>
          </w:p>
        </w:tc>
        <w:tc>
          <w:tcPr>
            <w:tcW w:w="1134"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0.17946</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0.03921</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0.76834</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11.5</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0.50000</w:t>
            </w:r>
          </w:p>
        </w:tc>
        <w:tc>
          <w:tcPr>
            <w:tcW w:w="1390"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165794.00</w:t>
            </w:r>
          </w:p>
        </w:tc>
      </w:tr>
      <w:tr w:rsidR="003A64CA" w:rsidRPr="008C5765" w:rsidTr="003A64CA">
        <w:trPr>
          <w:cantSplit/>
        </w:trPr>
        <w:tc>
          <w:tcPr>
            <w:tcW w:w="851"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389"/>
              </w:tabs>
              <w:rPr>
                <w:lang w:eastAsia="en-NZ"/>
              </w:rPr>
            </w:pPr>
            <w:r w:rsidRPr="008C5765">
              <w:rPr>
                <w:lang w:eastAsia="en-NZ"/>
              </w:rPr>
              <w:t>80</w:t>
            </w:r>
          </w:p>
        </w:tc>
        <w:tc>
          <w:tcPr>
            <w:tcW w:w="1276" w:type="dxa"/>
            <w:gridSpan w:val="2"/>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884"/>
              </w:tabs>
              <w:rPr>
                <w:lang w:eastAsia="en-NZ"/>
              </w:rPr>
            </w:pPr>
            <w:r w:rsidRPr="008C5765">
              <w:rPr>
                <w:lang w:eastAsia="en-NZ"/>
              </w:rPr>
              <w:t>59,448</w:t>
            </w:r>
          </w:p>
        </w:tc>
        <w:tc>
          <w:tcPr>
            <w:tcW w:w="1653" w:type="dxa"/>
            <w:tcBorders>
              <w:top w:val="nil"/>
              <w:bottom w:val="nil"/>
            </w:tcBorders>
            <w:shd w:val="clear" w:color="auto" w:fill="auto"/>
            <w:noWrap/>
            <w:hideMark/>
          </w:tcPr>
          <w:p w:rsidR="00010E61" w:rsidRPr="008C5765" w:rsidRDefault="00010E61" w:rsidP="00F11157">
            <w:pPr>
              <w:pStyle w:val="TableText"/>
              <w:tabs>
                <w:tab w:val="decimal" w:pos="946"/>
              </w:tabs>
              <w:rPr>
                <w:lang w:eastAsia="en-NZ"/>
              </w:rPr>
            </w:pPr>
            <w:r w:rsidRPr="008C5765">
              <w:rPr>
                <w:lang w:eastAsia="en-NZ"/>
              </w:rPr>
              <w:t>254,773</w:t>
            </w:r>
          </w:p>
        </w:tc>
        <w:tc>
          <w:tcPr>
            <w:tcW w:w="1465"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746"/>
              </w:tabs>
              <w:rPr>
                <w:lang w:eastAsia="en-NZ"/>
              </w:rPr>
            </w:pPr>
            <w:r w:rsidRPr="008C5765">
              <w:rPr>
                <w:lang w:eastAsia="en-NZ"/>
              </w:rPr>
              <w:t>17,715</w:t>
            </w:r>
          </w:p>
        </w:tc>
        <w:tc>
          <w:tcPr>
            <w:tcW w:w="1276"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jc w:val="center"/>
              <w:rPr>
                <w:lang w:eastAsia="en-NZ"/>
              </w:rPr>
            </w:pPr>
            <w:r w:rsidRPr="008C5765">
              <w:rPr>
                <w:lang w:eastAsia="en-NZ"/>
              </w:rPr>
              <w:t>0.70201</w:t>
            </w:r>
          </w:p>
        </w:tc>
        <w:tc>
          <w:tcPr>
            <w:tcW w:w="1134" w:type="dxa"/>
            <w:tcBorders>
              <w:top w:val="nil"/>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0.29799</w:t>
            </w:r>
          </w:p>
        </w:tc>
        <w:tc>
          <w:tcPr>
            <w:tcW w:w="1389"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0.06953</w:t>
            </w:r>
          </w:p>
        </w:tc>
        <w:tc>
          <w:tcPr>
            <w:tcW w:w="1588"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0.62117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tabs>
                <w:tab w:val="decimal" w:pos="570"/>
              </w:tabs>
              <w:rPr>
                <w:lang w:eastAsia="en-NZ"/>
              </w:rPr>
            </w:pPr>
            <w:r w:rsidRPr="008C5765">
              <w:rPr>
                <w:lang w:eastAsia="en-NZ"/>
              </w:rPr>
              <w:t>8.5</w:t>
            </w:r>
          </w:p>
        </w:tc>
        <w:tc>
          <w:tcPr>
            <w:tcW w:w="130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11157">
            <w:pPr>
              <w:pStyle w:val="TableText"/>
              <w:jc w:val="center"/>
              <w:rPr>
                <w:lang w:eastAsia="en-NZ"/>
              </w:rPr>
            </w:pPr>
            <w:r w:rsidRPr="008C5765">
              <w:rPr>
                <w:lang w:eastAsia="en-NZ"/>
              </w:rPr>
              <w:t>0.60000</w:t>
            </w:r>
          </w:p>
        </w:tc>
        <w:tc>
          <w:tcPr>
            <w:tcW w:w="1390" w:type="dxa"/>
            <w:tcBorders>
              <w:top w:val="nil"/>
              <w:left w:val="single" w:sz="4" w:space="0" w:color="A6A6A6" w:themeColor="background1" w:themeShade="A6"/>
              <w:bottom w:val="nil"/>
            </w:tcBorders>
            <w:shd w:val="clear" w:color="auto" w:fill="auto"/>
            <w:noWrap/>
            <w:hideMark/>
          </w:tcPr>
          <w:p w:rsidR="00010E61" w:rsidRPr="008C5765" w:rsidRDefault="00010E61" w:rsidP="00F11157">
            <w:pPr>
              <w:pStyle w:val="TableText"/>
              <w:tabs>
                <w:tab w:val="decimal" w:pos="701"/>
              </w:tabs>
              <w:rPr>
                <w:lang w:eastAsia="en-NZ"/>
              </w:rPr>
            </w:pPr>
            <w:r w:rsidRPr="008C5765">
              <w:rPr>
                <w:lang w:eastAsia="en-NZ"/>
              </w:rPr>
              <w:t>101909.00</w:t>
            </w:r>
          </w:p>
        </w:tc>
      </w:tr>
      <w:tr w:rsidR="00F11157" w:rsidRPr="008C5765" w:rsidTr="003A64CA">
        <w:trPr>
          <w:cantSplit/>
        </w:trPr>
        <w:tc>
          <w:tcPr>
            <w:tcW w:w="851" w:type="dxa"/>
            <w:tcBorders>
              <w:top w:val="nil"/>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389"/>
              </w:tabs>
              <w:rPr>
                <w:lang w:eastAsia="en-NZ"/>
              </w:rPr>
            </w:pPr>
            <w:r w:rsidRPr="008C5765">
              <w:rPr>
                <w:lang w:eastAsia="en-NZ"/>
              </w:rPr>
              <w:t>85</w:t>
            </w:r>
          </w:p>
        </w:tc>
        <w:tc>
          <w:tcPr>
            <w:tcW w:w="1276" w:type="dxa"/>
            <w:gridSpan w:val="2"/>
            <w:tcBorders>
              <w:top w:val="nil"/>
              <w:left w:val="single" w:sz="4" w:space="0" w:color="A6A6A6" w:themeColor="background1" w:themeShade="A6"/>
              <w:bottom w:val="single" w:sz="4" w:space="0" w:color="auto"/>
            </w:tcBorders>
            <w:shd w:val="clear" w:color="auto" w:fill="F2F2F2" w:themeFill="background1" w:themeFillShade="F2"/>
            <w:noWrap/>
            <w:hideMark/>
          </w:tcPr>
          <w:p w:rsidR="00010E61" w:rsidRPr="008C5765" w:rsidRDefault="00010E61" w:rsidP="00F11157">
            <w:pPr>
              <w:pStyle w:val="TableText"/>
              <w:tabs>
                <w:tab w:val="decimal" w:pos="884"/>
              </w:tabs>
              <w:rPr>
                <w:lang w:eastAsia="en-NZ"/>
              </w:rPr>
            </w:pPr>
            <w:r w:rsidRPr="008C5765">
              <w:rPr>
                <w:lang w:eastAsia="en-NZ"/>
              </w:rPr>
              <w:t>41,733</w:t>
            </w:r>
          </w:p>
        </w:tc>
        <w:tc>
          <w:tcPr>
            <w:tcW w:w="1653" w:type="dxa"/>
            <w:tcBorders>
              <w:top w:val="nil"/>
              <w:bottom w:val="single" w:sz="4" w:space="0" w:color="auto"/>
            </w:tcBorders>
            <w:shd w:val="clear" w:color="auto" w:fill="F2F2F2" w:themeFill="background1" w:themeFillShade="F2"/>
            <w:noWrap/>
            <w:hideMark/>
          </w:tcPr>
          <w:p w:rsidR="00010E61" w:rsidRPr="008C5765" w:rsidRDefault="00010E61" w:rsidP="00F11157">
            <w:pPr>
              <w:pStyle w:val="TableText"/>
              <w:tabs>
                <w:tab w:val="decimal" w:pos="946"/>
              </w:tabs>
              <w:rPr>
                <w:lang w:eastAsia="en-NZ"/>
              </w:rPr>
            </w:pPr>
            <w:r w:rsidRPr="008C5765">
              <w:rPr>
                <w:lang w:eastAsia="en-NZ"/>
              </w:rPr>
              <w:t>248,143</w:t>
            </w:r>
          </w:p>
        </w:tc>
        <w:tc>
          <w:tcPr>
            <w:tcW w:w="1465" w:type="dxa"/>
            <w:tcBorders>
              <w:top w:val="nil"/>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746"/>
              </w:tabs>
              <w:rPr>
                <w:lang w:eastAsia="en-NZ"/>
              </w:rPr>
            </w:pPr>
            <w:r w:rsidRPr="008C5765">
              <w:rPr>
                <w:lang w:eastAsia="en-NZ"/>
              </w:rPr>
              <w:t>41,733</w:t>
            </w:r>
          </w:p>
        </w:tc>
        <w:tc>
          <w:tcPr>
            <w:tcW w:w="1276" w:type="dxa"/>
            <w:tcBorders>
              <w:top w:val="nil"/>
              <w:left w:val="single" w:sz="4" w:space="0" w:color="A6A6A6" w:themeColor="background1" w:themeShade="A6"/>
              <w:bottom w:val="single" w:sz="4" w:space="0" w:color="auto"/>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0.00000</w:t>
            </w:r>
          </w:p>
        </w:tc>
        <w:tc>
          <w:tcPr>
            <w:tcW w:w="1134" w:type="dxa"/>
            <w:tcBorders>
              <w:top w:val="nil"/>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1.00000</w:t>
            </w:r>
          </w:p>
        </w:tc>
        <w:tc>
          <w:tcPr>
            <w:tcW w:w="1389"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0.16818</w:t>
            </w:r>
          </w:p>
        </w:tc>
        <w:tc>
          <w:tcPr>
            <w:tcW w:w="1588"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w:t>
            </w:r>
          </w:p>
        </w:tc>
        <w:tc>
          <w:tcPr>
            <w:tcW w:w="127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tabs>
                <w:tab w:val="decimal" w:pos="570"/>
              </w:tabs>
              <w:rPr>
                <w:lang w:eastAsia="en-NZ"/>
              </w:rPr>
            </w:pPr>
            <w:r w:rsidRPr="008C5765">
              <w:rPr>
                <w:lang w:eastAsia="en-NZ"/>
              </w:rPr>
              <w:t>5.9</w:t>
            </w:r>
          </w:p>
        </w:tc>
        <w:tc>
          <w:tcPr>
            <w:tcW w:w="130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11157">
            <w:pPr>
              <w:pStyle w:val="TableText"/>
              <w:jc w:val="center"/>
              <w:rPr>
                <w:lang w:eastAsia="en-NZ"/>
              </w:rPr>
            </w:pPr>
            <w:r w:rsidRPr="008C5765">
              <w:rPr>
                <w:lang w:eastAsia="en-NZ"/>
              </w:rPr>
              <w:t>0.65000</w:t>
            </w:r>
          </w:p>
        </w:tc>
        <w:tc>
          <w:tcPr>
            <w:tcW w:w="1390" w:type="dxa"/>
            <w:tcBorders>
              <w:top w:val="nil"/>
              <w:left w:val="single" w:sz="4" w:space="0" w:color="A6A6A6" w:themeColor="background1" w:themeShade="A6"/>
              <w:bottom w:val="single" w:sz="4" w:space="0" w:color="auto"/>
            </w:tcBorders>
            <w:shd w:val="clear" w:color="auto" w:fill="F2F2F2" w:themeFill="background1" w:themeFillShade="F2"/>
            <w:noWrap/>
            <w:hideMark/>
          </w:tcPr>
          <w:p w:rsidR="00010E61" w:rsidRPr="008C5765" w:rsidRDefault="00010E61" w:rsidP="00F11157">
            <w:pPr>
              <w:pStyle w:val="TableText"/>
              <w:tabs>
                <w:tab w:val="decimal" w:pos="701"/>
              </w:tabs>
              <w:rPr>
                <w:lang w:eastAsia="en-NZ"/>
              </w:rPr>
            </w:pPr>
            <w:r w:rsidRPr="008C5765">
              <w:rPr>
                <w:lang w:eastAsia="en-NZ"/>
              </w:rPr>
              <w:t>86850.05</w:t>
            </w:r>
          </w:p>
        </w:tc>
      </w:tr>
    </w:tbl>
    <w:p w:rsidR="00010E61" w:rsidRPr="00F11157" w:rsidRDefault="00010E61" w:rsidP="00F11157">
      <w:pPr>
        <w:spacing w:before="60"/>
        <w:jc w:val="right"/>
      </w:pPr>
      <w:proofErr w:type="gramStart"/>
      <w:r w:rsidRPr="00F560AC">
        <w:t>continued</w:t>
      </w:r>
      <w:proofErr w:type="gramEnd"/>
      <w:r>
        <w:t xml:space="preserve"> …</w:t>
      </w:r>
    </w:p>
    <w:p w:rsidR="00010E61" w:rsidRPr="008C5765" w:rsidRDefault="00010E61" w:rsidP="00F11157"/>
    <w:tbl>
      <w:tblPr>
        <w:tblW w:w="14616" w:type="dxa"/>
        <w:tblInd w:w="93" w:type="dxa"/>
        <w:tblBorders>
          <w:top w:val="single" w:sz="4" w:space="0" w:color="auto"/>
          <w:bottom w:val="single" w:sz="4" w:space="0" w:color="auto"/>
        </w:tblBorders>
        <w:tblLayout w:type="fixed"/>
        <w:tblLook w:val="04A0" w:firstRow="1" w:lastRow="0" w:firstColumn="1" w:lastColumn="0" w:noHBand="0" w:noVBand="1"/>
      </w:tblPr>
      <w:tblGrid>
        <w:gridCol w:w="1716"/>
        <w:gridCol w:w="1560"/>
        <w:gridCol w:w="1275"/>
        <w:gridCol w:w="1323"/>
        <w:gridCol w:w="1323"/>
        <w:gridCol w:w="1323"/>
        <w:gridCol w:w="1524"/>
        <w:gridCol w:w="1524"/>
        <w:gridCol w:w="1524"/>
        <w:gridCol w:w="1524"/>
      </w:tblGrid>
      <w:tr w:rsidR="00FF4635" w:rsidRPr="00FF4635" w:rsidTr="00FF4635">
        <w:trPr>
          <w:cantSplit/>
        </w:trPr>
        <w:tc>
          <w:tcPr>
            <w:tcW w:w="1716" w:type="dxa"/>
            <w:tcBorders>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12</w:t>
            </w:r>
          </w:p>
        </w:tc>
        <w:tc>
          <w:tcPr>
            <w:tcW w:w="1560"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13</w:t>
            </w:r>
          </w:p>
        </w:tc>
        <w:tc>
          <w:tcPr>
            <w:tcW w:w="127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14</w:t>
            </w:r>
          </w:p>
        </w:tc>
        <w:tc>
          <w:tcPr>
            <w:tcW w:w="1323" w:type="dxa"/>
            <w:tcBorders>
              <w:top w:val="single" w:sz="4" w:space="0" w:color="auto"/>
              <w:left w:val="single" w:sz="4" w:space="0" w:color="A6A6A6" w:themeColor="background1" w:themeShade="A6"/>
              <w:bottom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15</w:t>
            </w:r>
          </w:p>
        </w:tc>
        <w:tc>
          <w:tcPr>
            <w:tcW w:w="1323" w:type="dxa"/>
            <w:tcBorders>
              <w:top w:val="single" w:sz="4" w:space="0" w:color="auto"/>
              <w:bottom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16</w:t>
            </w:r>
          </w:p>
        </w:tc>
        <w:tc>
          <w:tcPr>
            <w:tcW w:w="1323" w:type="dxa"/>
            <w:tcBorders>
              <w:top w:val="single" w:sz="4" w:space="0" w:color="auto"/>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17</w:t>
            </w:r>
          </w:p>
        </w:tc>
        <w:tc>
          <w:tcPr>
            <w:tcW w:w="152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18</w:t>
            </w:r>
          </w:p>
        </w:tc>
        <w:tc>
          <w:tcPr>
            <w:tcW w:w="152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19</w:t>
            </w:r>
          </w:p>
        </w:tc>
        <w:tc>
          <w:tcPr>
            <w:tcW w:w="152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20</w:t>
            </w:r>
          </w:p>
        </w:tc>
        <w:tc>
          <w:tcPr>
            <w:tcW w:w="1524" w:type="dxa"/>
            <w:tcBorders>
              <w:left w:val="single" w:sz="4" w:space="0" w:color="A6A6A6" w:themeColor="background1" w:themeShade="A6"/>
              <w:bottom w:val="single" w:sz="4" w:space="0" w:color="A6A6A6" w:themeColor="background1" w:themeShade="A6"/>
            </w:tcBorders>
            <w:shd w:val="clear" w:color="auto" w:fill="auto"/>
            <w:noWrap/>
            <w:hideMark/>
          </w:tcPr>
          <w:p w:rsidR="00010E61" w:rsidRPr="00FF4635" w:rsidRDefault="00010E61" w:rsidP="00FF4635">
            <w:pPr>
              <w:pStyle w:val="TableText"/>
              <w:jc w:val="center"/>
              <w:rPr>
                <w:b/>
                <w:lang w:eastAsia="en-NZ"/>
              </w:rPr>
            </w:pPr>
            <w:r w:rsidRPr="00FF4635">
              <w:rPr>
                <w:b/>
                <w:lang w:eastAsia="en-NZ"/>
              </w:rPr>
              <w:t>21</w:t>
            </w:r>
          </w:p>
        </w:tc>
      </w:tr>
      <w:tr w:rsidR="00FF4635" w:rsidRPr="00FF4635" w:rsidTr="00FF4635">
        <w:trPr>
          <w:cantSplit/>
          <w:trHeight w:val="267"/>
        </w:trPr>
        <w:tc>
          <w:tcPr>
            <w:tcW w:w="1716" w:type="dxa"/>
            <w:tcBorders>
              <w:top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Total years lived without disability from age x</w:t>
            </w:r>
          </w:p>
        </w:tc>
        <w:tc>
          <w:tcPr>
            <w:tcW w:w="156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Disability not requiring assistance</w:t>
            </w:r>
          </w:p>
        </w:tc>
        <w:tc>
          <w:tcPr>
            <w:tcW w:w="127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Number in survey in age interval</w:t>
            </w:r>
          </w:p>
        </w:tc>
        <w:tc>
          <w:tcPr>
            <w:tcW w:w="3969"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SE of the proportion of age group with disability</w:t>
            </w:r>
          </w:p>
        </w:tc>
        <w:tc>
          <w:tcPr>
            <w:tcW w:w="152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Variance of ILE</w:t>
            </w:r>
          </w:p>
        </w:tc>
        <w:tc>
          <w:tcPr>
            <w:tcW w:w="152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Standard error of ILE</w:t>
            </w:r>
          </w:p>
        </w:tc>
        <w:tc>
          <w:tcPr>
            <w:tcW w:w="152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hideMark/>
          </w:tcPr>
          <w:p w:rsidR="00010E61" w:rsidRPr="00FF4635" w:rsidRDefault="00010E61" w:rsidP="00FF4635">
            <w:pPr>
              <w:pStyle w:val="TableText"/>
              <w:jc w:val="center"/>
              <w:rPr>
                <w:b/>
                <w:lang w:eastAsia="en-NZ"/>
              </w:rPr>
            </w:pPr>
            <w:r w:rsidRPr="00FF4635">
              <w:rPr>
                <w:b/>
                <w:lang w:eastAsia="en-NZ"/>
              </w:rPr>
              <w:t>Lower 95% CI of ILE</w:t>
            </w:r>
          </w:p>
        </w:tc>
        <w:tc>
          <w:tcPr>
            <w:tcW w:w="1524" w:type="dxa"/>
            <w:tcBorders>
              <w:top w:val="single" w:sz="4" w:space="0" w:color="A6A6A6" w:themeColor="background1" w:themeShade="A6"/>
              <w:left w:val="single" w:sz="4" w:space="0" w:color="A6A6A6" w:themeColor="background1" w:themeShade="A6"/>
              <w:bottom w:val="nil"/>
            </w:tcBorders>
            <w:shd w:val="clear" w:color="auto" w:fill="auto"/>
            <w:hideMark/>
          </w:tcPr>
          <w:p w:rsidR="00010E61" w:rsidRPr="00FF4635" w:rsidRDefault="00010E61" w:rsidP="00FF4635">
            <w:pPr>
              <w:pStyle w:val="TableText"/>
              <w:jc w:val="center"/>
              <w:rPr>
                <w:b/>
                <w:lang w:eastAsia="en-NZ"/>
              </w:rPr>
            </w:pPr>
            <w:r w:rsidRPr="00FF4635">
              <w:rPr>
                <w:b/>
                <w:lang w:eastAsia="en-NZ"/>
              </w:rPr>
              <w:t>Upper 95% CI of ILE</w:t>
            </w:r>
          </w:p>
        </w:tc>
      </w:tr>
      <w:tr w:rsidR="00FF4635" w:rsidRPr="00FF4635" w:rsidTr="003A64CA">
        <w:trPr>
          <w:cantSplit/>
        </w:trPr>
        <w:tc>
          <w:tcPr>
            <w:tcW w:w="1716" w:type="dxa"/>
            <w:tcBorders>
              <w:top w:val="nil"/>
              <w:bottom w:val="single" w:sz="4" w:space="0" w:color="auto"/>
              <w:right w:val="single" w:sz="4" w:space="0" w:color="A6A6A6" w:themeColor="background1" w:themeShade="A6"/>
            </w:tcBorders>
            <w:shd w:val="clear" w:color="auto" w:fill="auto"/>
            <w:noWrap/>
            <w:hideMark/>
          </w:tcPr>
          <w:p w:rsidR="00010E61" w:rsidRPr="00FF4635" w:rsidRDefault="00010E61" w:rsidP="00FF4635">
            <w:pPr>
              <w:pStyle w:val="TableText"/>
              <w:jc w:val="center"/>
              <w:rPr>
                <w:b/>
                <w:i/>
                <w:iCs/>
                <w:lang w:eastAsia="en-NZ"/>
              </w:rPr>
            </w:pPr>
            <w:r w:rsidRPr="00FF4635">
              <w:rPr>
                <w:b/>
                <w:i/>
                <w:iCs/>
                <w:lang w:eastAsia="en-NZ"/>
              </w:rPr>
              <w:t>Σ[(1-πx)*Lx]</w:t>
            </w:r>
          </w:p>
        </w:tc>
        <w:tc>
          <w:tcPr>
            <w:tcW w:w="1560"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hideMark/>
          </w:tcPr>
          <w:p w:rsidR="00010E61" w:rsidRPr="00FF4635" w:rsidRDefault="00010E61" w:rsidP="00FF4635">
            <w:pPr>
              <w:pStyle w:val="TableText"/>
              <w:jc w:val="center"/>
              <w:rPr>
                <w:b/>
                <w:i/>
                <w:iCs/>
                <w:lang w:eastAsia="en-NZ"/>
              </w:rPr>
            </w:pPr>
            <w:proofErr w:type="spellStart"/>
            <w:r w:rsidRPr="00FF4635">
              <w:rPr>
                <w:b/>
                <w:i/>
                <w:iCs/>
                <w:lang w:eastAsia="en-NZ"/>
              </w:rPr>
              <w:t>ILE</w:t>
            </w:r>
            <w:r w:rsidRPr="00FF4635">
              <w:rPr>
                <w:b/>
                <w:i/>
                <w:iCs/>
                <w:vertAlign w:val="subscript"/>
                <w:lang w:eastAsia="en-NZ"/>
              </w:rPr>
              <w:t>x</w:t>
            </w:r>
            <w:proofErr w:type="spellEnd"/>
          </w:p>
        </w:tc>
        <w:tc>
          <w:tcPr>
            <w:tcW w:w="127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noWrap/>
            <w:hideMark/>
          </w:tcPr>
          <w:p w:rsidR="00010E61" w:rsidRPr="00FF4635" w:rsidRDefault="00010E61" w:rsidP="00FF4635">
            <w:pPr>
              <w:pStyle w:val="TableText"/>
              <w:jc w:val="center"/>
              <w:rPr>
                <w:b/>
                <w:i/>
                <w:iCs/>
                <w:lang w:eastAsia="en-NZ"/>
              </w:rPr>
            </w:pPr>
            <w:proofErr w:type="spellStart"/>
            <w:r w:rsidRPr="00FF4635">
              <w:rPr>
                <w:b/>
                <w:i/>
                <w:iCs/>
                <w:lang w:eastAsia="en-NZ"/>
              </w:rPr>
              <w:t>N</w:t>
            </w:r>
            <w:r w:rsidRPr="00FF4635">
              <w:rPr>
                <w:b/>
                <w:i/>
                <w:iCs/>
                <w:vertAlign w:val="subscript"/>
                <w:lang w:eastAsia="en-NZ"/>
              </w:rPr>
              <w:t>x</w:t>
            </w:r>
            <w:proofErr w:type="spellEnd"/>
          </w:p>
        </w:tc>
        <w:tc>
          <w:tcPr>
            <w:tcW w:w="1323" w:type="dxa"/>
            <w:tcBorders>
              <w:top w:val="nil"/>
              <w:left w:val="single" w:sz="4" w:space="0" w:color="A6A6A6" w:themeColor="background1" w:themeShade="A6"/>
              <w:bottom w:val="single" w:sz="4" w:space="0" w:color="auto"/>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S</w:t>
            </w:r>
            <w:r w:rsidRPr="00FF4635">
              <w:rPr>
                <w:b/>
                <w:i/>
                <w:iCs/>
                <w:vertAlign w:val="superscript"/>
                <w:lang w:eastAsia="en-NZ"/>
              </w:rPr>
              <w:t>2</w:t>
            </w:r>
            <w:r w:rsidRPr="00FF4635">
              <w:rPr>
                <w:b/>
                <w:i/>
                <w:iCs/>
                <w:lang w:eastAsia="en-NZ"/>
              </w:rPr>
              <w:t>(π</w:t>
            </w:r>
            <w:r w:rsidRPr="00FF4635">
              <w:rPr>
                <w:b/>
                <w:i/>
                <w:iCs/>
                <w:vertAlign w:val="subscript"/>
                <w:lang w:eastAsia="en-NZ"/>
              </w:rPr>
              <w:t>x</w:t>
            </w:r>
            <w:r w:rsidRPr="00FF4635">
              <w:rPr>
                <w:b/>
                <w:i/>
                <w:iCs/>
                <w:lang w:eastAsia="en-NZ"/>
              </w:rPr>
              <w:t>)</w:t>
            </w:r>
          </w:p>
        </w:tc>
        <w:tc>
          <w:tcPr>
            <w:tcW w:w="1323" w:type="dxa"/>
            <w:tcBorders>
              <w:top w:val="nil"/>
              <w:bottom w:val="single" w:sz="4" w:space="0" w:color="auto"/>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L</w:t>
            </w:r>
            <w:r w:rsidRPr="00FF4635">
              <w:rPr>
                <w:b/>
                <w:i/>
                <w:iCs/>
                <w:vertAlign w:val="superscript"/>
                <w:lang w:eastAsia="en-NZ"/>
              </w:rPr>
              <w:t>2</w:t>
            </w:r>
            <w:r w:rsidRPr="00FF4635">
              <w:rPr>
                <w:b/>
                <w:i/>
                <w:iCs/>
                <w:lang w:eastAsia="en-NZ"/>
              </w:rPr>
              <w:t>S</w:t>
            </w:r>
            <w:r w:rsidRPr="00FF4635">
              <w:rPr>
                <w:b/>
                <w:i/>
                <w:iCs/>
                <w:vertAlign w:val="superscript"/>
                <w:lang w:eastAsia="en-NZ"/>
              </w:rPr>
              <w:t>2</w:t>
            </w:r>
            <w:r w:rsidRPr="00FF4635">
              <w:rPr>
                <w:b/>
                <w:i/>
                <w:iCs/>
                <w:lang w:eastAsia="en-NZ"/>
              </w:rPr>
              <w:t>(π</w:t>
            </w:r>
            <w:r w:rsidRPr="00FF4635">
              <w:rPr>
                <w:b/>
                <w:i/>
                <w:iCs/>
                <w:vertAlign w:val="subscript"/>
                <w:lang w:eastAsia="en-NZ"/>
              </w:rPr>
              <w:t>x</w:t>
            </w:r>
            <w:r w:rsidRPr="00FF4635">
              <w:rPr>
                <w:b/>
                <w:i/>
                <w:iCs/>
                <w:lang w:eastAsia="en-NZ"/>
              </w:rPr>
              <w:t>)</w:t>
            </w:r>
          </w:p>
        </w:tc>
        <w:tc>
          <w:tcPr>
            <w:tcW w:w="1323" w:type="dxa"/>
            <w:tcBorders>
              <w:top w:val="nil"/>
              <w:bottom w:val="single" w:sz="4" w:space="0" w:color="auto"/>
              <w:right w:val="single" w:sz="4" w:space="0" w:color="A6A6A6" w:themeColor="background1" w:themeShade="A6"/>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ΣL</w:t>
            </w:r>
            <w:r w:rsidRPr="00FF4635">
              <w:rPr>
                <w:b/>
                <w:i/>
                <w:iCs/>
                <w:vertAlign w:val="superscript"/>
                <w:lang w:eastAsia="en-NZ"/>
              </w:rPr>
              <w:t>2</w:t>
            </w:r>
            <w:r w:rsidRPr="00FF4635">
              <w:rPr>
                <w:b/>
                <w:i/>
                <w:iCs/>
                <w:lang w:eastAsia="en-NZ"/>
              </w:rPr>
              <w:t>S</w:t>
            </w:r>
            <w:r w:rsidRPr="00FF4635">
              <w:rPr>
                <w:b/>
                <w:i/>
                <w:iCs/>
                <w:vertAlign w:val="superscript"/>
                <w:lang w:eastAsia="en-NZ"/>
              </w:rPr>
              <w:t>2</w:t>
            </w:r>
            <w:r w:rsidRPr="00FF4635">
              <w:rPr>
                <w:b/>
                <w:i/>
                <w:iCs/>
                <w:lang w:eastAsia="en-NZ"/>
              </w:rPr>
              <w:t>(π</w:t>
            </w:r>
            <w:r w:rsidRPr="00FF4635">
              <w:rPr>
                <w:b/>
                <w:i/>
                <w:iCs/>
                <w:vertAlign w:val="subscript"/>
                <w:lang w:eastAsia="en-NZ"/>
              </w:rPr>
              <w:t>x</w:t>
            </w:r>
            <w:r w:rsidRPr="00FF4635">
              <w:rPr>
                <w:b/>
                <w:i/>
                <w:iCs/>
                <w:lang w:eastAsia="en-NZ"/>
              </w:rPr>
              <w:t>)</w:t>
            </w:r>
          </w:p>
        </w:tc>
        <w:tc>
          <w:tcPr>
            <w:tcW w:w="152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S</w:t>
            </w:r>
            <w:r w:rsidRPr="00FF4635">
              <w:rPr>
                <w:b/>
                <w:i/>
                <w:iCs/>
                <w:vertAlign w:val="superscript"/>
                <w:lang w:eastAsia="en-NZ"/>
              </w:rPr>
              <w:t>2</w:t>
            </w:r>
            <w:r w:rsidRPr="00FF4635">
              <w:rPr>
                <w:b/>
                <w:i/>
                <w:iCs/>
                <w:lang w:eastAsia="en-NZ"/>
              </w:rPr>
              <w:t>(</w:t>
            </w:r>
            <w:proofErr w:type="spellStart"/>
            <w:r w:rsidRPr="00FF4635">
              <w:rPr>
                <w:b/>
                <w:i/>
                <w:iCs/>
                <w:lang w:eastAsia="en-NZ"/>
              </w:rPr>
              <w:t>ILE</w:t>
            </w:r>
            <w:r w:rsidRPr="00FF4635">
              <w:rPr>
                <w:b/>
                <w:i/>
                <w:iCs/>
                <w:vertAlign w:val="subscript"/>
                <w:lang w:eastAsia="en-NZ"/>
              </w:rPr>
              <w:t>x</w:t>
            </w:r>
            <w:proofErr w:type="spellEnd"/>
            <w:r w:rsidRPr="00FF4635">
              <w:rPr>
                <w:b/>
                <w:i/>
                <w:iCs/>
                <w:lang w:eastAsia="en-NZ"/>
              </w:rPr>
              <w:t>)</w:t>
            </w:r>
          </w:p>
        </w:tc>
        <w:tc>
          <w:tcPr>
            <w:tcW w:w="152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S(</w:t>
            </w:r>
            <w:proofErr w:type="spellStart"/>
            <w:r w:rsidRPr="00FF4635">
              <w:rPr>
                <w:b/>
                <w:i/>
                <w:iCs/>
                <w:lang w:eastAsia="en-NZ"/>
              </w:rPr>
              <w:t>ILE</w:t>
            </w:r>
            <w:r w:rsidRPr="00FF4635">
              <w:rPr>
                <w:b/>
                <w:i/>
                <w:iCs/>
                <w:vertAlign w:val="subscript"/>
                <w:lang w:eastAsia="en-NZ"/>
              </w:rPr>
              <w:t>x</w:t>
            </w:r>
            <w:proofErr w:type="spellEnd"/>
            <w:r w:rsidRPr="00FF4635">
              <w:rPr>
                <w:b/>
                <w:i/>
                <w:iCs/>
                <w:lang w:eastAsia="en-NZ"/>
              </w:rPr>
              <w:t>)</w:t>
            </w:r>
          </w:p>
        </w:tc>
        <w:tc>
          <w:tcPr>
            <w:tcW w:w="152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LCI(</w:t>
            </w:r>
            <w:proofErr w:type="spellStart"/>
            <w:r w:rsidRPr="00FF4635">
              <w:rPr>
                <w:b/>
                <w:i/>
                <w:iCs/>
                <w:lang w:eastAsia="en-NZ"/>
              </w:rPr>
              <w:t>ILE</w:t>
            </w:r>
            <w:r w:rsidRPr="00FF4635">
              <w:rPr>
                <w:b/>
                <w:i/>
                <w:iCs/>
                <w:vertAlign w:val="subscript"/>
                <w:lang w:eastAsia="en-NZ"/>
              </w:rPr>
              <w:t>x</w:t>
            </w:r>
            <w:proofErr w:type="spellEnd"/>
            <w:r w:rsidRPr="00FF4635">
              <w:rPr>
                <w:b/>
                <w:i/>
                <w:iCs/>
                <w:lang w:eastAsia="en-NZ"/>
              </w:rPr>
              <w:t>)</w:t>
            </w:r>
          </w:p>
        </w:tc>
        <w:tc>
          <w:tcPr>
            <w:tcW w:w="1524" w:type="dxa"/>
            <w:tcBorders>
              <w:top w:val="nil"/>
              <w:left w:val="single" w:sz="4" w:space="0" w:color="A6A6A6" w:themeColor="background1" w:themeShade="A6"/>
              <w:bottom w:val="single" w:sz="4" w:space="0" w:color="auto"/>
            </w:tcBorders>
            <w:shd w:val="clear" w:color="auto" w:fill="auto"/>
            <w:hideMark/>
          </w:tcPr>
          <w:p w:rsidR="00010E61" w:rsidRPr="00FF4635" w:rsidRDefault="00010E61" w:rsidP="00FF4635">
            <w:pPr>
              <w:pStyle w:val="TableText"/>
              <w:jc w:val="center"/>
              <w:rPr>
                <w:b/>
                <w:i/>
                <w:iCs/>
                <w:lang w:eastAsia="en-NZ"/>
              </w:rPr>
            </w:pPr>
            <w:r w:rsidRPr="00FF4635">
              <w:rPr>
                <w:b/>
                <w:i/>
                <w:iCs/>
                <w:lang w:eastAsia="en-NZ"/>
              </w:rPr>
              <w:t>UCI(</w:t>
            </w:r>
            <w:proofErr w:type="spellStart"/>
            <w:r w:rsidRPr="00FF4635">
              <w:rPr>
                <w:b/>
                <w:i/>
                <w:iCs/>
                <w:lang w:eastAsia="en-NZ"/>
              </w:rPr>
              <w:t>ILE</w:t>
            </w:r>
            <w:r w:rsidRPr="00FF4635">
              <w:rPr>
                <w:b/>
                <w:i/>
                <w:iCs/>
                <w:vertAlign w:val="subscript"/>
                <w:lang w:eastAsia="en-NZ"/>
              </w:rPr>
              <w:t>x</w:t>
            </w:r>
            <w:proofErr w:type="spellEnd"/>
            <w:r w:rsidRPr="00FF4635">
              <w:rPr>
                <w:b/>
                <w:i/>
                <w:iCs/>
                <w:lang w:eastAsia="en-NZ"/>
              </w:rPr>
              <w:t>)</w:t>
            </w:r>
          </w:p>
        </w:tc>
      </w:tr>
      <w:tr w:rsidR="003A64CA" w:rsidRPr="008C5765" w:rsidTr="003A64CA">
        <w:trPr>
          <w:cantSplit/>
        </w:trPr>
        <w:tc>
          <w:tcPr>
            <w:tcW w:w="1716"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6514018.51</w:t>
            </w:r>
          </w:p>
        </w:tc>
        <w:tc>
          <w:tcPr>
            <w:tcW w:w="1560"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65.1</w:t>
            </w:r>
          </w:p>
        </w:tc>
        <w:tc>
          <w:tcPr>
            <w:tcW w:w="1275"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100</w:t>
            </w:r>
          </w:p>
        </w:tc>
        <w:tc>
          <w:tcPr>
            <w:tcW w:w="1323"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0.000608</w:t>
            </w:r>
          </w:p>
        </w:tc>
        <w:tc>
          <w:tcPr>
            <w:tcW w:w="1323" w:type="dxa"/>
            <w:tcBorders>
              <w:top w:val="single" w:sz="4" w:space="0" w:color="auto"/>
              <w:bottom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6025104</w:t>
            </w:r>
          </w:p>
        </w:tc>
        <w:tc>
          <w:tcPr>
            <w:tcW w:w="1323"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1117074904</w:t>
            </w:r>
          </w:p>
        </w:tc>
        <w:tc>
          <w:tcPr>
            <w:tcW w:w="1524"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0.111707</w:t>
            </w:r>
          </w:p>
        </w:tc>
        <w:tc>
          <w:tcPr>
            <w:tcW w:w="1524"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0.33</w:t>
            </w:r>
          </w:p>
        </w:tc>
        <w:tc>
          <w:tcPr>
            <w:tcW w:w="1524"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64.5</w:t>
            </w:r>
          </w:p>
        </w:tc>
        <w:tc>
          <w:tcPr>
            <w:tcW w:w="1524"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65.8</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6420922.43</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64.5</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850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0.000072</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11310240</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1111049801</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0.112245</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0.34</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63.9</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65.2</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6049049.55</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60.9</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1200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0.000054</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13390372</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1099739560</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0.111326</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0.33</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60.2</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61.5</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5587009.74</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56.2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1400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0.000050</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12218663</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1086349189</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0.110077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0.33</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55.6</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56.9</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5127688.97</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51.7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600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0.000109</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26648948</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1074130526</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0.109018</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0.33</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51.0</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52.3</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4666787.48</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47.2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550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0.000111</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26905530</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1047481578</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0.107041</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0.33</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46.5</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47.8</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4205415.47</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42.7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450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0.000135</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32622024</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1020576049</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0.105252</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0.32</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42.1</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43.3</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3745888.68</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38.2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450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0.000145</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34692231</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987954025</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0.102605</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0.32</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37.5</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38.8</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3290465.82</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33.7</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500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0.000147</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34960901</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953261794</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0.099798</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0.32</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33.0</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34.3</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2842107.50</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29.2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600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0.000150</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35140796</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918300893</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0.097249</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0.31</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28.6</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29.9</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2406492.65</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25.0</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450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0.000243</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55829563</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883160097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0.095057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0.31</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24.4</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25.6</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1987132.28</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20.9</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400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0.000319</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71080269</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827330534</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0.091196</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0.30</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20.3</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21.5</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1585740.60</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17.0</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400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0.000400</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85277837</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756250264</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0.086442</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0.29</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16.4</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17.5</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1216356.60</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13.4</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350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0.000536</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106624273</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670972427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0.081026</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0.28</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12.8</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13.9</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881759.10</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10.1</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300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0.000700</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124873057</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564348154</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0.074226</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0.27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9.6</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10.6</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586105.35</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7.2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250</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0.000960</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142977247</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439475097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0.066413</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0.26</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6.7</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7.7</w:t>
            </w:r>
          </w:p>
        </w:tc>
      </w:tr>
      <w:tr w:rsidR="003A64CA" w:rsidRPr="008C5765" w:rsidTr="003A64CA">
        <w:trPr>
          <w:cantSplit/>
        </w:trPr>
        <w:tc>
          <w:tcPr>
            <w:tcW w:w="1716" w:type="dxa"/>
            <w:tcBorders>
              <w:top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354553.05</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4.9</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200</w:t>
            </w:r>
          </w:p>
        </w:tc>
        <w:tc>
          <w:tcPr>
            <w:tcW w:w="1323" w:type="dxa"/>
            <w:tcBorders>
              <w:top w:val="nil"/>
              <w:left w:val="single" w:sz="4" w:space="0" w:color="A6A6A6" w:themeColor="background1" w:themeShade="A6"/>
              <w:bottom w:val="nil"/>
              <w:right w:val="nil"/>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0.001250</w:t>
            </w:r>
          </w:p>
        </w:tc>
        <w:tc>
          <w:tcPr>
            <w:tcW w:w="1323" w:type="dxa"/>
            <w:tcBorders>
              <w:top w:val="nil"/>
              <w:left w:val="nil"/>
              <w:bottom w:val="nil"/>
              <w:right w:val="nil"/>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137438252</w:t>
            </w:r>
          </w:p>
        </w:tc>
        <w:tc>
          <w:tcPr>
            <w:tcW w:w="1323" w:type="dxa"/>
            <w:tcBorders>
              <w:top w:val="nil"/>
              <w:left w:val="nil"/>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296497850</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0.056487</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0.24</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4.4</w:t>
            </w:r>
          </w:p>
        </w:tc>
        <w:tc>
          <w:tcPr>
            <w:tcW w:w="1524" w:type="dxa"/>
            <w:tcBorders>
              <w:top w:val="nil"/>
              <w:left w:val="single" w:sz="4" w:space="0" w:color="A6A6A6" w:themeColor="background1" w:themeShade="A6"/>
              <w:bottom w:val="nil"/>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5.4</w:t>
            </w:r>
          </w:p>
        </w:tc>
      </w:tr>
      <w:tr w:rsidR="00FF4635" w:rsidRPr="008C5765" w:rsidTr="003A64CA">
        <w:trPr>
          <w:cantSplit/>
        </w:trPr>
        <w:tc>
          <w:tcPr>
            <w:tcW w:w="1716"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980"/>
              </w:tabs>
              <w:rPr>
                <w:lang w:eastAsia="en-NZ"/>
              </w:rPr>
            </w:pPr>
            <w:r w:rsidRPr="008C5765">
              <w:rPr>
                <w:lang w:eastAsia="en-NZ"/>
              </w:rPr>
              <w:t>188759.05</w:t>
            </w:r>
          </w:p>
        </w:tc>
        <w:tc>
          <w:tcPr>
            <w:tcW w:w="1560"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80"/>
              </w:tabs>
              <w:rPr>
                <w:lang w:eastAsia="en-NZ"/>
              </w:rPr>
            </w:pPr>
            <w:r w:rsidRPr="008C5765">
              <w:rPr>
                <w:lang w:eastAsia="en-NZ"/>
              </w:rPr>
              <w:t>3.2</w:t>
            </w:r>
          </w:p>
        </w:tc>
        <w:tc>
          <w:tcPr>
            <w:tcW w:w="1275"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63"/>
              </w:tabs>
              <w:rPr>
                <w:lang w:eastAsia="en-NZ"/>
              </w:rPr>
            </w:pPr>
            <w:r w:rsidRPr="008C5765">
              <w:rPr>
                <w:lang w:eastAsia="en-NZ"/>
              </w:rPr>
              <w:t>175</w:t>
            </w:r>
          </w:p>
        </w:tc>
        <w:tc>
          <w:tcPr>
            <w:tcW w:w="1323"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jc w:val="center"/>
              <w:rPr>
                <w:lang w:eastAsia="en-NZ"/>
              </w:rPr>
            </w:pPr>
            <w:r w:rsidRPr="008C5765">
              <w:rPr>
                <w:lang w:eastAsia="en-NZ"/>
              </w:rPr>
              <w:t>0.001371</w:t>
            </w:r>
          </w:p>
        </w:tc>
        <w:tc>
          <w:tcPr>
            <w:tcW w:w="1323" w:type="dxa"/>
            <w:tcBorders>
              <w:top w:val="nil"/>
              <w:bottom w:val="nil"/>
            </w:tcBorders>
            <w:shd w:val="clear" w:color="auto" w:fill="auto"/>
            <w:noWrap/>
            <w:hideMark/>
          </w:tcPr>
          <w:p w:rsidR="00010E61" w:rsidRPr="008C5765" w:rsidRDefault="00010E61" w:rsidP="00FF4635">
            <w:pPr>
              <w:pStyle w:val="TableText"/>
              <w:tabs>
                <w:tab w:val="decimal" w:pos="979"/>
              </w:tabs>
              <w:rPr>
                <w:lang w:eastAsia="en-NZ"/>
              </w:rPr>
            </w:pPr>
            <w:r w:rsidRPr="008C5765">
              <w:rPr>
                <w:lang w:eastAsia="en-NZ"/>
              </w:rPr>
              <w:t>89018094</w:t>
            </w:r>
          </w:p>
        </w:tc>
        <w:tc>
          <w:tcPr>
            <w:tcW w:w="1323" w:type="dxa"/>
            <w:tcBorders>
              <w:top w:val="nil"/>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1074"/>
              </w:tabs>
              <w:rPr>
                <w:lang w:eastAsia="en-NZ"/>
              </w:rPr>
            </w:pPr>
            <w:r w:rsidRPr="008C5765">
              <w:rPr>
                <w:lang w:eastAsia="en-NZ"/>
              </w:rPr>
              <w:t>159059598</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0.045008</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jc w:val="center"/>
              <w:rPr>
                <w:lang w:eastAsia="en-NZ"/>
              </w:rPr>
            </w:pPr>
            <w:r w:rsidRPr="008C5765">
              <w:rPr>
                <w:lang w:eastAsia="en-NZ"/>
              </w:rPr>
              <w:t>0.21</w:t>
            </w:r>
          </w:p>
        </w:tc>
        <w:tc>
          <w:tcPr>
            <w:tcW w:w="1524" w:type="dxa"/>
            <w:tcBorders>
              <w:top w:val="nil"/>
              <w:left w:val="single" w:sz="4" w:space="0" w:color="A6A6A6" w:themeColor="background1" w:themeShade="A6"/>
              <w:bottom w:val="nil"/>
              <w:right w:val="single" w:sz="4" w:space="0" w:color="A6A6A6" w:themeColor="background1" w:themeShade="A6"/>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2.8</w:t>
            </w:r>
          </w:p>
        </w:tc>
        <w:tc>
          <w:tcPr>
            <w:tcW w:w="1524" w:type="dxa"/>
            <w:tcBorders>
              <w:top w:val="nil"/>
              <w:left w:val="single" w:sz="4" w:space="0" w:color="A6A6A6" w:themeColor="background1" w:themeShade="A6"/>
              <w:bottom w:val="nil"/>
            </w:tcBorders>
            <w:shd w:val="clear" w:color="auto" w:fill="auto"/>
            <w:noWrap/>
            <w:hideMark/>
          </w:tcPr>
          <w:p w:rsidR="00010E61" w:rsidRPr="008C5765" w:rsidRDefault="00010E61" w:rsidP="00FF4635">
            <w:pPr>
              <w:pStyle w:val="TableText"/>
              <w:tabs>
                <w:tab w:val="decimal" w:pos="672"/>
              </w:tabs>
              <w:rPr>
                <w:lang w:eastAsia="en-NZ"/>
              </w:rPr>
            </w:pPr>
            <w:r w:rsidRPr="008C5765">
              <w:rPr>
                <w:lang w:eastAsia="en-NZ"/>
              </w:rPr>
              <w:t>3.6</w:t>
            </w:r>
          </w:p>
        </w:tc>
      </w:tr>
      <w:tr w:rsidR="003A64CA" w:rsidRPr="008C5765" w:rsidTr="003A64CA">
        <w:trPr>
          <w:cantSplit/>
        </w:trPr>
        <w:tc>
          <w:tcPr>
            <w:tcW w:w="1716" w:type="dxa"/>
            <w:tcBorders>
              <w:top w:val="nil"/>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980"/>
              </w:tabs>
              <w:rPr>
                <w:lang w:eastAsia="en-NZ"/>
              </w:rPr>
            </w:pPr>
            <w:r w:rsidRPr="008C5765">
              <w:rPr>
                <w:lang w:eastAsia="en-NZ"/>
              </w:rPr>
              <w:t>86850.05</w:t>
            </w:r>
          </w:p>
        </w:tc>
        <w:tc>
          <w:tcPr>
            <w:tcW w:w="1560"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80"/>
              </w:tabs>
              <w:rPr>
                <w:lang w:eastAsia="en-NZ"/>
              </w:rPr>
            </w:pPr>
            <w:r w:rsidRPr="008C5765">
              <w:rPr>
                <w:lang w:eastAsia="en-NZ"/>
              </w:rPr>
              <w:t>2.1</w:t>
            </w:r>
          </w:p>
        </w:tc>
        <w:tc>
          <w:tcPr>
            <w:tcW w:w="1275"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63"/>
              </w:tabs>
              <w:rPr>
                <w:lang w:eastAsia="en-NZ"/>
              </w:rPr>
            </w:pPr>
            <w:r w:rsidRPr="008C5765">
              <w:rPr>
                <w:lang w:eastAsia="en-NZ"/>
              </w:rPr>
              <w:t>200</w:t>
            </w:r>
          </w:p>
        </w:tc>
        <w:tc>
          <w:tcPr>
            <w:tcW w:w="1323" w:type="dxa"/>
            <w:tcBorders>
              <w:top w:val="nil"/>
              <w:left w:val="single" w:sz="4" w:space="0" w:color="A6A6A6" w:themeColor="background1" w:themeShade="A6"/>
              <w:bottom w:val="single" w:sz="4" w:space="0" w:color="auto"/>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0.001138</w:t>
            </w:r>
          </w:p>
        </w:tc>
        <w:tc>
          <w:tcPr>
            <w:tcW w:w="1323" w:type="dxa"/>
            <w:tcBorders>
              <w:top w:val="nil"/>
              <w:bottom w:val="single" w:sz="4" w:space="0" w:color="auto"/>
            </w:tcBorders>
            <w:shd w:val="clear" w:color="auto" w:fill="F2F2F2" w:themeFill="background1" w:themeFillShade="F2"/>
            <w:noWrap/>
            <w:hideMark/>
          </w:tcPr>
          <w:p w:rsidR="00010E61" w:rsidRPr="008C5765" w:rsidRDefault="00010E61" w:rsidP="00FF4635">
            <w:pPr>
              <w:pStyle w:val="TableText"/>
              <w:tabs>
                <w:tab w:val="decimal" w:pos="979"/>
              </w:tabs>
              <w:rPr>
                <w:lang w:eastAsia="en-NZ"/>
              </w:rPr>
            </w:pPr>
            <w:r w:rsidRPr="008C5765">
              <w:rPr>
                <w:lang w:eastAsia="en-NZ"/>
              </w:rPr>
              <w:t>70041504</w:t>
            </w:r>
          </w:p>
        </w:tc>
        <w:tc>
          <w:tcPr>
            <w:tcW w:w="1323" w:type="dxa"/>
            <w:tcBorders>
              <w:top w:val="nil"/>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1074"/>
              </w:tabs>
              <w:rPr>
                <w:lang w:eastAsia="en-NZ"/>
              </w:rPr>
            </w:pPr>
            <w:r w:rsidRPr="008C5765">
              <w:rPr>
                <w:lang w:eastAsia="en-NZ"/>
              </w:rPr>
              <w:t>70041504</w:t>
            </w:r>
          </w:p>
        </w:tc>
        <w:tc>
          <w:tcPr>
            <w:tcW w:w="152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0.040216</w:t>
            </w:r>
          </w:p>
        </w:tc>
        <w:tc>
          <w:tcPr>
            <w:tcW w:w="152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jc w:val="center"/>
              <w:rPr>
                <w:lang w:eastAsia="en-NZ"/>
              </w:rPr>
            </w:pPr>
            <w:r w:rsidRPr="008C5765">
              <w:rPr>
                <w:lang w:eastAsia="en-NZ"/>
              </w:rPr>
              <w:t>0.20</w:t>
            </w:r>
          </w:p>
        </w:tc>
        <w:tc>
          <w:tcPr>
            <w:tcW w:w="1524"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1.7</w:t>
            </w:r>
          </w:p>
        </w:tc>
        <w:tc>
          <w:tcPr>
            <w:tcW w:w="1524" w:type="dxa"/>
            <w:tcBorders>
              <w:top w:val="nil"/>
              <w:left w:val="single" w:sz="4" w:space="0" w:color="A6A6A6" w:themeColor="background1" w:themeShade="A6"/>
              <w:bottom w:val="single" w:sz="4" w:space="0" w:color="auto"/>
            </w:tcBorders>
            <w:shd w:val="clear" w:color="auto" w:fill="F2F2F2" w:themeFill="background1" w:themeFillShade="F2"/>
            <w:noWrap/>
            <w:hideMark/>
          </w:tcPr>
          <w:p w:rsidR="00010E61" w:rsidRPr="008C5765" w:rsidRDefault="00010E61" w:rsidP="00FF4635">
            <w:pPr>
              <w:pStyle w:val="TableText"/>
              <w:tabs>
                <w:tab w:val="decimal" w:pos="672"/>
              </w:tabs>
              <w:rPr>
                <w:lang w:eastAsia="en-NZ"/>
              </w:rPr>
            </w:pPr>
            <w:r w:rsidRPr="008C5765">
              <w:rPr>
                <w:lang w:eastAsia="en-NZ"/>
              </w:rPr>
              <w:t>2.5</w:t>
            </w:r>
          </w:p>
        </w:tc>
      </w:tr>
    </w:tbl>
    <w:p w:rsidR="00DB72F8" w:rsidRPr="00DB72F8" w:rsidRDefault="00DB72F8" w:rsidP="00DB72F8"/>
    <w:sectPr w:rsidR="00DB72F8" w:rsidRPr="00DB72F8" w:rsidSect="00616387">
      <w:footerReference w:type="default" r:id="rId46"/>
      <w:pgSz w:w="16834" w:h="11907" w:orient="landscape"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19" w:rsidRDefault="00807B19">
      <w:pPr>
        <w:spacing w:line="240" w:lineRule="auto"/>
      </w:pPr>
      <w:r>
        <w:separator/>
      </w:r>
    </w:p>
  </w:endnote>
  <w:endnote w:type="continuationSeparator" w:id="0">
    <w:p w:rsidR="00807B19" w:rsidRDefault="0080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oundrySans-Normal">
    <w:altName w:val="FoundrySans-Norm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Pr="003648EF" w:rsidRDefault="00D118A0"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Pr="00275D08" w:rsidRDefault="00D118A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8B4088">
      <w:rPr>
        <w:rStyle w:val="PageNumber"/>
        <w:noProof/>
      </w:rPr>
      <w:t>34</w:t>
    </w:r>
    <w:r w:rsidRPr="00FC46E7">
      <w:rPr>
        <w:rStyle w:val="PageNumber"/>
      </w:rPr>
      <w:fldChar w:fldCharType="end"/>
    </w:r>
    <w:r>
      <w:tab/>
      <w:t>Independent Life Expectancy in New Zealand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533B90">
    <w:pPr>
      <w:pStyle w:val="RectoFooter"/>
    </w:pPr>
    <w:r>
      <w:tab/>
      <w:t>Independent Life Expectancy in New Zealand 2013</w:t>
    </w:r>
    <w:r>
      <w:tab/>
    </w:r>
    <w:r>
      <w:rPr>
        <w:rStyle w:val="PageNumber"/>
      </w:rPr>
      <w:fldChar w:fldCharType="begin"/>
    </w:r>
    <w:r>
      <w:rPr>
        <w:rStyle w:val="PageNumber"/>
      </w:rPr>
      <w:instrText xml:space="preserve"> PAGE </w:instrText>
    </w:r>
    <w:r>
      <w:rPr>
        <w:rStyle w:val="PageNumber"/>
      </w:rPr>
      <w:fldChar w:fldCharType="separate"/>
    </w:r>
    <w:r w:rsidR="008B4088">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533B90">
    <w:pPr>
      <w:pStyle w:val="RectoFooter"/>
    </w:pPr>
    <w:r>
      <w:tab/>
      <w:t>Independent Life Expectancy in New Zealand 2013</w:t>
    </w:r>
    <w:r>
      <w:tab/>
    </w:r>
    <w:r>
      <w:rPr>
        <w:rStyle w:val="PageNumber"/>
      </w:rPr>
      <w:fldChar w:fldCharType="begin"/>
    </w:r>
    <w:r>
      <w:rPr>
        <w:rStyle w:val="PageNumber"/>
      </w:rPr>
      <w:instrText xml:space="preserve"> PAGE </w:instrText>
    </w:r>
    <w:r>
      <w:rPr>
        <w:rStyle w:val="PageNumber"/>
      </w:rPr>
      <w:fldChar w:fldCharType="separate"/>
    </w:r>
    <w:r w:rsidR="008B4088">
      <w:rPr>
        <w:rStyle w:val="PageNumber"/>
        <w:noProof/>
      </w:rPr>
      <w:t>31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A31084">
    <w:pPr>
      <w:pStyle w:val="RectoFooter"/>
      <w:tabs>
        <w:tab w:val="clear" w:pos="8647"/>
        <w:tab w:val="clear" w:pos="9356"/>
        <w:tab w:val="right" w:pos="13750"/>
        <w:tab w:val="right" w:pos="14459"/>
      </w:tabs>
    </w:pPr>
    <w:r>
      <w:tab/>
      <w:t>Independent Life Expectancy in New Zealand 2013</w:t>
    </w:r>
    <w:r>
      <w:tab/>
    </w:r>
    <w:r>
      <w:rPr>
        <w:rStyle w:val="PageNumber"/>
      </w:rPr>
      <w:fldChar w:fldCharType="begin"/>
    </w:r>
    <w:r>
      <w:rPr>
        <w:rStyle w:val="PageNumber"/>
      </w:rPr>
      <w:instrText xml:space="preserve"> PAGE </w:instrText>
    </w:r>
    <w:r>
      <w:rPr>
        <w:rStyle w:val="PageNumber"/>
      </w:rPr>
      <w:fldChar w:fldCharType="separate"/>
    </w:r>
    <w:r w:rsidR="008B4088">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19" w:rsidRPr="00E460B6" w:rsidRDefault="00807B19" w:rsidP="007B4D3E"/>
  </w:footnote>
  <w:footnote w:type="continuationSeparator" w:id="0">
    <w:p w:rsidR="00807B19" w:rsidRDefault="00807B19">
      <w:pPr>
        <w:spacing w:line="240" w:lineRule="auto"/>
      </w:pPr>
      <w:r>
        <w:continuationSeparator/>
      </w:r>
    </w:p>
  </w:footnote>
  <w:footnote w:id="1">
    <w:p w:rsidR="00D118A0" w:rsidRDefault="00D118A0" w:rsidP="00010E61">
      <w:pPr>
        <w:pStyle w:val="FootnoteText"/>
      </w:pPr>
      <w:r w:rsidRPr="00010E61">
        <w:rPr>
          <w:rStyle w:val="FootnoteReference"/>
        </w:rPr>
        <w:footnoteRef/>
      </w:r>
      <w:r>
        <w:tab/>
        <w:t>These data differ slightly from</w:t>
      </w:r>
      <w:r w:rsidRPr="008C5765">
        <w:t xml:space="preserve"> previously published estimates (Ministry of Health </w:t>
      </w:r>
      <w:r>
        <w:t xml:space="preserve">and Statistics NZ </w:t>
      </w:r>
      <w:r w:rsidRPr="008C5765">
        <w:t>2009)</w:t>
      </w:r>
      <w:r>
        <w:t xml:space="preserve"> because Statistics NZ is now using</w:t>
      </w:r>
      <w:r w:rsidRPr="008C5765">
        <w:t xml:space="preserve"> new population weights to make the data more comparable across years. The 1996 data also include residential cases that had been left out</w:t>
      </w:r>
      <w:r>
        <w:t xml:space="preserve"> in previous estimates</w:t>
      </w:r>
      <w:r w:rsidRPr="008C576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D25FFE">
    <w:pPr>
      <w:pStyle w:val="Header"/>
      <w:ind w:left="-1559"/>
    </w:pPr>
    <w:r>
      <w:rPr>
        <w:noProof/>
        <w:lang w:eastAsia="en-NZ"/>
      </w:rPr>
      <w:drawing>
        <wp:inline distT="0" distB="0" distL="0" distR="0" wp14:anchorId="3C1EBD7F" wp14:editId="02587F37">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D25FFE">
    <w:pPr>
      <w:pStyle w:val="Header"/>
      <w:ind w:left="-15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0" w:rsidRDefault="00D118A0"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B0CDD3C"/>
    <w:lvl w:ilvl="0">
      <w:start w:val="1"/>
      <w:numFmt w:val="decimal"/>
      <w:pStyle w:val="ListNumber"/>
      <w:lvlText w:val="%1."/>
      <w:lvlJc w:val="left"/>
      <w:pPr>
        <w:tabs>
          <w:tab w:val="num" w:pos="360"/>
        </w:tabs>
        <w:ind w:left="360" w:hanging="360"/>
      </w:pPr>
    </w:lvl>
  </w:abstractNum>
  <w:abstractNum w:abstractNumId="1">
    <w:nsid w:val="FFFFFF89"/>
    <w:multiLevelType w:val="singleLevel"/>
    <w:tmpl w:val="CCBE423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C93B7B"/>
    <w:multiLevelType w:val="hybridMultilevel"/>
    <w:tmpl w:val="16A080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nsid w:val="1006767E"/>
    <w:multiLevelType w:val="hybridMultilevel"/>
    <w:tmpl w:val="89E207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AE76535"/>
    <w:multiLevelType w:val="hybridMultilevel"/>
    <w:tmpl w:val="C67061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DEC435E"/>
    <w:multiLevelType w:val="hybridMultilevel"/>
    <w:tmpl w:val="7EF022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035093"/>
    <w:multiLevelType w:val="hybridMultilevel"/>
    <w:tmpl w:val="C23E41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62E1528"/>
    <w:multiLevelType w:val="hybridMultilevel"/>
    <w:tmpl w:val="9DC8A4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nsid w:val="49592EAA"/>
    <w:multiLevelType w:val="hybridMultilevel"/>
    <w:tmpl w:val="1D5005F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E2C1362"/>
    <w:multiLevelType w:val="hybridMultilevel"/>
    <w:tmpl w:val="A0D0D13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nsid w:val="63BA2791"/>
    <w:multiLevelType w:val="hybridMultilevel"/>
    <w:tmpl w:val="1F2E80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65175D3C"/>
    <w:multiLevelType w:val="hybridMultilevel"/>
    <w:tmpl w:val="FF421A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2">
    <w:nsid w:val="761979CF"/>
    <w:multiLevelType w:val="hybridMultilevel"/>
    <w:tmpl w:val="A93264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4">
    <w:nsid w:val="7D6B35A1"/>
    <w:multiLevelType w:val="hybridMultilevel"/>
    <w:tmpl w:val="3E06EC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nsid w:val="7EC06221"/>
    <w:multiLevelType w:val="hybridMultilevel"/>
    <w:tmpl w:val="9E301B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9"/>
  </w:num>
  <w:num w:numId="4">
    <w:abstractNumId w:val="11"/>
  </w:num>
  <w:num w:numId="5">
    <w:abstractNumId w:val="3"/>
  </w:num>
  <w:num w:numId="6">
    <w:abstractNumId w:val="16"/>
  </w:num>
  <w:num w:numId="7">
    <w:abstractNumId w:val="6"/>
  </w:num>
  <w:num w:numId="8">
    <w:abstractNumId w:val="21"/>
  </w:num>
  <w:num w:numId="9">
    <w:abstractNumId w:val="5"/>
  </w:num>
  <w:num w:numId="10">
    <w:abstractNumId w:val="7"/>
  </w:num>
  <w:num w:numId="11">
    <w:abstractNumId w:val="13"/>
  </w:num>
  <w:num w:numId="12">
    <w:abstractNumId w:val="1"/>
  </w:num>
  <w:num w:numId="13">
    <w:abstractNumId w:val="10"/>
  </w:num>
  <w:num w:numId="14">
    <w:abstractNumId w:val="12"/>
  </w:num>
  <w:num w:numId="15">
    <w:abstractNumId w:val="24"/>
  </w:num>
  <w:num w:numId="16">
    <w:abstractNumId w:val="4"/>
  </w:num>
  <w:num w:numId="17">
    <w:abstractNumId w:val="25"/>
  </w:num>
  <w:num w:numId="18">
    <w:abstractNumId w:val="14"/>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 w:numId="29">
    <w:abstractNumId w:val="18"/>
  </w:num>
  <w:num w:numId="30">
    <w:abstractNumId w:val="0"/>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10E61"/>
    <w:rsid w:val="00030B26"/>
    <w:rsid w:val="00046BD2"/>
    <w:rsid w:val="0006228D"/>
    <w:rsid w:val="00072BD6"/>
    <w:rsid w:val="00075B78"/>
    <w:rsid w:val="00082CD6"/>
    <w:rsid w:val="00085AFE"/>
    <w:rsid w:val="00092321"/>
    <w:rsid w:val="000B0730"/>
    <w:rsid w:val="000E04A3"/>
    <w:rsid w:val="000E627C"/>
    <w:rsid w:val="000F2AE2"/>
    <w:rsid w:val="00102063"/>
    <w:rsid w:val="0010541C"/>
    <w:rsid w:val="00105685"/>
    <w:rsid w:val="00106F93"/>
    <w:rsid w:val="00111D50"/>
    <w:rsid w:val="00113B8E"/>
    <w:rsid w:val="001342C7"/>
    <w:rsid w:val="00134923"/>
    <w:rsid w:val="00134D78"/>
    <w:rsid w:val="0013585C"/>
    <w:rsid w:val="00142954"/>
    <w:rsid w:val="001460E0"/>
    <w:rsid w:val="00147F71"/>
    <w:rsid w:val="00150A6E"/>
    <w:rsid w:val="0016468A"/>
    <w:rsid w:val="00194DCC"/>
    <w:rsid w:val="001963AA"/>
    <w:rsid w:val="001A5CF5"/>
    <w:rsid w:val="001B39D2"/>
    <w:rsid w:val="001C4326"/>
    <w:rsid w:val="001D3541"/>
    <w:rsid w:val="00201A01"/>
    <w:rsid w:val="002104D3"/>
    <w:rsid w:val="00213A33"/>
    <w:rsid w:val="0021763B"/>
    <w:rsid w:val="00231F82"/>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606F8"/>
    <w:rsid w:val="003648EF"/>
    <w:rsid w:val="00365D5B"/>
    <w:rsid w:val="003673E6"/>
    <w:rsid w:val="00377264"/>
    <w:rsid w:val="003A26A5"/>
    <w:rsid w:val="003A3761"/>
    <w:rsid w:val="003A5FEA"/>
    <w:rsid w:val="003A64CA"/>
    <w:rsid w:val="003B1D10"/>
    <w:rsid w:val="003C76D4"/>
    <w:rsid w:val="003E11A9"/>
    <w:rsid w:val="003E7C46"/>
    <w:rsid w:val="003F52A7"/>
    <w:rsid w:val="0040240C"/>
    <w:rsid w:val="00413021"/>
    <w:rsid w:val="00440BE0"/>
    <w:rsid w:val="00442C1C"/>
    <w:rsid w:val="0044584B"/>
    <w:rsid w:val="00447CB7"/>
    <w:rsid w:val="00460826"/>
    <w:rsid w:val="00460EA7"/>
    <w:rsid w:val="0046195B"/>
    <w:rsid w:val="0046596D"/>
    <w:rsid w:val="00487C04"/>
    <w:rsid w:val="004907E1"/>
    <w:rsid w:val="00495773"/>
    <w:rsid w:val="004A035B"/>
    <w:rsid w:val="004A38D7"/>
    <w:rsid w:val="004A778C"/>
    <w:rsid w:val="004C2E6A"/>
    <w:rsid w:val="004D2A2D"/>
    <w:rsid w:val="004D6689"/>
    <w:rsid w:val="004E1D1D"/>
    <w:rsid w:val="004E7AC8"/>
    <w:rsid w:val="004F0C94"/>
    <w:rsid w:val="004F3D79"/>
    <w:rsid w:val="005019AE"/>
    <w:rsid w:val="00503749"/>
    <w:rsid w:val="00504CF4"/>
    <w:rsid w:val="0050635B"/>
    <w:rsid w:val="005241FD"/>
    <w:rsid w:val="0053199F"/>
    <w:rsid w:val="00533B90"/>
    <w:rsid w:val="005409D7"/>
    <w:rsid w:val="005410F8"/>
    <w:rsid w:val="005448EC"/>
    <w:rsid w:val="00545963"/>
    <w:rsid w:val="00550256"/>
    <w:rsid w:val="00553958"/>
    <w:rsid w:val="0055763D"/>
    <w:rsid w:val="005621F2"/>
    <w:rsid w:val="00567B58"/>
    <w:rsid w:val="005763E0"/>
    <w:rsid w:val="005A27CA"/>
    <w:rsid w:val="005A43BD"/>
    <w:rsid w:val="005D772D"/>
    <w:rsid w:val="005E226E"/>
    <w:rsid w:val="0060134B"/>
    <w:rsid w:val="006015D7"/>
    <w:rsid w:val="00601B21"/>
    <w:rsid w:val="00616387"/>
    <w:rsid w:val="00626CF8"/>
    <w:rsid w:val="00636D7D"/>
    <w:rsid w:val="00637408"/>
    <w:rsid w:val="00642868"/>
    <w:rsid w:val="00647AFE"/>
    <w:rsid w:val="006512BC"/>
    <w:rsid w:val="00653A5A"/>
    <w:rsid w:val="006575F4"/>
    <w:rsid w:val="006579E6"/>
    <w:rsid w:val="00663EDC"/>
    <w:rsid w:val="00665B58"/>
    <w:rsid w:val="00671078"/>
    <w:rsid w:val="00676E18"/>
    <w:rsid w:val="00680A04"/>
    <w:rsid w:val="00680A4F"/>
    <w:rsid w:val="00686D80"/>
    <w:rsid w:val="00687A5B"/>
    <w:rsid w:val="00690EB3"/>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50B4D"/>
    <w:rsid w:val="00771B1E"/>
    <w:rsid w:val="00773C95"/>
    <w:rsid w:val="0078171E"/>
    <w:rsid w:val="00795B34"/>
    <w:rsid w:val="007B1770"/>
    <w:rsid w:val="007B2E65"/>
    <w:rsid w:val="007B4D3E"/>
    <w:rsid w:val="007B7C70"/>
    <w:rsid w:val="007D2151"/>
    <w:rsid w:val="007D42CC"/>
    <w:rsid w:val="007D5DE4"/>
    <w:rsid w:val="007E1341"/>
    <w:rsid w:val="007E1B41"/>
    <w:rsid w:val="007E30B9"/>
    <w:rsid w:val="007E58D8"/>
    <w:rsid w:val="007F0F0C"/>
    <w:rsid w:val="007F1288"/>
    <w:rsid w:val="00800A8A"/>
    <w:rsid w:val="0080155C"/>
    <w:rsid w:val="008052E1"/>
    <w:rsid w:val="00807B19"/>
    <w:rsid w:val="00822F2C"/>
    <w:rsid w:val="008305E8"/>
    <w:rsid w:val="00860826"/>
    <w:rsid w:val="00860E21"/>
    <w:rsid w:val="00863117"/>
    <w:rsid w:val="0086388B"/>
    <w:rsid w:val="008642E5"/>
    <w:rsid w:val="00872D93"/>
    <w:rsid w:val="00880470"/>
    <w:rsid w:val="00880D94"/>
    <w:rsid w:val="008924DE"/>
    <w:rsid w:val="008A3755"/>
    <w:rsid w:val="008B264F"/>
    <w:rsid w:val="008B4088"/>
    <w:rsid w:val="008B6F83"/>
    <w:rsid w:val="008B7FD8"/>
    <w:rsid w:val="008C2973"/>
    <w:rsid w:val="008C64C4"/>
    <w:rsid w:val="008D74D5"/>
    <w:rsid w:val="008F29BE"/>
    <w:rsid w:val="008F4AE5"/>
    <w:rsid w:val="008F51EB"/>
    <w:rsid w:val="00900197"/>
    <w:rsid w:val="009013FB"/>
    <w:rsid w:val="00902F55"/>
    <w:rsid w:val="0090582B"/>
    <w:rsid w:val="009060C0"/>
    <w:rsid w:val="00912380"/>
    <w:rsid w:val="009133F5"/>
    <w:rsid w:val="00920A27"/>
    <w:rsid w:val="00921216"/>
    <w:rsid w:val="00932D69"/>
    <w:rsid w:val="00944647"/>
    <w:rsid w:val="00955690"/>
    <w:rsid w:val="00977B8A"/>
    <w:rsid w:val="00982971"/>
    <w:rsid w:val="009845AD"/>
    <w:rsid w:val="00995BA0"/>
    <w:rsid w:val="00996F2C"/>
    <w:rsid w:val="009A418B"/>
    <w:rsid w:val="009A4473"/>
    <w:rsid w:val="009C151C"/>
    <w:rsid w:val="009C250A"/>
    <w:rsid w:val="009D1572"/>
    <w:rsid w:val="009D5125"/>
    <w:rsid w:val="009D60B8"/>
    <w:rsid w:val="009D7D4B"/>
    <w:rsid w:val="009E36ED"/>
    <w:rsid w:val="009E6B77"/>
    <w:rsid w:val="009F460A"/>
    <w:rsid w:val="00A043FB"/>
    <w:rsid w:val="00A06FEC"/>
    <w:rsid w:val="00A0729C"/>
    <w:rsid w:val="00A07779"/>
    <w:rsid w:val="00A20B2E"/>
    <w:rsid w:val="00A21B62"/>
    <w:rsid w:val="00A3068F"/>
    <w:rsid w:val="00A31084"/>
    <w:rsid w:val="00A3145B"/>
    <w:rsid w:val="00A339D0"/>
    <w:rsid w:val="00A41002"/>
    <w:rsid w:val="00A4201A"/>
    <w:rsid w:val="00A52763"/>
    <w:rsid w:val="00A553CE"/>
    <w:rsid w:val="00A5677A"/>
    <w:rsid w:val="00A6490D"/>
    <w:rsid w:val="00A80363"/>
    <w:rsid w:val="00A9169D"/>
    <w:rsid w:val="00AC101C"/>
    <w:rsid w:val="00AD4CF1"/>
    <w:rsid w:val="00AD5988"/>
    <w:rsid w:val="00AF7800"/>
    <w:rsid w:val="00B072E0"/>
    <w:rsid w:val="00B253F6"/>
    <w:rsid w:val="00B332F8"/>
    <w:rsid w:val="00B3492B"/>
    <w:rsid w:val="00B4646F"/>
    <w:rsid w:val="00B55C7D"/>
    <w:rsid w:val="00B63038"/>
    <w:rsid w:val="00B64BD8"/>
    <w:rsid w:val="00B6732A"/>
    <w:rsid w:val="00B701D1"/>
    <w:rsid w:val="00B73AF2"/>
    <w:rsid w:val="00B7551A"/>
    <w:rsid w:val="00B95C61"/>
    <w:rsid w:val="00BC59F1"/>
    <w:rsid w:val="00BE5285"/>
    <w:rsid w:val="00BF3DE1"/>
    <w:rsid w:val="00BF4843"/>
    <w:rsid w:val="00BF5205"/>
    <w:rsid w:val="00C12508"/>
    <w:rsid w:val="00C14B2A"/>
    <w:rsid w:val="00C45AA2"/>
    <w:rsid w:val="00C475F3"/>
    <w:rsid w:val="00C66296"/>
    <w:rsid w:val="00C77282"/>
    <w:rsid w:val="00C84DE5"/>
    <w:rsid w:val="00C86248"/>
    <w:rsid w:val="00CA4C33"/>
    <w:rsid w:val="00CA6F4A"/>
    <w:rsid w:val="00CD2119"/>
    <w:rsid w:val="00CD36AC"/>
    <w:rsid w:val="00CD3FCA"/>
    <w:rsid w:val="00CF1747"/>
    <w:rsid w:val="00D118A0"/>
    <w:rsid w:val="00D2392A"/>
    <w:rsid w:val="00D241D9"/>
    <w:rsid w:val="00D25FFE"/>
    <w:rsid w:val="00D4476F"/>
    <w:rsid w:val="00D54D50"/>
    <w:rsid w:val="00D66797"/>
    <w:rsid w:val="00D7087C"/>
    <w:rsid w:val="00D70C3C"/>
    <w:rsid w:val="00D72BE5"/>
    <w:rsid w:val="00D82F26"/>
    <w:rsid w:val="00D863D0"/>
    <w:rsid w:val="00D87C87"/>
    <w:rsid w:val="00DB39CF"/>
    <w:rsid w:val="00DB72F8"/>
    <w:rsid w:val="00DC1D3C"/>
    <w:rsid w:val="00DD238D"/>
    <w:rsid w:val="00DD447A"/>
    <w:rsid w:val="00DE13AF"/>
    <w:rsid w:val="00DE3B20"/>
    <w:rsid w:val="00DE6C94"/>
    <w:rsid w:val="00DE6FD7"/>
    <w:rsid w:val="00E23271"/>
    <w:rsid w:val="00E24F80"/>
    <w:rsid w:val="00E259F3"/>
    <w:rsid w:val="00E33238"/>
    <w:rsid w:val="00E4486C"/>
    <w:rsid w:val="00E44CE9"/>
    <w:rsid w:val="00E460B6"/>
    <w:rsid w:val="00E511D5"/>
    <w:rsid w:val="00E55510"/>
    <w:rsid w:val="00E60249"/>
    <w:rsid w:val="00E65269"/>
    <w:rsid w:val="00E76D66"/>
    <w:rsid w:val="00EA796A"/>
    <w:rsid w:val="00EB1856"/>
    <w:rsid w:val="00EB712B"/>
    <w:rsid w:val="00EC50CE"/>
    <w:rsid w:val="00EC58E9"/>
    <w:rsid w:val="00EC5B34"/>
    <w:rsid w:val="00EE2385"/>
    <w:rsid w:val="00EE4ADE"/>
    <w:rsid w:val="00EE5CB7"/>
    <w:rsid w:val="00F024FE"/>
    <w:rsid w:val="00F05AD4"/>
    <w:rsid w:val="00F11157"/>
    <w:rsid w:val="00F34028"/>
    <w:rsid w:val="00F67496"/>
    <w:rsid w:val="00F801BA"/>
    <w:rsid w:val="00F946C9"/>
    <w:rsid w:val="00FA74EE"/>
    <w:rsid w:val="00FC46E7"/>
    <w:rsid w:val="00FC5D25"/>
    <w:rsid w:val="00FD0D7E"/>
    <w:rsid w:val="00FE6E13"/>
    <w:rsid w:val="00FF15F6"/>
    <w:rsid w:val="00FF4635"/>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010E61"/>
    <w:pPr>
      <w:spacing w:line="268" w:lineRule="auto"/>
      <w:outlineLvl w:val="5"/>
    </w:pPr>
    <w:rPr>
      <w:rFonts w:asciiTheme="majorHAnsi" w:eastAsiaTheme="majorEastAsia" w:hAnsiTheme="majorHAnsi" w:cstheme="majorBidi"/>
      <w:b/>
      <w:bCs/>
      <w:i/>
      <w:iCs/>
      <w:color w:val="7F7F7F" w:themeColor="text1" w:themeTint="80"/>
      <w:szCs w:val="22"/>
      <w:lang w:eastAsia="en-US"/>
    </w:rPr>
  </w:style>
  <w:style w:type="paragraph" w:styleId="Heading7">
    <w:name w:val="heading 7"/>
    <w:basedOn w:val="Normal"/>
    <w:next w:val="Normal"/>
    <w:link w:val="Heading7Char"/>
    <w:uiPriority w:val="9"/>
    <w:semiHidden/>
    <w:unhideWhenUsed/>
    <w:qFormat/>
    <w:rsid w:val="00010E61"/>
    <w:pPr>
      <w:spacing w:line="276" w:lineRule="auto"/>
      <w:outlineLvl w:val="6"/>
    </w:pPr>
    <w:rPr>
      <w:rFonts w:asciiTheme="majorHAnsi" w:eastAsiaTheme="majorEastAsia" w:hAnsiTheme="majorHAnsi" w:cstheme="majorBidi"/>
      <w:i/>
      <w:iCs/>
      <w:szCs w:val="22"/>
      <w:lang w:eastAsia="en-US"/>
    </w:rPr>
  </w:style>
  <w:style w:type="paragraph" w:styleId="Heading8">
    <w:name w:val="heading 8"/>
    <w:basedOn w:val="Normal"/>
    <w:next w:val="Normal"/>
    <w:link w:val="Heading8Char"/>
    <w:uiPriority w:val="9"/>
    <w:semiHidden/>
    <w:unhideWhenUsed/>
    <w:qFormat/>
    <w:rsid w:val="00010E61"/>
    <w:pPr>
      <w:spacing w:line="276" w:lineRule="auto"/>
      <w:outlineLvl w:val="7"/>
    </w:pPr>
    <w:rPr>
      <w:rFonts w:asciiTheme="majorHAnsi" w:eastAsiaTheme="majorEastAsia" w:hAnsiTheme="majorHAnsi" w:cstheme="majorBidi"/>
      <w:sz w:val="20"/>
      <w:lang w:eastAsia="en-US"/>
    </w:rPr>
  </w:style>
  <w:style w:type="paragraph" w:styleId="Heading9">
    <w:name w:val="heading 9"/>
    <w:basedOn w:val="Normal"/>
    <w:next w:val="Normal"/>
    <w:link w:val="Heading9Char"/>
    <w:uiPriority w:val="9"/>
    <w:semiHidden/>
    <w:unhideWhenUsed/>
    <w:qFormat/>
    <w:rsid w:val="00010E61"/>
    <w:pPr>
      <w:spacing w:line="276" w:lineRule="auto"/>
      <w:outlineLvl w:val="8"/>
    </w:pPr>
    <w:rPr>
      <w:rFonts w:asciiTheme="majorHAnsi" w:eastAsiaTheme="majorEastAsia" w:hAnsiTheme="majorHAnsi"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010E61"/>
    <w:rPr>
      <w:rFonts w:ascii="Georgia" w:hAnsi="Georgia"/>
      <w:b/>
      <w:sz w:val="22"/>
      <w:lang w:eastAsia="en-GB"/>
    </w:rPr>
  </w:style>
  <w:style w:type="character" w:customStyle="1" w:styleId="Heading5Char">
    <w:name w:val="Heading 5 Char"/>
    <w:basedOn w:val="DefaultParagraphFont"/>
    <w:link w:val="Heading5"/>
    <w:uiPriority w:val="9"/>
    <w:rsid w:val="00010E61"/>
    <w:rPr>
      <w:rFonts w:ascii="Georgia" w:hAnsi="Georgia"/>
      <w:sz w:val="22"/>
      <w:u w:val="single"/>
      <w:lang w:eastAsia="en-GB"/>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105685"/>
    <w:pPr>
      <w:tabs>
        <w:tab w:val="left" w:pos="284"/>
        <w:tab w:val="right" w:pos="9356"/>
      </w:tabs>
      <w:spacing w:before="40"/>
      <w:ind w:left="284" w:right="567"/>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basedOn w:val="DefaultParagraphFont"/>
    <w:link w:val="Quote"/>
    <w:uiPriority w:val="29"/>
    <w:rsid w:val="00010E61"/>
    <w:rPr>
      <w:rFonts w:ascii="Georgia" w:hAnsi="Georgia"/>
      <w:sz w:val="22"/>
      <w:lang w:eastAsia="en-GB"/>
    </w:r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010E61"/>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7E134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E1341"/>
    <w:rPr>
      <w:rFonts w:ascii="Tahoma" w:hAnsi="Tahoma" w:cs="Tahoma"/>
      <w:sz w:val="16"/>
      <w:szCs w:val="16"/>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6388B"/>
    <w:pPr>
      <w:spacing w:line="240" w:lineRule="auto"/>
      <w:ind w:left="720"/>
      <w:contextualSpacing/>
    </w:pPr>
    <w:rPr>
      <w:rFonts w:ascii="Arial" w:eastAsia="Calibri" w:hAnsi="Arial"/>
      <w:sz w:val="20"/>
      <w:szCs w:val="22"/>
      <w:lang w:eastAsia="en-US"/>
    </w:rPr>
  </w:style>
  <w:style w:type="character" w:styleId="CommentReference">
    <w:name w:val="annotation reference"/>
    <w:uiPriority w:val="99"/>
    <w:semiHidden/>
    <w:unhideWhenUsed/>
    <w:rsid w:val="0086388B"/>
    <w:rPr>
      <w:sz w:val="18"/>
      <w:szCs w:val="18"/>
    </w:rPr>
  </w:style>
  <w:style w:type="paragraph" w:styleId="CommentText">
    <w:name w:val="annotation text"/>
    <w:basedOn w:val="Normal"/>
    <w:link w:val="CommentTextChar"/>
    <w:uiPriority w:val="99"/>
    <w:semiHidden/>
    <w:unhideWhenUsed/>
    <w:rsid w:val="0086388B"/>
    <w:pPr>
      <w:spacing w:line="240" w:lineRule="auto"/>
    </w:pPr>
    <w:rPr>
      <w:rFonts w:ascii="Arial" w:eastAsia="Calibri" w:hAnsi="Arial"/>
      <w:sz w:val="24"/>
      <w:szCs w:val="24"/>
      <w:lang w:val="x-none" w:eastAsia="x-none"/>
    </w:rPr>
  </w:style>
  <w:style w:type="character" w:customStyle="1" w:styleId="CommentTextChar">
    <w:name w:val="Comment Text Char"/>
    <w:link w:val="CommentText"/>
    <w:uiPriority w:val="99"/>
    <w:semiHidden/>
    <w:rsid w:val="0086388B"/>
    <w:rPr>
      <w:rFonts w:ascii="Arial" w:eastAsia="Calibri" w:hAnsi="Arial"/>
      <w:sz w:val="24"/>
      <w:szCs w:val="24"/>
      <w:lang w:val="x-none" w:eastAsia="x-none"/>
    </w:rPr>
  </w:style>
  <w:style w:type="paragraph" w:styleId="CommentSubject">
    <w:name w:val="annotation subject"/>
    <w:basedOn w:val="CommentText"/>
    <w:next w:val="CommentText"/>
    <w:link w:val="CommentSubjectChar"/>
    <w:uiPriority w:val="99"/>
    <w:semiHidden/>
    <w:unhideWhenUsed/>
    <w:rsid w:val="0086388B"/>
    <w:rPr>
      <w:b/>
      <w:bCs/>
    </w:rPr>
  </w:style>
  <w:style w:type="character" w:customStyle="1" w:styleId="CommentSubjectChar">
    <w:name w:val="Comment Subject Char"/>
    <w:link w:val="CommentSubject"/>
    <w:uiPriority w:val="99"/>
    <w:semiHidden/>
    <w:rsid w:val="0086388B"/>
    <w:rPr>
      <w:rFonts w:ascii="Arial" w:eastAsia="Calibri" w:hAnsi="Arial"/>
      <w:b/>
      <w:bCs/>
      <w:sz w:val="24"/>
      <w:szCs w:val="24"/>
      <w:lang w:val="x-none" w:eastAsia="x-none"/>
    </w:rPr>
  </w:style>
  <w:style w:type="paragraph" w:styleId="ListParagraph">
    <w:name w:val="List Paragraph"/>
    <w:basedOn w:val="Normal"/>
    <w:uiPriority w:val="34"/>
    <w:qFormat/>
    <w:rsid w:val="0086388B"/>
    <w:pPr>
      <w:spacing w:line="240"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86388B"/>
    <w:pPr>
      <w:spacing w:before="100" w:beforeAutospacing="1" w:after="100" w:afterAutospacing="1" w:line="240" w:lineRule="auto"/>
    </w:pPr>
    <w:rPr>
      <w:rFonts w:ascii="Times New Roman" w:hAnsi="Times New Roman"/>
      <w:sz w:val="24"/>
      <w:szCs w:val="24"/>
      <w:lang w:eastAsia="en-NZ"/>
    </w:rPr>
  </w:style>
  <w:style w:type="paragraph" w:customStyle="1" w:styleId="Pa37">
    <w:name w:val="Pa37"/>
    <w:basedOn w:val="Normal"/>
    <w:next w:val="Normal"/>
    <w:uiPriority w:val="99"/>
    <w:rsid w:val="0086388B"/>
    <w:pPr>
      <w:autoSpaceDE w:val="0"/>
      <w:autoSpaceDN w:val="0"/>
      <w:adjustRightInd w:val="0"/>
      <w:spacing w:line="141" w:lineRule="atLeast"/>
    </w:pPr>
    <w:rPr>
      <w:rFonts w:ascii="FoundrySans-Normal" w:eastAsia="Calibri" w:hAnsi="FoundrySans-Normal"/>
      <w:sz w:val="24"/>
      <w:szCs w:val="24"/>
      <w:lang w:eastAsia="en-NZ"/>
    </w:rPr>
  </w:style>
  <w:style w:type="character" w:customStyle="1" w:styleId="A19">
    <w:name w:val="A19"/>
    <w:uiPriority w:val="99"/>
    <w:rsid w:val="0086388B"/>
    <w:rPr>
      <w:rFonts w:cs="FoundrySans-Normal"/>
      <w:color w:val="000000"/>
      <w:sz w:val="8"/>
      <w:szCs w:val="8"/>
    </w:rPr>
  </w:style>
  <w:style w:type="paragraph" w:customStyle="1" w:styleId="Pa38">
    <w:name w:val="Pa38"/>
    <w:basedOn w:val="Normal"/>
    <w:next w:val="Normal"/>
    <w:uiPriority w:val="99"/>
    <w:rsid w:val="0086388B"/>
    <w:pPr>
      <w:autoSpaceDE w:val="0"/>
      <w:autoSpaceDN w:val="0"/>
      <w:adjustRightInd w:val="0"/>
      <w:spacing w:line="141" w:lineRule="atLeast"/>
    </w:pPr>
    <w:rPr>
      <w:rFonts w:ascii="FoundrySans-Normal" w:eastAsia="Calibri" w:hAnsi="FoundrySans-Normal"/>
      <w:sz w:val="24"/>
      <w:szCs w:val="24"/>
      <w:lang w:eastAsia="en-NZ"/>
    </w:rPr>
  </w:style>
  <w:style w:type="character" w:customStyle="1" w:styleId="A1">
    <w:name w:val="A1"/>
    <w:uiPriority w:val="99"/>
    <w:rsid w:val="0086388B"/>
    <w:rPr>
      <w:rFonts w:cs="FoundrySans-Normal"/>
      <w:color w:val="000000"/>
      <w:sz w:val="16"/>
      <w:szCs w:val="16"/>
    </w:rPr>
  </w:style>
  <w:style w:type="character" w:customStyle="1" w:styleId="A18">
    <w:name w:val="A18"/>
    <w:uiPriority w:val="99"/>
    <w:rsid w:val="0086388B"/>
    <w:rPr>
      <w:rFonts w:cs="FoundrySans-Normal"/>
      <w:color w:val="000000"/>
      <w:sz w:val="9"/>
      <w:szCs w:val="9"/>
    </w:rPr>
  </w:style>
  <w:style w:type="paragraph" w:styleId="Revision">
    <w:name w:val="Revision"/>
    <w:hidden/>
    <w:uiPriority w:val="99"/>
    <w:semiHidden/>
    <w:rsid w:val="0086388B"/>
    <w:rPr>
      <w:rFonts w:ascii="Calibri" w:eastAsia="Calibri" w:hAnsi="Calibri"/>
      <w:sz w:val="22"/>
      <w:szCs w:val="22"/>
      <w:lang w:val="en-US" w:eastAsia="en-US"/>
    </w:rPr>
  </w:style>
  <w:style w:type="paragraph" w:styleId="NoSpacing">
    <w:name w:val="No Spacing"/>
    <w:uiPriority w:val="1"/>
    <w:qFormat/>
    <w:rsid w:val="0086388B"/>
    <w:pPr>
      <w:widowControl w:val="0"/>
    </w:pPr>
    <w:rPr>
      <w:rFonts w:ascii="Calibri" w:eastAsia="Calibri" w:hAnsi="Calibri"/>
      <w:sz w:val="22"/>
      <w:szCs w:val="22"/>
      <w:lang w:val="en-US" w:eastAsia="en-US"/>
    </w:rPr>
  </w:style>
  <w:style w:type="paragraph" w:styleId="ListBullet">
    <w:name w:val="List Bullet"/>
    <w:basedOn w:val="Normal"/>
    <w:uiPriority w:val="99"/>
    <w:unhideWhenUsed/>
    <w:rsid w:val="0086388B"/>
    <w:pPr>
      <w:numPr>
        <w:numId w:val="12"/>
      </w:numPr>
      <w:spacing w:line="240" w:lineRule="auto"/>
      <w:contextualSpacing/>
    </w:pPr>
    <w:rPr>
      <w:rFonts w:ascii="Arial" w:eastAsia="Calibri" w:hAnsi="Arial"/>
      <w:sz w:val="20"/>
      <w:szCs w:val="22"/>
      <w:lang w:eastAsia="en-US"/>
    </w:rPr>
  </w:style>
  <w:style w:type="paragraph" w:styleId="Caption">
    <w:name w:val="caption"/>
    <w:basedOn w:val="Normal"/>
    <w:next w:val="Normal"/>
    <w:uiPriority w:val="35"/>
    <w:unhideWhenUsed/>
    <w:qFormat/>
    <w:rsid w:val="0086388B"/>
    <w:pPr>
      <w:spacing w:line="240" w:lineRule="auto"/>
      <w:ind w:left="794" w:hanging="794"/>
    </w:pPr>
    <w:rPr>
      <w:rFonts w:ascii="Arial" w:eastAsia="Calibri" w:hAnsi="Arial"/>
      <w:b/>
      <w:bCs/>
      <w:sz w:val="20"/>
      <w:lang w:eastAsia="en-US"/>
    </w:rPr>
  </w:style>
  <w:style w:type="character" w:styleId="FollowedHyperlink">
    <w:name w:val="FollowedHyperlink"/>
    <w:uiPriority w:val="99"/>
    <w:semiHidden/>
    <w:unhideWhenUsed/>
    <w:rsid w:val="0086388B"/>
    <w:rPr>
      <w:color w:val="800080"/>
      <w:u w:val="single"/>
    </w:rPr>
  </w:style>
  <w:style w:type="character" w:customStyle="1" w:styleId="Heading6Char">
    <w:name w:val="Heading 6 Char"/>
    <w:basedOn w:val="DefaultParagraphFont"/>
    <w:link w:val="Heading6"/>
    <w:uiPriority w:val="9"/>
    <w:semiHidden/>
    <w:rsid w:val="00010E61"/>
    <w:rPr>
      <w:rFonts w:asciiTheme="majorHAnsi" w:eastAsiaTheme="majorEastAsia" w:hAnsiTheme="majorHAnsi"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010E61"/>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010E61"/>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010E61"/>
    <w:rPr>
      <w:rFonts w:asciiTheme="majorHAnsi" w:eastAsiaTheme="majorEastAsia" w:hAnsiTheme="majorHAnsi" w:cstheme="majorBidi"/>
      <w:i/>
      <w:iCs/>
      <w:spacing w:val="5"/>
      <w:lang w:eastAsia="en-US"/>
    </w:rPr>
  </w:style>
  <w:style w:type="paragraph" w:styleId="BlockText">
    <w:name w:val="Block Text"/>
    <w:basedOn w:val="Normal"/>
    <w:uiPriority w:val="99"/>
    <w:qFormat/>
    <w:rsid w:val="00010E6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line="276" w:lineRule="auto"/>
      <w:ind w:left="1152" w:right="1152"/>
    </w:pPr>
    <w:rPr>
      <w:rFonts w:ascii="Times New Roman" w:eastAsiaTheme="minorEastAsia" w:hAnsi="Times New Roman" w:cstheme="minorBidi"/>
      <w:i/>
      <w:iCs/>
      <w:color w:val="4F81BD" w:themeColor="accent1"/>
      <w:sz w:val="20"/>
      <w:szCs w:val="22"/>
      <w:lang w:eastAsia="en-US"/>
    </w:rPr>
  </w:style>
  <w:style w:type="character" w:styleId="Emphasis">
    <w:name w:val="Emphasis"/>
    <w:uiPriority w:val="20"/>
    <w:qFormat/>
    <w:rsid w:val="00010E61"/>
    <w:rPr>
      <w:b/>
      <w:bCs/>
      <w:i/>
      <w:iCs/>
      <w:spacing w:val="10"/>
      <w:bdr w:val="none" w:sz="0" w:space="0" w:color="auto" w:frame="1"/>
    </w:rPr>
  </w:style>
  <w:style w:type="paragraph" w:styleId="TableofFigures">
    <w:name w:val="table of figures"/>
    <w:basedOn w:val="Normal"/>
    <w:next w:val="Normal"/>
    <w:uiPriority w:val="99"/>
    <w:unhideWhenUsed/>
    <w:rsid w:val="00010E61"/>
    <w:pPr>
      <w:spacing w:line="276" w:lineRule="auto"/>
    </w:pPr>
    <w:rPr>
      <w:rFonts w:ascii="Times New Roman" w:eastAsiaTheme="minorEastAsia" w:hAnsi="Times New Roman" w:cstheme="minorBidi"/>
      <w:szCs w:val="22"/>
      <w:lang w:eastAsia="en-US"/>
    </w:rPr>
  </w:style>
  <w:style w:type="paragraph" w:styleId="Subtitle">
    <w:name w:val="Subtitle"/>
    <w:basedOn w:val="Normal"/>
    <w:next w:val="Normal"/>
    <w:link w:val="SubtitleChar"/>
    <w:uiPriority w:val="11"/>
    <w:qFormat/>
    <w:rsid w:val="00010E61"/>
    <w:pPr>
      <w:spacing w:after="600" w:line="276"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010E61"/>
    <w:rPr>
      <w:rFonts w:asciiTheme="majorHAnsi" w:eastAsiaTheme="majorEastAsia" w:hAnsiTheme="majorHAnsi" w:cstheme="majorBidi"/>
      <w:i/>
      <w:iCs/>
      <w:spacing w:val="13"/>
      <w:sz w:val="24"/>
      <w:szCs w:val="24"/>
      <w:lang w:eastAsia="en-US"/>
    </w:rPr>
  </w:style>
  <w:style w:type="paragraph" w:styleId="IntenseQuote">
    <w:name w:val="Intense Quote"/>
    <w:basedOn w:val="Normal"/>
    <w:next w:val="Normal"/>
    <w:link w:val="IntenseQuoteChar"/>
    <w:uiPriority w:val="30"/>
    <w:qFormat/>
    <w:rsid w:val="00010E61"/>
    <w:pPr>
      <w:pBdr>
        <w:bottom w:val="single" w:sz="4" w:space="1" w:color="auto"/>
      </w:pBdr>
      <w:spacing w:before="200" w:after="280" w:line="276" w:lineRule="auto"/>
      <w:ind w:left="1008" w:right="1152"/>
      <w:jc w:val="both"/>
    </w:pPr>
    <w:rPr>
      <w:rFonts w:ascii="Times New Roman" w:eastAsiaTheme="minorEastAsia" w:hAnsi="Times New Roman" w:cstheme="minorBidi"/>
      <w:b/>
      <w:bCs/>
      <w:i/>
      <w:iCs/>
      <w:szCs w:val="22"/>
      <w:lang w:eastAsia="en-US"/>
    </w:rPr>
  </w:style>
  <w:style w:type="character" w:customStyle="1" w:styleId="IntenseQuoteChar">
    <w:name w:val="Intense Quote Char"/>
    <w:basedOn w:val="DefaultParagraphFont"/>
    <w:link w:val="IntenseQuote"/>
    <w:uiPriority w:val="30"/>
    <w:rsid w:val="00010E61"/>
    <w:rPr>
      <w:rFonts w:eastAsiaTheme="minorEastAsia" w:cstheme="minorBidi"/>
      <w:b/>
      <w:bCs/>
      <w:i/>
      <w:iCs/>
      <w:sz w:val="22"/>
      <w:szCs w:val="22"/>
      <w:lang w:eastAsia="en-US"/>
    </w:rPr>
  </w:style>
  <w:style w:type="paragraph" w:customStyle="1" w:styleId="Default">
    <w:name w:val="Default"/>
    <w:uiPriority w:val="99"/>
    <w:rsid w:val="00010E61"/>
    <w:pPr>
      <w:autoSpaceDE w:val="0"/>
      <w:autoSpaceDN w:val="0"/>
      <w:adjustRightInd w:val="0"/>
    </w:pPr>
    <w:rPr>
      <w:rFonts w:ascii="Georgia" w:eastAsiaTheme="minorEastAsia" w:hAnsi="Georgia" w:cs="Georgia"/>
      <w:color w:val="000000"/>
      <w:sz w:val="24"/>
      <w:szCs w:val="24"/>
      <w:lang w:eastAsia="en-US"/>
    </w:rPr>
  </w:style>
  <w:style w:type="character" w:styleId="SubtleEmphasis">
    <w:name w:val="Subtle Emphasis"/>
    <w:uiPriority w:val="19"/>
    <w:qFormat/>
    <w:rsid w:val="00010E61"/>
    <w:rPr>
      <w:i/>
      <w:iCs/>
    </w:rPr>
  </w:style>
  <w:style w:type="character" w:styleId="IntenseEmphasis">
    <w:name w:val="Intense Emphasis"/>
    <w:uiPriority w:val="21"/>
    <w:qFormat/>
    <w:rsid w:val="00010E61"/>
    <w:rPr>
      <w:b/>
      <w:bCs/>
    </w:rPr>
  </w:style>
  <w:style w:type="character" w:styleId="SubtleReference">
    <w:name w:val="Subtle Reference"/>
    <w:uiPriority w:val="31"/>
    <w:qFormat/>
    <w:rsid w:val="00010E61"/>
    <w:rPr>
      <w:smallCaps/>
    </w:rPr>
  </w:style>
  <w:style w:type="character" w:styleId="IntenseReference">
    <w:name w:val="Intense Reference"/>
    <w:uiPriority w:val="32"/>
    <w:qFormat/>
    <w:rsid w:val="00010E61"/>
    <w:rPr>
      <w:smallCaps/>
      <w:spacing w:val="5"/>
      <w:u w:val="single"/>
    </w:rPr>
  </w:style>
  <w:style w:type="character" w:styleId="BookTitle">
    <w:name w:val="Book Title"/>
    <w:uiPriority w:val="33"/>
    <w:qFormat/>
    <w:rsid w:val="00010E61"/>
    <w:rPr>
      <w:i/>
      <w:iCs/>
      <w:smallCaps/>
      <w:spacing w:val="5"/>
    </w:rPr>
  </w:style>
  <w:style w:type="character" w:customStyle="1" w:styleId="st">
    <w:name w:val="st"/>
    <w:basedOn w:val="DefaultParagraphFont"/>
    <w:rsid w:val="00010E61"/>
  </w:style>
  <w:style w:type="character" w:styleId="HTMLCite">
    <w:name w:val="HTML Cite"/>
    <w:basedOn w:val="DefaultParagraphFont"/>
    <w:uiPriority w:val="99"/>
    <w:semiHidden/>
    <w:unhideWhenUsed/>
    <w:rsid w:val="00010E61"/>
    <w:rPr>
      <w:i/>
      <w:iCs/>
    </w:rPr>
  </w:style>
  <w:style w:type="character" w:customStyle="1" w:styleId="f">
    <w:name w:val="f"/>
    <w:basedOn w:val="DefaultParagraphFont"/>
    <w:rsid w:val="00010E61"/>
  </w:style>
  <w:style w:type="paragraph" w:styleId="ListNumber">
    <w:name w:val="List Number"/>
    <w:basedOn w:val="Normal"/>
    <w:uiPriority w:val="99"/>
    <w:unhideWhenUsed/>
    <w:rsid w:val="00010E61"/>
    <w:pPr>
      <w:numPr>
        <w:numId w:val="30"/>
      </w:numPr>
      <w:spacing w:line="276" w:lineRule="auto"/>
      <w:contextualSpacing/>
    </w:pPr>
    <w:rPr>
      <w:rFonts w:ascii="Times New Roman" w:eastAsiaTheme="minorEastAsia" w:hAnsi="Times New Roman"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010E61"/>
    <w:pPr>
      <w:spacing w:line="268" w:lineRule="auto"/>
      <w:outlineLvl w:val="5"/>
    </w:pPr>
    <w:rPr>
      <w:rFonts w:asciiTheme="majorHAnsi" w:eastAsiaTheme="majorEastAsia" w:hAnsiTheme="majorHAnsi" w:cstheme="majorBidi"/>
      <w:b/>
      <w:bCs/>
      <w:i/>
      <w:iCs/>
      <w:color w:val="7F7F7F" w:themeColor="text1" w:themeTint="80"/>
      <w:szCs w:val="22"/>
      <w:lang w:eastAsia="en-US"/>
    </w:rPr>
  </w:style>
  <w:style w:type="paragraph" w:styleId="Heading7">
    <w:name w:val="heading 7"/>
    <w:basedOn w:val="Normal"/>
    <w:next w:val="Normal"/>
    <w:link w:val="Heading7Char"/>
    <w:uiPriority w:val="9"/>
    <w:semiHidden/>
    <w:unhideWhenUsed/>
    <w:qFormat/>
    <w:rsid w:val="00010E61"/>
    <w:pPr>
      <w:spacing w:line="276" w:lineRule="auto"/>
      <w:outlineLvl w:val="6"/>
    </w:pPr>
    <w:rPr>
      <w:rFonts w:asciiTheme="majorHAnsi" w:eastAsiaTheme="majorEastAsia" w:hAnsiTheme="majorHAnsi" w:cstheme="majorBidi"/>
      <w:i/>
      <w:iCs/>
      <w:szCs w:val="22"/>
      <w:lang w:eastAsia="en-US"/>
    </w:rPr>
  </w:style>
  <w:style w:type="paragraph" w:styleId="Heading8">
    <w:name w:val="heading 8"/>
    <w:basedOn w:val="Normal"/>
    <w:next w:val="Normal"/>
    <w:link w:val="Heading8Char"/>
    <w:uiPriority w:val="9"/>
    <w:semiHidden/>
    <w:unhideWhenUsed/>
    <w:qFormat/>
    <w:rsid w:val="00010E61"/>
    <w:pPr>
      <w:spacing w:line="276" w:lineRule="auto"/>
      <w:outlineLvl w:val="7"/>
    </w:pPr>
    <w:rPr>
      <w:rFonts w:asciiTheme="majorHAnsi" w:eastAsiaTheme="majorEastAsia" w:hAnsiTheme="majorHAnsi" w:cstheme="majorBidi"/>
      <w:sz w:val="20"/>
      <w:lang w:eastAsia="en-US"/>
    </w:rPr>
  </w:style>
  <w:style w:type="paragraph" w:styleId="Heading9">
    <w:name w:val="heading 9"/>
    <w:basedOn w:val="Normal"/>
    <w:next w:val="Normal"/>
    <w:link w:val="Heading9Char"/>
    <w:uiPriority w:val="9"/>
    <w:semiHidden/>
    <w:unhideWhenUsed/>
    <w:qFormat/>
    <w:rsid w:val="00010E61"/>
    <w:pPr>
      <w:spacing w:line="276" w:lineRule="auto"/>
      <w:outlineLvl w:val="8"/>
    </w:pPr>
    <w:rPr>
      <w:rFonts w:asciiTheme="majorHAnsi" w:eastAsiaTheme="majorEastAsia" w:hAnsiTheme="majorHAnsi"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010E61"/>
    <w:rPr>
      <w:rFonts w:ascii="Georgia" w:hAnsi="Georgia"/>
      <w:b/>
      <w:sz w:val="22"/>
      <w:lang w:eastAsia="en-GB"/>
    </w:rPr>
  </w:style>
  <w:style w:type="character" w:customStyle="1" w:styleId="Heading5Char">
    <w:name w:val="Heading 5 Char"/>
    <w:basedOn w:val="DefaultParagraphFont"/>
    <w:link w:val="Heading5"/>
    <w:uiPriority w:val="9"/>
    <w:rsid w:val="00010E61"/>
    <w:rPr>
      <w:rFonts w:ascii="Georgia" w:hAnsi="Georgia"/>
      <w:sz w:val="22"/>
      <w:u w:val="single"/>
      <w:lang w:eastAsia="en-GB"/>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105685"/>
    <w:pPr>
      <w:tabs>
        <w:tab w:val="left" w:pos="284"/>
        <w:tab w:val="right" w:pos="9356"/>
      </w:tabs>
      <w:spacing w:before="40"/>
      <w:ind w:left="284" w:right="567"/>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basedOn w:val="DefaultParagraphFont"/>
    <w:link w:val="Quote"/>
    <w:uiPriority w:val="29"/>
    <w:rsid w:val="00010E61"/>
    <w:rPr>
      <w:rFonts w:ascii="Georgia" w:hAnsi="Georgia"/>
      <w:sz w:val="22"/>
      <w:lang w:eastAsia="en-GB"/>
    </w:r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010E61"/>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7E134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E1341"/>
    <w:rPr>
      <w:rFonts w:ascii="Tahoma" w:hAnsi="Tahoma" w:cs="Tahoma"/>
      <w:sz w:val="16"/>
      <w:szCs w:val="16"/>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6388B"/>
    <w:pPr>
      <w:spacing w:line="240" w:lineRule="auto"/>
      <w:ind w:left="720"/>
      <w:contextualSpacing/>
    </w:pPr>
    <w:rPr>
      <w:rFonts w:ascii="Arial" w:eastAsia="Calibri" w:hAnsi="Arial"/>
      <w:sz w:val="20"/>
      <w:szCs w:val="22"/>
      <w:lang w:eastAsia="en-US"/>
    </w:rPr>
  </w:style>
  <w:style w:type="character" w:styleId="CommentReference">
    <w:name w:val="annotation reference"/>
    <w:uiPriority w:val="99"/>
    <w:semiHidden/>
    <w:unhideWhenUsed/>
    <w:rsid w:val="0086388B"/>
    <w:rPr>
      <w:sz w:val="18"/>
      <w:szCs w:val="18"/>
    </w:rPr>
  </w:style>
  <w:style w:type="paragraph" w:styleId="CommentText">
    <w:name w:val="annotation text"/>
    <w:basedOn w:val="Normal"/>
    <w:link w:val="CommentTextChar"/>
    <w:uiPriority w:val="99"/>
    <w:semiHidden/>
    <w:unhideWhenUsed/>
    <w:rsid w:val="0086388B"/>
    <w:pPr>
      <w:spacing w:line="240" w:lineRule="auto"/>
    </w:pPr>
    <w:rPr>
      <w:rFonts w:ascii="Arial" w:eastAsia="Calibri" w:hAnsi="Arial"/>
      <w:sz w:val="24"/>
      <w:szCs w:val="24"/>
      <w:lang w:val="x-none" w:eastAsia="x-none"/>
    </w:rPr>
  </w:style>
  <w:style w:type="character" w:customStyle="1" w:styleId="CommentTextChar">
    <w:name w:val="Comment Text Char"/>
    <w:link w:val="CommentText"/>
    <w:uiPriority w:val="99"/>
    <w:semiHidden/>
    <w:rsid w:val="0086388B"/>
    <w:rPr>
      <w:rFonts w:ascii="Arial" w:eastAsia="Calibri" w:hAnsi="Arial"/>
      <w:sz w:val="24"/>
      <w:szCs w:val="24"/>
      <w:lang w:val="x-none" w:eastAsia="x-none"/>
    </w:rPr>
  </w:style>
  <w:style w:type="paragraph" w:styleId="CommentSubject">
    <w:name w:val="annotation subject"/>
    <w:basedOn w:val="CommentText"/>
    <w:next w:val="CommentText"/>
    <w:link w:val="CommentSubjectChar"/>
    <w:uiPriority w:val="99"/>
    <w:semiHidden/>
    <w:unhideWhenUsed/>
    <w:rsid w:val="0086388B"/>
    <w:rPr>
      <w:b/>
      <w:bCs/>
    </w:rPr>
  </w:style>
  <w:style w:type="character" w:customStyle="1" w:styleId="CommentSubjectChar">
    <w:name w:val="Comment Subject Char"/>
    <w:link w:val="CommentSubject"/>
    <w:uiPriority w:val="99"/>
    <w:semiHidden/>
    <w:rsid w:val="0086388B"/>
    <w:rPr>
      <w:rFonts w:ascii="Arial" w:eastAsia="Calibri" w:hAnsi="Arial"/>
      <w:b/>
      <w:bCs/>
      <w:sz w:val="24"/>
      <w:szCs w:val="24"/>
      <w:lang w:val="x-none" w:eastAsia="x-none"/>
    </w:rPr>
  </w:style>
  <w:style w:type="paragraph" w:styleId="ListParagraph">
    <w:name w:val="List Paragraph"/>
    <w:basedOn w:val="Normal"/>
    <w:uiPriority w:val="34"/>
    <w:qFormat/>
    <w:rsid w:val="0086388B"/>
    <w:pPr>
      <w:spacing w:line="240"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86388B"/>
    <w:pPr>
      <w:spacing w:before="100" w:beforeAutospacing="1" w:after="100" w:afterAutospacing="1" w:line="240" w:lineRule="auto"/>
    </w:pPr>
    <w:rPr>
      <w:rFonts w:ascii="Times New Roman" w:hAnsi="Times New Roman"/>
      <w:sz w:val="24"/>
      <w:szCs w:val="24"/>
      <w:lang w:eastAsia="en-NZ"/>
    </w:rPr>
  </w:style>
  <w:style w:type="paragraph" w:customStyle="1" w:styleId="Pa37">
    <w:name w:val="Pa37"/>
    <w:basedOn w:val="Normal"/>
    <w:next w:val="Normal"/>
    <w:uiPriority w:val="99"/>
    <w:rsid w:val="0086388B"/>
    <w:pPr>
      <w:autoSpaceDE w:val="0"/>
      <w:autoSpaceDN w:val="0"/>
      <w:adjustRightInd w:val="0"/>
      <w:spacing w:line="141" w:lineRule="atLeast"/>
    </w:pPr>
    <w:rPr>
      <w:rFonts w:ascii="FoundrySans-Normal" w:eastAsia="Calibri" w:hAnsi="FoundrySans-Normal"/>
      <w:sz w:val="24"/>
      <w:szCs w:val="24"/>
      <w:lang w:eastAsia="en-NZ"/>
    </w:rPr>
  </w:style>
  <w:style w:type="character" w:customStyle="1" w:styleId="A19">
    <w:name w:val="A19"/>
    <w:uiPriority w:val="99"/>
    <w:rsid w:val="0086388B"/>
    <w:rPr>
      <w:rFonts w:cs="FoundrySans-Normal"/>
      <w:color w:val="000000"/>
      <w:sz w:val="8"/>
      <w:szCs w:val="8"/>
    </w:rPr>
  </w:style>
  <w:style w:type="paragraph" w:customStyle="1" w:styleId="Pa38">
    <w:name w:val="Pa38"/>
    <w:basedOn w:val="Normal"/>
    <w:next w:val="Normal"/>
    <w:uiPriority w:val="99"/>
    <w:rsid w:val="0086388B"/>
    <w:pPr>
      <w:autoSpaceDE w:val="0"/>
      <w:autoSpaceDN w:val="0"/>
      <w:adjustRightInd w:val="0"/>
      <w:spacing w:line="141" w:lineRule="atLeast"/>
    </w:pPr>
    <w:rPr>
      <w:rFonts w:ascii="FoundrySans-Normal" w:eastAsia="Calibri" w:hAnsi="FoundrySans-Normal"/>
      <w:sz w:val="24"/>
      <w:szCs w:val="24"/>
      <w:lang w:eastAsia="en-NZ"/>
    </w:rPr>
  </w:style>
  <w:style w:type="character" w:customStyle="1" w:styleId="A1">
    <w:name w:val="A1"/>
    <w:uiPriority w:val="99"/>
    <w:rsid w:val="0086388B"/>
    <w:rPr>
      <w:rFonts w:cs="FoundrySans-Normal"/>
      <w:color w:val="000000"/>
      <w:sz w:val="16"/>
      <w:szCs w:val="16"/>
    </w:rPr>
  </w:style>
  <w:style w:type="character" w:customStyle="1" w:styleId="A18">
    <w:name w:val="A18"/>
    <w:uiPriority w:val="99"/>
    <w:rsid w:val="0086388B"/>
    <w:rPr>
      <w:rFonts w:cs="FoundrySans-Normal"/>
      <w:color w:val="000000"/>
      <w:sz w:val="9"/>
      <w:szCs w:val="9"/>
    </w:rPr>
  </w:style>
  <w:style w:type="paragraph" w:styleId="Revision">
    <w:name w:val="Revision"/>
    <w:hidden/>
    <w:uiPriority w:val="99"/>
    <w:semiHidden/>
    <w:rsid w:val="0086388B"/>
    <w:rPr>
      <w:rFonts w:ascii="Calibri" w:eastAsia="Calibri" w:hAnsi="Calibri"/>
      <w:sz w:val="22"/>
      <w:szCs w:val="22"/>
      <w:lang w:val="en-US" w:eastAsia="en-US"/>
    </w:rPr>
  </w:style>
  <w:style w:type="paragraph" w:styleId="NoSpacing">
    <w:name w:val="No Spacing"/>
    <w:uiPriority w:val="1"/>
    <w:qFormat/>
    <w:rsid w:val="0086388B"/>
    <w:pPr>
      <w:widowControl w:val="0"/>
    </w:pPr>
    <w:rPr>
      <w:rFonts w:ascii="Calibri" w:eastAsia="Calibri" w:hAnsi="Calibri"/>
      <w:sz w:val="22"/>
      <w:szCs w:val="22"/>
      <w:lang w:val="en-US" w:eastAsia="en-US"/>
    </w:rPr>
  </w:style>
  <w:style w:type="paragraph" w:styleId="ListBullet">
    <w:name w:val="List Bullet"/>
    <w:basedOn w:val="Normal"/>
    <w:uiPriority w:val="99"/>
    <w:unhideWhenUsed/>
    <w:rsid w:val="0086388B"/>
    <w:pPr>
      <w:numPr>
        <w:numId w:val="12"/>
      </w:numPr>
      <w:spacing w:line="240" w:lineRule="auto"/>
      <w:contextualSpacing/>
    </w:pPr>
    <w:rPr>
      <w:rFonts w:ascii="Arial" w:eastAsia="Calibri" w:hAnsi="Arial"/>
      <w:sz w:val="20"/>
      <w:szCs w:val="22"/>
      <w:lang w:eastAsia="en-US"/>
    </w:rPr>
  </w:style>
  <w:style w:type="paragraph" w:styleId="Caption">
    <w:name w:val="caption"/>
    <w:basedOn w:val="Normal"/>
    <w:next w:val="Normal"/>
    <w:uiPriority w:val="35"/>
    <w:unhideWhenUsed/>
    <w:qFormat/>
    <w:rsid w:val="0086388B"/>
    <w:pPr>
      <w:spacing w:line="240" w:lineRule="auto"/>
      <w:ind w:left="794" w:hanging="794"/>
    </w:pPr>
    <w:rPr>
      <w:rFonts w:ascii="Arial" w:eastAsia="Calibri" w:hAnsi="Arial"/>
      <w:b/>
      <w:bCs/>
      <w:sz w:val="20"/>
      <w:lang w:eastAsia="en-US"/>
    </w:rPr>
  </w:style>
  <w:style w:type="character" w:styleId="FollowedHyperlink">
    <w:name w:val="FollowedHyperlink"/>
    <w:uiPriority w:val="99"/>
    <w:semiHidden/>
    <w:unhideWhenUsed/>
    <w:rsid w:val="0086388B"/>
    <w:rPr>
      <w:color w:val="800080"/>
      <w:u w:val="single"/>
    </w:rPr>
  </w:style>
  <w:style w:type="character" w:customStyle="1" w:styleId="Heading6Char">
    <w:name w:val="Heading 6 Char"/>
    <w:basedOn w:val="DefaultParagraphFont"/>
    <w:link w:val="Heading6"/>
    <w:uiPriority w:val="9"/>
    <w:semiHidden/>
    <w:rsid w:val="00010E61"/>
    <w:rPr>
      <w:rFonts w:asciiTheme="majorHAnsi" w:eastAsiaTheme="majorEastAsia" w:hAnsiTheme="majorHAnsi"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010E61"/>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010E61"/>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010E61"/>
    <w:rPr>
      <w:rFonts w:asciiTheme="majorHAnsi" w:eastAsiaTheme="majorEastAsia" w:hAnsiTheme="majorHAnsi" w:cstheme="majorBidi"/>
      <w:i/>
      <w:iCs/>
      <w:spacing w:val="5"/>
      <w:lang w:eastAsia="en-US"/>
    </w:rPr>
  </w:style>
  <w:style w:type="paragraph" w:styleId="BlockText">
    <w:name w:val="Block Text"/>
    <w:basedOn w:val="Normal"/>
    <w:uiPriority w:val="99"/>
    <w:qFormat/>
    <w:rsid w:val="00010E6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line="276" w:lineRule="auto"/>
      <w:ind w:left="1152" w:right="1152"/>
    </w:pPr>
    <w:rPr>
      <w:rFonts w:ascii="Times New Roman" w:eastAsiaTheme="minorEastAsia" w:hAnsi="Times New Roman" w:cstheme="minorBidi"/>
      <w:i/>
      <w:iCs/>
      <w:color w:val="4F81BD" w:themeColor="accent1"/>
      <w:sz w:val="20"/>
      <w:szCs w:val="22"/>
      <w:lang w:eastAsia="en-US"/>
    </w:rPr>
  </w:style>
  <w:style w:type="character" w:styleId="Emphasis">
    <w:name w:val="Emphasis"/>
    <w:uiPriority w:val="20"/>
    <w:qFormat/>
    <w:rsid w:val="00010E61"/>
    <w:rPr>
      <w:b/>
      <w:bCs/>
      <w:i/>
      <w:iCs/>
      <w:spacing w:val="10"/>
      <w:bdr w:val="none" w:sz="0" w:space="0" w:color="auto" w:frame="1"/>
    </w:rPr>
  </w:style>
  <w:style w:type="paragraph" w:styleId="TableofFigures">
    <w:name w:val="table of figures"/>
    <w:basedOn w:val="Normal"/>
    <w:next w:val="Normal"/>
    <w:uiPriority w:val="99"/>
    <w:unhideWhenUsed/>
    <w:rsid w:val="00010E61"/>
    <w:pPr>
      <w:spacing w:line="276" w:lineRule="auto"/>
    </w:pPr>
    <w:rPr>
      <w:rFonts w:ascii="Times New Roman" w:eastAsiaTheme="minorEastAsia" w:hAnsi="Times New Roman" w:cstheme="minorBidi"/>
      <w:szCs w:val="22"/>
      <w:lang w:eastAsia="en-US"/>
    </w:rPr>
  </w:style>
  <w:style w:type="paragraph" w:styleId="Subtitle">
    <w:name w:val="Subtitle"/>
    <w:basedOn w:val="Normal"/>
    <w:next w:val="Normal"/>
    <w:link w:val="SubtitleChar"/>
    <w:uiPriority w:val="11"/>
    <w:qFormat/>
    <w:rsid w:val="00010E61"/>
    <w:pPr>
      <w:spacing w:after="600" w:line="276"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010E61"/>
    <w:rPr>
      <w:rFonts w:asciiTheme="majorHAnsi" w:eastAsiaTheme="majorEastAsia" w:hAnsiTheme="majorHAnsi" w:cstheme="majorBidi"/>
      <w:i/>
      <w:iCs/>
      <w:spacing w:val="13"/>
      <w:sz w:val="24"/>
      <w:szCs w:val="24"/>
      <w:lang w:eastAsia="en-US"/>
    </w:rPr>
  </w:style>
  <w:style w:type="paragraph" w:styleId="IntenseQuote">
    <w:name w:val="Intense Quote"/>
    <w:basedOn w:val="Normal"/>
    <w:next w:val="Normal"/>
    <w:link w:val="IntenseQuoteChar"/>
    <w:uiPriority w:val="30"/>
    <w:qFormat/>
    <w:rsid w:val="00010E61"/>
    <w:pPr>
      <w:pBdr>
        <w:bottom w:val="single" w:sz="4" w:space="1" w:color="auto"/>
      </w:pBdr>
      <w:spacing w:before="200" w:after="280" w:line="276" w:lineRule="auto"/>
      <w:ind w:left="1008" w:right="1152"/>
      <w:jc w:val="both"/>
    </w:pPr>
    <w:rPr>
      <w:rFonts w:ascii="Times New Roman" w:eastAsiaTheme="minorEastAsia" w:hAnsi="Times New Roman" w:cstheme="minorBidi"/>
      <w:b/>
      <w:bCs/>
      <w:i/>
      <w:iCs/>
      <w:szCs w:val="22"/>
      <w:lang w:eastAsia="en-US"/>
    </w:rPr>
  </w:style>
  <w:style w:type="character" w:customStyle="1" w:styleId="IntenseQuoteChar">
    <w:name w:val="Intense Quote Char"/>
    <w:basedOn w:val="DefaultParagraphFont"/>
    <w:link w:val="IntenseQuote"/>
    <w:uiPriority w:val="30"/>
    <w:rsid w:val="00010E61"/>
    <w:rPr>
      <w:rFonts w:eastAsiaTheme="minorEastAsia" w:cstheme="minorBidi"/>
      <w:b/>
      <w:bCs/>
      <w:i/>
      <w:iCs/>
      <w:sz w:val="22"/>
      <w:szCs w:val="22"/>
      <w:lang w:eastAsia="en-US"/>
    </w:rPr>
  </w:style>
  <w:style w:type="paragraph" w:customStyle="1" w:styleId="Default">
    <w:name w:val="Default"/>
    <w:uiPriority w:val="99"/>
    <w:rsid w:val="00010E61"/>
    <w:pPr>
      <w:autoSpaceDE w:val="0"/>
      <w:autoSpaceDN w:val="0"/>
      <w:adjustRightInd w:val="0"/>
    </w:pPr>
    <w:rPr>
      <w:rFonts w:ascii="Georgia" w:eastAsiaTheme="minorEastAsia" w:hAnsi="Georgia" w:cs="Georgia"/>
      <w:color w:val="000000"/>
      <w:sz w:val="24"/>
      <w:szCs w:val="24"/>
      <w:lang w:eastAsia="en-US"/>
    </w:rPr>
  </w:style>
  <w:style w:type="character" w:styleId="SubtleEmphasis">
    <w:name w:val="Subtle Emphasis"/>
    <w:uiPriority w:val="19"/>
    <w:qFormat/>
    <w:rsid w:val="00010E61"/>
    <w:rPr>
      <w:i/>
      <w:iCs/>
    </w:rPr>
  </w:style>
  <w:style w:type="character" w:styleId="IntenseEmphasis">
    <w:name w:val="Intense Emphasis"/>
    <w:uiPriority w:val="21"/>
    <w:qFormat/>
    <w:rsid w:val="00010E61"/>
    <w:rPr>
      <w:b/>
      <w:bCs/>
    </w:rPr>
  </w:style>
  <w:style w:type="character" w:styleId="SubtleReference">
    <w:name w:val="Subtle Reference"/>
    <w:uiPriority w:val="31"/>
    <w:qFormat/>
    <w:rsid w:val="00010E61"/>
    <w:rPr>
      <w:smallCaps/>
    </w:rPr>
  </w:style>
  <w:style w:type="character" w:styleId="IntenseReference">
    <w:name w:val="Intense Reference"/>
    <w:uiPriority w:val="32"/>
    <w:qFormat/>
    <w:rsid w:val="00010E61"/>
    <w:rPr>
      <w:smallCaps/>
      <w:spacing w:val="5"/>
      <w:u w:val="single"/>
    </w:rPr>
  </w:style>
  <w:style w:type="character" w:styleId="BookTitle">
    <w:name w:val="Book Title"/>
    <w:uiPriority w:val="33"/>
    <w:qFormat/>
    <w:rsid w:val="00010E61"/>
    <w:rPr>
      <w:i/>
      <w:iCs/>
      <w:smallCaps/>
      <w:spacing w:val="5"/>
    </w:rPr>
  </w:style>
  <w:style w:type="character" w:customStyle="1" w:styleId="st">
    <w:name w:val="st"/>
    <w:basedOn w:val="DefaultParagraphFont"/>
    <w:rsid w:val="00010E61"/>
  </w:style>
  <w:style w:type="character" w:styleId="HTMLCite">
    <w:name w:val="HTML Cite"/>
    <w:basedOn w:val="DefaultParagraphFont"/>
    <w:uiPriority w:val="99"/>
    <w:semiHidden/>
    <w:unhideWhenUsed/>
    <w:rsid w:val="00010E61"/>
    <w:rPr>
      <w:i/>
      <w:iCs/>
    </w:rPr>
  </w:style>
  <w:style w:type="character" w:customStyle="1" w:styleId="f">
    <w:name w:val="f"/>
    <w:basedOn w:val="DefaultParagraphFont"/>
    <w:rsid w:val="00010E61"/>
  </w:style>
  <w:style w:type="paragraph" w:styleId="ListNumber">
    <w:name w:val="List Number"/>
    <w:basedOn w:val="Normal"/>
    <w:uiPriority w:val="99"/>
    <w:unhideWhenUsed/>
    <w:rsid w:val="00010E61"/>
    <w:pPr>
      <w:numPr>
        <w:numId w:val="30"/>
      </w:numPr>
      <w:spacing w:line="276" w:lineRule="auto"/>
      <w:contextualSpacing/>
    </w:pPr>
    <w:rPr>
      <w:rFonts w:ascii="Times New Roman" w:eastAsiaTheme="minorEastAsia" w:hAnsi="Times New Roman"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8871">
      <w:bodyDiv w:val="1"/>
      <w:marLeft w:val="0"/>
      <w:marRight w:val="0"/>
      <w:marTop w:val="0"/>
      <w:marBottom w:val="0"/>
      <w:divBdr>
        <w:top w:val="none" w:sz="0" w:space="0" w:color="auto"/>
        <w:left w:val="none" w:sz="0" w:space="0" w:color="auto"/>
        <w:bottom w:val="none" w:sz="0" w:space="0" w:color="auto"/>
        <w:right w:val="none" w:sz="0" w:space="0" w:color="auto"/>
      </w:divBdr>
    </w:div>
    <w:div w:id="521625239">
      <w:bodyDiv w:val="1"/>
      <w:marLeft w:val="0"/>
      <w:marRight w:val="0"/>
      <w:marTop w:val="0"/>
      <w:marBottom w:val="0"/>
      <w:divBdr>
        <w:top w:val="none" w:sz="0" w:space="0" w:color="auto"/>
        <w:left w:val="none" w:sz="0" w:space="0" w:color="auto"/>
        <w:bottom w:val="none" w:sz="0" w:space="0" w:color="auto"/>
        <w:right w:val="none" w:sz="0" w:space="0" w:color="auto"/>
      </w:divBdr>
    </w:div>
    <w:div w:id="567686288">
      <w:bodyDiv w:val="1"/>
      <w:marLeft w:val="0"/>
      <w:marRight w:val="0"/>
      <w:marTop w:val="0"/>
      <w:marBottom w:val="0"/>
      <w:divBdr>
        <w:top w:val="none" w:sz="0" w:space="0" w:color="auto"/>
        <w:left w:val="none" w:sz="0" w:space="0" w:color="auto"/>
        <w:bottom w:val="none" w:sz="0" w:space="0" w:color="auto"/>
        <w:right w:val="none" w:sz="0" w:space="0" w:color="auto"/>
      </w:divBdr>
    </w:div>
    <w:div w:id="1470629526">
      <w:bodyDiv w:val="1"/>
      <w:marLeft w:val="0"/>
      <w:marRight w:val="0"/>
      <w:marTop w:val="0"/>
      <w:marBottom w:val="0"/>
      <w:divBdr>
        <w:top w:val="none" w:sz="0" w:space="0" w:color="auto"/>
        <w:left w:val="none" w:sz="0" w:space="0" w:color="auto"/>
        <w:bottom w:val="none" w:sz="0" w:space="0" w:color="auto"/>
        <w:right w:val="none" w:sz="0" w:space="0" w:color="auto"/>
      </w:divBdr>
    </w:div>
    <w:div w:id="1648509463">
      <w:bodyDiv w:val="1"/>
      <w:marLeft w:val="0"/>
      <w:marRight w:val="0"/>
      <w:marTop w:val="0"/>
      <w:marBottom w:val="0"/>
      <w:divBdr>
        <w:top w:val="none" w:sz="0" w:space="0" w:color="auto"/>
        <w:left w:val="none" w:sz="0" w:space="0" w:color="auto"/>
        <w:bottom w:val="none" w:sz="0" w:space="0" w:color="auto"/>
        <w:right w:val="none" w:sz="0" w:space="0" w:color="auto"/>
      </w:divBdr>
    </w:div>
    <w:div w:id="2113933141">
      <w:bodyDiv w:val="1"/>
      <w:marLeft w:val="0"/>
      <w:marRight w:val="0"/>
      <w:marTop w:val="0"/>
      <w:marBottom w:val="0"/>
      <w:divBdr>
        <w:top w:val="none" w:sz="0" w:space="0" w:color="auto"/>
        <w:left w:val="none" w:sz="0" w:space="0" w:color="auto"/>
        <w:bottom w:val="none" w:sz="0" w:space="0" w:color="auto"/>
        <w:right w:val="none" w:sz="0" w:space="0" w:color="auto"/>
      </w:divBdr>
    </w:div>
    <w:div w:id="21334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www.stats.govt.nz/survey-participants/a-z-of-our-surveys/disability-survey.aspx"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www.health.govt.nz/system/files/documents/publications/health-loss-in-new-zealand-final.pdf" TargetMode="External"/><Relationship Id="rId42" Type="http://schemas.openxmlformats.org/officeDocument/2006/relationships/hyperlink" Target="http://www.stats.govt.nz/browse_for_stats/health/life_expectancy/nz-period-life-tables-info-releases.asp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www.moh.govt.nz/notebook/nbbooks.nsf/0/4160aae38cd6faa3cc256b440002395b/$FILE/HealthandIndependenceReport2003.pdf" TargetMode="External"/><Relationship Id="rId38" Type="http://schemas.openxmlformats.org/officeDocument/2006/relationships/hyperlink" Target="http://www.stats.govt.nz/browse_for_stats/health/disabilities/DisabilitySurvey2006_HOTP06/Technical%20Notes.aspx" TargetMode="External"/><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http://www.stats.govt.nz/browse_for_stats/health/life_expectancy.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hyperlink" Target="http://www.moh.govt.nz/notebook/nbbooks.nsf/0/7611cbbb226ee839cc256bc800100085/$FILE/MoHSOI03-04.pdf" TargetMode="External"/><Relationship Id="rId37" Type="http://schemas.openxmlformats.org/officeDocument/2006/relationships/hyperlink" Target="http://www.webcitation.org/query.php?url=http://www.who.int/pub/smph/en/index.html&amp;refdoi=10.1186/1478-7954-1-6" TargetMode="External"/><Relationship Id="rId40" Type="http://schemas.openxmlformats.org/officeDocument/2006/relationships/hyperlink" Target="http://www.stats.govt.nz/browse_for_stats/health/disabilities.aspx"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www.stats.govt.nz/browse_for_stats/health/life_expectancy/longer-life-better-health.aspx"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www.eurohex.eu/pdf/Sullivan_guide_final_jun2007.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healthdata.org/data-visualization/gbd-compare" TargetMode="External"/><Relationship Id="rId35" Type="http://schemas.openxmlformats.org/officeDocument/2006/relationships/hyperlink" Target="http://www.moh.govt.nz/notebook/nbbooks.nsf/0/c0c861cb917e1761cc257543006e0d09/$FILE/health-expectancy-toward-tier1-official-statistic-status%5B1%5D.pdf" TargetMode="External"/><Relationship Id="rId43" Type="http://schemas.openxmlformats.org/officeDocument/2006/relationships/hyperlink" Target="http://www.who.int/classifications/icf/en/"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4</TotalTime>
  <Pages>40</Pages>
  <Words>10731</Words>
  <Characters>60848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Independent Life Expectancy in New Zealand 2013</vt:lpstr>
    </vt:vector>
  </TitlesOfParts>
  <Company>Microsoft</Company>
  <LinksUpToDate>false</LinksUpToDate>
  <CharactersWithSpaces>71437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Life Expectancy in New Zealand 2013</dc:title>
  <dc:creator>Ministry of Health</dc:creator>
  <cp:lastModifiedBy>Jane Adam</cp:lastModifiedBy>
  <cp:revision>4</cp:revision>
  <cp:lastPrinted>2015-07-28T21:41:00Z</cp:lastPrinted>
  <dcterms:created xsi:type="dcterms:W3CDTF">2015-08-12T03:27:00Z</dcterms:created>
  <dcterms:modified xsi:type="dcterms:W3CDTF">2015-08-12T03:28:00Z</dcterms:modified>
</cp:coreProperties>
</file>