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84" w:rsidRDefault="000920BC" w:rsidP="00BE2F23">
      <w:pPr>
        <w:pStyle w:val="Coverprivilegedandconfidential"/>
        <w:ind w:firstLine="425"/>
      </w:pPr>
      <w:bookmarkStart w:id="0" w:name="PrivilegedAndConfidential"/>
      <w:bookmarkStart w:id="1" w:name="_GoBack"/>
      <w:bookmarkEnd w:id="1"/>
      <w:r>
        <w:rPr>
          <w:noProof/>
          <w:lang w:val="en-NZ" w:eastAsia="en-NZ"/>
        </w:rPr>
        <w:t xml:space="preserve"> </w:t>
      </w:r>
      <w:bookmarkEnd w:id="0"/>
    </w:p>
    <w:p w:rsidR="00381584" w:rsidRDefault="00FB7D09" w:rsidP="0012154D">
      <w:pPr>
        <w:pStyle w:val="Coverline"/>
      </w:pPr>
      <w:r>
        <w:rPr>
          <w:noProof/>
          <w:lang w:val="en-NZ" w:eastAsia="en-NZ"/>
        </w:rPr>
        <w:drawing>
          <wp:anchor distT="0" distB="0" distL="114300" distR="114300" simplePos="0" relativeHeight="251656704" behindDoc="0" locked="0" layoutInCell="1" allowOverlap="1" wp14:anchorId="08E6B6D5" wp14:editId="1600B6CA">
            <wp:simplePos x="0" y="0"/>
            <wp:positionH relativeFrom="page">
              <wp:posOffset>900430</wp:posOffset>
            </wp:positionH>
            <wp:positionV relativeFrom="page">
              <wp:posOffset>1440180</wp:posOffset>
            </wp:positionV>
            <wp:extent cx="6124575" cy="76200"/>
            <wp:effectExtent l="19050" t="0" r="9525" b="0"/>
            <wp:wrapNone/>
            <wp:docPr id="24" name="Picture 24" descr="line_170mmx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e_170mmx2mm"/>
                    <pic:cNvPicPr>
                      <a:picLocks noChangeAspect="1" noChangeArrowheads="1"/>
                    </pic:cNvPicPr>
                  </pic:nvPicPr>
                  <pic:blipFill>
                    <a:blip r:embed="rId9" cstate="print"/>
                    <a:srcRect/>
                    <a:stretch>
                      <a:fillRect/>
                    </a:stretch>
                  </pic:blipFill>
                  <pic:spPr bwMode="auto">
                    <a:xfrm>
                      <a:off x="0" y="0"/>
                      <a:ext cx="6124575" cy="76200"/>
                    </a:xfrm>
                    <a:prstGeom prst="rect">
                      <a:avLst/>
                    </a:prstGeom>
                    <a:noFill/>
                    <a:ln w="9525">
                      <a:noFill/>
                      <a:miter lim="800000"/>
                      <a:headEnd/>
                      <a:tailEnd/>
                    </a:ln>
                  </pic:spPr>
                </pic:pic>
              </a:graphicData>
            </a:graphic>
          </wp:anchor>
        </w:drawing>
      </w:r>
    </w:p>
    <w:p w:rsidR="0012154D" w:rsidRDefault="00F3072F" w:rsidP="0012154D">
      <w:pPr>
        <w:pStyle w:val="Coverline"/>
      </w:pPr>
      <w:r>
        <w:rPr>
          <w:noProof/>
          <w:lang w:val="en-NZ" w:eastAsia="en-NZ"/>
        </w:rPr>
        <w:drawing>
          <wp:anchor distT="0" distB="0" distL="114300" distR="114300" simplePos="0" relativeHeight="251658752" behindDoc="0" locked="0" layoutInCell="1" allowOverlap="1" wp14:anchorId="347119B5" wp14:editId="71F402AD">
            <wp:simplePos x="0" y="0"/>
            <wp:positionH relativeFrom="page">
              <wp:posOffset>4904105</wp:posOffset>
            </wp:positionH>
            <wp:positionV relativeFrom="page">
              <wp:posOffset>9361170</wp:posOffset>
            </wp:positionV>
            <wp:extent cx="2167255" cy="666750"/>
            <wp:effectExtent l="0" t="0" r="4445" b="0"/>
            <wp:wrapNone/>
            <wp:docPr id="2" name="Picture 1" descr="Sapere_RGB_lge.jpg" title="Sap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_RGB_lge.jpg"/>
                    <pic:cNvPicPr/>
                  </pic:nvPicPr>
                  <pic:blipFill>
                    <a:blip r:embed="rId10" cstate="print"/>
                    <a:stretch>
                      <a:fillRect/>
                    </a:stretch>
                  </pic:blipFill>
                  <pic:spPr>
                    <a:xfrm>
                      <a:off x="0" y="0"/>
                      <a:ext cx="2167255" cy="666750"/>
                    </a:xfrm>
                    <a:prstGeom prst="rect">
                      <a:avLst/>
                    </a:prstGeom>
                  </pic:spPr>
                </pic:pic>
              </a:graphicData>
            </a:graphic>
          </wp:anchor>
        </w:drawing>
      </w:r>
      <w:r w:rsidR="00FB7D09">
        <w:rPr>
          <w:noProof/>
          <w:lang w:val="en-NZ" w:eastAsia="en-NZ"/>
        </w:rPr>
        <w:drawing>
          <wp:anchor distT="0" distB="0" distL="114300" distR="114300" simplePos="0" relativeHeight="251657728" behindDoc="0" locked="0" layoutInCell="1" allowOverlap="1" wp14:anchorId="3917A374" wp14:editId="5AE675AD">
            <wp:simplePos x="0" y="0"/>
            <wp:positionH relativeFrom="page">
              <wp:posOffset>900430</wp:posOffset>
            </wp:positionH>
            <wp:positionV relativeFrom="page">
              <wp:posOffset>8569325</wp:posOffset>
            </wp:positionV>
            <wp:extent cx="6124575" cy="76200"/>
            <wp:effectExtent l="19050" t="0" r="9525" b="0"/>
            <wp:wrapNone/>
            <wp:docPr id="25" name="Picture 25" descr="line_170mmx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_170mmx2mm"/>
                    <pic:cNvPicPr>
                      <a:picLocks noChangeAspect="1" noChangeArrowheads="1"/>
                    </pic:cNvPicPr>
                  </pic:nvPicPr>
                  <pic:blipFill>
                    <a:blip r:embed="rId9" cstate="print"/>
                    <a:srcRect/>
                    <a:stretch>
                      <a:fillRect/>
                    </a:stretch>
                  </pic:blipFill>
                  <pic:spPr bwMode="auto">
                    <a:xfrm>
                      <a:off x="0" y="0"/>
                      <a:ext cx="6124575" cy="76200"/>
                    </a:xfrm>
                    <a:prstGeom prst="rect">
                      <a:avLst/>
                    </a:prstGeom>
                    <a:noFill/>
                    <a:ln w="9525">
                      <a:noFill/>
                      <a:miter lim="800000"/>
                      <a:headEnd/>
                      <a:tailEnd/>
                    </a:ln>
                  </pic:spPr>
                </pic:pic>
              </a:graphicData>
            </a:graphic>
          </wp:anchor>
        </w:drawing>
      </w:r>
    </w:p>
    <w:tbl>
      <w:tblPr>
        <w:tblStyle w:val="TableGrid"/>
        <w:tblW w:w="0" w:type="auto"/>
        <w:tblInd w:w="108" w:type="dxa"/>
        <w:tblBorders>
          <w:top w:val="none" w:sz="0" w:space="0" w:color="auto"/>
          <w:left w:val="none" w:sz="0" w:space="0" w:color="auto"/>
          <w:right w:val="none" w:sz="0" w:space="0" w:color="auto"/>
          <w:insideV w:val="single" w:sz="4" w:space="0" w:color="7B5E05"/>
        </w:tblBorders>
        <w:tblLook w:val="01E0" w:firstRow="1" w:lastRow="1" w:firstColumn="1" w:lastColumn="1" w:noHBand="0" w:noVBand="0"/>
      </w:tblPr>
      <w:tblGrid>
        <w:gridCol w:w="9639"/>
      </w:tblGrid>
      <w:tr w:rsidR="004F2D72">
        <w:trPr>
          <w:trHeight w:val="1738"/>
        </w:trPr>
        <w:tc>
          <w:tcPr>
            <w:tcW w:w="9639" w:type="dxa"/>
            <w:tcBorders>
              <w:top w:val="nil"/>
              <w:bottom w:val="nil"/>
            </w:tcBorders>
            <w:vAlign w:val="bottom"/>
          </w:tcPr>
          <w:p w:rsidR="004F2D72" w:rsidRPr="004F2D72" w:rsidRDefault="00364E31" w:rsidP="004F2D72">
            <w:pPr>
              <w:pStyle w:val="Coversubhead"/>
            </w:pPr>
            <w:r>
              <w:fldChar w:fldCharType="begin"/>
            </w:r>
            <w:r>
              <w:instrText xml:space="preserve"> DOCVARIABLE  rptPresentedTo  \* MERGEFORMAT </w:instrText>
            </w:r>
            <w:r>
              <w:fldChar w:fldCharType="separate"/>
            </w:r>
            <w:r w:rsidR="00CA314A">
              <w:t>Report prepared for the Ministry of Health</w:t>
            </w:r>
            <w:r>
              <w:fldChar w:fldCharType="end"/>
            </w:r>
          </w:p>
        </w:tc>
      </w:tr>
      <w:tr w:rsidR="00375278">
        <w:trPr>
          <w:trHeight w:val="940"/>
        </w:trPr>
        <w:tc>
          <w:tcPr>
            <w:tcW w:w="9639" w:type="dxa"/>
            <w:tcBorders>
              <w:top w:val="nil"/>
              <w:bottom w:val="nil"/>
            </w:tcBorders>
            <w:vAlign w:val="bottom"/>
          </w:tcPr>
          <w:p w:rsidR="00375278" w:rsidRDefault="00375278" w:rsidP="00375278">
            <w:pPr>
              <w:pStyle w:val="Coversubhead"/>
              <w:rPr>
                <w:noProof/>
              </w:rPr>
            </w:pPr>
          </w:p>
        </w:tc>
      </w:tr>
      <w:tr w:rsidR="00801549">
        <w:trPr>
          <w:trHeight w:hRule="exact" w:val="2268"/>
        </w:trPr>
        <w:tc>
          <w:tcPr>
            <w:tcW w:w="9639" w:type="dxa"/>
            <w:tcBorders>
              <w:top w:val="nil"/>
            </w:tcBorders>
            <w:tcMar>
              <w:bottom w:w="567" w:type="dxa"/>
            </w:tcMar>
            <w:vAlign w:val="bottom"/>
          </w:tcPr>
          <w:p w:rsidR="00801549" w:rsidRDefault="00153246" w:rsidP="004F1425">
            <w:pPr>
              <w:pStyle w:val="Coverheading"/>
            </w:pPr>
            <w:fldSimple w:instr=" DOCVARIABLE  rptTitle  \* MERGEFORMAT ">
              <w:r w:rsidR="00CA314A">
                <w:t>Review of Mobile Surgical Services and related services</w:t>
              </w:r>
            </w:fldSimple>
          </w:p>
        </w:tc>
      </w:tr>
      <w:tr w:rsidR="00801549">
        <w:trPr>
          <w:trHeight w:val="397"/>
        </w:trPr>
        <w:tc>
          <w:tcPr>
            <w:tcW w:w="9639" w:type="dxa"/>
            <w:vAlign w:val="center"/>
          </w:tcPr>
          <w:p w:rsidR="00801549" w:rsidRDefault="00153246" w:rsidP="00424938">
            <w:pPr>
              <w:pStyle w:val="Coverauthor"/>
            </w:pPr>
            <w:r>
              <w:fldChar w:fldCharType="begin"/>
            </w:r>
            <w:r>
              <w:instrText xml:space="preserve"> DOCVARIABLE  rptAuthors  \* MERGEFORMAT </w:instrText>
            </w:r>
            <w:r>
              <w:fldChar w:fldCharType="separate"/>
            </w:r>
            <w:r w:rsidR="00CA314A">
              <w:t xml:space="preserve">Gary </w:t>
            </w:r>
            <w:proofErr w:type="spellStart"/>
            <w:r w:rsidR="00CA314A">
              <w:t>Blick</w:t>
            </w:r>
            <w:proofErr w:type="spellEnd"/>
            <w:r w:rsidR="00CA314A">
              <w:t xml:space="preserve">, Preston Davies and Jo </w:t>
            </w:r>
            <w:proofErr w:type="spellStart"/>
            <w:r w:rsidR="00CA314A">
              <w:t>Esplin</w:t>
            </w:r>
            <w:proofErr w:type="spellEnd"/>
            <w:r>
              <w:fldChar w:fldCharType="end"/>
            </w:r>
          </w:p>
        </w:tc>
      </w:tr>
    </w:tbl>
    <w:p w:rsidR="00801549" w:rsidRDefault="00364E31" w:rsidP="00424938">
      <w:pPr>
        <w:pStyle w:val="Coverdate"/>
      </w:pPr>
      <w:r>
        <w:fldChar w:fldCharType="begin"/>
      </w:r>
      <w:r>
        <w:instrText xml:space="preserve"> DOCVARIABLE  rptDate  \* MERGEFORMAT </w:instrText>
      </w:r>
      <w:r>
        <w:fldChar w:fldCharType="separate"/>
      </w:r>
      <w:r w:rsidR="00CA314A">
        <w:t>14 July 2014</w:t>
      </w:r>
      <w:r>
        <w:fldChar w:fldCharType="end"/>
      </w:r>
    </w:p>
    <w:p w:rsidR="0012154D" w:rsidRDefault="0012154D" w:rsidP="00333BF5"/>
    <w:p w:rsidR="00CD22A5" w:rsidRDefault="00CD22A5" w:rsidP="00EC782D">
      <w:pPr>
        <w:sectPr w:rsidR="00CD22A5" w:rsidSect="000E6A73">
          <w:endnotePr>
            <w:numFmt w:val="decimal"/>
          </w:endnotePr>
          <w:pgSz w:w="11907" w:h="16840" w:code="9"/>
          <w:pgMar w:top="1701" w:right="851" w:bottom="1701" w:left="1418" w:header="567" w:footer="567" w:gutter="0"/>
          <w:pgNumType w:start="1"/>
          <w:cols w:space="720"/>
          <w:titlePg/>
        </w:sectPr>
      </w:pPr>
    </w:p>
    <w:p w:rsidR="005353C2" w:rsidRPr="00D902B5" w:rsidRDefault="005353C2" w:rsidP="000A41C3">
      <w:pPr>
        <w:pStyle w:val="Heading-nontableofcontents"/>
        <w:pageBreakBefore w:val="0"/>
        <w:spacing w:before="600"/>
      </w:pPr>
      <w:r w:rsidRPr="00D902B5">
        <w:lastRenderedPageBreak/>
        <w:t xml:space="preserve">About </w:t>
      </w:r>
      <w:proofErr w:type="spellStart"/>
      <w:r w:rsidRPr="00D902B5">
        <w:t>Sapere</w:t>
      </w:r>
      <w:proofErr w:type="spellEnd"/>
      <w:r w:rsidRPr="00D902B5">
        <w:t xml:space="preserve"> Research Group Limited</w:t>
      </w:r>
    </w:p>
    <w:p w:rsidR="00E87346" w:rsidRPr="00D902B5" w:rsidRDefault="005353C2" w:rsidP="005353C2">
      <w:pPr>
        <w:pStyle w:val="UnnumtextBodytext"/>
      </w:pPr>
      <w:proofErr w:type="spellStart"/>
      <w:r w:rsidRPr="00D902B5">
        <w:t>Sapere</w:t>
      </w:r>
      <w:proofErr w:type="spellEnd"/>
      <w:r w:rsidRPr="00D902B5">
        <w:t xml:space="preserve"> Research Group is one of the largest </w:t>
      </w:r>
      <w:proofErr w:type="gramStart"/>
      <w:r w:rsidRPr="00D902B5">
        <w:t>expert</w:t>
      </w:r>
      <w:proofErr w:type="gramEnd"/>
      <w:r w:rsidRPr="00D902B5">
        <w:t xml:space="preserve"> consulting firms in Australasia and a leader in provision of independent economic, forensic accounting and public policy services.  </w:t>
      </w:r>
      <w:proofErr w:type="spellStart"/>
      <w:r w:rsidRPr="00D902B5">
        <w:t>Sapere</w:t>
      </w:r>
      <w:proofErr w:type="spellEnd"/>
      <w:r w:rsidRPr="00D902B5">
        <w:t xml:space="preserve"> provides independent expert testimony, strategic advisory services, data analytics and other advice to Australasia’s private sector corporate clients, major law firms, government a</w:t>
      </w:r>
      <w:r w:rsidR="00E87346" w:rsidRPr="00D902B5">
        <w:t>gencies, and regulatory bodies.</w:t>
      </w:r>
    </w:p>
    <w:p w:rsidR="005353C2" w:rsidRPr="00D902B5" w:rsidRDefault="005353C2" w:rsidP="005353C2">
      <w:pPr>
        <w:pStyle w:val="Whitespace"/>
      </w:pPr>
    </w:p>
    <w:p w:rsidR="005353C2" w:rsidRPr="00D902B5" w:rsidRDefault="005353C2" w:rsidP="005353C2">
      <w:pPr>
        <w:pStyle w:val="Whitespace"/>
      </w:pPr>
    </w:p>
    <w:tbl>
      <w:tblPr>
        <w:tblStyle w:val="TableSapereGrid"/>
        <w:tblW w:w="0" w:type="auto"/>
        <w:tblLook w:val="0480" w:firstRow="0" w:lastRow="0" w:firstColumn="1" w:lastColumn="0" w:noHBand="0" w:noVBand="1"/>
      </w:tblPr>
      <w:tblGrid>
        <w:gridCol w:w="2717"/>
        <w:gridCol w:w="2718"/>
        <w:gridCol w:w="2718"/>
      </w:tblGrid>
      <w:tr w:rsidR="005353C2" w:rsidTr="00360C2E">
        <w:tc>
          <w:tcPr>
            <w:tcW w:w="2717" w:type="dxa"/>
          </w:tcPr>
          <w:p w:rsidR="005353C2" w:rsidRPr="005353C2" w:rsidRDefault="005353C2" w:rsidP="005353C2">
            <w:pPr>
              <w:pStyle w:val="Table-bodyheading"/>
              <w:spacing w:before="0"/>
              <w:rPr>
                <w:color w:val="7B5E05"/>
              </w:rPr>
            </w:pPr>
            <w:r w:rsidRPr="005353C2">
              <w:rPr>
                <w:color w:val="7B5E05"/>
              </w:rPr>
              <w:t>Wellington</w:t>
            </w:r>
          </w:p>
          <w:p w:rsidR="005353C2" w:rsidRPr="006168E3" w:rsidRDefault="005353C2" w:rsidP="005353C2">
            <w:pPr>
              <w:pStyle w:val="Table-bodytext"/>
              <w:spacing w:after="0"/>
            </w:pPr>
            <w:r w:rsidRPr="006168E3">
              <w:t xml:space="preserve">Level 9, 1 </w:t>
            </w:r>
            <w:proofErr w:type="spellStart"/>
            <w:r w:rsidRPr="006168E3">
              <w:t>Willeston</w:t>
            </w:r>
            <w:proofErr w:type="spellEnd"/>
            <w:r w:rsidRPr="006168E3">
              <w:t xml:space="preserve"> St</w:t>
            </w:r>
          </w:p>
          <w:p w:rsidR="005353C2" w:rsidRPr="006168E3" w:rsidRDefault="005353C2" w:rsidP="005353C2">
            <w:pPr>
              <w:pStyle w:val="Table-bodytext"/>
              <w:spacing w:after="0"/>
            </w:pPr>
            <w:r w:rsidRPr="006168E3">
              <w:t>PO Box 587</w:t>
            </w:r>
          </w:p>
          <w:p w:rsidR="005353C2" w:rsidRPr="006168E3" w:rsidRDefault="005353C2" w:rsidP="005353C2">
            <w:pPr>
              <w:pStyle w:val="Table-bodytext"/>
              <w:spacing w:after="0"/>
            </w:pPr>
            <w:r w:rsidRPr="006168E3">
              <w:t>Wellington 6140</w:t>
            </w:r>
          </w:p>
          <w:p w:rsidR="005353C2" w:rsidRPr="006168E3" w:rsidRDefault="005353C2" w:rsidP="005353C2">
            <w:pPr>
              <w:pStyle w:val="Table-bodytext"/>
              <w:tabs>
                <w:tab w:val="left" w:pos="425"/>
              </w:tabs>
              <w:spacing w:after="0"/>
            </w:pPr>
            <w:proofErr w:type="spellStart"/>
            <w:r>
              <w:t>Ph</w:t>
            </w:r>
            <w:proofErr w:type="spellEnd"/>
            <w:r>
              <w:t>:</w:t>
            </w:r>
            <w:r>
              <w:tab/>
            </w:r>
            <w:r w:rsidRPr="006168E3">
              <w:t>+64 4 915 7590</w:t>
            </w:r>
          </w:p>
          <w:p w:rsidR="005353C2" w:rsidRDefault="005353C2" w:rsidP="005353C2">
            <w:pPr>
              <w:pStyle w:val="Table-bodytext"/>
              <w:tabs>
                <w:tab w:val="left" w:pos="425"/>
              </w:tabs>
              <w:spacing w:after="0"/>
            </w:pPr>
            <w:r>
              <w:t>Fax:</w:t>
            </w:r>
            <w:r>
              <w:tab/>
            </w:r>
            <w:r w:rsidRPr="006168E3">
              <w:t>+64 4 915 7596</w:t>
            </w:r>
          </w:p>
        </w:tc>
        <w:tc>
          <w:tcPr>
            <w:tcW w:w="2718" w:type="dxa"/>
          </w:tcPr>
          <w:p w:rsidR="005353C2" w:rsidRPr="005353C2" w:rsidRDefault="005353C2" w:rsidP="005353C2">
            <w:pPr>
              <w:pStyle w:val="Table-bodyheading"/>
              <w:spacing w:before="0"/>
              <w:rPr>
                <w:color w:val="7B5E05"/>
              </w:rPr>
            </w:pPr>
            <w:r w:rsidRPr="005353C2">
              <w:rPr>
                <w:color w:val="7B5E05"/>
              </w:rPr>
              <w:t>Auckland</w:t>
            </w:r>
          </w:p>
          <w:p w:rsidR="005353C2" w:rsidRPr="00A37F59" w:rsidRDefault="005353C2" w:rsidP="005353C2">
            <w:pPr>
              <w:pStyle w:val="Table-bodytext"/>
              <w:spacing w:after="0"/>
            </w:pPr>
            <w:r w:rsidRPr="00A37F59">
              <w:t>Level 17, 3-5 Albert St</w:t>
            </w:r>
          </w:p>
          <w:p w:rsidR="005353C2" w:rsidRPr="00A37F59" w:rsidRDefault="005353C2" w:rsidP="005353C2">
            <w:pPr>
              <w:pStyle w:val="Table-bodytext"/>
              <w:spacing w:after="0"/>
            </w:pPr>
            <w:r w:rsidRPr="00A37F59">
              <w:t>PO Box 2475</w:t>
            </w:r>
          </w:p>
          <w:p w:rsidR="005353C2" w:rsidRPr="00A37F59" w:rsidRDefault="005353C2" w:rsidP="005353C2">
            <w:pPr>
              <w:pStyle w:val="Table-bodytext"/>
              <w:spacing w:after="0"/>
            </w:pPr>
            <w:r w:rsidRPr="00A37F59">
              <w:t>Auckland 1140</w:t>
            </w:r>
          </w:p>
          <w:p w:rsidR="005353C2" w:rsidRPr="00A37F59" w:rsidRDefault="005353C2" w:rsidP="005353C2">
            <w:pPr>
              <w:pStyle w:val="Table-bodytext"/>
              <w:tabs>
                <w:tab w:val="left" w:pos="425"/>
              </w:tabs>
              <w:spacing w:after="0"/>
            </w:pPr>
            <w:proofErr w:type="spellStart"/>
            <w:r>
              <w:t>Ph</w:t>
            </w:r>
            <w:proofErr w:type="spellEnd"/>
            <w:r>
              <w:t>:</w:t>
            </w:r>
            <w:r>
              <w:tab/>
            </w:r>
            <w:r w:rsidRPr="00A37F59">
              <w:t>+64 9 913 6240</w:t>
            </w:r>
          </w:p>
          <w:p w:rsidR="005353C2" w:rsidRDefault="005353C2" w:rsidP="005353C2">
            <w:pPr>
              <w:pStyle w:val="Table-bodytext"/>
              <w:tabs>
                <w:tab w:val="left" w:pos="425"/>
              </w:tabs>
              <w:spacing w:after="0"/>
            </w:pPr>
            <w:r>
              <w:t>Fax:</w:t>
            </w:r>
            <w:r>
              <w:tab/>
            </w:r>
            <w:r w:rsidRPr="00A37F59">
              <w:t>+64 9 913 6241</w:t>
            </w:r>
          </w:p>
        </w:tc>
        <w:tc>
          <w:tcPr>
            <w:tcW w:w="2718" w:type="dxa"/>
          </w:tcPr>
          <w:p w:rsidR="005353C2" w:rsidRDefault="005353C2" w:rsidP="005353C2">
            <w:pPr>
              <w:pStyle w:val="Table-bodytext"/>
              <w:spacing w:after="0"/>
            </w:pPr>
          </w:p>
        </w:tc>
      </w:tr>
      <w:tr w:rsidR="005353C2" w:rsidTr="00360C2E">
        <w:tc>
          <w:tcPr>
            <w:tcW w:w="2717" w:type="dxa"/>
          </w:tcPr>
          <w:p w:rsidR="005353C2" w:rsidRPr="005353C2" w:rsidRDefault="005353C2" w:rsidP="005353C2">
            <w:pPr>
              <w:pStyle w:val="Table-bodyheading"/>
              <w:spacing w:before="0"/>
              <w:rPr>
                <w:color w:val="7B5E05"/>
              </w:rPr>
            </w:pPr>
            <w:r w:rsidRPr="005353C2">
              <w:rPr>
                <w:color w:val="7B5E05"/>
              </w:rPr>
              <w:t>Sydney</w:t>
            </w:r>
          </w:p>
          <w:p w:rsidR="005353C2" w:rsidRPr="00481A6F" w:rsidRDefault="005353C2" w:rsidP="005353C2">
            <w:pPr>
              <w:pStyle w:val="Table-bodytext"/>
              <w:spacing w:after="0"/>
            </w:pPr>
            <w:r w:rsidRPr="00481A6F">
              <w:t>Level 14, 68 Pitt St</w:t>
            </w:r>
          </w:p>
          <w:p w:rsidR="005353C2" w:rsidRPr="00481A6F" w:rsidRDefault="005353C2" w:rsidP="005353C2">
            <w:pPr>
              <w:pStyle w:val="Table-bodytext"/>
              <w:spacing w:after="0"/>
            </w:pPr>
            <w:r w:rsidRPr="00481A6F">
              <w:t>GPO Box 220</w:t>
            </w:r>
          </w:p>
          <w:p w:rsidR="005353C2" w:rsidRPr="00481A6F" w:rsidRDefault="005353C2" w:rsidP="005353C2">
            <w:pPr>
              <w:pStyle w:val="Table-bodytext"/>
              <w:spacing w:after="0"/>
            </w:pPr>
            <w:r w:rsidRPr="00481A6F">
              <w:t>NSW 2001</w:t>
            </w:r>
          </w:p>
          <w:p w:rsidR="005353C2" w:rsidRPr="00481A6F" w:rsidRDefault="005353C2" w:rsidP="005353C2">
            <w:pPr>
              <w:pStyle w:val="Table-bodytext"/>
              <w:tabs>
                <w:tab w:val="left" w:pos="425"/>
              </w:tabs>
              <w:spacing w:after="0"/>
            </w:pPr>
            <w:proofErr w:type="spellStart"/>
            <w:r>
              <w:t>Ph</w:t>
            </w:r>
            <w:proofErr w:type="spellEnd"/>
            <w:r>
              <w:t>:</w:t>
            </w:r>
            <w:r>
              <w:tab/>
            </w:r>
            <w:r w:rsidRPr="00481A6F">
              <w:t>+ 61 2 9234 0200</w:t>
            </w:r>
          </w:p>
          <w:p w:rsidR="005353C2" w:rsidRPr="005353C2" w:rsidRDefault="005353C2" w:rsidP="005353C2">
            <w:pPr>
              <w:pStyle w:val="Table-bodytext"/>
              <w:tabs>
                <w:tab w:val="left" w:pos="425"/>
              </w:tabs>
              <w:spacing w:after="0"/>
            </w:pPr>
            <w:r>
              <w:t>Fax:</w:t>
            </w:r>
            <w:r>
              <w:tab/>
            </w:r>
            <w:r w:rsidRPr="00481A6F">
              <w:t>+ 61 2 9234 0201</w:t>
            </w:r>
          </w:p>
        </w:tc>
        <w:tc>
          <w:tcPr>
            <w:tcW w:w="2718" w:type="dxa"/>
          </w:tcPr>
          <w:p w:rsidR="005353C2" w:rsidRPr="005353C2" w:rsidRDefault="005353C2" w:rsidP="005353C2">
            <w:pPr>
              <w:pStyle w:val="Table-bodyheading"/>
              <w:spacing w:before="0"/>
              <w:rPr>
                <w:color w:val="7B5E05"/>
              </w:rPr>
            </w:pPr>
            <w:r w:rsidRPr="005353C2">
              <w:rPr>
                <w:color w:val="7B5E05"/>
              </w:rPr>
              <w:t>Canberra</w:t>
            </w:r>
          </w:p>
          <w:p w:rsidR="005353C2" w:rsidRPr="00F02515" w:rsidRDefault="00307FF8" w:rsidP="005353C2">
            <w:pPr>
              <w:pStyle w:val="Table-bodytext"/>
              <w:spacing w:after="0"/>
            </w:pPr>
            <w:r>
              <w:t xml:space="preserve">Unit 3, 97 </w:t>
            </w:r>
            <w:proofErr w:type="spellStart"/>
            <w:r>
              <w:t>Northbourne</w:t>
            </w:r>
            <w:proofErr w:type="spellEnd"/>
            <w:r>
              <w:t xml:space="preserve"> Ave</w:t>
            </w:r>
          </w:p>
          <w:p w:rsidR="005353C2" w:rsidRDefault="00307FF8" w:rsidP="005353C2">
            <w:pPr>
              <w:pStyle w:val="Table-bodytext"/>
              <w:spacing w:after="0"/>
            </w:pPr>
            <w:r>
              <w:t>Turner ACT 2612</w:t>
            </w:r>
          </w:p>
          <w:p w:rsidR="00307FF8" w:rsidRPr="00F02515" w:rsidRDefault="00307FF8" w:rsidP="005353C2">
            <w:pPr>
              <w:pStyle w:val="Table-bodytext"/>
              <w:spacing w:after="0"/>
            </w:pPr>
            <w:r>
              <w:t>GPO Box 252</w:t>
            </w:r>
          </w:p>
          <w:p w:rsidR="005353C2" w:rsidRPr="00F02515" w:rsidRDefault="005353C2" w:rsidP="005353C2">
            <w:pPr>
              <w:pStyle w:val="Table-bodytext"/>
              <w:spacing w:after="0"/>
            </w:pPr>
            <w:r w:rsidRPr="00F02515">
              <w:t>Canberra City</w:t>
            </w:r>
            <w:r w:rsidR="00307FF8">
              <w:t>, ACT 2601</w:t>
            </w:r>
          </w:p>
          <w:p w:rsidR="005353C2" w:rsidRPr="00F02515" w:rsidRDefault="005353C2" w:rsidP="005353C2">
            <w:pPr>
              <w:pStyle w:val="Table-bodytext"/>
              <w:tabs>
                <w:tab w:val="left" w:pos="425"/>
              </w:tabs>
              <w:spacing w:after="0"/>
            </w:pPr>
            <w:proofErr w:type="spellStart"/>
            <w:r>
              <w:t>Ph</w:t>
            </w:r>
            <w:proofErr w:type="spellEnd"/>
            <w:r>
              <w:t xml:space="preserve">: </w:t>
            </w:r>
            <w:r>
              <w:tab/>
            </w:r>
            <w:r w:rsidR="00307FF8">
              <w:t>+61 2 6267 2700</w:t>
            </w:r>
          </w:p>
          <w:p w:rsidR="005353C2" w:rsidRPr="005353C2" w:rsidRDefault="005353C2" w:rsidP="005353C2">
            <w:pPr>
              <w:pStyle w:val="Table-bodytext"/>
              <w:tabs>
                <w:tab w:val="left" w:pos="425"/>
              </w:tabs>
              <w:spacing w:after="0"/>
            </w:pPr>
            <w:r>
              <w:t>Fax:</w:t>
            </w:r>
            <w:r>
              <w:tab/>
            </w:r>
            <w:r w:rsidRPr="00F02515">
              <w:t>+61 2 62</w:t>
            </w:r>
            <w:r w:rsidR="00307FF8">
              <w:t>67 2710</w:t>
            </w:r>
          </w:p>
        </w:tc>
        <w:tc>
          <w:tcPr>
            <w:tcW w:w="2718" w:type="dxa"/>
          </w:tcPr>
          <w:p w:rsidR="005353C2" w:rsidRPr="005353C2" w:rsidRDefault="005353C2" w:rsidP="005353C2">
            <w:pPr>
              <w:pStyle w:val="Table-bodyheading"/>
              <w:spacing w:before="0"/>
              <w:rPr>
                <w:color w:val="7B5E05"/>
              </w:rPr>
            </w:pPr>
            <w:r w:rsidRPr="005353C2">
              <w:rPr>
                <w:color w:val="7B5E05"/>
              </w:rPr>
              <w:t>Melbourne</w:t>
            </w:r>
          </w:p>
          <w:p w:rsidR="005353C2" w:rsidRPr="00416803" w:rsidRDefault="005353C2" w:rsidP="005353C2">
            <w:pPr>
              <w:pStyle w:val="Table-bodytext"/>
              <w:spacing w:after="0"/>
            </w:pPr>
            <w:r w:rsidRPr="00416803">
              <w:t>Level 2, 65 Southbank Boulevard</w:t>
            </w:r>
          </w:p>
          <w:p w:rsidR="005353C2" w:rsidRPr="00416803" w:rsidRDefault="005353C2" w:rsidP="005353C2">
            <w:pPr>
              <w:pStyle w:val="Table-bodytext"/>
              <w:spacing w:after="0"/>
            </w:pPr>
            <w:r w:rsidRPr="00416803">
              <w:t>GPO Box 3179</w:t>
            </w:r>
          </w:p>
          <w:p w:rsidR="005353C2" w:rsidRPr="00416803" w:rsidRDefault="005353C2" w:rsidP="005353C2">
            <w:pPr>
              <w:pStyle w:val="Table-bodytext"/>
              <w:spacing w:after="0"/>
            </w:pPr>
            <w:r w:rsidRPr="00416803">
              <w:t>Melbourne, VIC 3001</w:t>
            </w:r>
          </w:p>
          <w:p w:rsidR="005353C2" w:rsidRPr="00416803" w:rsidRDefault="005353C2" w:rsidP="005353C2">
            <w:pPr>
              <w:pStyle w:val="Table-bodytext"/>
              <w:tabs>
                <w:tab w:val="left" w:pos="425"/>
              </w:tabs>
              <w:spacing w:after="0"/>
            </w:pPr>
            <w:proofErr w:type="spellStart"/>
            <w:r>
              <w:t>Ph</w:t>
            </w:r>
            <w:proofErr w:type="spellEnd"/>
            <w:r>
              <w:t>:</w:t>
            </w:r>
            <w:r>
              <w:tab/>
            </w:r>
            <w:r w:rsidRPr="00416803">
              <w:t>+ 61 3 9626 4333</w:t>
            </w:r>
          </w:p>
          <w:p w:rsidR="005353C2" w:rsidRPr="005353C2" w:rsidRDefault="005353C2" w:rsidP="005353C2">
            <w:pPr>
              <w:pStyle w:val="Table-bodytext"/>
              <w:tabs>
                <w:tab w:val="left" w:pos="425"/>
              </w:tabs>
              <w:spacing w:after="0"/>
            </w:pPr>
            <w:r>
              <w:t>Fax:</w:t>
            </w:r>
            <w:r>
              <w:tab/>
            </w:r>
            <w:r w:rsidRPr="00416803">
              <w:t>+ 61 3 9626 4231</w:t>
            </w:r>
          </w:p>
        </w:tc>
      </w:tr>
    </w:tbl>
    <w:p w:rsidR="005353C2" w:rsidRPr="00D902B5" w:rsidRDefault="005353C2" w:rsidP="005353C2">
      <w:pPr>
        <w:pStyle w:val="Whitespace"/>
      </w:pPr>
    </w:p>
    <w:p w:rsidR="005353C2" w:rsidRPr="00D902B5" w:rsidRDefault="005353C2" w:rsidP="005353C2">
      <w:pPr>
        <w:pStyle w:val="Whitespace"/>
      </w:pPr>
    </w:p>
    <w:p w:rsidR="005353C2" w:rsidRPr="00D902B5" w:rsidRDefault="005353C2" w:rsidP="005353C2">
      <w:pPr>
        <w:pStyle w:val="UnnumtextBodytext"/>
      </w:pPr>
      <w:r w:rsidRPr="00D902B5">
        <w:t xml:space="preserve">For information on this report please contact: </w:t>
      </w:r>
    </w:p>
    <w:p w:rsidR="005353C2" w:rsidRPr="00D902B5" w:rsidRDefault="005353C2" w:rsidP="00E81D14">
      <w:pPr>
        <w:pStyle w:val="UnnumtextBodytext"/>
        <w:tabs>
          <w:tab w:val="left" w:pos="2268"/>
        </w:tabs>
      </w:pPr>
      <w:r w:rsidRPr="00D902B5">
        <w:t xml:space="preserve">Name: </w:t>
      </w:r>
      <w:r w:rsidRPr="00D902B5">
        <w:tab/>
      </w:r>
      <w:r w:rsidR="000C1B74" w:rsidRPr="00D902B5">
        <w:fldChar w:fldCharType="begin"/>
      </w:r>
      <w:r w:rsidR="00A715AA" w:rsidRPr="00D902B5">
        <w:instrText xml:space="preserve"> DOCVARIABLE  rptContact </w:instrText>
      </w:r>
      <w:r w:rsidR="000C1B74" w:rsidRPr="00D902B5">
        <w:fldChar w:fldCharType="separate"/>
      </w:r>
      <w:r w:rsidR="00CA314A">
        <w:t xml:space="preserve">Gary </w:t>
      </w:r>
      <w:proofErr w:type="spellStart"/>
      <w:r w:rsidR="00CA314A">
        <w:t>Blick</w:t>
      </w:r>
      <w:proofErr w:type="spellEnd"/>
      <w:r w:rsidR="000C1B74" w:rsidRPr="00D902B5">
        <w:fldChar w:fldCharType="end"/>
      </w:r>
    </w:p>
    <w:p w:rsidR="005353C2" w:rsidRPr="00D902B5" w:rsidRDefault="005353C2" w:rsidP="00E81D14">
      <w:pPr>
        <w:pStyle w:val="UnnumtextBodytext"/>
        <w:tabs>
          <w:tab w:val="left" w:pos="2268"/>
        </w:tabs>
      </w:pPr>
      <w:r w:rsidRPr="00D902B5">
        <w:t>Telephone:</w:t>
      </w:r>
      <w:r w:rsidRPr="00D902B5">
        <w:tab/>
      </w:r>
      <w:r w:rsidR="000C1B74" w:rsidRPr="00D902B5">
        <w:fldChar w:fldCharType="begin"/>
      </w:r>
      <w:r w:rsidR="00A715AA" w:rsidRPr="00D902B5">
        <w:instrText xml:space="preserve"> DOCVARIABLE  rptTele </w:instrText>
      </w:r>
      <w:r w:rsidR="000C1B74" w:rsidRPr="00D902B5">
        <w:fldChar w:fldCharType="separate"/>
      </w:r>
      <w:r w:rsidR="00CA314A">
        <w:t>09 281 2130</w:t>
      </w:r>
      <w:r w:rsidR="000C1B74" w:rsidRPr="00D902B5">
        <w:fldChar w:fldCharType="end"/>
      </w:r>
    </w:p>
    <w:p w:rsidR="005353C2" w:rsidRPr="00D902B5" w:rsidRDefault="005353C2" w:rsidP="00E81D14">
      <w:pPr>
        <w:pStyle w:val="UnnumtextBodytext"/>
        <w:tabs>
          <w:tab w:val="left" w:pos="2268"/>
        </w:tabs>
      </w:pPr>
      <w:r w:rsidRPr="00D902B5">
        <w:t>Mobile:</w:t>
      </w:r>
      <w:r w:rsidRPr="00D902B5">
        <w:tab/>
      </w:r>
      <w:r w:rsidR="000C1B74" w:rsidRPr="00D902B5">
        <w:fldChar w:fldCharType="begin"/>
      </w:r>
      <w:r w:rsidR="00A715AA" w:rsidRPr="00D902B5">
        <w:instrText xml:space="preserve"> DOCVARIABLE  rptMobile </w:instrText>
      </w:r>
      <w:r w:rsidR="000C1B74" w:rsidRPr="00D902B5">
        <w:fldChar w:fldCharType="separate"/>
      </w:r>
      <w:r w:rsidR="00CA314A">
        <w:t>021 107 1141</w:t>
      </w:r>
      <w:r w:rsidR="000C1B74" w:rsidRPr="00D902B5">
        <w:fldChar w:fldCharType="end"/>
      </w:r>
    </w:p>
    <w:p w:rsidR="005353C2" w:rsidRPr="00D902B5" w:rsidRDefault="005353C2" w:rsidP="00E81D14">
      <w:pPr>
        <w:pStyle w:val="UnnumtextBodytext"/>
        <w:tabs>
          <w:tab w:val="left" w:pos="2268"/>
        </w:tabs>
      </w:pPr>
      <w:r w:rsidRPr="00D902B5">
        <w:t>Email:</w:t>
      </w:r>
      <w:r w:rsidRPr="00D902B5">
        <w:tab/>
      </w:r>
      <w:r w:rsidR="000C1B74" w:rsidRPr="00D902B5">
        <w:fldChar w:fldCharType="begin"/>
      </w:r>
      <w:r w:rsidR="00A715AA" w:rsidRPr="00D902B5">
        <w:instrText xml:space="preserve"> DOCVARIABLE  rptEmail </w:instrText>
      </w:r>
      <w:r w:rsidR="000C1B74" w:rsidRPr="00D902B5">
        <w:fldChar w:fldCharType="separate"/>
      </w:r>
      <w:r w:rsidR="00CA314A">
        <w:t>gblick@srgexpert.com</w:t>
      </w:r>
      <w:r w:rsidR="000C1B74" w:rsidRPr="00D902B5">
        <w:fldChar w:fldCharType="end"/>
      </w:r>
    </w:p>
    <w:p w:rsidR="005353C2" w:rsidRPr="00D902B5" w:rsidRDefault="005353C2" w:rsidP="00567123">
      <w:pPr>
        <w:pStyle w:val="UnnumtextBodytext"/>
      </w:pPr>
    </w:p>
    <w:p w:rsidR="005353C2" w:rsidRPr="005353C2" w:rsidRDefault="005353C2" w:rsidP="00567123">
      <w:pPr>
        <w:pStyle w:val="UnnumtextBodytext"/>
        <w:sectPr w:rsidR="005353C2" w:rsidRPr="005353C2" w:rsidSect="00295845">
          <w:headerReference w:type="even" r:id="rId11"/>
          <w:headerReference w:type="default" r:id="rId12"/>
          <w:footerReference w:type="even" r:id="rId13"/>
          <w:footerReference w:type="default" r:id="rId14"/>
          <w:headerReference w:type="first" r:id="rId15"/>
          <w:endnotePr>
            <w:numFmt w:val="decimal"/>
          </w:endnotePr>
          <w:type w:val="oddPage"/>
          <w:pgSz w:w="11907" w:h="16840" w:code="9"/>
          <w:pgMar w:top="2268" w:right="1985" w:bottom="1701" w:left="1985" w:header="737" w:footer="454" w:gutter="0"/>
          <w:pgNumType w:fmt="lowerRoman" w:start="1"/>
          <w:cols w:space="720"/>
          <w:docGrid w:linePitch="299"/>
        </w:sectPr>
      </w:pPr>
    </w:p>
    <w:p w:rsidR="008C4CC8" w:rsidRDefault="008C4CC8" w:rsidP="002969B7">
      <w:pPr>
        <w:pStyle w:val="Heading-contents"/>
      </w:pPr>
      <w:r>
        <w:lastRenderedPageBreak/>
        <w:t>Contents</w:t>
      </w:r>
    </w:p>
    <w:p w:rsidR="00CA314A" w:rsidRDefault="003A13FF">
      <w:pPr>
        <w:pStyle w:val="TOC1"/>
        <w:rPr>
          <w:rFonts w:asciiTheme="minorHAnsi" w:eastAsiaTheme="minorEastAsia" w:hAnsiTheme="minorHAnsi" w:cstheme="minorBidi"/>
          <w:b w:val="0"/>
          <w:noProof/>
          <w:szCs w:val="22"/>
        </w:rPr>
      </w:pPr>
      <w:r>
        <w:fldChar w:fldCharType="begin"/>
      </w:r>
      <w:r>
        <w:instrText xml:space="preserve"> TOC \o "1-3" \h \z </w:instrText>
      </w:r>
      <w:r>
        <w:fldChar w:fldCharType="separate"/>
      </w:r>
      <w:hyperlink w:anchor="_Toc423945902" w:history="1">
        <w:r w:rsidR="00CA314A" w:rsidRPr="00551097">
          <w:rPr>
            <w:rStyle w:val="Hyperlink"/>
            <w:noProof/>
          </w:rPr>
          <w:t>Executive summary</w:t>
        </w:r>
        <w:r w:rsidR="00CA314A">
          <w:rPr>
            <w:noProof/>
            <w:webHidden/>
          </w:rPr>
          <w:tab/>
        </w:r>
        <w:r w:rsidR="00CA314A">
          <w:rPr>
            <w:noProof/>
            <w:webHidden/>
          </w:rPr>
          <w:fldChar w:fldCharType="begin"/>
        </w:r>
        <w:r w:rsidR="00CA314A">
          <w:rPr>
            <w:noProof/>
            <w:webHidden/>
          </w:rPr>
          <w:instrText xml:space="preserve"> PAGEREF _Toc423945902 \h </w:instrText>
        </w:r>
        <w:r w:rsidR="00CA314A">
          <w:rPr>
            <w:noProof/>
            <w:webHidden/>
          </w:rPr>
        </w:r>
        <w:r w:rsidR="00CA314A">
          <w:rPr>
            <w:noProof/>
            <w:webHidden/>
          </w:rPr>
          <w:fldChar w:fldCharType="separate"/>
        </w:r>
        <w:r w:rsidR="00CA314A">
          <w:rPr>
            <w:noProof/>
            <w:webHidden/>
          </w:rPr>
          <w:t>1</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03" w:history="1">
        <w:r w:rsidR="00CA314A" w:rsidRPr="00551097">
          <w:rPr>
            <w:rStyle w:val="Hyperlink"/>
            <w:noProof/>
          </w:rPr>
          <w:t>1.</w:t>
        </w:r>
        <w:r w:rsidR="00CA314A">
          <w:rPr>
            <w:rFonts w:asciiTheme="minorHAnsi" w:eastAsiaTheme="minorEastAsia" w:hAnsiTheme="minorHAnsi" w:cstheme="minorBidi"/>
            <w:b w:val="0"/>
            <w:noProof/>
            <w:szCs w:val="22"/>
          </w:rPr>
          <w:tab/>
        </w:r>
        <w:r w:rsidR="00CA314A" w:rsidRPr="00551097">
          <w:rPr>
            <w:rStyle w:val="Hyperlink"/>
            <w:noProof/>
          </w:rPr>
          <w:t>Purpose and focus of the review</w:t>
        </w:r>
        <w:r w:rsidR="00CA314A">
          <w:rPr>
            <w:noProof/>
            <w:webHidden/>
          </w:rPr>
          <w:tab/>
        </w:r>
        <w:r w:rsidR="00CA314A">
          <w:rPr>
            <w:noProof/>
            <w:webHidden/>
          </w:rPr>
          <w:fldChar w:fldCharType="begin"/>
        </w:r>
        <w:r w:rsidR="00CA314A">
          <w:rPr>
            <w:noProof/>
            <w:webHidden/>
          </w:rPr>
          <w:instrText xml:space="preserve"> PAGEREF _Toc423945903 \h </w:instrText>
        </w:r>
        <w:r w:rsidR="00CA314A">
          <w:rPr>
            <w:noProof/>
            <w:webHidden/>
          </w:rPr>
        </w:r>
        <w:r w:rsidR="00CA314A">
          <w:rPr>
            <w:noProof/>
            <w:webHidden/>
          </w:rPr>
          <w:fldChar w:fldCharType="separate"/>
        </w:r>
        <w:r w:rsidR="00CA314A">
          <w:rPr>
            <w:noProof/>
            <w:webHidden/>
          </w:rPr>
          <w:t>4</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04" w:history="1">
        <w:r w:rsidR="00CA314A" w:rsidRPr="00551097">
          <w:rPr>
            <w:rStyle w:val="Hyperlink"/>
            <w:noProof/>
          </w:rPr>
          <w:t>1.1</w:t>
        </w:r>
        <w:r w:rsidR="00CA314A">
          <w:rPr>
            <w:rFonts w:asciiTheme="minorHAnsi" w:eastAsiaTheme="minorEastAsia" w:hAnsiTheme="minorHAnsi" w:cstheme="minorBidi"/>
            <w:noProof/>
            <w:szCs w:val="22"/>
          </w:rPr>
          <w:tab/>
        </w:r>
        <w:r w:rsidR="00CA314A" w:rsidRPr="00551097">
          <w:rPr>
            <w:rStyle w:val="Hyperlink"/>
            <w:noProof/>
          </w:rPr>
          <w:t>Purpose of the review</w:t>
        </w:r>
        <w:r w:rsidR="00CA314A">
          <w:rPr>
            <w:noProof/>
            <w:webHidden/>
          </w:rPr>
          <w:tab/>
        </w:r>
        <w:r w:rsidR="00CA314A">
          <w:rPr>
            <w:noProof/>
            <w:webHidden/>
          </w:rPr>
          <w:fldChar w:fldCharType="begin"/>
        </w:r>
        <w:r w:rsidR="00CA314A">
          <w:rPr>
            <w:noProof/>
            <w:webHidden/>
          </w:rPr>
          <w:instrText xml:space="preserve"> PAGEREF _Toc423945904 \h </w:instrText>
        </w:r>
        <w:r w:rsidR="00CA314A">
          <w:rPr>
            <w:noProof/>
            <w:webHidden/>
          </w:rPr>
        </w:r>
        <w:r w:rsidR="00CA314A">
          <w:rPr>
            <w:noProof/>
            <w:webHidden/>
          </w:rPr>
          <w:fldChar w:fldCharType="separate"/>
        </w:r>
        <w:r w:rsidR="00CA314A">
          <w:rPr>
            <w:noProof/>
            <w:webHidden/>
          </w:rPr>
          <w:t>4</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05" w:history="1">
        <w:r w:rsidR="00CA314A" w:rsidRPr="00551097">
          <w:rPr>
            <w:rStyle w:val="Hyperlink"/>
            <w:noProof/>
          </w:rPr>
          <w:t>1.2</w:t>
        </w:r>
        <w:r w:rsidR="00CA314A">
          <w:rPr>
            <w:rFonts w:asciiTheme="minorHAnsi" w:eastAsiaTheme="minorEastAsia" w:hAnsiTheme="minorHAnsi" w:cstheme="minorBidi"/>
            <w:noProof/>
            <w:szCs w:val="22"/>
          </w:rPr>
          <w:tab/>
        </w:r>
        <w:r w:rsidR="00CA314A" w:rsidRPr="00551097">
          <w:rPr>
            <w:rStyle w:val="Hyperlink"/>
            <w:noProof/>
          </w:rPr>
          <w:t>Focus of the review</w:t>
        </w:r>
        <w:r w:rsidR="00CA314A">
          <w:rPr>
            <w:noProof/>
            <w:webHidden/>
          </w:rPr>
          <w:tab/>
        </w:r>
        <w:r w:rsidR="00CA314A">
          <w:rPr>
            <w:noProof/>
            <w:webHidden/>
          </w:rPr>
          <w:fldChar w:fldCharType="begin"/>
        </w:r>
        <w:r w:rsidR="00CA314A">
          <w:rPr>
            <w:noProof/>
            <w:webHidden/>
          </w:rPr>
          <w:instrText xml:space="preserve"> PAGEREF _Toc423945905 \h </w:instrText>
        </w:r>
        <w:r w:rsidR="00CA314A">
          <w:rPr>
            <w:noProof/>
            <w:webHidden/>
          </w:rPr>
        </w:r>
        <w:r w:rsidR="00CA314A">
          <w:rPr>
            <w:noProof/>
            <w:webHidden/>
          </w:rPr>
          <w:fldChar w:fldCharType="separate"/>
        </w:r>
        <w:r w:rsidR="00CA314A">
          <w:rPr>
            <w:noProof/>
            <w:webHidden/>
          </w:rPr>
          <w:t>4</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06" w:history="1">
        <w:r w:rsidR="00CA314A" w:rsidRPr="00551097">
          <w:rPr>
            <w:rStyle w:val="Hyperlink"/>
            <w:noProof/>
          </w:rPr>
          <w:t>1.3</w:t>
        </w:r>
        <w:r w:rsidR="00CA314A">
          <w:rPr>
            <w:rFonts w:asciiTheme="minorHAnsi" w:eastAsiaTheme="minorEastAsia" w:hAnsiTheme="minorHAnsi" w:cstheme="minorBidi"/>
            <w:noProof/>
            <w:szCs w:val="22"/>
          </w:rPr>
          <w:tab/>
        </w:r>
        <w:r w:rsidR="00CA314A" w:rsidRPr="00551097">
          <w:rPr>
            <w:rStyle w:val="Hyperlink"/>
            <w:noProof/>
          </w:rPr>
          <w:t>Structure of this report</w:t>
        </w:r>
        <w:r w:rsidR="00CA314A">
          <w:rPr>
            <w:noProof/>
            <w:webHidden/>
          </w:rPr>
          <w:tab/>
        </w:r>
        <w:r w:rsidR="00CA314A">
          <w:rPr>
            <w:noProof/>
            <w:webHidden/>
          </w:rPr>
          <w:fldChar w:fldCharType="begin"/>
        </w:r>
        <w:r w:rsidR="00CA314A">
          <w:rPr>
            <w:noProof/>
            <w:webHidden/>
          </w:rPr>
          <w:instrText xml:space="preserve"> PAGEREF _Toc423945906 \h </w:instrText>
        </w:r>
        <w:r w:rsidR="00CA314A">
          <w:rPr>
            <w:noProof/>
            <w:webHidden/>
          </w:rPr>
        </w:r>
        <w:r w:rsidR="00CA314A">
          <w:rPr>
            <w:noProof/>
            <w:webHidden/>
          </w:rPr>
          <w:fldChar w:fldCharType="separate"/>
        </w:r>
        <w:r w:rsidR="00CA314A">
          <w:rPr>
            <w:noProof/>
            <w:webHidden/>
          </w:rPr>
          <w:t>4</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07" w:history="1">
        <w:r w:rsidR="00CA314A" w:rsidRPr="00551097">
          <w:rPr>
            <w:rStyle w:val="Hyperlink"/>
            <w:noProof/>
          </w:rPr>
          <w:t>2.</w:t>
        </w:r>
        <w:r w:rsidR="00CA314A">
          <w:rPr>
            <w:rFonts w:asciiTheme="minorHAnsi" w:eastAsiaTheme="minorEastAsia" w:hAnsiTheme="minorHAnsi" w:cstheme="minorBidi"/>
            <w:b w:val="0"/>
            <w:noProof/>
            <w:szCs w:val="22"/>
          </w:rPr>
          <w:tab/>
        </w:r>
        <w:r w:rsidR="00CA314A" w:rsidRPr="00551097">
          <w:rPr>
            <w:rStyle w:val="Hyperlink"/>
            <w:noProof/>
          </w:rPr>
          <w:t>Overview of the services</w:t>
        </w:r>
        <w:r w:rsidR="00CA314A">
          <w:rPr>
            <w:noProof/>
            <w:webHidden/>
          </w:rPr>
          <w:tab/>
        </w:r>
        <w:r w:rsidR="00CA314A">
          <w:rPr>
            <w:noProof/>
            <w:webHidden/>
          </w:rPr>
          <w:fldChar w:fldCharType="begin"/>
        </w:r>
        <w:r w:rsidR="00CA314A">
          <w:rPr>
            <w:noProof/>
            <w:webHidden/>
          </w:rPr>
          <w:instrText xml:space="preserve"> PAGEREF _Toc423945907 \h </w:instrText>
        </w:r>
        <w:r w:rsidR="00CA314A">
          <w:rPr>
            <w:noProof/>
            <w:webHidden/>
          </w:rPr>
        </w:r>
        <w:r w:rsidR="00CA314A">
          <w:rPr>
            <w:noProof/>
            <w:webHidden/>
          </w:rPr>
          <w:fldChar w:fldCharType="separate"/>
        </w:r>
        <w:r w:rsidR="00CA314A">
          <w:rPr>
            <w:noProof/>
            <w:webHidden/>
          </w:rPr>
          <w:t>7</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08" w:history="1">
        <w:r w:rsidR="00CA314A" w:rsidRPr="00551097">
          <w:rPr>
            <w:rStyle w:val="Hyperlink"/>
            <w:noProof/>
          </w:rPr>
          <w:t>2.1</w:t>
        </w:r>
        <w:r w:rsidR="00CA314A">
          <w:rPr>
            <w:rFonts w:asciiTheme="minorHAnsi" w:eastAsiaTheme="minorEastAsia" w:hAnsiTheme="minorHAnsi" w:cstheme="minorBidi"/>
            <w:noProof/>
            <w:szCs w:val="22"/>
          </w:rPr>
          <w:tab/>
        </w:r>
        <w:r w:rsidR="00CA314A" w:rsidRPr="00551097">
          <w:rPr>
            <w:rStyle w:val="Hyperlink"/>
            <w:noProof/>
          </w:rPr>
          <w:t>Background and components</w:t>
        </w:r>
        <w:r w:rsidR="00CA314A">
          <w:rPr>
            <w:noProof/>
            <w:webHidden/>
          </w:rPr>
          <w:tab/>
        </w:r>
        <w:r w:rsidR="00CA314A">
          <w:rPr>
            <w:noProof/>
            <w:webHidden/>
          </w:rPr>
          <w:fldChar w:fldCharType="begin"/>
        </w:r>
        <w:r w:rsidR="00CA314A">
          <w:rPr>
            <w:noProof/>
            <w:webHidden/>
          </w:rPr>
          <w:instrText xml:space="preserve"> PAGEREF _Toc423945908 \h </w:instrText>
        </w:r>
        <w:r w:rsidR="00CA314A">
          <w:rPr>
            <w:noProof/>
            <w:webHidden/>
          </w:rPr>
        </w:r>
        <w:r w:rsidR="00CA314A">
          <w:rPr>
            <w:noProof/>
            <w:webHidden/>
          </w:rPr>
          <w:fldChar w:fldCharType="separate"/>
        </w:r>
        <w:r w:rsidR="00CA314A">
          <w:rPr>
            <w:noProof/>
            <w:webHidden/>
          </w:rPr>
          <w:t>7</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09" w:history="1">
        <w:r w:rsidR="00CA314A" w:rsidRPr="00551097">
          <w:rPr>
            <w:rStyle w:val="Hyperlink"/>
            <w:noProof/>
          </w:rPr>
          <w:t>2.2</w:t>
        </w:r>
        <w:r w:rsidR="00CA314A">
          <w:rPr>
            <w:rFonts w:asciiTheme="minorHAnsi" w:eastAsiaTheme="minorEastAsia" w:hAnsiTheme="minorHAnsi" w:cstheme="minorBidi"/>
            <w:noProof/>
            <w:szCs w:val="22"/>
          </w:rPr>
          <w:tab/>
        </w:r>
        <w:r w:rsidR="00CA314A" w:rsidRPr="00551097">
          <w:rPr>
            <w:rStyle w:val="Hyperlink"/>
            <w:noProof/>
          </w:rPr>
          <w:t>Funding</w:t>
        </w:r>
        <w:r w:rsidR="00CA314A">
          <w:rPr>
            <w:noProof/>
            <w:webHidden/>
          </w:rPr>
          <w:tab/>
        </w:r>
        <w:r w:rsidR="00CA314A">
          <w:rPr>
            <w:noProof/>
            <w:webHidden/>
          </w:rPr>
          <w:fldChar w:fldCharType="begin"/>
        </w:r>
        <w:r w:rsidR="00CA314A">
          <w:rPr>
            <w:noProof/>
            <w:webHidden/>
          </w:rPr>
          <w:instrText xml:space="preserve"> PAGEREF _Toc423945909 \h </w:instrText>
        </w:r>
        <w:r w:rsidR="00CA314A">
          <w:rPr>
            <w:noProof/>
            <w:webHidden/>
          </w:rPr>
        </w:r>
        <w:r w:rsidR="00CA314A">
          <w:rPr>
            <w:noProof/>
            <w:webHidden/>
          </w:rPr>
          <w:fldChar w:fldCharType="separate"/>
        </w:r>
        <w:r w:rsidR="00CA314A">
          <w:rPr>
            <w:noProof/>
            <w:webHidden/>
          </w:rPr>
          <w:t>8</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10" w:history="1">
        <w:r w:rsidR="00CA314A" w:rsidRPr="00551097">
          <w:rPr>
            <w:rStyle w:val="Hyperlink"/>
            <w:noProof/>
          </w:rPr>
          <w:t>3.</w:t>
        </w:r>
        <w:r w:rsidR="00CA314A">
          <w:rPr>
            <w:rFonts w:asciiTheme="minorHAnsi" w:eastAsiaTheme="minorEastAsia" w:hAnsiTheme="minorHAnsi" w:cstheme="minorBidi"/>
            <w:b w:val="0"/>
            <w:noProof/>
            <w:szCs w:val="22"/>
          </w:rPr>
          <w:tab/>
        </w:r>
        <w:r w:rsidR="00CA314A" w:rsidRPr="00551097">
          <w:rPr>
            <w:rStyle w:val="Hyperlink"/>
            <w:noProof/>
          </w:rPr>
          <w:t>Our approach to the review</w:t>
        </w:r>
        <w:r w:rsidR="00CA314A">
          <w:rPr>
            <w:noProof/>
            <w:webHidden/>
          </w:rPr>
          <w:tab/>
        </w:r>
        <w:r w:rsidR="00CA314A">
          <w:rPr>
            <w:noProof/>
            <w:webHidden/>
          </w:rPr>
          <w:fldChar w:fldCharType="begin"/>
        </w:r>
        <w:r w:rsidR="00CA314A">
          <w:rPr>
            <w:noProof/>
            <w:webHidden/>
          </w:rPr>
          <w:instrText xml:space="preserve"> PAGEREF _Toc423945910 \h </w:instrText>
        </w:r>
        <w:r w:rsidR="00CA314A">
          <w:rPr>
            <w:noProof/>
            <w:webHidden/>
          </w:rPr>
        </w:r>
        <w:r w:rsidR="00CA314A">
          <w:rPr>
            <w:noProof/>
            <w:webHidden/>
          </w:rPr>
          <w:fldChar w:fldCharType="separate"/>
        </w:r>
        <w:r w:rsidR="00CA314A">
          <w:rPr>
            <w:noProof/>
            <w:webHidden/>
          </w:rPr>
          <w:t>9</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11" w:history="1">
        <w:r w:rsidR="00CA314A" w:rsidRPr="00551097">
          <w:rPr>
            <w:rStyle w:val="Hyperlink"/>
            <w:noProof/>
          </w:rPr>
          <w:t>3.1</w:t>
        </w:r>
        <w:r w:rsidR="00CA314A">
          <w:rPr>
            <w:rFonts w:asciiTheme="minorHAnsi" w:eastAsiaTheme="minorEastAsia" w:hAnsiTheme="minorHAnsi" w:cstheme="minorBidi"/>
            <w:noProof/>
            <w:szCs w:val="22"/>
          </w:rPr>
          <w:tab/>
        </w:r>
        <w:r w:rsidR="00CA314A" w:rsidRPr="00551097">
          <w:rPr>
            <w:rStyle w:val="Hyperlink"/>
            <w:noProof/>
          </w:rPr>
          <w:t>Qualitative approaches</w:t>
        </w:r>
        <w:r w:rsidR="00CA314A">
          <w:rPr>
            <w:noProof/>
            <w:webHidden/>
          </w:rPr>
          <w:tab/>
        </w:r>
        <w:r w:rsidR="00CA314A">
          <w:rPr>
            <w:noProof/>
            <w:webHidden/>
          </w:rPr>
          <w:fldChar w:fldCharType="begin"/>
        </w:r>
        <w:r w:rsidR="00CA314A">
          <w:rPr>
            <w:noProof/>
            <w:webHidden/>
          </w:rPr>
          <w:instrText xml:space="preserve"> PAGEREF _Toc423945911 \h </w:instrText>
        </w:r>
        <w:r w:rsidR="00CA314A">
          <w:rPr>
            <w:noProof/>
            <w:webHidden/>
          </w:rPr>
        </w:r>
        <w:r w:rsidR="00CA314A">
          <w:rPr>
            <w:noProof/>
            <w:webHidden/>
          </w:rPr>
          <w:fldChar w:fldCharType="separate"/>
        </w:r>
        <w:r w:rsidR="00CA314A">
          <w:rPr>
            <w:noProof/>
            <w:webHidden/>
          </w:rPr>
          <w:t>9</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12" w:history="1">
        <w:r w:rsidR="00CA314A" w:rsidRPr="00551097">
          <w:rPr>
            <w:rStyle w:val="Hyperlink"/>
            <w:noProof/>
          </w:rPr>
          <w:t>3.1.1</w:t>
        </w:r>
        <w:r w:rsidR="00CA314A">
          <w:rPr>
            <w:rFonts w:asciiTheme="minorHAnsi" w:eastAsiaTheme="minorEastAsia" w:hAnsiTheme="minorHAnsi" w:cstheme="minorBidi"/>
            <w:noProof/>
            <w:szCs w:val="22"/>
            <w:lang w:val="en-NZ" w:eastAsia="en-NZ"/>
          </w:rPr>
          <w:tab/>
        </w:r>
        <w:r w:rsidR="00CA314A" w:rsidRPr="00551097">
          <w:rPr>
            <w:rStyle w:val="Hyperlink"/>
            <w:noProof/>
          </w:rPr>
          <w:t>Stakeholder interviews</w:t>
        </w:r>
        <w:r w:rsidR="00CA314A">
          <w:rPr>
            <w:noProof/>
            <w:webHidden/>
          </w:rPr>
          <w:tab/>
        </w:r>
        <w:r w:rsidR="00CA314A">
          <w:rPr>
            <w:noProof/>
            <w:webHidden/>
          </w:rPr>
          <w:fldChar w:fldCharType="begin"/>
        </w:r>
        <w:r w:rsidR="00CA314A">
          <w:rPr>
            <w:noProof/>
            <w:webHidden/>
          </w:rPr>
          <w:instrText xml:space="preserve"> PAGEREF _Toc423945912 \h </w:instrText>
        </w:r>
        <w:r w:rsidR="00CA314A">
          <w:rPr>
            <w:noProof/>
            <w:webHidden/>
          </w:rPr>
        </w:r>
        <w:r w:rsidR="00CA314A">
          <w:rPr>
            <w:noProof/>
            <w:webHidden/>
          </w:rPr>
          <w:fldChar w:fldCharType="separate"/>
        </w:r>
        <w:r w:rsidR="00CA314A">
          <w:rPr>
            <w:noProof/>
            <w:webHidden/>
          </w:rPr>
          <w:t>9</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13" w:history="1">
        <w:r w:rsidR="00CA314A" w:rsidRPr="00551097">
          <w:rPr>
            <w:rStyle w:val="Hyperlink"/>
            <w:noProof/>
          </w:rPr>
          <w:t>3.1.2</w:t>
        </w:r>
        <w:r w:rsidR="00CA314A">
          <w:rPr>
            <w:rFonts w:asciiTheme="minorHAnsi" w:eastAsiaTheme="minorEastAsia" w:hAnsiTheme="minorHAnsi" w:cstheme="minorBidi"/>
            <w:noProof/>
            <w:szCs w:val="22"/>
            <w:lang w:val="en-NZ" w:eastAsia="en-NZ"/>
          </w:rPr>
          <w:tab/>
        </w:r>
        <w:r w:rsidR="00CA314A" w:rsidRPr="00551097">
          <w:rPr>
            <w:rStyle w:val="Hyperlink"/>
            <w:noProof/>
          </w:rPr>
          <w:t>Sampling patient views</w:t>
        </w:r>
        <w:r w:rsidR="00CA314A">
          <w:rPr>
            <w:noProof/>
            <w:webHidden/>
          </w:rPr>
          <w:tab/>
        </w:r>
        <w:r w:rsidR="00CA314A">
          <w:rPr>
            <w:noProof/>
            <w:webHidden/>
          </w:rPr>
          <w:fldChar w:fldCharType="begin"/>
        </w:r>
        <w:r w:rsidR="00CA314A">
          <w:rPr>
            <w:noProof/>
            <w:webHidden/>
          </w:rPr>
          <w:instrText xml:space="preserve"> PAGEREF _Toc423945913 \h </w:instrText>
        </w:r>
        <w:r w:rsidR="00CA314A">
          <w:rPr>
            <w:noProof/>
            <w:webHidden/>
          </w:rPr>
        </w:r>
        <w:r w:rsidR="00CA314A">
          <w:rPr>
            <w:noProof/>
            <w:webHidden/>
          </w:rPr>
          <w:fldChar w:fldCharType="separate"/>
        </w:r>
        <w:r w:rsidR="00CA314A">
          <w:rPr>
            <w:noProof/>
            <w:webHidden/>
          </w:rPr>
          <w:t>11</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14" w:history="1">
        <w:r w:rsidR="00CA314A" w:rsidRPr="00551097">
          <w:rPr>
            <w:rStyle w:val="Hyperlink"/>
            <w:noProof/>
          </w:rPr>
          <w:t>3.2</w:t>
        </w:r>
        <w:r w:rsidR="00CA314A">
          <w:rPr>
            <w:rFonts w:asciiTheme="minorHAnsi" w:eastAsiaTheme="minorEastAsia" w:hAnsiTheme="minorHAnsi" w:cstheme="minorBidi"/>
            <w:noProof/>
            <w:szCs w:val="22"/>
          </w:rPr>
          <w:tab/>
        </w:r>
        <w:r w:rsidR="00CA314A" w:rsidRPr="00551097">
          <w:rPr>
            <w:rStyle w:val="Hyperlink"/>
            <w:noProof/>
          </w:rPr>
          <w:t>Quantitative approaches</w:t>
        </w:r>
        <w:r w:rsidR="00CA314A">
          <w:rPr>
            <w:noProof/>
            <w:webHidden/>
          </w:rPr>
          <w:tab/>
        </w:r>
        <w:r w:rsidR="00CA314A">
          <w:rPr>
            <w:noProof/>
            <w:webHidden/>
          </w:rPr>
          <w:fldChar w:fldCharType="begin"/>
        </w:r>
        <w:r w:rsidR="00CA314A">
          <w:rPr>
            <w:noProof/>
            <w:webHidden/>
          </w:rPr>
          <w:instrText xml:space="preserve"> PAGEREF _Toc423945914 \h </w:instrText>
        </w:r>
        <w:r w:rsidR="00CA314A">
          <w:rPr>
            <w:noProof/>
            <w:webHidden/>
          </w:rPr>
        </w:r>
        <w:r w:rsidR="00CA314A">
          <w:rPr>
            <w:noProof/>
            <w:webHidden/>
          </w:rPr>
          <w:fldChar w:fldCharType="separate"/>
        </w:r>
        <w:r w:rsidR="00CA314A">
          <w:rPr>
            <w:noProof/>
            <w:webHidden/>
          </w:rPr>
          <w:t>12</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15" w:history="1">
        <w:r w:rsidR="00CA314A" w:rsidRPr="00551097">
          <w:rPr>
            <w:rStyle w:val="Hyperlink"/>
            <w:noProof/>
          </w:rPr>
          <w:t>3.2.1</w:t>
        </w:r>
        <w:r w:rsidR="00CA314A">
          <w:rPr>
            <w:rFonts w:asciiTheme="minorHAnsi" w:eastAsiaTheme="minorEastAsia" w:hAnsiTheme="minorHAnsi" w:cstheme="minorBidi"/>
            <w:noProof/>
            <w:szCs w:val="22"/>
            <w:lang w:val="en-NZ" w:eastAsia="en-NZ"/>
          </w:rPr>
          <w:tab/>
        </w:r>
        <w:r w:rsidR="00CA314A" w:rsidRPr="00551097">
          <w:rPr>
            <w:rStyle w:val="Hyperlink"/>
            <w:noProof/>
          </w:rPr>
          <w:t>Service volume analysis</w:t>
        </w:r>
        <w:r w:rsidR="00CA314A">
          <w:rPr>
            <w:noProof/>
            <w:webHidden/>
          </w:rPr>
          <w:tab/>
        </w:r>
        <w:r w:rsidR="00CA314A">
          <w:rPr>
            <w:noProof/>
            <w:webHidden/>
          </w:rPr>
          <w:fldChar w:fldCharType="begin"/>
        </w:r>
        <w:r w:rsidR="00CA314A">
          <w:rPr>
            <w:noProof/>
            <w:webHidden/>
          </w:rPr>
          <w:instrText xml:space="preserve"> PAGEREF _Toc423945915 \h </w:instrText>
        </w:r>
        <w:r w:rsidR="00CA314A">
          <w:rPr>
            <w:noProof/>
            <w:webHidden/>
          </w:rPr>
        </w:r>
        <w:r w:rsidR="00CA314A">
          <w:rPr>
            <w:noProof/>
            <w:webHidden/>
          </w:rPr>
          <w:fldChar w:fldCharType="separate"/>
        </w:r>
        <w:r w:rsidR="00CA314A">
          <w:rPr>
            <w:noProof/>
            <w:webHidden/>
          </w:rPr>
          <w:t>12</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16" w:history="1">
        <w:r w:rsidR="00CA314A" w:rsidRPr="00551097">
          <w:rPr>
            <w:rStyle w:val="Hyperlink"/>
            <w:noProof/>
          </w:rPr>
          <w:t>3.2.2</w:t>
        </w:r>
        <w:r w:rsidR="00CA314A">
          <w:rPr>
            <w:rFonts w:asciiTheme="minorHAnsi" w:eastAsiaTheme="minorEastAsia" w:hAnsiTheme="minorHAnsi" w:cstheme="minorBidi"/>
            <w:noProof/>
            <w:szCs w:val="22"/>
            <w:lang w:val="en-NZ" w:eastAsia="en-NZ"/>
          </w:rPr>
          <w:tab/>
        </w:r>
        <w:r w:rsidR="00CA314A" w:rsidRPr="00551097">
          <w:rPr>
            <w:rStyle w:val="Hyperlink"/>
            <w:noProof/>
          </w:rPr>
          <w:t>Economic analysis</w:t>
        </w:r>
        <w:r w:rsidR="00CA314A">
          <w:rPr>
            <w:noProof/>
            <w:webHidden/>
          </w:rPr>
          <w:tab/>
        </w:r>
        <w:r w:rsidR="00CA314A">
          <w:rPr>
            <w:noProof/>
            <w:webHidden/>
          </w:rPr>
          <w:fldChar w:fldCharType="begin"/>
        </w:r>
        <w:r w:rsidR="00CA314A">
          <w:rPr>
            <w:noProof/>
            <w:webHidden/>
          </w:rPr>
          <w:instrText xml:space="preserve"> PAGEREF _Toc423945916 \h </w:instrText>
        </w:r>
        <w:r w:rsidR="00CA314A">
          <w:rPr>
            <w:noProof/>
            <w:webHidden/>
          </w:rPr>
        </w:r>
        <w:r w:rsidR="00CA314A">
          <w:rPr>
            <w:noProof/>
            <w:webHidden/>
          </w:rPr>
          <w:fldChar w:fldCharType="separate"/>
        </w:r>
        <w:r w:rsidR="00CA314A">
          <w:rPr>
            <w:noProof/>
            <w:webHidden/>
          </w:rPr>
          <w:t>12</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17" w:history="1">
        <w:r w:rsidR="00CA314A" w:rsidRPr="00551097">
          <w:rPr>
            <w:rStyle w:val="Hyperlink"/>
            <w:noProof/>
          </w:rPr>
          <w:t>4.</w:t>
        </w:r>
        <w:r w:rsidR="00CA314A">
          <w:rPr>
            <w:rFonts w:asciiTheme="minorHAnsi" w:eastAsiaTheme="minorEastAsia" w:hAnsiTheme="minorHAnsi" w:cstheme="minorBidi"/>
            <w:b w:val="0"/>
            <w:noProof/>
            <w:szCs w:val="22"/>
          </w:rPr>
          <w:tab/>
        </w:r>
        <w:r w:rsidR="00CA314A" w:rsidRPr="00551097">
          <w:rPr>
            <w:rStyle w:val="Hyperlink"/>
            <w:noProof/>
          </w:rPr>
          <w:t>Mobile surgery – service impacts</w:t>
        </w:r>
        <w:r w:rsidR="00CA314A">
          <w:rPr>
            <w:noProof/>
            <w:webHidden/>
          </w:rPr>
          <w:tab/>
        </w:r>
        <w:r w:rsidR="00CA314A">
          <w:rPr>
            <w:noProof/>
            <w:webHidden/>
          </w:rPr>
          <w:fldChar w:fldCharType="begin"/>
        </w:r>
        <w:r w:rsidR="00CA314A">
          <w:rPr>
            <w:noProof/>
            <w:webHidden/>
          </w:rPr>
          <w:instrText xml:space="preserve"> PAGEREF _Toc423945917 \h </w:instrText>
        </w:r>
        <w:r w:rsidR="00CA314A">
          <w:rPr>
            <w:noProof/>
            <w:webHidden/>
          </w:rPr>
        </w:r>
        <w:r w:rsidR="00CA314A">
          <w:rPr>
            <w:noProof/>
            <w:webHidden/>
          </w:rPr>
          <w:fldChar w:fldCharType="separate"/>
        </w:r>
        <w:r w:rsidR="00CA314A">
          <w:rPr>
            <w:noProof/>
            <w:webHidden/>
          </w:rPr>
          <w:t>13</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18" w:history="1">
        <w:r w:rsidR="00CA314A" w:rsidRPr="00551097">
          <w:rPr>
            <w:rStyle w:val="Hyperlink"/>
            <w:noProof/>
          </w:rPr>
          <w:t>4.1</w:t>
        </w:r>
        <w:r w:rsidR="00CA314A">
          <w:rPr>
            <w:rFonts w:asciiTheme="minorHAnsi" w:eastAsiaTheme="minorEastAsia" w:hAnsiTheme="minorHAnsi" w:cstheme="minorBidi"/>
            <w:noProof/>
            <w:szCs w:val="22"/>
          </w:rPr>
          <w:tab/>
        </w:r>
        <w:r w:rsidR="00CA314A" w:rsidRPr="00551097">
          <w:rPr>
            <w:rStyle w:val="Hyperlink"/>
            <w:noProof/>
          </w:rPr>
          <w:t>Service provision at multiple rural sites</w:t>
        </w:r>
        <w:r w:rsidR="00CA314A">
          <w:rPr>
            <w:noProof/>
            <w:webHidden/>
          </w:rPr>
          <w:tab/>
        </w:r>
        <w:r w:rsidR="00CA314A">
          <w:rPr>
            <w:noProof/>
            <w:webHidden/>
          </w:rPr>
          <w:fldChar w:fldCharType="begin"/>
        </w:r>
        <w:r w:rsidR="00CA314A">
          <w:rPr>
            <w:noProof/>
            <w:webHidden/>
          </w:rPr>
          <w:instrText xml:space="preserve"> PAGEREF _Toc423945918 \h </w:instrText>
        </w:r>
        <w:r w:rsidR="00CA314A">
          <w:rPr>
            <w:noProof/>
            <w:webHidden/>
          </w:rPr>
        </w:r>
        <w:r w:rsidR="00CA314A">
          <w:rPr>
            <w:noProof/>
            <w:webHidden/>
          </w:rPr>
          <w:fldChar w:fldCharType="separate"/>
        </w:r>
        <w:r w:rsidR="00CA314A">
          <w:rPr>
            <w:noProof/>
            <w:webHidden/>
          </w:rPr>
          <w:t>13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19" w:history="1">
        <w:r w:rsidR="00CA314A" w:rsidRPr="00551097">
          <w:rPr>
            <w:rStyle w:val="Hyperlink"/>
            <w:noProof/>
          </w:rPr>
          <w:t>4.1.1</w:t>
        </w:r>
        <w:r w:rsidR="00CA314A">
          <w:rPr>
            <w:rFonts w:asciiTheme="minorHAnsi" w:eastAsiaTheme="minorEastAsia" w:hAnsiTheme="minorHAnsi" w:cstheme="minorBidi"/>
            <w:noProof/>
            <w:szCs w:val="22"/>
            <w:lang w:val="en-NZ" w:eastAsia="en-NZ"/>
          </w:rPr>
          <w:tab/>
        </w:r>
        <w:r w:rsidR="00CA314A" w:rsidRPr="00551097">
          <w:rPr>
            <w:rStyle w:val="Hyperlink"/>
            <w:noProof/>
          </w:rPr>
          <w:t>Outputs – dental, endoscopy and general surgery dominate</w:t>
        </w:r>
        <w:r w:rsidR="00CA314A">
          <w:rPr>
            <w:noProof/>
            <w:webHidden/>
          </w:rPr>
          <w:tab/>
        </w:r>
        <w:r w:rsidR="00CA314A">
          <w:rPr>
            <w:noProof/>
            <w:webHidden/>
          </w:rPr>
          <w:fldChar w:fldCharType="begin"/>
        </w:r>
        <w:r w:rsidR="00CA314A">
          <w:rPr>
            <w:noProof/>
            <w:webHidden/>
          </w:rPr>
          <w:instrText xml:space="preserve"> PAGEREF _Toc423945919 \h </w:instrText>
        </w:r>
        <w:r w:rsidR="00CA314A">
          <w:rPr>
            <w:noProof/>
            <w:webHidden/>
          </w:rPr>
        </w:r>
        <w:r w:rsidR="00CA314A">
          <w:rPr>
            <w:noProof/>
            <w:webHidden/>
          </w:rPr>
          <w:fldChar w:fldCharType="separate"/>
        </w:r>
        <w:r w:rsidR="00CA314A">
          <w:rPr>
            <w:noProof/>
            <w:webHidden/>
          </w:rPr>
          <w:t>14</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0" w:history="1">
        <w:r w:rsidR="00CA314A" w:rsidRPr="00551097">
          <w:rPr>
            <w:rStyle w:val="Hyperlink"/>
            <w:noProof/>
          </w:rPr>
          <w:t>4.1.2</w:t>
        </w:r>
        <w:r w:rsidR="00CA314A">
          <w:rPr>
            <w:rFonts w:asciiTheme="minorHAnsi" w:eastAsiaTheme="minorEastAsia" w:hAnsiTheme="minorHAnsi" w:cstheme="minorBidi"/>
            <w:noProof/>
            <w:szCs w:val="22"/>
            <w:lang w:val="en-NZ" w:eastAsia="en-NZ"/>
          </w:rPr>
          <w:tab/>
        </w:r>
        <w:r w:rsidR="00CA314A" w:rsidRPr="00551097">
          <w:rPr>
            <w:rStyle w:val="Hyperlink"/>
            <w:noProof/>
          </w:rPr>
          <w:t>Surgeon availability and patient safety determine the scope of services</w:t>
        </w:r>
        <w:r w:rsidR="00CA314A">
          <w:rPr>
            <w:noProof/>
            <w:webHidden/>
          </w:rPr>
          <w:tab/>
        </w:r>
        <w:r w:rsidR="00CA314A">
          <w:rPr>
            <w:noProof/>
            <w:webHidden/>
          </w:rPr>
          <w:fldChar w:fldCharType="begin"/>
        </w:r>
        <w:r w:rsidR="00CA314A">
          <w:rPr>
            <w:noProof/>
            <w:webHidden/>
          </w:rPr>
          <w:instrText xml:space="preserve"> PAGEREF _Toc423945920 \h </w:instrText>
        </w:r>
        <w:r w:rsidR="00CA314A">
          <w:rPr>
            <w:noProof/>
            <w:webHidden/>
          </w:rPr>
        </w:r>
        <w:r w:rsidR="00CA314A">
          <w:rPr>
            <w:noProof/>
            <w:webHidden/>
          </w:rPr>
          <w:fldChar w:fldCharType="separate"/>
        </w:r>
        <w:r w:rsidR="00CA314A">
          <w:rPr>
            <w:noProof/>
            <w:webHidden/>
          </w:rPr>
          <w:t>16</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1" w:history="1">
        <w:r w:rsidR="00CA314A" w:rsidRPr="00551097">
          <w:rPr>
            <w:rStyle w:val="Hyperlink"/>
            <w:noProof/>
          </w:rPr>
          <w:t>4.1.3</w:t>
        </w:r>
        <w:r w:rsidR="00CA314A">
          <w:rPr>
            <w:rFonts w:asciiTheme="minorHAnsi" w:eastAsiaTheme="minorEastAsia" w:hAnsiTheme="minorHAnsi" w:cstheme="minorBidi"/>
            <w:noProof/>
            <w:szCs w:val="22"/>
            <w:lang w:val="en-NZ" w:eastAsia="en-NZ"/>
          </w:rPr>
          <w:tab/>
        </w:r>
        <w:r w:rsidR="00CA314A" w:rsidRPr="00551097">
          <w:rPr>
            <w:rStyle w:val="Hyperlink"/>
            <w:noProof/>
          </w:rPr>
          <w:t>Hospital capacity does not appear to be reduced</w:t>
        </w:r>
        <w:r w:rsidR="00CA314A">
          <w:rPr>
            <w:noProof/>
            <w:webHidden/>
          </w:rPr>
          <w:tab/>
        </w:r>
        <w:r w:rsidR="00CA314A">
          <w:rPr>
            <w:noProof/>
            <w:webHidden/>
          </w:rPr>
          <w:fldChar w:fldCharType="begin"/>
        </w:r>
        <w:r w:rsidR="00CA314A">
          <w:rPr>
            <w:noProof/>
            <w:webHidden/>
          </w:rPr>
          <w:instrText xml:space="preserve"> PAGEREF _Toc423945921 \h </w:instrText>
        </w:r>
        <w:r w:rsidR="00CA314A">
          <w:rPr>
            <w:noProof/>
            <w:webHidden/>
          </w:rPr>
        </w:r>
        <w:r w:rsidR="00CA314A">
          <w:rPr>
            <w:noProof/>
            <w:webHidden/>
          </w:rPr>
          <w:fldChar w:fldCharType="separate"/>
        </w:r>
        <w:r w:rsidR="00CA314A">
          <w:rPr>
            <w:noProof/>
            <w:webHidden/>
          </w:rPr>
          <w:t>16</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2" w:history="1">
        <w:r w:rsidR="00CA314A" w:rsidRPr="00551097">
          <w:rPr>
            <w:rStyle w:val="Hyperlink"/>
            <w:noProof/>
          </w:rPr>
          <w:t>4.1.4</w:t>
        </w:r>
        <w:r w:rsidR="00CA314A">
          <w:rPr>
            <w:rFonts w:asciiTheme="minorHAnsi" w:eastAsiaTheme="minorEastAsia" w:hAnsiTheme="minorHAnsi" w:cstheme="minorBidi"/>
            <w:noProof/>
            <w:szCs w:val="22"/>
            <w:lang w:val="en-NZ" w:eastAsia="en-NZ"/>
          </w:rPr>
          <w:tab/>
        </w:r>
        <w:r w:rsidR="00CA314A" w:rsidRPr="00551097">
          <w:rPr>
            <w:rStyle w:val="Hyperlink"/>
            <w:noProof/>
          </w:rPr>
          <w:t>No major issues with referral pathways</w:t>
        </w:r>
        <w:r w:rsidR="00CA314A">
          <w:rPr>
            <w:noProof/>
            <w:webHidden/>
          </w:rPr>
          <w:tab/>
        </w:r>
        <w:r w:rsidR="00CA314A">
          <w:rPr>
            <w:noProof/>
            <w:webHidden/>
          </w:rPr>
          <w:fldChar w:fldCharType="begin"/>
        </w:r>
        <w:r w:rsidR="00CA314A">
          <w:rPr>
            <w:noProof/>
            <w:webHidden/>
          </w:rPr>
          <w:instrText xml:space="preserve"> PAGEREF _Toc423945922 \h </w:instrText>
        </w:r>
        <w:r w:rsidR="00CA314A">
          <w:rPr>
            <w:noProof/>
            <w:webHidden/>
          </w:rPr>
        </w:r>
        <w:r w:rsidR="00CA314A">
          <w:rPr>
            <w:noProof/>
            <w:webHidden/>
          </w:rPr>
          <w:fldChar w:fldCharType="separate"/>
        </w:r>
        <w:r w:rsidR="00CA314A">
          <w:rPr>
            <w:noProof/>
            <w:webHidden/>
          </w:rPr>
          <w:t>17</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3" w:history="1">
        <w:r w:rsidR="00CA314A" w:rsidRPr="00551097">
          <w:rPr>
            <w:rStyle w:val="Hyperlink"/>
            <w:noProof/>
          </w:rPr>
          <w:t>4.1.5</w:t>
        </w:r>
        <w:r w:rsidR="00CA314A">
          <w:rPr>
            <w:rFonts w:asciiTheme="minorHAnsi" w:eastAsiaTheme="minorEastAsia" w:hAnsiTheme="minorHAnsi" w:cstheme="minorBidi"/>
            <w:noProof/>
            <w:szCs w:val="22"/>
            <w:lang w:val="en-NZ" w:eastAsia="en-NZ"/>
          </w:rPr>
          <w:tab/>
        </w:r>
        <w:r w:rsidR="00CA314A" w:rsidRPr="00551097">
          <w:rPr>
            <w:rStyle w:val="Hyperlink"/>
            <w:noProof/>
          </w:rPr>
          <w:t>No evidence of large differences in waiting times</w:t>
        </w:r>
        <w:r w:rsidR="00CA314A">
          <w:rPr>
            <w:noProof/>
            <w:webHidden/>
          </w:rPr>
          <w:tab/>
        </w:r>
        <w:r w:rsidR="00CA314A">
          <w:rPr>
            <w:noProof/>
            <w:webHidden/>
          </w:rPr>
          <w:fldChar w:fldCharType="begin"/>
        </w:r>
        <w:r w:rsidR="00CA314A">
          <w:rPr>
            <w:noProof/>
            <w:webHidden/>
          </w:rPr>
          <w:instrText xml:space="preserve"> PAGEREF _Toc423945923 \h </w:instrText>
        </w:r>
        <w:r w:rsidR="00CA314A">
          <w:rPr>
            <w:noProof/>
            <w:webHidden/>
          </w:rPr>
        </w:r>
        <w:r w:rsidR="00CA314A">
          <w:rPr>
            <w:noProof/>
            <w:webHidden/>
          </w:rPr>
          <w:fldChar w:fldCharType="separate"/>
        </w:r>
        <w:r w:rsidR="00CA314A">
          <w:rPr>
            <w:noProof/>
            <w:webHidden/>
          </w:rPr>
          <w:t>18</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4" w:history="1">
        <w:r w:rsidR="00CA314A" w:rsidRPr="00551097">
          <w:rPr>
            <w:rStyle w:val="Hyperlink"/>
            <w:noProof/>
          </w:rPr>
          <w:t>4.1.6</w:t>
        </w:r>
        <w:r w:rsidR="00CA314A">
          <w:rPr>
            <w:rFonts w:asciiTheme="minorHAnsi" w:eastAsiaTheme="minorEastAsia" w:hAnsiTheme="minorHAnsi" w:cstheme="minorBidi"/>
            <w:noProof/>
            <w:szCs w:val="22"/>
            <w:lang w:val="en-NZ" w:eastAsia="en-NZ"/>
          </w:rPr>
          <w:tab/>
        </w:r>
        <w:r w:rsidR="00CA314A" w:rsidRPr="00551097">
          <w:rPr>
            <w:rStyle w:val="Hyperlink"/>
            <w:noProof/>
          </w:rPr>
          <w:t>Most rural sites are very happy to host the bus</w:t>
        </w:r>
        <w:r w:rsidR="00CA314A">
          <w:rPr>
            <w:noProof/>
            <w:webHidden/>
          </w:rPr>
          <w:tab/>
        </w:r>
        <w:r w:rsidR="00CA314A">
          <w:rPr>
            <w:noProof/>
            <w:webHidden/>
          </w:rPr>
          <w:fldChar w:fldCharType="begin"/>
        </w:r>
        <w:r w:rsidR="00CA314A">
          <w:rPr>
            <w:noProof/>
            <w:webHidden/>
          </w:rPr>
          <w:instrText xml:space="preserve"> PAGEREF _Toc423945924 \h </w:instrText>
        </w:r>
        <w:r w:rsidR="00CA314A">
          <w:rPr>
            <w:noProof/>
            <w:webHidden/>
          </w:rPr>
        </w:r>
        <w:r w:rsidR="00CA314A">
          <w:rPr>
            <w:noProof/>
            <w:webHidden/>
          </w:rPr>
          <w:fldChar w:fldCharType="separate"/>
        </w:r>
        <w:r w:rsidR="00CA314A">
          <w:rPr>
            <w:noProof/>
            <w:webHidden/>
          </w:rPr>
          <w:t>18</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5" w:history="1">
        <w:r w:rsidR="00CA314A" w:rsidRPr="00551097">
          <w:rPr>
            <w:rStyle w:val="Hyperlink"/>
            <w:noProof/>
          </w:rPr>
          <w:t>4.1.7</w:t>
        </w:r>
        <w:r w:rsidR="00CA314A">
          <w:rPr>
            <w:rFonts w:asciiTheme="minorHAnsi" w:eastAsiaTheme="minorEastAsia" w:hAnsiTheme="minorHAnsi" w:cstheme="minorBidi"/>
            <w:noProof/>
            <w:szCs w:val="22"/>
            <w:lang w:val="en-NZ" w:eastAsia="en-NZ"/>
          </w:rPr>
          <w:tab/>
        </w:r>
        <w:r w:rsidR="00CA314A" w:rsidRPr="00551097">
          <w:rPr>
            <w:rStyle w:val="Hyperlink"/>
            <w:noProof/>
          </w:rPr>
          <w:t>Rural nurses are trained up and see wider benefits</w:t>
        </w:r>
        <w:r w:rsidR="00CA314A">
          <w:rPr>
            <w:noProof/>
            <w:webHidden/>
          </w:rPr>
          <w:tab/>
        </w:r>
        <w:r w:rsidR="00CA314A">
          <w:rPr>
            <w:noProof/>
            <w:webHidden/>
          </w:rPr>
          <w:fldChar w:fldCharType="begin"/>
        </w:r>
        <w:r w:rsidR="00CA314A">
          <w:rPr>
            <w:noProof/>
            <w:webHidden/>
          </w:rPr>
          <w:instrText xml:space="preserve"> PAGEREF _Toc423945925 \h </w:instrText>
        </w:r>
        <w:r w:rsidR="00CA314A">
          <w:rPr>
            <w:noProof/>
            <w:webHidden/>
          </w:rPr>
        </w:r>
        <w:r w:rsidR="00CA314A">
          <w:rPr>
            <w:noProof/>
            <w:webHidden/>
          </w:rPr>
          <w:fldChar w:fldCharType="separate"/>
        </w:r>
        <w:r w:rsidR="00CA314A">
          <w:rPr>
            <w:noProof/>
            <w:webHidden/>
          </w:rPr>
          <w:t>19</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6" w:history="1">
        <w:r w:rsidR="00CA314A" w:rsidRPr="00551097">
          <w:rPr>
            <w:rStyle w:val="Hyperlink"/>
            <w:noProof/>
          </w:rPr>
          <w:t>4.1.8</w:t>
        </w:r>
        <w:r w:rsidR="00CA314A">
          <w:rPr>
            <w:rFonts w:asciiTheme="minorHAnsi" w:eastAsiaTheme="minorEastAsia" w:hAnsiTheme="minorHAnsi" w:cstheme="minorBidi"/>
            <w:noProof/>
            <w:szCs w:val="22"/>
            <w:lang w:val="en-NZ" w:eastAsia="en-NZ"/>
          </w:rPr>
          <w:tab/>
        </w:r>
        <w:r w:rsidR="00CA314A" w:rsidRPr="00551097">
          <w:rPr>
            <w:rStyle w:val="Hyperlink"/>
            <w:noProof/>
          </w:rPr>
          <w:t>Evidence of some good relationships in place</w:t>
        </w:r>
        <w:r w:rsidR="00CA314A">
          <w:rPr>
            <w:noProof/>
            <w:webHidden/>
          </w:rPr>
          <w:tab/>
        </w:r>
        <w:r w:rsidR="00CA314A">
          <w:rPr>
            <w:noProof/>
            <w:webHidden/>
          </w:rPr>
          <w:fldChar w:fldCharType="begin"/>
        </w:r>
        <w:r w:rsidR="00CA314A">
          <w:rPr>
            <w:noProof/>
            <w:webHidden/>
          </w:rPr>
          <w:instrText xml:space="preserve"> PAGEREF _Toc423945926 \h </w:instrText>
        </w:r>
        <w:r w:rsidR="00CA314A">
          <w:rPr>
            <w:noProof/>
            <w:webHidden/>
          </w:rPr>
        </w:r>
        <w:r w:rsidR="00CA314A">
          <w:rPr>
            <w:noProof/>
            <w:webHidden/>
          </w:rPr>
          <w:fldChar w:fldCharType="separate"/>
        </w:r>
        <w:r w:rsidR="00CA314A">
          <w:rPr>
            <w:noProof/>
            <w:webHidden/>
          </w:rPr>
          <w:t>20</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27" w:history="1">
        <w:r w:rsidR="00CA314A" w:rsidRPr="00551097">
          <w:rPr>
            <w:rStyle w:val="Hyperlink"/>
            <w:noProof/>
          </w:rPr>
          <w:t>4.2</w:t>
        </w:r>
        <w:r w:rsidR="00CA314A">
          <w:rPr>
            <w:rFonts w:asciiTheme="minorHAnsi" w:eastAsiaTheme="minorEastAsia" w:hAnsiTheme="minorHAnsi" w:cstheme="minorBidi"/>
            <w:noProof/>
            <w:szCs w:val="22"/>
          </w:rPr>
          <w:tab/>
        </w:r>
        <w:r w:rsidR="00CA314A" w:rsidRPr="00551097">
          <w:rPr>
            <w:rStyle w:val="Hyperlink"/>
            <w:noProof/>
          </w:rPr>
          <w:t>Impacts and outcomes – patients value the service highly</w:t>
        </w:r>
        <w:r w:rsidR="00CA314A">
          <w:rPr>
            <w:noProof/>
            <w:webHidden/>
          </w:rPr>
          <w:tab/>
        </w:r>
        <w:r w:rsidR="00CA314A">
          <w:rPr>
            <w:noProof/>
            <w:webHidden/>
          </w:rPr>
          <w:fldChar w:fldCharType="begin"/>
        </w:r>
        <w:r w:rsidR="00CA314A">
          <w:rPr>
            <w:noProof/>
            <w:webHidden/>
          </w:rPr>
          <w:instrText xml:space="preserve"> PAGEREF _Toc423945927 \h </w:instrText>
        </w:r>
        <w:r w:rsidR="00CA314A">
          <w:rPr>
            <w:noProof/>
            <w:webHidden/>
          </w:rPr>
        </w:r>
        <w:r w:rsidR="00CA314A">
          <w:rPr>
            <w:noProof/>
            <w:webHidden/>
          </w:rPr>
          <w:fldChar w:fldCharType="separate"/>
        </w:r>
        <w:r w:rsidR="00CA314A">
          <w:rPr>
            <w:noProof/>
            <w:webHidden/>
          </w:rPr>
          <w:t>21</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8" w:history="1">
        <w:r w:rsidR="00CA314A" w:rsidRPr="00551097">
          <w:rPr>
            <w:rStyle w:val="Hyperlink"/>
            <w:noProof/>
          </w:rPr>
          <w:t>4.2.1</w:t>
        </w:r>
        <w:r w:rsidR="00CA314A">
          <w:rPr>
            <w:rFonts w:asciiTheme="minorHAnsi" w:eastAsiaTheme="minorEastAsia" w:hAnsiTheme="minorHAnsi" w:cstheme="minorBidi"/>
            <w:noProof/>
            <w:szCs w:val="22"/>
            <w:lang w:val="en-NZ" w:eastAsia="en-NZ"/>
          </w:rPr>
          <w:tab/>
        </w:r>
        <w:r w:rsidR="00CA314A" w:rsidRPr="00551097">
          <w:rPr>
            <w:rStyle w:val="Hyperlink"/>
            <w:noProof/>
          </w:rPr>
          <w:t>A focus on high-need populations in rural areas</w:t>
        </w:r>
        <w:r w:rsidR="00CA314A">
          <w:rPr>
            <w:noProof/>
            <w:webHidden/>
          </w:rPr>
          <w:tab/>
        </w:r>
        <w:r w:rsidR="00CA314A">
          <w:rPr>
            <w:noProof/>
            <w:webHidden/>
          </w:rPr>
          <w:fldChar w:fldCharType="begin"/>
        </w:r>
        <w:r w:rsidR="00CA314A">
          <w:rPr>
            <w:noProof/>
            <w:webHidden/>
          </w:rPr>
          <w:instrText xml:space="preserve"> PAGEREF _Toc423945928 \h </w:instrText>
        </w:r>
        <w:r w:rsidR="00CA314A">
          <w:rPr>
            <w:noProof/>
            <w:webHidden/>
          </w:rPr>
        </w:r>
        <w:r w:rsidR="00CA314A">
          <w:rPr>
            <w:noProof/>
            <w:webHidden/>
          </w:rPr>
          <w:fldChar w:fldCharType="separate"/>
        </w:r>
        <w:r w:rsidR="00CA314A">
          <w:rPr>
            <w:noProof/>
            <w:webHidden/>
          </w:rPr>
          <w:t>21</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29" w:history="1">
        <w:r w:rsidR="00CA314A" w:rsidRPr="00551097">
          <w:rPr>
            <w:rStyle w:val="Hyperlink"/>
            <w:noProof/>
          </w:rPr>
          <w:t>4.2.2</w:t>
        </w:r>
        <w:r w:rsidR="00CA314A">
          <w:rPr>
            <w:rFonts w:asciiTheme="minorHAnsi" w:eastAsiaTheme="minorEastAsia" w:hAnsiTheme="minorHAnsi" w:cstheme="minorBidi"/>
            <w:noProof/>
            <w:szCs w:val="22"/>
            <w:lang w:val="en-NZ" w:eastAsia="en-NZ"/>
          </w:rPr>
          <w:tab/>
        </w:r>
        <w:r w:rsidR="00CA314A" w:rsidRPr="00551097">
          <w:rPr>
            <w:rStyle w:val="Hyperlink"/>
            <w:noProof/>
          </w:rPr>
          <w:t>Patients value the service most for its convenience</w:t>
        </w:r>
        <w:r w:rsidR="00CA314A">
          <w:rPr>
            <w:noProof/>
            <w:webHidden/>
          </w:rPr>
          <w:tab/>
        </w:r>
        <w:r w:rsidR="00CA314A">
          <w:rPr>
            <w:noProof/>
            <w:webHidden/>
          </w:rPr>
          <w:fldChar w:fldCharType="begin"/>
        </w:r>
        <w:r w:rsidR="00CA314A">
          <w:rPr>
            <w:noProof/>
            <w:webHidden/>
          </w:rPr>
          <w:instrText xml:space="preserve"> PAGEREF _Toc423945929 \h </w:instrText>
        </w:r>
        <w:r w:rsidR="00CA314A">
          <w:rPr>
            <w:noProof/>
            <w:webHidden/>
          </w:rPr>
        </w:r>
        <w:r w:rsidR="00CA314A">
          <w:rPr>
            <w:noProof/>
            <w:webHidden/>
          </w:rPr>
          <w:fldChar w:fldCharType="separate"/>
        </w:r>
        <w:r w:rsidR="00CA314A">
          <w:rPr>
            <w:noProof/>
            <w:webHidden/>
          </w:rPr>
          <w:t>22</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0" w:history="1">
        <w:r w:rsidR="00CA314A" w:rsidRPr="00551097">
          <w:rPr>
            <w:rStyle w:val="Hyperlink"/>
            <w:noProof/>
          </w:rPr>
          <w:t>4.2.3</w:t>
        </w:r>
        <w:r w:rsidR="00CA314A">
          <w:rPr>
            <w:rFonts w:asciiTheme="minorHAnsi" w:eastAsiaTheme="minorEastAsia" w:hAnsiTheme="minorHAnsi" w:cstheme="minorBidi"/>
            <w:noProof/>
            <w:szCs w:val="22"/>
            <w:lang w:val="en-NZ" w:eastAsia="en-NZ"/>
          </w:rPr>
          <w:tab/>
        </w:r>
        <w:r w:rsidR="00CA314A" w:rsidRPr="00551097">
          <w:rPr>
            <w:rStyle w:val="Hyperlink"/>
            <w:noProof/>
          </w:rPr>
          <w:t>Staff on the bus were rated very highly by patients</w:t>
        </w:r>
        <w:r w:rsidR="00CA314A">
          <w:rPr>
            <w:noProof/>
            <w:webHidden/>
          </w:rPr>
          <w:tab/>
        </w:r>
        <w:r w:rsidR="00CA314A">
          <w:rPr>
            <w:noProof/>
            <w:webHidden/>
          </w:rPr>
          <w:fldChar w:fldCharType="begin"/>
        </w:r>
        <w:r w:rsidR="00CA314A">
          <w:rPr>
            <w:noProof/>
            <w:webHidden/>
          </w:rPr>
          <w:instrText xml:space="preserve"> PAGEREF _Toc423945930 \h </w:instrText>
        </w:r>
        <w:r w:rsidR="00CA314A">
          <w:rPr>
            <w:noProof/>
            <w:webHidden/>
          </w:rPr>
        </w:r>
        <w:r w:rsidR="00CA314A">
          <w:rPr>
            <w:noProof/>
            <w:webHidden/>
          </w:rPr>
          <w:fldChar w:fldCharType="separate"/>
        </w:r>
        <w:r w:rsidR="00CA314A">
          <w:rPr>
            <w:noProof/>
            <w:webHidden/>
          </w:rPr>
          <w:t>23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1" w:history="1">
        <w:r w:rsidR="00CA314A" w:rsidRPr="00551097">
          <w:rPr>
            <w:rStyle w:val="Hyperlink"/>
            <w:noProof/>
          </w:rPr>
          <w:t>4.2.4</w:t>
        </w:r>
        <w:r w:rsidR="00CA314A">
          <w:rPr>
            <w:rFonts w:asciiTheme="minorHAnsi" w:eastAsiaTheme="minorEastAsia" w:hAnsiTheme="minorHAnsi" w:cstheme="minorBidi"/>
            <w:noProof/>
            <w:szCs w:val="22"/>
            <w:lang w:val="en-NZ" w:eastAsia="en-NZ"/>
          </w:rPr>
          <w:tab/>
        </w:r>
        <w:r w:rsidR="00CA314A" w:rsidRPr="00551097">
          <w:rPr>
            <w:rStyle w:val="Hyperlink"/>
            <w:noProof/>
          </w:rPr>
          <w:t>Patient feedback to the provider is highly positive</w:t>
        </w:r>
        <w:r w:rsidR="00CA314A">
          <w:rPr>
            <w:noProof/>
            <w:webHidden/>
          </w:rPr>
          <w:tab/>
        </w:r>
        <w:r w:rsidR="00CA314A">
          <w:rPr>
            <w:noProof/>
            <w:webHidden/>
          </w:rPr>
          <w:fldChar w:fldCharType="begin"/>
        </w:r>
        <w:r w:rsidR="00CA314A">
          <w:rPr>
            <w:noProof/>
            <w:webHidden/>
          </w:rPr>
          <w:instrText xml:space="preserve"> PAGEREF _Toc423945931 \h </w:instrText>
        </w:r>
        <w:r w:rsidR="00CA314A">
          <w:rPr>
            <w:noProof/>
            <w:webHidden/>
          </w:rPr>
        </w:r>
        <w:r w:rsidR="00CA314A">
          <w:rPr>
            <w:noProof/>
            <w:webHidden/>
          </w:rPr>
          <w:fldChar w:fldCharType="separate"/>
        </w:r>
        <w:r w:rsidR="00CA314A">
          <w:rPr>
            <w:noProof/>
            <w:webHidden/>
          </w:rPr>
          <w:t>23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2" w:history="1">
        <w:r w:rsidR="00CA314A" w:rsidRPr="00551097">
          <w:rPr>
            <w:rStyle w:val="Hyperlink"/>
            <w:noProof/>
          </w:rPr>
          <w:t>4.2.5</w:t>
        </w:r>
        <w:r w:rsidR="00CA314A">
          <w:rPr>
            <w:rFonts w:asciiTheme="minorHAnsi" w:eastAsiaTheme="minorEastAsia" w:hAnsiTheme="minorHAnsi" w:cstheme="minorBidi"/>
            <w:noProof/>
            <w:szCs w:val="22"/>
            <w:lang w:val="en-NZ" w:eastAsia="en-NZ"/>
          </w:rPr>
          <w:tab/>
        </w:r>
        <w:r w:rsidR="00CA314A" w:rsidRPr="00551097">
          <w:rPr>
            <w:rStyle w:val="Hyperlink"/>
            <w:noProof/>
          </w:rPr>
          <w:t>What people liked the least about the service</w:t>
        </w:r>
        <w:r w:rsidR="00CA314A">
          <w:rPr>
            <w:noProof/>
            <w:webHidden/>
          </w:rPr>
          <w:tab/>
        </w:r>
        <w:r w:rsidR="00CA314A">
          <w:rPr>
            <w:noProof/>
            <w:webHidden/>
          </w:rPr>
          <w:fldChar w:fldCharType="begin"/>
        </w:r>
        <w:r w:rsidR="00CA314A">
          <w:rPr>
            <w:noProof/>
            <w:webHidden/>
          </w:rPr>
          <w:instrText xml:space="preserve"> PAGEREF _Toc423945932 \h </w:instrText>
        </w:r>
        <w:r w:rsidR="00CA314A">
          <w:rPr>
            <w:noProof/>
            <w:webHidden/>
          </w:rPr>
        </w:r>
        <w:r w:rsidR="00CA314A">
          <w:rPr>
            <w:noProof/>
            <w:webHidden/>
          </w:rPr>
          <w:fldChar w:fldCharType="separate"/>
        </w:r>
        <w:r w:rsidR="00CA314A">
          <w:rPr>
            <w:noProof/>
            <w:webHidden/>
          </w:rPr>
          <w:t>24</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3" w:history="1">
        <w:r w:rsidR="00CA314A" w:rsidRPr="00551097">
          <w:rPr>
            <w:rStyle w:val="Hyperlink"/>
            <w:noProof/>
          </w:rPr>
          <w:t>4.2.6</w:t>
        </w:r>
        <w:r w:rsidR="00CA314A">
          <w:rPr>
            <w:rFonts w:asciiTheme="minorHAnsi" w:eastAsiaTheme="minorEastAsia" w:hAnsiTheme="minorHAnsi" w:cstheme="minorBidi"/>
            <w:noProof/>
            <w:szCs w:val="22"/>
            <w:lang w:val="en-NZ" w:eastAsia="en-NZ"/>
          </w:rPr>
          <w:tab/>
        </w:r>
        <w:r w:rsidR="00CA314A" w:rsidRPr="00551097">
          <w:rPr>
            <w:rStyle w:val="Hyperlink"/>
            <w:noProof/>
          </w:rPr>
          <w:t>Cultural needs – no issues were raised</w:t>
        </w:r>
        <w:r w:rsidR="00CA314A">
          <w:rPr>
            <w:noProof/>
            <w:webHidden/>
          </w:rPr>
          <w:tab/>
        </w:r>
        <w:r w:rsidR="00CA314A">
          <w:rPr>
            <w:noProof/>
            <w:webHidden/>
          </w:rPr>
          <w:fldChar w:fldCharType="begin"/>
        </w:r>
        <w:r w:rsidR="00CA314A">
          <w:rPr>
            <w:noProof/>
            <w:webHidden/>
          </w:rPr>
          <w:instrText xml:space="preserve"> PAGEREF _Toc423945933 \h </w:instrText>
        </w:r>
        <w:r w:rsidR="00CA314A">
          <w:rPr>
            <w:noProof/>
            <w:webHidden/>
          </w:rPr>
        </w:r>
        <w:r w:rsidR="00CA314A">
          <w:rPr>
            <w:noProof/>
            <w:webHidden/>
          </w:rPr>
          <w:fldChar w:fldCharType="separate"/>
        </w:r>
        <w:r w:rsidR="00CA314A">
          <w:rPr>
            <w:noProof/>
            <w:webHidden/>
          </w:rPr>
          <w:t>25</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4" w:history="1">
        <w:r w:rsidR="00CA314A" w:rsidRPr="00551097">
          <w:rPr>
            <w:rStyle w:val="Hyperlink"/>
            <w:noProof/>
          </w:rPr>
          <w:t>4.2.7</w:t>
        </w:r>
        <w:r w:rsidR="00CA314A">
          <w:rPr>
            <w:rFonts w:asciiTheme="minorHAnsi" w:eastAsiaTheme="minorEastAsia" w:hAnsiTheme="minorHAnsi" w:cstheme="minorBidi"/>
            <w:noProof/>
            <w:szCs w:val="22"/>
            <w:lang w:val="en-NZ" w:eastAsia="en-NZ"/>
          </w:rPr>
          <w:tab/>
        </w:r>
        <w:r w:rsidR="00CA314A" w:rsidRPr="00551097">
          <w:rPr>
            <w:rStyle w:val="Hyperlink"/>
            <w:noProof/>
          </w:rPr>
          <w:t>Travel times to reach the bus tend to be short</w:t>
        </w:r>
        <w:r w:rsidR="00CA314A">
          <w:rPr>
            <w:noProof/>
            <w:webHidden/>
          </w:rPr>
          <w:tab/>
        </w:r>
        <w:r w:rsidR="00CA314A">
          <w:rPr>
            <w:noProof/>
            <w:webHidden/>
          </w:rPr>
          <w:fldChar w:fldCharType="begin"/>
        </w:r>
        <w:r w:rsidR="00CA314A">
          <w:rPr>
            <w:noProof/>
            <w:webHidden/>
          </w:rPr>
          <w:instrText xml:space="preserve"> PAGEREF _Toc423945934 \h </w:instrText>
        </w:r>
        <w:r w:rsidR="00CA314A">
          <w:rPr>
            <w:noProof/>
            <w:webHidden/>
          </w:rPr>
        </w:r>
        <w:r w:rsidR="00CA314A">
          <w:rPr>
            <w:noProof/>
            <w:webHidden/>
          </w:rPr>
          <w:fldChar w:fldCharType="separate"/>
        </w:r>
        <w:r w:rsidR="00CA314A">
          <w:rPr>
            <w:noProof/>
            <w:webHidden/>
          </w:rPr>
          <w:t>25</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5" w:history="1">
        <w:r w:rsidR="00CA314A" w:rsidRPr="00551097">
          <w:rPr>
            <w:rStyle w:val="Hyperlink"/>
            <w:noProof/>
          </w:rPr>
          <w:t>4.2.8</w:t>
        </w:r>
        <w:r w:rsidR="00CA314A">
          <w:rPr>
            <w:rFonts w:asciiTheme="minorHAnsi" w:eastAsiaTheme="minorEastAsia" w:hAnsiTheme="minorHAnsi" w:cstheme="minorBidi"/>
            <w:noProof/>
            <w:szCs w:val="22"/>
            <w:lang w:val="en-NZ" w:eastAsia="en-NZ"/>
          </w:rPr>
          <w:tab/>
        </w:r>
        <w:r w:rsidR="00CA314A" w:rsidRPr="00551097">
          <w:rPr>
            <w:rStyle w:val="Hyperlink"/>
            <w:noProof/>
          </w:rPr>
          <w:t>A slight improvement in the rate of non-attendance</w:t>
        </w:r>
        <w:r w:rsidR="00CA314A">
          <w:rPr>
            <w:noProof/>
            <w:webHidden/>
          </w:rPr>
          <w:tab/>
        </w:r>
        <w:r w:rsidR="00CA314A">
          <w:rPr>
            <w:noProof/>
            <w:webHidden/>
          </w:rPr>
          <w:fldChar w:fldCharType="begin"/>
        </w:r>
        <w:r w:rsidR="00CA314A">
          <w:rPr>
            <w:noProof/>
            <w:webHidden/>
          </w:rPr>
          <w:instrText xml:space="preserve"> PAGEREF _Toc423945935 \h </w:instrText>
        </w:r>
        <w:r w:rsidR="00CA314A">
          <w:rPr>
            <w:noProof/>
            <w:webHidden/>
          </w:rPr>
        </w:r>
        <w:r w:rsidR="00CA314A">
          <w:rPr>
            <w:noProof/>
            <w:webHidden/>
          </w:rPr>
          <w:fldChar w:fldCharType="separate"/>
        </w:r>
        <w:r w:rsidR="00CA314A">
          <w:rPr>
            <w:noProof/>
            <w:webHidden/>
          </w:rPr>
          <w:t>26</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6" w:history="1">
        <w:r w:rsidR="00CA314A" w:rsidRPr="00551097">
          <w:rPr>
            <w:rStyle w:val="Hyperlink"/>
            <w:noProof/>
          </w:rPr>
          <w:t>4.2.9</w:t>
        </w:r>
        <w:r w:rsidR="00CA314A">
          <w:rPr>
            <w:rFonts w:asciiTheme="minorHAnsi" w:eastAsiaTheme="minorEastAsia" w:hAnsiTheme="minorHAnsi" w:cstheme="minorBidi"/>
            <w:noProof/>
            <w:szCs w:val="22"/>
            <w:lang w:val="en-NZ" w:eastAsia="en-NZ"/>
          </w:rPr>
          <w:tab/>
        </w:r>
        <w:r w:rsidR="00CA314A" w:rsidRPr="00551097">
          <w:rPr>
            <w:rStyle w:val="Hyperlink"/>
            <w:noProof/>
          </w:rPr>
          <w:t>Patients reported improved well-being after surgery</w:t>
        </w:r>
        <w:r w:rsidR="00CA314A">
          <w:rPr>
            <w:noProof/>
            <w:webHidden/>
          </w:rPr>
          <w:tab/>
        </w:r>
        <w:r w:rsidR="00CA314A">
          <w:rPr>
            <w:noProof/>
            <w:webHidden/>
          </w:rPr>
          <w:fldChar w:fldCharType="begin"/>
        </w:r>
        <w:r w:rsidR="00CA314A">
          <w:rPr>
            <w:noProof/>
            <w:webHidden/>
          </w:rPr>
          <w:instrText xml:space="preserve"> PAGEREF _Toc423945936 \h </w:instrText>
        </w:r>
        <w:r w:rsidR="00CA314A">
          <w:rPr>
            <w:noProof/>
            <w:webHidden/>
          </w:rPr>
        </w:r>
        <w:r w:rsidR="00CA314A">
          <w:rPr>
            <w:noProof/>
            <w:webHidden/>
          </w:rPr>
          <w:fldChar w:fldCharType="separate"/>
        </w:r>
        <w:r w:rsidR="00CA314A">
          <w:rPr>
            <w:noProof/>
            <w:webHidden/>
          </w:rPr>
          <w:t>28</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37" w:history="1">
        <w:r w:rsidR="00CA314A" w:rsidRPr="00551097">
          <w:rPr>
            <w:rStyle w:val="Hyperlink"/>
            <w:noProof/>
          </w:rPr>
          <w:t>4.3</w:t>
        </w:r>
        <w:r w:rsidR="00CA314A">
          <w:rPr>
            <w:rFonts w:asciiTheme="minorHAnsi" w:eastAsiaTheme="minorEastAsia" w:hAnsiTheme="minorHAnsi" w:cstheme="minorBidi"/>
            <w:noProof/>
            <w:szCs w:val="22"/>
          </w:rPr>
          <w:tab/>
        </w:r>
        <w:r w:rsidR="00CA314A" w:rsidRPr="00551097">
          <w:rPr>
            <w:rStyle w:val="Hyperlink"/>
            <w:noProof/>
          </w:rPr>
          <w:t>Considering the counterfactual – what if there were no bus?</w:t>
        </w:r>
        <w:r w:rsidR="00CA314A">
          <w:rPr>
            <w:noProof/>
            <w:webHidden/>
          </w:rPr>
          <w:tab/>
        </w:r>
        <w:r w:rsidR="00CA314A">
          <w:rPr>
            <w:noProof/>
            <w:webHidden/>
          </w:rPr>
          <w:fldChar w:fldCharType="begin"/>
        </w:r>
        <w:r w:rsidR="00CA314A">
          <w:rPr>
            <w:noProof/>
            <w:webHidden/>
          </w:rPr>
          <w:instrText xml:space="preserve"> PAGEREF _Toc423945937 \h </w:instrText>
        </w:r>
        <w:r w:rsidR="00CA314A">
          <w:rPr>
            <w:noProof/>
            <w:webHidden/>
          </w:rPr>
        </w:r>
        <w:r w:rsidR="00CA314A">
          <w:rPr>
            <w:noProof/>
            <w:webHidden/>
          </w:rPr>
          <w:fldChar w:fldCharType="separate"/>
        </w:r>
        <w:r w:rsidR="00CA314A">
          <w:rPr>
            <w:noProof/>
            <w:webHidden/>
          </w:rPr>
          <w:t>29</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8" w:history="1">
        <w:r w:rsidR="00CA314A" w:rsidRPr="00551097">
          <w:rPr>
            <w:rStyle w:val="Hyperlink"/>
            <w:noProof/>
          </w:rPr>
          <w:t>4.3.1</w:t>
        </w:r>
        <w:r w:rsidR="00CA314A">
          <w:rPr>
            <w:rFonts w:asciiTheme="minorHAnsi" w:eastAsiaTheme="minorEastAsia" w:hAnsiTheme="minorHAnsi" w:cstheme="minorBidi"/>
            <w:noProof/>
            <w:szCs w:val="22"/>
            <w:lang w:val="en-NZ" w:eastAsia="en-NZ"/>
          </w:rPr>
          <w:tab/>
        </w:r>
        <w:r w:rsidR="00CA314A" w:rsidRPr="00551097">
          <w:rPr>
            <w:rStyle w:val="Hyperlink"/>
            <w:noProof/>
          </w:rPr>
          <w:t>Most patients would travel further for their surgery</w:t>
        </w:r>
        <w:r w:rsidR="00CA314A">
          <w:rPr>
            <w:noProof/>
            <w:webHidden/>
          </w:rPr>
          <w:tab/>
        </w:r>
        <w:r w:rsidR="00CA314A">
          <w:rPr>
            <w:noProof/>
            <w:webHidden/>
          </w:rPr>
          <w:fldChar w:fldCharType="begin"/>
        </w:r>
        <w:r w:rsidR="00CA314A">
          <w:rPr>
            <w:noProof/>
            <w:webHidden/>
          </w:rPr>
          <w:instrText xml:space="preserve"> PAGEREF _Toc423945938 \h </w:instrText>
        </w:r>
        <w:r w:rsidR="00CA314A">
          <w:rPr>
            <w:noProof/>
            <w:webHidden/>
          </w:rPr>
        </w:r>
        <w:r w:rsidR="00CA314A">
          <w:rPr>
            <w:noProof/>
            <w:webHidden/>
          </w:rPr>
          <w:fldChar w:fldCharType="separate"/>
        </w:r>
        <w:r w:rsidR="00CA314A">
          <w:rPr>
            <w:noProof/>
            <w:webHidden/>
          </w:rPr>
          <w:t>30</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39" w:history="1">
        <w:r w:rsidR="00CA314A" w:rsidRPr="00551097">
          <w:rPr>
            <w:rStyle w:val="Hyperlink"/>
            <w:noProof/>
          </w:rPr>
          <w:t>4.3.2</w:t>
        </w:r>
        <w:r w:rsidR="00CA314A">
          <w:rPr>
            <w:rFonts w:asciiTheme="minorHAnsi" w:eastAsiaTheme="minorEastAsia" w:hAnsiTheme="minorHAnsi" w:cstheme="minorBidi"/>
            <w:noProof/>
            <w:szCs w:val="22"/>
            <w:lang w:val="en-NZ" w:eastAsia="en-NZ"/>
          </w:rPr>
          <w:tab/>
        </w:r>
        <w:r w:rsidR="00CA314A" w:rsidRPr="00551097">
          <w:rPr>
            <w:rStyle w:val="Hyperlink"/>
            <w:noProof/>
          </w:rPr>
          <w:t>Up to 300 patients per year may not otherwise access surgery</w:t>
        </w:r>
        <w:r w:rsidR="00CA314A">
          <w:rPr>
            <w:noProof/>
            <w:webHidden/>
          </w:rPr>
          <w:tab/>
        </w:r>
        <w:r w:rsidR="00CA314A">
          <w:rPr>
            <w:noProof/>
            <w:webHidden/>
          </w:rPr>
          <w:fldChar w:fldCharType="begin"/>
        </w:r>
        <w:r w:rsidR="00CA314A">
          <w:rPr>
            <w:noProof/>
            <w:webHidden/>
          </w:rPr>
          <w:instrText xml:space="preserve"> PAGEREF _Toc423945939 \h </w:instrText>
        </w:r>
        <w:r w:rsidR="00CA314A">
          <w:rPr>
            <w:noProof/>
            <w:webHidden/>
          </w:rPr>
        </w:r>
        <w:r w:rsidR="00CA314A">
          <w:rPr>
            <w:noProof/>
            <w:webHidden/>
          </w:rPr>
          <w:fldChar w:fldCharType="separate"/>
        </w:r>
        <w:r w:rsidR="00CA314A">
          <w:rPr>
            <w:noProof/>
            <w:webHidden/>
          </w:rPr>
          <w:t>31</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0" w:history="1">
        <w:r w:rsidR="00CA314A" w:rsidRPr="00551097">
          <w:rPr>
            <w:rStyle w:val="Hyperlink"/>
            <w:noProof/>
          </w:rPr>
          <w:t>4.3.3</w:t>
        </w:r>
        <w:r w:rsidR="00CA314A">
          <w:rPr>
            <w:rFonts w:asciiTheme="minorHAnsi" w:eastAsiaTheme="minorEastAsia" w:hAnsiTheme="minorHAnsi" w:cstheme="minorBidi"/>
            <w:noProof/>
            <w:szCs w:val="22"/>
            <w:lang w:val="en-NZ" w:eastAsia="en-NZ"/>
          </w:rPr>
          <w:tab/>
        </w:r>
        <w:r w:rsidR="00CA314A" w:rsidRPr="00551097">
          <w:rPr>
            <w:rStyle w:val="Hyperlink"/>
            <w:noProof/>
          </w:rPr>
          <w:t>Characteristics of patients who stated they would not travel further for surgery</w:t>
        </w:r>
        <w:r w:rsidR="00CA314A">
          <w:rPr>
            <w:noProof/>
            <w:webHidden/>
          </w:rPr>
          <w:tab/>
        </w:r>
        <w:r w:rsidR="00CA314A">
          <w:rPr>
            <w:noProof/>
            <w:webHidden/>
          </w:rPr>
          <w:fldChar w:fldCharType="begin"/>
        </w:r>
        <w:r w:rsidR="00CA314A">
          <w:rPr>
            <w:noProof/>
            <w:webHidden/>
          </w:rPr>
          <w:instrText xml:space="preserve"> PAGEREF _Toc423945940 \h </w:instrText>
        </w:r>
        <w:r w:rsidR="00CA314A">
          <w:rPr>
            <w:noProof/>
            <w:webHidden/>
          </w:rPr>
        </w:r>
        <w:r w:rsidR="00CA314A">
          <w:rPr>
            <w:noProof/>
            <w:webHidden/>
          </w:rPr>
          <w:fldChar w:fldCharType="separate"/>
        </w:r>
        <w:r w:rsidR="00CA314A">
          <w:rPr>
            <w:noProof/>
            <w:webHidden/>
          </w:rPr>
          <w:t>31</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41" w:history="1">
        <w:r w:rsidR="00CA314A" w:rsidRPr="00551097">
          <w:rPr>
            <w:rStyle w:val="Hyperlink"/>
            <w:noProof/>
          </w:rPr>
          <w:t>5.</w:t>
        </w:r>
        <w:r w:rsidR="00CA314A">
          <w:rPr>
            <w:rFonts w:asciiTheme="minorHAnsi" w:eastAsiaTheme="minorEastAsia" w:hAnsiTheme="minorHAnsi" w:cstheme="minorBidi"/>
            <w:b w:val="0"/>
            <w:noProof/>
            <w:szCs w:val="22"/>
          </w:rPr>
          <w:tab/>
        </w:r>
        <w:r w:rsidR="00CA314A" w:rsidRPr="00551097">
          <w:rPr>
            <w:rStyle w:val="Hyperlink"/>
            <w:noProof/>
          </w:rPr>
          <w:t>Mobile surgery – cost-effectiveness</w:t>
        </w:r>
        <w:r w:rsidR="00CA314A">
          <w:rPr>
            <w:noProof/>
            <w:webHidden/>
          </w:rPr>
          <w:tab/>
        </w:r>
        <w:r w:rsidR="00CA314A">
          <w:rPr>
            <w:noProof/>
            <w:webHidden/>
          </w:rPr>
          <w:fldChar w:fldCharType="begin"/>
        </w:r>
        <w:r w:rsidR="00CA314A">
          <w:rPr>
            <w:noProof/>
            <w:webHidden/>
          </w:rPr>
          <w:instrText xml:space="preserve"> PAGEREF _Toc423945941 \h </w:instrText>
        </w:r>
        <w:r w:rsidR="00CA314A">
          <w:rPr>
            <w:noProof/>
            <w:webHidden/>
          </w:rPr>
        </w:r>
        <w:r w:rsidR="00CA314A">
          <w:rPr>
            <w:noProof/>
            <w:webHidden/>
          </w:rPr>
          <w:fldChar w:fldCharType="separate"/>
        </w:r>
        <w:r w:rsidR="00CA314A">
          <w:rPr>
            <w:noProof/>
            <w:webHidden/>
          </w:rPr>
          <w:t>33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2" w:history="1">
        <w:r w:rsidR="00CA314A" w:rsidRPr="00551097">
          <w:rPr>
            <w:rStyle w:val="Hyperlink"/>
            <w:noProof/>
          </w:rPr>
          <w:t>5.1.1</w:t>
        </w:r>
        <w:r w:rsidR="00CA314A">
          <w:rPr>
            <w:rFonts w:asciiTheme="minorHAnsi" w:eastAsiaTheme="minorEastAsia" w:hAnsiTheme="minorHAnsi" w:cstheme="minorBidi"/>
            <w:noProof/>
            <w:szCs w:val="22"/>
            <w:lang w:val="en-NZ" w:eastAsia="en-NZ"/>
          </w:rPr>
          <w:tab/>
        </w:r>
        <w:r w:rsidR="00CA314A" w:rsidRPr="00551097">
          <w:rPr>
            <w:rStyle w:val="Hyperlink"/>
            <w:noProof/>
          </w:rPr>
          <w:t>The original contract was based on a business case</w:t>
        </w:r>
        <w:r w:rsidR="00CA314A">
          <w:rPr>
            <w:noProof/>
            <w:webHidden/>
          </w:rPr>
          <w:tab/>
        </w:r>
        <w:r w:rsidR="00CA314A">
          <w:rPr>
            <w:noProof/>
            <w:webHidden/>
          </w:rPr>
          <w:fldChar w:fldCharType="begin"/>
        </w:r>
        <w:r w:rsidR="00CA314A">
          <w:rPr>
            <w:noProof/>
            <w:webHidden/>
          </w:rPr>
          <w:instrText xml:space="preserve"> PAGEREF _Toc423945942 \h </w:instrText>
        </w:r>
        <w:r w:rsidR="00CA314A">
          <w:rPr>
            <w:noProof/>
            <w:webHidden/>
          </w:rPr>
        </w:r>
        <w:r w:rsidR="00CA314A">
          <w:rPr>
            <w:noProof/>
            <w:webHidden/>
          </w:rPr>
          <w:fldChar w:fldCharType="separate"/>
        </w:r>
        <w:r w:rsidR="00CA314A">
          <w:rPr>
            <w:noProof/>
            <w:webHidden/>
          </w:rPr>
          <w:t>33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3" w:history="1">
        <w:r w:rsidR="00CA314A" w:rsidRPr="00551097">
          <w:rPr>
            <w:rStyle w:val="Hyperlink"/>
            <w:noProof/>
          </w:rPr>
          <w:t>5.1.2</w:t>
        </w:r>
        <w:r w:rsidR="00CA314A">
          <w:rPr>
            <w:rFonts w:asciiTheme="minorHAnsi" w:eastAsiaTheme="minorEastAsia" w:hAnsiTheme="minorHAnsi" w:cstheme="minorBidi"/>
            <w:noProof/>
            <w:szCs w:val="22"/>
            <w:lang w:val="en-NZ" w:eastAsia="en-NZ"/>
          </w:rPr>
          <w:tab/>
        </w:r>
        <w:r w:rsidR="00CA314A" w:rsidRPr="00551097">
          <w:rPr>
            <w:rStyle w:val="Hyperlink"/>
            <w:noProof/>
          </w:rPr>
          <w:t>The current arrangements and a fluctuating “gap” between the contract price and national price</w:t>
        </w:r>
        <w:r w:rsidR="00CA314A">
          <w:rPr>
            <w:noProof/>
            <w:webHidden/>
          </w:rPr>
          <w:tab/>
        </w:r>
        <w:r w:rsidR="00CA314A">
          <w:rPr>
            <w:noProof/>
            <w:webHidden/>
          </w:rPr>
          <w:fldChar w:fldCharType="begin"/>
        </w:r>
        <w:r w:rsidR="00CA314A">
          <w:rPr>
            <w:noProof/>
            <w:webHidden/>
          </w:rPr>
          <w:instrText xml:space="preserve"> PAGEREF _Toc423945943 \h </w:instrText>
        </w:r>
        <w:r w:rsidR="00CA314A">
          <w:rPr>
            <w:noProof/>
            <w:webHidden/>
          </w:rPr>
        </w:r>
        <w:r w:rsidR="00CA314A">
          <w:rPr>
            <w:noProof/>
            <w:webHidden/>
          </w:rPr>
          <w:fldChar w:fldCharType="separate"/>
        </w:r>
        <w:r w:rsidR="00CA314A">
          <w:rPr>
            <w:noProof/>
            <w:webHidden/>
          </w:rPr>
          <w:t>33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4" w:history="1">
        <w:r w:rsidR="00CA314A" w:rsidRPr="00551097">
          <w:rPr>
            <w:rStyle w:val="Hyperlink"/>
            <w:noProof/>
          </w:rPr>
          <w:t>5.1.3</w:t>
        </w:r>
        <w:r w:rsidR="00CA314A">
          <w:rPr>
            <w:rFonts w:asciiTheme="minorHAnsi" w:eastAsiaTheme="minorEastAsia" w:hAnsiTheme="minorHAnsi" w:cstheme="minorBidi"/>
            <w:noProof/>
            <w:szCs w:val="22"/>
            <w:lang w:val="en-NZ" w:eastAsia="en-NZ"/>
          </w:rPr>
          <w:tab/>
        </w:r>
        <w:r w:rsidR="00CA314A" w:rsidRPr="00551097">
          <w:rPr>
            <w:rStyle w:val="Hyperlink"/>
            <w:noProof/>
          </w:rPr>
          <w:t>Factoring in rural hosting costs increases the gap</w:t>
        </w:r>
        <w:r w:rsidR="00CA314A">
          <w:rPr>
            <w:noProof/>
            <w:webHidden/>
          </w:rPr>
          <w:tab/>
        </w:r>
        <w:r w:rsidR="00CA314A">
          <w:rPr>
            <w:noProof/>
            <w:webHidden/>
          </w:rPr>
          <w:fldChar w:fldCharType="begin"/>
        </w:r>
        <w:r w:rsidR="00CA314A">
          <w:rPr>
            <w:noProof/>
            <w:webHidden/>
          </w:rPr>
          <w:instrText xml:space="preserve"> PAGEREF _Toc423945944 \h </w:instrText>
        </w:r>
        <w:r w:rsidR="00CA314A">
          <w:rPr>
            <w:noProof/>
            <w:webHidden/>
          </w:rPr>
        </w:r>
        <w:r w:rsidR="00CA314A">
          <w:rPr>
            <w:noProof/>
            <w:webHidden/>
          </w:rPr>
          <w:fldChar w:fldCharType="separate"/>
        </w:r>
        <w:r w:rsidR="00CA314A">
          <w:rPr>
            <w:noProof/>
            <w:webHidden/>
          </w:rPr>
          <w:t>35</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5" w:history="1">
        <w:r w:rsidR="00CA314A" w:rsidRPr="00551097">
          <w:rPr>
            <w:rStyle w:val="Hyperlink"/>
            <w:noProof/>
          </w:rPr>
          <w:t>5.1.4</w:t>
        </w:r>
        <w:r w:rsidR="00CA314A">
          <w:rPr>
            <w:rFonts w:asciiTheme="minorHAnsi" w:eastAsiaTheme="minorEastAsia" w:hAnsiTheme="minorHAnsi" w:cstheme="minorBidi"/>
            <w:noProof/>
            <w:szCs w:val="22"/>
            <w:lang w:val="en-NZ" w:eastAsia="en-NZ"/>
          </w:rPr>
          <w:tab/>
        </w:r>
        <w:r w:rsidR="00CA314A" w:rsidRPr="00551097">
          <w:rPr>
            <w:rStyle w:val="Hyperlink"/>
            <w:noProof/>
          </w:rPr>
          <w:t>Delivery of volumes above contract reduces the gap</w:t>
        </w:r>
        <w:r w:rsidR="00CA314A">
          <w:rPr>
            <w:noProof/>
            <w:webHidden/>
          </w:rPr>
          <w:tab/>
        </w:r>
        <w:r w:rsidR="00CA314A">
          <w:rPr>
            <w:noProof/>
            <w:webHidden/>
          </w:rPr>
          <w:fldChar w:fldCharType="begin"/>
        </w:r>
        <w:r w:rsidR="00CA314A">
          <w:rPr>
            <w:noProof/>
            <w:webHidden/>
          </w:rPr>
          <w:instrText xml:space="preserve"> PAGEREF _Toc423945945 \h </w:instrText>
        </w:r>
        <w:r w:rsidR="00CA314A">
          <w:rPr>
            <w:noProof/>
            <w:webHidden/>
          </w:rPr>
        </w:r>
        <w:r w:rsidR="00CA314A">
          <w:rPr>
            <w:noProof/>
            <w:webHidden/>
          </w:rPr>
          <w:fldChar w:fldCharType="separate"/>
        </w:r>
        <w:r w:rsidR="00CA314A">
          <w:rPr>
            <w:noProof/>
            <w:webHidden/>
          </w:rPr>
          <w:t>35</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6" w:history="1">
        <w:r w:rsidR="00CA314A" w:rsidRPr="00551097">
          <w:rPr>
            <w:rStyle w:val="Hyperlink"/>
            <w:noProof/>
          </w:rPr>
          <w:t>5.1.5</w:t>
        </w:r>
        <w:r w:rsidR="00CA314A">
          <w:rPr>
            <w:rFonts w:asciiTheme="minorHAnsi" w:eastAsiaTheme="minorEastAsia" w:hAnsiTheme="minorHAnsi" w:cstheme="minorBidi"/>
            <w:noProof/>
            <w:szCs w:val="22"/>
            <w:lang w:val="en-NZ" w:eastAsia="en-NZ"/>
          </w:rPr>
          <w:tab/>
        </w:r>
        <w:r w:rsidR="00CA314A" w:rsidRPr="00551097">
          <w:rPr>
            <w:rStyle w:val="Hyperlink"/>
            <w:noProof/>
          </w:rPr>
          <w:t>Considering avoided public subsidies for travel costs</w:t>
        </w:r>
        <w:r w:rsidR="00CA314A">
          <w:rPr>
            <w:noProof/>
            <w:webHidden/>
          </w:rPr>
          <w:tab/>
        </w:r>
        <w:r w:rsidR="00CA314A">
          <w:rPr>
            <w:noProof/>
            <w:webHidden/>
          </w:rPr>
          <w:fldChar w:fldCharType="begin"/>
        </w:r>
        <w:r w:rsidR="00CA314A">
          <w:rPr>
            <w:noProof/>
            <w:webHidden/>
          </w:rPr>
          <w:instrText xml:space="preserve"> PAGEREF _Toc423945946 \h </w:instrText>
        </w:r>
        <w:r w:rsidR="00CA314A">
          <w:rPr>
            <w:noProof/>
            <w:webHidden/>
          </w:rPr>
        </w:r>
        <w:r w:rsidR="00CA314A">
          <w:rPr>
            <w:noProof/>
            <w:webHidden/>
          </w:rPr>
          <w:fldChar w:fldCharType="separate"/>
        </w:r>
        <w:r w:rsidR="00CA314A">
          <w:rPr>
            <w:noProof/>
            <w:webHidden/>
          </w:rPr>
          <w:t>36</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47" w:history="1">
        <w:r w:rsidR="00CA314A" w:rsidRPr="00551097">
          <w:rPr>
            <w:rStyle w:val="Hyperlink"/>
            <w:noProof/>
          </w:rPr>
          <w:t>5.1.6</w:t>
        </w:r>
        <w:r w:rsidR="00CA314A">
          <w:rPr>
            <w:rFonts w:asciiTheme="minorHAnsi" w:eastAsiaTheme="minorEastAsia" w:hAnsiTheme="minorHAnsi" w:cstheme="minorBidi"/>
            <w:noProof/>
            <w:szCs w:val="22"/>
            <w:lang w:val="en-NZ" w:eastAsia="en-NZ"/>
          </w:rPr>
          <w:tab/>
        </w:r>
        <w:r w:rsidR="00CA314A" w:rsidRPr="00551097">
          <w:rPr>
            <w:rStyle w:val="Hyperlink"/>
            <w:noProof/>
          </w:rPr>
          <w:t>Other perspectives on cost and efficiency</w:t>
        </w:r>
        <w:r w:rsidR="00CA314A">
          <w:rPr>
            <w:noProof/>
            <w:webHidden/>
          </w:rPr>
          <w:tab/>
        </w:r>
        <w:r w:rsidR="00CA314A">
          <w:rPr>
            <w:noProof/>
            <w:webHidden/>
          </w:rPr>
          <w:fldChar w:fldCharType="begin"/>
        </w:r>
        <w:r w:rsidR="00CA314A">
          <w:rPr>
            <w:noProof/>
            <w:webHidden/>
          </w:rPr>
          <w:instrText xml:space="preserve"> PAGEREF _Toc423945947 \h </w:instrText>
        </w:r>
        <w:r w:rsidR="00CA314A">
          <w:rPr>
            <w:noProof/>
            <w:webHidden/>
          </w:rPr>
        </w:r>
        <w:r w:rsidR="00CA314A">
          <w:rPr>
            <w:noProof/>
            <w:webHidden/>
          </w:rPr>
          <w:fldChar w:fldCharType="separate"/>
        </w:r>
        <w:r w:rsidR="00CA314A">
          <w:rPr>
            <w:noProof/>
            <w:webHidden/>
          </w:rPr>
          <w:t>38</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48" w:history="1">
        <w:r w:rsidR="00CA314A" w:rsidRPr="00551097">
          <w:rPr>
            <w:rStyle w:val="Hyperlink"/>
            <w:noProof/>
          </w:rPr>
          <w:t>5.2</w:t>
        </w:r>
        <w:r w:rsidR="00CA314A">
          <w:rPr>
            <w:rFonts w:asciiTheme="minorHAnsi" w:eastAsiaTheme="minorEastAsia" w:hAnsiTheme="minorHAnsi" w:cstheme="minorBidi"/>
            <w:noProof/>
            <w:szCs w:val="22"/>
          </w:rPr>
          <w:tab/>
        </w:r>
        <w:r w:rsidR="00CA314A" w:rsidRPr="00551097">
          <w:rPr>
            <w:rStyle w:val="Hyperlink"/>
            <w:noProof/>
          </w:rPr>
          <w:t>Some observations about value for money</w:t>
        </w:r>
        <w:r w:rsidR="00CA314A">
          <w:rPr>
            <w:noProof/>
            <w:webHidden/>
          </w:rPr>
          <w:tab/>
        </w:r>
        <w:r w:rsidR="00CA314A">
          <w:rPr>
            <w:noProof/>
            <w:webHidden/>
          </w:rPr>
          <w:fldChar w:fldCharType="begin"/>
        </w:r>
        <w:r w:rsidR="00CA314A">
          <w:rPr>
            <w:noProof/>
            <w:webHidden/>
          </w:rPr>
          <w:instrText xml:space="preserve"> PAGEREF _Toc423945948 \h </w:instrText>
        </w:r>
        <w:r w:rsidR="00CA314A">
          <w:rPr>
            <w:noProof/>
            <w:webHidden/>
          </w:rPr>
        </w:r>
        <w:r w:rsidR="00CA314A">
          <w:rPr>
            <w:noProof/>
            <w:webHidden/>
          </w:rPr>
          <w:fldChar w:fldCharType="separate"/>
        </w:r>
        <w:r w:rsidR="00CA314A">
          <w:rPr>
            <w:noProof/>
            <w:webHidden/>
          </w:rPr>
          <w:t>39</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49" w:history="1">
        <w:r w:rsidR="00CA314A" w:rsidRPr="00551097">
          <w:rPr>
            <w:rStyle w:val="Hyperlink"/>
            <w:noProof/>
          </w:rPr>
          <w:t>6.</w:t>
        </w:r>
        <w:r w:rsidR="00CA314A">
          <w:rPr>
            <w:rFonts w:asciiTheme="minorHAnsi" w:eastAsiaTheme="minorEastAsia" w:hAnsiTheme="minorHAnsi" w:cstheme="minorBidi"/>
            <w:b w:val="0"/>
            <w:noProof/>
            <w:szCs w:val="22"/>
          </w:rPr>
          <w:tab/>
        </w:r>
        <w:r w:rsidR="00CA314A" w:rsidRPr="00551097">
          <w:rPr>
            <w:rStyle w:val="Hyperlink"/>
            <w:noProof/>
          </w:rPr>
          <w:t>Rural professional development services</w:t>
        </w:r>
        <w:r w:rsidR="00CA314A">
          <w:rPr>
            <w:noProof/>
            <w:webHidden/>
          </w:rPr>
          <w:tab/>
        </w:r>
        <w:r w:rsidR="00CA314A">
          <w:rPr>
            <w:noProof/>
            <w:webHidden/>
          </w:rPr>
          <w:fldChar w:fldCharType="begin"/>
        </w:r>
        <w:r w:rsidR="00CA314A">
          <w:rPr>
            <w:noProof/>
            <w:webHidden/>
          </w:rPr>
          <w:instrText xml:space="preserve"> PAGEREF _Toc423945949 \h </w:instrText>
        </w:r>
        <w:r w:rsidR="00CA314A">
          <w:rPr>
            <w:noProof/>
            <w:webHidden/>
          </w:rPr>
        </w:r>
        <w:r w:rsidR="00CA314A">
          <w:rPr>
            <w:noProof/>
            <w:webHidden/>
          </w:rPr>
          <w:fldChar w:fldCharType="separate"/>
        </w:r>
        <w:r w:rsidR="00CA314A">
          <w:rPr>
            <w:noProof/>
            <w:webHidden/>
          </w:rPr>
          <w:t>41</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50" w:history="1">
        <w:r w:rsidR="00CA314A" w:rsidRPr="00551097">
          <w:rPr>
            <w:rStyle w:val="Hyperlink"/>
            <w:noProof/>
          </w:rPr>
          <w:t>6.1</w:t>
        </w:r>
        <w:r w:rsidR="00CA314A">
          <w:rPr>
            <w:rFonts w:asciiTheme="minorHAnsi" w:eastAsiaTheme="minorEastAsia" w:hAnsiTheme="minorHAnsi" w:cstheme="minorBidi"/>
            <w:noProof/>
            <w:szCs w:val="22"/>
          </w:rPr>
          <w:tab/>
        </w:r>
        <w:r w:rsidR="00CA314A" w:rsidRPr="00551097">
          <w:rPr>
            <w:rStyle w:val="Hyperlink"/>
            <w:noProof/>
          </w:rPr>
          <w:t>Service provision – training given locally</w:t>
        </w:r>
        <w:r w:rsidR="00CA314A">
          <w:rPr>
            <w:noProof/>
            <w:webHidden/>
          </w:rPr>
          <w:tab/>
        </w:r>
        <w:r w:rsidR="00CA314A">
          <w:rPr>
            <w:noProof/>
            <w:webHidden/>
          </w:rPr>
          <w:fldChar w:fldCharType="begin"/>
        </w:r>
        <w:r w:rsidR="00CA314A">
          <w:rPr>
            <w:noProof/>
            <w:webHidden/>
          </w:rPr>
          <w:instrText xml:space="preserve"> PAGEREF _Toc423945950 \h </w:instrText>
        </w:r>
        <w:r w:rsidR="00CA314A">
          <w:rPr>
            <w:noProof/>
            <w:webHidden/>
          </w:rPr>
        </w:r>
        <w:r w:rsidR="00CA314A">
          <w:rPr>
            <w:noProof/>
            <w:webHidden/>
          </w:rPr>
          <w:fldChar w:fldCharType="separate"/>
        </w:r>
        <w:r w:rsidR="00CA314A">
          <w:rPr>
            <w:noProof/>
            <w:webHidden/>
          </w:rPr>
          <w:t>41</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1" w:history="1">
        <w:r w:rsidR="00CA314A" w:rsidRPr="00551097">
          <w:rPr>
            <w:rStyle w:val="Hyperlink"/>
            <w:noProof/>
          </w:rPr>
          <w:t>6.1.1</w:t>
        </w:r>
        <w:r w:rsidR="00CA314A">
          <w:rPr>
            <w:rFonts w:asciiTheme="minorHAnsi" w:eastAsiaTheme="minorEastAsia" w:hAnsiTheme="minorHAnsi" w:cstheme="minorBidi"/>
            <w:noProof/>
            <w:szCs w:val="22"/>
            <w:lang w:val="en-NZ" w:eastAsia="en-NZ"/>
          </w:rPr>
          <w:tab/>
        </w:r>
        <w:r w:rsidR="00CA314A" w:rsidRPr="00551097">
          <w:rPr>
            <w:rStyle w:val="Hyperlink"/>
            <w:noProof/>
          </w:rPr>
          <w:t>Rural sites choose their Continuing Professional Development sessions</w:t>
        </w:r>
        <w:r w:rsidR="00CA314A">
          <w:rPr>
            <w:noProof/>
            <w:webHidden/>
          </w:rPr>
          <w:tab/>
        </w:r>
        <w:r w:rsidR="00CA314A">
          <w:rPr>
            <w:noProof/>
            <w:webHidden/>
          </w:rPr>
          <w:fldChar w:fldCharType="begin"/>
        </w:r>
        <w:r w:rsidR="00CA314A">
          <w:rPr>
            <w:noProof/>
            <w:webHidden/>
          </w:rPr>
          <w:instrText xml:space="preserve"> PAGEREF _Toc423945951 \h </w:instrText>
        </w:r>
        <w:r w:rsidR="00CA314A">
          <w:rPr>
            <w:noProof/>
            <w:webHidden/>
          </w:rPr>
        </w:r>
        <w:r w:rsidR="00CA314A">
          <w:rPr>
            <w:noProof/>
            <w:webHidden/>
          </w:rPr>
          <w:fldChar w:fldCharType="separate"/>
        </w:r>
        <w:r w:rsidR="00CA314A">
          <w:rPr>
            <w:noProof/>
            <w:webHidden/>
          </w:rPr>
          <w:t>41</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2" w:history="1">
        <w:r w:rsidR="00CA314A" w:rsidRPr="00551097">
          <w:rPr>
            <w:rStyle w:val="Hyperlink"/>
            <w:noProof/>
          </w:rPr>
          <w:t>6.1.2</w:t>
        </w:r>
        <w:r w:rsidR="00CA314A">
          <w:rPr>
            <w:rFonts w:asciiTheme="minorHAnsi" w:eastAsiaTheme="minorEastAsia" w:hAnsiTheme="minorHAnsi" w:cstheme="minorBidi"/>
            <w:noProof/>
            <w:szCs w:val="22"/>
            <w:lang w:val="en-NZ" w:eastAsia="en-NZ"/>
          </w:rPr>
          <w:tab/>
        </w:r>
        <w:r w:rsidR="00CA314A" w:rsidRPr="00551097">
          <w:rPr>
            <w:rStyle w:val="Hyperlink"/>
            <w:noProof/>
          </w:rPr>
          <w:t>Continuing Professional Development sessions are seen as relevant and engaging</w:t>
        </w:r>
        <w:r w:rsidR="00CA314A">
          <w:rPr>
            <w:noProof/>
            <w:webHidden/>
          </w:rPr>
          <w:tab/>
        </w:r>
        <w:r w:rsidR="00CA314A">
          <w:rPr>
            <w:noProof/>
            <w:webHidden/>
          </w:rPr>
          <w:fldChar w:fldCharType="begin"/>
        </w:r>
        <w:r w:rsidR="00CA314A">
          <w:rPr>
            <w:noProof/>
            <w:webHidden/>
          </w:rPr>
          <w:instrText xml:space="preserve"> PAGEREF _Toc423945952 \h </w:instrText>
        </w:r>
        <w:r w:rsidR="00CA314A">
          <w:rPr>
            <w:noProof/>
            <w:webHidden/>
          </w:rPr>
        </w:r>
        <w:r w:rsidR="00CA314A">
          <w:rPr>
            <w:noProof/>
            <w:webHidden/>
          </w:rPr>
          <w:fldChar w:fldCharType="separate"/>
        </w:r>
        <w:r w:rsidR="00CA314A">
          <w:rPr>
            <w:noProof/>
            <w:webHidden/>
          </w:rPr>
          <w:t>42</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3" w:history="1">
        <w:r w:rsidR="00CA314A" w:rsidRPr="00551097">
          <w:rPr>
            <w:rStyle w:val="Hyperlink"/>
            <w:noProof/>
          </w:rPr>
          <w:t>6.1.3</w:t>
        </w:r>
        <w:r w:rsidR="00CA314A">
          <w:rPr>
            <w:rFonts w:asciiTheme="minorHAnsi" w:eastAsiaTheme="minorEastAsia" w:hAnsiTheme="minorHAnsi" w:cstheme="minorBidi"/>
            <w:noProof/>
            <w:szCs w:val="22"/>
            <w:lang w:val="en-NZ" w:eastAsia="en-NZ"/>
          </w:rPr>
          <w:tab/>
        </w:r>
        <w:r w:rsidR="00CA314A" w:rsidRPr="00551097">
          <w:rPr>
            <w:rStyle w:val="Hyperlink"/>
            <w:noProof/>
          </w:rPr>
          <w:t>The opportunity to link with local peers is valued</w:t>
        </w:r>
        <w:r w:rsidR="00CA314A">
          <w:rPr>
            <w:noProof/>
            <w:webHidden/>
          </w:rPr>
          <w:tab/>
        </w:r>
        <w:r w:rsidR="00CA314A">
          <w:rPr>
            <w:noProof/>
            <w:webHidden/>
          </w:rPr>
          <w:fldChar w:fldCharType="begin"/>
        </w:r>
        <w:r w:rsidR="00CA314A">
          <w:rPr>
            <w:noProof/>
            <w:webHidden/>
          </w:rPr>
          <w:instrText xml:space="preserve"> PAGEREF _Toc423945953 \h </w:instrText>
        </w:r>
        <w:r w:rsidR="00CA314A">
          <w:rPr>
            <w:noProof/>
            <w:webHidden/>
          </w:rPr>
        </w:r>
        <w:r w:rsidR="00CA314A">
          <w:rPr>
            <w:noProof/>
            <w:webHidden/>
          </w:rPr>
          <w:fldChar w:fldCharType="separate"/>
        </w:r>
        <w:r w:rsidR="00CA314A">
          <w:rPr>
            <w:noProof/>
            <w:webHidden/>
          </w:rPr>
          <w:t>43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4" w:history="1">
        <w:r w:rsidR="00CA314A" w:rsidRPr="00551097">
          <w:rPr>
            <w:rStyle w:val="Hyperlink"/>
            <w:noProof/>
          </w:rPr>
          <w:t>6.1.4</w:t>
        </w:r>
        <w:r w:rsidR="00CA314A">
          <w:rPr>
            <w:rFonts w:asciiTheme="minorHAnsi" w:eastAsiaTheme="minorEastAsia" w:hAnsiTheme="minorHAnsi" w:cstheme="minorBidi"/>
            <w:noProof/>
            <w:szCs w:val="22"/>
            <w:lang w:val="en-NZ" w:eastAsia="en-NZ"/>
          </w:rPr>
          <w:tab/>
        </w:r>
        <w:r w:rsidR="00CA314A" w:rsidRPr="00551097">
          <w:rPr>
            <w:rStyle w:val="Hyperlink"/>
            <w:noProof/>
          </w:rPr>
          <w:t>The telepresence experience is seen as high quality</w:t>
        </w:r>
        <w:r w:rsidR="00CA314A">
          <w:rPr>
            <w:noProof/>
            <w:webHidden/>
          </w:rPr>
          <w:tab/>
        </w:r>
        <w:r w:rsidR="00CA314A">
          <w:rPr>
            <w:noProof/>
            <w:webHidden/>
          </w:rPr>
          <w:fldChar w:fldCharType="begin"/>
        </w:r>
        <w:r w:rsidR="00CA314A">
          <w:rPr>
            <w:noProof/>
            <w:webHidden/>
          </w:rPr>
          <w:instrText xml:space="preserve"> PAGEREF _Toc423945954 \h </w:instrText>
        </w:r>
        <w:r w:rsidR="00CA314A">
          <w:rPr>
            <w:noProof/>
            <w:webHidden/>
          </w:rPr>
        </w:r>
        <w:r w:rsidR="00CA314A">
          <w:rPr>
            <w:noProof/>
            <w:webHidden/>
          </w:rPr>
          <w:fldChar w:fldCharType="separate"/>
        </w:r>
        <w:r w:rsidR="00CA314A">
          <w:rPr>
            <w:noProof/>
            <w:webHidden/>
          </w:rPr>
          <w:t>43</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55" w:history="1">
        <w:r w:rsidR="00CA314A" w:rsidRPr="00551097">
          <w:rPr>
            <w:rStyle w:val="Hyperlink"/>
            <w:noProof/>
          </w:rPr>
          <w:t>6.2</w:t>
        </w:r>
        <w:r w:rsidR="00CA314A">
          <w:rPr>
            <w:rFonts w:asciiTheme="minorHAnsi" w:eastAsiaTheme="minorEastAsia" w:hAnsiTheme="minorHAnsi" w:cstheme="minorBidi"/>
            <w:noProof/>
            <w:szCs w:val="22"/>
          </w:rPr>
          <w:tab/>
        </w:r>
        <w:r w:rsidR="00CA314A" w:rsidRPr="00551097">
          <w:rPr>
            <w:rStyle w:val="Hyperlink"/>
            <w:noProof/>
          </w:rPr>
          <w:t>Impacts and outcomes – a valued service</w:t>
        </w:r>
        <w:r w:rsidR="00CA314A">
          <w:rPr>
            <w:noProof/>
            <w:webHidden/>
          </w:rPr>
          <w:tab/>
        </w:r>
        <w:r w:rsidR="00CA314A">
          <w:rPr>
            <w:noProof/>
            <w:webHidden/>
          </w:rPr>
          <w:fldChar w:fldCharType="begin"/>
        </w:r>
        <w:r w:rsidR="00CA314A">
          <w:rPr>
            <w:noProof/>
            <w:webHidden/>
          </w:rPr>
          <w:instrText xml:space="preserve"> PAGEREF _Toc423945955 \h </w:instrText>
        </w:r>
        <w:r w:rsidR="00CA314A">
          <w:rPr>
            <w:noProof/>
            <w:webHidden/>
          </w:rPr>
        </w:r>
        <w:r w:rsidR="00CA314A">
          <w:rPr>
            <w:noProof/>
            <w:webHidden/>
          </w:rPr>
          <w:fldChar w:fldCharType="separate"/>
        </w:r>
        <w:r w:rsidR="00CA314A">
          <w:rPr>
            <w:noProof/>
            <w:webHidden/>
          </w:rPr>
          <w:t>43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6" w:history="1">
        <w:r w:rsidR="00CA314A" w:rsidRPr="00551097">
          <w:rPr>
            <w:rStyle w:val="Hyperlink"/>
            <w:noProof/>
          </w:rPr>
          <w:t>6.2.1</w:t>
        </w:r>
        <w:r w:rsidR="00CA314A">
          <w:rPr>
            <w:rFonts w:asciiTheme="minorHAnsi" w:eastAsiaTheme="minorEastAsia" w:hAnsiTheme="minorHAnsi" w:cstheme="minorBidi"/>
            <w:noProof/>
            <w:szCs w:val="22"/>
            <w:lang w:val="en-NZ" w:eastAsia="en-NZ"/>
          </w:rPr>
          <w:tab/>
        </w:r>
        <w:r w:rsidR="00CA314A" w:rsidRPr="00551097">
          <w:rPr>
            <w:rStyle w:val="Hyperlink"/>
            <w:noProof/>
          </w:rPr>
          <w:t>Evidence of some application of skills</w:t>
        </w:r>
        <w:r w:rsidR="00CA314A">
          <w:rPr>
            <w:noProof/>
            <w:webHidden/>
          </w:rPr>
          <w:tab/>
        </w:r>
        <w:r w:rsidR="00CA314A">
          <w:rPr>
            <w:noProof/>
            <w:webHidden/>
          </w:rPr>
          <w:fldChar w:fldCharType="begin"/>
        </w:r>
        <w:r w:rsidR="00CA314A">
          <w:rPr>
            <w:noProof/>
            <w:webHidden/>
          </w:rPr>
          <w:instrText xml:space="preserve"> PAGEREF _Toc423945956 \h </w:instrText>
        </w:r>
        <w:r w:rsidR="00CA314A">
          <w:rPr>
            <w:noProof/>
            <w:webHidden/>
          </w:rPr>
        </w:r>
        <w:r w:rsidR="00CA314A">
          <w:rPr>
            <w:noProof/>
            <w:webHidden/>
          </w:rPr>
          <w:fldChar w:fldCharType="separate"/>
        </w:r>
        <w:r w:rsidR="00CA314A">
          <w:rPr>
            <w:noProof/>
            <w:webHidden/>
          </w:rPr>
          <w:t>43</w:t>
        </w:r>
        <w:r w:rsidR="00CA314A">
          <w:rPr>
            <w:noProof/>
            <w:webHidden/>
          </w:rPr>
          <w:fldChar w:fldCharType="end"/>
        </w:r>
      </w:hyperlink>
    </w:p>
    <w:p w:rsidR="00CA314A" w:rsidRDefault="00364E31">
      <w:pPr>
        <w:pStyle w:val="TOC3"/>
        <w:rPr>
          <w:rFonts w:asciiTheme="minorHAnsi" w:eastAsiaTheme="minorEastAsia" w:hAnsiTheme="minorHAnsi" w:cstheme="minorBidi"/>
          <w:noProof/>
          <w:szCs w:val="22"/>
          <w:lang w:val="en-NZ" w:eastAsia="en-NZ"/>
        </w:rPr>
      </w:pPr>
      <w:hyperlink w:anchor="_Toc423945957" w:history="1">
        <w:r w:rsidR="00CA314A" w:rsidRPr="00551097">
          <w:rPr>
            <w:rStyle w:val="Hyperlink"/>
            <w:noProof/>
          </w:rPr>
          <w:t>6.2.2</w:t>
        </w:r>
        <w:r w:rsidR="00CA314A">
          <w:rPr>
            <w:rFonts w:asciiTheme="minorHAnsi" w:eastAsiaTheme="minorEastAsia" w:hAnsiTheme="minorHAnsi" w:cstheme="minorBidi"/>
            <w:noProof/>
            <w:szCs w:val="22"/>
            <w:lang w:val="en-NZ" w:eastAsia="en-NZ"/>
          </w:rPr>
          <w:tab/>
        </w:r>
        <w:r w:rsidR="00CA314A" w:rsidRPr="00551097">
          <w:rPr>
            <w:rStyle w:val="Hyperlink"/>
            <w:noProof/>
          </w:rPr>
          <w:t>Limited findings on recruitment and retention</w:t>
        </w:r>
        <w:r w:rsidR="00CA314A">
          <w:rPr>
            <w:noProof/>
            <w:webHidden/>
          </w:rPr>
          <w:tab/>
        </w:r>
        <w:r w:rsidR="00CA314A">
          <w:rPr>
            <w:noProof/>
            <w:webHidden/>
          </w:rPr>
          <w:fldChar w:fldCharType="begin"/>
        </w:r>
        <w:r w:rsidR="00CA314A">
          <w:rPr>
            <w:noProof/>
            <w:webHidden/>
          </w:rPr>
          <w:instrText xml:space="preserve"> PAGEREF _Toc423945957 \h </w:instrText>
        </w:r>
        <w:r w:rsidR="00CA314A">
          <w:rPr>
            <w:noProof/>
            <w:webHidden/>
          </w:rPr>
        </w:r>
        <w:r w:rsidR="00CA314A">
          <w:rPr>
            <w:noProof/>
            <w:webHidden/>
          </w:rPr>
          <w:fldChar w:fldCharType="separate"/>
        </w:r>
        <w:r w:rsidR="00CA314A">
          <w:rPr>
            <w:noProof/>
            <w:webHidden/>
          </w:rPr>
          <w:t>44</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58" w:history="1">
        <w:r w:rsidR="00CA314A" w:rsidRPr="00551097">
          <w:rPr>
            <w:rStyle w:val="Hyperlink"/>
            <w:noProof/>
          </w:rPr>
          <w:t>6.3</w:t>
        </w:r>
        <w:r w:rsidR="00CA314A">
          <w:rPr>
            <w:rFonts w:asciiTheme="minorHAnsi" w:eastAsiaTheme="minorEastAsia" w:hAnsiTheme="minorHAnsi" w:cstheme="minorBidi"/>
            <w:noProof/>
            <w:szCs w:val="22"/>
          </w:rPr>
          <w:tab/>
        </w:r>
        <w:r w:rsidR="00CA314A" w:rsidRPr="00551097">
          <w:rPr>
            <w:rStyle w:val="Hyperlink"/>
            <w:noProof/>
          </w:rPr>
          <w:t>Economic considerations of training</w:t>
        </w:r>
        <w:r w:rsidR="00CA314A">
          <w:rPr>
            <w:noProof/>
            <w:webHidden/>
          </w:rPr>
          <w:tab/>
        </w:r>
        <w:r w:rsidR="00CA314A">
          <w:rPr>
            <w:noProof/>
            <w:webHidden/>
          </w:rPr>
          <w:fldChar w:fldCharType="begin"/>
        </w:r>
        <w:r w:rsidR="00CA314A">
          <w:rPr>
            <w:noProof/>
            <w:webHidden/>
          </w:rPr>
          <w:instrText xml:space="preserve"> PAGEREF _Toc423945958 \h </w:instrText>
        </w:r>
        <w:r w:rsidR="00CA314A">
          <w:rPr>
            <w:noProof/>
            <w:webHidden/>
          </w:rPr>
        </w:r>
        <w:r w:rsidR="00CA314A">
          <w:rPr>
            <w:noProof/>
            <w:webHidden/>
          </w:rPr>
          <w:fldChar w:fldCharType="separate"/>
        </w:r>
        <w:r w:rsidR="00CA314A">
          <w:rPr>
            <w:noProof/>
            <w:webHidden/>
          </w:rPr>
          <w:t>44</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59" w:history="1">
        <w:r w:rsidR="00CA314A" w:rsidRPr="00551097">
          <w:rPr>
            <w:rStyle w:val="Hyperlink"/>
            <w:noProof/>
          </w:rPr>
          <w:t>7.</w:t>
        </w:r>
        <w:r w:rsidR="00CA314A">
          <w:rPr>
            <w:rFonts w:asciiTheme="minorHAnsi" w:eastAsiaTheme="minorEastAsia" w:hAnsiTheme="minorHAnsi" w:cstheme="minorBidi"/>
            <w:b w:val="0"/>
            <w:noProof/>
            <w:szCs w:val="22"/>
          </w:rPr>
          <w:tab/>
        </w:r>
        <w:r w:rsidR="00CA314A" w:rsidRPr="00551097">
          <w:rPr>
            <w:rStyle w:val="Hyperlink"/>
            <w:noProof/>
          </w:rPr>
          <w:t>Remote collaboration</w:t>
        </w:r>
        <w:r w:rsidR="00CA314A">
          <w:rPr>
            <w:noProof/>
            <w:webHidden/>
          </w:rPr>
          <w:tab/>
        </w:r>
        <w:r w:rsidR="00CA314A">
          <w:rPr>
            <w:noProof/>
            <w:webHidden/>
          </w:rPr>
          <w:fldChar w:fldCharType="begin"/>
        </w:r>
        <w:r w:rsidR="00CA314A">
          <w:rPr>
            <w:noProof/>
            <w:webHidden/>
          </w:rPr>
          <w:instrText xml:space="preserve"> PAGEREF _Toc423945959 \h </w:instrText>
        </w:r>
        <w:r w:rsidR="00CA314A">
          <w:rPr>
            <w:noProof/>
            <w:webHidden/>
          </w:rPr>
        </w:r>
        <w:r w:rsidR="00CA314A">
          <w:rPr>
            <w:noProof/>
            <w:webHidden/>
          </w:rPr>
          <w:fldChar w:fldCharType="separate"/>
        </w:r>
        <w:r w:rsidR="00CA314A">
          <w:rPr>
            <w:noProof/>
            <w:webHidden/>
          </w:rPr>
          <w:t>46</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60" w:history="1">
        <w:r w:rsidR="00CA314A" w:rsidRPr="00551097">
          <w:rPr>
            <w:rStyle w:val="Hyperlink"/>
            <w:noProof/>
          </w:rPr>
          <w:t>8.</w:t>
        </w:r>
        <w:r w:rsidR="00CA314A">
          <w:rPr>
            <w:rFonts w:asciiTheme="minorHAnsi" w:eastAsiaTheme="minorEastAsia" w:hAnsiTheme="minorHAnsi" w:cstheme="minorBidi"/>
            <w:b w:val="0"/>
            <w:noProof/>
            <w:szCs w:val="22"/>
          </w:rPr>
          <w:tab/>
        </w:r>
        <w:r w:rsidR="00CA314A" w:rsidRPr="00551097">
          <w:rPr>
            <w:rStyle w:val="Hyperlink"/>
            <w:noProof/>
          </w:rPr>
          <w:t>Concluding remarks</w:t>
        </w:r>
        <w:r w:rsidR="00CA314A">
          <w:rPr>
            <w:noProof/>
            <w:webHidden/>
          </w:rPr>
          <w:tab/>
        </w:r>
        <w:r w:rsidR="00CA314A">
          <w:rPr>
            <w:noProof/>
            <w:webHidden/>
          </w:rPr>
          <w:fldChar w:fldCharType="begin"/>
        </w:r>
        <w:r w:rsidR="00CA314A">
          <w:rPr>
            <w:noProof/>
            <w:webHidden/>
          </w:rPr>
          <w:instrText xml:space="preserve"> PAGEREF _Toc423945960 \h </w:instrText>
        </w:r>
        <w:r w:rsidR="00CA314A">
          <w:rPr>
            <w:noProof/>
            <w:webHidden/>
          </w:rPr>
        </w:r>
        <w:r w:rsidR="00CA314A">
          <w:rPr>
            <w:noProof/>
            <w:webHidden/>
          </w:rPr>
          <w:fldChar w:fldCharType="separate"/>
        </w:r>
        <w:r w:rsidR="00CA314A">
          <w:rPr>
            <w:noProof/>
            <w:webHidden/>
          </w:rPr>
          <w:t>47</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61" w:history="1">
        <w:r w:rsidR="00CA314A" w:rsidRPr="00551097">
          <w:rPr>
            <w:rStyle w:val="Hyperlink"/>
            <w:noProof/>
          </w:rPr>
          <w:t>8.1</w:t>
        </w:r>
        <w:r w:rsidR="00CA314A">
          <w:rPr>
            <w:rFonts w:asciiTheme="minorHAnsi" w:eastAsiaTheme="minorEastAsia" w:hAnsiTheme="minorHAnsi" w:cstheme="minorBidi"/>
            <w:noProof/>
            <w:szCs w:val="22"/>
          </w:rPr>
          <w:tab/>
        </w:r>
        <w:r w:rsidR="00CA314A" w:rsidRPr="00551097">
          <w:rPr>
            <w:rStyle w:val="Hyperlink"/>
            <w:noProof/>
          </w:rPr>
          <w:t>Mobile surgical services</w:t>
        </w:r>
        <w:r w:rsidR="00CA314A">
          <w:rPr>
            <w:noProof/>
            <w:webHidden/>
          </w:rPr>
          <w:tab/>
        </w:r>
        <w:r w:rsidR="00CA314A">
          <w:rPr>
            <w:noProof/>
            <w:webHidden/>
          </w:rPr>
          <w:fldChar w:fldCharType="begin"/>
        </w:r>
        <w:r w:rsidR="00CA314A">
          <w:rPr>
            <w:noProof/>
            <w:webHidden/>
          </w:rPr>
          <w:instrText xml:space="preserve"> PAGEREF _Toc423945961 \h </w:instrText>
        </w:r>
        <w:r w:rsidR="00CA314A">
          <w:rPr>
            <w:noProof/>
            <w:webHidden/>
          </w:rPr>
        </w:r>
        <w:r w:rsidR="00CA314A">
          <w:rPr>
            <w:noProof/>
            <w:webHidden/>
          </w:rPr>
          <w:fldChar w:fldCharType="separate"/>
        </w:r>
        <w:r w:rsidR="00CA314A">
          <w:rPr>
            <w:noProof/>
            <w:webHidden/>
          </w:rPr>
          <w:t>47</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62" w:history="1">
        <w:r w:rsidR="00CA314A" w:rsidRPr="00551097">
          <w:rPr>
            <w:rStyle w:val="Hyperlink"/>
            <w:noProof/>
          </w:rPr>
          <w:t>8.2</w:t>
        </w:r>
        <w:r w:rsidR="00CA314A">
          <w:rPr>
            <w:rFonts w:asciiTheme="minorHAnsi" w:eastAsiaTheme="minorEastAsia" w:hAnsiTheme="minorHAnsi" w:cstheme="minorBidi"/>
            <w:noProof/>
            <w:szCs w:val="22"/>
          </w:rPr>
          <w:tab/>
        </w:r>
        <w:r w:rsidR="00CA314A" w:rsidRPr="00551097">
          <w:rPr>
            <w:rStyle w:val="Hyperlink"/>
            <w:noProof/>
          </w:rPr>
          <w:t>Rural health professional development services</w:t>
        </w:r>
        <w:r w:rsidR="00CA314A">
          <w:rPr>
            <w:noProof/>
            <w:webHidden/>
          </w:rPr>
          <w:tab/>
        </w:r>
        <w:r w:rsidR="00CA314A">
          <w:rPr>
            <w:noProof/>
            <w:webHidden/>
          </w:rPr>
          <w:fldChar w:fldCharType="begin"/>
        </w:r>
        <w:r w:rsidR="00CA314A">
          <w:rPr>
            <w:noProof/>
            <w:webHidden/>
          </w:rPr>
          <w:instrText xml:space="preserve"> PAGEREF _Toc423945962 \h </w:instrText>
        </w:r>
        <w:r w:rsidR="00CA314A">
          <w:rPr>
            <w:noProof/>
            <w:webHidden/>
          </w:rPr>
        </w:r>
        <w:r w:rsidR="00CA314A">
          <w:rPr>
            <w:noProof/>
            <w:webHidden/>
          </w:rPr>
          <w:fldChar w:fldCharType="separate"/>
        </w:r>
        <w:r w:rsidR="00CA314A">
          <w:rPr>
            <w:noProof/>
            <w:webHidden/>
          </w:rPr>
          <w:t>48</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63" w:history="1">
        <w:r w:rsidR="00CA314A" w:rsidRPr="00551097">
          <w:rPr>
            <w:rStyle w:val="Hyperlink"/>
            <w:noProof/>
          </w:rPr>
          <w:t>8.3</w:t>
        </w:r>
        <w:r w:rsidR="00CA314A">
          <w:rPr>
            <w:rFonts w:asciiTheme="minorHAnsi" w:eastAsiaTheme="minorEastAsia" w:hAnsiTheme="minorHAnsi" w:cstheme="minorBidi"/>
            <w:noProof/>
            <w:szCs w:val="22"/>
          </w:rPr>
          <w:tab/>
        </w:r>
        <w:r w:rsidR="00CA314A" w:rsidRPr="00551097">
          <w:rPr>
            <w:rStyle w:val="Hyperlink"/>
            <w:noProof/>
          </w:rPr>
          <w:t>Remote collaboration services</w:t>
        </w:r>
        <w:r w:rsidR="00CA314A">
          <w:rPr>
            <w:noProof/>
            <w:webHidden/>
          </w:rPr>
          <w:tab/>
        </w:r>
        <w:r w:rsidR="00CA314A">
          <w:rPr>
            <w:noProof/>
            <w:webHidden/>
          </w:rPr>
          <w:fldChar w:fldCharType="begin"/>
        </w:r>
        <w:r w:rsidR="00CA314A">
          <w:rPr>
            <w:noProof/>
            <w:webHidden/>
          </w:rPr>
          <w:instrText xml:space="preserve"> PAGEREF _Toc423945963 \h </w:instrText>
        </w:r>
        <w:r w:rsidR="00CA314A">
          <w:rPr>
            <w:noProof/>
            <w:webHidden/>
          </w:rPr>
        </w:r>
        <w:r w:rsidR="00CA314A">
          <w:rPr>
            <w:noProof/>
            <w:webHidden/>
          </w:rPr>
          <w:fldChar w:fldCharType="separate"/>
        </w:r>
        <w:r w:rsidR="00CA314A">
          <w:rPr>
            <w:noProof/>
            <w:webHidden/>
          </w:rPr>
          <w:t>49</w:t>
        </w:r>
        <w:r w:rsidR="00CA314A">
          <w:rPr>
            <w:noProof/>
            <w:webHidden/>
          </w:rPr>
          <w:fldChar w:fldCharType="end"/>
        </w:r>
      </w:hyperlink>
    </w:p>
    <w:p w:rsidR="00CA314A" w:rsidRDefault="00364E31">
      <w:pPr>
        <w:pStyle w:val="TOC2"/>
        <w:rPr>
          <w:rFonts w:asciiTheme="minorHAnsi" w:eastAsiaTheme="minorEastAsia" w:hAnsiTheme="minorHAnsi" w:cstheme="minorBidi"/>
          <w:noProof/>
          <w:szCs w:val="22"/>
        </w:rPr>
      </w:pPr>
      <w:hyperlink w:anchor="_Toc423945964" w:history="1">
        <w:r w:rsidR="00CA314A" w:rsidRPr="00551097">
          <w:rPr>
            <w:rStyle w:val="Hyperlink"/>
            <w:noProof/>
          </w:rPr>
          <w:t>8.4</w:t>
        </w:r>
        <w:r w:rsidR="00CA314A">
          <w:rPr>
            <w:rFonts w:asciiTheme="minorHAnsi" w:eastAsiaTheme="minorEastAsia" w:hAnsiTheme="minorHAnsi" w:cstheme="minorBidi"/>
            <w:noProof/>
            <w:szCs w:val="22"/>
          </w:rPr>
          <w:tab/>
        </w:r>
        <w:r w:rsidR="00CA314A" w:rsidRPr="00551097">
          <w:rPr>
            <w:rStyle w:val="Hyperlink"/>
            <w:noProof/>
          </w:rPr>
          <w:t>Looking across the services</w:t>
        </w:r>
        <w:r w:rsidR="00CA314A">
          <w:rPr>
            <w:noProof/>
            <w:webHidden/>
          </w:rPr>
          <w:tab/>
        </w:r>
        <w:r w:rsidR="00CA314A">
          <w:rPr>
            <w:noProof/>
            <w:webHidden/>
          </w:rPr>
          <w:fldChar w:fldCharType="begin"/>
        </w:r>
        <w:r w:rsidR="00CA314A">
          <w:rPr>
            <w:noProof/>
            <w:webHidden/>
          </w:rPr>
          <w:instrText xml:space="preserve"> PAGEREF _Toc423945964 \h </w:instrText>
        </w:r>
        <w:r w:rsidR="00CA314A">
          <w:rPr>
            <w:noProof/>
            <w:webHidden/>
          </w:rPr>
        </w:r>
        <w:r w:rsidR="00CA314A">
          <w:rPr>
            <w:noProof/>
            <w:webHidden/>
          </w:rPr>
          <w:fldChar w:fldCharType="separate"/>
        </w:r>
        <w:r w:rsidR="00CA314A">
          <w:rPr>
            <w:noProof/>
            <w:webHidden/>
          </w:rPr>
          <w:t>49</w:t>
        </w:r>
        <w:r w:rsidR="00CA314A">
          <w:rPr>
            <w:noProof/>
            <w:webHidden/>
          </w:rPr>
          <w:fldChar w:fldCharType="end"/>
        </w:r>
      </w:hyperlink>
    </w:p>
    <w:p w:rsidR="00CA314A" w:rsidRDefault="00364E31">
      <w:pPr>
        <w:pStyle w:val="TOC1"/>
        <w:rPr>
          <w:rFonts w:asciiTheme="minorHAnsi" w:eastAsiaTheme="minorEastAsia" w:hAnsiTheme="minorHAnsi" w:cstheme="minorBidi"/>
          <w:b w:val="0"/>
          <w:noProof/>
          <w:szCs w:val="22"/>
        </w:rPr>
      </w:pPr>
      <w:hyperlink w:anchor="_Toc423945965" w:history="1">
        <w:r w:rsidR="00CA314A" w:rsidRPr="00551097">
          <w:rPr>
            <w:rStyle w:val="Hyperlink"/>
            <w:noProof/>
          </w:rPr>
          <w:t>References</w:t>
        </w:r>
        <w:r w:rsidR="00CA314A">
          <w:rPr>
            <w:noProof/>
            <w:webHidden/>
          </w:rPr>
          <w:tab/>
        </w:r>
        <w:r w:rsidR="00CA314A">
          <w:rPr>
            <w:noProof/>
            <w:webHidden/>
          </w:rPr>
          <w:fldChar w:fldCharType="begin"/>
        </w:r>
        <w:r w:rsidR="00CA314A">
          <w:rPr>
            <w:noProof/>
            <w:webHidden/>
          </w:rPr>
          <w:instrText xml:space="preserve"> PAGEREF _Toc423945965 \h </w:instrText>
        </w:r>
        <w:r w:rsidR="00CA314A">
          <w:rPr>
            <w:noProof/>
            <w:webHidden/>
          </w:rPr>
        </w:r>
        <w:r w:rsidR="00CA314A">
          <w:rPr>
            <w:noProof/>
            <w:webHidden/>
          </w:rPr>
          <w:fldChar w:fldCharType="separate"/>
        </w:r>
        <w:r w:rsidR="00CA314A">
          <w:rPr>
            <w:noProof/>
            <w:webHidden/>
          </w:rPr>
          <w:t>50</w:t>
        </w:r>
        <w:r w:rsidR="00CA314A">
          <w:rPr>
            <w:noProof/>
            <w:webHidden/>
          </w:rPr>
          <w:fldChar w:fldCharType="end"/>
        </w:r>
      </w:hyperlink>
    </w:p>
    <w:p w:rsidR="00546798" w:rsidRPr="00546798" w:rsidRDefault="003A13FF" w:rsidP="006245B6">
      <w:pPr>
        <w:pStyle w:val="Whitespace"/>
        <w:spacing w:after="0"/>
        <w:rPr>
          <w:sz w:val="2"/>
          <w:szCs w:val="2"/>
        </w:rPr>
      </w:pPr>
      <w:r>
        <w:rPr>
          <w:sz w:val="22"/>
          <w:szCs w:val="24"/>
          <w:lang w:val="en-NZ" w:eastAsia="en-NZ"/>
        </w:rPr>
        <w:fldChar w:fldCharType="end"/>
      </w:r>
    </w:p>
    <w:p w:rsidR="003A13FF" w:rsidRDefault="003A13FF" w:rsidP="003A13FF">
      <w:pPr>
        <w:pStyle w:val="UnnumtextBodytext"/>
        <w:spacing w:after="0" w:line="240" w:lineRule="auto"/>
        <w:rPr>
          <w:sz w:val="2"/>
        </w:rPr>
      </w:pPr>
      <w:bookmarkStart w:id="2" w:name="TOCSection"/>
    </w:p>
    <w:p w:rsidR="003A13FF" w:rsidRDefault="003A13FF">
      <w:pPr>
        <w:pStyle w:val="Heading-tableofappendices"/>
      </w:pPr>
      <w:r>
        <w:t>Appendices</w:t>
      </w:r>
    </w:p>
    <w:p w:rsidR="00CA314A" w:rsidRDefault="003A13FF">
      <w:pPr>
        <w:pStyle w:val="TOC6"/>
        <w:rPr>
          <w:rFonts w:asciiTheme="minorHAnsi" w:eastAsiaTheme="minorEastAsia" w:hAnsiTheme="minorHAnsi" w:cstheme="minorBidi"/>
          <w:noProof/>
          <w:szCs w:val="22"/>
          <w:lang w:val="en-NZ" w:eastAsia="en-NZ"/>
        </w:rPr>
      </w:pPr>
      <w:r w:rsidRPr="00DF20AA">
        <w:rPr>
          <w:szCs w:val="22"/>
        </w:rPr>
        <w:fldChar w:fldCharType="begin"/>
      </w:r>
      <w:r>
        <w:rPr>
          <w:szCs w:val="22"/>
        </w:rPr>
        <w:instrText xml:space="preserve"> TOC \h \t "Apx Heading 1,6" </w:instrText>
      </w:r>
      <w:r w:rsidRPr="00DF20AA">
        <w:rPr>
          <w:szCs w:val="22"/>
        </w:rPr>
        <w:fldChar w:fldCharType="separate"/>
      </w:r>
      <w:hyperlink w:anchor="_Toc423945966" w:history="1">
        <w:r w:rsidR="00CA314A" w:rsidRPr="00E82E3C">
          <w:rPr>
            <w:rStyle w:val="Hyperlink"/>
            <w:noProof/>
          </w:rPr>
          <w:t>Appendix 1 : Stakeholder interview list</w:t>
        </w:r>
        <w:r w:rsidR="00CA314A">
          <w:rPr>
            <w:noProof/>
          </w:rPr>
          <w:tab/>
        </w:r>
        <w:r w:rsidR="00CA314A">
          <w:rPr>
            <w:noProof/>
          </w:rPr>
          <w:fldChar w:fldCharType="begin"/>
        </w:r>
        <w:r w:rsidR="00CA314A">
          <w:rPr>
            <w:noProof/>
          </w:rPr>
          <w:instrText xml:space="preserve"> PAGEREF _Toc423945966 \h </w:instrText>
        </w:r>
        <w:r w:rsidR="00CA314A">
          <w:rPr>
            <w:noProof/>
          </w:rPr>
        </w:r>
        <w:r w:rsidR="00CA314A">
          <w:rPr>
            <w:noProof/>
          </w:rPr>
          <w:fldChar w:fldCharType="separate"/>
        </w:r>
        <w:r w:rsidR="00CA314A">
          <w:rPr>
            <w:noProof/>
          </w:rPr>
          <w:t>51</w:t>
        </w:r>
        <w:r w:rsidR="00CA314A">
          <w:rPr>
            <w:noProof/>
          </w:rPr>
          <w:fldChar w:fldCharType="end"/>
        </w:r>
      </w:hyperlink>
    </w:p>
    <w:p w:rsidR="00CA314A" w:rsidRDefault="00364E31">
      <w:pPr>
        <w:pStyle w:val="TOC6"/>
        <w:rPr>
          <w:rFonts w:asciiTheme="minorHAnsi" w:eastAsiaTheme="minorEastAsia" w:hAnsiTheme="minorHAnsi" w:cstheme="minorBidi"/>
          <w:noProof/>
          <w:szCs w:val="22"/>
          <w:lang w:val="en-NZ" w:eastAsia="en-NZ"/>
        </w:rPr>
      </w:pPr>
      <w:hyperlink w:anchor="_Toc423945967" w:history="1">
        <w:r w:rsidR="00CA314A" w:rsidRPr="00E82E3C">
          <w:rPr>
            <w:rStyle w:val="Hyperlink"/>
            <w:noProof/>
          </w:rPr>
          <w:t>Appendix 2 : Assessment of patient research against HDEC criteria</w:t>
        </w:r>
        <w:r w:rsidR="00CA314A">
          <w:rPr>
            <w:noProof/>
          </w:rPr>
          <w:tab/>
        </w:r>
        <w:r w:rsidR="00CA314A">
          <w:rPr>
            <w:noProof/>
          </w:rPr>
          <w:fldChar w:fldCharType="begin"/>
        </w:r>
        <w:r w:rsidR="00CA314A">
          <w:rPr>
            <w:noProof/>
          </w:rPr>
          <w:instrText xml:space="preserve"> PAGEREF _Toc423945967 \h </w:instrText>
        </w:r>
        <w:r w:rsidR="00CA314A">
          <w:rPr>
            <w:noProof/>
          </w:rPr>
        </w:r>
        <w:r w:rsidR="00CA314A">
          <w:rPr>
            <w:noProof/>
          </w:rPr>
          <w:fldChar w:fldCharType="separate"/>
        </w:r>
        <w:r w:rsidR="00CA314A">
          <w:rPr>
            <w:noProof/>
          </w:rPr>
          <w:t>52</w:t>
        </w:r>
        <w:r w:rsidR="00CA314A">
          <w:rPr>
            <w:noProof/>
          </w:rPr>
          <w:fldChar w:fldCharType="end"/>
        </w:r>
      </w:hyperlink>
    </w:p>
    <w:p w:rsidR="00CA314A" w:rsidRDefault="00364E31">
      <w:pPr>
        <w:pStyle w:val="TOC6"/>
        <w:rPr>
          <w:rFonts w:asciiTheme="minorHAnsi" w:eastAsiaTheme="minorEastAsia" w:hAnsiTheme="minorHAnsi" w:cstheme="minorBidi"/>
          <w:noProof/>
          <w:szCs w:val="22"/>
          <w:lang w:val="en-NZ" w:eastAsia="en-NZ"/>
        </w:rPr>
      </w:pPr>
      <w:hyperlink w:anchor="_Toc423945968" w:history="1">
        <w:r w:rsidR="00CA314A" w:rsidRPr="00E82E3C">
          <w:rPr>
            <w:rStyle w:val="Hyperlink"/>
            <w:noProof/>
          </w:rPr>
          <w:t>Appendix 3 : Script for securing informed consent from patients</w:t>
        </w:r>
        <w:r w:rsidR="00CA314A">
          <w:rPr>
            <w:noProof/>
          </w:rPr>
          <w:tab/>
        </w:r>
        <w:r w:rsidR="00CA314A">
          <w:rPr>
            <w:noProof/>
          </w:rPr>
          <w:fldChar w:fldCharType="begin"/>
        </w:r>
        <w:r w:rsidR="00CA314A">
          <w:rPr>
            <w:noProof/>
          </w:rPr>
          <w:instrText xml:space="preserve"> PAGEREF _Toc423945968 \h </w:instrText>
        </w:r>
        <w:r w:rsidR="00CA314A">
          <w:rPr>
            <w:noProof/>
          </w:rPr>
        </w:r>
        <w:r w:rsidR="00CA314A">
          <w:rPr>
            <w:noProof/>
          </w:rPr>
          <w:fldChar w:fldCharType="separate"/>
        </w:r>
        <w:r w:rsidR="00CA314A">
          <w:rPr>
            <w:noProof/>
          </w:rPr>
          <w:t>54</w:t>
        </w:r>
        <w:r w:rsidR="00CA314A">
          <w:rPr>
            <w:noProof/>
          </w:rPr>
          <w:fldChar w:fldCharType="end"/>
        </w:r>
      </w:hyperlink>
    </w:p>
    <w:p w:rsidR="00CA314A" w:rsidRDefault="00364E31">
      <w:pPr>
        <w:pStyle w:val="TOC6"/>
        <w:rPr>
          <w:rFonts w:asciiTheme="minorHAnsi" w:eastAsiaTheme="minorEastAsia" w:hAnsiTheme="minorHAnsi" w:cstheme="minorBidi"/>
          <w:noProof/>
          <w:szCs w:val="22"/>
          <w:lang w:val="en-NZ" w:eastAsia="en-NZ"/>
        </w:rPr>
      </w:pPr>
      <w:hyperlink w:anchor="_Toc423945969" w:history="1">
        <w:r w:rsidR="00CA314A" w:rsidRPr="00E82E3C">
          <w:rPr>
            <w:rStyle w:val="Hyperlink"/>
            <w:noProof/>
          </w:rPr>
          <w:t>Appendix 4 : Patient survey questions</w:t>
        </w:r>
        <w:r w:rsidR="00CA314A">
          <w:rPr>
            <w:noProof/>
          </w:rPr>
          <w:tab/>
        </w:r>
        <w:r w:rsidR="00CA314A">
          <w:rPr>
            <w:noProof/>
          </w:rPr>
          <w:fldChar w:fldCharType="begin"/>
        </w:r>
        <w:r w:rsidR="00CA314A">
          <w:rPr>
            <w:noProof/>
          </w:rPr>
          <w:instrText xml:space="preserve"> PAGEREF _Toc423945969 \h </w:instrText>
        </w:r>
        <w:r w:rsidR="00CA314A">
          <w:rPr>
            <w:noProof/>
          </w:rPr>
        </w:r>
        <w:r w:rsidR="00CA314A">
          <w:rPr>
            <w:noProof/>
          </w:rPr>
          <w:fldChar w:fldCharType="separate"/>
        </w:r>
        <w:r w:rsidR="00CA314A">
          <w:rPr>
            <w:noProof/>
          </w:rPr>
          <w:t>56</w:t>
        </w:r>
        <w:r w:rsidR="00CA314A">
          <w:rPr>
            <w:noProof/>
          </w:rPr>
          <w:fldChar w:fldCharType="end"/>
        </w:r>
      </w:hyperlink>
    </w:p>
    <w:p w:rsidR="00CA314A" w:rsidRDefault="00364E31">
      <w:pPr>
        <w:pStyle w:val="TOC6"/>
        <w:rPr>
          <w:rFonts w:asciiTheme="minorHAnsi" w:eastAsiaTheme="minorEastAsia" w:hAnsiTheme="minorHAnsi" w:cstheme="minorBidi"/>
          <w:noProof/>
          <w:szCs w:val="22"/>
          <w:lang w:val="en-NZ" w:eastAsia="en-NZ"/>
        </w:rPr>
      </w:pPr>
      <w:hyperlink w:anchor="_Toc423945970" w:history="1">
        <w:r w:rsidR="00CA314A" w:rsidRPr="00E82E3C">
          <w:rPr>
            <w:rStyle w:val="Hyperlink"/>
            <w:noProof/>
          </w:rPr>
          <w:t>Appendix 5 : Characteristics of patient samples</w:t>
        </w:r>
        <w:r w:rsidR="00CA314A">
          <w:rPr>
            <w:noProof/>
          </w:rPr>
          <w:tab/>
        </w:r>
        <w:r w:rsidR="00CA314A">
          <w:rPr>
            <w:noProof/>
          </w:rPr>
          <w:fldChar w:fldCharType="begin"/>
        </w:r>
        <w:r w:rsidR="00CA314A">
          <w:rPr>
            <w:noProof/>
          </w:rPr>
          <w:instrText xml:space="preserve"> PAGEREF _Toc423945970 \h </w:instrText>
        </w:r>
        <w:r w:rsidR="00CA314A">
          <w:rPr>
            <w:noProof/>
          </w:rPr>
        </w:r>
        <w:r w:rsidR="00CA314A">
          <w:rPr>
            <w:noProof/>
          </w:rPr>
          <w:fldChar w:fldCharType="separate"/>
        </w:r>
        <w:r w:rsidR="00CA314A">
          <w:rPr>
            <w:noProof/>
          </w:rPr>
          <w:t>59</w:t>
        </w:r>
        <w:r w:rsidR="00CA314A">
          <w:rPr>
            <w:noProof/>
          </w:rPr>
          <w:fldChar w:fldCharType="end"/>
        </w:r>
      </w:hyperlink>
    </w:p>
    <w:p w:rsidR="003A13FF" w:rsidRDefault="003A13FF" w:rsidP="003A13FF">
      <w:pPr>
        <w:pStyle w:val="UnnumtextBodytext"/>
        <w:spacing w:after="0" w:line="240" w:lineRule="auto"/>
        <w:rPr>
          <w:sz w:val="2"/>
        </w:rPr>
      </w:pPr>
      <w:r w:rsidRPr="00DF20AA">
        <w:rPr>
          <w:b/>
        </w:rPr>
        <w:fldChar w:fldCharType="end"/>
      </w:r>
    </w:p>
    <w:p w:rsidR="003A13FF" w:rsidRDefault="003A13FF" w:rsidP="003A13FF">
      <w:pPr>
        <w:pStyle w:val="UnnumtextBodytext"/>
        <w:spacing w:after="0" w:line="240" w:lineRule="auto"/>
        <w:rPr>
          <w:sz w:val="2"/>
        </w:rPr>
      </w:pPr>
    </w:p>
    <w:p w:rsidR="006A1C37" w:rsidRDefault="006A1C37">
      <w:pPr>
        <w:spacing w:after="0" w:line="240" w:lineRule="auto"/>
        <w:rPr>
          <w:b/>
          <w:color w:val="000000"/>
          <w:sz w:val="28"/>
        </w:rPr>
      </w:pPr>
      <w:r>
        <w:br w:type="page"/>
      </w:r>
    </w:p>
    <w:p w:rsidR="003A13FF" w:rsidRDefault="003A13FF">
      <w:pPr>
        <w:pStyle w:val="Heading-tableoftables"/>
      </w:pPr>
      <w:r w:rsidRPr="004552EF">
        <w:lastRenderedPageBreak/>
        <w:t>Tables</w:t>
      </w:r>
    </w:p>
    <w:p w:rsidR="00CA314A" w:rsidRDefault="003A13FF">
      <w:pPr>
        <w:pStyle w:val="TableofFigures"/>
        <w:rPr>
          <w:rFonts w:asciiTheme="minorHAnsi" w:eastAsiaTheme="minorEastAsia" w:hAnsiTheme="minorHAnsi" w:cstheme="minorBidi"/>
          <w:noProof/>
          <w:szCs w:val="22"/>
          <w:lang w:val="en-NZ" w:eastAsia="en-NZ"/>
        </w:rPr>
      </w:pPr>
      <w:r w:rsidRPr="0096452D">
        <w:fldChar w:fldCharType="begin"/>
      </w:r>
      <w:r w:rsidRPr="0096452D">
        <w:instrText xml:space="preserve"> TOC \c</w:instrText>
      </w:r>
      <w:r>
        <w:instrText xml:space="preserve"> </w:instrText>
      </w:r>
      <w:r w:rsidRPr="0096452D">
        <w:instrText xml:space="preserve"> "Table" </w:instrText>
      </w:r>
      <w:r>
        <w:instrText xml:space="preserve">\h </w:instrText>
      </w:r>
      <w:r w:rsidRPr="0096452D">
        <w:fldChar w:fldCharType="separate"/>
      </w:r>
      <w:hyperlink w:anchor="_Toc423945971" w:history="1">
        <w:r w:rsidR="00CA314A" w:rsidRPr="00791885">
          <w:rPr>
            <w:rStyle w:val="Hyperlink"/>
            <w:noProof/>
          </w:rPr>
          <w:t>Table 1: Research questions guiding the review</w:t>
        </w:r>
        <w:r w:rsidR="00CA314A">
          <w:rPr>
            <w:noProof/>
          </w:rPr>
          <w:tab/>
        </w:r>
        <w:r w:rsidR="00CA314A">
          <w:rPr>
            <w:noProof/>
          </w:rPr>
          <w:fldChar w:fldCharType="begin"/>
        </w:r>
        <w:r w:rsidR="00CA314A">
          <w:rPr>
            <w:noProof/>
          </w:rPr>
          <w:instrText xml:space="preserve"> PAGEREF _Toc423945971 \h </w:instrText>
        </w:r>
        <w:r w:rsidR="00CA314A">
          <w:rPr>
            <w:noProof/>
          </w:rPr>
        </w:r>
        <w:r w:rsidR="00CA314A">
          <w:rPr>
            <w:noProof/>
          </w:rPr>
          <w:fldChar w:fldCharType="separate"/>
        </w:r>
        <w:r w:rsidR="00CA314A">
          <w:rPr>
            <w:noProof/>
          </w:rPr>
          <w:t>5</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2" w:history="1">
        <w:r w:rsidR="00CA314A" w:rsidRPr="00791885">
          <w:rPr>
            <w:rStyle w:val="Hyperlink"/>
            <w:noProof/>
          </w:rPr>
          <w:t>Table 2: Summary of service descriptions</w:t>
        </w:r>
        <w:r w:rsidR="00CA314A">
          <w:rPr>
            <w:noProof/>
          </w:rPr>
          <w:tab/>
        </w:r>
        <w:r w:rsidR="00CA314A">
          <w:rPr>
            <w:noProof/>
          </w:rPr>
          <w:fldChar w:fldCharType="begin"/>
        </w:r>
        <w:r w:rsidR="00CA314A">
          <w:rPr>
            <w:noProof/>
          </w:rPr>
          <w:instrText xml:space="preserve"> PAGEREF _Toc423945972 \h </w:instrText>
        </w:r>
        <w:r w:rsidR="00CA314A">
          <w:rPr>
            <w:noProof/>
          </w:rPr>
        </w:r>
        <w:r w:rsidR="00CA314A">
          <w:rPr>
            <w:noProof/>
          </w:rPr>
          <w:fldChar w:fldCharType="separate"/>
        </w:r>
        <w:r w:rsidR="00CA314A">
          <w:rPr>
            <w:noProof/>
          </w:rPr>
          <w:t>7</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3" w:history="1">
        <w:r w:rsidR="00CA314A" w:rsidRPr="00791885">
          <w:rPr>
            <w:rStyle w:val="Hyperlink"/>
            <w:noProof/>
          </w:rPr>
          <w:t>Table 3: Sampling patient views – summary of sample sizes</w:t>
        </w:r>
        <w:r w:rsidR="00CA314A">
          <w:rPr>
            <w:noProof/>
          </w:rPr>
          <w:tab/>
        </w:r>
        <w:r w:rsidR="00CA314A">
          <w:rPr>
            <w:noProof/>
          </w:rPr>
          <w:fldChar w:fldCharType="begin"/>
        </w:r>
        <w:r w:rsidR="00CA314A">
          <w:rPr>
            <w:noProof/>
          </w:rPr>
          <w:instrText xml:space="preserve"> PAGEREF _Toc423945973 \h </w:instrText>
        </w:r>
        <w:r w:rsidR="00CA314A">
          <w:rPr>
            <w:noProof/>
          </w:rPr>
        </w:r>
        <w:r w:rsidR="00CA314A">
          <w:rPr>
            <w:noProof/>
          </w:rPr>
          <w:fldChar w:fldCharType="separate"/>
        </w:r>
        <w:r w:rsidR="00CA314A">
          <w:rPr>
            <w:noProof/>
          </w:rPr>
          <w:t>11</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4" w:history="1">
        <w:r w:rsidR="00CA314A" w:rsidRPr="00791885">
          <w:rPr>
            <w:rStyle w:val="Hyperlink"/>
            <w:noProof/>
          </w:rPr>
          <w:t>Table 4: List of regular rural sites, by district health board, 2012/13</w:t>
        </w:r>
        <w:r w:rsidR="00CA314A">
          <w:rPr>
            <w:noProof/>
          </w:rPr>
          <w:tab/>
        </w:r>
        <w:r w:rsidR="00CA314A">
          <w:rPr>
            <w:noProof/>
          </w:rPr>
          <w:fldChar w:fldCharType="begin"/>
        </w:r>
        <w:r w:rsidR="00CA314A">
          <w:rPr>
            <w:noProof/>
          </w:rPr>
          <w:instrText xml:space="preserve"> PAGEREF _Toc423945974 \h </w:instrText>
        </w:r>
        <w:r w:rsidR="00CA314A">
          <w:rPr>
            <w:noProof/>
          </w:rPr>
        </w:r>
        <w:r w:rsidR="00CA314A">
          <w:rPr>
            <w:noProof/>
          </w:rPr>
          <w:fldChar w:fldCharType="separate"/>
        </w:r>
        <w:r w:rsidR="00CA314A">
          <w:rPr>
            <w:noProof/>
          </w:rPr>
          <w:t>13</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5" w:history="1">
        <w:r w:rsidR="00CA314A" w:rsidRPr="00791885">
          <w:rPr>
            <w:rStyle w:val="Hyperlink"/>
            <w:noProof/>
          </w:rPr>
          <w:t>Table 5: Selected comments from a sample of patient feedback forms</w:t>
        </w:r>
        <w:r w:rsidR="00CA314A">
          <w:rPr>
            <w:noProof/>
          </w:rPr>
          <w:tab/>
        </w:r>
        <w:r w:rsidR="00CA314A">
          <w:rPr>
            <w:noProof/>
          </w:rPr>
          <w:fldChar w:fldCharType="begin"/>
        </w:r>
        <w:r w:rsidR="00CA314A">
          <w:rPr>
            <w:noProof/>
          </w:rPr>
          <w:instrText xml:space="preserve"> PAGEREF _Toc423945975 \h </w:instrText>
        </w:r>
        <w:r w:rsidR="00CA314A">
          <w:rPr>
            <w:noProof/>
          </w:rPr>
        </w:r>
        <w:r w:rsidR="00CA314A">
          <w:rPr>
            <w:noProof/>
          </w:rPr>
          <w:fldChar w:fldCharType="separate"/>
        </w:r>
        <w:r w:rsidR="00CA314A">
          <w:rPr>
            <w:noProof/>
          </w:rPr>
          <w:t>23</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6" w:history="1">
        <w:r w:rsidR="00CA314A" w:rsidRPr="00791885">
          <w:rPr>
            <w:rStyle w:val="Hyperlink"/>
            <w:noProof/>
          </w:rPr>
          <w:t>Table 6: Characteristics of patients who stated they would not travel further</w:t>
        </w:r>
        <w:r w:rsidR="00CA314A">
          <w:rPr>
            <w:noProof/>
          </w:rPr>
          <w:tab/>
        </w:r>
        <w:r w:rsidR="00CA314A">
          <w:rPr>
            <w:noProof/>
          </w:rPr>
          <w:fldChar w:fldCharType="begin"/>
        </w:r>
        <w:r w:rsidR="00CA314A">
          <w:rPr>
            <w:noProof/>
          </w:rPr>
          <w:instrText xml:space="preserve"> PAGEREF _Toc423945976 \h </w:instrText>
        </w:r>
        <w:r w:rsidR="00CA314A">
          <w:rPr>
            <w:noProof/>
          </w:rPr>
        </w:r>
        <w:r w:rsidR="00CA314A">
          <w:rPr>
            <w:noProof/>
          </w:rPr>
          <w:fldChar w:fldCharType="separate"/>
        </w:r>
        <w:r w:rsidR="00CA314A">
          <w:rPr>
            <w:noProof/>
          </w:rPr>
          <w:t>32</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7" w:history="1">
        <w:r w:rsidR="00CA314A" w:rsidRPr="00791885">
          <w:rPr>
            <w:rStyle w:val="Hyperlink"/>
            <w:noProof/>
          </w:rPr>
          <w:t>Table 7: Contract prices and case-weighted discharge prices – a comparison</w:t>
        </w:r>
        <w:r w:rsidR="00CA314A">
          <w:rPr>
            <w:noProof/>
          </w:rPr>
          <w:tab/>
        </w:r>
        <w:r w:rsidR="00CA314A">
          <w:rPr>
            <w:noProof/>
          </w:rPr>
          <w:fldChar w:fldCharType="begin"/>
        </w:r>
        <w:r w:rsidR="00CA314A">
          <w:rPr>
            <w:noProof/>
          </w:rPr>
          <w:instrText xml:space="preserve"> PAGEREF _Toc423945977 \h </w:instrText>
        </w:r>
        <w:r w:rsidR="00CA314A">
          <w:rPr>
            <w:noProof/>
          </w:rPr>
        </w:r>
        <w:r w:rsidR="00CA314A">
          <w:rPr>
            <w:noProof/>
          </w:rPr>
          <w:fldChar w:fldCharType="separate"/>
        </w:r>
        <w:r w:rsidR="00CA314A">
          <w:rPr>
            <w:noProof/>
          </w:rPr>
          <w:t>34</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8" w:history="1">
        <w:r w:rsidR="00CA314A" w:rsidRPr="00791885">
          <w:rPr>
            <w:rStyle w:val="Hyperlink"/>
            <w:noProof/>
          </w:rPr>
          <w:t>Table 8: Tests on the CWD price “gap” – summary of results</w:t>
        </w:r>
        <w:r w:rsidR="00CA314A">
          <w:rPr>
            <w:noProof/>
          </w:rPr>
          <w:tab/>
        </w:r>
        <w:r w:rsidR="00CA314A">
          <w:rPr>
            <w:noProof/>
          </w:rPr>
          <w:fldChar w:fldCharType="begin"/>
        </w:r>
        <w:r w:rsidR="00CA314A">
          <w:rPr>
            <w:noProof/>
          </w:rPr>
          <w:instrText xml:space="preserve"> PAGEREF _Toc423945978 \h </w:instrText>
        </w:r>
        <w:r w:rsidR="00CA314A">
          <w:rPr>
            <w:noProof/>
          </w:rPr>
        </w:r>
        <w:r w:rsidR="00CA314A">
          <w:rPr>
            <w:noProof/>
          </w:rPr>
          <w:fldChar w:fldCharType="separate"/>
        </w:r>
        <w:r w:rsidR="00CA314A">
          <w:rPr>
            <w:noProof/>
          </w:rPr>
          <w:t>37</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79" w:history="1">
        <w:r w:rsidR="00CA314A" w:rsidRPr="00791885">
          <w:rPr>
            <w:rStyle w:val="Hyperlink"/>
            <w:noProof/>
          </w:rPr>
          <w:t>Table 9: List of stakeholder interviews</w:t>
        </w:r>
        <w:r w:rsidR="00CA314A">
          <w:rPr>
            <w:noProof/>
          </w:rPr>
          <w:tab/>
        </w:r>
        <w:r w:rsidR="00CA314A">
          <w:rPr>
            <w:noProof/>
          </w:rPr>
          <w:fldChar w:fldCharType="begin"/>
        </w:r>
        <w:r w:rsidR="00CA314A">
          <w:rPr>
            <w:noProof/>
          </w:rPr>
          <w:instrText xml:space="preserve"> PAGEREF _Toc423945979 \h </w:instrText>
        </w:r>
        <w:r w:rsidR="00CA314A">
          <w:rPr>
            <w:noProof/>
          </w:rPr>
        </w:r>
        <w:r w:rsidR="00CA314A">
          <w:rPr>
            <w:noProof/>
          </w:rPr>
          <w:fldChar w:fldCharType="separate"/>
        </w:r>
        <w:r w:rsidR="00CA314A">
          <w:rPr>
            <w:noProof/>
          </w:rPr>
          <w:t>51</w:t>
        </w:r>
        <w:r w:rsidR="00CA314A">
          <w:rPr>
            <w:noProof/>
          </w:rPr>
          <w:fldChar w:fldCharType="end"/>
        </w:r>
      </w:hyperlink>
    </w:p>
    <w:p w:rsidR="00F9631B" w:rsidRDefault="003A13FF" w:rsidP="00F9631B">
      <w:pPr>
        <w:pStyle w:val="UnnumtextBodytext"/>
        <w:spacing w:after="0" w:line="240" w:lineRule="auto"/>
      </w:pPr>
      <w:r w:rsidRPr="0096452D">
        <w:fldChar w:fldCharType="end"/>
      </w:r>
    </w:p>
    <w:p w:rsidR="003A13FF" w:rsidRPr="004552EF" w:rsidRDefault="003A13FF">
      <w:pPr>
        <w:pStyle w:val="Heading-tableoffigures"/>
      </w:pPr>
      <w:r w:rsidRPr="004552EF">
        <w:t>Figures</w:t>
      </w:r>
    </w:p>
    <w:p w:rsidR="00CA314A" w:rsidRDefault="003A13FF">
      <w:pPr>
        <w:pStyle w:val="TableofFigures"/>
        <w:rPr>
          <w:rFonts w:asciiTheme="minorHAnsi" w:eastAsiaTheme="minorEastAsia" w:hAnsiTheme="minorHAnsi" w:cstheme="minorBidi"/>
          <w:noProof/>
          <w:szCs w:val="22"/>
          <w:lang w:val="en-NZ" w:eastAsia="en-NZ"/>
        </w:rPr>
      </w:pPr>
      <w:r w:rsidRPr="0096452D">
        <w:fldChar w:fldCharType="begin"/>
      </w:r>
      <w:r w:rsidRPr="0096452D">
        <w:instrText xml:space="preserve"> TOC \c</w:instrText>
      </w:r>
      <w:r>
        <w:instrText xml:space="preserve"> </w:instrText>
      </w:r>
      <w:r w:rsidRPr="0096452D">
        <w:instrText xml:space="preserve"> "</w:instrText>
      </w:r>
      <w:r>
        <w:instrText>Figure</w:instrText>
      </w:r>
      <w:r w:rsidRPr="0096452D">
        <w:instrText xml:space="preserve">" </w:instrText>
      </w:r>
      <w:r>
        <w:instrText xml:space="preserve">\h </w:instrText>
      </w:r>
      <w:r w:rsidRPr="0096452D">
        <w:fldChar w:fldCharType="separate"/>
      </w:r>
      <w:hyperlink w:anchor="_Toc423945980" w:history="1">
        <w:r w:rsidR="00CA314A" w:rsidRPr="00984F8B">
          <w:rPr>
            <w:rStyle w:val="Hyperlink"/>
            <w:noProof/>
          </w:rPr>
          <w:t>Figure 1: Funding by service component, 2006/07 – 2014/15</w:t>
        </w:r>
        <w:r w:rsidR="00CA314A">
          <w:rPr>
            <w:noProof/>
          </w:rPr>
          <w:tab/>
        </w:r>
        <w:r w:rsidR="00CA314A">
          <w:rPr>
            <w:noProof/>
          </w:rPr>
          <w:fldChar w:fldCharType="begin"/>
        </w:r>
        <w:r w:rsidR="00CA314A">
          <w:rPr>
            <w:noProof/>
          </w:rPr>
          <w:instrText xml:space="preserve"> PAGEREF _Toc423945980 \h </w:instrText>
        </w:r>
        <w:r w:rsidR="00CA314A">
          <w:rPr>
            <w:noProof/>
          </w:rPr>
        </w:r>
        <w:r w:rsidR="00CA314A">
          <w:rPr>
            <w:noProof/>
          </w:rPr>
          <w:fldChar w:fldCharType="separate"/>
        </w:r>
        <w:r w:rsidR="00CA314A">
          <w:rPr>
            <w:noProof/>
          </w:rPr>
          <w:t>8</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1" w:history="1">
        <w:r w:rsidR="00CA314A" w:rsidRPr="00984F8B">
          <w:rPr>
            <w:rStyle w:val="Hyperlink"/>
            <w:noProof/>
          </w:rPr>
          <w:t>Figure 2: Profile of stakeholder interviews conducted</w:t>
        </w:r>
        <w:r w:rsidR="00CA314A">
          <w:rPr>
            <w:noProof/>
          </w:rPr>
          <w:tab/>
        </w:r>
        <w:r w:rsidR="00CA314A">
          <w:rPr>
            <w:noProof/>
          </w:rPr>
          <w:fldChar w:fldCharType="begin"/>
        </w:r>
        <w:r w:rsidR="00CA314A">
          <w:rPr>
            <w:noProof/>
          </w:rPr>
          <w:instrText xml:space="preserve"> PAGEREF _Toc423945981 \h </w:instrText>
        </w:r>
        <w:r w:rsidR="00CA314A">
          <w:rPr>
            <w:noProof/>
          </w:rPr>
        </w:r>
        <w:r w:rsidR="00CA314A">
          <w:rPr>
            <w:noProof/>
          </w:rPr>
          <w:fldChar w:fldCharType="separate"/>
        </w:r>
        <w:r w:rsidR="00CA314A">
          <w:rPr>
            <w:noProof/>
          </w:rPr>
          <w:t>10</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2" w:history="1">
        <w:r w:rsidR="00CA314A" w:rsidRPr="00984F8B">
          <w:rPr>
            <w:rStyle w:val="Hyperlink"/>
            <w:noProof/>
          </w:rPr>
          <w:t>Figure 3: Mobile surgical discharges by financial year, 2006/06 – 2012/13</w:t>
        </w:r>
        <w:r w:rsidR="00CA314A">
          <w:rPr>
            <w:noProof/>
          </w:rPr>
          <w:tab/>
        </w:r>
        <w:r w:rsidR="00CA314A">
          <w:rPr>
            <w:noProof/>
          </w:rPr>
          <w:fldChar w:fldCharType="begin"/>
        </w:r>
        <w:r w:rsidR="00CA314A">
          <w:rPr>
            <w:noProof/>
          </w:rPr>
          <w:instrText xml:space="preserve"> PAGEREF _Toc423945982 \h </w:instrText>
        </w:r>
        <w:r w:rsidR="00CA314A">
          <w:rPr>
            <w:noProof/>
          </w:rPr>
        </w:r>
        <w:r w:rsidR="00CA314A">
          <w:rPr>
            <w:noProof/>
          </w:rPr>
          <w:fldChar w:fldCharType="separate"/>
        </w:r>
        <w:r w:rsidR="00CA314A">
          <w:rPr>
            <w:noProof/>
          </w:rPr>
          <w:t>14</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3" w:history="1">
        <w:r w:rsidR="00CA314A" w:rsidRPr="00984F8B">
          <w:rPr>
            <w:rStyle w:val="Hyperlink"/>
            <w:noProof/>
          </w:rPr>
          <w:t>Figure 4: Mobile surgical discharges by health specialty, 2011/12 and 2012/13</w:t>
        </w:r>
        <w:r w:rsidR="00CA314A">
          <w:rPr>
            <w:noProof/>
          </w:rPr>
          <w:tab/>
        </w:r>
        <w:r w:rsidR="00CA314A">
          <w:rPr>
            <w:noProof/>
          </w:rPr>
          <w:fldChar w:fldCharType="begin"/>
        </w:r>
        <w:r w:rsidR="00CA314A">
          <w:rPr>
            <w:noProof/>
          </w:rPr>
          <w:instrText xml:space="preserve"> PAGEREF _Toc423945983 \h </w:instrText>
        </w:r>
        <w:r w:rsidR="00CA314A">
          <w:rPr>
            <w:noProof/>
          </w:rPr>
        </w:r>
        <w:r w:rsidR="00CA314A">
          <w:rPr>
            <w:noProof/>
          </w:rPr>
          <w:fldChar w:fldCharType="separate"/>
        </w:r>
        <w:r w:rsidR="00CA314A">
          <w:rPr>
            <w:noProof/>
          </w:rPr>
          <w:t>14</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4" w:history="1">
        <w:r w:rsidR="00CA314A" w:rsidRPr="00984F8B">
          <w:rPr>
            <w:rStyle w:val="Hyperlink"/>
            <w:noProof/>
          </w:rPr>
          <w:t>Figure 5: Mobile surgical discharges by top 10 DRG codes, 2011/12 and 2012/13</w:t>
        </w:r>
        <w:r w:rsidR="00CA314A">
          <w:rPr>
            <w:noProof/>
          </w:rPr>
          <w:tab/>
        </w:r>
        <w:r w:rsidR="00CA314A">
          <w:rPr>
            <w:noProof/>
          </w:rPr>
          <w:fldChar w:fldCharType="begin"/>
        </w:r>
        <w:r w:rsidR="00CA314A">
          <w:rPr>
            <w:noProof/>
          </w:rPr>
          <w:instrText xml:space="preserve"> PAGEREF _Toc423945984 \h </w:instrText>
        </w:r>
        <w:r w:rsidR="00CA314A">
          <w:rPr>
            <w:noProof/>
          </w:rPr>
        </w:r>
        <w:r w:rsidR="00CA314A">
          <w:rPr>
            <w:noProof/>
          </w:rPr>
          <w:fldChar w:fldCharType="separate"/>
        </w:r>
        <w:r w:rsidR="00CA314A">
          <w:rPr>
            <w:noProof/>
          </w:rPr>
          <w:t>15</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5" w:history="1">
        <w:r w:rsidR="00CA314A" w:rsidRPr="00984F8B">
          <w:rPr>
            <w:rStyle w:val="Hyperlink"/>
            <w:noProof/>
          </w:rPr>
          <w:t>Figure 6: Elective surgery day procedures, by age group, 2006/07 – 2013</w:t>
        </w:r>
        <w:r w:rsidR="00CA314A">
          <w:rPr>
            <w:noProof/>
          </w:rPr>
          <w:tab/>
        </w:r>
        <w:r w:rsidR="00CA314A">
          <w:rPr>
            <w:noProof/>
          </w:rPr>
          <w:fldChar w:fldCharType="begin"/>
        </w:r>
        <w:r w:rsidR="00CA314A">
          <w:rPr>
            <w:noProof/>
          </w:rPr>
          <w:instrText xml:space="preserve"> PAGEREF _Toc423945985 \h </w:instrText>
        </w:r>
        <w:r w:rsidR="00CA314A">
          <w:rPr>
            <w:noProof/>
          </w:rPr>
        </w:r>
        <w:r w:rsidR="00CA314A">
          <w:rPr>
            <w:noProof/>
          </w:rPr>
          <w:fldChar w:fldCharType="separate"/>
        </w:r>
        <w:r w:rsidR="00CA314A">
          <w:rPr>
            <w:noProof/>
          </w:rPr>
          <w:t>21</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6" w:history="1">
        <w:r w:rsidR="00CA314A" w:rsidRPr="00984F8B">
          <w:rPr>
            <w:rStyle w:val="Hyperlink"/>
            <w:noProof/>
          </w:rPr>
          <w:t>Figure 7: Patient telephone interviews – what was valued most about the service</w:t>
        </w:r>
        <w:r w:rsidR="00CA314A">
          <w:rPr>
            <w:noProof/>
          </w:rPr>
          <w:tab/>
        </w:r>
        <w:r w:rsidR="00CA314A">
          <w:rPr>
            <w:noProof/>
          </w:rPr>
          <w:fldChar w:fldCharType="begin"/>
        </w:r>
        <w:r w:rsidR="00CA314A">
          <w:rPr>
            <w:noProof/>
          </w:rPr>
          <w:instrText xml:space="preserve"> PAGEREF _Toc423945986 \h </w:instrText>
        </w:r>
        <w:r w:rsidR="00CA314A">
          <w:rPr>
            <w:noProof/>
          </w:rPr>
        </w:r>
        <w:r w:rsidR="00CA314A">
          <w:rPr>
            <w:noProof/>
          </w:rPr>
          <w:fldChar w:fldCharType="separate"/>
        </w:r>
        <w:r w:rsidR="00CA314A">
          <w:rPr>
            <w:noProof/>
          </w:rPr>
          <w:t>22</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7" w:history="1">
        <w:r w:rsidR="00CA314A" w:rsidRPr="00984F8B">
          <w:rPr>
            <w:rStyle w:val="Hyperlink"/>
            <w:noProof/>
          </w:rPr>
          <w:t>Figure 8: Patient travel time to reach the bus – self-reported</w:t>
        </w:r>
        <w:r w:rsidR="00CA314A">
          <w:rPr>
            <w:noProof/>
          </w:rPr>
          <w:tab/>
        </w:r>
        <w:r w:rsidR="00CA314A">
          <w:rPr>
            <w:noProof/>
          </w:rPr>
          <w:fldChar w:fldCharType="begin"/>
        </w:r>
        <w:r w:rsidR="00CA314A">
          <w:rPr>
            <w:noProof/>
          </w:rPr>
          <w:instrText xml:space="preserve"> PAGEREF _Toc423945987 \h </w:instrText>
        </w:r>
        <w:r w:rsidR="00CA314A">
          <w:rPr>
            <w:noProof/>
          </w:rPr>
        </w:r>
        <w:r w:rsidR="00CA314A">
          <w:rPr>
            <w:noProof/>
          </w:rPr>
          <w:fldChar w:fldCharType="separate"/>
        </w:r>
        <w:r w:rsidR="00CA314A">
          <w:rPr>
            <w:noProof/>
          </w:rPr>
          <w:t>26</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8" w:history="1">
        <w:r w:rsidR="00CA314A" w:rsidRPr="00984F8B">
          <w:rPr>
            <w:rStyle w:val="Hyperlink"/>
            <w:noProof/>
          </w:rPr>
          <w:t>Figure 9: Rate of patient non-attendance, 2006/07-2012/13</w:t>
        </w:r>
        <w:r w:rsidR="00CA314A">
          <w:rPr>
            <w:noProof/>
          </w:rPr>
          <w:tab/>
        </w:r>
        <w:r w:rsidR="00CA314A">
          <w:rPr>
            <w:noProof/>
          </w:rPr>
          <w:fldChar w:fldCharType="begin"/>
        </w:r>
        <w:r w:rsidR="00CA314A">
          <w:rPr>
            <w:noProof/>
          </w:rPr>
          <w:instrText xml:space="preserve"> PAGEREF _Toc423945988 \h </w:instrText>
        </w:r>
        <w:r w:rsidR="00CA314A">
          <w:rPr>
            <w:noProof/>
          </w:rPr>
        </w:r>
        <w:r w:rsidR="00CA314A">
          <w:rPr>
            <w:noProof/>
          </w:rPr>
          <w:fldChar w:fldCharType="separate"/>
        </w:r>
        <w:r w:rsidR="00CA314A">
          <w:rPr>
            <w:noProof/>
          </w:rPr>
          <w:t>27</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89" w:history="1">
        <w:r w:rsidR="00CA314A" w:rsidRPr="00984F8B">
          <w:rPr>
            <w:rStyle w:val="Hyperlink"/>
            <w:noProof/>
          </w:rPr>
          <w:t>Figure 10: Combined rate of patient non-attendance for 2011/12 and 2012/13, by site</w:t>
        </w:r>
        <w:r w:rsidR="00CA314A">
          <w:rPr>
            <w:noProof/>
          </w:rPr>
          <w:tab/>
        </w:r>
        <w:r w:rsidR="00CA314A">
          <w:rPr>
            <w:noProof/>
          </w:rPr>
          <w:fldChar w:fldCharType="begin"/>
        </w:r>
        <w:r w:rsidR="00CA314A">
          <w:rPr>
            <w:noProof/>
          </w:rPr>
          <w:instrText xml:space="preserve"> PAGEREF _Toc423945989 \h </w:instrText>
        </w:r>
        <w:r w:rsidR="00CA314A">
          <w:rPr>
            <w:noProof/>
          </w:rPr>
        </w:r>
        <w:r w:rsidR="00CA314A">
          <w:rPr>
            <w:noProof/>
          </w:rPr>
          <w:fldChar w:fldCharType="separate"/>
        </w:r>
        <w:r w:rsidR="00CA314A">
          <w:rPr>
            <w:noProof/>
          </w:rPr>
          <w:t>27</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0" w:history="1">
        <w:r w:rsidR="00CA314A" w:rsidRPr="00984F8B">
          <w:rPr>
            <w:rStyle w:val="Hyperlink"/>
            <w:noProof/>
          </w:rPr>
          <w:t>Figure 11: Post-operative well-being reported by patients and caregivers</w:t>
        </w:r>
        <w:r w:rsidR="00CA314A">
          <w:rPr>
            <w:noProof/>
          </w:rPr>
          <w:tab/>
        </w:r>
        <w:r w:rsidR="00CA314A">
          <w:rPr>
            <w:noProof/>
          </w:rPr>
          <w:fldChar w:fldCharType="begin"/>
        </w:r>
        <w:r w:rsidR="00CA314A">
          <w:rPr>
            <w:noProof/>
          </w:rPr>
          <w:instrText xml:space="preserve"> PAGEREF _Toc423945990 \h </w:instrText>
        </w:r>
        <w:r w:rsidR="00CA314A">
          <w:rPr>
            <w:noProof/>
          </w:rPr>
        </w:r>
        <w:r w:rsidR="00CA314A">
          <w:rPr>
            <w:noProof/>
          </w:rPr>
          <w:fldChar w:fldCharType="separate"/>
        </w:r>
        <w:r w:rsidR="00CA314A">
          <w:rPr>
            <w:noProof/>
          </w:rPr>
          <w:t>28</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1" w:history="1">
        <w:r w:rsidR="00CA314A" w:rsidRPr="00984F8B">
          <w:rPr>
            <w:rStyle w:val="Hyperlink"/>
            <w:noProof/>
          </w:rPr>
          <w:t>Figure 12: Whether patients would have travelled further for the service</w:t>
        </w:r>
        <w:r w:rsidR="00CA314A">
          <w:rPr>
            <w:noProof/>
          </w:rPr>
          <w:tab/>
        </w:r>
        <w:r w:rsidR="00CA314A">
          <w:rPr>
            <w:noProof/>
          </w:rPr>
          <w:fldChar w:fldCharType="begin"/>
        </w:r>
        <w:r w:rsidR="00CA314A">
          <w:rPr>
            <w:noProof/>
          </w:rPr>
          <w:instrText xml:space="preserve"> PAGEREF _Toc423945991 \h </w:instrText>
        </w:r>
        <w:r w:rsidR="00CA314A">
          <w:rPr>
            <w:noProof/>
          </w:rPr>
        </w:r>
        <w:r w:rsidR="00CA314A">
          <w:rPr>
            <w:noProof/>
          </w:rPr>
          <w:fldChar w:fldCharType="separate"/>
        </w:r>
        <w:r w:rsidR="00CA314A">
          <w:rPr>
            <w:noProof/>
          </w:rPr>
          <w:t>30</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2" w:history="1">
        <w:r w:rsidR="00CA314A" w:rsidRPr="00984F8B">
          <w:rPr>
            <w:rStyle w:val="Hyperlink"/>
            <w:noProof/>
          </w:rPr>
          <w:t>Figure 13: Elective day surgery – performance against contract</w:t>
        </w:r>
        <w:r w:rsidR="00CA314A">
          <w:rPr>
            <w:noProof/>
          </w:rPr>
          <w:tab/>
        </w:r>
        <w:r w:rsidR="00CA314A">
          <w:rPr>
            <w:noProof/>
          </w:rPr>
          <w:fldChar w:fldCharType="begin"/>
        </w:r>
        <w:r w:rsidR="00CA314A">
          <w:rPr>
            <w:noProof/>
          </w:rPr>
          <w:instrText xml:space="preserve"> PAGEREF _Toc423945992 \h </w:instrText>
        </w:r>
        <w:r w:rsidR="00CA314A">
          <w:rPr>
            <w:noProof/>
          </w:rPr>
        </w:r>
        <w:r w:rsidR="00CA314A">
          <w:rPr>
            <w:noProof/>
          </w:rPr>
          <w:fldChar w:fldCharType="separate"/>
        </w:r>
        <w:r w:rsidR="00CA314A">
          <w:rPr>
            <w:noProof/>
          </w:rPr>
          <w:t>36</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3" w:history="1">
        <w:r w:rsidR="00CA314A" w:rsidRPr="00984F8B">
          <w:rPr>
            <w:rStyle w:val="Hyperlink"/>
            <w:noProof/>
          </w:rPr>
          <w:t>Figure 14: Assessing the need for HDEC review – summary flowchart</w:t>
        </w:r>
        <w:r w:rsidR="00CA314A">
          <w:rPr>
            <w:noProof/>
          </w:rPr>
          <w:tab/>
        </w:r>
        <w:r w:rsidR="00CA314A">
          <w:rPr>
            <w:noProof/>
          </w:rPr>
          <w:fldChar w:fldCharType="begin"/>
        </w:r>
        <w:r w:rsidR="00CA314A">
          <w:rPr>
            <w:noProof/>
          </w:rPr>
          <w:instrText xml:space="preserve"> PAGEREF _Toc423945993 \h </w:instrText>
        </w:r>
        <w:r w:rsidR="00CA314A">
          <w:rPr>
            <w:noProof/>
          </w:rPr>
        </w:r>
        <w:r w:rsidR="00CA314A">
          <w:rPr>
            <w:noProof/>
          </w:rPr>
          <w:fldChar w:fldCharType="separate"/>
        </w:r>
        <w:r w:rsidR="00CA314A">
          <w:rPr>
            <w:noProof/>
          </w:rPr>
          <w:t>53</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4" w:history="1">
        <w:r w:rsidR="00CA314A" w:rsidRPr="00984F8B">
          <w:rPr>
            <w:rStyle w:val="Hyperlink"/>
            <w:noProof/>
          </w:rPr>
          <w:t>Figure 15: Patient telephone interviews, distribution by age group</w:t>
        </w:r>
        <w:r w:rsidR="00CA314A">
          <w:rPr>
            <w:noProof/>
          </w:rPr>
          <w:tab/>
        </w:r>
        <w:r w:rsidR="00CA314A">
          <w:rPr>
            <w:noProof/>
          </w:rPr>
          <w:fldChar w:fldCharType="begin"/>
        </w:r>
        <w:r w:rsidR="00CA314A">
          <w:rPr>
            <w:noProof/>
          </w:rPr>
          <w:instrText xml:space="preserve"> PAGEREF _Toc423945994 \h </w:instrText>
        </w:r>
        <w:r w:rsidR="00CA314A">
          <w:rPr>
            <w:noProof/>
          </w:rPr>
        </w:r>
        <w:r w:rsidR="00CA314A">
          <w:rPr>
            <w:noProof/>
          </w:rPr>
          <w:fldChar w:fldCharType="separate"/>
        </w:r>
        <w:r w:rsidR="00CA314A">
          <w:rPr>
            <w:noProof/>
          </w:rPr>
          <w:t>59</w:t>
        </w:r>
        <w:r w:rsidR="00CA314A">
          <w:rPr>
            <w:noProof/>
          </w:rPr>
          <w:fldChar w:fldCharType="end"/>
        </w:r>
      </w:hyperlink>
    </w:p>
    <w:p w:rsidR="00CA314A" w:rsidRDefault="00364E31">
      <w:pPr>
        <w:pStyle w:val="TableofFigures"/>
        <w:rPr>
          <w:rFonts w:asciiTheme="minorHAnsi" w:eastAsiaTheme="minorEastAsia" w:hAnsiTheme="minorHAnsi" w:cstheme="minorBidi"/>
          <w:noProof/>
          <w:szCs w:val="22"/>
          <w:lang w:val="en-NZ" w:eastAsia="en-NZ"/>
        </w:rPr>
      </w:pPr>
      <w:hyperlink w:anchor="_Toc423945995" w:history="1">
        <w:r w:rsidR="00CA314A" w:rsidRPr="00984F8B">
          <w:rPr>
            <w:rStyle w:val="Hyperlink"/>
            <w:noProof/>
          </w:rPr>
          <w:t>Figure 16: Patient mailed-back questionnaires, distribution by age group</w:t>
        </w:r>
        <w:r w:rsidR="00CA314A">
          <w:rPr>
            <w:noProof/>
          </w:rPr>
          <w:tab/>
        </w:r>
        <w:r w:rsidR="00CA314A">
          <w:rPr>
            <w:noProof/>
          </w:rPr>
          <w:fldChar w:fldCharType="begin"/>
        </w:r>
        <w:r w:rsidR="00CA314A">
          <w:rPr>
            <w:noProof/>
          </w:rPr>
          <w:instrText xml:space="preserve"> PAGEREF _Toc423945995 \h </w:instrText>
        </w:r>
        <w:r w:rsidR="00CA314A">
          <w:rPr>
            <w:noProof/>
          </w:rPr>
        </w:r>
        <w:r w:rsidR="00CA314A">
          <w:rPr>
            <w:noProof/>
          </w:rPr>
          <w:fldChar w:fldCharType="separate"/>
        </w:r>
        <w:r w:rsidR="00CA314A">
          <w:rPr>
            <w:noProof/>
          </w:rPr>
          <w:t>60</w:t>
        </w:r>
        <w:r w:rsidR="00CA314A">
          <w:rPr>
            <w:noProof/>
          </w:rPr>
          <w:fldChar w:fldCharType="end"/>
        </w:r>
      </w:hyperlink>
    </w:p>
    <w:p w:rsidR="003A13FF" w:rsidRPr="00CD0E00" w:rsidRDefault="003A13FF">
      <w:pPr>
        <w:pStyle w:val="UnnumtextBodytext"/>
      </w:pPr>
      <w:r w:rsidRPr="0096452D">
        <w:fldChar w:fldCharType="end"/>
      </w:r>
    </w:p>
    <w:p w:rsidR="003A13FF" w:rsidRDefault="003A13FF" w:rsidP="003A13FF">
      <w:pPr>
        <w:pStyle w:val="UnnumtextBodytext"/>
        <w:spacing w:after="0" w:line="240" w:lineRule="auto"/>
        <w:rPr>
          <w:sz w:val="2"/>
        </w:rPr>
      </w:pPr>
    </w:p>
    <w:bookmarkEnd w:id="2"/>
    <w:p w:rsidR="0083258B" w:rsidRPr="003A13FF" w:rsidRDefault="0083258B" w:rsidP="003A13FF">
      <w:pPr>
        <w:pStyle w:val="UnnumtextBodytext"/>
        <w:spacing w:after="0" w:line="240" w:lineRule="auto"/>
        <w:rPr>
          <w:sz w:val="2"/>
        </w:rPr>
      </w:pPr>
    </w:p>
    <w:p w:rsidR="00CD22A5" w:rsidRDefault="00CD22A5" w:rsidP="00567123">
      <w:pPr>
        <w:pStyle w:val="UnnumtextBodytext"/>
        <w:sectPr w:rsidR="00CD22A5" w:rsidSect="00310B49">
          <w:endnotePr>
            <w:numFmt w:val="decimal"/>
          </w:endnotePr>
          <w:type w:val="oddPage"/>
          <w:pgSz w:w="11907" w:h="16840" w:code="9"/>
          <w:pgMar w:top="2268" w:right="1985" w:bottom="1701" w:left="1985" w:header="737" w:footer="454" w:gutter="0"/>
          <w:pgNumType w:fmt="lowerRoman"/>
          <w:cols w:space="720"/>
          <w:docGrid w:linePitch="299"/>
        </w:sectPr>
      </w:pPr>
    </w:p>
    <w:p w:rsidR="00DE1824" w:rsidRPr="00D902B5" w:rsidRDefault="0078151E" w:rsidP="00E81D14">
      <w:pPr>
        <w:pStyle w:val="Heading-nonumber"/>
      </w:pPr>
      <w:bookmarkStart w:id="3" w:name="_Toc238276755"/>
      <w:bookmarkStart w:id="4" w:name="_Toc251154214"/>
      <w:bookmarkStart w:id="5" w:name="_Toc251154262"/>
      <w:bookmarkStart w:id="6" w:name="_Toc251154797"/>
      <w:bookmarkStart w:id="7" w:name="_Toc251232251"/>
      <w:bookmarkStart w:id="8" w:name="_Toc251232908"/>
      <w:bookmarkStart w:id="9" w:name="_Toc251233480"/>
      <w:bookmarkStart w:id="10" w:name="_Toc251233510"/>
      <w:bookmarkStart w:id="11" w:name="_Toc251233605"/>
      <w:bookmarkStart w:id="12" w:name="_Toc251927807"/>
      <w:bookmarkStart w:id="13" w:name="_Toc251927921"/>
      <w:bookmarkStart w:id="14" w:name="_Toc251927963"/>
      <w:bookmarkStart w:id="15" w:name="_Toc251928029"/>
      <w:bookmarkStart w:id="16" w:name="_Toc423945902"/>
      <w:r w:rsidRPr="00D902B5">
        <w:lastRenderedPageBreak/>
        <w:t>Executive s</w:t>
      </w:r>
      <w:r w:rsidR="00DE1824" w:rsidRPr="00D902B5">
        <w:t>ummary</w:t>
      </w:r>
      <w:bookmarkEnd w:id="3"/>
      <w:bookmarkEnd w:id="4"/>
      <w:bookmarkEnd w:id="5"/>
      <w:bookmarkEnd w:id="6"/>
      <w:bookmarkEnd w:id="7"/>
      <w:bookmarkEnd w:id="8"/>
      <w:bookmarkEnd w:id="9"/>
      <w:bookmarkEnd w:id="10"/>
      <w:bookmarkEnd w:id="11"/>
      <w:bookmarkEnd w:id="12"/>
      <w:bookmarkEnd w:id="13"/>
      <w:bookmarkEnd w:id="14"/>
      <w:bookmarkEnd w:id="15"/>
      <w:bookmarkEnd w:id="16"/>
    </w:p>
    <w:p w:rsidR="004A52E8" w:rsidRDefault="00A96E79" w:rsidP="00321B0E">
      <w:pPr>
        <w:pStyle w:val="UnnumtextBodytext"/>
      </w:pPr>
      <w:r w:rsidRPr="00E91C30">
        <w:t xml:space="preserve">The Ministry of Health commissioned </w:t>
      </w:r>
      <w:r w:rsidR="00E85EA6">
        <w:t xml:space="preserve">us </w:t>
      </w:r>
      <w:r w:rsidRPr="00E91C30">
        <w:t>to conduct a</w:t>
      </w:r>
      <w:r w:rsidR="00D57D2C">
        <w:t>n independent</w:t>
      </w:r>
      <w:r w:rsidRPr="00E91C30">
        <w:t xml:space="preserve"> review</w:t>
      </w:r>
      <w:r w:rsidRPr="00A56681">
        <w:t xml:space="preserve"> </w:t>
      </w:r>
      <w:r>
        <w:t>of m</w:t>
      </w:r>
      <w:r w:rsidRPr="00A56681">
        <w:t xml:space="preserve">obile surgical </w:t>
      </w:r>
      <w:r>
        <w:t xml:space="preserve">services </w:t>
      </w:r>
      <w:r w:rsidRPr="00A56681">
        <w:t xml:space="preserve">and </w:t>
      </w:r>
      <w:r>
        <w:t xml:space="preserve">the associated professional development and remote collaboration </w:t>
      </w:r>
      <w:r w:rsidRPr="00A56681">
        <w:t>services</w:t>
      </w:r>
      <w:r>
        <w:t>.</w:t>
      </w:r>
      <w:r w:rsidRPr="00F96380">
        <w:t xml:space="preserve"> </w:t>
      </w:r>
      <w:r>
        <w:t xml:space="preserve">The purpose of this </w:t>
      </w:r>
      <w:r w:rsidRPr="00A56681">
        <w:t xml:space="preserve">review </w:t>
      </w:r>
      <w:r w:rsidR="00D2708B">
        <w:t xml:space="preserve">is </w:t>
      </w:r>
      <w:r>
        <w:t xml:space="preserve">to </w:t>
      </w:r>
      <w:r w:rsidRPr="00A56681">
        <w:t xml:space="preserve">understand </w:t>
      </w:r>
      <w:r w:rsidRPr="006859E0">
        <w:t xml:space="preserve">the service processes, impacts and outcomes, and </w:t>
      </w:r>
      <w:r w:rsidR="00E85EA6">
        <w:t xml:space="preserve">the </w:t>
      </w:r>
      <w:r w:rsidRPr="006859E0">
        <w:t xml:space="preserve">economic </w:t>
      </w:r>
      <w:r w:rsidR="00680146">
        <w:t xml:space="preserve">dimensions associated </w:t>
      </w:r>
      <w:r>
        <w:t>with deliver</w:t>
      </w:r>
      <w:r w:rsidR="00680146">
        <w:t xml:space="preserve">ing </w:t>
      </w:r>
      <w:r w:rsidR="00D2708B">
        <w:t>the</w:t>
      </w:r>
      <w:r w:rsidR="00680146">
        <w:t>se</w:t>
      </w:r>
      <w:r w:rsidRPr="00A56681">
        <w:t xml:space="preserve"> services</w:t>
      </w:r>
      <w:r>
        <w:t>.</w:t>
      </w:r>
    </w:p>
    <w:p w:rsidR="00A96E79" w:rsidRDefault="00A96E79" w:rsidP="002512C2">
      <w:pPr>
        <w:pStyle w:val="UnnumtextBodytext"/>
        <w:spacing w:after="180"/>
      </w:pPr>
      <w:r>
        <w:t xml:space="preserve">We </w:t>
      </w:r>
      <w:r w:rsidR="00D2708B">
        <w:t>have employed a “mixed method</w:t>
      </w:r>
      <w:r w:rsidR="002512C2">
        <w:t>s</w:t>
      </w:r>
      <w:r w:rsidR="00D2708B">
        <w:t>” approach</w:t>
      </w:r>
      <w:r>
        <w:t xml:space="preserve">, including visits to </w:t>
      </w:r>
      <w:r w:rsidR="00E85EA6">
        <w:t xml:space="preserve">several </w:t>
      </w:r>
      <w:r>
        <w:t xml:space="preserve">rural </w:t>
      </w:r>
      <w:r w:rsidR="00D2708B">
        <w:t>sites</w:t>
      </w:r>
      <w:r>
        <w:t>, interviews with</w:t>
      </w:r>
      <w:r w:rsidR="006859E0">
        <w:t xml:space="preserve"> clinical and managerial staff at </w:t>
      </w:r>
      <w:r w:rsidR="00A12E51">
        <w:t>district health boards (</w:t>
      </w:r>
      <w:r w:rsidR="006859E0">
        <w:t>DHBs</w:t>
      </w:r>
      <w:r w:rsidR="00A12E51">
        <w:t>)</w:t>
      </w:r>
      <w:r w:rsidR="006859E0">
        <w:t xml:space="preserve">, rural hospitals, </w:t>
      </w:r>
      <w:r w:rsidR="00D2708B">
        <w:t>primary care</w:t>
      </w:r>
      <w:r w:rsidR="006859E0">
        <w:t xml:space="preserve"> providers and community representatives. Patient and caregiver views were </w:t>
      </w:r>
      <w:r w:rsidR="00E85EA6">
        <w:t>obtained via</w:t>
      </w:r>
      <w:r w:rsidR="006859E0">
        <w:t xml:space="preserve"> a telephone interview</w:t>
      </w:r>
      <w:r w:rsidR="00D2708B">
        <w:t>,</w:t>
      </w:r>
      <w:r w:rsidR="006859E0">
        <w:t xml:space="preserve"> a postal survey</w:t>
      </w:r>
      <w:r w:rsidR="00D2708B">
        <w:t xml:space="preserve"> and service </w:t>
      </w:r>
      <w:r w:rsidR="006859E0">
        <w:t>feedback forms.</w:t>
      </w:r>
      <w:r w:rsidR="00D57D2C">
        <w:t xml:space="preserve"> </w:t>
      </w:r>
      <w:r w:rsidR="00D2708B">
        <w:t>We also examine</w:t>
      </w:r>
      <w:r w:rsidR="00E85EA6">
        <w:t>d</w:t>
      </w:r>
      <w:r w:rsidR="00D2708B">
        <w:t xml:space="preserve"> service volume and available financial data. </w:t>
      </w:r>
      <w:r w:rsidR="006859E0">
        <w:t>T</w:t>
      </w:r>
      <w:r>
        <w:t xml:space="preserve">he emphasis has been weighted towards the mobile surgical service, which </w:t>
      </w:r>
      <w:r w:rsidR="00E85EA6">
        <w:t xml:space="preserve">is the service that </w:t>
      </w:r>
      <w:r>
        <w:t xml:space="preserve">receives </w:t>
      </w:r>
      <w:r w:rsidR="00E85EA6">
        <w:t>m</w:t>
      </w:r>
      <w:r w:rsidR="002512C2">
        <w:t>ost o</w:t>
      </w:r>
      <w:r>
        <w:t xml:space="preserve">f the funding. </w:t>
      </w:r>
    </w:p>
    <w:p w:rsidR="006859E0" w:rsidRPr="006859E0" w:rsidRDefault="006859E0" w:rsidP="003B772C">
      <w:pPr>
        <w:pStyle w:val="UnnumtextBodytext"/>
        <w:spacing w:after="80"/>
        <w:rPr>
          <w:b/>
        </w:rPr>
      </w:pPr>
      <w:r w:rsidRPr="006859E0">
        <w:rPr>
          <w:b/>
        </w:rPr>
        <w:t>The mobile surgical service improves access for rural patients</w:t>
      </w:r>
    </w:p>
    <w:p w:rsidR="00D57D2C" w:rsidRDefault="00D57D2C" w:rsidP="002512C2">
      <w:pPr>
        <w:pStyle w:val="UnnumtextBodytext"/>
        <w:spacing w:after="140"/>
      </w:pPr>
      <w:r>
        <w:t xml:space="preserve">There is sufficient evidence to conclude that the mobile surgical service improves access for rural patients, and in particular, those patients who are from groups that tend to have high health needs, suffer from health inequalities, and /or face barriers to accessing care. </w:t>
      </w:r>
    </w:p>
    <w:p w:rsidR="00496C3F" w:rsidRDefault="00E85EA6" w:rsidP="002512C2">
      <w:pPr>
        <w:pStyle w:val="UnnumtextBullet1"/>
        <w:spacing w:after="140"/>
      </w:pPr>
      <w:r>
        <w:t>The p</w:t>
      </w:r>
      <w:r w:rsidR="00496C3F">
        <w:t>atients tend to be children and young people (41% of discharges) and people aged 60 years and over (27% of discharges)</w:t>
      </w:r>
      <w:r w:rsidR="00945A84">
        <w:t>, although thi</w:t>
      </w:r>
      <w:r>
        <w:t>s</w:t>
      </w:r>
      <w:r w:rsidR="00945A84">
        <w:t xml:space="preserve"> leve</w:t>
      </w:r>
      <w:r>
        <w:t>l</w:t>
      </w:r>
      <w:r w:rsidR="00945A84">
        <w:t xml:space="preserve"> of access </w:t>
      </w:r>
      <w:r>
        <w:t xml:space="preserve">is enabled </w:t>
      </w:r>
      <w:r w:rsidR="00945A84">
        <w:t xml:space="preserve">by the mix of services offered </w:t>
      </w:r>
      <w:r w:rsidR="00165F62">
        <w:t xml:space="preserve">on the bus </w:t>
      </w:r>
      <w:r w:rsidR="00945A84">
        <w:t>(e.g. dental, endoscop</w:t>
      </w:r>
      <w:r>
        <w:t>ies</w:t>
      </w:r>
      <w:r w:rsidR="00945A84">
        <w:t>)</w:t>
      </w:r>
      <w:r w:rsidR="00496C3F">
        <w:t xml:space="preserve">. </w:t>
      </w:r>
      <w:r w:rsidR="00165F62">
        <w:t>Also of note, p</w:t>
      </w:r>
      <w:r w:rsidR="00496C3F">
        <w:t>atients who identify as M</w:t>
      </w:r>
      <w:r w:rsidR="00496C3F" w:rsidRPr="008F5C57">
        <w:t>ā</w:t>
      </w:r>
      <w:r w:rsidR="00496C3F">
        <w:t xml:space="preserve">ori comprised 24% </w:t>
      </w:r>
      <w:r w:rsidR="00165F62">
        <w:t xml:space="preserve">of discharges </w:t>
      </w:r>
      <w:r w:rsidR="00496C3F">
        <w:t xml:space="preserve">– </w:t>
      </w:r>
      <w:r w:rsidR="00B80FC0">
        <w:t xml:space="preserve">around </w:t>
      </w:r>
      <w:r w:rsidR="00496C3F">
        <w:t xml:space="preserve">6 percentage points higher than their share of the rural population. These patients have been assessed by their DHB as meeting the threshold </w:t>
      </w:r>
      <w:r w:rsidR="00165F62">
        <w:t xml:space="preserve">for surgery </w:t>
      </w:r>
      <w:r w:rsidR="00496C3F">
        <w:t xml:space="preserve">and </w:t>
      </w:r>
      <w:r w:rsidR="00B80FC0">
        <w:t xml:space="preserve">so </w:t>
      </w:r>
      <w:r w:rsidR="00496C3F">
        <w:t xml:space="preserve">the </w:t>
      </w:r>
      <w:r w:rsidR="00B80FC0">
        <w:t xml:space="preserve">mobile </w:t>
      </w:r>
      <w:r w:rsidR="00496C3F">
        <w:t xml:space="preserve">service can be seen as helping to support their access to </w:t>
      </w:r>
      <w:r w:rsidR="00945A84">
        <w:t>care</w:t>
      </w:r>
      <w:r w:rsidR="008B4D86">
        <w:t>.</w:t>
      </w:r>
    </w:p>
    <w:p w:rsidR="006859E0" w:rsidRDefault="006859E0" w:rsidP="002512C2">
      <w:pPr>
        <w:pStyle w:val="UnnumtextBullet1"/>
        <w:spacing w:after="140"/>
      </w:pPr>
      <w:r>
        <w:t xml:space="preserve">Although </w:t>
      </w:r>
      <w:r w:rsidR="002512C2">
        <w:t xml:space="preserve">most of the surveyed </w:t>
      </w:r>
      <w:r>
        <w:t xml:space="preserve">patients </w:t>
      </w:r>
      <w:r w:rsidR="002512C2">
        <w:t xml:space="preserve">stated that they </w:t>
      </w:r>
      <w:r>
        <w:t>would have travelled further for surgery</w:t>
      </w:r>
      <w:r w:rsidR="002512C2">
        <w:t xml:space="preserve"> (e.g. </w:t>
      </w:r>
      <w:r>
        <w:t>to their base hospital</w:t>
      </w:r>
      <w:r w:rsidR="002512C2">
        <w:t>)</w:t>
      </w:r>
      <w:r>
        <w:t>, around 20% stated that they would not</w:t>
      </w:r>
      <w:r w:rsidR="002512C2">
        <w:t xml:space="preserve"> have travelled further</w:t>
      </w:r>
      <w:r>
        <w:t xml:space="preserve">. This figure is not insignificant and implies </w:t>
      </w:r>
      <w:r w:rsidR="008408FA">
        <w:t xml:space="preserve">that </w:t>
      </w:r>
      <w:r>
        <w:t xml:space="preserve">up to 300 rural patients per year, who have been </w:t>
      </w:r>
      <w:proofErr w:type="spellStart"/>
      <w:r>
        <w:t>prioritised</w:t>
      </w:r>
      <w:proofErr w:type="spellEnd"/>
      <w:r>
        <w:t xml:space="preserve"> for surgery by their DHB, may </w:t>
      </w:r>
      <w:r w:rsidR="008408FA">
        <w:t xml:space="preserve">not </w:t>
      </w:r>
      <w:r>
        <w:t>otherwise access the care they need.</w:t>
      </w:r>
      <w:r w:rsidR="001D6F50" w:rsidRPr="001D6F50">
        <w:t xml:space="preserve"> </w:t>
      </w:r>
      <w:r w:rsidR="00B80FC0">
        <w:t>R</w:t>
      </w:r>
      <w:r w:rsidR="001D6F50">
        <w:t xml:space="preserve">easons cited by these patients include: no access to transport; too costly to pay for transport, food and accommodation; and issues </w:t>
      </w:r>
      <w:r w:rsidR="00B80FC0">
        <w:t>around</w:t>
      </w:r>
      <w:r w:rsidR="001D6F50">
        <w:t xml:space="preserve"> child care.</w:t>
      </w:r>
    </w:p>
    <w:p w:rsidR="006859E0" w:rsidRDefault="001D6F50" w:rsidP="002512C2">
      <w:pPr>
        <w:pStyle w:val="UnnumtextBullet1"/>
        <w:spacing w:after="220"/>
      </w:pPr>
      <w:r>
        <w:t>S</w:t>
      </w:r>
      <w:r w:rsidRPr="00470AF1">
        <w:t xml:space="preserve">takeholders </w:t>
      </w:r>
      <w:r>
        <w:t xml:space="preserve">at rural host sites </w:t>
      </w:r>
      <w:r w:rsidRPr="00470AF1">
        <w:t>tended to comment that</w:t>
      </w:r>
      <w:r>
        <w:t xml:space="preserve">, </w:t>
      </w:r>
      <w:r w:rsidR="00CA314A">
        <w:t xml:space="preserve">if there was no </w:t>
      </w:r>
      <w:r>
        <w:t xml:space="preserve">mobile service, </w:t>
      </w:r>
      <w:r w:rsidR="00CA314A">
        <w:t xml:space="preserve">then they believed that </w:t>
      </w:r>
      <w:r>
        <w:t>s</w:t>
      </w:r>
      <w:r w:rsidRPr="00470AF1">
        <w:t xml:space="preserve">ome patients </w:t>
      </w:r>
      <w:r w:rsidR="00CA314A">
        <w:t xml:space="preserve">would </w:t>
      </w:r>
      <w:r>
        <w:t xml:space="preserve">not be able to </w:t>
      </w:r>
      <w:r w:rsidRPr="00470AF1">
        <w:t xml:space="preserve">travel </w:t>
      </w:r>
      <w:r>
        <w:t xml:space="preserve">further to a base hospital for surgery. These stakeholders – including general managers at several rural hospitals, rural nurses, a clinical manager at a </w:t>
      </w:r>
      <w:proofErr w:type="spellStart"/>
      <w:r>
        <w:t>hauroa</w:t>
      </w:r>
      <w:proofErr w:type="spellEnd"/>
      <w:r>
        <w:t xml:space="preserve"> provider and a rural general practitioner – </w:t>
      </w:r>
      <w:r w:rsidRPr="00470AF1">
        <w:t xml:space="preserve">typically </w:t>
      </w:r>
      <w:r w:rsidR="00B80FC0">
        <w:t>referred to</w:t>
      </w:r>
      <w:r>
        <w:t xml:space="preserve"> </w:t>
      </w:r>
      <w:r w:rsidRPr="00470AF1">
        <w:t xml:space="preserve">children </w:t>
      </w:r>
      <w:r>
        <w:t xml:space="preserve">in struggling families </w:t>
      </w:r>
      <w:r w:rsidRPr="00470AF1">
        <w:t>or older people</w:t>
      </w:r>
      <w:r>
        <w:t xml:space="preserve"> and cited </w:t>
      </w:r>
      <w:r w:rsidR="00B80FC0">
        <w:t>barrier</w:t>
      </w:r>
      <w:r>
        <w:t>s such as a lack of transport and/or money, and the distance involved</w:t>
      </w:r>
      <w:r w:rsidR="00D2708B">
        <w:t xml:space="preserve">. </w:t>
      </w:r>
    </w:p>
    <w:p w:rsidR="006859E0" w:rsidRPr="006859E0" w:rsidRDefault="006859E0" w:rsidP="003B772C">
      <w:pPr>
        <w:pStyle w:val="UnnumtextBodytext"/>
        <w:spacing w:after="80"/>
        <w:rPr>
          <w:b/>
        </w:rPr>
      </w:pPr>
      <w:r w:rsidRPr="006859E0">
        <w:rPr>
          <w:b/>
        </w:rPr>
        <w:t xml:space="preserve">Patients and caregivers </w:t>
      </w:r>
      <w:r>
        <w:rPr>
          <w:b/>
        </w:rPr>
        <w:t xml:space="preserve">generally </w:t>
      </w:r>
      <w:r w:rsidRPr="006859E0">
        <w:rPr>
          <w:b/>
        </w:rPr>
        <w:t>report highly positive experiences</w:t>
      </w:r>
    </w:p>
    <w:p w:rsidR="004664CC" w:rsidRDefault="006859E0" w:rsidP="004664CC">
      <w:pPr>
        <w:pStyle w:val="UnnumtextBodytext"/>
      </w:pPr>
      <w:r w:rsidRPr="00A96E79">
        <w:t>Patients a</w:t>
      </w:r>
      <w:r>
        <w:t>nd</w:t>
      </w:r>
      <w:r w:rsidRPr="00A96E79">
        <w:t xml:space="preserve"> their caregivers overwhelmingly perceive their experience of the mobile surgical service to be a positive experience.</w:t>
      </w:r>
      <w:r w:rsidRPr="00DE2D99">
        <w:t xml:space="preserve"> </w:t>
      </w:r>
      <w:r>
        <w:t>There is strong evidence that rural patients and their caregivers value the “convenience” of the service</w:t>
      </w:r>
      <w:r w:rsidRPr="00DE2D99">
        <w:t xml:space="preserve"> </w:t>
      </w:r>
      <w:r>
        <w:t xml:space="preserve">being close to home. This term </w:t>
      </w:r>
      <w:r w:rsidR="00CA314A">
        <w:t>wa</w:t>
      </w:r>
      <w:r>
        <w:t>s used to cover reduced travel time or direct travel costs, not having to take time of work or make alternative child care arrangements, and avoided stress or apprehension</w:t>
      </w:r>
      <w:r w:rsidR="001D6F50">
        <w:t xml:space="preserve">. </w:t>
      </w:r>
      <w:r w:rsidR="004664CC">
        <w:t xml:space="preserve">The </w:t>
      </w:r>
      <w:r w:rsidR="004664CC" w:rsidRPr="00A96E79">
        <w:t xml:space="preserve">majority </w:t>
      </w:r>
      <w:r w:rsidR="004664CC">
        <w:t xml:space="preserve">of patients also reported that they have </w:t>
      </w:r>
      <w:r w:rsidR="004664CC" w:rsidRPr="00A96E79">
        <w:t>experienced improvements in their wellbeing following their surgery</w:t>
      </w:r>
      <w:r w:rsidR="004664CC">
        <w:t xml:space="preserve"> on the bus. Consistent with this, none of the clinical staff involved expressed any concerns about the current scope of procedures being performed or the follow-up care. </w:t>
      </w:r>
      <w:r w:rsidR="00057BD6">
        <w:t>No concerns were rai</w:t>
      </w:r>
      <w:r w:rsidR="00E85EA6">
        <w:t>s</w:t>
      </w:r>
      <w:r w:rsidR="00057BD6">
        <w:t>ed about the safety or effectiveness of the service.</w:t>
      </w:r>
    </w:p>
    <w:p w:rsidR="006C725C" w:rsidRDefault="006C725C" w:rsidP="00B80FC0">
      <w:pPr>
        <w:pStyle w:val="UnnumtextBodytext"/>
        <w:spacing w:after="80"/>
        <w:rPr>
          <w:b/>
        </w:rPr>
      </w:pPr>
      <w:r>
        <w:rPr>
          <w:b/>
        </w:rPr>
        <w:lastRenderedPageBreak/>
        <w:t xml:space="preserve">The sector appears to be broadly </w:t>
      </w:r>
      <w:r w:rsidR="004664CC" w:rsidRPr="00D57D2C">
        <w:rPr>
          <w:b/>
        </w:rPr>
        <w:t xml:space="preserve">comfortable with </w:t>
      </w:r>
      <w:r>
        <w:rPr>
          <w:b/>
        </w:rPr>
        <w:t xml:space="preserve">the mobile surgical service </w:t>
      </w:r>
    </w:p>
    <w:p w:rsidR="004664CC" w:rsidRDefault="00A12E51" w:rsidP="004664CC">
      <w:pPr>
        <w:pStyle w:val="UnnumtextBodytext"/>
      </w:pPr>
      <w:r>
        <w:t>DHBs</w:t>
      </w:r>
      <w:r w:rsidR="004664CC">
        <w:t xml:space="preserve"> that we spoke with </w:t>
      </w:r>
      <w:r w:rsidR="00B80FC0">
        <w:t>seemed</w:t>
      </w:r>
      <w:r w:rsidR="004664CC">
        <w:t xml:space="preserve"> satisfied that the referral pathways and waiting times for the mobile surgical service did not place rural </w:t>
      </w:r>
      <w:r w:rsidR="00B80FC0">
        <w:t xml:space="preserve">patients </w:t>
      </w:r>
      <w:r w:rsidR="004664CC">
        <w:t>at any systemic or material disadvantage, relative to their non-rural counterparts that live closer to a base hospital (or vice versa). The bus was seen as</w:t>
      </w:r>
      <w:r w:rsidR="008B4D86">
        <w:t xml:space="preserve"> a</w:t>
      </w:r>
      <w:r w:rsidR="004664CC">
        <w:t xml:space="preserve"> small but useful supplementary capacity</w:t>
      </w:r>
      <w:r w:rsidR="00B80FC0">
        <w:t xml:space="preserve"> that can help</w:t>
      </w:r>
      <w:r w:rsidR="004664CC">
        <w:t xml:space="preserve"> DHBs to manage the</w:t>
      </w:r>
      <w:r w:rsidR="00B80FC0">
        <w:t xml:space="preserve"> reduced </w:t>
      </w:r>
      <w:r w:rsidR="004664CC">
        <w:t>targets for patient waiting times</w:t>
      </w:r>
      <w:r w:rsidR="00B80FC0">
        <w:t xml:space="preserve"> for elective surgery</w:t>
      </w:r>
      <w:r w:rsidR="004664CC">
        <w:t xml:space="preserve">. </w:t>
      </w:r>
      <w:r>
        <w:t xml:space="preserve">To put </w:t>
      </w:r>
      <w:r w:rsidR="00B80FC0">
        <w:t>this</w:t>
      </w:r>
      <w:r>
        <w:t xml:space="preserve"> in context, that</w:t>
      </w:r>
      <w:r w:rsidR="004664CC">
        <w:t xml:space="preserve"> capacity is the equivalent of one additional day surgery list per month for most host DHBs, and up to one extra list per week for DHBs with multiple hosting sites.</w:t>
      </w:r>
    </w:p>
    <w:p w:rsidR="004664CC" w:rsidRDefault="004664CC" w:rsidP="004664CC">
      <w:pPr>
        <w:pStyle w:val="UnnumtextBodytext"/>
      </w:pPr>
      <w:r>
        <w:t>In most cases</w:t>
      </w:r>
      <w:r w:rsidR="00B80FC0">
        <w:t>,</w:t>
      </w:r>
      <w:r>
        <w:t xml:space="preserve"> the rural hospitals and their communities </w:t>
      </w:r>
      <w:r w:rsidR="00A12E51">
        <w:t>welcome</w:t>
      </w:r>
      <w:r>
        <w:t xml:space="preserve"> the bus and the </w:t>
      </w:r>
      <w:r w:rsidR="00A12E51">
        <w:t xml:space="preserve">chance </w:t>
      </w:r>
      <w:r>
        <w:t xml:space="preserve">for local nurses to work on board. </w:t>
      </w:r>
      <w:r w:rsidR="00DB27C1">
        <w:t xml:space="preserve">A number of </w:t>
      </w:r>
      <w:r w:rsidR="00B80FC0">
        <w:t xml:space="preserve">rural </w:t>
      </w:r>
      <w:r w:rsidR="00DB27C1">
        <w:t xml:space="preserve">sites mentioned that </w:t>
      </w:r>
      <w:r>
        <w:t xml:space="preserve">the bus </w:t>
      </w:r>
      <w:r w:rsidR="00A12E51">
        <w:t xml:space="preserve">is seen </w:t>
      </w:r>
      <w:r w:rsidR="00B80FC0">
        <w:t xml:space="preserve">in the community </w:t>
      </w:r>
      <w:r>
        <w:t xml:space="preserve">as a replacement for earlier loss of surgical services, following </w:t>
      </w:r>
      <w:r w:rsidR="00A12E51">
        <w:t xml:space="preserve">the </w:t>
      </w:r>
      <w:proofErr w:type="spellStart"/>
      <w:r>
        <w:t>centralisation</w:t>
      </w:r>
      <w:proofErr w:type="spellEnd"/>
      <w:r>
        <w:t xml:space="preserve"> </w:t>
      </w:r>
      <w:r w:rsidR="00B80FC0">
        <w:t xml:space="preserve">of elective surgery </w:t>
      </w:r>
      <w:r w:rsidR="00A12E51">
        <w:t xml:space="preserve">during </w:t>
      </w:r>
      <w:r>
        <w:t xml:space="preserve">the 1990s. </w:t>
      </w:r>
    </w:p>
    <w:p w:rsidR="006C725C" w:rsidRDefault="006C725C" w:rsidP="00B80FC0">
      <w:pPr>
        <w:pStyle w:val="UnnumtextBodytext"/>
        <w:spacing w:after="80"/>
        <w:rPr>
          <w:b/>
        </w:rPr>
      </w:pPr>
      <w:r>
        <w:rPr>
          <w:b/>
        </w:rPr>
        <w:t>Service cost-effectiveness is difficult to pin down</w:t>
      </w:r>
    </w:p>
    <w:p w:rsidR="006C725C" w:rsidRDefault="006C725C" w:rsidP="006C725C">
      <w:pPr>
        <w:pStyle w:val="UnnumtextBodytext"/>
      </w:pPr>
      <w:r>
        <w:t xml:space="preserve">We explored options for conducting </w:t>
      </w:r>
      <w:r w:rsidR="00A12E51">
        <w:t>a</w:t>
      </w:r>
      <w:r>
        <w:t xml:space="preserve"> cost-effectiveness analysis of the mobile surgical service, relative to </w:t>
      </w:r>
      <w:r w:rsidR="00A12E51">
        <w:t>delivery at a</w:t>
      </w:r>
      <w:r>
        <w:t xml:space="preserve"> base hospital. Ultimately, this </w:t>
      </w:r>
      <w:r w:rsidR="00A12E51">
        <w:t>was</w:t>
      </w:r>
      <w:r>
        <w:t xml:space="preserve"> not possible because we were unable to obtain sufficiently detailed financial data from the provider or </w:t>
      </w:r>
      <w:r w:rsidR="00A12E51">
        <w:t>DHB</w:t>
      </w:r>
      <w:r>
        <w:t>s.</w:t>
      </w:r>
      <w:r w:rsidR="00BD26EE">
        <w:t xml:space="preserve"> However, o</w:t>
      </w:r>
      <w:r>
        <w:t xml:space="preserve">ur partial insights into the prices and volumes of the </w:t>
      </w:r>
      <w:r w:rsidRPr="006C725C">
        <w:t xml:space="preserve">mobile surgical service </w:t>
      </w:r>
      <w:r>
        <w:t>suggest that</w:t>
      </w:r>
      <w:r w:rsidR="00831B8A" w:rsidRPr="00831B8A">
        <w:t xml:space="preserve"> it is plausible that MSS Ltd is operating as cost-effectively as the alternative of base hospital delivery</w:t>
      </w:r>
      <w:r>
        <w:t>, once the effective contract price is adjusted to take account of improved access, over-delivery of volumes, and avoided costs</w:t>
      </w:r>
      <w:r w:rsidRPr="00AF1A26">
        <w:t>. This view is offere</w:t>
      </w:r>
      <w:r w:rsidR="003B772C">
        <w:t xml:space="preserve">d without fully knowing the </w:t>
      </w:r>
      <w:r w:rsidRPr="00AF1A26">
        <w:t>cost structures and whether there is ongoing cross-</w:t>
      </w:r>
      <w:proofErr w:type="spellStart"/>
      <w:r w:rsidRPr="00AF1A26">
        <w:t>subsidisation</w:t>
      </w:r>
      <w:proofErr w:type="spellEnd"/>
      <w:r w:rsidRPr="00AF1A26">
        <w:t xml:space="preserve"> </w:t>
      </w:r>
      <w:r w:rsidR="00BD26EE">
        <w:t xml:space="preserve">from the professional development and remote collaboration </w:t>
      </w:r>
      <w:r w:rsidR="00BD26EE" w:rsidRPr="00A56681">
        <w:t>services</w:t>
      </w:r>
      <w:r w:rsidR="00BD26EE">
        <w:t xml:space="preserve"> </w:t>
      </w:r>
      <w:r w:rsidRPr="00AF1A26">
        <w:t>towards the surgical service</w:t>
      </w:r>
      <w:r w:rsidR="003B772C">
        <w:t>.</w:t>
      </w:r>
      <w:r w:rsidRPr="00AF1A26">
        <w:t xml:space="preserve"> </w:t>
      </w:r>
    </w:p>
    <w:p w:rsidR="003F6AAA" w:rsidRDefault="003F6AAA" w:rsidP="006C725C">
      <w:pPr>
        <w:pStyle w:val="UnnumtextBodytext"/>
      </w:pPr>
      <w:r>
        <w:t xml:space="preserve">Arguably, if the mix </w:t>
      </w:r>
      <w:r w:rsidR="00BD26EE">
        <w:t xml:space="preserve">of cases </w:t>
      </w:r>
      <w:r>
        <w:t xml:space="preserve">is oriented towards planned and low complexity day surgery, </w:t>
      </w:r>
      <w:r w:rsidRPr="003F6AAA">
        <w:t xml:space="preserve">it might be expected that the </w:t>
      </w:r>
      <w:r w:rsidR="00BD26EE">
        <w:t xml:space="preserve">mobile </w:t>
      </w:r>
      <w:r w:rsidRPr="003F6AAA">
        <w:t>service should be more cost</w:t>
      </w:r>
      <w:r w:rsidR="00BD26EE">
        <w:t>-</w:t>
      </w:r>
      <w:r w:rsidRPr="003F6AAA">
        <w:t xml:space="preserve">effective </w:t>
      </w:r>
      <w:r w:rsidR="00BD26EE">
        <w:t xml:space="preserve">than a base hospital </w:t>
      </w:r>
      <w:r w:rsidRPr="003F6AAA">
        <w:t>– particularly for a</w:t>
      </w:r>
      <w:r>
        <w:t xml:space="preserve"> nimble provider that contracts in specialist</w:t>
      </w:r>
      <w:r w:rsidR="00BD26EE">
        <w:t>s</w:t>
      </w:r>
      <w:r>
        <w:t xml:space="preserve"> without facing overheads, such as the professional development requirements of salaried clinical staff.   </w:t>
      </w:r>
    </w:p>
    <w:p w:rsidR="00D55B3C" w:rsidRDefault="00D55B3C" w:rsidP="003B772C">
      <w:pPr>
        <w:pStyle w:val="UnnumtextBodytext"/>
      </w:pPr>
      <w:r w:rsidRPr="00D55B3C">
        <w:t xml:space="preserve">We were advised by the provider that </w:t>
      </w:r>
      <w:r>
        <w:t xml:space="preserve">the pre-tax return on the cost value of the asset base employed in the business for 2012/13 was 11.5% (or a post-tax return of 8.3%). We note that, arguably, this return appears to be on the high side. However, </w:t>
      </w:r>
      <w:r w:rsidRPr="00BB79B3">
        <w:t xml:space="preserve">we </w:t>
      </w:r>
      <w:r>
        <w:t xml:space="preserve">offer these figures without having conducted </w:t>
      </w:r>
      <w:r w:rsidRPr="00BB79B3">
        <w:t>a detailed appraisal the company accounts</w:t>
      </w:r>
      <w:r>
        <w:t>.</w:t>
      </w:r>
    </w:p>
    <w:p w:rsidR="006C725C" w:rsidRPr="006C725C" w:rsidRDefault="006C725C" w:rsidP="00B80FC0">
      <w:pPr>
        <w:pStyle w:val="UnnumtextBodytext"/>
        <w:spacing w:after="80"/>
        <w:rPr>
          <w:b/>
        </w:rPr>
      </w:pPr>
      <w:r w:rsidRPr="006C725C">
        <w:rPr>
          <w:b/>
        </w:rPr>
        <w:t xml:space="preserve">Signs point to a well-run service </w:t>
      </w:r>
      <w:r w:rsidR="00AF1B82">
        <w:rPr>
          <w:b/>
        </w:rPr>
        <w:t xml:space="preserve">but value for money is ultimately a </w:t>
      </w:r>
      <w:proofErr w:type="spellStart"/>
      <w:r w:rsidR="00AF1B82">
        <w:rPr>
          <w:b/>
        </w:rPr>
        <w:t>judgement</w:t>
      </w:r>
      <w:proofErr w:type="spellEnd"/>
      <w:r w:rsidR="00AF1B82">
        <w:rPr>
          <w:b/>
        </w:rPr>
        <w:t xml:space="preserve"> </w:t>
      </w:r>
    </w:p>
    <w:p w:rsidR="004664CC" w:rsidRDefault="006C725C" w:rsidP="004664CC">
      <w:pPr>
        <w:pStyle w:val="UnnumtextBodytext"/>
      </w:pPr>
      <w:r>
        <w:t xml:space="preserve">The </w:t>
      </w:r>
      <w:r w:rsidR="004664CC">
        <w:t>bus reliably turns up at two dozen sites on a regular five-week cycle, largely without incident. Furthermore, the s</w:t>
      </w:r>
      <w:r w:rsidR="004664CC" w:rsidRPr="00A96E79">
        <w:t xml:space="preserve">taff </w:t>
      </w:r>
      <w:r w:rsidR="004664CC">
        <w:t>employed or contracted by MSS Ltd were seen by stakeholders as “flexible” and willing to discuss other approaches, while patients and caregivers generally rate their experiences with staff very highly.</w:t>
      </w:r>
      <w:r w:rsidR="00A12E51">
        <w:t xml:space="preserve"> This all suggests that, operationally, t</w:t>
      </w:r>
      <w:r w:rsidR="00A12E51" w:rsidRPr="006C725C">
        <w:t xml:space="preserve">he </w:t>
      </w:r>
      <w:r w:rsidR="00A12E51">
        <w:t xml:space="preserve">mobile surgical </w:t>
      </w:r>
      <w:r w:rsidR="00A12E51" w:rsidRPr="006C725C">
        <w:t>service i</w:t>
      </w:r>
      <w:r w:rsidR="00A12E51">
        <w:t>s well</w:t>
      </w:r>
      <w:r w:rsidR="00BD26EE">
        <w:t xml:space="preserve"> </w:t>
      </w:r>
      <w:r w:rsidR="00A12E51">
        <w:t>planned and managed.</w:t>
      </w:r>
    </w:p>
    <w:p w:rsidR="004664CC" w:rsidRDefault="004664CC" w:rsidP="004664CC">
      <w:pPr>
        <w:pStyle w:val="UnnumtextBodytext"/>
      </w:pPr>
      <w:r w:rsidRPr="006C725C">
        <w:t>We would conclude that the mobile surgical service largely fulfills the objectives set</w:t>
      </w:r>
      <w:r>
        <w:t xml:space="preserve"> out in the contract – of providing access to a (reasonably) wide range of day surgical procedures in rural communities in a timely way. In doing so, there is evidence that it is improving access to elective surgery for patients in rural communities and assisting DHBs to, at the margin, meet their </w:t>
      </w:r>
      <w:r w:rsidR="00BD26EE">
        <w:t xml:space="preserve">key performance indicators for </w:t>
      </w:r>
      <w:r>
        <w:t>elective surg</w:t>
      </w:r>
      <w:r w:rsidR="00BD26EE">
        <w:t>ery</w:t>
      </w:r>
      <w:r>
        <w:t>.</w:t>
      </w:r>
    </w:p>
    <w:p w:rsidR="00165F62" w:rsidRDefault="003F6AAA" w:rsidP="00BD26EE">
      <w:pPr>
        <w:pStyle w:val="UnnumtextBodytext"/>
        <w:rPr>
          <w:b/>
        </w:rPr>
      </w:pPr>
      <w:r>
        <w:t xml:space="preserve">The question of whether the cost of this improved access service </w:t>
      </w:r>
      <w:r w:rsidR="003B772C">
        <w:t xml:space="preserve">($4 million per annum) </w:t>
      </w:r>
      <w:r>
        <w:t xml:space="preserve">is justified is a </w:t>
      </w:r>
      <w:proofErr w:type="spellStart"/>
      <w:r>
        <w:t>judgement</w:t>
      </w:r>
      <w:proofErr w:type="spellEnd"/>
      <w:r w:rsidR="003B772C">
        <w:t xml:space="preserve">. It </w:t>
      </w:r>
      <w:r>
        <w:t>requires a</w:t>
      </w:r>
      <w:r w:rsidR="003B772C">
        <w:t>n</w:t>
      </w:r>
      <w:r>
        <w:t xml:space="preserve"> overview of how else this funding</w:t>
      </w:r>
      <w:r w:rsidR="003B772C">
        <w:t xml:space="preserve"> could be </w:t>
      </w:r>
      <w:r>
        <w:t>u</w:t>
      </w:r>
      <w:r w:rsidR="003B772C">
        <w:t>s</w:t>
      </w:r>
      <w:r>
        <w:t xml:space="preserve">ed to support access for these patients or a </w:t>
      </w:r>
      <w:r w:rsidR="003B772C">
        <w:t>similar g</w:t>
      </w:r>
      <w:r>
        <w:t xml:space="preserve">roup </w:t>
      </w:r>
      <w:r w:rsidR="003B772C">
        <w:t xml:space="preserve">for different bundle of services. This is something an informed and strategic funder is best-placed to consider. </w:t>
      </w:r>
      <w:r w:rsidR="00165F62">
        <w:rPr>
          <w:b/>
        </w:rPr>
        <w:br w:type="page"/>
      </w:r>
    </w:p>
    <w:p w:rsidR="00006285" w:rsidRDefault="00006285" w:rsidP="00DB0F0D">
      <w:pPr>
        <w:pStyle w:val="UnnumtextBodytext"/>
        <w:spacing w:after="80"/>
        <w:rPr>
          <w:b/>
        </w:rPr>
      </w:pPr>
      <w:r w:rsidRPr="006E063F">
        <w:rPr>
          <w:b/>
        </w:rPr>
        <w:lastRenderedPageBreak/>
        <w:t xml:space="preserve">Professional </w:t>
      </w:r>
      <w:r>
        <w:rPr>
          <w:b/>
        </w:rPr>
        <w:t>d</w:t>
      </w:r>
      <w:r w:rsidRPr="006E063F">
        <w:rPr>
          <w:b/>
        </w:rPr>
        <w:t xml:space="preserve">evelopment </w:t>
      </w:r>
      <w:r>
        <w:rPr>
          <w:b/>
        </w:rPr>
        <w:t>training is</w:t>
      </w:r>
      <w:r w:rsidRPr="006E063F">
        <w:rPr>
          <w:b/>
        </w:rPr>
        <w:t xml:space="preserve"> see</w:t>
      </w:r>
      <w:r>
        <w:rPr>
          <w:b/>
        </w:rPr>
        <w:t>n as relevant and engaging</w:t>
      </w:r>
    </w:p>
    <w:p w:rsidR="00426AC8" w:rsidRDefault="00006285" w:rsidP="00006285">
      <w:pPr>
        <w:pStyle w:val="UnnumtextBodytext"/>
      </w:pPr>
      <w:r>
        <w:t>P</w:t>
      </w:r>
      <w:r w:rsidRPr="006E063F">
        <w:t>articipants were uniformly positive</w:t>
      </w:r>
      <w:r>
        <w:t xml:space="preserve"> about the relevance and quality of the content of these telepresence-based sessions, which form the largest volume of professional development services</w:t>
      </w:r>
      <w:r w:rsidRPr="006E063F">
        <w:t>. Some participants highlighted occasions where they felt the topic or presenters had been tailored to their rural context</w:t>
      </w:r>
      <w:r>
        <w:t xml:space="preserve"> and understood the needs of rural staff</w:t>
      </w:r>
      <w:r w:rsidRPr="006E063F">
        <w:t>.</w:t>
      </w:r>
      <w:r>
        <w:t xml:space="preserve"> </w:t>
      </w:r>
      <w:r w:rsidR="00426AC8">
        <w:t>T</w:t>
      </w:r>
      <w:r>
        <w:t xml:space="preserve">he sessions </w:t>
      </w:r>
      <w:r w:rsidR="00426AC8">
        <w:t xml:space="preserve">also appear to </w:t>
      </w:r>
      <w:r>
        <w:t xml:space="preserve">enable local networks, as the training </w:t>
      </w:r>
      <w:r w:rsidR="00426AC8">
        <w:t xml:space="preserve">is </w:t>
      </w:r>
      <w:r w:rsidRPr="007C45F1">
        <w:t xml:space="preserve">open to </w:t>
      </w:r>
      <w:r w:rsidR="00426AC8">
        <w:t xml:space="preserve">all </w:t>
      </w:r>
      <w:r w:rsidRPr="007C45F1">
        <w:t>provid</w:t>
      </w:r>
      <w:r>
        <w:t xml:space="preserve">ers located </w:t>
      </w:r>
      <w:r w:rsidR="00426AC8">
        <w:t>at a</w:t>
      </w:r>
      <w:r>
        <w:t xml:space="preserve"> rural site. </w:t>
      </w:r>
      <w:r w:rsidR="00AF1B82">
        <w:t xml:space="preserve"> </w:t>
      </w:r>
    </w:p>
    <w:p w:rsidR="00006285" w:rsidRDefault="00006285" w:rsidP="00006285">
      <w:pPr>
        <w:pStyle w:val="UnnumtextBodytext"/>
      </w:pPr>
      <w:r w:rsidRPr="00A12E51">
        <w:t>There is some evidence that the skills are being applied</w:t>
      </w:r>
      <w:r w:rsidR="00426AC8">
        <w:t xml:space="preserve">, with rural </w:t>
      </w:r>
      <w:r>
        <w:t xml:space="preserve">nurses </w:t>
      </w:r>
      <w:r w:rsidR="00426AC8">
        <w:t xml:space="preserve">commenting </w:t>
      </w:r>
      <w:r>
        <w:t xml:space="preserve">that the training on patient airway management and resuscitation skills would be </w:t>
      </w:r>
      <w:r w:rsidR="00A31DCD">
        <w:t xml:space="preserve">useful in </w:t>
      </w:r>
      <w:r>
        <w:t>their roles</w:t>
      </w:r>
      <w:r w:rsidR="00426AC8">
        <w:t xml:space="preserve"> on medical</w:t>
      </w:r>
      <w:r>
        <w:t xml:space="preserve"> wards or emergency departments. GPs</w:t>
      </w:r>
      <w:r w:rsidR="00AF1B82">
        <w:t xml:space="preserve"> appreciate </w:t>
      </w:r>
      <w:r w:rsidR="00426AC8">
        <w:t xml:space="preserve">the </w:t>
      </w:r>
      <w:r w:rsidR="00A31DCD">
        <w:t>chance</w:t>
      </w:r>
      <w:r w:rsidRPr="004C0568">
        <w:t xml:space="preserve"> to spend time </w:t>
      </w:r>
      <w:r w:rsidR="00426AC8">
        <w:t xml:space="preserve">onboard the bus </w:t>
      </w:r>
      <w:r w:rsidRPr="004C0568">
        <w:t xml:space="preserve">with </w:t>
      </w:r>
      <w:r w:rsidR="00426AC8">
        <w:t xml:space="preserve">a </w:t>
      </w:r>
      <w:r w:rsidRPr="004C0568">
        <w:t>specialist</w:t>
      </w:r>
      <w:r w:rsidR="00AF1B82">
        <w:t xml:space="preserve">, </w:t>
      </w:r>
      <w:r w:rsidR="00426AC8">
        <w:t xml:space="preserve">to develop </w:t>
      </w:r>
      <w:r>
        <w:t>practical skills</w:t>
      </w:r>
      <w:r w:rsidR="00A12E51">
        <w:t xml:space="preserve"> (e.g. minor surgery</w:t>
      </w:r>
      <w:r w:rsidR="00426AC8">
        <w:t>, intubation</w:t>
      </w:r>
      <w:r w:rsidR="00A12E51">
        <w:t>).</w:t>
      </w:r>
    </w:p>
    <w:p w:rsidR="00A12E51" w:rsidRPr="003B772C" w:rsidRDefault="00006285" w:rsidP="003B772C">
      <w:pPr>
        <w:pStyle w:val="UnnumtextBodytext"/>
        <w:spacing w:after="80"/>
        <w:rPr>
          <w:b/>
        </w:rPr>
      </w:pPr>
      <w:r>
        <w:rPr>
          <w:b/>
        </w:rPr>
        <w:t>The training may not be material for r</w:t>
      </w:r>
      <w:r w:rsidRPr="00006285">
        <w:rPr>
          <w:b/>
        </w:rPr>
        <w:t>ecruitment and retention</w:t>
      </w:r>
      <w:r w:rsidR="00A12E51">
        <w:rPr>
          <w:b/>
        </w:rPr>
        <w:t xml:space="preserve"> in rural settings</w:t>
      </w:r>
      <w:r w:rsidRPr="003B772C">
        <w:rPr>
          <w:b/>
        </w:rPr>
        <w:t xml:space="preserve"> </w:t>
      </w:r>
    </w:p>
    <w:p w:rsidR="00006285" w:rsidRDefault="00006285" w:rsidP="00006285">
      <w:pPr>
        <w:pStyle w:val="UnnumtextBodytext"/>
      </w:pPr>
      <w:r>
        <w:t>We did not find managers arguing that the training sessions or opportunities to work on the bus are material factors in their nursing workforce recruitment or retention. A couple of managers commented that the nursing roles in their rural hospitals tend to be settled and typically sought-after</w:t>
      </w:r>
      <w:r>
        <w:rPr>
          <w:i/>
        </w:rPr>
        <w:t>.</w:t>
      </w:r>
      <w:r>
        <w:t xml:space="preserve"> Balancing this, two </w:t>
      </w:r>
      <w:proofErr w:type="spellStart"/>
      <w:r>
        <w:t>organisations</w:t>
      </w:r>
      <w:proofErr w:type="spellEnd"/>
      <w:r>
        <w:t xml:space="preserve"> did comment that they valued being able to offer training aboard the bus to their general practitioners. In one case, it may have helped with the recruitment of doctors to work in a rural hospital setting. </w:t>
      </w:r>
    </w:p>
    <w:p w:rsidR="006E063F" w:rsidRDefault="006E063F" w:rsidP="003B772C">
      <w:pPr>
        <w:pStyle w:val="UnnumtextBodytext"/>
        <w:spacing w:after="80"/>
        <w:rPr>
          <w:b/>
        </w:rPr>
      </w:pPr>
      <w:r>
        <w:rPr>
          <w:b/>
        </w:rPr>
        <w:t>The r</w:t>
      </w:r>
      <w:r w:rsidR="00DB27C1" w:rsidRPr="00DB27C1">
        <w:rPr>
          <w:b/>
        </w:rPr>
        <w:t xml:space="preserve">emote collaboration </w:t>
      </w:r>
      <w:r>
        <w:rPr>
          <w:b/>
        </w:rPr>
        <w:t xml:space="preserve">service </w:t>
      </w:r>
      <w:r w:rsidR="00DB27C1" w:rsidRPr="00DB27C1">
        <w:rPr>
          <w:b/>
        </w:rPr>
        <w:t xml:space="preserve">has </w:t>
      </w:r>
      <w:r>
        <w:rPr>
          <w:b/>
        </w:rPr>
        <w:t xml:space="preserve">had to be </w:t>
      </w:r>
      <w:r w:rsidR="00DB27C1" w:rsidRPr="00DB27C1">
        <w:rPr>
          <w:b/>
        </w:rPr>
        <w:t>refocus</w:t>
      </w:r>
      <w:r>
        <w:rPr>
          <w:b/>
        </w:rPr>
        <w:t>ed</w:t>
      </w:r>
    </w:p>
    <w:p w:rsidR="00DB27C1" w:rsidRDefault="00DB27C1" w:rsidP="00DB27C1">
      <w:pPr>
        <w:pStyle w:val="UnnumtextBodytext"/>
      </w:pPr>
      <w:r>
        <w:t xml:space="preserve">We understand that it has </w:t>
      </w:r>
      <w:r w:rsidR="00831B8A">
        <w:t>proved diff</w:t>
      </w:r>
      <w:r>
        <w:t xml:space="preserve">icult to bring </w:t>
      </w:r>
      <w:r w:rsidR="00831B8A">
        <w:t xml:space="preserve">sufficient </w:t>
      </w:r>
      <w:r>
        <w:t xml:space="preserve">clinicians on board for the </w:t>
      </w:r>
      <w:r w:rsidR="008B4D86" w:rsidRPr="008B4D86">
        <w:t>remote collaboration service</w:t>
      </w:r>
      <w:r w:rsidR="008B4D86">
        <w:t xml:space="preserve">. This service </w:t>
      </w:r>
      <w:r>
        <w:t>had envisaged</w:t>
      </w:r>
      <w:r w:rsidR="00831B8A">
        <w:t>, for example,</w:t>
      </w:r>
      <w:r>
        <w:t xml:space="preserve"> clinician collaboration over mortality reviews, difficult diagnoses, and surgical observations. </w:t>
      </w:r>
      <w:r w:rsidR="00426AC8">
        <w:t>Instead, t</w:t>
      </w:r>
      <w:r>
        <w:t xml:space="preserve">he focus has </w:t>
      </w:r>
      <w:r w:rsidR="00426AC8">
        <w:t>shifted</w:t>
      </w:r>
      <w:r>
        <w:t xml:space="preserve"> </w:t>
      </w:r>
      <w:r w:rsidR="00426AC8">
        <w:t>t</w:t>
      </w:r>
      <w:r>
        <w:t xml:space="preserve">o areas where there is scope to use the technology, such as supporting rural participation in conferences and medical student immersion in rural settings. </w:t>
      </w:r>
      <w:r w:rsidR="00831B8A">
        <w:t xml:space="preserve">As </w:t>
      </w:r>
      <w:r w:rsidR="00426AC8">
        <w:t>much of th</w:t>
      </w:r>
      <w:r w:rsidR="00831B8A">
        <w:t xml:space="preserve">is </w:t>
      </w:r>
      <w:r>
        <w:t>activi</w:t>
      </w:r>
      <w:r w:rsidR="00426AC8">
        <w:t xml:space="preserve">ty </w:t>
      </w:r>
      <w:r w:rsidR="00831B8A">
        <w:t xml:space="preserve">is part of a broad “rural training/education” </w:t>
      </w:r>
      <w:r>
        <w:t>theme</w:t>
      </w:r>
      <w:r w:rsidR="00831B8A">
        <w:t>, i</w:t>
      </w:r>
      <w:r>
        <w:t xml:space="preserve">t might make sense to consider </w:t>
      </w:r>
      <w:r w:rsidR="00831B8A">
        <w:t>f</w:t>
      </w:r>
      <w:r>
        <w:t xml:space="preserve">unding and reporting </w:t>
      </w:r>
      <w:r w:rsidR="00831B8A">
        <w:t xml:space="preserve">for one component </w:t>
      </w:r>
      <w:r>
        <w:t>cover</w:t>
      </w:r>
      <w:r w:rsidR="00831B8A">
        <w:t>ing all</w:t>
      </w:r>
      <w:r>
        <w:t xml:space="preserve"> </w:t>
      </w:r>
      <w:r w:rsidR="00426AC8">
        <w:t>professional development activities.</w:t>
      </w:r>
    </w:p>
    <w:p w:rsidR="006E063F" w:rsidRDefault="006E063F" w:rsidP="003B772C">
      <w:pPr>
        <w:pStyle w:val="UnnumtextBodytext"/>
        <w:spacing w:after="80"/>
        <w:rPr>
          <w:b/>
        </w:rPr>
      </w:pPr>
      <w:r>
        <w:rPr>
          <w:b/>
        </w:rPr>
        <w:t xml:space="preserve">Looking across the services </w:t>
      </w:r>
    </w:p>
    <w:p w:rsidR="00DB27C1" w:rsidRDefault="00DB27C1" w:rsidP="00DB27C1">
      <w:pPr>
        <w:pStyle w:val="UnnumtextBodytext"/>
        <w:rPr>
          <w:lang w:eastAsia="en-NZ"/>
        </w:rPr>
      </w:pPr>
      <w:r>
        <w:rPr>
          <w:lang w:eastAsia="en-NZ"/>
        </w:rPr>
        <w:t xml:space="preserve">Looking across the services we found some signs that they are consistent with the </w:t>
      </w:r>
      <w:r w:rsidRPr="00E51D90">
        <w:rPr>
          <w:lang w:eastAsia="en-NZ"/>
        </w:rPr>
        <w:t xml:space="preserve">objectives of service integration </w:t>
      </w:r>
      <w:r>
        <w:rPr>
          <w:lang w:eastAsia="en-NZ"/>
        </w:rPr>
        <w:t xml:space="preserve">articulated under </w:t>
      </w:r>
      <w:r w:rsidRPr="00E51D90">
        <w:rPr>
          <w:lang w:eastAsia="en-NZ"/>
        </w:rPr>
        <w:t>t</w:t>
      </w:r>
      <w:r>
        <w:rPr>
          <w:lang w:eastAsia="en-NZ"/>
        </w:rPr>
        <w:t>he</w:t>
      </w:r>
      <w:r w:rsidRPr="00E51D90">
        <w:rPr>
          <w:lang w:eastAsia="en-NZ"/>
        </w:rPr>
        <w:t xml:space="preserve"> “B</w:t>
      </w:r>
      <w:r>
        <w:rPr>
          <w:lang w:eastAsia="en-NZ"/>
        </w:rPr>
        <w:t xml:space="preserve">etter, Sooner, More Convenient” initiative. </w:t>
      </w:r>
    </w:p>
    <w:p w:rsidR="00DB27C1" w:rsidRDefault="00DB27C1" w:rsidP="00DB27C1">
      <w:pPr>
        <w:pStyle w:val="UnnumtextBullet1"/>
        <w:rPr>
          <w:lang w:eastAsia="en-NZ"/>
        </w:rPr>
      </w:pPr>
      <w:r>
        <w:rPr>
          <w:lang w:eastAsia="en-NZ"/>
        </w:rPr>
        <w:t>Rural patients, often from relatively high-need groups, are able to access elective day surgery in a way that is closer to home and “more convenient” for them;</w:t>
      </w:r>
    </w:p>
    <w:p w:rsidR="00DB27C1" w:rsidRDefault="00DB27C1" w:rsidP="00DB27C1">
      <w:pPr>
        <w:pStyle w:val="UnnumtextBullet1"/>
        <w:spacing w:after="170"/>
        <w:rPr>
          <w:lang w:eastAsia="en-NZ"/>
        </w:rPr>
      </w:pPr>
      <w:r>
        <w:rPr>
          <w:lang w:eastAsia="en-NZ"/>
        </w:rPr>
        <w:t xml:space="preserve">Some new patient pathways being supported by the </w:t>
      </w:r>
      <w:r w:rsidR="00831B8A">
        <w:rPr>
          <w:lang w:eastAsia="en-NZ"/>
        </w:rPr>
        <w:t xml:space="preserve">presence of the </w:t>
      </w:r>
      <w:r>
        <w:rPr>
          <w:lang w:eastAsia="en-NZ"/>
        </w:rPr>
        <w:t xml:space="preserve">mobile surgical service, </w:t>
      </w:r>
      <w:r w:rsidR="00A12E51">
        <w:rPr>
          <w:lang w:eastAsia="en-NZ"/>
        </w:rPr>
        <w:t xml:space="preserve">for example, </w:t>
      </w:r>
      <w:r>
        <w:rPr>
          <w:lang w:eastAsia="en-NZ"/>
        </w:rPr>
        <w:t xml:space="preserve">a </w:t>
      </w:r>
      <w:r w:rsidR="00DB0F0D">
        <w:rPr>
          <w:lang w:eastAsia="en-NZ"/>
        </w:rPr>
        <w:t xml:space="preserve">rural </w:t>
      </w:r>
      <w:r>
        <w:rPr>
          <w:lang w:eastAsia="en-NZ"/>
        </w:rPr>
        <w:t xml:space="preserve">GP </w:t>
      </w:r>
      <w:r w:rsidR="00426AC8">
        <w:rPr>
          <w:lang w:eastAsia="en-NZ"/>
        </w:rPr>
        <w:t xml:space="preserve">with a </w:t>
      </w:r>
      <w:r w:rsidR="00DB0F0D">
        <w:rPr>
          <w:lang w:eastAsia="en-NZ"/>
        </w:rPr>
        <w:t>“</w:t>
      </w:r>
      <w:r w:rsidR="00426AC8">
        <w:rPr>
          <w:lang w:eastAsia="en-NZ"/>
        </w:rPr>
        <w:t xml:space="preserve">special interest” </w:t>
      </w:r>
      <w:r w:rsidR="00DB0F0D">
        <w:rPr>
          <w:lang w:eastAsia="en-NZ"/>
        </w:rPr>
        <w:t>being approved by a DHB to handle</w:t>
      </w:r>
      <w:r w:rsidR="00831B8A">
        <w:rPr>
          <w:lang w:eastAsia="en-NZ"/>
        </w:rPr>
        <w:t xml:space="preserve"> </w:t>
      </w:r>
      <w:r>
        <w:rPr>
          <w:lang w:eastAsia="en-NZ"/>
        </w:rPr>
        <w:t xml:space="preserve">first specialist assessments </w:t>
      </w:r>
      <w:r w:rsidR="00831B8A">
        <w:rPr>
          <w:lang w:eastAsia="en-NZ"/>
        </w:rPr>
        <w:t xml:space="preserve">and recommend referrals </w:t>
      </w:r>
      <w:r>
        <w:rPr>
          <w:lang w:eastAsia="en-NZ"/>
        </w:rPr>
        <w:t xml:space="preserve">to the </w:t>
      </w:r>
      <w:r w:rsidR="00DB0F0D">
        <w:rPr>
          <w:lang w:eastAsia="en-NZ"/>
        </w:rPr>
        <w:t xml:space="preserve">mobile </w:t>
      </w:r>
      <w:r>
        <w:rPr>
          <w:lang w:eastAsia="en-NZ"/>
        </w:rPr>
        <w:t xml:space="preserve">service. </w:t>
      </w:r>
    </w:p>
    <w:p w:rsidR="00DB27C1" w:rsidRDefault="00DB27C1" w:rsidP="00DB27C1">
      <w:pPr>
        <w:pStyle w:val="UnnumtextBullet1"/>
        <w:spacing w:after="170"/>
        <w:rPr>
          <w:lang w:eastAsia="en-NZ"/>
        </w:rPr>
      </w:pPr>
      <w:r>
        <w:rPr>
          <w:lang w:eastAsia="en-NZ"/>
        </w:rPr>
        <w:t>Specialists are sharing knowledge to enable patients to be better managed within the community</w:t>
      </w:r>
      <w:r w:rsidR="00A12E51">
        <w:rPr>
          <w:lang w:eastAsia="en-NZ"/>
        </w:rPr>
        <w:t xml:space="preserve">, for example by advising on </w:t>
      </w:r>
      <w:r>
        <w:rPr>
          <w:lang w:eastAsia="en-NZ"/>
        </w:rPr>
        <w:t xml:space="preserve">the delivery of minor surgery in a rural medical </w:t>
      </w:r>
      <w:proofErr w:type="spellStart"/>
      <w:r>
        <w:rPr>
          <w:lang w:eastAsia="en-NZ"/>
        </w:rPr>
        <w:t>centre</w:t>
      </w:r>
      <w:proofErr w:type="spellEnd"/>
      <w:r>
        <w:rPr>
          <w:lang w:eastAsia="en-NZ"/>
        </w:rPr>
        <w:t xml:space="preserve"> how to manage patients who </w:t>
      </w:r>
      <w:r w:rsidR="00A12E51">
        <w:rPr>
          <w:lang w:eastAsia="en-NZ"/>
        </w:rPr>
        <w:t xml:space="preserve">do </w:t>
      </w:r>
      <w:r>
        <w:rPr>
          <w:lang w:eastAsia="en-NZ"/>
        </w:rPr>
        <w:t xml:space="preserve">not meet the threshold for outpatient referral.     </w:t>
      </w:r>
    </w:p>
    <w:p w:rsidR="001D6F50" w:rsidRDefault="00DB27C1" w:rsidP="00D1245C">
      <w:pPr>
        <w:pStyle w:val="UnnumtextBodytext"/>
        <w:rPr>
          <w:rFonts w:cs="Arial"/>
          <w:b/>
          <w:bCs/>
          <w:color w:val="7B5E05"/>
          <w:kern w:val="32"/>
          <w:sz w:val="48"/>
          <w:szCs w:val="32"/>
        </w:rPr>
      </w:pPr>
      <w:r w:rsidRPr="006E063F">
        <w:t>The</w:t>
      </w:r>
      <w:r>
        <w:t xml:space="preserve"> </w:t>
      </w:r>
      <w:r w:rsidRPr="0063106E">
        <w:t xml:space="preserve">professional development and remote collaboration </w:t>
      </w:r>
      <w:r w:rsidR="00426AC8">
        <w:t xml:space="preserve">services </w:t>
      </w:r>
      <w:r>
        <w:t xml:space="preserve">appear to fit together in that both services tend to use the same telepresence capability and networks of people. </w:t>
      </w:r>
      <w:r w:rsidRPr="006E063F">
        <w:t>The surgical service could be seen as separate</w:t>
      </w:r>
      <w:r w:rsidR="00A31DCD">
        <w:t>, as t</w:t>
      </w:r>
      <w:r>
        <w:t xml:space="preserve">he telepresence function does not appear to be </w:t>
      </w:r>
      <w:r w:rsidR="00426AC8">
        <w:t>used</w:t>
      </w:r>
      <w:r>
        <w:t xml:space="preserve">, other than for </w:t>
      </w:r>
      <w:r w:rsidR="00426AC8">
        <w:t xml:space="preserve">surgical </w:t>
      </w:r>
      <w:r>
        <w:t xml:space="preserve">demonstrations – which could happen at any base hospital. </w:t>
      </w:r>
      <w:r w:rsidR="00A31DCD">
        <w:t>Nevertheless, t</w:t>
      </w:r>
      <w:r>
        <w:t xml:space="preserve">here may be some efficiency to be gained </w:t>
      </w:r>
      <w:r w:rsidR="00831B8A">
        <w:t>f</w:t>
      </w:r>
      <w:r>
        <w:t xml:space="preserve">rom </w:t>
      </w:r>
      <w:r w:rsidR="00831B8A">
        <w:t xml:space="preserve">having the </w:t>
      </w:r>
      <w:r>
        <w:t xml:space="preserve">surgical </w:t>
      </w:r>
      <w:r w:rsidR="00831B8A">
        <w:t xml:space="preserve">and telepresence </w:t>
      </w:r>
      <w:r>
        <w:t>component</w:t>
      </w:r>
      <w:r w:rsidR="00831B8A">
        <w:t>s</w:t>
      </w:r>
      <w:r>
        <w:t xml:space="preserve"> delivered by same provider</w:t>
      </w:r>
      <w:r w:rsidR="00831B8A">
        <w:t xml:space="preserve"> (e.g. shared corporate overheads)</w:t>
      </w:r>
      <w:r>
        <w:t xml:space="preserve">. </w:t>
      </w:r>
      <w:r w:rsidR="001D6F50">
        <w:br w:type="page"/>
      </w:r>
    </w:p>
    <w:p w:rsidR="00CD22A5" w:rsidRDefault="001333D0" w:rsidP="00021382">
      <w:pPr>
        <w:pStyle w:val="Heading1"/>
        <w:pageBreakBefore w:val="0"/>
      </w:pPr>
      <w:bookmarkStart w:id="17" w:name="_Toc423945903"/>
      <w:r>
        <w:lastRenderedPageBreak/>
        <w:t>Purpose</w:t>
      </w:r>
      <w:r w:rsidR="00CB0D8E">
        <w:t xml:space="preserve"> and focus of the review</w:t>
      </w:r>
      <w:bookmarkEnd w:id="17"/>
    </w:p>
    <w:p w:rsidR="00AC54F9" w:rsidRDefault="00AC54F9" w:rsidP="00AC54F9">
      <w:pPr>
        <w:pStyle w:val="Heading2"/>
      </w:pPr>
      <w:bookmarkStart w:id="18" w:name="_Toc423945904"/>
      <w:r>
        <w:t>Purpose of the review</w:t>
      </w:r>
      <w:bookmarkEnd w:id="18"/>
    </w:p>
    <w:p w:rsidR="00671074" w:rsidRDefault="001333D0" w:rsidP="001333D0">
      <w:pPr>
        <w:pStyle w:val="UnnumtextBodytext"/>
      </w:pPr>
      <w:r w:rsidRPr="00E91C30">
        <w:t xml:space="preserve">The Ministry of Health commissioned </w:t>
      </w:r>
      <w:r w:rsidR="00E85EA6">
        <w:t>this</w:t>
      </w:r>
      <w:r w:rsidR="00DD4BC5">
        <w:t xml:space="preserve"> independent</w:t>
      </w:r>
      <w:r w:rsidRPr="00E91C30">
        <w:t xml:space="preserve"> review</w:t>
      </w:r>
      <w:r w:rsidRPr="00A56681">
        <w:t xml:space="preserve"> </w:t>
      </w:r>
      <w:r>
        <w:t>of m</w:t>
      </w:r>
      <w:r w:rsidRPr="00A56681">
        <w:t xml:space="preserve">obile surgical </w:t>
      </w:r>
      <w:r w:rsidR="00C51C01">
        <w:t xml:space="preserve">services </w:t>
      </w:r>
      <w:r w:rsidRPr="00A56681">
        <w:t xml:space="preserve">and </w:t>
      </w:r>
      <w:r w:rsidR="00C51C01">
        <w:t xml:space="preserve">the </w:t>
      </w:r>
      <w:r w:rsidR="00671074">
        <w:t xml:space="preserve">associated </w:t>
      </w:r>
      <w:r w:rsidR="00BD0FFE">
        <w:t xml:space="preserve">professional development and remote collaboration </w:t>
      </w:r>
      <w:r w:rsidRPr="00A56681">
        <w:t>services</w:t>
      </w:r>
      <w:r w:rsidR="00F96380">
        <w:t>.</w:t>
      </w:r>
      <w:r w:rsidR="00F96380" w:rsidRPr="00F96380">
        <w:t xml:space="preserve"> </w:t>
      </w:r>
      <w:r w:rsidR="00F96380">
        <w:t xml:space="preserve">The purpose of this </w:t>
      </w:r>
      <w:r w:rsidR="00F96380" w:rsidRPr="00A56681">
        <w:t xml:space="preserve">review </w:t>
      </w:r>
      <w:r w:rsidR="00D2708B">
        <w:t xml:space="preserve">is </w:t>
      </w:r>
      <w:r w:rsidR="00F96380">
        <w:t xml:space="preserve">to </w:t>
      </w:r>
      <w:r w:rsidR="00F96380" w:rsidRPr="00A56681">
        <w:t xml:space="preserve">understand the </w:t>
      </w:r>
      <w:r w:rsidR="00F96380" w:rsidRPr="00A56681">
        <w:rPr>
          <w:b/>
        </w:rPr>
        <w:t>service processes, impacts and outcomes</w:t>
      </w:r>
      <w:r w:rsidR="00F96380">
        <w:rPr>
          <w:b/>
        </w:rPr>
        <w:t>,</w:t>
      </w:r>
      <w:r w:rsidR="00F96380" w:rsidRPr="00A56681">
        <w:rPr>
          <w:b/>
        </w:rPr>
        <w:t xml:space="preserve"> </w:t>
      </w:r>
      <w:r w:rsidR="00F96380" w:rsidRPr="00A56681">
        <w:t xml:space="preserve">and </w:t>
      </w:r>
      <w:r w:rsidR="00F96380" w:rsidRPr="00A56681">
        <w:rPr>
          <w:b/>
        </w:rPr>
        <w:t xml:space="preserve">economic </w:t>
      </w:r>
      <w:r w:rsidR="00C845D0" w:rsidRPr="00C845D0">
        <w:rPr>
          <w:b/>
        </w:rPr>
        <w:t>dimensions</w:t>
      </w:r>
      <w:r w:rsidR="00C845D0">
        <w:t xml:space="preserve"> associated with delivering these services.</w:t>
      </w:r>
      <w:r w:rsidR="00F96380">
        <w:rPr>
          <w:rStyle w:val="FootnoteReference"/>
        </w:rPr>
        <w:footnoteReference w:id="2"/>
      </w:r>
      <w:r w:rsidR="00453239">
        <w:t xml:space="preserve"> In addressing these dimensions, this review has been guided by the questions provided by the Ministry of Health, as laid out in </w:t>
      </w:r>
      <w:r w:rsidR="00453239">
        <w:fldChar w:fldCharType="begin"/>
      </w:r>
      <w:r w:rsidR="00453239">
        <w:instrText xml:space="preserve"> REF _Ref380969701 \h </w:instrText>
      </w:r>
      <w:r w:rsidR="00453239">
        <w:fldChar w:fldCharType="separate"/>
      </w:r>
      <w:r w:rsidR="00CA314A">
        <w:t xml:space="preserve">Table </w:t>
      </w:r>
      <w:r w:rsidR="00CA314A">
        <w:rPr>
          <w:noProof/>
        </w:rPr>
        <w:t>1</w:t>
      </w:r>
      <w:r w:rsidR="00453239">
        <w:fldChar w:fldCharType="end"/>
      </w:r>
      <w:r w:rsidR="00453239">
        <w:t xml:space="preserve">, overleaf. </w:t>
      </w:r>
      <w:r w:rsidR="00671074">
        <w:t xml:space="preserve">The </w:t>
      </w:r>
      <w:r w:rsidR="00CB0B5C">
        <w:t xml:space="preserve">review’s conclusions </w:t>
      </w:r>
      <w:r w:rsidR="00E85EA6">
        <w:t>are intended to</w:t>
      </w:r>
      <w:r w:rsidR="00671074">
        <w:t xml:space="preserve"> inform </w:t>
      </w:r>
      <w:r w:rsidR="00CB0B5C">
        <w:t xml:space="preserve">future </w:t>
      </w:r>
      <w:r w:rsidR="00671074">
        <w:t>decision</w:t>
      </w:r>
      <w:r w:rsidR="00CB0B5C">
        <w:t>s about these services</w:t>
      </w:r>
      <w:r w:rsidR="00671074">
        <w:t>.</w:t>
      </w:r>
    </w:p>
    <w:p w:rsidR="00AC54F9" w:rsidRDefault="00CB0D8E" w:rsidP="00AC54F9">
      <w:pPr>
        <w:pStyle w:val="Heading2"/>
      </w:pPr>
      <w:bookmarkStart w:id="19" w:name="_Toc370224423"/>
      <w:bookmarkStart w:id="20" w:name="_Toc423945905"/>
      <w:r>
        <w:t xml:space="preserve">Focus </w:t>
      </w:r>
      <w:r w:rsidR="00B2415A">
        <w:t xml:space="preserve">of </w:t>
      </w:r>
      <w:r w:rsidR="00AC54F9">
        <w:t>the review</w:t>
      </w:r>
      <w:bookmarkEnd w:id="19"/>
      <w:bookmarkEnd w:id="20"/>
    </w:p>
    <w:p w:rsidR="00E346E9" w:rsidRDefault="00671074" w:rsidP="00E346E9">
      <w:pPr>
        <w:pStyle w:val="UnnumtextBodytext"/>
      </w:pPr>
      <w:r>
        <w:t xml:space="preserve">Mobile Surgical Solutions Ltd is contracted to provide three service components and all three services </w:t>
      </w:r>
      <w:r w:rsidR="00E346E9">
        <w:t>are within the scope of this review</w:t>
      </w:r>
      <w:r>
        <w:t>:</w:t>
      </w:r>
      <w:r w:rsidR="00E346E9">
        <w:t xml:space="preserve"> </w:t>
      </w:r>
    </w:p>
    <w:p w:rsidR="00E346E9" w:rsidRDefault="00671074" w:rsidP="008A1EBB">
      <w:pPr>
        <w:pStyle w:val="UnnumtextBullet1"/>
        <w:spacing w:after="80"/>
      </w:pPr>
      <w:r>
        <w:t>Mobile surgical services – e</w:t>
      </w:r>
      <w:r w:rsidR="00E346E9" w:rsidRPr="00503AE6">
        <w:t>lective day surgery in selected rural communities</w:t>
      </w:r>
      <w:r w:rsidR="00E346E9">
        <w:t>;</w:t>
      </w:r>
    </w:p>
    <w:p w:rsidR="00E346E9" w:rsidRDefault="00E346E9" w:rsidP="008A1EBB">
      <w:pPr>
        <w:pStyle w:val="UnnumtextBullet1"/>
        <w:spacing w:after="80"/>
      </w:pPr>
      <w:r w:rsidRPr="00503AE6">
        <w:t>Rural health professional development</w:t>
      </w:r>
      <w:r w:rsidR="001515D7">
        <w:t xml:space="preserve"> services</w:t>
      </w:r>
      <w:r>
        <w:t>; and</w:t>
      </w:r>
    </w:p>
    <w:p w:rsidR="00E346E9" w:rsidRPr="00AC54F9" w:rsidRDefault="00E346E9" w:rsidP="00E346E9">
      <w:pPr>
        <w:pStyle w:val="UnnumtextBullet1"/>
        <w:spacing w:after="170"/>
      </w:pPr>
      <w:r w:rsidRPr="00503AE6">
        <w:t>Remote collaboration</w:t>
      </w:r>
      <w:r w:rsidR="001515D7">
        <w:t xml:space="preserve"> services – using </w:t>
      </w:r>
      <w:r w:rsidRPr="00503AE6">
        <w:t xml:space="preserve">telepresence </w:t>
      </w:r>
      <w:r w:rsidR="001515D7">
        <w:t xml:space="preserve">to enable </w:t>
      </w:r>
      <w:r w:rsidRPr="00503AE6">
        <w:t>clinical networking</w:t>
      </w:r>
      <w:r>
        <w:t>.</w:t>
      </w:r>
    </w:p>
    <w:p w:rsidR="00C73ACB" w:rsidRDefault="00C04FE0" w:rsidP="00E346E9">
      <w:pPr>
        <w:pStyle w:val="UnnumtextBodytext"/>
      </w:pPr>
      <w:r>
        <w:t xml:space="preserve">Our research focus has been weighted towards the mobile surgical service, which is the component that receives the majority of the funding (71%). </w:t>
      </w:r>
      <w:r w:rsidR="00C73ACB">
        <w:t xml:space="preserve">This focus is consistent with the expectations of the </w:t>
      </w:r>
      <w:r w:rsidR="003B7926" w:rsidRPr="00E91C30">
        <w:t>Ministry of Health</w:t>
      </w:r>
      <w:r w:rsidR="00C73ACB">
        <w:t xml:space="preserve">, as the funder of the service. The Ministry </w:t>
      </w:r>
      <w:r w:rsidR="00E346E9">
        <w:t xml:space="preserve">indicated that </w:t>
      </w:r>
      <w:r>
        <w:t xml:space="preserve">although </w:t>
      </w:r>
      <w:r w:rsidR="00E346E9">
        <w:t xml:space="preserve">qualitative </w:t>
      </w:r>
      <w:r w:rsidR="003B7926">
        <w:t>approaches</w:t>
      </w:r>
      <w:r w:rsidR="00C73ACB">
        <w:t xml:space="preserve"> would be needed to obtain </w:t>
      </w:r>
      <w:r w:rsidR="003B7926">
        <w:t xml:space="preserve">stakeholder views </w:t>
      </w:r>
      <w:r w:rsidR="00C73ACB">
        <w:t xml:space="preserve">about </w:t>
      </w:r>
      <w:r w:rsidR="002F0731">
        <w:t>each</w:t>
      </w:r>
      <w:r w:rsidR="00E346E9">
        <w:t xml:space="preserve"> service component</w:t>
      </w:r>
      <w:r w:rsidR="00C73ACB">
        <w:t xml:space="preserve">, there would </w:t>
      </w:r>
      <w:r w:rsidR="000B14AA">
        <w:t xml:space="preserve">be </w:t>
      </w:r>
      <w:r w:rsidR="00E346E9">
        <w:t>particular i</w:t>
      </w:r>
      <w:r w:rsidR="00C73ACB">
        <w:t xml:space="preserve">nterest in hearing patient views about the </w:t>
      </w:r>
      <w:r w:rsidR="00E346E9">
        <w:t>mobile surgical service</w:t>
      </w:r>
      <w:r w:rsidR="000B14AA">
        <w:t xml:space="preserve">, for example, the value </w:t>
      </w:r>
      <w:r w:rsidR="002F0731">
        <w:t>they</w:t>
      </w:r>
      <w:r w:rsidR="000B14AA">
        <w:t xml:space="preserve"> place on being able to be treated and to recover within their community</w:t>
      </w:r>
      <w:r w:rsidR="00E346E9">
        <w:t xml:space="preserve">. </w:t>
      </w:r>
      <w:r w:rsidR="00C73ACB">
        <w:t>These are views that may not otherwise be easily accessed.</w:t>
      </w:r>
    </w:p>
    <w:p w:rsidR="00E346E9" w:rsidRDefault="000B14AA" w:rsidP="000B14AA">
      <w:pPr>
        <w:pStyle w:val="Heading2"/>
      </w:pPr>
      <w:bookmarkStart w:id="21" w:name="_Toc423945906"/>
      <w:r>
        <w:t>Structure of this report</w:t>
      </w:r>
      <w:bookmarkEnd w:id="21"/>
    </w:p>
    <w:p w:rsidR="00CB0D8E" w:rsidRDefault="000B14AA" w:rsidP="00E346E9">
      <w:pPr>
        <w:pStyle w:val="UnnumtextBodytext"/>
      </w:pPr>
      <w:r>
        <w:t xml:space="preserve">This report has been structured </w:t>
      </w:r>
      <w:r w:rsidR="008A1EBB">
        <w:t xml:space="preserve">into </w:t>
      </w:r>
      <w:r>
        <w:t xml:space="preserve">three service areas: mobile surgical services, profession development services, and remote collaboration. As far as possible, </w:t>
      </w:r>
      <w:r w:rsidR="008A1EBB">
        <w:t>those chapters are</w:t>
      </w:r>
      <w:r w:rsidR="002F0731">
        <w:t xml:space="preserve"> guided by </w:t>
      </w:r>
      <w:r>
        <w:t xml:space="preserve">the </w:t>
      </w:r>
      <w:r w:rsidR="002F0731">
        <w:t xml:space="preserve">three high-level </w:t>
      </w:r>
      <w:r>
        <w:t xml:space="preserve">dimensions </w:t>
      </w:r>
      <w:r w:rsidR="002F0731">
        <w:t xml:space="preserve">identified by the Ministry of Health – </w:t>
      </w:r>
      <w:r w:rsidRPr="000B14AA">
        <w:t>service processes, impacts and outcomes, and economic consideration</w:t>
      </w:r>
      <w:r w:rsidR="002F0731">
        <w:t xml:space="preserve">s. </w:t>
      </w:r>
      <w:r w:rsidR="00D2708B">
        <w:t>T</w:t>
      </w:r>
      <w:r w:rsidR="002F0731">
        <w:t xml:space="preserve">he bulk of material relates to the surgical </w:t>
      </w:r>
      <w:r w:rsidR="00D2708B">
        <w:t>bus</w:t>
      </w:r>
      <w:r w:rsidR="002F0731">
        <w:t xml:space="preserve">, </w:t>
      </w:r>
      <w:r w:rsidR="00D2708B">
        <w:t xml:space="preserve">as it </w:t>
      </w:r>
      <w:r w:rsidR="002F0731">
        <w:t xml:space="preserve">accounts </w:t>
      </w:r>
      <w:r w:rsidR="008A1EBB">
        <w:t>for most of the funding and is</w:t>
      </w:r>
      <w:r w:rsidR="00D2708B">
        <w:t>, by far,</w:t>
      </w:r>
      <w:r w:rsidR="002F0731">
        <w:t xml:space="preserve"> the most complex service. </w:t>
      </w:r>
    </w:p>
    <w:p w:rsidR="00CB0D8E" w:rsidRDefault="00573DD3" w:rsidP="00E346E9">
      <w:pPr>
        <w:pStyle w:val="UnnumtextBodytext"/>
      </w:pPr>
      <w:r>
        <w:t>In reporting our qualitative research findings</w:t>
      </w:r>
      <w:r w:rsidR="008A1EBB">
        <w:t xml:space="preserve">, we focused on </w:t>
      </w:r>
      <w:r>
        <w:t xml:space="preserve">dominant </w:t>
      </w:r>
      <w:r w:rsidR="008A1EBB">
        <w:t xml:space="preserve">themes </w:t>
      </w:r>
      <w:r>
        <w:t xml:space="preserve">and clear clusters of views. </w:t>
      </w:r>
      <w:r w:rsidR="008A1EBB">
        <w:t xml:space="preserve">We also looked </w:t>
      </w:r>
      <w:r>
        <w:t xml:space="preserve">to ensure alternative or </w:t>
      </w:r>
      <w:r w:rsidR="008A1EBB">
        <w:t>minority view</w:t>
      </w:r>
      <w:r>
        <w:t xml:space="preserve">s are represented. </w:t>
      </w:r>
      <w:r w:rsidR="008A1EBB">
        <w:t xml:space="preserve"> </w:t>
      </w:r>
      <w:r>
        <w:t>The findings were filtered</w:t>
      </w:r>
      <w:r w:rsidR="00F7219E">
        <w:t xml:space="preserve"> to focus on </w:t>
      </w:r>
      <w:r>
        <w:t>supply-side process</w:t>
      </w:r>
      <w:r w:rsidR="00F7219E">
        <w:t>es and capacity, stakeholder impressions,</w:t>
      </w:r>
      <w:r>
        <w:t xml:space="preserve"> patient</w:t>
      </w:r>
      <w:r w:rsidR="00F7219E">
        <w:t xml:space="preserve"> /</w:t>
      </w:r>
      <w:r>
        <w:t xml:space="preserve">participant </w:t>
      </w:r>
      <w:r w:rsidR="008A1EBB" w:rsidRPr="008A1EBB">
        <w:t>access</w:t>
      </w:r>
      <w:r>
        <w:t xml:space="preserve"> and</w:t>
      </w:r>
      <w:r w:rsidR="008A1EBB" w:rsidRPr="008A1EBB">
        <w:t xml:space="preserve"> impressions</w:t>
      </w:r>
      <w:r>
        <w:t xml:space="preserve">; and </w:t>
      </w:r>
      <w:r w:rsidR="00F7219E">
        <w:t>key</w:t>
      </w:r>
      <w:r>
        <w:t xml:space="preserve"> enablers of the outcomes</w:t>
      </w:r>
      <w:r w:rsidR="00F7219E">
        <w:t>.</w:t>
      </w:r>
    </w:p>
    <w:p w:rsidR="00CB0D8E" w:rsidRDefault="00CB0D8E" w:rsidP="00E346E9">
      <w:pPr>
        <w:pStyle w:val="UnnumtextBodytext"/>
        <w:sectPr w:rsidR="00CB0D8E" w:rsidSect="00165F62">
          <w:endnotePr>
            <w:numFmt w:val="decimal"/>
          </w:endnotePr>
          <w:type w:val="oddPage"/>
          <w:pgSz w:w="11907" w:h="16840" w:code="9"/>
          <w:pgMar w:top="2127" w:right="1985" w:bottom="993" w:left="1985" w:header="737" w:footer="454" w:gutter="0"/>
          <w:pgNumType w:start="1"/>
          <w:cols w:space="720"/>
          <w:docGrid w:linePitch="299"/>
        </w:sectPr>
      </w:pPr>
    </w:p>
    <w:p w:rsidR="00E51D90" w:rsidRDefault="00E51D90" w:rsidP="00E51D90">
      <w:pPr>
        <w:pStyle w:val="Caption"/>
        <w:spacing w:after="0"/>
      </w:pPr>
      <w:bookmarkStart w:id="22" w:name="_Ref380969701"/>
      <w:bookmarkStart w:id="23" w:name="_Toc380599924"/>
      <w:bookmarkStart w:id="24" w:name="_Toc380605813"/>
      <w:bookmarkStart w:id="25" w:name="_Toc423945971"/>
      <w:r>
        <w:lastRenderedPageBreak/>
        <w:t xml:space="preserve">Table </w:t>
      </w:r>
      <w:fldSimple w:instr=" SEQ Table \* ARABIC ">
        <w:r w:rsidR="00CA314A">
          <w:rPr>
            <w:noProof/>
          </w:rPr>
          <w:t>1</w:t>
        </w:r>
      </w:fldSimple>
      <w:bookmarkEnd w:id="22"/>
      <w:r>
        <w:t xml:space="preserve">: </w:t>
      </w:r>
      <w:r w:rsidR="00453239">
        <w:t>R</w:t>
      </w:r>
      <w:r>
        <w:t>esearch questions</w:t>
      </w:r>
      <w:bookmarkEnd w:id="23"/>
      <w:bookmarkEnd w:id="24"/>
      <w:r w:rsidR="00453239">
        <w:t xml:space="preserve"> guiding the review</w:t>
      </w:r>
      <w:bookmarkEnd w:id="25"/>
    </w:p>
    <w:p w:rsidR="00E51D90" w:rsidRPr="00E51D90" w:rsidRDefault="00E51D90" w:rsidP="00E51D90">
      <w:pPr>
        <w:pStyle w:val="Whitespace"/>
        <w:spacing w:after="0"/>
        <w:rPr>
          <w:sz w:val="9"/>
        </w:rPr>
      </w:pPr>
    </w:p>
    <w:tbl>
      <w:tblPr>
        <w:tblW w:w="13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1346"/>
        <w:gridCol w:w="4305"/>
        <w:gridCol w:w="3902"/>
        <w:gridCol w:w="4170"/>
      </w:tblGrid>
      <w:tr w:rsidR="00CB0D8E" w:rsidRPr="00CB0D8E" w:rsidTr="00BD582A">
        <w:trPr>
          <w:trHeight w:val="336"/>
          <w:tblHeader/>
        </w:trPr>
        <w:tc>
          <w:tcPr>
            <w:tcW w:w="1346" w:type="dxa"/>
            <w:shd w:val="clear" w:color="auto" w:fill="auto"/>
            <w:vAlign w:val="center"/>
          </w:tcPr>
          <w:p w:rsidR="00CB0D8E" w:rsidRPr="00CB0D8E" w:rsidRDefault="00CB0D8E" w:rsidP="00BD582A">
            <w:pPr>
              <w:spacing w:after="60" w:line="240" w:lineRule="auto"/>
              <w:jc w:val="center"/>
              <w:rPr>
                <w:rFonts w:cs="Arial"/>
                <w:b/>
                <w:sz w:val="18"/>
                <w:szCs w:val="18"/>
              </w:rPr>
            </w:pPr>
            <w:r>
              <w:rPr>
                <w:rFonts w:cs="Arial"/>
                <w:b/>
                <w:sz w:val="18"/>
                <w:szCs w:val="18"/>
              </w:rPr>
              <w:t>Components</w:t>
            </w:r>
          </w:p>
        </w:tc>
        <w:tc>
          <w:tcPr>
            <w:tcW w:w="4305" w:type="dxa"/>
            <w:shd w:val="clear" w:color="auto" w:fill="auto"/>
            <w:vAlign w:val="center"/>
          </w:tcPr>
          <w:p w:rsidR="00CB0D8E" w:rsidRPr="00CB0D8E" w:rsidRDefault="00E51D90" w:rsidP="00BD582A">
            <w:pPr>
              <w:spacing w:after="60" w:line="240" w:lineRule="auto"/>
              <w:jc w:val="center"/>
              <w:rPr>
                <w:rFonts w:cs="Arial"/>
                <w:b/>
                <w:sz w:val="18"/>
                <w:szCs w:val="18"/>
              </w:rPr>
            </w:pPr>
            <w:r>
              <w:rPr>
                <w:rFonts w:cs="Arial"/>
                <w:b/>
                <w:sz w:val="18"/>
                <w:szCs w:val="18"/>
              </w:rPr>
              <w:t>Mobile surgical services</w:t>
            </w:r>
          </w:p>
        </w:tc>
        <w:tc>
          <w:tcPr>
            <w:tcW w:w="3902" w:type="dxa"/>
            <w:shd w:val="clear" w:color="auto" w:fill="auto"/>
            <w:vAlign w:val="center"/>
          </w:tcPr>
          <w:p w:rsidR="00CB0D8E" w:rsidRPr="00CB0D8E" w:rsidRDefault="00CB0D8E" w:rsidP="00BD582A">
            <w:pPr>
              <w:spacing w:after="60" w:line="240" w:lineRule="auto"/>
              <w:jc w:val="center"/>
              <w:rPr>
                <w:rFonts w:cs="Arial"/>
                <w:b/>
                <w:sz w:val="18"/>
                <w:szCs w:val="18"/>
              </w:rPr>
            </w:pPr>
            <w:r w:rsidRPr="00CB0D8E">
              <w:rPr>
                <w:rFonts w:cs="Arial"/>
                <w:b/>
                <w:sz w:val="18"/>
                <w:szCs w:val="18"/>
              </w:rPr>
              <w:t>Rural health professional development</w:t>
            </w:r>
            <w:r w:rsidR="00E51D90">
              <w:rPr>
                <w:rFonts w:cs="Arial"/>
                <w:b/>
                <w:sz w:val="18"/>
                <w:szCs w:val="18"/>
              </w:rPr>
              <w:t xml:space="preserve"> services</w:t>
            </w:r>
          </w:p>
        </w:tc>
        <w:tc>
          <w:tcPr>
            <w:tcW w:w="4170" w:type="dxa"/>
            <w:shd w:val="clear" w:color="auto" w:fill="auto"/>
            <w:vAlign w:val="center"/>
          </w:tcPr>
          <w:p w:rsidR="00CB0D8E" w:rsidRPr="00CB0D8E" w:rsidRDefault="00E51D90" w:rsidP="00BD582A">
            <w:pPr>
              <w:spacing w:after="60" w:line="240" w:lineRule="auto"/>
              <w:jc w:val="center"/>
              <w:rPr>
                <w:rFonts w:cs="Arial"/>
                <w:b/>
                <w:sz w:val="18"/>
                <w:szCs w:val="18"/>
              </w:rPr>
            </w:pPr>
            <w:r>
              <w:rPr>
                <w:rFonts w:cs="Arial"/>
                <w:b/>
                <w:sz w:val="18"/>
                <w:szCs w:val="18"/>
              </w:rPr>
              <w:t>Remote collaboration services</w:t>
            </w:r>
          </w:p>
        </w:tc>
      </w:tr>
      <w:tr w:rsidR="00CB0D8E" w:rsidRPr="00CB0D8E" w:rsidTr="00BD582A">
        <w:trPr>
          <w:trHeight w:val="1213"/>
        </w:trPr>
        <w:tc>
          <w:tcPr>
            <w:tcW w:w="1346" w:type="dxa"/>
            <w:vMerge w:val="restart"/>
            <w:shd w:val="clear" w:color="auto" w:fill="auto"/>
          </w:tcPr>
          <w:p w:rsidR="00CB0D8E" w:rsidRPr="00CB0D8E" w:rsidRDefault="00CB0D8E" w:rsidP="00BD582A">
            <w:pPr>
              <w:spacing w:after="60" w:line="240" w:lineRule="auto"/>
              <w:jc w:val="center"/>
              <w:rPr>
                <w:rFonts w:cs="Arial"/>
                <w:b/>
                <w:sz w:val="18"/>
                <w:szCs w:val="18"/>
              </w:rPr>
            </w:pPr>
            <w:r w:rsidRPr="00CB0D8E">
              <w:rPr>
                <w:rFonts w:cs="Arial"/>
                <w:b/>
                <w:sz w:val="18"/>
                <w:szCs w:val="18"/>
              </w:rPr>
              <w:t>Service processes</w:t>
            </w:r>
          </w:p>
        </w:tc>
        <w:tc>
          <w:tcPr>
            <w:tcW w:w="12377" w:type="dxa"/>
            <w:gridSpan w:val="3"/>
            <w:shd w:val="clear" w:color="auto" w:fill="auto"/>
          </w:tcPr>
          <w:p w:rsidR="00CB0D8E" w:rsidRPr="00E51D90" w:rsidRDefault="00CB0D8E" w:rsidP="00BD582A">
            <w:pPr>
              <w:pStyle w:val="Tablebullet1atmargin"/>
              <w:tabs>
                <w:tab w:val="clear" w:pos="425"/>
                <w:tab w:val="num" w:pos="175"/>
              </w:tabs>
              <w:spacing w:after="60"/>
              <w:ind w:left="175" w:hanging="141"/>
              <w:rPr>
                <w:sz w:val="18"/>
                <w:szCs w:val="18"/>
              </w:rPr>
            </w:pPr>
            <w:r w:rsidRPr="00BD582A">
              <w:rPr>
                <w:b/>
                <w:sz w:val="18"/>
                <w:szCs w:val="18"/>
              </w:rPr>
              <w:t>Service delivery:</w:t>
            </w:r>
            <w:r w:rsidRPr="00E51D90">
              <w:rPr>
                <w:sz w:val="18"/>
                <w:szCs w:val="18"/>
              </w:rPr>
              <w:t xml:space="preserve"> Describe the activities that form part of the three service delivery components?  In each service delivery component, how do staff identify what will be delivered? What is the nature of partnerships required and developed, that is with District Health Boards, health professionals, communities and other </w:t>
            </w:r>
            <w:proofErr w:type="spellStart"/>
            <w:r w:rsidRPr="00E51D90">
              <w:rPr>
                <w:sz w:val="18"/>
                <w:szCs w:val="18"/>
              </w:rPr>
              <w:t>organisations</w:t>
            </w:r>
            <w:proofErr w:type="spellEnd"/>
            <w:r w:rsidRPr="00E51D90">
              <w:rPr>
                <w:sz w:val="18"/>
                <w:szCs w:val="18"/>
              </w:rPr>
              <w:t>?</w:t>
            </w:r>
          </w:p>
          <w:p w:rsidR="00CB0D8E" w:rsidRPr="00E51D90" w:rsidRDefault="00CB0D8E" w:rsidP="00BD582A">
            <w:pPr>
              <w:pStyle w:val="Tablebullet1atmargin"/>
              <w:tabs>
                <w:tab w:val="clear" w:pos="425"/>
                <w:tab w:val="num" w:pos="175"/>
              </w:tabs>
              <w:spacing w:after="60"/>
              <w:ind w:left="175" w:hanging="141"/>
              <w:rPr>
                <w:sz w:val="18"/>
                <w:szCs w:val="18"/>
              </w:rPr>
            </w:pPr>
            <w:r w:rsidRPr="00BD582A">
              <w:rPr>
                <w:b/>
                <w:sz w:val="18"/>
                <w:szCs w:val="18"/>
              </w:rPr>
              <w:t>Reach:</w:t>
            </w:r>
            <w:r w:rsidRPr="00E51D90">
              <w:rPr>
                <w:sz w:val="18"/>
                <w:szCs w:val="18"/>
              </w:rPr>
              <w:t xml:space="preserve"> To what extent is the target population being reached, that is number and types of patients/communities? How does access to service components happen?  How are communities, patients, health professionals identified for inclusion into the service? How do they experience/rate the service?</w:t>
            </w:r>
          </w:p>
          <w:p w:rsidR="00CB0D8E" w:rsidRPr="00E51D90" w:rsidRDefault="00CB0D8E" w:rsidP="00BD582A">
            <w:pPr>
              <w:pStyle w:val="Tablebullet1atmargin"/>
              <w:tabs>
                <w:tab w:val="clear" w:pos="425"/>
                <w:tab w:val="num" w:pos="175"/>
              </w:tabs>
              <w:spacing w:after="60"/>
              <w:ind w:left="175" w:hanging="141"/>
              <w:rPr>
                <w:sz w:val="18"/>
                <w:szCs w:val="18"/>
              </w:rPr>
            </w:pPr>
            <w:r w:rsidRPr="00BD582A">
              <w:rPr>
                <w:b/>
                <w:sz w:val="18"/>
                <w:szCs w:val="18"/>
              </w:rPr>
              <w:t>Staffing:</w:t>
            </w:r>
            <w:r w:rsidRPr="00E51D90">
              <w:rPr>
                <w:sz w:val="18"/>
                <w:szCs w:val="18"/>
              </w:rPr>
              <w:t xml:space="preserve"> How are employees trained to deliver the service? </w:t>
            </w:r>
          </w:p>
        </w:tc>
      </w:tr>
      <w:tr w:rsidR="00CB0D8E" w:rsidRPr="00CB0D8E" w:rsidTr="00BD582A">
        <w:trPr>
          <w:trHeight w:val="144"/>
        </w:trPr>
        <w:tc>
          <w:tcPr>
            <w:tcW w:w="1346" w:type="dxa"/>
            <w:vMerge/>
            <w:shd w:val="clear" w:color="auto" w:fill="auto"/>
          </w:tcPr>
          <w:p w:rsidR="00CB0D8E" w:rsidRPr="00CB0D8E" w:rsidRDefault="00CB0D8E" w:rsidP="00BD582A">
            <w:pPr>
              <w:spacing w:after="60" w:line="240" w:lineRule="auto"/>
              <w:jc w:val="center"/>
              <w:rPr>
                <w:rFonts w:cs="Arial"/>
                <w:b/>
                <w:sz w:val="18"/>
                <w:szCs w:val="18"/>
              </w:rPr>
            </w:pPr>
          </w:p>
        </w:tc>
        <w:tc>
          <w:tcPr>
            <w:tcW w:w="4305"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 xml:space="preserve">Describe and </w:t>
            </w:r>
            <w:proofErr w:type="spellStart"/>
            <w:r w:rsidRPr="00E51D90">
              <w:rPr>
                <w:rFonts w:eastAsia="Calibri"/>
                <w:sz w:val="18"/>
                <w:szCs w:val="18"/>
              </w:rPr>
              <w:t>analyse</w:t>
            </w:r>
            <w:proofErr w:type="spellEnd"/>
            <w:r w:rsidRPr="00E51D90">
              <w:rPr>
                <w:rFonts w:eastAsia="Calibri"/>
                <w:sz w:val="18"/>
                <w:szCs w:val="18"/>
              </w:rPr>
              <w:t xml:space="preserve"> the effective processes used to deliver appr</w:t>
            </w:r>
            <w:r w:rsidR="00D13AFD">
              <w:rPr>
                <w:rFonts w:eastAsia="Calibri"/>
                <w:sz w:val="18"/>
                <w:szCs w:val="18"/>
              </w:rPr>
              <w:t>opriate volumes and specialties.</w:t>
            </w:r>
          </w:p>
        </w:tc>
        <w:tc>
          <w:tcPr>
            <w:tcW w:w="3902"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 xml:space="preserve">Describe and </w:t>
            </w:r>
            <w:proofErr w:type="spellStart"/>
            <w:r w:rsidRPr="00E51D90">
              <w:rPr>
                <w:rFonts w:eastAsia="Calibri"/>
                <w:sz w:val="18"/>
                <w:szCs w:val="18"/>
              </w:rPr>
              <w:t>analyse</w:t>
            </w:r>
            <w:proofErr w:type="spellEnd"/>
            <w:r w:rsidRPr="00E51D90">
              <w:rPr>
                <w:rFonts w:eastAsia="Calibri"/>
                <w:sz w:val="18"/>
                <w:szCs w:val="18"/>
              </w:rPr>
              <w:t xml:space="preserve"> the effective processes used to deliver appropriate volumes and types of rural health pr</w:t>
            </w:r>
            <w:r w:rsidR="00D13AFD">
              <w:rPr>
                <w:rFonts w:eastAsia="Calibri"/>
                <w:sz w:val="18"/>
                <w:szCs w:val="18"/>
              </w:rPr>
              <w:t>ofessional development services.</w:t>
            </w:r>
          </w:p>
        </w:tc>
        <w:tc>
          <w:tcPr>
            <w:tcW w:w="4170"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 xml:space="preserve">Describe and </w:t>
            </w:r>
            <w:proofErr w:type="spellStart"/>
            <w:r w:rsidRPr="00E51D90">
              <w:rPr>
                <w:rFonts w:eastAsia="Calibri"/>
                <w:sz w:val="18"/>
                <w:szCs w:val="18"/>
              </w:rPr>
              <w:t>analyse</w:t>
            </w:r>
            <w:proofErr w:type="spellEnd"/>
            <w:r w:rsidRPr="00E51D90">
              <w:rPr>
                <w:rFonts w:eastAsia="Calibri"/>
                <w:sz w:val="18"/>
                <w:szCs w:val="18"/>
              </w:rPr>
              <w:t xml:space="preserve"> the effective processes used to deliver appropriate telepresence systems and services to support remote collaboration and clinical networki</w:t>
            </w:r>
            <w:r w:rsidR="00D13AFD">
              <w:rPr>
                <w:rFonts w:eastAsia="Calibri"/>
                <w:sz w:val="18"/>
                <w:szCs w:val="18"/>
              </w:rPr>
              <w:t>ng and professional development.</w:t>
            </w:r>
          </w:p>
        </w:tc>
      </w:tr>
      <w:tr w:rsidR="00CB0D8E" w:rsidRPr="00CB0D8E" w:rsidTr="00BD582A">
        <w:trPr>
          <w:trHeight w:val="1572"/>
        </w:trPr>
        <w:tc>
          <w:tcPr>
            <w:tcW w:w="1346" w:type="dxa"/>
            <w:vMerge w:val="restart"/>
            <w:shd w:val="clear" w:color="auto" w:fill="auto"/>
          </w:tcPr>
          <w:p w:rsidR="00CB0D8E" w:rsidRPr="00CB0D8E" w:rsidRDefault="00CB0D8E" w:rsidP="00BD582A">
            <w:pPr>
              <w:spacing w:after="60" w:line="240" w:lineRule="auto"/>
              <w:jc w:val="center"/>
              <w:rPr>
                <w:rFonts w:cs="Arial"/>
                <w:b/>
                <w:sz w:val="18"/>
                <w:szCs w:val="18"/>
              </w:rPr>
            </w:pPr>
            <w:r w:rsidRPr="00CB0D8E">
              <w:rPr>
                <w:rFonts w:cs="Arial"/>
                <w:b/>
                <w:sz w:val="18"/>
                <w:szCs w:val="18"/>
              </w:rPr>
              <w:t>Service impacts and outcomes</w:t>
            </w:r>
          </w:p>
        </w:tc>
        <w:tc>
          <w:tcPr>
            <w:tcW w:w="12377" w:type="dxa"/>
            <w:gridSpan w:val="3"/>
            <w:shd w:val="clear" w:color="auto" w:fill="auto"/>
          </w:tcPr>
          <w:p w:rsidR="00CB0D8E" w:rsidRPr="00E51D90" w:rsidRDefault="00CB0D8E" w:rsidP="00BD582A">
            <w:pPr>
              <w:pStyle w:val="Tablebullet1atmargin"/>
              <w:tabs>
                <w:tab w:val="clear" w:pos="425"/>
                <w:tab w:val="num" w:pos="175"/>
              </w:tabs>
              <w:spacing w:after="60"/>
              <w:ind w:left="175" w:hanging="141"/>
              <w:rPr>
                <w:sz w:val="18"/>
                <w:szCs w:val="18"/>
              </w:rPr>
            </w:pPr>
            <w:r w:rsidRPr="00BD582A">
              <w:rPr>
                <w:b/>
                <w:color w:val="000000"/>
                <w:sz w:val="18"/>
                <w:szCs w:val="18"/>
                <w:lang w:eastAsia="en-NZ"/>
              </w:rPr>
              <w:t>Target audience:</w:t>
            </w:r>
            <w:r w:rsidRPr="00E51D90">
              <w:rPr>
                <w:color w:val="000000"/>
                <w:sz w:val="18"/>
                <w:szCs w:val="18"/>
                <w:lang w:eastAsia="en-NZ"/>
              </w:rPr>
              <w:t xml:space="preserve"> Did participants experience changes in their skills and knowledge?  What was the perceived value of the programme by health professionals and clients?</w:t>
            </w:r>
          </w:p>
          <w:p w:rsidR="00CB0D8E" w:rsidRPr="00E51D90" w:rsidRDefault="00CB0D8E" w:rsidP="00D13AFD">
            <w:pPr>
              <w:pStyle w:val="Tablebullet1atmargin"/>
              <w:tabs>
                <w:tab w:val="clear" w:pos="425"/>
                <w:tab w:val="num" w:pos="175"/>
              </w:tabs>
              <w:spacing w:after="60"/>
              <w:ind w:left="175" w:hanging="141"/>
              <w:rPr>
                <w:sz w:val="18"/>
                <w:szCs w:val="18"/>
              </w:rPr>
            </w:pPr>
            <w:r w:rsidRPr="00BD582A">
              <w:rPr>
                <w:b/>
                <w:sz w:val="18"/>
                <w:szCs w:val="18"/>
              </w:rPr>
              <w:t>Impact:</w:t>
            </w:r>
            <w:r w:rsidRPr="00E51D90">
              <w:rPr>
                <w:i/>
                <w:sz w:val="18"/>
                <w:szCs w:val="18"/>
              </w:rPr>
              <w:t xml:space="preserve"> </w:t>
            </w:r>
            <w:r w:rsidRPr="00E51D90">
              <w:rPr>
                <w:color w:val="000000"/>
                <w:sz w:val="18"/>
                <w:szCs w:val="18"/>
                <w:lang w:eastAsia="en-NZ"/>
              </w:rPr>
              <w:t>What changes were expected (outputs and short</w:t>
            </w:r>
            <w:r w:rsidR="00D13AFD">
              <w:rPr>
                <w:color w:val="000000"/>
                <w:sz w:val="18"/>
                <w:szCs w:val="18"/>
                <w:lang w:eastAsia="en-NZ"/>
              </w:rPr>
              <w:t>/</w:t>
            </w:r>
            <w:r w:rsidRPr="00E51D90">
              <w:rPr>
                <w:color w:val="000000"/>
                <w:sz w:val="18"/>
                <w:szCs w:val="18"/>
                <w:lang w:eastAsia="en-NZ"/>
              </w:rPr>
              <w:t xml:space="preserve"> medium/long-term outcomes)? What changes actually happened? What are the facilitators for the implementation of the service? Were there any positive and/or negative unintended impacts of the service?  What are the challenges to implementing the service?  How are the barriers addressed? What could be the long</w:t>
            </w:r>
            <w:r w:rsidRPr="00E51D90">
              <w:rPr>
                <w:rFonts w:ascii="Cambria Math" w:hAnsi="Cambria Math" w:cs="Cambria Math"/>
                <w:color w:val="000000"/>
                <w:sz w:val="18"/>
                <w:szCs w:val="18"/>
                <w:lang w:eastAsia="en-NZ"/>
              </w:rPr>
              <w:t>‐</w:t>
            </w:r>
            <w:r w:rsidRPr="00E51D90">
              <w:rPr>
                <w:color w:val="000000"/>
                <w:sz w:val="18"/>
                <w:szCs w:val="18"/>
                <w:lang w:eastAsia="en-NZ"/>
              </w:rPr>
              <w:t xml:space="preserve">term impact of this service? </w:t>
            </w:r>
            <w:r w:rsidR="00D13AFD">
              <w:rPr>
                <w:color w:val="000000"/>
                <w:sz w:val="18"/>
                <w:szCs w:val="18"/>
                <w:lang w:eastAsia="en-NZ"/>
              </w:rPr>
              <w:t xml:space="preserve"> </w:t>
            </w:r>
            <w:r w:rsidRPr="00E51D90">
              <w:rPr>
                <w:color w:val="000000"/>
                <w:sz w:val="18"/>
                <w:szCs w:val="18"/>
                <w:lang w:eastAsia="en-NZ"/>
              </w:rPr>
              <w:t>Does the service reduce health inequalities for rural populations and for Māori and Pacific peoples? What could have been done differently to be more effective?</w:t>
            </w:r>
            <w:r w:rsidRPr="00E51D90">
              <w:rPr>
                <w:sz w:val="18"/>
                <w:szCs w:val="18"/>
              </w:rPr>
              <w:t xml:space="preserve"> </w:t>
            </w:r>
            <w:r w:rsidRPr="00E51D90">
              <w:rPr>
                <w:color w:val="000000"/>
                <w:sz w:val="18"/>
                <w:szCs w:val="18"/>
                <w:lang w:eastAsia="en-NZ"/>
              </w:rPr>
              <w:t>Were the resources and inputs sufficient to achieve the goals/objectives of the services? What are the lessons learned for the future? How do the services meet the objectives of service integration according to “Better, Sooner, More Convenient”? How can the services be changed and developed to meet the objectives of “Better, Sooner, More Convenient”?</w:t>
            </w:r>
          </w:p>
        </w:tc>
      </w:tr>
      <w:tr w:rsidR="00CB0D8E" w:rsidRPr="00CB0D8E" w:rsidTr="00BD582A">
        <w:trPr>
          <w:trHeight w:val="144"/>
        </w:trPr>
        <w:tc>
          <w:tcPr>
            <w:tcW w:w="1346" w:type="dxa"/>
            <w:vMerge/>
            <w:shd w:val="clear" w:color="auto" w:fill="auto"/>
          </w:tcPr>
          <w:p w:rsidR="00CB0D8E" w:rsidRPr="00CB0D8E" w:rsidRDefault="00CB0D8E" w:rsidP="00BD582A">
            <w:pPr>
              <w:spacing w:after="60" w:line="240" w:lineRule="auto"/>
              <w:jc w:val="center"/>
              <w:rPr>
                <w:rFonts w:cs="Arial"/>
                <w:b/>
                <w:sz w:val="18"/>
                <w:szCs w:val="18"/>
              </w:rPr>
            </w:pPr>
          </w:p>
        </w:tc>
        <w:tc>
          <w:tcPr>
            <w:tcW w:w="4305"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What is the impact of on equity of access to elective day surgery for rural patients and communities?</w:t>
            </w:r>
          </w:p>
          <w:p w:rsidR="00CB0D8E" w:rsidRPr="00E51D90" w:rsidRDefault="00BD582A" w:rsidP="00BD582A">
            <w:pPr>
              <w:pStyle w:val="Tablebullet1atmargin"/>
              <w:tabs>
                <w:tab w:val="clear" w:pos="425"/>
                <w:tab w:val="num" w:pos="175"/>
              </w:tabs>
              <w:spacing w:after="60"/>
              <w:ind w:left="175" w:hanging="141"/>
              <w:rPr>
                <w:sz w:val="18"/>
                <w:szCs w:val="18"/>
              </w:rPr>
            </w:pPr>
            <w:r>
              <w:rPr>
                <w:rFonts w:eastAsia="Calibri"/>
                <w:sz w:val="18"/>
                <w:szCs w:val="18"/>
              </w:rPr>
              <w:t>Is the</w:t>
            </w:r>
            <w:r w:rsidR="00CB0D8E" w:rsidRPr="00E51D90">
              <w:rPr>
                <w:rFonts w:eastAsia="Calibri"/>
                <w:sz w:val="18"/>
                <w:szCs w:val="18"/>
              </w:rPr>
              <w:t xml:space="preserve"> mix of </w:t>
            </w:r>
            <w:r>
              <w:rPr>
                <w:rFonts w:eastAsia="Calibri"/>
                <w:sz w:val="18"/>
                <w:szCs w:val="18"/>
              </w:rPr>
              <w:t>procedures</w:t>
            </w:r>
            <w:r w:rsidR="00CB0D8E" w:rsidRPr="00E51D90">
              <w:rPr>
                <w:sz w:val="18"/>
                <w:szCs w:val="18"/>
              </w:rPr>
              <w:t xml:space="preserve"> </w:t>
            </w:r>
            <w:r w:rsidR="00CB0D8E" w:rsidRPr="00E51D90">
              <w:rPr>
                <w:rFonts w:eastAsia="Calibri"/>
                <w:sz w:val="18"/>
                <w:szCs w:val="18"/>
              </w:rPr>
              <w:t>appropriate for the</w:t>
            </w:r>
            <w:r>
              <w:rPr>
                <w:rFonts w:eastAsia="Calibri"/>
                <w:sz w:val="18"/>
                <w:szCs w:val="18"/>
              </w:rPr>
              <w:t xml:space="preserve"> </w:t>
            </w:r>
            <w:r w:rsidR="00CB0D8E" w:rsidRPr="00E51D90">
              <w:rPr>
                <w:rFonts w:eastAsia="Calibri"/>
                <w:sz w:val="18"/>
                <w:szCs w:val="18"/>
              </w:rPr>
              <w:t>needs of communities, as identified by D</w:t>
            </w:r>
            <w:r>
              <w:rPr>
                <w:rFonts w:eastAsia="Calibri"/>
                <w:sz w:val="18"/>
                <w:szCs w:val="18"/>
              </w:rPr>
              <w:t xml:space="preserve">HBs and </w:t>
            </w:r>
            <w:proofErr w:type="spellStart"/>
            <w:r>
              <w:rPr>
                <w:rFonts w:eastAsia="Calibri"/>
                <w:sz w:val="18"/>
                <w:szCs w:val="18"/>
              </w:rPr>
              <w:t>MoH</w:t>
            </w:r>
            <w:proofErr w:type="spellEnd"/>
            <w:r>
              <w:rPr>
                <w:rFonts w:eastAsia="Calibri"/>
                <w:sz w:val="18"/>
                <w:szCs w:val="18"/>
              </w:rPr>
              <w:t>?</w:t>
            </w:r>
          </w:p>
        </w:tc>
        <w:tc>
          <w:tcPr>
            <w:tcW w:w="3902"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Are the services contributing effectively to the continuing education, support and retention of the rural health workforce?</w:t>
            </w:r>
          </w:p>
          <w:p w:rsidR="00CB0D8E" w:rsidRPr="00E51D90" w:rsidRDefault="00CB0D8E" w:rsidP="00BD582A">
            <w:pPr>
              <w:pStyle w:val="Tablebullet1atmargin"/>
              <w:numPr>
                <w:ilvl w:val="0"/>
                <w:numId w:val="0"/>
              </w:numPr>
              <w:spacing w:after="60"/>
              <w:ind w:left="175"/>
              <w:rPr>
                <w:rFonts w:eastAsia="Calibri"/>
                <w:sz w:val="18"/>
                <w:szCs w:val="18"/>
              </w:rPr>
            </w:pPr>
          </w:p>
        </w:tc>
        <w:tc>
          <w:tcPr>
            <w:tcW w:w="4170" w:type="dxa"/>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Are the remote collaboration (telepresence) services enabling rural health professionals and, tertiary and secondary/provincial hospitals to use national linkages for clinical networking and support?</w:t>
            </w:r>
          </w:p>
        </w:tc>
      </w:tr>
      <w:tr w:rsidR="00CB0D8E" w:rsidRPr="00CB0D8E" w:rsidTr="00BD582A">
        <w:trPr>
          <w:trHeight w:val="269"/>
        </w:trPr>
        <w:tc>
          <w:tcPr>
            <w:tcW w:w="1346" w:type="dxa"/>
            <w:vMerge w:val="restart"/>
            <w:shd w:val="clear" w:color="auto" w:fill="auto"/>
          </w:tcPr>
          <w:p w:rsidR="00CB0D8E" w:rsidRPr="00CB0D8E" w:rsidRDefault="00CB0D8E" w:rsidP="00BD582A">
            <w:pPr>
              <w:spacing w:after="60" w:line="240" w:lineRule="auto"/>
              <w:jc w:val="center"/>
              <w:rPr>
                <w:rFonts w:cs="Arial"/>
                <w:b/>
                <w:sz w:val="18"/>
                <w:szCs w:val="18"/>
              </w:rPr>
            </w:pPr>
            <w:r w:rsidRPr="00CB0D8E">
              <w:rPr>
                <w:rFonts w:cs="Arial"/>
                <w:b/>
                <w:sz w:val="18"/>
                <w:szCs w:val="18"/>
              </w:rPr>
              <w:t>Economic considerations</w:t>
            </w:r>
          </w:p>
        </w:tc>
        <w:tc>
          <w:tcPr>
            <w:tcW w:w="12377" w:type="dxa"/>
            <w:gridSpan w:val="3"/>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 xml:space="preserve">Are the </w:t>
            </w:r>
            <w:r w:rsidRPr="00E51D90">
              <w:rPr>
                <w:sz w:val="18"/>
                <w:szCs w:val="18"/>
              </w:rPr>
              <w:t>mobile surgical and related services</w:t>
            </w:r>
            <w:r w:rsidRPr="00E51D90">
              <w:rPr>
                <w:rFonts w:eastAsia="Calibri"/>
                <w:sz w:val="18"/>
                <w:szCs w:val="18"/>
              </w:rPr>
              <w:t xml:space="preserve"> a cost-effective approach to rural health service delivery?</w:t>
            </w:r>
          </w:p>
        </w:tc>
      </w:tr>
      <w:tr w:rsidR="00CB0D8E" w:rsidRPr="00CB0D8E" w:rsidTr="00BD582A">
        <w:trPr>
          <w:trHeight w:val="144"/>
        </w:trPr>
        <w:tc>
          <w:tcPr>
            <w:tcW w:w="1346" w:type="dxa"/>
            <w:vMerge/>
            <w:shd w:val="clear" w:color="auto" w:fill="auto"/>
          </w:tcPr>
          <w:p w:rsidR="00CB0D8E" w:rsidRPr="00CB0D8E" w:rsidRDefault="00CB0D8E" w:rsidP="00BD582A">
            <w:pPr>
              <w:spacing w:after="60" w:line="240" w:lineRule="auto"/>
              <w:jc w:val="center"/>
              <w:rPr>
                <w:rFonts w:cs="Arial"/>
                <w:b/>
                <w:sz w:val="18"/>
                <w:szCs w:val="18"/>
              </w:rPr>
            </w:pPr>
          </w:p>
        </w:tc>
        <w:tc>
          <w:tcPr>
            <w:tcW w:w="4305" w:type="dxa"/>
            <w:shd w:val="clear" w:color="auto" w:fill="auto"/>
          </w:tcPr>
          <w:p w:rsidR="00CB0D8E" w:rsidRPr="00E51D90" w:rsidRDefault="00CB0D8E" w:rsidP="00BD582A">
            <w:pPr>
              <w:pStyle w:val="Tablebullet1atmargin"/>
              <w:tabs>
                <w:tab w:val="clear" w:pos="425"/>
                <w:tab w:val="num" w:pos="175"/>
              </w:tabs>
              <w:spacing w:after="60"/>
              <w:ind w:left="175" w:hanging="141"/>
              <w:rPr>
                <w:sz w:val="18"/>
                <w:szCs w:val="18"/>
              </w:rPr>
            </w:pPr>
            <w:r w:rsidRPr="00E51D90">
              <w:rPr>
                <w:sz w:val="18"/>
                <w:szCs w:val="18"/>
              </w:rPr>
              <w:t>Are the benefits greater than the costs of alternate treatment, e</w:t>
            </w:r>
            <w:r w:rsidR="00BD582A">
              <w:rPr>
                <w:sz w:val="18"/>
                <w:szCs w:val="18"/>
              </w:rPr>
              <w:t>.</w:t>
            </w:r>
            <w:r w:rsidRPr="00E51D90">
              <w:rPr>
                <w:sz w:val="18"/>
                <w:szCs w:val="18"/>
              </w:rPr>
              <w:t>g</w:t>
            </w:r>
            <w:r w:rsidR="00BD582A">
              <w:rPr>
                <w:sz w:val="18"/>
                <w:szCs w:val="18"/>
              </w:rPr>
              <w:t>.</w:t>
            </w:r>
            <w:r w:rsidRPr="00E51D90">
              <w:rPr>
                <w:sz w:val="18"/>
                <w:szCs w:val="18"/>
              </w:rPr>
              <w:t xml:space="preserve"> hospital-based treatment, including travel and other associated costs</w:t>
            </w:r>
          </w:p>
          <w:p w:rsidR="00CB0D8E" w:rsidRPr="00E51D90" w:rsidRDefault="00CB0D8E" w:rsidP="00D13AFD">
            <w:pPr>
              <w:pStyle w:val="Tablebullet1atmargin"/>
              <w:tabs>
                <w:tab w:val="clear" w:pos="425"/>
                <w:tab w:val="num" w:pos="175"/>
              </w:tabs>
              <w:spacing w:after="60"/>
              <w:ind w:left="175" w:hanging="141"/>
              <w:rPr>
                <w:sz w:val="18"/>
                <w:szCs w:val="18"/>
              </w:rPr>
            </w:pPr>
            <w:r w:rsidRPr="00E51D90">
              <w:rPr>
                <w:sz w:val="18"/>
                <w:szCs w:val="18"/>
              </w:rPr>
              <w:t>Identify and describe non-financial benefits such as patient</w:t>
            </w:r>
            <w:r w:rsidR="00D13AFD">
              <w:rPr>
                <w:sz w:val="18"/>
                <w:szCs w:val="18"/>
              </w:rPr>
              <w:t>/</w:t>
            </w:r>
            <w:r w:rsidRPr="00E51D90">
              <w:rPr>
                <w:sz w:val="18"/>
                <w:szCs w:val="18"/>
              </w:rPr>
              <w:t>family</w:t>
            </w:r>
            <w:r w:rsidR="00D13AFD">
              <w:rPr>
                <w:sz w:val="18"/>
                <w:szCs w:val="18"/>
              </w:rPr>
              <w:t>/</w:t>
            </w:r>
            <w:r w:rsidRPr="00E51D90">
              <w:rPr>
                <w:sz w:val="18"/>
                <w:szCs w:val="18"/>
              </w:rPr>
              <w:t>community</w:t>
            </w:r>
            <w:r w:rsidR="00BD582A">
              <w:rPr>
                <w:sz w:val="18"/>
                <w:szCs w:val="18"/>
              </w:rPr>
              <w:t>/</w:t>
            </w:r>
            <w:r w:rsidRPr="00E51D90">
              <w:rPr>
                <w:sz w:val="18"/>
                <w:szCs w:val="18"/>
              </w:rPr>
              <w:t xml:space="preserve">social </w:t>
            </w:r>
            <w:r w:rsidR="00D13AFD">
              <w:rPr>
                <w:sz w:val="18"/>
                <w:szCs w:val="18"/>
              </w:rPr>
              <w:t>benefits of</w:t>
            </w:r>
            <w:r w:rsidRPr="00E51D90">
              <w:rPr>
                <w:sz w:val="18"/>
                <w:szCs w:val="18"/>
              </w:rPr>
              <w:t xml:space="preserve"> day surgery in rural communities, e</w:t>
            </w:r>
            <w:r w:rsidR="00BD582A">
              <w:rPr>
                <w:sz w:val="18"/>
                <w:szCs w:val="18"/>
              </w:rPr>
              <w:t>.</w:t>
            </w:r>
            <w:r w:rsidRPr="00E51D90">
              <w:rPr>
                <w:sz w:val="18"/>
                <w:szCs w:val="18"/>
              </w:rPr>
              <w:t>g</w:t>
            </w:r>
            <w:r w:rsidR="00BD582A">
              <w:rPr>
                <w:sz w:val="18"/>
                <w:szCs w:val="18"/>
              </w:rPr>
              <w:t>.</w:t>
            </w:r>
            <w:r w:rsidRPr="00E51D90">
              <w:rPr>
                <w:sz w:val="18"/>
                <w:szCs w:val="18"/>
              </w:rPr>
              <w:t xml:space="preserve"> access to </w:t>
            </w:r>
            <w:r w:rsidR="00D13AFD">
              <w:rPr>
                <w:sz w:val="18"/>
                <w:szCs w:val="18"/>
              </w:rPr>
              <w:t>FSAs</w:t>
            </w:r>
            <w:r w:rsidRPr="00E51D90">
              <w:rPr>
                <w:sz w:val="18"/>
                <w:szCs w:val="18"/>
              </w:rPr>
              <w:t>, treatment closer to home, community cohesiveness</w:t>
            </w:r>
            <w:r w:rsidR="00BD582A">
              <w:rPr>
                <w:sz w:val="18"/>
                <w:szCs w:val="18"/>
              </w:rPr>
              <w:t>.</w:t>
            </w:r>
          </w:p>
        </w:tc>
        <w:tc>
          <w:tcPr>
            <w:tcW w:w="8072" w:type="dxa"/>
            <w:gridSpan w:val="2"/>
            <w:shd w:val="clear" w:color="auto" w:fill="auto"/>
          </w:tcPr>
          <w:p w:rsidR="00CB0D8E" w:rsidRPr="00E51D90" w:rsidRDefault="00CB0D8E" w:rsidP="00BD582A">
            <w:pPr>
              <w:pStyle w:val="Tablebullet1atmargin"/>
              <w:tabs>
                <w:tab w:val="clear" w:pos="425"/>
                <w:tab w:val="num" w:pos="175"/>
              </w:tabs>
              <w:spacing w:after="60"/>
              <w:ind w:left="175" w:hanging="141"/>
              <w:rPr>
                <w:rFonts w:eastAsia="Calibri"/>
                <w:sz w:val="18"/>
                <w:szCs w:val="18"/>
              </w:rPr>
            </w:pPr>
            <w:r w:rsidRPr="00E51D90">
              <w:rPr>
                <w:rFonts w:eastAsia="Calibri"/>
                <w:sz w:val="18"/>
                <w:szCs w:val="18"/>
              </w:rPr>
              <w:t xml:space="preserve">Are the benefits of these services greater than the costs of alternate/traditional means of delivering health professional development, remote collaboration/telepresence and clinical networking for rural health professionals? Identify and describe any non-financial costs and benefits, </w:t>
            </w:r>
            <w:proofErr w:type="spellStart"/>
            <w:r w:rsidRPr="00E51D90">
              <w:rPr>
                <w:rFonts w:eastAsia="Calibri"/>
                <w:sz w:val="18"/>
                <w:szCs w:val="18"/>
              </w:rPr>
              <w:t>eg</w:t>
            </w:r>
            <w:proofErr w:type="spellEnd"/>
            <w:r w:rsidRPr="00E51D90">
              <w:rPr>
                <w:rFonts w:eastAsia="Calibri"/>
                <w:sz w:val="18"/>
                <w:szCs w:val="18"/>
              </w:rPr>
              <w:t xml:space="preserve"> applying to patients, families and communities.</w:t>
            </w:r>
          </w:p>
          <w:p w:rsidR="00CB0D8E" w:rsidRPr="00CB0D8E" w:rsidRDefault="00CB0D8E" w:rsidP="00BD582A">
            <w:pPr>
              <w:spacing w:after="60" w:line="240" w:lineRule="auto"/>
              <w:rPr>
                <w:rFonts w:cs="Arial"/>
                <w:sz w:val="18"/>
                <w:szCs w:val="18"/>
              </w:rPr>
            </w:pPr>
          </w:p>
        </w:tc>
      </w:tr>
    </w:tbl>
    <w:p w:rsidR="00CB0D8E" w:rsidRDefault="00BD582A" w:rsidP="00E346E9">
      <w:pPr>
        <w:pStyle w:val="UnnumtextBodytext"/>
      </w:pPr>
      <w:r w:rsidRPr="00BD582A">
        <w:rPr>
          <w:b/>
          <w:sz w:val="20"/>
        </w:rPr>
        <w:t>Source</w:t>
      </w:r>
      <w:r w:rsidRPr="00BD582A">
        <w:rPr>
          <w:sz w:val="20"/>
        </w:rPr>
        <w:t>: Ministry of Health</w:t>
      </w:r>
    </w:p>
    <w:p w:rsidR="00CB0D8E" w:rsidRDefault="00CB0D8E" w:rsidP="00E346E9">
      <w:pPr>
        <w:pStyle w:val="UnnumtextBodytext"/>
        <w:sectPr w:rsidR="00CB0D8E" w:rsidSect="00CB0D8E">
          <w:headerReference w:type="even" r:id="rId16"/>
          <w:headerReference w:type="default" r:id="rId17"/>
          <w:footerReference w:type="even" r:id="rId18"/>
          <w:footerReference w:type="default" r:id="rId19"/>
          <w:headerReference w:type="first" r:id="rId20"/>
          <w:footerReference w:type="first" r:id="rId21"/>
          <w:endnotePr>
            <w:numFmt w:val="decimal"/>
          </w:endnotePr>
          <w:pgSz w:w="16840" w:h="11907" w:orient="landscape" w:code="9"/>
          <w:pgMar w:top="1984" w:right="1984" w:bottom="1701" w:left="1984" w:header="737" w:footer="454" w:gutter="0"/>
          <w:cols w:space="720"/>
          <w:docGrid w:linePitch="299"/>
        </w:sectPr>
      </w:pPr>
    </w:p>
    <w:p w:rsidR="00AC54F9" w:rsidRDefault="00AC54F9" w:rsidP="00E346E9">
      <w:pPr>
        <w:pStyle w:val="Heading1"/>
      </w:pPr>
      <w:bookmarkStart w:id="26" w:name="_Toc423945907"/>
      <w:r>
        <w:lastRenderedPageBreak/>
        <w:t>Overview of the services</w:t>
      </w:r>
      <w:bookmarkEnd w:id="26"/>
    </w:p>
    <w:p w:rsidR="00E30739" w:rsidRDefault="004D5B11" w:rsidP="00E30739">
      <w:pPr>
        <w:pStyle w:val="Heading2"/>
      </w:pPr>
      <w:bookmarkStart w:id="27" w:name="_Toc423945908"/>
      <w:r>
        <w:t xml:space="preserve">Background and </w:t>
      </w:r>
      <w:r w:rsidR="00A477C0">
        <w:t>components</w:t>
      </w:r>
      <w:bookmarkEnd w:id="27"/>
      <w:r w:rsidR="00E30739" w:rsidRPr="00E30739">
        <w:t xml:space="preserve"> </w:t>
      </w:r>
    </w:p>
    <w:p w:rsidR="001B1955" w:rsidRPr="00E30739" w:rsidRDefault="003B7926" w:rsidP="001B1955">
      <w:pPr>
        <w:pStyle w:val="UnnumtextBodytext"/>
      </w:pPr>
      <w:r>
        <w:t>T</w:t>
      </w:r>
      <w:r w:rsidRPr="00A56681">
        <w:t>he Ministry of Health</w:t>
      </w:r>
      <w:r>
        <w:t xml:space="preserve"> contracted </w:t>
      </w:r>
      <w:r w:rsidRPr="00A56681">
        <w:t xml:space="preserve">Mobile Surgical </w:t>
      </w:r>
      <w:r w:rsidR="00F51C21">
        <w:t>Solutions</w:t>
      </w:r>
      <w:r w:rsidR="0087199A">
        <w:t xml:space="preserve"> (MSS)</w:t>
      </w:r>
      <w:r w:rsidRPr="00A56681">
        <w:t xml:space="preserve"> L</w:t>
      </w:r>
      <w:r>
        <w:t>t</w:t>
      </w:r>
      <w:r w:rsidRPr="00A56681">
        <w:t xml:space="preserve">d </w:t>
      </w:r>
      <w:r w:rsidR="0098584B">
        <w:t xml:space="preserve">– a limited liability company based in Christchurch – </w:t>
      </w:r>
      <w:r>
        <w:t xml:space="preserve">to </w:t>
      </w:r>
      <w:r w:rsidR="00F51C21">
        <w:t xml:space="preserve">commence </w:t>
      </w:r>
      <w:r>
        <w:t>provid</w:t>
      </w:r>
      <w:r w:rsidR="00F51C21">
        <w:t>ing</w:t>
      </w:r>
      <w:r>
        <w:t xml:space="preserve"> </w:t>
      </w:r>
      <w:r w:rsidR="00F51C21">
        <w:t xml:space="preserve">day surgery from a </w:t>
      </w:r>
      <w:r>
        <w:t xml:space="preserve">mobile surgical </w:t>
      </w:r>
      <w:r w:rsidR="00F51C21">
        <w:t xml:space="preserve">unit in 2002. </w:t>
      </w:r>
      <w:r w:rsidR="0098584B">
        <w:t>The unit is a</w:t>
      </w:r>
      <w:r w:rsidR="00F51C21">
        <w:t xml:space="preserve"> 20 </w:t>
      </w:r>
      <w:proofErr w:type="spellStart"/>
      <w:r w:rsidR="00F51C21">
        <w:t>metre</w:t>
      </w:r>
      <w:proofErr w:type="spellEnd"/>
      <w:r w:rsidR="00F51C21">
        <w:t xml:space="preserve"> long truck and trailer known as ‘the </w:t>
      </w:r>
      <w:proofErr w:type="gramStart"/>
      <w:r w:rsidR="00CB0B5C">
        <w:t>b</w:t>
      </w:r>
      <w:r w:rsidR="00F51C21">
        <w:t>us’</w:t>
      </w:r>
      <w:proofErr w:type="gramEnd"/>
      <w:r w:rsidR="00F51C21">
        <w:t xml:space="preserve">. </w:t>
      </w:r>
    </w:p>
    <w:p w:rsidR="00E30739" w:rsidRDefault="004D5B11" w:rsidP="00E30739">
      <w:pPr>
        <w:pStyle w:val="UnnumtextBodytext"/>
      </w:pPr>
      <w:r>
        <w:t xml:space="preserve">The Ministry of Health entered into a new contract with </w:t>
      </w:r>
      <w:r w:rsidR="0087199A">
        <w:t xml:space="preserve">the provider </w:t>
      </w:r>
      <w:r w:rsidR="00CB0B5C">
        <w:t>o</w:t>
      </w:r>
      <w:r w:rsidR="0098584B">
        <w:t xml:space="preserve">n </w:t>
      </w:r>
      <w:r w:rsidR="00CB0B5C">
        <w:t xml:space="preserve">1 November </w:t>
      </w:r>
      <w:r w:rsidR="0098584B">
        <w:t xml:space="preserve">2006. </w:t>
      </w:r>
      <w:r w:rsidR="00CB0B5C">
        <w:t xml:space="preserve">The description of the three service components is </w:t>
      </w:r>
      <w:proofErr w:type="spellStart"/>
      <w:r w:rsidR="00CB0B5C">
        <w:t>summ</w:t>
      </w:r>
      <w:r w:rsidR="0087199A">
        <w:t>a</w:t>
      </w:r>
      <w:r w:rsidR="00CB0B5C">
        <w:t>rised</w:t>
      </w:r>
      <w:proofErr w:type="spellEnd"/>
      <w:r w:rsidR="00CB0B5C">
        <w:t xml:space="preserve"> in </w:t>
      </w:r>
      <w:r w:rsidR="00453239">
        <w:fldChar w:fldCharType="begin"/>
      </w:r>
      <w:r w:rsidR="00453239">
        <w:instrText xml:space="preserve"> REF _Ref377127154 \h </w:instrText>
      </w:r>
      <w:r w:rsidR="00453239">
        <w:fldChar w:fldCharType="separate"/>
      </w:r>
      <w:r w:rsidR="00CA314A">
        <w:t xml:space="preserve">Table </w:t>
      </w:r>
      <w:r w:rsidR="00CA314A">
        <w:rPr>
          <w:noProof/>
        </w:rPr>
        <w:t>2</w:t>
      </w:r>
      <w:r w:rsidR="00453239">
        <w:fldChar w:fldCharType="end"/>
      </w:r>
      <w:r w:rsidR="00CB0B5C">
        <w:t xml:space="preserve">. A variation to the </w:t>
      </w:r>
      <w:r>
        <w:t>contract</w:t>
      </w:r>
      <w:r w:rsidR="00CB0B5C">
        <w:t xml:space="preserve"> in</w:t>
      </w:r>
      <w:r>
        <w:t xml:space="preserve"> June 2012</w:t>
      </w:r>
      <w:r w:rsidR="00CB0B5C">
        <w:t xml:space="preserve"> </w:t>
      </w:r>
      <w:r>
        <w:t>extend</w:t>
      </w:r>
      <w:r w:rsidR="00CB0B5C">
        <w:t>ed</w:t>
      </w:r>
      <w:r>
        <w:t xml:space="preserve"> </w:t>
      </w:r>
      <w:r w:rsidR="00CB0B5C">
        <w:t xml:space="preserve">funding for the services </w:t>
      </w:r>
      <w:r>
        <w:t xml:space="preserve">until 30 June 2015. </w:t>
      </w:r>
    </w:p>
    <w:p w:rsidR="002166B0" w:rsidRDefault="002166B0" w:rsidP="002166B0">
      <w:pPr>
        <w:pStyle w:val="Caption"/>
        <w:spacing w:before="100" w:beforeAutospacing="1" w:after="120"/>
      </w:pPr>
      <w:bookmarkStart w:id="28" w:name="_Ref377127154"/>
      <w:bookmarkStart w:id="29" w:name="_Toc380599925"/>
      <w:bookmarkStart w:id="30" w:name="_Toc380605814"/>
      <w:bookmarkStart w:id="31" w:name="_Toc423945972"/>
      <w:r>
        <w:t xml:space="preserve">Table </w:t>
      </w:r>
      <w:fldSimple w:instr=" SEQ Table \* ARABIC ">
        <w:r w:rsidR="00CA314A">
          <w:rPr>
            <w:noProof/>
          </w:rPr>
          <w:t>2</w:t>
        </w:r>
      </w:fldSimple>
      <w:bookmarkEnd w:id="28"/>
      <w:r>
        <w:rPr>
          <w:noProof/>
        </w:rPr>
        <w:t>:</w:t>
      </w:r>
      <w:r>
        <w:t xml:space="preserve"> </w:t>
      </w:r>
      <w:r w:rsidR="00850D3E">
        <w:t>Summary of s</w:t>
      </w:r>
      <w:r>
        <w:t>ervice descriptions</w:t>
      </w:r>
      <w:bookmarkEnd w:id="29"/>
      <w:bookmarkEnd w:id="30"/>
      <w:bookmarkEnd w:id="31"/>
    </w:p>
    <w:tbl>
      <w:tblPr>
        <w:tblStyle w:val="TableSapereGrid"/>
        <w:tblW w:w="7937" w:type="dxa"/>
        <w:tblInd w:w="108" w:type="dxa"/>
        <w:tblLayout w:type="fixed"/>
        <w:tblLook w:val="0620" w:firstRow="1" w:lastRow="0" w:firstColumn="0" w:lastColumn="0" w:noHBand="1" w:noVBand="1"/>
        <w:tblCaption w:val="Table 2: Summary of service descriptions"/>
      </w:tblPr>
      <w:tblGrid>
        <w:gridCol w:w="2835"/>
        <w:gridCol w:w="5102"/>
      </w:tblGrid>
      <w:tr w:rsidR="002166B0" w:rsidTr="00850D3E">
        <w:trPr>
          <w:cnfStyle w:val="100000000000" w:firstRow="1" w:lastRow="0" w:firstColumn="0" w:lastColumn="0" w:oddVBand="0" w:evenVBand="0" w:oddHBand="0" w:evenHBand="0" w:firstRowFirstColumn="0" w:firstRowLastColumn="0" w:lastRowFirstColumn="0" w:lastRowLastColumn="0"/>
          <w:cantSplit/>
        </w:trPr>
        <w:tc>
          <w:tcPr>
            <w:tcW w:w="2835" w:type="dxa"/>
          </w:tcPr>
          <w:p w:rsidR="002166B0" w:rsidRPr="002166B0" w:rsidRDefault="002166B0" w:rsidP="002166B0">
            <w:pPr>
              <w:pStyle w:val="Table-headingrow1"/>
              <w:rPr>
                <w:sz w:val="20"/>
              </w:rPr>
            </w:pPr>
            <w:r>
              <w:rPr>
                <w:sz w:val="20"/>
              </w:rPr>
              <w:t xml:space="preserve">Service component </w:t>
            </w:r>
          </w:p>
        </w:tc>
        <w:tc>
          <w:tcPr>
            <w:tcW w:w="5102" w:type="dxa"/>
          </w:tcPr>
          <w:p w:rsidR="002166B0" w:rsidRPr="002166B0" w:rsidRDefault="002166B0" w:rsidP="002166B0">
            <w:pPr>
              <w:pStyle w:val="Table-headingrow1"/>
              <w:rPr>
                <w:sz w:val="20"/>
              </w:rPr>
            </w:pPr>
            <w:r>
              <w:rPr>
                <w:sz w:val="20"/>
              </w:rPr>
              <w:t xml:space="preserve">Description </w:t>
            </w:r>
          </w:p>
        </w:tc>
      </w:tr>
      <w:tr w:rsidR="002166B0" w:rsidTr="00850D3E">
        <w:trPr>
          <w:cantSplit/>
        </w:trPr>
        <w:tc>
          <w:tcPr>
            <w:tcW w:w="2835" w:type="dxa"/>
          </w:tcPr>
          <w:p w:rsidR="002166B0" w:rsidRPr="002166B0" w:rsidRDefault="002166B0" w:rsidP="002166B0">
            <w:pPr>
              <w:pStyle w:val="Table-bodytext"/>
              <w:rPr>
                <w:sz w:val="20"/>
              </w:rPr>
            </w:pPr>
            <w:r>
              <w:rPr>
                <w:sz w:val="20"/>
              </w:rPr>
              <w:t>Mobile surgical services</w:t>
            </w:r>
          </w:p>
        </w:tc>
        <w:tc>
          <w:tcPr>
            <w:tcW w:w="5102" w:type="dxa"/>
          </w:tcPr>
          <w:p w:rsidR="002166B0" w:rsidRDefault="002166B0" w:rsidP="0087199A">
            <w:pPr>
              <w:pStyle w:val="Table-bodytext"/>
              <w:spacing w:after="140"/>
              <w:rPr>
                <w:sz w:val="20"/>
              </w:rPr>
            </w:pPr>
            <w:r>
              <w:rPr>
                <w:sz w:val="20"/>
              </w:rPr>
              <w:t xml:space="preserve">Elective day surgeries, provided in a mobile surgical bus, and provide to rural communities (unless otherwise agreed). </w:t>
            </w:r>
          </w:p>
          <w:p w:rsidR="00350CCA" w:rsidRDefault="00350CCA" w:rsidP="0087199A">
            <w:pPr>
              <w:pStyle w:val="Table-bodytext"/>
              <w:spacing w:after="140"/>
              <w:rPr>
                <w:sz w:val="20"/>
              </w:rPr>
            </w:pPr>
            <w:r>
              <w:rPr>
                <w:sz w:val="20"/>
              </w:rPr>
              <w:t xml:space="preserve">The procedures should aim to be from specialties and DHB areas where additional capacity is most needed to address inequalities in access to day surgery by rural populations. </w:t>
            </w:r>
          </w:p>
          <w:p w:rsidR="00350CCA" w:rsidRPr="002166B0" w:rsidRDefault="00350CCA" w:rsidP="0087199A">
            <w:pPr>
              <w:pStyle w:val="Table-bodytext"/>
              <w:spacing w:after="140"/>
              <w:rPr>
                <w:sz w:val="20"/>
              </w:rPr>
            </w:pPr>
            <w:r>
              <w:rPr>
                <w:sz w:val="20"/>
              </w:rPr>
              <w:t>The services must be able to link with existing health providers to ensure integration between mobile surgical services and existing health services.</w:t>
            </w:r>
          </w:p>
        </w:tc>
      </w:tr>
      <w:tr w:rsidR="002166B0" w:rsidTr="00850D3E">
        <w:trPr>
          <w:cantSplit/>
        </w:trPr>
        <w:tc>
          <w:tcPr>
            <w:tcW w:w="2835" w:type="dxa"/>
          </w:tcPr>
          <w:p w:rsidR="002166B0" w:rsidRPr="002166B0" w:rsidRDefault="0092068D" w:rsidP="002166B0">
            <w:pPr>
              <w:pStyle w:val="Table-bodytext"/>
              <w:rPr>
                <w:sz w:val="20"/>
              </w:rPr>
            </w:pPr>
            <w:r w:rsidRPr="0092068D">
              <w:rPr>
                <w:sz w:val="20"/>
              </w:rPr>
              <w:t>Rural health professional development services</w:t>
            </w:r>
          </w:p>
        </w:tc>
        <w:tc>
          <w:tcPr>
            <w:tcW w:w="5102" w:type="dxa"/>
          </w:tcPr>
          <w:p w:rsidR="003B7926" w:rsidRDefault="0092068D" w:rsidP="0087199A">
            <w:pPr>
              <w:pStyle w:val="Table-bodytext"/>
              <w:spacing w:after="140"/>
              <w:rPr>
                <w:sz w:val="20"/>
              </w:rPr>
            </w:pPr>
            <w:r>
              <w:rPr>
                <w:sz w:val="20"/>
              </w:rPr>
              <w:t xml:space="preserve">Professional development services to registered health practitioners servicing rural communities. </w:t>
            </w:r>
          </w:p>
          <w:p w:rsidR="0098584B" w:rsidRDefault="0098584B" w:rsidP="0087199A">
            <w:pPr>
              <w:pStyle w:val="Table-bodytext"/>
              <w:spacing w:after="140"/>
              <w:rPr>
                <w:sz w:val="20"/>
              </w:rPr>
            </w:pPr>
            <w:r>
              <w:rPr>
                <w:sz w:val="20"/>
              </w:rPr>
              <w:t>Surgical skill training to GPs and nurses.</w:t>
            </w:r>
          </w:p>
          <w:p w:rsidR="002166B0" w:rsidRPr="002166B0" w:rsidRDefault="0092068D" w:rsidP="0087199A">
            <w:pPr>
              <w:pStyle w:val="Table-bodytext"/>
              <w:spacing w:after="140"/>
              <w:rPr>
                <w:sz w:val="20"/>
              </w:rPr>
            </w:pPr>
            <w:r>
              <w:rPr>
                <w:sz w:val="20"/>
              </w:rPr>
              <w:t xml:space="preserve">The services must be </w:t>
            </w:r>
            <w:proofErr w:type="spellStart"/>
            <w:r>
              <w:rPr>
                <w:sz w:val="20"/>
              </w:rPr>
              <w:t>recognised</w:t>
            </w:r>
            <w:proofErr w:type="spellEnd"/>
            <w:r>
              <w:rPr>
                <w:sz w:val="20"/>
              </w:rPr>
              <w:t xml:space="preserve"> for continuing education purposes by the relevant registration authorities</w:t>
            </w:r>
            <w:r w:rsidR="0098584B">
              <w:rPr>
                <w:sz w:val="20"/>
              </w:rPr>
              <w:t xml:space="preserve"> </w:t>
            </w:r>
            <w:r>
              <w:rPr>
                <w:sz w:val="20"/>
              </w:rPr>
              <w:t>or contribute towards the achievement of a</w:t>
            </w:r>
            <w:r w:rsidR="0098584B">
              <w:rPr>
                <w:sz w:val="20"/>
              </w:rPr>
              <w:t>n</w:t>
            </w:r>
            <w:r>
              <w:rPr>
                <w:sz w:val="20"/>
              </w:rPr>
              <w:t xml:space="preserve"> </w:t>
            </w:r>
            <w:r w:rsidR="0098584B">
              <w:rPr>
                <w:sz w:val="20"/>
              </w:rPr>
              <w:t xml:space="preserve">accredited </w:t>
            </w:r>
            <w:r>
              <w:rPr>
                <w:sz w:val="20"/>
              </w:rPr>
              <w:t xml:space="preserve">qualification. </w:t>
            </w:r>
          </w:p>
        </w:tc>
      </w:tr>
      <w:tr w:rsidR="002166B0" w:rsidTr="00850D3E">
        <w:trPr>
          <w:cantSplit/>
        </w:trPr>
        <w:tc>
          <w:tcPr>
            <w:tcW w:w="2835" w:type="dxa"/>
          </w:tcPr>
          <w:p w:rsidR="002166B0" w:rsidRPr="002166B0" w:rsidRDefault="0092068D" w:rsidP="002166B0">
            <w:pPr>
              <w:pStyle w:val="Table-bodytext"/>
              <w:rPr>
                <w:sz w:val="20"/>
              </w:rPr>
            </w:pPr>
            <w:r w:rsidRPr="0092068D">
              <w:rPr>
                <w:sz w:val="20"/>
              </w:rPr>
              <w:t>Remote national and international collaboration services</w:t>
            </w:r>
          </w:p>
        </w:tc>
        <w:tc>
          <w:tcPr>
            <w:tcW w:w="5102" w:type="dxa"/>
          </w:tcPr>
          <w:p w:rsidR="00350CCA" w:rsidRDefault="0092068D" w:rsidP="0087199A">
            <w:pPr>
              <w:pStyle w:val="Table-bodytext"/>
              <w:spacing w:after="140"/>
              <w:rPr>
                <w:sz w:val="20"/>
              </w:rPr>
            </w:pPr>
            <w:r>
              <w:rPr>
                <w:sz w:val="20"/>
              </w:rPr>
              <w:t xml:space="preserve">National and/or international collaboration via remote linkages to provide clinical support and training and secondary and tertiary hospitals and educational institutions. </w:t>
            </w:r>
          </w:p>
          <w:p w:rsidR="002166B0" w:rsidRDefault="0092068D" w:rsidP="0087199A">
            <w:pPr>
              <w:pStyle w:val="Table-bodytext"/>
              <w:spacing w:after="140"/>
              <w:rPr>
                <w:sz w:val="20"/>
              </w:rPr>
            </w:pPr>
            <w:r>
              <w:rPr>
                <w:sz w:val="20"/>
              </w:rPr>
              <w:t>The linkages</w:t>
            </w:r>
            <w:r w:rsidR="00350CCA">
              <w:rPr>
                <w:sz w:val="20"/>
              </w:rPr>
              <w:t>,</w:t>
            </w:r>
            <w:r>
              <w:rPr>
                <w:sz w:val="20"/>
              </w:rPr>
              <w:t xml:space="preserve"> </w:t>
            </w:r>
            <w:r w:rsidR="00350CCA">
              <w:rPr>
                <w:sz w:val="20"/>
              </w:rPr>
              <w:t xml:space="preserve">via, telepresence technology, will allow surgical or medical teams access to expert assistance and the introduction of new ideas and technologies. </w:t>
            </w:r>
          </w:p>
          <w:p w:rsidR="00350CCA" w:rsidRPr="002166B0" w:rsidRDefault="00350CCA" w:rsidP="0087199A">
            <w:pPr>
              <w:pStyle w:val="Table-bodytext"/>
              <w:spacing w:after="140"/>
              <w:rPr>
                <w:sz w:val="20"/>
              </w:rPr>
            </w:pPr>
            <w:r>
              <w:rPr>
                <w:sz w:val="20"/>
              </w:rPr>
              <w:t xml:space="preserve">The linkages will provide remote location peer support that will enable surgical or medical teams working in one geographic location to be visually supervised or collaborate and interact with colleagues in another location. </w:t>
            </w:r>
          </w:p>
        </w:tc>
      </w:tr>
    </w:tbl>
    <w:p w:rsidR="002166B0" w:rsidRPr="002166B0" w:rsidRDefault="002166B0" w:rsidP="002166B0">
      <w:pPr>
        <w:pStyle w:val="Sourceinformation"/>
        <w:spacing w:before="120" w:after="100" w:afterAutospacing="1"/>
        <w:rPr>
          <w:sz w:val="20"/>
        </w:rPr>
      </w:pPr>
      <w:r w:rsidRPr="002166B0">
        <w:rPr>
          <w:b/>
          <w:sz w:val="20"/>
        </w:rPr>
        <w:t>Source:</w:t>
      </w:r>
      <w:r w:rsidRPr="002166B0">
        <w:rPr>
          <w:sz w:val="20"/>
        </w:rPr>
        <w:t xml:space="preserve"> Service contract 488412 / 308410-00</w:t>
      </w:r>
    </w:p>
    <w:p w:rsidR="002E766F" w:rsidRDefault="002E766F" w:rsidP="00E30739">
      <w:pPr>
        <w:pStyle w:val="UnnumtextBodytext"/>
      </w:pPr>
    </w:p>
    <w:p w:rsidR="004D5B11" w:rsidRDefault="006F4B6C" w:rsidP="00E30739">
      <w:pPr>
        <w:pStyle w:val="UnnumtextBodytext"/>
      </w:pPr>
      <w:r>
        <w:lastRenderedPageBreak/>
        <w:t>The</w:t>
      </w:r>
      <w:r w:rsidR="001B1955">
        <w:t xml:space="preserve"> contract</w:t>
      </w:r>
      <w:r>
        <w:t xml:space="preserve"> </w:t>
      </w:r>
      <w:r w:rsidR="001B1955">
        <w:t>specifies a series of service objectives</w:t>
      </w:r>
      <w:r w:rsidR="002E766F">
        <w:t>, n</w:t>
      </w:r>
      <w:r w:rsidR="001B1955">
        <w:t xml:space="preserve">amely, that MSS </w:t>
      </w:r>
      <w:r w:rsidR="0087199A">
        <w:t xml:space="preserve">Ltd </w:t>
      </w:r>
      <w:r w:rsidR="002E766F">
        <w:t xml:space="preserve">will </w:t>
      </w:r>
      <w:r w:rsidR="001B1955">
        <w:t>ensure that it:</w:t>
      </w:r>
    </w:p>
    <w:p w:rsidR="0092068D" w:rsidRDefault="0092068D" w:rsidP="0092068D">
      <w:pPr>
        <w:pStyle w:val="UnnumtextBullet1"/>
      </w:pPr>
      <w:r>
        <w:t xml:space="preserve">Offers timely and community based access to a wide range of day surgical procedures in rural communities, thereby improving access to elective surgery for patients in rural communities and assisting </w:t>
      </w:r>
      <w:r w:rsidR="0087199A">
        <w:t>d</w:t>
      </w:r>
      <w:r>
        <w:t xml:space="preserve">istrict </w:t>
      </w:r>
      <w:r w:rsidR="0087199A">
        <w:t>h</w:t>
      </w:r>
      <w:r>
        <w:t xml:space="preserve">ealth </w:t>
      </w:r>
      <w:r w:rsidR="0087199A">
        <w:t>b</w:t>
      </w:r>
      <w:r>
        <w:t>oards to meet their elective surgical services key performance indicators;</w:t>
      </w:r>
    </w:p>
    <w:p w:rsidR="0092068D" w:rsidRDefault="001B1955" w:rsidP="0092068D">
      <w:pPr>
        <w:pStyle w:val="UnnumtextBullet1"/>
      </w:pPr>
      <w:r>
        <w:t>Provides training and professional development to rural health practitioners to assist in:</w:t>
      </w:r>
    </w:p>
    <w:p w:rsidR="001B1955" w:rsidRDefault="001B1955" w:rsidP="001B1955">
      <w:pPr>
        <w:pStyle w:val="UnnumtextBullet2"/>
      </w:pPr>
      <w:r>
        <w:t>Improving health practitioners’ access to sur</w:t>
      </w:r>
      <w:r w:rsidR="002E766F">
        <w:t>gical and/or advanced skills</w:t>
      </w:r>
    </w:p>
    <w:p w:rsidR="001B1955" w:rsidRDefault="001B1955" w:rsidP="001B1955">
      <w:pPr>
        <w:pStyle w:val="UnnumtextBullet2"/>
      </w:pPr>
      <w:r>
        <w:t>Maintaining clinical and competency learning</w:t>
      </w:r>
    </w:p>
    <w:p w:rsidR="001B1955" w:rsidRDefault="001B1955" w:rsidP="001B1955">
      <w:pPr>
        <w:pStyle w:val="UnnumtextBullet2"/>
      </w:pPr>
      <w:r>
        <w:t>Enabling a more flexible workforce within relevant scopes of practice</w:t>
      </w:r>
      <w:r w:rsidR="002E766F">
        <w:t>,</w:t>
      </w:r>
      <w:r>
        <w:t xml:space="preserve"> and</w:t>
      </w:r>
    </w:p>
    <w:p w:rsidR="001B1955" w:rsidRDefault="001B1955" w:rsidP="001B1955">
      <w:pPr>
        <w:pStyle w:val="UnnumtextBullet2"/>
      </w:pPr>
      <w:r>
        <w:t>Reducing staff turnover;</w:t>
      </w:r>
    </w:p>
    <w:p w:rsidR="001B1955" w:rsidRDefault="001B1955" w:rsidP="001B1955">
      <w:pPr>
        <w:pStyle w:val="UnnumtextBullet1"/>
      </w:pPr>
      <w:r>
        <w:t>Supports maintenance and development or rural health services, and enhances the integration of primary health services with secondary care activities;</w:t>
      </w:r>
    </w:p>
    <w:p w:rsidR="001B1955" w:rsidRDefault="001B1955" w:rsidP="001B1955">
      <w:pPr>
        <w:pStyle w:val="UnnumtextBullet1"/>
      </w:pPr>
      <w:r>
        <w:t xml:space="preserve">Provides access to high-cost surgical equipment in rural communities at marginal cost;  </w:t>
      </w:r>
    </w:p>
    <w:p w:rsidR="001B1955" w:rsidRDefault="001B1955" w:rsidP="001D755B">
      <w:pPr>
        <w:pStyle w:val="UnnumtextBullet1"/>
        <w:spacing w:after="170"/>
      </w:pPr>
      <w:r>
        <w:t>Provides clinical support services for secondary and tertiary hospitals and educational institutions via remote linkages.</w:t>
      </w:r>
      <w:r>
        <w:rPr>
          <w:rStyle w:val="FootnoteReference"/>
        </w:rPr>
        <w:footnoteReference w:id="3"/>
      </w:r>
      <w:r>
        <w:t xml:space="preserve"> </w:t>
      </w:r>
    </w:p>
    <w:p w:rsidR="001D755B" w:rsidRDefault="001D755B" w:rsidP="001D755B">
      <w:pPr>
        <w:pStyle w:val="Heading2"/>
      </w:pPr>
      <w:bookmarkStart w:id="32" w:name="_Toc423945909"/>
      <w:r>
        <w:t>Funding</w:t>
      </w:r>
      <w:bookmarkEnd w:id="32"/>
      <w:r>
        <w:t xml:space="preserve"> </w:t>
      </w:r>
    </w:p>
    <w:p w:rsidR="001D755B" w:rsidRDefault="00E3695A" w:rsidP="002E766F">
      <w:pPr>
        <w:pStyle w:val="UnnumtextBodytext"/>
      </w:pPr>
      <w:r>
        <w:t>The current contract</w:t>
      </w:r>
      <w:r w:rsidR="0068235B">
        <w:t>, which</w:t>
      </w:r>
      <w:r>
        <w:t xml:space="preserve"> began </w:t>
      </w:r>
      <w:r w:rsidR="00605D28">
        <w:t xml:space="preserve">midway during </w:t>
      </w:r>
      <w:r>
        <w:t xml:space="preserve">2007/06 </w:t>
      </w:r>
      <w:r w:rsidR="008217F3">
        <w:t>as a five-year contract</w:t>
      </w:r>
      <w:r w:rsidR="0068235B">
        <w:t xml:space="preserve">, runs until </w:t>
      </w:r>
      <w:r w:rsidR="008217F3">
        <w:t xml:space="preserve">2014/15. </w:t>
      </w:r>
      <w:r w:rsidR="000253C5">
        <w:t>Annual f</w:t>
      </w:r>
      <w:r w:rsidR="005D2D3E">
        <w:t xml:space="preserve">unding </w:t>
      </w:r>
      <w:r w:rsidR="0068235B">
        <w:t xml:space="preserve">is </w:t>
      </w:r>
      <w:r w:rsidR="008217F3">
        <w:t xml:space="preserve">set at $5.6 million, with the </w:t>
      </w:r>
      <w:r w:rsidR="0068235B">
        <w:t xml:space="preserve">main </w:t>
      </w:r>
      <w:r w:rsidR="008217F3">
        <w:t>changes being an increase of $61,000 in 2010/11 and a reallocation of $500,000 to the mobile surgical component</w:t>
      </w:r>
      <w:r w:rsidR="0068235B">
        <w:t>.</w:t>
      </w:r>
      <w:r>
        <w:t xml:space="preserve"> </w:t>
      </w:r>
      <w:r w:rsidR="00BB2763">
        <w:t>The m</w:t>
      </w:r>
      <w:r w:rsidR="001D755B">
        <w:t>obile surg</w:t>
      </w:r>
      <w:r w:rsidR="00BB2763">
        <w:t xml:space="preserve">ical service </w:t>
      </w:r>
      <w:r w:rsidR="0068235B">
        <w:t>is allocated $4 million (71%), with $1.44 million (25%) for r</w:t>
      </w:r>
      <w:r w:rsidR="001D755B">
        <w:t xml:space="preserve">ural </w:t>
      </w:r>
      <w:r w:rsidR="00BB2763">
        <w:t xml:space="preserve">health </w:t>
      </w:r>
      <w:r w:rsidR="001D755B">
        <w:t xml:space="preserve">professional development </w:t>
      </w:r>
      <w:r w:rsidR="0068235B">
        <w:t>and $222,000 (4%) for r</w:t>
      </w:r>
      <w:r w:rsidR="001D755B">
        <w:t>emote collaboration</w:t>
      </w:r>
      <w:r w:rsidR="00BB2763">
        <w:t xml:space="preserve"> services</w:t>
      </w:r>
      <w:r w:rsidR="0068235B">
        <w:t>.</w:t>
      </w:r>
    </w:p>
    <w:p w:rsidR="00850D3E" w:rsidRDefault="00850D3E" w:rsidP="00550C47">
      <w:pPr>
        <w:pStyle w:val="Caption"/>
        <w:spacing w:before="120" w:after="100"/>
      </w:pPr>
      <w:bookmarkStart w:id="33" w:name="_Ref377127562"/>
      <w:bookmarkStart w:id="34" w:name="_Toc380597834"/>
      <w:bookmarkStart w:id="35" w:name="_Toc380605794"/>
      <w:bookmarkStart w:id="36" w:name="_Toc423945980"/>
      <w:r>
        <w:t xml:space="preserve">Figure </w:t>
      </w:r>
      <w:fldSimple w:instr=" SEQ Figure \* ARABIC ">
        <w:r w:rsidR="00CA314A">
          <w:rPr>
            <w:noProof/>
          </w:rPr>
          <w:t>1</w:t>
        </w:r>
      </w:fldSimple>
      <w:bookmarkEnd w:id="33"/>
      <w:r>
        <w:rPr>
          <w:noProof/>
        </w:rPr>
        <w:t>:</w:t>
      </w:r>
      <w:r>
        <w:t xml:space="preserve"> Funding</w:t>
      </w:r>
      <w:r w:rsidR="003B7926">
        <w:t xml:space="preserve"> </w:t>
      </w:r>
      <w:r>
        <w:t xml:space="preserve">by service component, </w:t>
      </w:r>
      <w:r w:rsidR="006E6973">
        <w:t>2006/0</w:t>
      </w:r>
      <w:r w:rsidR="005F245A">
        <w:t>7</w:t>
      </w:r>
      <w:r w:rsidR="006E6973">
        <w:t xml:space="preserve"> – </w:t>
      </w:r>
      <w:r>
        <w:t>201</w:t>
      </w:r>
      <w:r w:rsidR="006E6973">
        <w:t>4</w:t>
      </w:r>
      <w:r>
        <w:t>/1</w:t>
      </w:r>
      <w:bookmarkEnd w:id="34"/>
      <w:bookmarkEnd w:id="35"/>
      <w:r w:rsidR="006E6973">
        <w:t>5</w:t>
      </w:r>
      <w:bookmarkEnd w:id="36"/>
    </w:p>
    <w:p w:rsidR="00850D3E" w:rsidRDefault="00605D28" w:rsidP="00D56B53">
      <w:pPr>
        <w:pStyle w:val="Sourceinformation"/>
        <w:spacing w:after="40"/>
        <w:ind w:hanging="56"/>
        <w:rPr>
          <w:b/>
          <w:sz w:val="20"/>
        </w:rPr>
      </w:pPr>
      <w:r>
        <w:rPr>
          <w:noProof/>
          <w:lang w:val="en-NZ" w:eastAsia="en-NZ"/>
        </w:rPr>
        <w:drawing>
          <wp:inline distT="0" distB="0" distL="0" distR="0" wp14:anchorId="24219D18" wp14:editId="38947A23">
            <wp:extent cx="5143500" cy="2657475"/>
            <wp:effectExtent l="0" t="0" r="0" b="0"/>
            <wp:docPr id="10" name="Chart 10" title="Figure 1: Funding by service component, 2006/07 –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50D3E" w:rsidRPr="00850D3E" w:rsidRDefault="00850D3E" w:rsidP="002E766F">
      <w:pPr>
        <w:pStyle w:val="Sourceinformation"/>
        <w:spacing w:before="120" w:after="0"/>
        <w:rPr>
          <w:sz w:val="20"/>
        </w:rPr>
      </w:pPr>
      <w:r w:rsidRPr="00850D3E">
        <w:rPr>
          <w:b/>
          <w:sz w:val="20"/>
        </w:rPr>
        <w:t>Source:</w:t>
      </w:r>
      <w:r w:rsidRPr="00850D3E">
        <w:rPr>
          <w:sz w:val="20"/>
        </w:rPr>
        <w:t xml:space="preserve"> Service contract and contract variations</w:t>
      </w:r>
    </w:p>
    <w:p w:rsidR="001333D0" w:rsidRDefault="001333D0" w:rsidP="001333D0">
      <w:pPr>
        <w:pStyle w:val="Heading1"/>
      </w:pPr>
      <w:bookmarkStart w:id="37" w:name="_Toc423945910"/>
      <w:r>
        <w:lastRenderedPageBreak/>
        <w:t>Our approach</w:t>
      </w:r>
      <w:r w:rsidR="00671074">
        <w:t xml:space="preserve"> to the review</w:t>
      </w:r>
      <w:bookmarkEnd w:id="37"/>
    </w:p>
    <w:p w:rsidR="001333D0" w:rsidRDefault="00F96380" w:rsidP="001333D0">
      <w:pPr>
        <w:pStyle w:val="UnnumtextBodytext"/>
      </w:pPr>
      <w:r>
        <w:t>The review</w:t>
      </w:r>
      <w:r w:rsidR="0098584B">
        <w:t xml:space="preserve"> was conducted over the period </w:t>
      </w:r>
      <w:r>
        <w:t xml:space="preserve">December 2013 to February 2014. </w:t>
      </w:r>
      <w:r w:rsidR="00C51C01">
        <w:t xml:space="preserve">We </w:t>
      </w:r>
      <w:r w:rsidR="001333D0">
        <w:t>employ</w:t>
      </w:r>
      <w:r w:rsidR="00AC54F9">
        <w:t>ed a</w:t>
      </w:r>
      <w:r w:rsidR="001333D0">
        <w:t xml:space="preserve"> </w:t>
      </w:r>
      <w:r w:rsidR="00AC54F9">
        <w:t xml:space="preserve">range of qualitative and quantitative research </w:t>
      </w:r>
      <w:r w:rsidR="001333D0">
        <w:t>methods</w:t>
      </w:r>
      <w:r w:rsidR="00C51C01">
        <w:t>, as follows</w:t>
      </w:r>
      <w:r w:rsidR="001333D0">
        <w:t>:</w:t>
      </w:r>
    </w:p>
    <w:p w:rsidR="00C51C01" w:rsidRDefault="00C51C01" w:rsidP="00C51C01">
      <w:pPr>
        <w:pStyle w:val="UnnumtextBullet1"/>
        <w:spacing w:after="170"/>
      </w:pPr>
      <w:r>
        <w:t>a</w:t>
      </w:r>
      <w:r w:rsidR="001333D0">
        <w:t xml:space="preserve"> targeted review of </w:t>
      </w:r>
      <w:r>
        <w:t xml:space="preserve">key </w:t>
      </w:r>
      <w:r w:rsidR="001333D0">
        <w:t>publications and relevant background documentation;</w:t>
      </w:r>
    </w:p>
    <w:p w:rsidR="000A79D7" w:rsidRDefault="000A79D7" w:rsidP="00D77A06">
      <w:pPr>
        <w:pStyle w:val="UnnumtextBullet1"/>
        <w:spacing w:after="80"/>
      </w:pPr>
      <w:r>
        <w:t>a series of site visits including:</w:t>
      </w:r>
    </w:p>
    <w:p w:rsidR="00DF5FB4" w:rsidRDefault="00C51C01" w:rsidP="00D77A06">
      <w:pPr>
        <w:pStyle w:val="UnnumtextBullet2"/>
        <w:spacing w:after="80"/>
      </w:pPr>
      <w:proofErr w:type="gramStart"/>
      <w:r>
        <w:t>a</w:t>
      </w:r>
      <w:proofErr w:type="gramEnd"/>
      <w:r>
        <w:t xml:space="preserve"> </w:t>
      </w:r>
      <w:r w:rsidR="000A79D7">
        <w:t>day</w:t>
      </w:r>
      <w:r w:rsidR="001333D0">
        <w:t xml:space="preserve"> with the provider, Mobile Surgical Ser</w:t>
      </w:r>
      <w:r w:rsidR="00DF5FB4">
        <w:t>vices Ltd, at their premises in Christchurch</w:t>
      </w:r>
      <w:r w:rsidR="000A79D7">
        <w:t xml:space="preserve">. </w:t>
      </w:r>
      <w:r w:rsidR="00714813">
        <w:t xml:space="preserve">In addition to </w:t>
      </w:r>
      <w:r w:rsidR="00B45C09">
        <w:t xml:space="preserve">staff </w:t>
      </w:r>
      <w:r w:rsidR="000A79D7">
        <w:t>interviews and presentations, th</w:t>
      </w:r>
      <w:r w:rsidR="00843A47">
        <w:t xml:space="preserve">e visit </w:t>
      </w:r>
      <w:r w:rsidR="000A79D7">
        <w:t xml:space="preserve">included tele-presence </w:t>
      </w:r>
      <w:r w:rsidR="00714813">
        <w:t xml:space="preserve">interviews with managerial staff at </w:t>
      </w:r>
      <w:proofErr w:type="spellStart"/>
      <w:r w:rsidR="00714813">
        <w:t>Te</w:t>
      </w:r>
      <w:proofErr w:type="spellEnd"/>
      <w:r w:rsidR="00714813">
        <w:t xml:space="preserve"> </w:t>
      </w:r>
      <w:proofErr w:type="spellStart"/>
      <w:r w:rsidR="00714813">
        <w:t>Puia</w:t>
      </w:r>
      <w:proofErr w:type="spellEnd"/>
      <w:r w:rsidR="00714813">
        <w:t xml:space="preserve"> Hospital and </w:t>
      </w:r>
      <w:proofErr w:type="spellStart"/>
      <w:r w:rsidR="00714813">
        <w:t>Dannevirke</w:t>
      </w:r>
      <w:proofErr w:type="spellEnd"/>
      <w:r w:rsidR="00714813">
        <w:t xml:space="preserve"> Community Hospital, and </w:t>
      </w:r>
      <w:r w:rsidR="00843A47">
        <w:t xml:space="preserve">an </w:t>
      </w:r>
      <w:r w:rsidR="00714813">
        <w:t>observation of a tele-presence tutorial in action</w:t>
      </w:r>
      <w:r w:rsidR="00DF5FB4">
        <w:t>;</w:t>
      </w:r>
    </w:p>
    <w:p w:rsidR="000A79D7" w:rsidRDefault="00843A47" w:rsidP="00D77A06">
      <w:pPr>
        <w:pStyle w:val="UnnumtextBullet2"/>
        <w:spacing w:after="170"/>
      </w:pPr>
      <w:proofErr w:type="gramStart"/>
      <w:r>
        <w:t>visits</w:t>
      </w:r>
      <w:proofErr w:type="gramEnd"/>
      <w:r>
        <w:t xml:space="preserve"> to four r</w:t>
      </w:r>
      <w:r w:rsidR="000A79D7">
        <w:t>ural hospital</w:t>
      </w:r>
      <w:r w:rsidR="00714813">
        <w:t>s</w:t>
      </w:r>
      <w:r w:rsidR="00C51C01">
        <w:t xml:space="preserve"> that </w:t>
      </w:r>
      <w:r w:rsidR="001333D0">
        <w:t xml:space="preserve">host </w:t>
      </w:r>
      <w:r>
        <w:t xml:space="preserve">the </w:t>
      </w:r>
      <w:r w:rsidR="001333D0">
        <w:t xml:space="preserve">mobile surgical </w:t>
      </w:r>
      <w:r>
        <w:t xml:space="preserve">and education </w:t>
      </w:r>
      <w:r w:rsidR="001333D0">
        <w:t>service</w:t>
      </w:r>
      <w:r w:rsidR="00DF5FB4">
        <w:t>s</w:t>
      </w:r>
      <w:r>
        <w:t xml:space="preserve"> – </w:t>
      </w:r>
      <w:proofErr w:type="spellStart"/>
      <w:r w:rsidR="00C51C01">
        <w:t>Dargaville</w:t>
      </w:r>
      <w:proofErr w:type="spellEnd"/>
      <w:r w:rsidR="00C51C01">
        <w:t xml:space="preserve"> Hospital (Northland DHB), </w:t>
      </w:r>
      <w:proofErr w:type="spellStart"/>
      <w:r w:rsidR="00C51C01">
        <w:t>Pukekohe</w:t>
      </w:r>
      <w:proofErr w:type="spellEnd"/>
      <w:r w:rsidR="00C51C01">
        <w:t xml:space="preserve"> Hospital (Counties </w:t>
      </w:r>
      <w:proofErr w:type="spellStart"/>
      <w:r w:rsidR="00C51C01">
        <w:t>Manukau</w:t>
      </w:r>
      <w:proofErr w:type="spellEnd"/>
      <w:r w:rsidR="00C51C01">
        <w:t xml:space="preserve"> DHB), and Gore</w:t>
      </w:r>
      <w:r w:rsidR="00DF5FB4">
        <w:t xml:space="preserve"> </w:t>
      </w:r>
      <w:r>
        <w:t xml:space="preserve">and </w:t>
      </w:r>
      <w:proofErr w:type="spellStart"/>
      <w:r>
        <w:t>Oamaru</w:t>
      </w:r>
      <w:proofErr w:type="spellEnd"/>
      <w:r>
        <w:t xml:space="preserve"> Hospital</w:t>
      </w:r>
      <w:r w:rsidR="00DD4BC5">
        <w:t>s</w:t>
      </w:r>
      <w:r w:rsidR="000A79D7">
        <w:t xml:space="preserve"> </w:t>
      </w:r>
      <w:r w:rsidR="00C51C01">
        <w:t>(Southern DHB)</w:t>
      </w:r>
      <w:r>
        <w:t xml:space="preserve">. The </w:t>
      </w:r>
      <w:r w:rsidR="000A79D7">
        <w:t xml:space="preserve">visit to </w:t>
      </w:r>
      <w:proofErr w:type="spellStart"/>
      <w:r w:rsidR="000A79D7">
        <w:t>Oamaru</w:t>
      </w:r>
      <w:proofErr w:type="spellEnd"/>
      <w:r w:rsidR="000A79D7">
        <w:t xml:space="preserve"> Hospital </w:t>
      </w:r>
      <w:r>
        <w:t xml:space="preserve">allowed for an </w:t>
      </w:r>
      <w:r w:rsidR="000A79D7">
        <w:t>observ</w:t>
      </w:r>
      <w:r>
        <w:t>ation of</w:t>
      </w:r>
      <w:r w:rsidR="000A79D7">
        <w:t xml:space="preserve"> the mobile surgical unit in action; </w:t>
      </w:r>
    </w:p>
    <w:p w:rsidR="00C51C01" w:rsidRDefault="001333D0" w:rsidP="00C51C01">
      <w:pPr>
        <w:pStyle w:val="UnnumtextBullet1"/>
        <w:spacing w:after="170"/>
      </w:pPr>
      <w:r>
        <w:t>interviews</w:t>
      </w:r>
      <w:r w:rsidR="00784BA4">
        <w:t xml:space="preserve"> </w:t>
      </w:r>
      <w:r>
        <w:t xml:space="preserve">with </w:t>
      </w:r>
      <w:r w:rsidR="00843A47">
        <w:t xml:space="preserve">a range of stakeholders, including </w:t>
      </w:r>
      <w:r w:rsidRPr="000E4059">
        <w:t xml:space="preserve">clinical staff </w:t>
      </w:r>
      <w:r w:rsidR="00843A47" w:rsidRPr="000E4059">
        <w:t xml:space="preserve">delivering the services, </w:t>
      </w:r>
      <w:r w:rsidRPr="000E4059">
        <w:t>participa</w:t>
      </w:r>
      <w:r w:rsidR="007C4ACC" w:rsidRPr="000E4059">
        <w:t>n</w:t>
      </w:r>
      <w:r w:rsidRPr="000E4059">
        <w:t>t</w:t>
      </w:r>
      <w:r w:rsidR="007C4ACC" w:rsidRPr="000E4059">
        <w:t>s</w:t>
      </w:r>
      <w:r w:rsidR="00843A47" w:rsidRPr="000E4059">
        <w:t xml:space="preserve"> in </w:t>
      </w:r>
      <w:r w:rsidR="007C4ACC" w:rsidRPr="000E4059">
        <w:t xml:space="preserve">education sessions, </w:t>
      </w:r>
      <w:r w:rsidR="000E4059" w:rsidRPr="000E4059">
        <w:t>rural hospital managers</w:t>
      </w:r>
      <w:r w:rsidR="00784BA4">
        <w:t xml:space="preserve"> and administrators</w:t>
      </w:r>
      <w:r w:rsidR="000E4059" w:rsidRPr="000E4059">
        <w:t xml:space="preserve">, </w:t>
      </w:r>
      <w:r w:rsidRPr="000E4059">
        <w:t xml:space="preserve">DHB </w:t>
      </w:r>
      <w:r w:rsidR="00784BA4">
        <w:t>service managers and coordinators,</w:t>
      </w:r>
      <w:r w:rsidRPr="000E4059">
        <w:t xml:space="preserve"> </w:t>
      </w:r>
      <w:r w:rsidR="00784BA4">
        <w:t>general practitioners, a</w:t>
      </w:r>
      <w:r w:rsidR="000E4059" w:rsidRPr="000E4059">
        <w:t xml:space="preserve"> </w:t>
      </w:r>
      <w:proofErr w:type="spellStart"/>
      <w:r w:rsidR="000E4059" w:rsidRPr="000E4059">
        <w:t>hauora</w:t>
      </w:r>
      <w:proofErr w:type="spellEnd"/>
      <w:r w:rsidR="000E4059" w:rsidRPr="000E4059">
        <w:t xml:space="preserve"> </w:t>
      </w:r>
      <w:r w:rsidR="00784BA4">
        <w:t xml:space="preserve">provider, educators </w:t>
      </w:r>
      <w:r w:rsidRPr="000E4059">
        <w:t>and community group representatives</w:t>
      </w:r>
      <w:r w:rsidR="002D75AB">
        <w:t>;.</w:t>
      </w:r>
    </w:p>
    <w:p w:rsidR="00EA56ED" w:rsidRDefault="00784BA4" w:rsidP="00C51C01">
      <w:pPr>
        <w:pStyle w:val="UnnumtextBullet1"/>
        <w:spacing w:after="170"/>
      </w:pPr>
      <w:r>
        <w:t xml:space="preserve">sampling patient </w:t>
      </w:r>
      <w:r w:rsidR="00EA56ED">
        <w:t xml:space="preserve">views </w:t>
      </w:r>
      <w:r>
        <w:t xml:space="preserve">of </w:t>
      </w:r>
      <w:r w:rsidR="00EA56ED">
        <w:t>the mobile surg</w:t>
      </w:r>
      <w:r>
        <w:t xml:space="preserve">ical </w:t>
      </w:r>
      <w:r w:rsidR="00EA56ED">
        <w:t>servic</w:t>
      </w:r>
      <w:r>
        <w:t>e</w:t>
      </w:r>
      <w:r w:rsidR="00EA56ED">
        <w:t xml:space="preserve"> using a combination of </w:t>
      </w:r>
      <w:r>
        <w:t xml:space="preserve">telephone interviews, </w:t>
      </w:r>
      <w:r w:rsidR="00EA56ED">
        <w:t xml:space="preserve">a mailed-out </w:t>
      </w:r>
      <w:r w:rsidR="00871518">
        <w:t>questionnaire</w:t>
      </w:r>
      <w:r w:rsidR="0098584B">
        <w:t xml:space="preserve">, </w:t>
      </w:r>
      <w:r w:rsidR="00EA56ED">
        <w:t>and</w:t>
      </w:r>
      <w:r w:rsidR="00EC753A">
        <w:t xml:space="preserve"> </w:t>
      </w:r>
      <w:r w:rsidR="00EA56ED">
        <w:t xml:space="preserve">patient feedback forms held by the provider; </w:t>
      </w:r>
    </w:p>
    <w:p w:rsidR="002D75AB" w:rsidRDefault="002D75AB" w:rsidP="00C51C01">
      <w:pPr>
        <w:pStyle w:val="UnnumtextBullet1"/>
        <w:spacing w:after="170"/>
      </w:pPr>
      <w:r>
        <w:t>a small number of opportunistic conversations with clinical and non-clinical staff in the health sector to hear their impressions of the mobile surgical service;</w:t>
      </w:r>
    </w:p>
    <w:p w:rsidR="00C51C01" w:rsidRDefault="00DF5FB4" w:rsidP="00C51C01">
      <w:pPr>
        <w:pStyle w:val="UnnumtextBullet1"/>
        <w:spacing w:after="170"/>
      </w:pPr>
      <w:r>
        <w:t xml:space="preserve">analysis of </w:t>
      </w:r>
      <w:r w:rsidR="001333D0">
        <w:t xml:space="preserve">service delivery data, including the volume and mix of </w:t>
      </w:r>
      <w:r>
        <w:t xml:space="preserve">surgical </w:t>
      </w:r>
      <w:r w:rsidR="001333D0">
        <w:t xml:space="preserve">procedures </w:t>
      </w:r>
      <w:r>
        <w:t xml:space="preserve">and </w:t>
      </w:r>
      <w:r w:rsidR="001333D0">
        <w:t xml:space="preserve">the demographic characteristics of the patients; </w:t>
      </w:r>
      <w:r w:rsidR="00D77A06">
        <w:t>and</w:t>
      </w:r>
    </w:p>
    <w:p w:rsidR="001333D0" w:rsidRDefault="0098584B" w:rsidP="00D77A06">
      <w:pPr>
        <w:pStyle w:val="UnnumtextBullet1"/>
        <w:spacing w:after="170"/>
      </w:pPr>
      <w:proofErr w:type="gramStart"/>
      <w:r>
        <w:t>analysis</w:t>
      </w:r>
      <w:proofErr w:type="gramEnd"/>
      <w:r>
        <w:t xml:space="preserve"> of </w:t>
      </w:r>
      <w:r w:rsidR="00D77A06">
        <w:t xml:space="preserve">available </w:t>
      </w:r>
      <w:r>
        <w:t>financial data associated with the services</w:t>
      </w:r>
      <w:r w:rsidR="00D77A06">
        <w:t xml:space="preserve"> with the aim of obtaining insights into the </w:t>
      </w:r>
      <w:r w:rsidR="00784BA4">
        <w:t xml:space="preserve">relative </w:t>
      </w:r>
      <w:r w:rsidR="00D77A06">
        <w:t>cost-effectiveness</w:t>
      </w:r>
      <w:r w:rsidR="001333D0" w:rsidRPr="00833184">
        <w:t xml:space="preserve"> of the </w:t>
      </w:r>
      <w:r w:rsidR="00784BA4">
        <w:t>mobile surgical</w:t>
      </w:r>
      <w:r w:rsidR="001333D0" w:rsidRPr="00833184">
        <w:t xml:space="preserve"> service</w:t>
      </w:r>
      <w:r w:rsidR="001333D0">
        <w:t>.</w:t>
      </w:r>
    </w:p>
    <w:p w:rsidR="001333D0" w:rsidRDefault="00EC753A" w:rsidP="001333D0">
      <w:pPr>
        <w:pStyle w:val="Heading2"/>
      </w:pPr>
      <w:bookmarkStart w:id="38" w:name="_Toc423945911"/>
      <w:r>
        <w:t>Qualitative approaches</w:t>
      </w:r>
      <w:bookmarkEnd w:id="38"/>
      <w:r w:rsidR="001333D0">
        <w:t xml:space="preserve"> </w:t>
      </w:r>
    </w:p>
    <w:p w:rsidR="00EC753A" w:rsidRDefault="00EC753A" w:rsidP="00EC753A">
      <w:pPr>
        <w:pStyle w:val="Heading3"/>
      </w:pPr>
      <w:bookmarkStart w:id="39" w:name="_Toc423945912"/>
      <w:r>
        <w:t>Stakeholder interviews</w:t>
      </w:r>
      <w:bookmarkEnd w:id="39"/>
      <w:r>
        <w:t xml:space="preserve"> </w:t>
      </w:r>
    </w:p>
    <w:p w:rsidR="00D8516A" w:rsidRDefault="0003251F" w:rsidP="00A44303">
      <w:pPr>
        <w:pStyle w:val="UnnumtextBodytext"/>
      </w:pPr>
      <w:r>
        <w:t xml:space="preserve">We </w:t>
      </w:r>
      <w:r w:rsidR="00A44303">
        <w:t xml:space="preserve">conducted </w:t>
      </w:r>
      <w:r w:rsidR="001333D0">
        <w:t xml:space="preserve">interviews with </w:t>
      </w:r>
      <w:r w:rsidR="00A44303">
        <w:t>3</w:t>
      </w:r>
      <w:r w:rsidR="00B749E6">
        <w:t>4</w:t>
      </w:r>
      <w:r w:rsidR="00A44303">
        <w:t xml:space="preserve"> </w:t>
      </w:r>
      <w:r w:rsidR="001333D0">
        <w:t>stakeholders</w:t>
      </w:r>
      <w:r w:rsidR="00A44303">
        <w:t xml:space="preserve">, selected from a </w:t>
      </w:r>
      <w:r w:rsidR="00EC18AC">
        <w:t xml:space="preserve">lengthy </w:t>
      </w:r>
      <w:r w:rsidR="00A44303">
        <w:t xml:space="preserve">list of </w:t>
      </w:r>
      <w:r w:rsidR="00EC18AC">
        <w:t xml:space="preserve">sector </w:t>
      </w:r>
      <w:r w:rsidR="00A44303">
        <w:t>contacts supplied by the provider.</w:t>
      </w:r>
      <w:r w:rsidR="00A44303" w:rsidRPr="00A44303">
        <w:t xml:space="preserve"> </w:t>
      </w:r>
      <w:r w:rsidR="00A44303">
        <w:t xml:space="preserve">In some cases, we were referred on to other relevant stakeholders. In selecting the interviewees, we sought to gain a mix of clinical, managerial, and community representatives </w:t>
      </w:r>
      <w:r w:rsidR="00D8516A">
        <w:t xml:space="preserve">from a range of districts. </w:t>
      </w:r>
      <w:r w:rsidR="001458F9">
        <w:t xml:space="preserve">In particular, we sought out clinical and managerial perspectives on the quality and safety of the mobile surgical services and the appropriateness of the service mix. </w:t>
      </w:r>
      <w:r w:rsidR="00D8516A">
        <w:t>We were also guided b</w:t>
      </w:r>
      <w:r w:rsidR="00A44303">
        <w:t xml:space="preserve">y </w:t>
      </w:r>
      <w:r w:rsidR="00D8516A">
        <w:t xml:space="preserve">a set of pre-agreed selection </w:t>
      </w:r>
      <w:r w:rsidR="00A44303">
        <w:t>criteria</w:t>
      </w:r>
      <w:r w:rsidR="00D8516A">
        <w:t>, namely:</w:t>
      </w:r>
    </w:p>
    <w:p w:rsidR="00D8516A" w:rsidRPr="00D8516A" w:rsidRDefault="00A44303" w:rsidP="002D75AB">
      <w:pPr>
        <w:pStyle w:val="UnnumtextBullet1"/>
        <w:spacing w:after="80"/>
      </w:pPr>
      <w:r w:rsidRPr="00D8516A">
        <w:rPr>
          <w:iCs/>
        </w:rPr>
        <w:t xml:space="preserve">direct experience </w:t>
      </w:r>
      <w:r w:rsidR="00D8516A">
        <w:t xml:space="preserve">– </w:t>
      </w:r>
      <w:r w:rsidRPr="00D8516A">
        <w:t>the individual has di</w:t>
      </w:r>
      <w:r w:rsidR="00D8516A">
        <w:t xml:space="preserve">rect experience of the </w:t>
      </w:r>
      <w:r w:rsidRPr="00D8516A">
        <w:t xml:space="preserve">service; </w:t>
      </w:r>
    </w:p>
    <w:p w:rsidR="00D8516A" w:rsidRPr="00D8516A" w:rsidRDefault="00A44303" w:rsidP="002D75AB">
      <w:pPr>
        <w:pStyle w:val="UnnumtextBullet1"/>
        <w:spacing w:after="80"/>
      </w:pPr>
      <w:r w:rsidRPr="00D8516A">
        <w:rPr>
          <w:iCs/>
        </w:rPr>
        <w:t xml:space="preserve">sufficient mandate </w:t>
      </w:r>
      <w:r w:rsidR="00D8516A">
        <w:t xml:space="preserve">– </w:t>
      </w:r>
      <w:r w:rsidRPr="00D8516A">
        <w:t xml:space="preserve">the individual has a mandate to represent the views of others; and </w:t>
      </w:r>
    </w:p>
    <w:p w:rsidR="00A44303" w:rsidRPr="00D8516A" w:rsidRDefault="00A44303" w:rsidP="002D75AB">
      <w:pPr>
        <w:pStyle w:val="UnnumtextBullet1"/>
        <w:spacing w:after="80"/>
      </w:pPr>
      <w:proofErr w:type="gramStart"/>
      <w:r w:rsidRPr="00D8516A">
        <w:rPr>
          <w:iCs/>
        </w:rPr>
        <w:t>alternative</w:t>
      </w:r>
      <w:proofErr w:type="gramEnd"/>
      <w:r w:rsidRPr="00D8516A">
        <w:rPr>
          <w:iCs/>
        </w:rPr>
        <w:t xml:space="preserve"> views </w:t>
      </w:r>
      <w:r w:rsidR="00D8516A">
        <w:t xml:space="preserve">– </w:t>
      </w:r>
      <w:r w:rsidRPr="00D8516A">
        <w:t>the individual is likely to offer a min</w:t>
      </w:r>
      <w:r w:rsidR="00D8516A">
        <w:t>ority or seldom-heard viewpoint</w:t>
      </w:r>
      <w:r w:rsidRPr="00D8516A">
        <w:t xml:space="preserve">. </w:t>
      </w:r>
    </w:p>
    <w:p w:rsidR="001333D0" w:rsidRDefault="0003251F" w:rsidP="001333D0">
      <w:pPr>
        <w:pStyle w:val="UnnumtextBodytext"/>
      </w:pPr>
      <w:r>
        <w:lastRenderedPageBreak/>
        <w:t xml:space="preserve">The interviews were </w:t>
      </w:r>
      <w:r w:rsidR="001333D0">
        <w:t>‘</w:t>
      </w:r>
      <w:r>
        <w:t>s</w:t>
      </w:r>
      <w:r w:rsidR="001333D0">
        <w:t>emi-structured’</w:t>
      </w:r>
      <w:r>
        <w:t xml:space="preserve"> in that </w:t>
      </w:r>
      <w:r w:rsidR="001333D0">
        <w:t xml:space="preserve">we </w:t>
      </w:r>
      <w:r w:rsidR="00D8516A">
        <w:t xml:space="preserve">were guided by </w:t>
      </w:r>
      <w:r w:rsidR="00672226">
        <w:t xml:space="preserve">some </w:t>
      </w:r>
      <w:r w:rsidR="001333D0">
        <w:t>standard questions, while also allowing interviewees enough space to convey their points in their own way.</w:t>
      </w:r>
      <w:r w:rsidR="00D77A06">
        <w:t xml:space="preserve"> </w:t>
      </w:r>
      <w:r w:rsidR="001333D0">
        <w:t>Our approach involve</w:t>
      </w:r>
      <w:r w:rsidR="00D8516A">
        <w:t>d</w:t>
      </w:r>
      <w:r w:rsidR="001333D0">
        <w:t xml:space="preserve"> the following steps:</w:t>
      </w:r>
    </w:p>
    <w:p w:rsidR="001333D0" w:rsidRDefault="00D8516A" w:rsidP="00D8516A">
      <w:pPr>
        <w:pStyle w:val="UnnumtextBullet1"/>
        <w:spacing w:after="80"/>
      </w:pPr>
      <w:r>
        <w:t>d</w:t>
      </w:r>
      <w:r w:rsidR="001333D0">
        <w:t xml:space="preserve">evelop sets of </w:t>
      </w:r>
      <w:proofErr w:type="spellStart"/>
      <w:r w:rsidR="001333D0">
        <w:t>standardised</w:t>
      </w:r>
      <w:proofErr w:type="spellEnd"/>
      <w:r w:rsidR="001333D0">
        <w:t xml:space="preserve"> questions to guide the interviews</w:t>
      </w:r>
      <w:r w:rsidR="00D77A06">
        <w:t>;</w:t>
      </w:r>
    </w:p>
    <w:p w:rsidR="001333D0" w:rsidRDefault="00D8516A" w:rsidP="00D8516A">
      <w:pPr>
        <w:pStyle w:val="UnnumtextBullet1"/>
        <w:spacing w:after="80"/>
      </w:pPr>
      <w:r>
        <w:t>v</w:t>
      </w:r>
      <w:r w:rsidR="001333D0">
        <w:t>alidate interview notes by reflecting back to the interviewee;</w:t>
      </w:r>
    </w:p>
    <w:p w:rsidR="001333D0" w:rsidRDefault="00D8516A" w:rsidP="00D8516A">
      <w:pPr>
        <w:pStyle w:val="UnnumtextBullet1"/>
        <w:spacing w:after="80"/>
      </w:pPr>
      <w:r>
        <w:t>c</w:t>
      </w:r>
      <w:r w:rsidR="001333D0">
        <w:t xml:space="preserve">ode and group responses; </w:t>
      </w:r>
      <w:r w:rsidR="00D77A06">
        <w:t xml:space="preserve">and </w:t>
      </w:r>
    </w:p>
    <w:p w:rsidR="001333D0" w:rsidRDefault="00D8516A" w:rsidP="001333D0">
      <w:pPr>
        <w:pStyle w:val="UnnumtextBullet1"/>
        <w:spacing w:after="170"/>
      </w:pPr>
      <w:proofErr w:type="spellStart"/>
      <w:proofErr w:type="gramStart"/>
      <w:r>
        <w:t>a</w:t>
      </w:r>
      <w:r w:rsidR="001333D0">
        <w:t>nalyse</w:t>
      </w:r>
      <w:proofErr w:type="spellEnd"/>
      <w:proofErr w:type="gramEnd"/>
      <w:r w:rsidR="001333D0">
        <w:t xml:space="preserve"> the themes and test with the story emerging from quantitative-based analysis.</w:t>
      </w:r>
      <w:r w:rsidR="000B14AA">
        <w:t xml:space="preserve"> </w:t>
      </w:r>
    </w:p>
    <w:p w:rsidR="00D8516A" w:rsidRDefault="00D77A06" w:rsidP="00D8516A">
      <w:pPr>
        <w:pStyle w:val="UnnumtextBodytext"/>
      </w:pPr>
      <w:r>
        <w:t>The majority of these interviews – 22/3</w:t>
      </w:r>
      <w:r w:rsidR="00B749E6">
        <w:t>4</w:t>
      </w:r>
      <w:r>
        <w:t xml:space="preserve"> or 6</w:t>
      </w:r>
      <w:r w:rsidR="00B749E6">
        <w:t>5</w:t>
      </w:r>
      <w:r>
        <w:t>% – were conducted in person, with the remainder via a telepresence link or telephone. The in-person interviews were typically conducted during the site visits</w:t>
      </w:r>
      <w:r w:rsidR="0003251F">
        <w:t>. The advantage</w:t>
      </w:r>
      <w:r w:rsidR="001458F9">
        <w:t>s</w:t>
      </w:r>
      <w:r w:rsidR="0003251F">
        <w:t xml:space="preserve"> of this</w:t>
      </w:r>
      <w:r w:rsidR="001458F9">
        <w:t xml:space="preserve"> approach are t</w:t>
      </w:r>
      <w:r w:rsidR="00D8516A">
        <w:t>hat we were able to view</w:t>
      </w:r>
      <w:r w:rsidR="001333D0">
        <w:t xml:space="preserve"> the environment, </w:t>
      </w:r>
      <w:r w:rsidR="00D8516A">
        <w:t xml:space="preserve">conduct </w:t>
      </w:r>
      <w:r w:rsidR="001333D0">
        <w:t xml:space="preserve">longer and more in-depth discussions. </w:t>
      </w:r>
    </w:p>
    <w:p w:rsidR="00F7219E" w:rsidRDefault="00BA4526" w:rsidP="00D8516A">
      <w:pPr>
        <w:pStyle w:val="UnnumtextBodytext"/>
      </w:pPr>
      <w:r>
        <w:t>A profile of stakeholder interviews is shown in</w:t>
      </w:r>
      <w:r w:rsidR="00453239">
        <w:t xml:space="preserve"> </w:t>
      </w:r>
      <w:r w:rsidR="00453239">
        <w:fldChar w:fldCharType="begin"/>
      </w:r>
      <w:r w:rsidR="00453239">
        <w:instrText xml:space="preserve"> REF _Ref380442875 \h </w:instrText>
      </w:r>
      <w:r w:rsidR="00453239">
        <w:fldChar w:fldCharType="separate"/>
      </w:r>
      <w:r w:rsidR="00CA314A">
        <w:t xml:space="preserve">Figure </w:t>
      </w:r>
      <w:r w:rsidR="00CA314A">
        <w:rPr>
          <w:noProof/>
        </w:rPr>
        <w:t>2</w:t>
      </w:r>
      <w:r w:rsidR="00453239">
        <w:fldChar w:fldCharType="end"/>
      </w:r>
      <w:r>
        <w:t xml:space="preserve">. The </w:t>
      </w:r>
      <w:r w:rsidR="00D8516A">
        <w:t xml:space="preserve">interviews </w:t>
      </w:r>
      <w:r>
        <w:t>covered</w:t>
      </w:r>
      <w:r w:rsidR="007905DC">
        <w:t>:</w:t>
      </w:r>
      <w:r w:rsidR="001458F9">
        <w:t xml:space="preserve"> </w:t>
      </w:r>
      <w:r w:rsidR="001B7C2A">
        <w:t xml:space="preserve">managers </w:t>
      </w:r>
      <w:r w:rsidR="00206D80">
        <w:t xml:space="preserve">and </w:t>
      </w:r>
      <w:r w:rsidR="001B7C2A">
        <w:t xml:space="preserve">administrators </w:t>
      </w:r>
      <w:r>
        <w:t xml:space="preserve">at rural hospitals </w:t>
      </w:r>
      <w:r w:rsidR="001B7C2A">
        <w:t>that support the delivery of the surgical and professional development services</w:t>
      </w:r>
      <w:r w:rsidR="007905DC">
        <w:t xml:space="preserve">; service managers </w:t>
      </w:r>
      <w:r w:rsidR="0095005F">
        <w:t xml:space="preserve">and coordinators at </w:t>
      </w:r>
      <w:r w:rsidR="006A4FD5">
        <w:t>(</w:t>
      </w:r>
      <w:r w:rsidR="007905DC">
        <w:t>three</w:t>
      </w:r>
      <w:r w:rsidR="006A4FD5">
        <w:t>)</w:t>
      </w:r>
      <w:r w:rsidR="007905DC">
        <w:t xml:space="preserve"> DHBs; clinical staff </w:t>
      </w:r>
      <w:r w:rsidR="000B14AA">
        <w:t>that</w:t>
      </w:r>
      <w:r w:rsidR="007905DC">
        <w:t xml:space="preserve"> work on the bus (e.g. surgeon, </w:t>
      </w:r>
      <w:proofErr w:type="spellStart"/>
      <w:r w:rsidR="007905DC">
        <w:t>anae</w:t>
      </w:r>
      <w:r w:rsidR="00E12540">
        <w:t>s</w:t>
      </w:r>
      <w:r w:rsidR="007905DC">
        <w:t>thetist</w:t>
      </w:r>
      <w:proofErr w:type="spellEnd"/>
      <w:r w:rsidR="007905DC">
        <w:t xml:space="preserve">, </w:t>
      </w:r>
      <w:proofErr w:type="spellStart"/>
      <w:r w:rsidR="007905DC">
        <w:t>anaesthetic</w:t>
      </w:r>
      <w:proofErr w:type="spellEnd"/>
      <w:r w:rsidR="007905DC">
        <w:t xml:space="preserve"> technician, and charge nurse); rural nurses that support </w:t>
      </w:r>
      <w:r w:rsidR="00D8516A">
        <w:t>the surgical service and</w:t>
      </w:r>
      <w:r w:rsidR="007905DC">
        <w:t>/or participate in the</w:t>
      </w:r>
      <w:r w:rsidR="007905DC" w:rsidRPr="007905DC">
        <w:t xml:space="preserve"> </w:t>
      </w:r>
      <w:r w:rsidR="007905DC">
        <w:t xml:space="preserve">professional development service; </w:t>
      </w:r>
      <w:r w:rsidR="006A4FD5">
        <w:t>community representatives; r</w:t>
      </w:r>
      <w:r w:rsidR="00D8516A">
        <w:t>ural general practice</w:t>
      </w:r>
      <w:r w:rsidR="006A4FD5">
        <w:t xml:space="preserve">s; </w:t>
      </w:r>
      <w:r w:rsidR="003B59E2">
        <w:t xml:space="preserve">educators, </w:t>
      </w:r>
      <w:proofErr w:type="spellStart"/>
      <w:r w:rsidR="006A4FD5">
        <w:t>hauora</w:t>
      </w:r>
      <w:proofErr w:type="spellEnd"/>
      <w:r w:rsidR="006A4FD5">
        <w:t xml:space="preserve"> provider</w:t>
      </w:r>
      <w:r w:rsidR="00031354">
        <w:t>s</w:t>
      </w:r>
      <w:r w:rsidR="00206D80">
        <w:t>;</w:t>
      </w:r>
      <w:r w:rsidR="006A4FD5">
        <w:t xml:space="preserve"> and a Ministry of Health official.</w:t>
      </w:r>
      <w:r w:rsidR="00D8516A">
        <w:t xml:space="preserve"> </w:t>
      </w:r>
    </w:p>
    <w:p w:rsidR="00D8516A" w:rsidRDefault="000B14AA" w:rsidP="00D8516A">
      <w:pPr>
        <w:pStyle w:val="UnnumtextBodytext"/>
      </w:pPr>
      <w:r>
        <w:t>Locations represented in these interviews include</w:t>
      </w:r>
      <w:r w:rsidR="00B9240E">
        <w:t xml:space="preserve"> </w:t>
      </w:r>
      <w:proofErr w:type="spellStart"/>
      <w:r w:rsidR="00B9240E">
        <w:t>Dargaville</w:t>
      </w:r>
      <w:proofErr w:type="spellEnd"/>
      <w:r w:rsidR="00B9240E">
        <w:t xml:space="preserve">, </w:t>
      </w:r>
      <w:proofErr w:type="spellStart"/>
      <w:r w:rsidR="00B9240E">
        <w:t>Pukekohe</w:t>
      </w:r>
      <w:proofErr w:type="spellEnd"/>
      <w:r w:rsidR="00B9240E">
        <w:t xml:space="preserve">, </w:t>
      </w:r>
      <w:proofErr w:type="spellStart"/>
      <w:r w:rsidR="00B9240E">
        <w:t>Opotiki</w:t>
      </w:r>
      <w:proofErr w:type="spellEnd"/>
      <w:r w:rsidR="00B9240E">
        <w:t xml:space="preserve">, </w:t>
      </w:r>
      <w:proofErr w:type="spellStart"/>
      <w:r w:rsidR="00B9240E">
        <w:t>Te</w:t>
      </w:r>
      <w:proofErr w:type="spellEnd"/>
      <w:r w:rsidR="00B9240E">
        <w:t xml:space="preserve"> </w:t>
      </w:r>
      <w:proofErr w:type="spellStart"/>
      <w:r w:rsidR="00B9240E">
        <w:t>Puia</w:t>
      </w:r>
      <w:proofErr w:type="spellEnd"/>
      <w:r w:rsidR="00E2562C">
        <w:t xml:space="preserve"> Springs</w:t>
      </w:r>
      <w:r w:rsidR="00B9240E">
        <w:t xml:space="preserve">, </w:t>
      </w:r>
      <w:proofErr w:type="spellStart"/>
      <w:r w:rsidR="00B9240E">
        <w:t>Danne</w:t>
      </w:r>
      <w:r w:rsidR="001B7C2A">
        <w:t>virke</w:t>
      </w:r>
      <w:proofErr w:type="spellEnd"/>
      <w:r>
        <w:t>, Levin,</w:t>
      </w:r>
      <w:r w:rsidR="00D8516A">
        <w:t xml:space="preserve"> </w:t>
      </w:r>
      <w:proofErr w:type="spellStart"/>
      <w:r>
        <w:t>Oamaru</w:t>
      </w:r>
      <w:proofErr w:type="spellEnd"/>
      <w:r>
        <w:t xml:space="preserve">, </w:t>
      </w:r>
      <w:r w:rsidR="002F0731">
        <w:t xml:space="preserve">Dunedin, </w:t>
      </w:r>
      <w:proofErr w:type="spellStart"/>
      <w:r w:rsidR="00D8516A">
        <w:t>Balclutha</w:t>
      </w:r>
      <w:proofErr w:type="spellEnd"/>
      <w:r w:rsidRPr="000B14AA">
        <w:t xml:space="preserve"> </w:t>
      </w:r>
      <w:r>
        <w:t>and Gore</w:t>
      </w:r>
      <w:r w:rsidR="00D8516A">
        <w:t>.</w:t>
      </w:r>
      <w:r w:rsidR="00F65706">
        <w:t xml:space="preserve"> A </w:t>
      </w:r>
      <w:r>
        <w:t xml:space="preserve">summary </w:t>
      </w:r>
      <w:r w:rsidR="00F65706">
        <w:t>list of interviews is attached as Appendix 1.</w:t>
      </w:r>
    </w:p>
    <w:p w:rsidR="00533010" w:rsidRDefault="00533010" w:rsidP="00B9240E">
      <w:pPr>
        <w:pStyle w:val="Caption"/>
        <w:spacing w:before="100" w:beforeAutospacing="1" w:after="120"/>
      </w:pPr>
      <w:bookmarkStart w:id="40" w:name="_Ref380442875"/>
      <w:bookmarkStart w:id="41" w:name="_Toc380597835"/>
      <w:bookmarkStart w:id="42" w:name="_Toc380605795"/>
      <w:bookmarkStart w:id="43" w:name="_Toc423945981"/>
      <w:r>
        <w:t xml:space="preserve">Figure </w:t>
      </w:r>
      <w:fldSimple w:instr=" SEQ Figure \* ARABIC ">
        <w:r w:rsidR="00CA314A">
          <w:rPr>
            <w:noProof/>
          </w:rPr>
          <w:t>2</w:t>
        </w:r>
      </w:fldSimple>
      <w:bookmarkEnd w:id="40"/>
      <w:r>
        <w:rPr>
          <w:noProof/>
        </w:rPr>
        <w:t>:</w:t>
      </w:r>
      <w:r>
        <w:t xml:space="preserve"> Profile of stakeholder interviews</w:t>
      </w:r>
      <w:r w:rsidR="00D77A06">
        <w:t xml:space="preserve"> conducted</w:t>
      </w:r>
      <w:bookmarkEnd w:id="41"/>
      <w:bookmarkEnd w:id="42"/>
      <w:bookmarkEnd w:id="43"/>
    </w:p>
    <w:p w:rsidR="00533010" w:rsidRDefault="00031354" w:rsidP="00533010">
      <w:pPr>
        <w:pStyle w:val="Sourceinformation"/>
        <w:rPr>
          <w:b/>
        </w:rPr>
      </w:pPr>
      <w:r>
        <w:rPr>
          <w:noProof/>
          <w:lang w:val="en-NZ" w:eastAsia="en-NZ"/>
        </w:rPr>
        <w:drawing>
          <wp:inline distT="0" distB="0" distL="0" distR="0" wp14:anchorId="331E5114" wp14:editId="2D19473B">
            <wp:extent cx="4829175" cy="3190875"/>
            <wp:effectExtent l="0" t="0" r="0" b="0"/>
            <wp:docPr id="5" name="Chart 5" title="Figure 2: Profile of stakeholder interviews conduc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3010" w:rsidRPr="00E82435" w:rsidRDefault="00533010" w:rsidP="00E82435">
      <w:pPr>
        <w:pStyle w:val="Sourceinformation"/>
        <w:spacing w:before="120" w:after="100" w:afterAutospacing="1"/>
        <w:rPr>
          <w:sz w:val="20"/>
        </w:rPr>
      </w:pPr>
      <w:r w:rsidRPr="00D77A06">
        <w:rPr>
          <w:b/>
          <w:sz w:val="20"/>
        </w:rPr>
        <w:t>Source:</w:t>
      </w:r>
      <w:r w:rsidR="00E82435">
        <w:rPr>
          <w:sz w:val="20"/>
        </w:rPr>
        <w:t xml:space="preserve"> </w:t>
      </w:r>
      <w:proofErr w:type="spellStart"/>
      <w:r w:rsidR="00E82435">
        <w:rPr>
          <w:sz w:val="20"/>
        </w:rPr>
        <w:t>Sapere</w:t>
      </w:r>
      <w:proofErr w:type="spellEnd"/>
      <w:r w:rsidR="00E82435">
        <w:rPr>
          <w:sz w:val="20"/>
        </w:rPr>
        <w:t xml:space="preserve"> Research Group</w:t>
      </w:r>
    </w:p>
    <w:p w:rsidR="00EA56ED" w:rsidRDefault="00EA56ED" w:rsidP="00EC753A">
      <w:pPr>
        <w:pStyle w:val="Heading3"/>
      </w:pPr>
      <w:bookmarkStart w:id="44" w:name="_Toc423945913"/>
      <w:r>
        <w:lastRenderedPageBreak/>
        <w:t>Sampling patient views</w:t>
      </w:r>
      <w:bookmarkEnd w:id="44"/>
    </w:p>
    <w:p w:rsidR="00F65706" w:rsidRDefault="0029665B" w:rsidP="00F65706">
      <w:pPr>
        <w:rPr>
          <w:rFonts w:cstheme="minorHAnsi"/>
        </w:rPr>
      </w:pPr>
      <w:r>
        <w:t xml:space="preserve">Three approaches were </w:t>
      </w:r>
      <w:r w:rsidR="001A2022">
        <w:t xml:space="preserve">used to </w:t>
      </w:r>
      <w:r>
        <w:t>obtain</w:t>
      </w:r>
      <w:r w:rsidR="001A2022">
        <w:t xml:space="preserve"> direct input from patients</w:t>
      </w:r>
      <w:r>
        <w:t xml:space="preserve"> and secondary sources</w:t>
      </w:r>
      <w:r w:rsidR="0087526F">
        <w:t>.</w:t>
      </w:r>
      <w:r w:rsidR="00F65706">
        <w:rPr>
          <w:rStyle w:val="FootnoteReference"/>
        </w:rPr>
        <w:footnoteReference w:id="4"/>
      </w:r>
      <w:r w:rsidR="00F65706" w:rsidRPr="00F65706">
        <w:rPr>
          <w:rFonts w:cstheme="minorHAnsi"/>
        </w:rPr>
        <w:t xml:space="preserve"> </w:t>
      </w:r>
    </w:p>
    <w:p w:rsidR="00672226" w:rsidRDefault="009C4BA5" w:rsidP="00672226">
      <w:pPr>
        <w:pStyle w:val="UnnumtextBullet1"/>
        <w:spacing w:after="170"/>
      </w:pPr>
      <w:r w:rsidRPr="00774660">
        <w:rPr>
          <w:b/>
        </w:rPr>
        <w:t>Patient telephone interviews</w:t>
      </w:r>
      <w:r>
        <w:t xml:space="preserve"> </w:t>
      </w:r>
      <w:r w:rsidR="0087526F">
        <w:t xml:space="preserve">– </w:t>
      </w:r>
      <w:r w:rsidR="00774660">
        <w:t xml:space="preserve">we </w:t>
      </w:r>
      <w:r w:rsidR="00774660" w:rsidRPr="00774660">
        <w:t>interview</w:t>
      </w:r>
      <w:r w:rsidR="000767EF">
        <w:t>ed</w:t>
      </w:r>
      <w:r w:rsidR="00774660">
        <w:t xml:space="preserve"> 28 </w:t>
      </w:r>
      <w:r w:rsidR="00774660" w:rsidRPr="00774660">
        <w:t>patients</w:t>
      </w:r>
      <w:r w:rsidR="00E070B5">
        <w:t xml:space="preserve"> and </w:t>
      </w:r>
      <w:r w:rsidR="00F65706">
        <w:t>caregivers</w:t>
      </w:r>
      <w:r w:rsidR="00774660">
        <w:t>.</w:t>
      </w:r>
      <w:r w:rsidR="00774660" w:rsidRPr="00774660">
        <w:t xml:space="preserve"> The </w:t>
      </w:r>
      <w:r w:rsidR="000767EF">
        <w:t xml:space="preserve">provider’s </w:t>
      </w:r>
      <w:r w:rsidR="00774660" w:rsidRPr="00774660">
        <w:t>follow</w:t>
      </w:r>
      <w:r w:rsidR="000767EF">
        <w:t>-</w:t>
      </w:r>
      <w:r w:rsidR="00774660" w:rsidRPr="00774660">
        <w:t>up nurse</w:t>
      </w:r>
      <w:r w:rsidR="000767EF" w:rsidRPr="000767EF">
        <w:t xml:space="preserve"> </w:t>
      </w:r>
      <w:r w:rsidR="00F65706">
        <w:t xml:space="preserve">sought </w:t>
      </w:r>
      <w:r w:rsidR="000767EF" w:rsidRPr="00774660">
        <w:t>informed consent</w:t>
      </w:r>
      <w:r w:rsidR="00774660" w:rsidRPr="00774660">
        <w:t xml:space="preserve"> </w:t>
      </w:r>
      <w:r w:rsidR="000767EF">
        <w:t xml:space="preserve">during </w:t>
      </w:r>
      <w:r w:rsidR="00F65706">
        <w:t xml:space="preserve">the </w:t>
      </w:r>
      <w:r w:rsidR="00774660" w:rsidRPr="00774660">
        <w:t>30</w:t>
      </w:r>
      <w:r w:rsidR="000767EF">
        <w:t>-</w:t>
      </w:r>
      <w:r w:rsidR="00774660" w:rsidRPr="00774660">
        <w:t xml:space="preserve">day </w:t>
      </w:r>
      <w:r w:rsidR="000767EF">
        <w:t>c</w:t>
      </w:r>
      <w:r w:rsidR="00774660" w:rsidRPr="00774660">
        <w:t>all to</w:t>
      </w:r>
      <w:r w:rsidR="0029665B">
        <w:t xml:space="preserve"> 37</w:t>
      </w:r>
      <w:r w:rsidR="00774660" w:rsidRPr="00774660">
        <w:t xml:space="preserve"> patients </w:t>
      </w:r>
      <w:r w:rsidR="00E070B5">
        <w:t>who had</w:t>
      </w:r>
      <w:r w:rsidR="000767EF">
        <w:t xml:space="preserve"> surgery during November and December 2013. The </w:t>
      </w:r>
      <w:r w:rsidR="00774660" w:rsidRPr="00774660">
        <w:t>contact details</w:t>
      </w:r>
      <w:r w:rsidR="00E070B5">
        <w:t xml:space="preserve"> of </w:t>
      </w:r>
      <w:r w:rsidR="00890297">
        <w:t xml:space="preserve">consenting </w:t>
      </w:r>
      <w:r w:rsidR="0029665B">
        <w:t xml:space="preserve">patients were provided to </w:t>
      </w:r>
      <w:proofErr w:type="spellStart"/>
      <w:r w:rsidR="00774660" w:rsidRPr="00774660">
        <w:t>Sapere</w:t>
      </w:r>
      <w:proofErr w:type="spellEnd"/>
      <w:r w:rsidR="00774660" w:rsidRPr="00774660">
        <w:t xml:space="preserve"> Research Group</w:t>
      </w:r>
      <w:r w:rsidR="0029665B">
        <w:t xml:space="preserve">, of which </w:t>
      </w:r>
      <w:r w:rsidR="00774660" w:rsidRPr="00774660">
        <w:t>2</w:t>
      </w:r>
      <w:r w:rsidR="000767EF">
        <w:t>8</w:t>
      </w:r>
      <w:r w:rsidR="00774660" w:rsidRPr="00774660">
        <w:t xml:space="preserve"> were </w:t>
      </w:r>
      <w:r w:rsidR="00E070B5">
        <w:t xml:space="preserve">able to be </w:t>
      </w:r>
      <w:r w:rsidR="00774660" w:rsidRPr="00774660">
        <w:t xml:space="preserve">contacted, </w:t>
      </w:r>
      <w:r w:rsidR="000767EF">
        <w:t>c</w:t>
      </w:r>
      <w:r w:rsidR="00774660" w:rsidRPr="00774660">
        <w:t xml:space="preserve">hecked for </w:t>
      </w:r>
      <w:r w:rsidR="000767EF">
        <w:t>consent a</w:t>
      </w:r>
      <w:r w:rsidR="00774660" w:rsidRPr="00774660">
        <w:t>nd interviewed.</w:t>
      </w:r>
      <w:r w:rsidR="00BA3DC1">
        <w:t xml:space="preserve"> T</w:t>
      </w:r>
      <w:r w:rsidR="00774660" w:rsidRPr="00774660">
        <w:t xml:space="preserve">he script used </w:t>
      </w:r>
      <w:r w:rsidR="000767EF">
        <w:t xml:space="preserve">to obtain informed consent is </w:t>
      </w:r>
      <w:r w:rsidR="00774660">
        <w:t>attached as Appendix 3</w:t>
      </w:r>
      <w:r w:rsidR="00774660" w:rsidRPr="00774660">
        <w:t>.</w:t>
      </w:r>
      <w:r w:rsidR="000767EF">
        <w:t xml:space="preserve"> The interview questions are attached as Appendix 4.</w:t>
      </w:r>
    </w:p>
    <w:p w:rsidR="009C4BA5" w:rsidRDefault="0087526F" w:rsidP="00672226">
      <w:pPr>
        <w:pStyle w:val="UnnumtextBullet1"/>
        <w:spacing w:after="170"/>
      </w:pPr>
      <w:r w:rsidRPr="00672226">
        <w:rPr>
          <w:b/>
        </w:rPr>
        <w:t>Patient postal survey</w:t>
      </w:r>
      <w:r>
        <w:t xml:space="preserve"> –</w:t>
      </w:r>
      <w:r w:rsidR="00774660">
        <w:t xml:space="preserve"> </w:t>
      </w:r>
      <w:r w:rsidR="0029665B">
        <w:t>a</w:t>
      </w:r>
      <w:r w:rsidR="00774660" w:rsidRPr="00774660">
        <w:t xml:space="preserve"> </w:t>
      </w:r>
      <w:r w:rsidR="0029665B">
        <w:t>questionnaire</w:t>
      </w:r>
      <w:r w:rsidR="00774660" w:rsidRPr="00774660">
        <w:t xml:space="preserve"> was drafted by </w:t>
      </w:r>
      <w:proofErr w:type="spellStart"/>
      <w:r w:rsidR="00774660" w:rsidRPr="00774660">
        <w:t>Sapere</w:t>
      </w:r>
      <w:proofErr w:type="spellEnd"/>
      <w:r w:rsidR="00774660" w:rsidRPr="00774660">
        <w:t xml:space="preserve"> </w:t>
      </w:r>
      <w:r w:rsidR="0029665B" w:rsidRPr="00774660">
        <w:t xml:space="preserve">Research Group </w:t>
      </w:r>
      <w:r w:rsidR="00774660" w:rsidRPr="00774660">
        <w:t xml:space="preserve">and sent out by </w:t>
      </w:r>
      <w:r w:rsidR="0029665B">
        <w:t>the provider for</w:t>
      </w:r>
      <w:r w:rsidR="00774660" w:rsidRPr="00774660">
        <w:t xml:space="preserve"> reasons of confidentiality and informed consent</w:t>
      </w:r>
      <w:r w:rsidR="0029665B">
        <w:t xml:space="preserve">. A letter seeking informed consent invited replies to be </w:t>
      </w:r>
      <w:r w:rsidR="00774660" w:rsidRPr="00774660">
        <w:t xml:space="preserve">posted to </w:t>
      </w:r>
      <w:proofErr w:type="spellStart"/>
      <w:r w:rsidR="00774660" w:rsidRPr="00774660">
        <w:t>Sapere</w:t>
      </w:r>
      <w:proofErr w:type="spellEnd"/>
      <w:r w:rsidR="00774660" w:rsidRPr="00774660">
        <w:t xml:space="preserve"> (</w:t>
      </w:r>
      <w:r w:rsidR="009C306F">
        <w:t xml:space="preserve">a </w:t>
      </w:r>
      <w:r w:rsidR="00774660" w:rsidRPr="00774660">
        <w:t xml:space="preserve">stamped envelope </w:t>
      </w:r>
      <w:r w:rsidR="009C306F">
        <w:t xml:space="preserve">was </w:t>
      </w:r>
      <w:r w:rsidR="00774660" w:rsidRPr="00774660">
        <w:t xml:space="preserve">included). </w:t>
      </w:r>
      <w:r w:rsidR="0029665B">
        <w:t>The questionnaire was sent to 1</w:t>
      </w:r>
      <w:r w:rsidR="00774660" w:rsidRPr="00774660">
        <w:t xml:space="preserve">62 </w:t>
      </w:r>
      <w:r w:rsidR="0029665B">
        <w:t xml:space="preserve">patients (or caregivers) who had received surgery during 2013. </w:t>
      </w:r>
      <w:r w:rsidR="00806BD3">
        <w:t>The responses numbered 43 or a rate of 27%</w:t>
      </w:r>
      <w:r w:rsidR="00774660" w:rsidRPr="00774660">
        <w:t xml:space="preserve">.  </w:t>
      </w:r>
    </w:p>
    <w:p w:rsidR="0087526F" w:rsidRDefault="0087526F" w:rsidP="003C0507">
      <w:pPr>
        <w:pStyle w:val="UnnumtextBullet1"/>
        <w:spacing w:after="170"/>
      </w:pPr>
      <w:r w:rsidRPr="009C306F">
        <w:rPr>
          <w:b/>
        </w:rPr>
        <w:t>Sample of patient feedback forms</w:t>
      </w:r>
      <w:r w:rsidR="00774660">
        <w:t xml:space="preserve"> – </w:t>
      </w:r>
      <w:r w:rsidR="00806BD3">
        <w:t>the provider gives patients hard-copy feedback forms on the</w:t>
      </w:r>
      <w:r w:rsidR="003C0507">
        <w:t>ir</w:t>
      </w:r>
      <w:r w:rsidR="00806BD3">
        <w:t xml:space="preserve"> day of surgery. </w:t>
      </w:r>
      <w:r w:rsidR="00E070B5">
        <w:t>Between</w:t>
      </w:r>
      <w:r w:rsidR="00806BD3">
        <w:t xml:space="preserve"> June 2012 </w:t>
      </w:r>
      <w:r w:rsidR="00E070B5">
        <w:t>and</w:t>
      </w:r>
      <w:r w:rsidR="00806BD3">
        <w:t xml:space="preserve"> May 2013, 69</w:t>
      </w:r>
      <w:r w:rsidR="009C306F">
        <w:t>0</w:t>
      </w:r>
      <w:r w:rsidR="00806BD3">
        <w:t xml:space="preserve"> forms were received from 1,558 patients – a </w:t>
      </w:r>
      <w:r w:rsidR="00E070B5">
        <w:t xml:space="preserve">return </w:t>
      </w:r>
      <w:r w:rsidR="00BA3DC1">
        <w:t xml:space="preserve">rate of </w:t>
      </w:r>
      <w:r w:rsidR="00806BD3">
        <w:t>44%</w:t>
      </w:r>
      <w:r w:rsidR="00BA3DC1">
        <w:t>.</w:t>
      </w:r>
      <w:r w:rsidR="00806BD3">
        <w:t xml:space="preserve"> The forms were given to </w:t>
      </w:r>
      <w:proofErr w:type="spellStart"/>
      <w:r w:rsidR="00806BD3">
        <w:t>Sapere</w:t>
      </w:r>
      <w:proofErr w:type="spellEnd"/>
      <w:r w:rsidR="009C306F">
        <w:t>, from which</w:t>
      </w:r>
      <w:r w:rsidR="00806BD3">
        <w:t xml:space="preserve"> 150 were randomly selected and </w:t>
      </w:r>
      <w:proofErr w:type="spellStart"/>
      <w:r w:rsidR="00E070B5">
        <w:t>analysed</w:t>
      </w:r>
      <w:proofErr w:type="spellEnd"/>
      <w:r w:rsidR="00E070B5">
        <w:t xml:space="preserve"> </w:t>
      </w:r>
      <w:r w:rsidR="00806BD3">
        <w:t>in</w:t>
      </w:r>
      <w:r w:rsidR="00E070B5">
        <w:t xml:space="preserve"> </w:t>
      </w:r>
      <w:r w:rsidR="00806BD3">
        <w:t>a spreadsheet.</w:t>
      </w:r>
      <w:r w:rsidR="00BA3DC1">
        <w:t xml:space="preserve"> The forms</w:t>
      </w:r>
      <w:r w:rsidR="00774660" w:rsidRPr="00774660">
        <w:t xml:space="preserve"> covered </w:t>
      </w:r>
      <w:r w:rsidR="00BA3DC1">
        <w:t xml:space="preserve">patients from </w:t>
      </w:r>
      <w:r w:rsidR="00774660" w:rsidRPr="00774660">
        <w:t xml:space="preserve">a range of locations but </w:t>
      </w:r>
      <w:r w:rsidR="003C0507">
        <w:t xml:space="preserve">did not include </w:t>
      </w:r>
      <w:r w:rsidR="00774660" w:rsidRPr="00774660">
        <w:t>demographic</w:t>
      </w:r>
      <w:r w:rsidR="00E070B5">
        <w:t xml:space="preserve"> details.</w:t>
      </w:r>
    </w:p>
    <w:p w:rsidR="00E070B5" w:rsidRDefault="009C306F" w:rsidP="00F65706">
      <w:pPr>
        <w:pStyle w:val="UnnumtextBodytext"/>
      </w:pPr>
      <w:r>
        <w:t xml:space="preserve">In total, the qualitative experiences of 221 patients were gathered across the three methods. The demographic characteristics are </w:t>
      </w:r>
      <w:proofErr w:type="spellStart"/>
      <w:r>
        <w:t>summarised</w:t>
      </w:r>
      <w:proofErr w:type="spellEnd"/>
      <w:r>
        <w:t xml:space="preserve"> in Appendix 5.</w:t>
      </w:r>
      <w:r w:rsidR="00E070B5">
        <w:t xml:space="preserve"> </w:t>
      </w:r>
    </w:p>
    <w:p w:rsidR="00890297" w:rsidRDefault="00613835" w:rsidP="00F65706">
      <w:pPr>
        <w:pStyle w:val="UnnumtextBodytext"/>
      </w:pPr>
      <w:r>
        <w:t>The p</w:t>
      </w:r>
      <w:r w:rsidR="00890297">
        <w:t xml:space="preserve">otential limitations of </w:t>
      </w:r>
      <w:r>
        <w:t xml:space="preserve">the </w:t>
      </w:r>
      <w:r w:rsidR="00A12FCC">
        <w:t xml:space="preserve">sample of </w:t>
      </w:r>
      <w:r>
        <w:t xml:space="preserve">telephone </w:t>
      </w:r>
      <w:r w:rsidR="00890297">
        <w:t>interview</w:t>
      </w:r>
      <w:r w:rsidR="00A12FCC">
        <w:t>s</w:t>
      </w:r>
      <w:r w:rsidR="00890297">
        <w:t xml:space="preserve"> </w:t>
      </w:r>
      <w:r>
        <w:t>should be noted</w:t>
      </w:r>
      <w:r w:rsidR="00890297">
        <w:t xml:space="preserve">. </w:t>
      </w:r>
      <w:r>
        <w:t xml:space="preserve">Time constraints meant that </w:t>
      </w:r>
      <w:r w:rsidR="00890297">
        <w:t xml:space="preserve">informed consent </w:t>
      </w:r>
      <w:r w:rsidR="00A12FCC">
        <w:t xml:space="preserve">had to be </w:t>
      </w:r>
      <w:r>
        <w:t xml:space="preserve">sought via the </w:t>
      </w:r>
      <w:r w:rsidR="00890297">
        <w:t>30</w:t>
      </w:r>
      <w:r>
        <w:t>-</w:t>
      </w:r>
      <w:r w:rsidR="00890297">
        <w:t xml:space="preserve">day </w:t>
      </w:r>
      <w:r w:rsidR="00A12FCC">
        <w:t xml:space="preserve">patient </w:t>
      </w:r>
      <w:r w:rsidR="00890297">
        <w:t>follow</w:t>
      </w:r>
      <w:r>
        <w:t>-</w:t>
      </w:r>
      <w:r w:rsidR="00890297">
        <w:t>up</w:t>
      </w:r>
      <w:r>
        <w:t xml:space="preserve"> call</w:t>
      </w:r>
      <w:r w:rsidR="00890297">
        <w:t xml:space="preserve">, </w:t>
      </w:r>
      <w:r>
        <w:t xml:space="preserve">and so </w:t>
      </w:r>
      <w:r w:rsidR="00890297">
        <w:t>this meant the sample was skewed to</w:t>
      </w:r>
      <w:r>
        <w:t xml:space="preserve"> </w:t>
      </w:r>
      <w:r w:rsidR="00A12FCC">
        <w:t xml:space="preserve">those </w:t>
      </w:r>
      <w:r w:rsidR="00890297">
        <w:t xml:space="preserve">with recent experiences. The sample </w:t>
      </w:r>
      <w:r>
        <w:t>was</w:t>
      </w:r>
      <w:r w:rsidR="004F326A">
        <w:t xml:space="preserve"> also skewed towards caregivers</w:t>
      </w:r>
      <w:r w:rsidR="00A12FCC">
        <w:t xml:space="preserve"> of children under the age 16 years, who formed 20/28 or 71% of interviewees. Furthermore, </w:t>
      </w:r>
      <w:r w:rsidR="004F326A">
        <w:t xml:space="preserve">18/20 </w:t>
      </w:r>
      <w:r w:rsidR="00A12FCC">
        <w:t xml:space="preserve">of these children </w:t>
      </w:r>
      <w:r w:rsidR="004F326A">
        <w:t>had received dental surgery</w:t>
      </w:r>
      <w:r w:rsidR="00890297">
        <w:t>.</w:t>
      </w:r>
      <w:r w:rsidR="00A12FCC">
        <w:t xml:space="preserve"> Nevertheless, w</w:t>
      </w:r>
      <w:r w:rsidR="00890297">
        <w:t xml:space="preserve">e do not believe that </w:t>
      </w:r>
      <w:r w:rsidR="004F326A">
        <w:t xml:space="preserve">the </w:t>
      </w:r>
      <w:r w:rsidR="00890297">
        <w:t xml:space="preserve">robustness </w:t>
      </w:r>
      <w:r w:rsidR="004F326A">
        <w:t xml:space="preserve">of the </w:t>
      </w:r>
      <w:r w:rsidR="00A12FCC">
        <w:t>interviews</w:t>
      </w:r>
      <w:r w:rsidR="004F326A">
        <w:t xml:space="preserve"> </w:t>
      </w:r>
      <w:r w:rsidR="00890297">
        <w:t>was compromised</w:t>
      </w:r>
      <w:r w:rsidR="00A12FCC">
        <w:t xml:space="preserve">, given </w:t>
      </w:r>
      <w:r w:rsidR="00890297">
        <w:t xml:space="preserve">the consistency </w:t>
      </w:r>
      <w:r w:rsidR="004F326A">
        <w:t xml:space="preserve">of the </w:t>
      </w:r>
      <w:r w:rsidR="00890297">
        <w:t>result</w:t>
      </w:r>
      <w:r w:rsidR="004F326A">
        <w:t>s</w:t>
      </w:r>
      <w:r w:rsidR="00890297">
        <w:t xml:space="preserve"> with </w:t>
      </w:r>
      <w:r w:rsidR="004F326A">
        <w:t xml:space="preserve">those obtained </w:t>
      </w:r>
      <w:r w:rsidR="00890297">
        <w:t xml:space="preserve">from </w:t>
      </w:r>
      <w:r w:rsidR="004F326A">
        <w:t xml:space="preserve">the </w:t>
      </w:r>
      <w:r w:rsidR="00890297">
        <w:t xml:space="preserve">other </w:t>
      </w:r>
      <w:r w:rsidR="004F326A">
        <w:t xml:space="preserve">two </w:t>
      </w:r>
      <w:r w:rsidR="00890297">
        <w:t xml:space="preserve">methods. </w:t>
      </w:r>
    </w:p>
    <w:p w:rsidR="0087526F" w:rsidRDefault="0087526F" w:rsidP="00783DD4">
      <w:pPr>
        <w:pStyle w:val="Caption"/>
        <w:spacing w:before="120" w:after="120"/>
      </w:pPr>
      <w:bookmarkStart w:id="45" w:name="_Toc423945973"/>
      <w:r>
        <w:t xml:space="preserve">Table </w:t>
      </w:r>
      <w:fldSimple w:instr=" SEQ Table \* ARABIC ">
        <w:r w:rsidR="00CA314A">
          <w:rPr>
            <w:noProof/>
          </w:rPr>
          <w:t>3</w:t>
        </w:r>
      </w:fldSimple>
      <w:r w:rsidR="00774660">
        <w:rPr>
          <w:noProof/>
        </w:rPr>
        <w:t>:</w:t>
      </w:r>
      <w:r>
        <w:t xml:space="preserve"> Sampling patient views</w:t>
      </w:r>
      <w:r w:rsidR="00806BD3">
        <w:t xml:space="preserve"> – summary of sample sizes</w:t>
      </w:r>
      <w:bookmarkEnd w:id="45"/>
    </w:p>
    <w:tbl>
      <w:tblPr>
        <w:tblStyle w:val="TableSapereGrid"/>
        <w:tblW w:w="8047" w:type="dxa"/>
        <w:tblInd w:w="108" w:type="dxa"/>
        <w:tblLayout w:type="fixed"/>
        <w:tblLook w:val="0620" w:firstRow="1" w:lastRow="0" w:firstColumn="0" w:lastColumn="0" w:noHBand="1" w:noVBand="1"/>
        <w:tblCaption w:val="Table 3: Sampling patient views – summary of sample sizes"/>
      </w:tblPr>
      <w:tblGrid>
        <w:gridCol w:w="2012"/>
        <w:gridCol w:w="2012"/>
        <w:gridCol w:w="2011"/>
        <w:gridCol w:w="2012"/>
      </w:tblGrid>
      <w:tr w:rsidR="0087526F" w:rsidTr="0087526F">
        <w:trPr>
          <w:cnfStyle w:val="100000000000" w:firstRow="1" w:lastRow="0" w:firstColumn="0" w:lastColumn="0" w:oddVBand="0" w:evenVBand="0" w:oddHBand="0" w:evenHBand="0" w:firstRowFirstColumn="0" w:firstRowLastColumn="0" w:lastRowFirstColumn="0" w:lastRowLastColumn="0"/>
          <w:cantSplit/>
        </w:trPr>
        <w:tc>
          <w:tcPr>
            <w:tcW w:w="2012" w:type="dxa"/>
          </w:tcPr>
          <w:p w:rsidR="0087526F" w:rsidRDefault="003B7B6D" w:rsidP="0087526F">
            <w:pPr>
              <w:pStyle w:val="Table-headingrow1"/>
              <w:rPr>
                <w:sz w:val="20"/>
              </w:rPr>
            </w:pPr>
            <w:r>
              <w:rPr>
                <w:sz w:val="20"/>
              </w:rPr>
              <w:t>Indicator</w:t>
            </w:r>
          </w:p>
        </w:tc>
        <w:tc>
          <w:tcPr>
            <w:tcW w:w="2012" w:type="dxa"/>
          </w:tcPr>
          <w:p w:rsidR="0087526F" w:rsidRPr="0087526F" w:rsidRDefault="0087526F" w:rsidP="0087526F">
            <w:pPr>
              <w:pStyle w:val="Table-headingrow1"/>
              <w:jc w:val="center"/>
              <w:rPr>
                <w:sz w:val="20"/>
              </w:rPr>
            </w:pPr>
            <w:r>
              <w:rPr>
                <w:sz w:val="20"/>
              </w:rPr>
              <w:t>Patient telephone interviews</w:t>
            </w:r>
          </w:p>
        </w:tc>
        <w:tc>
          <w:tcPr>
            <w:tcW w:w="2011" w:type="dxa"/>
          </w:tcPr>
          <w:p w:rsidR="0087526F" w:rsidRPr="0087526F" w:rsidRDefault="0087526F" w:rsidP="0087526F">
            <w:pPr>
              <w:pStyle w:val="Table-headingrow1"/>
              <w:jc w:val="center"/>
              <w:rPr>
                <w:sz w:val="20"/>
              </w:rPr>
            </w:pPr>
            <w:r>
              <w:rPr>
                <w:sz w:val="20"/>
              </w:rPr>
              <w:t>Patient postal  survey</w:t>
            </w:r>
          </w:p>
        </w:tc>
        <w:tc>
          <w:tcPr>
            <w:tcW w:w="2012" w:type="dxa"/>
          </w:tcPr>
          <w:p w:rsidR="0087526F" w:rsidRPr="0087526F" w:rsidRDefault="0087526F" w:rsidP="0087526F">
            <w:pPr>
              <w:pStyle w:val="Table-headingrow1"/>
              <w:jc w:val="center"/>
              <w:rPr>
                <w:sz w:val="20"/>
              </w:rPr>
            </w:pPr>
            <w:r>
              <w:rPr>
                <w:sz w:val="20"/>
              </w:rPr>
              <w:t>Patient feedback forms</w:t>
            </w:r>
          </w:p>
        </w:tc>
      </w:tr>
      <w:tr w:rsidR="0087526F" w:rsidTr="0087526F">
        <w:trPr>
          <w:cantSplit/>
        </w:trPr>
        <w:tc>
          <w:tcPr>
            <w:tcW w:w="2012" w:type="dxa"/>
          </w:tcPr>
          <w:p w:rsidR="0087526F" w:rsidRPr="0087526F" w:rsidRDefault="0087526F" w:rsidP="0087526F">
            <w:pPr>
              <w:pStyle w:val="Table-bodytext"/>
              <w:rPr>
                <w:sz w:val="20"/>
              </w:rPr>
            </w:pPr>
            <w:r>
              <w:rPr>
                <w:sz w:val="20"/>
              </w:rPr>
              <w:t>Sample size (n)</w:t>
            </w:r>
          </w:p>
        </w:tc>
        <w:tc>
          <w:tcPr>
            <w:tcW w:w="2012" w:type="dxa"/>
          </w:tcPr>
          <w:p w:rsidR="0087526F" w:rsidRPr="0087526F" w:rsidRDefault="0087526F" w:rsidP="0087526F">
            <w:pPr>
              <w:pStyle w:val="Table-bodytext"/>
              <w:jc w:val="right"/>
              <w:rPr>
                <w:sz w:val="20"/>
              </w:rPr>
            </w:pPr>
            <w:r>
              <w:rPr>
                <w:sz w:val="20"/>
              </w:rPr>
              <w:t>28</w:t>
            </w:r>
          </w:p>
        </w:tc>
        <w:tc>
          <w:tcPr>
            <w:tcW w:w="2011" w:type="dxa"/>
          </w:tcPr>
          <w:p w:rsidR="0087526F" w:rsidRPr="0087526F" w:rsidRDefault="0087526F" w:rsidP="0087526F">
            <w:pPr>
              <w:pStyle w:val="Table-bodytext"/>
              <w:jc w:val="right"/>
              <w:rPr>
                <w:sz w:val="20"/>
              </w:rPr>
            </w:pPr>
            <w:r>
              <w:rPr>
                <w:sz w:val="20"/>
              </w:rPr>
              <w:t>43</w:t>
            </w:r>
          </w:p>
        </w:tc>
        <w:tc>
          <w:tcPr>
            <w:tcW w:w="2012" w:type="dxa"/>
          </w:tcPr>
          <w:p w:rsidR="0087526F" w:rsidRPr="0087526F" w:rsidRDefault="0087526F" w:rsidP="0087526F">
            <w:pPr>
              <w:pStyle w:val="Table-bodytext"/>
              <w:jc w:val="right"/>
              <w:rPr>
                <w:sz w:val="20"/>
              </w:rPr>
            </w:pPr>
            <w:r>
              <w:rPr>
                <w:sz w:val="20"/>
              </w:rPr>
              <w:t>150</w:t>
            </w:r>
          </w:p>
        </w:tc>
      </w:tr>
      <w:tr w:rsidR="0087526F" w:rsidTr="0087526F">
        <w:trPr>
          <w:cantSplit/>
        </w:trPr>
        <w:tc>
          <w:tcPr>
            <w:tcW w:w="2012" w:type="dxa"/>
          </w:tcPr>
          <w:p w:rsidR="0087526F" w:rsidRPr="0087526F" w:rsidRDefault="0087526F" w:rsidP="0087526F">
            <w:pPr>
              <w:pStyle w:val="Table-bodytext"/>
              <w:rPr>
                <w:sz w:val="20"/>
              </w:rPr>
            </w:pPr>
            <w:r>
              <w:rPr>
                <w:sz w:val="20"/>
              </w:rPr>
              <w:t>Response rate</w:t>
            </w:r>
            <w:r w:rsidR="00774660">
              <w:rPr>
                <w:sz w:val="20"/>
              </w:rPr>
              <w:t xml:space="preserve"> (%)</w:t>
            </w:r>
          </w:p>
        </w:tc>
        <w:tc>
          <w:tcPr>
            <w:tcW w:w="2012" w:type="dxa"/>
          </w:tcPr>
          <w:p w:rsidR="0087526F" w:rsidRPr="0087526F" w:rsidRDefault="0087526F" w:rsidP="0087526F">
            <w:pPr>
              <w:pStyle w:val="Table-bodytext"/>
              <w:jc w:val="right"/>
              <w:rPr>
                <w:sz w:val="20"/>
              </w:rPr>
            </w:pPr>
            <w:r>
              <w:rPr>
                <w:sz w:val="20"/>
              </w:rPr>
              <w:t>76%</w:t>
            </w:r>
            <w:r w:rsidR="008C2521">
              <w:rPr>
                <w:sz w:val="20"/>
              </w:rPr>
              <w:t xml:space="preserve"> (28/37)</w:t>
            </w:r>
          </w:p>
        </w:tc>
        <w:tc>
          <w:tcPr>
            <w:tcW w:w="2011" w:type="dxa"/>
          </w:tcPr>
          <w:p w:rsidR="0087526F" w:rsidRPr="0087526F" w:rsidRDefault="0087526F" w:rsidP="0087526F">
            <w:pPr>
              <w:pStyle w:val="Table-bodytext"/>
              <w:jc w:val="right"/>
              <w:rPr>
                <w:sz w:val="20"/>
              </w:rPr>
            </w:pPr>
            <w:r>
              <w:rPr>
                <w:sz w:val="20"/>
              </w:rPr>
              <w:t xml:space="preserve"> 27%</w:t>
            </w:r>
            <w:r w:rsidR="008C2521">
              <w:rPr>
                <w:sz w:val="20"/>
              </w:rPr>
              <w:t xml:space="preserve"> (43/162)</w:t>
            </w:r>
          </w:p>
        </w:tc>
        <w:tc>
          <w:tcPr>
            <w:tcW w:w="2012" w:type="dxa"/>
          </w:tcPr>
          <w:p w:rsidR="0087526F" w:rsidRPr="0087526F" w:rsidRDefault="00806BD3" w:rsidP="008C2521">
            <w:pPr>
              <w:pStyle w:val="Table-bodytext"/>
              <w:jc w:val="right"/>
              <w:rPr>
                <w:sz w:val="20"/>
              </w:rPr>
            </w:pPr>
            <w:r>
              <w:rPr>
                <w:sz w:val="20"/>
              </w:rPr>
              <w:t>22% (150/690)</w:t>
            </w:r>
            <w:r w:rsidR="00774660" w:rsidRPr="00774660">
              <w:rPr>
                <w:sz w:val="20"/>
                <w:vertAlign w:val="superscript"/>
              </w:rPr>
              <w:t>1</w:t>
            </w:r>
          </w:p>
        </w:tc>
      </w:tr>
    </w:tbl>
    <w:p w:rsidR="0087526F" w:rsidRPr="00774660" w:rsidRDefault="0087526F" w:rsidP="009405C2">
      <w:pPr>
        <w:pStyle w:val="Sourceinformation"/>
        <w:spacing w:before="100" w:after="60"/>
        <w:rPr>
          <w:sz w:val="20"/>
        </w:rPr>
      </w:pPr>
      <w:r w:rsidRPr="00774660">
        <w:rPr>
          <w:b/>
          <w:sz w:val="20"/>
        </w:rPr>
        <w:t>Source:</w:t>
      </w:r>
      <w:r w:rsidRPr="00774660">
        <w:rPr>
          <w:sz w:val="20"/>
        </w:rPr>
        <w:t xml:space="preserve"> </w:t>
      </w:r>
      <w:proofErr w:type="spellStart"/>
      <w:r w:rsidRPr="00774660">
        <w:rPr>
          <w:sz w:val="20"/>
        </w:rPr>
        <w:t>Sapere</w:t>
      </w:r>
      <w:proofErr w:type="spellEnd"/>
      <w:r w:rsidRPr="00774660">
        <w:rPr>
          <w:sz w:val="20"/>
        </w:rPr>
        <w:t xml:space="preserve"> Research Group</w:t>
      </w:r>
    </w:p>
    <w:p w:rsidR="0087526F" w:rsidRPr="00774660" w:rsidRDefault="008C2521" w:rsidP="008C2521">
      <w:pPr>
        <w:pStyle w:val="UnnumtextBodytext"/>
        <w:numPr>
          <w:ilvl w:val="6"/>
          <w:numId w:val="19"/>
        </w:numPr>
        <w:tabs>
          <w:tab w:val="clear" w:pos="360"/>
          <w:tab w:val="num" w:pos="266"/>
        </w:tabs>
        <w:spacing w:after="100" w:afterAutospacing="1" w:line="240" w:lineRule="auto"/>
        <w:ind w:left="266" w:hanging="266"/>
        <w:rPr>
          <w:sz w:val="20"/>
        </w:rPr>
      </w:pPr>
      <w:r>
        <w:rPr>
          <w:sz w:val="20"/>
        </w:rPr>
        <w:t xml:space="preserve">Not strictly a response rate; </w:t>
      </w:r>
      <w:r w:rsidR="00F65706">
        <w:rPr>
          <w:sz w:val="20"/>
        </w:rPr>
        <w:t>sampled from forms received by the provider over</w:t>
      </w:r>
      <w:r w:rsidR="00A12FCC">
        <w:rPr>
          <w:sz w:val="20"/>
        </w:rPr>
        <w:t xml:space="preserve"> a</w:t>
      </w:r>
      <w:r w:rsidR="00F65706">
        <w:rPr>
          <w:sz w:val="20"/>
        </w:rPr>
        <w:t xml:space="preserve"> 12-month period.</w:t>
      </w:r>
    </w:p>
    <w:p w:rsidR="001333D0" w:rsidRDefault="001333D0" w:rsidP="001333D0">
      <w:pPr>
        <w:pStyle w:val="Heading2"/>
      </w:pPr>
      <w:bookmarkStart w:id="46" w:name="_Toc370224431"/>
      <w:bookmarkStart w:id="47" w:name="_Toc423945914"/>
      <w:r>
        <w:lastRenderedPageBreak/>
        <w:t>Quantitative approach</w:t>
      </w:r>
      <w:bookmarkEnd w:id="46"/>
      <w:r w:rsidR="00EC753A">
        <w:t>es</w:t>
      </w:r>
      <w:bookmarkEnd w:id="47"/>
    </w:p>
    <w:p w:rsidR="001333D0" w:rsidRDefault="00292C25" w:rsidP="001333D0">
      <w:pPr>
        <w:pStyle w:val="Heading3"/>
      </w:pPr>
      <w:bookmarkStart w:id="48" w:name="_Toc423945915"/>
      <w:r>
        <w:t>Service volume</w:t>
      </w:r>
      <w:r w:rsidR="00E66DDC">
        <w:t xml:space="preserve"> analysis</w:t>
      </w:r>
      <w:bookmarkEnd w:id="48"/>
    </w:p>
    <w:p w:rsidR="00726AFF" w:rsidRDefault="00D06FC8" w:rsidP="001333D0">
      <w:pPr>
        <w:pStyle w:val="UnnumtextBodytext"/>
      </w:pPr>
      <w:r>
        <w:t xml:space="preserve">Data on the </w:t>
      </w:r>
      <w:r w:rsidR="00950129">
        <w:t xml:space="preserve">volumes delivered under the </w:t>
      </w:r>
      <w:r w:rsidR="001333D0">
        <w:t>service</w:t>
      </w:r>
      <w:r w:rsidR="00950129">
        <w:t>s</w:t>
      </w:r>
      <w:r>
        <w:t xml:space="preserve"> was made available by MSS Ltd </w:t>
      </w:r>
      <w:r w:rsidR="001F493F">
        <w:t>through</w:t>
      </w:r>
      <w:r>
        <w:t xml:space="preserve"> an online portal. We </w:t>
      </w:r>
      <w:proofErr w:type="spellStart"/>
      <w:r>
        <w:t>analysed</w:t>
      </w:r>
      <w:proofErr w:type="spellEnd"/>
      <w:r>
        <w:t xml:space="preserve"> the data for patterns and trends.</w:t>
      </w:r>
      <w:r w:rsidR="00726AFF">
        <w:t xml:space="preserve"> </w:t>
      </w:r>
      <w:r>
        <w:t>T</w:t>
      </w:r>
      <w:r w:rsidR="00726AFF">
        <w:t xml:space="preserve">he key data </w:t>
      </w:r>
      <w:r>
        <w:t>elements identified for the mobile surgical service were</w:t>
      </w:r>
      <w:r w:rsidR="00726AFF">
        <w:t>:</w:t>
      </w:r>
    </w:p>
    <w:p w:rsidR="00726AFF" w:rsidRDefault="00726AFF" w:rsidP="00726AFF">
      <w:pPr>
        <w:pStyle w:val="UnnumtextBullet1"/>
        <w:spacing w:after="170"/>
      </w:pPr>
      <w:r>
        <w:t>discharges by hospital site, health specialty and diagnostic-relating group ( DRG);</w:t>
      </w:r>
    </w:p>
    <w:p w:rsidR="001333D0" w:rsidRDefault="00726AFF" w:rsidP="00726AFF">
      <w:pPr>
        <w:pStyle w:val="UnnumtextBullet1"/>
        <w:spacing w:after="170"/>
      </w:pPr>
      <w:r>
        <w:t>patient demographic information</w:t>
      </w:r>
      <w:r w:rsidR="00D06FC8">
        <w:t>, including sex, age and ethnicity</w:t>
      </w:r>
      <w:r>
        <w:t xml:space="preserve">; </w:t>
      </w:r>
    </w:p>
    <w:p w:rsidR="00726AFF" w:rsidRDefault="00726AFF" w:rsidP="00726AFF">
      <w:pPr>
        <w:pStyle w:val="UnnumtextBullet1"/>
        <w:spacing w:after="170"/>
      </w:pPr>
      <w:r>
        <w:t>patients who did not attend their surgical appointment (“no shows” or DNAs); and</w:t>
      </w:r>
    </w:p>
    <w:p w:rsidR="00726AFF" w:rsidRDefault="001F493F" w:rsidP="00726AFF">
      <w:pPr>
        <w:pStyle w:val="UnnumtextBullet1"/>
        <w:spacing w:after="170"/>
      </w:pPr>
      <w:proofErr w:type="gramStart"/>
      <w:r>
        <w:t>the</w:t>
      </w:r>
      <w:proofErr w:type="gramEnd"/>
      <w:r>
        <w:t xml:space="preserve"> </w:t>
      </w:r>
      <w:r w:rsidR="00726AFF">
        <w:t>number of surgical days per year.</w:t>
      </w:r>
    </w:p>
    <w:p w:rsidR="00981FA2" w:rsidRPr="00981FA2" w:rsidRDefault="00D06FC8" w:rsidP="00950129">
      <w:pPr>
        <w:pStyle w:val="UnnumtextBodytext"/>
      </w:pPr>
      <w:r>
        <w:rPr>
          <w:iCs/>
        </w:rPr>
        <w:t xml:space="preserve">We used this data </w:t>
      </w:r>
      <w:r w:rsidR="00F64518">
        <w:rPr>
          <w:iCs/>
        </w:rPr>
        <w:t xml:space="preserve">for a number of purposes, for example, </w:t>
      </w:r>
      <w:r>
        <w:rPr>
          <w:iCs/>
        </w:rPr>
        <w:t>to build</w:t>
      </w:r>
      <w:r w:rsidR="00F64518">
        <w:rPr>
          <w:iCs/>
        </w:rPr>
        <w:t xml:space="preserve"> </w:t>
      </w:r>
      <w:r>
        <w:rPr>
          <w:iCs/>
        </w:rPr>
        <w:t>a picture of performance against contract</w:t>
      </w:r>
      <w:r w:rsidR="00F64518">
        <w:rPr>
          <w:iCs/>
        </w:rPr>
        <w:t xml:space="preserve"> and to </w:t>
      </w:r>
      <w:r w:rsidR="001F493F">
        <w:rPr>
          <w:iCs/>
        </w:rPr>
        <w:t xml:space="preserve">inform our consideration of </w:t>
      </w:r>
      <w:r w:rsidR="001F493F" w:rsidRPr="00981FA2">
        <w:rPr>
          <w:iCs/>
        </w:rPr>
        <w:t>patient access</w:t>
      </w:r>
      <w:r w:rsidR="00F64518">
        <w:rPr>
          <w:iCs/>
        </w:rPr>
        <w:t xml:space="preserve"> to the mobile surgical service. To that end</w:t>
      </w:r>
      <w:r w:rsidR="001F493F">
        <w:rPr>
          <w:iCs/>
        </w:rPr>
        <w:t xml:space="preserve">, we </w:t>
      </w:r>
      <w:r>
        <w:rPr>
          <w:iCs/>
        </w:rPr>
        <w:t>estimated the rate of “did no</w:t>
      </w:r>
      <w:r w:rsidR="001F493F">
        <w:rPr>
          <w:iCs/>
        </w:rPr>
        <w:t>t</w:t>
      </w:r>
      <w:r>
        <w:rPr>
          <w:iCs/>
        </w:rPr>
        <w:t xml:space="preserve"> </w:t>
      </w:r>
      <w:proofErr w:type="gramStart"/>
      <w:r>
        <w:rPr>
          <w:iCs/>
        </w:rPr>
        <w:t>attends</w:t>
      </w:r>
      <w:proofErr w:type="gramEnd"/>
      <w:r>
        <w:rPr>
          <w:iCs/>
        </w:rPr>
        <w:t>”</w:t>
      </w:r>
      <w:r w:rsidR="001F493F">
        <w:rPr>
          <w:iCs/>
        </w:rPr>
        <w:t xml:space="preserve"> for the </w:t>
      </w:r>
      <w:r w:rsidR="00F64518">
        <w:rPr>
          <w:iCs/>
        </w:rPr>
        <w:t>mobile surgical bus</w:t>
      </w:r>
      <w:r>
        <w:rPr>
          <w:iCs/>
        </w:rPr>
        <w:t xml:space="preserve"> and compared that with average rates across district health boards. </w:t>
      </w:r>
      <w:r w:rsidR="001F493F">
        <w:rPr>
          <w:iCs/>
        </w:rPr>
        <w:t xml:space="preserve">We also considered </w:t>
      </w:r>
      <w:r w:rsidR="00950129">
        <w:rPr>
          <w:iCs/>
        </w:rPr>
        <w:t xml:space="preserve">whether </w:t>
      </w:r>
      <w:r w:rsidR="001333D0" w:rsidRPr="00981FA2">
        <w:t>the service</w:t>
      </w:r>
      <w:r w:rsidR="00950129">
        <w:t xml:space="preserve"> </w:t>
      </w:r>
      <w:r w:rsidR="001333D0" w:rsidRPr="00981FA2">
        <w:t>help</w:t>
      </w:r>
      <w:r w:rsidR="00950129">
        <w:t>s</w:t>
      </w:r>
      <w:r w:rsidR="001333D0" w:rsidRPr="00981FA2">
        <w:t xml:space="preserve"> </w:t>
      </w:r>
      <w:r w:rsidR="00950129">
        <w:t xml:space="preserve">to </w:t>
      </w:r>
      <w:r w:rsidR="001333D0" w:rsidRPr="00981FA2">
        <w:t xml:space="preserve">reduce </w:t>
      </w:r>
      <w:r w:rsidR="00AA5FF3">
        <w:t xml:space="preserve">health </w:t>
      </w:r>
      <w:r w:rsidR="001333D0" w:rsidRPr="00981FA2">
        <w:t>inequalitie</w:t>
      </w:r>
      <w:r w:rsidR="00F64518">
        <w:t>s f</w:t>
      </w:r>
      <w:r w:rsidR="00AA5FF3">
        <w:t>or</w:t>
      </w:r>
      <w:r w:rsidR="001333D0" w:rsidRPr="00981FA2">
        <w:t xml:space="preserve"> Māori and Pacific peoples</w:t>
      </w:r>
      <w:r w:rsidR="00AA5FF3">
        <w:t xml:space="preserve">, </w:t>
      </w:r>
      <w:r w:rsidR="001F493F">
        <w:t xml:space="preserve">by examining </w:t>
      </w:r>
      <w:r w:rsidR="00AA5FF3">
        <w:t xml:space="preserve">discharges by ethnicity and </w:t>
      </w:r>
      <w:r w:rsidR="001F493F">
        <w:t xml:space="preserve">comparing </w:t>
      </w:r>
      <w:r w:rsidR="00AA5FF3">
        <w:t>the representation of those groups with</w:t>
      </w:r>
      <w:r w:rsidR="00F64518">
        <w:t xml:space="preserve"> </w:t>
      </w:r>
      <w:r w:rsidR="00C41745">
        <w:t xml:space="preserve">their representation among estimates of </w:t>
      </w:r>
      <w:r w:rsidR="00AA5FF3">
        <w:t>the rural population</w:t>
      </w:r>
      <w:r w:rsidR="001333D0" w:rsidRPr="00981FA2">
        <w:t xml:space="preserve">. </w:t>
      </w:r>
    </w:p>
    <w:p w:rsidR="001333D0" w:rsidRDefault="00B2463F" w:rsidP="00292C25">
      <w:pPr>
        <w:pStyle w:val="Heading3"/>
      </w:pPr>
      <w:bookmarkStart w:id="49" w:name="_Toc423945916"/>
      <w:r>
        <w:t>Economic</w:t>
      </w:r>
      <w:r w:rsidR="001333D0">
        <w:t xml:space="preserve"> analysis</w:t>
      </w:r>
      <w:bookmarkEnd w:id="49"/>
      <w:r w:rsidR="001333D0">
        <w:t xml:space="preserve"> </w:t>
      </w:r>
    </w:p>
    <w:p w:rsidR="001333D0" w:rsidRDefault="001333D0" w:rsidP="001333D0">
      <w:pPr>
        <w:pStyle w:val="UnnumtextBodytext"/>
      </w:pPr>
      <w:r>
        <w:t xml:space="preserve">We </w:t>
      </w:r>
      <w:r w:rsidR="003B7B6D">
        <w:t xml:space="preserve">explored options for conducting </w:t>
      </w:r>
      <w:r w:rsidR="00206D80">
        <w:t xml:space="preserve">a </w:t>
      </w:r>
      <w:r w:rsidR="003B7B6D">
        <w:t xml:space="preserve">formal </w:t>
      </w:r>
      <w:r>
        <w:t>cost-effectiveness analysis of t</w:t>
      </w:r>
      <w:r w:rsidR="00206D80">
        <w:t xml:space="preserve">he mobile surgical service. The aim was to gain </w:t>
      </w:r>
      <w:r>
        <w:t xml:space="preserve">insights into the costs of the current service, relative to a plausible </w:t>
      </w:r>
      <w:r w:rsidR="00206D80">
        <w:t>alternative service that would d</w:t>
      </w:r>
      <w:r>
        <w:t xml:space="preserve">eliver equivalent health outcomes. </w:t>
      </w:r>
      <w:r w:rsidR="003A2C67">
        <w:t>Ultimately, t</w:t>
      </w:r>
      <w:r w:rsidR="00206D80">
        <w:t xml:space="preserve">his </w:t>
      </w:r>
      <w:r w:rsidR="003B7B6D">
        <w:t xml:space="preserve">approach </w:t>
      </w:r>
      <w:r w:rsidR="003A2C67">
        <w:t xml:space="preserve">proved to be </w:t>
      </w:r>
      <w:r w:rsidR="003B7B6D">
        <w:t xml:space="preserve">not possible </w:t>
      </w:r>
      <w:r w:rsidR="00206D80">
        <w:t>because we were unable to obtain</w:t>
      </w:r>
      <w:r w:rsidR="00981FA2">
        <w:t xml:space="preserve"> sufficiently detailed financial data from the provider or district health boards.</w:t>
      </w:r>
      <w:r w:rsidR="00206D80">
        <w:t xml:space="preserve"> </w:t>
      </w:r>
    </w:p>
    <w:p w:rsidR="00BB3135" w:rsidRDefault="00BB3135" w:rsidP="00BB3135">
      <w:pPr>
        <w:pStyle w:val="UnnumtextBodytext"/>
      </w:pPr>
      <w:r>
        <w:t xml:space="preserve">Instead, we </w:t>
      </w:r>
      <w:r w:rsidR="003B7B6D">
        <w:t>look at ways to glean insights into cost-</w:t>
      </w:r>
      <w:r>
        <w:t xml:space="preserve">effectiveness from </w:t>
      </w:r>
      <w:r w:rsidR="003B7B6D">
        <w:t xml:space="preserve">some observations, </w:t>
      </w:r>
      <w:r>
        <w:t xml:space="preserve">partial metrics, </w:t>
      </w:r>
      <w:r w:rsidR="003B7B6D">
        <w:t>and the contract</w:t>
      </w:r>
      <w:r>
        <w:t xml:space="preserve"> currently in place. Th</w:t>
      </w:r>
      <w:r w:rsidR="003B7B6D">
        <w:t xml:space="preserve">is approach is </w:t>
      </w:r>
      <w:r>
        <w:t xml:space="preserve">necessarily descriptive rather than numerical </w:t>
      </w:r>
      <w:r w:rsidR="003B7B6D">
        <w:t xml:space="preserve">in </w:t>
      </w:r>
      <w:r>
        <w:t xml:space="preserve">emphasis. The </w:t>
      </w:r>
      <w:r w:rsidR="00A84D4F">
        <w:t xml:space="preserve">current contract, which outlines </w:t>
      </w:r>
      <w:r w:rsidR="003B7B6D">
        <w:t>prices and volumes</w:t>
      </w:r>
      <w:r w:rsidR="00A84D4F">
        <w:t>,</w:t>
      </w:r>
      <w:r w:rsidR="003B7B6D">
        <w:t xml:space="preserve"> </w:t>
      </w:r>
      <w:r>
        <w:t xml:space="preserve">is </w:t>
      </w:r>
      <w:r w:rsidR="003B7B6D">
        <w:t>a</w:t>
      </w:r>
      <w:r>
        <w:t xml:space="preserve"> </w:t>
      </w:r>
      <w:r w:rsidR="00A84D4F">
        <w:t xml:space="preserve">key </w:t>
      </w:r>
      <w:r>
        <w:t>source of information</w:t>
      </w:r>
      <w:r w:rsidR="003B7B6D">
        <w:t xml:space="preserve">, along with actual volumes delivered </w:t>
      </w:r>
      <w:r w:rsidR="00A84D4F">
        <w:t xml:space="preserve">and the extent to which the contract has been fulfilled. </w:t>
      </w:r>
      <w:r w:rsidR="00F7219E">
        <w:t>We examine the “gap” between the effective unit price in the provider’s contract</w:t>
      </w:r>
      <w:r w:rsidR="00F7219E" w:rsidRPr="00A84D4F">
        <w:t xml:space="preserve"> </w:t>
      </w:r>
      <w:r w:rsidR="00F7219E">
        <w:t xml:space="preserve">in relation to the national case-weight price used by DHBs, and how this has changed over time.  </w:t>
      </w:r>
      <w:r w:rsidR="00A84D4F">
        <w:t xml:space="preserve">We also consider information on </w:t>
      </w:r>
      <w:r w:rsidR="003B7B6D">
        <w:t xml:space="preserve">the </w:t>
      </w:r>
      <w:r w:rsidR="00A84D4F">
        <w:t xml:space="preserve">actual and avoided </w:t>
      </w:r>
      <w:r w:rsidR="003B7B6D">
        <w:t xml:space="preserve">costs borne by the </w:t>
      </w:r>
      <w:r w:rsidR="00A84D4F">
        <w:t>health system and patients</w:t>
      </w:r>
      <w:r w:rsidR="00F7219E">
        <w:t xml:space="preserve"> and how this affects this unit price “gap”</w:t>
      </w:r>
      <w:r>
        <w:t xml:space="preserve">. </w:t>
      </w:r>
    </w:p>
    <w:p w:rsidR="00AC54F9" w:rsidRPr="00D902B5" w:rsidRDefault="00AC54F9" w:rsidP="00297DB5">
      <w:pPr>
        <w:pStyle w:val="UnnumtextBodytext"/>
      </w:pPr>
    </w:p>
    <w:p w:rsidR="00297DB5" w:rsidRPr="00D902B5" w:rsidRDefault="00297DB5" w:rsidP="00297DB5">
      <w:pPr>
        <w:pStyle w:val="UnnumtextBodytext"/>
      </w:pPr>
    </w:p>
    <w:p w:rsidR="00AC54F9" w:rsidRDefault="001515D7" w:rsidP="00AC54F9">
      <w:pPr>
        <w:pStyle w:val="Heading1"/>
      </w:pPr>
      <w:bookmarkStart w:id="50" w:name="_Toc423945917"/>
      <w:r>
        <w:lastRenderedPageBreak/>
        <w:t>Mobile surg</w:t>
      </w:r>
      <w:r w:rsidR="0082712E">
        <w:t>ery – service impacts</w:t>
      </w:r>
      <w:bookmarkEnd w:id="50"/>
    </w:p>
    <w:p w:rsidR="00292C25" w:rsidRDefault="00292C25" w:rsidP="00292C25">
      <w:pPr>
        <w:pStyle w:val="Heading2"/>
      </w:pPr>
      <w:bookmarkStart w:id="51" w:name="_Toc423945918"/>
      <w:r>
        <w:t>Service provision</w:t>
      </w:r>
      <w:r w:rsidR="00D2708B">
        <w:t xml:space="preserve"> at multiple rural sites</w:t>
      </w:r>
      <w:bookmarkEnd w:id="51"/>
    </w:p>
    <w:p w:rsidR="0053570C" w:rsidRDefault="00E66DDC" w:rsidP="0028029C">
      <w:pPr>
        <w:pStyle w:val="UnnumtextBodytext"/>
      </w:pPr>
      <w:r>
        <w:t xml:space="preserve">The mobile surgical bus </w:t>
      </w:r>
      <w:r w:rsidR="0053570C">
        <w:t xml:space="preserve">runs </w:t>
      </w:r>
      <w:r>
        <w:t>on a five</w:t>
      </w:r>
      <w:r w:rsidR="004B4B48">
        <w:t>-</w:t>
      </w:r>
      <w:r>
        <w:t>week cycle</w:t>
      </w:r>
      <w:r w:rsidR="00FD2E05">
        <w:t xml:space="preserve"> and o</w:t>
      </w:r>
      <w:r>
        <w:t>perat</w:t>
      </w:r>
      <w:r w:rsidR="00FD2E05">
        <w:t xml:space="preserve">es </w:t>
      </w:r>
      <w:r>
        <w:t xml:space="preserve">at </w:t>
      </w:r>
      <w:r w:rsidR="00E3191F">
        <w:t>around 24</w:t>
      </w:r>
      <w:r>
        <w:t xml:space="preserve"> sites </w:t>
      </w:r>
      <w:r w:rsidR="004B4B48">
        <w:t>in</w:t>
      </w:r>
      <w:r>
        <w:t xml:space="preserve"> a year. The sites </w:t>
      </w:r>
      <w:r w:rsidR="0053570C">
        <w:t>are mostly rural hospitals</w:t>
      </w:r>
      <w:r w:rsidR="004B4B48">
        <w:t xml:space="preserve"> that are</w:t>
      </w:r>
      <w:r w:rsidR="0053570C">
        <w:t xml:space="preserve"> owned and operated by a district health board or a community trust</w:t>
      </w:r>
      <w:r w:rsidR="004B4B48">
        <w:t xml:space="preserve">, </w:t>
      </w:r>
      <w:r w:rsidR="0084799A">
        <w:t xml:space="preserve">along </w:t>
      </w:r>
      <w:r w:rsidR="0053570C">
        <w:t xml:space="preserve">with a small number of medical </w:t>
      </w:r>
      <w:proofErr w:type="spellStart"/>
      <w:r w:rsidR="0053570C">
        <w:t>centres</w:t>
      </w:r>
      <w:proofErr w:type="spellEnd"/>
      <w:r w:rsidR="0053570C">
        <w:t xml:space="preserve">. </w:t>
      </w:r>
      <w:r w:rsidR="004B4B48">
        <w:t>The bus is regularly hosted</w:t>
      </w:r>
      <w:r w:rsidR="00FD2E05">
        <w:t xml:space="preserve"> in</w:t>
      </w:r>
      <w:r w:rsidR="0053570C">
        <w:t xml:space="preserve"> 1</w:t>
      </w:r>
      <w:r w:rsidR="00E3191F">
        <w:t>5</w:t>
      </w:r>
      <w:r w:rsidR="0053570C">
        <w:t xml:space="preserve"> out of 20 districts, with the exceptions </w:t>
      </w:r>
      <w:r w:rsidR="00FD2E05">
        <w:t>being</w:t>
      </w:r>
      <w:r w:rsidR="0053570C">
        <w:t xml:space="preserve"> Auckland, Bay of Plenty, </w:t>
      </w:r>
      <w:r w:rsidR="00FD2E05">
        <w:t xml:space="preserve">Hutt, </w:t>
      </w:r>
      <w:r w:rsidR="0053570C">
        <w:t xml:space="preserve">Lakes and South Canterbury. </w:t>
      </w:r>
      <w:r w:rsidR="00453239">
        <w:fldChar w:fldCharType="begin"/>
      </w:r>
      <w:r w:rsidR="00453239">
        <w:instrText xml:space="preserve"> REF _Ref380499507 \h </w:instrText>
      </w:r>
      <w:r w:rsidR="00453239">
        <w:fldChar w:fldCharType="separate"/>
      </w:r>
      <w:r w:rsidR="00CA314A">
        <w:t xml:space="preserve">Table </w:t>
      </w:r>
      <w:r w:rsidR="00CA314A">
        <w:rPr>
          <w:noProof/>
        </w:rPr>
        <w:t>4</w:t>
      </w:r>
      <w:r w:rsidR="00453239">
        <w:fldChar w:fldCharType="end"/>
      </w:r>
      <w:r w:rsidR="00453239">
        <w:t xml:space="preserve"> </w:t>
      </w:r>
      <w:r w:rsidR="0084799A">
        <w:t>lists the regular sites and s</w:t>
      </w:r>
      <w:r w:rsidR="004B4B48">
        <w:t xml:space="preserve">hows that nine boards </w:t>
      </w:r>
      <w:r w:rsidR="00FD2E05">
        <w:t>have a single s</w:t>
      </w:r>
      <w:r w:rsidR="004B4B48">
        <w:t>ite</w:t>
      </w:r>
      <w:r w:rsidR="00FD2E05">
        <w:t xml:space="preserve"> </w:t>
      </w:r>
      <w:r w:rsidR="0084799A">
        <w:t xml:space="preserve">with five having </w:t>
      </w:r>
      <w:r w:rsidR="004B4B48">
        <w:t>two sites. Southern DHB</w:t>
      </w:r>
      <w:r w:rsidR="0084799A">
        <w:t xml:space="preserve">, previously Southland and </w:t>
      </w:r>
      <w:proofErr w:type="spellStart"/>
      <w:r w:rsidR="0084799A">
        <w:t>Otago</w:t>
      </w:r>
      <w:proofErr w:type="spellEnd"/>
      <w:r w:rsidR="0084799A">
        <w:t>,</w:t>
      </w:r>
      <w:r w:rsidR="00FD2E05">
        <w:t xml:space="preserve"> </w:t>
      </w:r>
      <w:r w:rsidR="004B4B48">
        <w:t>has five sites</w:t>
      </w:r>
      <w:r w:rsidR="00E3191F">
        <w:t xml:space="preserve">. </w:t>
      </w:r>
    </w:p>
    <w:p w:rsidR="00FE462B" w:rsidRDefault="00FE462B" w:rsidP="00FE462B">
      <w:pPr>
        <w:pStyle w:val="UnnumtextBodytext"/>
      </w:pPr>
      <w:r>
        <w:t xml:space="preserve">The national circuit comprises five sections, as outlined below. A team of charge nurse, </w:t>
      </w:r>
      <w:proofErr w:type="spellStart"/>
      <w:r w:rsidRPr="0028029C">
        <w:t>anaestheti</w:t>
      </w:r>
      <w:r>
        <w:t>c</w:t>
      </w:r>
      <w:proofErr w:type="spellEnd"/>
      <w:r w:rsidRPr="0028029C">
        <w:t xml:space="preserve"> technician</w:t>
      </w:r>
      <w:r>
        <w:t xml:space="preserve">, and </w:t>
      </w:r>
      <w:proofErr w:type="spellStart"/>
      <w:r>
        <w:t>anae</w:t>
      </w:r>
      <w:r w:rsidR="00E12540">
        <w:t>s</w:t>
      </w:r>
      <w:r>
        <w:t>thetist</w:t>
      </w:r>
      <w:proofErr w:type="spellEnd"/>
      <w:r>
        <w:t xml:space="preserve"> travels with the bus and meets up with the scheduled surgeon at each stop, depending on the specialty agreed with the district health board. A team of four nurses is sourced at each stop, usually from a rural hospital or medical </w:t>
      </w:r>
      <w:proofErr w:type="spellStart"/>
      <w:r>
        <w:t>centre</w:t>
      </w:r>
      <w:proofErr w:type="spellEnd"/>
      <w:r>
        <w:t>.</w:t>
      </w:r>
    </w:p>
    <w:p w:rsidR="00FE462B" w:rsidRDefault="00FE462B" w:rsidP="00FE462B">
      <w:pPr>
        <w:pStyle w:val="UnnumtextBullet1"/>
      </w:pPr>
      <w:r>
        <w:t xml:space="preserve">Week 1: </w:t>
      </w:r>
      <w:proofErr w:type="spellStart"/>
      <w:r>
        <w:t>Kaikohe</w:t>
      </w:r>
      <w:proofErr w:type="spellEnd"/>
      <w:r>
        <w:t xml:space="preserve">, </w:t>
      </w:r>
      <w:proofErr w:type="spellStart"/>
      <w:r>
        <w:t>Dargaville</w:t>
      </w:r>
      <w:proofErr w:type="spellEnd"/>
      <w:r>
        <w:t xml:space="preserve">, </w:t>
      </w:r>
      <w:proofErr w:type="spellStart"/>
      <w:r>
        <w:t>Warkworth</w:t>
      </w:r>
      <w:proofErr w:type="spellEnd"/>
      <w:r>
        <w:t xml:space="preserve">, </w:t>
      </w:r>
      <w:proofErr w:type="spellStart"/>
      <w:r>
        <w:t>Pukekohe</w:t>
      </w:r>
      <w:proofErr w:type="spellEnd"/>
      <w:r>
        <w:t xml:space="preserve">, then maintenance at </w:t>
      </w:r>
      <w:proofErr w:type="spellStart"/>
      <w:r>
        <w:t>Rotorua</w:t>
      </w:r>
      <w:proofErr w:type="spellEnd"/>
    </w:p>
    <w:p w:rsidR="00FE462B" w:rsidRDefault="00FE462B" w:rsidP="00FE462B">
      <w:pPr>
        <w:pStyle w:val="UnnumtextBullet1"/>
        <w:spacing w:after="120"/>
      </w:pPr>
      <w:r>
        <w:t xml:space="preserve">Week 2: </w:t>
      </w:r>
      <w:proofErr w:type="spellStart"/>
      <w:r>
        <w:t>Te</w:t>
      </w:r>
      <w:proofErr w:type="spellEnd"/>
      <w:r>
        <w:t xml:space="preserve"> </w:t>
      </w:r>
      <w:proofErr w:type="spellStart"/>
      <w:r>
        <w:t>Puia</w:t>
      </w:r>
      <w:proofErr w:type="spellEnd"/>
      <w:r>
        <w:t xml:space="preserve">, </w:t>
      </w:r>
      <w:proofErr w:type="spellStart"/>
      <w:r>
        <w:t>Wairoa</w:t>
      </w:r>
      <w:proofErr w:type="spellEnd"/>
      <w:r>
        <w:t xml:space="preserve">, </w:t>
      </w:r>
      <w:proofErr w:type="spellStart"/>
      <w:r>
        <w:t>Waipukurau</w:t>
      </w:r>
      <w:proofErr w:type="spellEnd"/>
      <w:r>
        <w:t xml:space="preserve">, </w:t>
      </w:r>
      <w:proofErr w:type="spellStart"/>
      <w:r>
        <w:t>Dannevirke</w:t>
      </w:r>
      <w:proofErr w:type="spellEnd"/>
      <w:r>
        <w:t xml:space="preserve">, </w:t>
      </w:r>
      <w:proofErr w:type="spellStart"/>
      <w:r>
        <w:t>Taihape</w:t>
      </w:r>
      <w:proofErr w:type="spellEnd"/>
    </w:p>
    <w:p w:rsidR="00FE462B" w:rsidRDefault="00FE462B" w:rsidP="00FE462B">
      <w:pPr>
        <w:pStyle w:val="UnnumtextBullet1"/>
        <w:spacing w:after="120"/>
      </w:pPr>
      <w:r>
        <w:t xml:space="preserve">Week 3: </w:t>
      </w:r>
      <w:proofErr w:type="spellStart"/>
      <w:r>
        <w:t>Waikari</w:t>
      </w:r>
      <w:proofErr w:type="spellEnd"/>
      <w:r>
        <w:t xml:space="preserve">, </w:t>
      </w:r>
      <w:proofErr w:type="spellStart"/>
      <w:r>
        <w:t>Ashburton</w:t>
      </w:r>
      <w:proofErr w:type="spellEnd"/>
      <w:r>
        <w:t xml:space="preserve">, </w:t>
      </w:r>
      <w:proofErr w:type="spellStart"/>
      <w:r>
        <w:t>Oamaru</w:t>
      </w:r>
      <w:proofErr w:type="spellEnd"/>
      <w:r>
        <w:t xml:space="preserve">, </w:t>
      </w:r>
      <w:proofErr w:type="spellStart"/>
      <w:r>
        <w:t>Balclutha</w:t>
      </w:r>
      <w:proofErr w:type="spellEnd"/>
      <w:r>
        <w:t>, Gore</w:t>
      </w:r>
    </w:p>
    <w:p w:rsidR="00FE462B" w:rsidRDefault="00FE462B" w:rsidP="00FE462B">
      <w:pPr>
        <w:pStyle w:val="UnnumtextBullet1"/>
        <w:spacing w:after="120"/>
      </w:pPr>
      <w:r>
        <w:t xml:space="preserve">Week 4: Queenstown, Dunstan, back to Christchurch to re-stock and conduct maintenance, then </w:t>
      </w:r>
      <w:proofErr w:type="spellStart"/>
      <w:r>
        <w:t>Buller</w:t>
      </w:r>
      <w:proofErr w:type="spellEnd"/>
      <w:r>
        <w:t xml:space="preserve"> and </w:t>
      </w:r>
      <w:proofErr w:type="spellStart"/>
      <w:r>
        <w:t>Takaka</w:t>
      </w:r>
      <w:proofErr w:type="spellEnd"/>
      <w:r>
        <w:t xml:space="preserve"> or </w:t>
      </w:r>
      <w:proofErr w:type="spellStart"/>
      <w:r>
        <w:t>Motueka</w:t>
      </w:r>
      <w:proofErr w:type="spellEnd"/>
      <w:r>
        <w:t xml:space="preserve"> (alternate sites)</w:t>
      </w:r>
    </w:p>
    <w:p w:rsidR="00FE462B" w:rsidRDefault="00FE462B" w:rsidP="00FE462B">
      <w:pPr>
        <w:pStyle w:val="UnnumtextBullet1"/>
        <w:spacing w:after="170"/>
      </w:pPr>
      <w:r>
        <w:t xml:space="preserve">Week 5: </w:t>
      </w:r>
      <w:proofErr w:type="spellStart"/>
      <w:r>
        <w:t>Featherston</w:t>
      </w:r>
      <w:proofErr w:type="spellEnd"/>
      <w:r>
        <w:t xml:space="preserve">, </w:t>
      </w:r>
      <w:proofErr w:type="spellStart"/>
      <w:r>
        <w:t>Kapiti</w:t>
      </w:r>
      <w:proofErr w:type="spellEnd"/>
      <w:r>
        <w:t xml:space="preserve">, Levin, </w:t>
      </w:r>
      <w:proofErr w:type="spellStart"/>
      <w:r>
        <w:t>Hawera</w:t>
      </w:r>
      <w:proofErr w:type="spellEnd"/>
      <w:r>
        <w:t xml:space="preserve"> and </w:t>
      </w:r>
      <w:proofErr w:type="spellStart"/>
      <w:r>
        <w:t>Taumaranui</w:t>
      </w:r>
      <w:proofErr w:type="spellEnd"/>
    </w:p>
    <w:p w:rsidR="0053570C" w:rsidRDefault="0053570C" w:rsidP="00F45C0F">
      <w:pPr>
        <w:pStyle w:val="Caption"/>
        <w:spacing w:before="100" w:beforeAutospacing="1" w:after="120"/>
      </w:pPr>
      <w:bookmarkStart w:id="52" w:name="_Ref380499507"/>
      <w:bookmarkStart w:id="53" w:name="_Toc380599926"/>
      <w:bookmarkStart w:id="54" w:name="_Toc380605815"/>
      <w:bookmarkStart w:id="55" w:name="_Toc423945974"/>
      <w:r>
        <w:t xml:space="preserve">Table </w:t>
      </w:r>
      <w:fldSimple w:instr=" SEQ Table \* ARABIC ">
        <w:r w:rsidR="00CA314A">
          <w:rPr>
            <w:noProof/>
          </w:rPr>
          <w:t>4</w:t>
        </w:r>
      </w:fldSimple>
      <w:bookmarkEnd w:id="52"/>
      <w:r w:rsidR="00F45C0F">
        <w:rPr>
          <w:noProof/>
        </w:rPr>
        <w:t>:</w:t>
      </w:r>
      <w:r>
        <w:t xml:space="preserve"> List of regular rural sites, by district health board, 2012/13</w:t>
      </w:r>
      <w:bookmarkEnd w:id="53"/>
      <w:bookmarkEnd w:id="54"/>
      <w:bookmarkEnd w:id="55"/>
    </w:p>
    <w:tbl>
      <w:tblPr>
        <w:tblStyle w:val="TableSapereGrid"/>
        <w:tblW w:w="7088" w:type="dxa"/>
        <w:tblInd w:w="108" w:type="dxa"/>
        <w:tblLayout w:type="fixed"/>
        <w:tblCellMar>
          <w:top w:w="142" w:type="dxa"/>
          <w:bottom w:w="142" w:type="dxa"/>
        </w:tblCellMar>
        <w:tblLook w:val="0620" w:firstRow="1" w:lastRow="0" w:firstColumn="0" w:lastColumn="0" w:noHBand="1" w:noVBand="1"/>
        <w:tblCaption w:val="Table 4: List of regular rural sites, by district health board, 2012/13"/>
      </w:tblPr>
      <w:tblGrid>
        <w:gridCol w:w="2835"/>
        <w:gridCol w:w="4253"/>
      </w:tblGrid>
      <w:tr w:rsidR="0053570C" w:rsidRPr="0053570C" w:rsidTr="00B6631C">
        <w:trPr>
          <w:cnfStyle w:val="100000000000" w:firstRow="1" w:lastRow="0" w:firstColumn="0" w:lastColumn="0" w:oddVBand="0" w:evenVBand="0" w:oddHBand="0" w:evenHBand="0" w:firstRowFirstColumn="0" w:firstRowLastColumn="0" w:lastRowFirstColumn="0" w:lastRowLastColumn="0"/>
          <w:cantSplit/>
        </w:trPr>
        <w:tc>
          <w:tcPr>
            <w:tcW w:w="2835" w:type="dxa"/>
          </w:tcPr>
          <w:p w:rsidR="0053570C" w:rsidRPr="0053570C" w:rsidRDefault="0053570C" w:rsidP="0053570C">
            <w:pPr>
              <w:pStyle w:val="Table-headingrow1"/>
              <w:rPr>
                <w:sz w:val="20"/>
              </w:rPr>
            </w:pPr>
            <w:r>
              <w:rPr>
                <w:sz w:val="20"/>
              </w:rPr>
              <w:t>District Health Board</w:t>
            </w:r>
          </w:p>
        </w:tc>
        <w:tc>
          <w:tcPr>
            <w:tcW w:w="4253" w:type="dxa"/>
          </w:tcPr>
          <w:p w:rsidR="0053570C" w:rsidRPr="0053570C" w:rsidRDefault="0053570C" w:rsidP="0053570C">
            <w:pPr>
              <w:pStyle w:val="Table-headingrow1"/>
              <w:rPr>
                <w:sz w:val="20"/>
              </w:rPr>
            </w:pPr>
            <w:r>
              <w:rPr>
                <w:sz w:val="20"/>
              </w:rPr>
              <w:t>Rural sites hosting the surgical bus</w:t>
            </w:r>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Canterbury</w:t>
            </w:r>
            <w:r w:rsidR="00AF5796">
              <w:rPr>
                <w:sz w:val="20"/>
              </w:rPr>
              <w:t xml:space="preserve"> (2)</w:t>
            </w:r>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Ashburton</w:t>
            </w:r>
            <w:proofErr w:type="spellEnd"/>
            <w:r>
              <w:rPr>
                <w:sz w:val="20"/>
              </w:rPr>
              <w:t xml:space="preserve">, </w:t>
            </w:r>
            <w:proofErr w:type="spellStart"/>
            <w:r w:rsidRPr="0053570C">
              <w:rPr>
                <w:sz w:val="20"/>
              </w:rPr>
              <w:t>Waikari</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Capital &amp; Coast</w:t>
            </w:r>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Kapiti</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 xml:space="preserve">Counties </w:t>
            </w:r>
            <w:proofErr w:type="spellStart"/>
            <w:r w:rsidRPr="0053570C">
              <w:rPr>
                <w:sz w:val="20"/>
              </w:rPr>
              <w:t>Manukau</w:t>
            </w:r>
            <w:proofErr w:type="spellEnd"/>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Pukekohe</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Hawkes Bay</w:t>
            </w:r>
            <w:r w:rsidR="00AF5796">
              <w:rPr>
                <w:sz w:val="20"/>
              </w:rPr>
              <w:t xml:space="preserve"> (2)</w:t>
            </w:r>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Waipukurau</w:t>
            </w:r>
            <w:proofErr w:type="spellEnd"/>
            <w:r w:rsidRPr="0053570C">
              <w:rPr>
                <w:sz w:val="20"/>
              </w:rPr>
              <w:t xml:space="preserve">, </w:t>
            </w:r>
            <w:proofErr w:type="spellStart"/>
            <w:r w:rsidRPr="0053570C">
              <w:rPr>
                <w:sz w:val="20"/>
              </w:rPr>
              <w:t>Wairoa</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proofErr w:type="spellStart"/>
            <w:r w:rsidRPr="0053570C">
              <w:rPr>
                <w:sz w:val="20"/>
              </w:rPr>
              <w:t>MidCentral</w:t>
            </w:r>
            <w:proofErr w:type="spellEnd"/>
            <w:r w:rsidR="00AF5796">
              <w:rPr>
                <w:sz w:val="20"/>
              </w:rPr>
              <w:t xml:space="preserve"> (2)</w:t>
            </w:r>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Dannevirke</w:t>
            </w:r>
            <w:proofErr w:type="spellEnd"/>
            <w:r w:rsidRPr="0053570C">
              <w:rPr>
                <w:sz w:val="20"/>
              </w:rPr>
              <w:t>, Levin</w:t>
            </w:r>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Nelson Marlborough</w:t>
            </w:r>
            <w:r w:rsidR="00AF5796">
              <w:rPr>
                <w:sz w:val="20"/>
              </w:rPr>
              <w:t xml:space="preserve"> (2)</w:t>
            </w:r>
          </w:p>
        </w:tc>
        <w:tc>
          <w:tcPr>
            <w:tcW w:w="4253" w:type="dxa"/>
            <w:tcMar>
              <w:top w:w="28" w:type="dxa"/>
              <w:bottom w:w="57" w:type="dxa"/>
            </w:tcMar>
          </w:tcPr>
          <w:p w:rsidR="0053570C" w:rsidRPr="0053570C" w:rsidRDefault="0053570C" w:rsidP="009B1C60">
            <w:pPr>
              <w:spacing w:after="0"/>
              <w:rPr>
                <w:sz w:val="20"/>
              </w:rPr>
            </w:pPr>
            <w:proofErr w:type="spellStart"/>
            <w:r>
              <w:rPr>
                <w:sz w:val="20"/>
              </w:rPr>
              <w:t>Motueka</w:t>
            </w:r>
            <w:proofErr w:type="spellEnd"/>
            <w:r>
              <w:rPr>
                <w:sz w:val="20"/>
              </w:rPr>
              <w:t xml:space="preserve">, </w:t>
            </w:r>
            <w:proofErr w:type="spellStart"/>
            <w:r>
              <w:rPr>
                <w:sz w:val="20"/>
              </w:rPr>
              <w:t>Takaka</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Northland</w:t>
            </w:r>
            <w:r w:rsidR="00AF5796">
              <w:rPr>
                <w:sz w:val="20"/>
              </w:rPr>
              <w:t xml:space="preserve"> (2)</w:t>
            </w:r>
          </w:p>
        </w:tc>
        <w:tc>
          <w:tcPr>
            <w:tcW w:w="4253" w:type="dxa"/>
            <w:tcMar>
              <w:top w:w="28" w:type="dxa"/>
              <w:bottom w:w="57" w:type="dxa"/>
            </w:tcMar>
          </w:tcPr>
          <w:p w:rsidR="0053570C" w:rsidRPr="0053570C" w:rsidRDefault="0053570C" w:rsidP="009B1C60">
            <w:pPr>
              <w:spacing w:after="0"/>
              <w:rPr>
                <w:sz w:val="20"/>
              </w:rPr>
            </w:pPr>
            <w:proofErr w:type="spellStart"/>
            <w:r>
              <w:rPr>
                <w:sz w:val="20"/>
              </w:rPr>
              <w:t>Dargaville</w:t>
            </w:r>
            <w:proofErr w:type="spellEnd"/>
            <w:r>
              <w:rPr>
                <w:sz w:val="20"/>
              </w:rPr>
              <w:t xml:space="preserve">, </w:t>
            </w:r>
            <w:proofErr w:type="spellStart"/>
            <w:r>
              <w:rPr>
                <w:sz w:val="20"/>
              </w:rPr>
              <w:t>Kaikohe</w:t>
            </w:r>
            <w:proofErr w:type="spellEnd"/>
          </w:p>
        </w:tc>
      </w:tr>
      <w:tr w:rsidR="0053570C" w:rsidRPr="0053570C" w:rsidTr="00B6631C">
        <w:trPr>
          <w:cantSplit/>
        </w:trPr>
        <w:tc>
          <w:tcPr>
            <w:tcW w:w="2835" w:type="dxa"/>
            <w:tcMar>
              <w:top w:w="28" w:type="dxa"/>
              <w:bottom w:w="57" w:type="dxa"/>
            </w:tcMar>
          </w:tcPr>
          <w:p w:rsidR="0053570C" w:rsidRPr="0053570C" w:rsidRDefault="0053570C" w:rsidP="0053570C">
            <w:pPr>
              <w:spacing w:after="0"/>
              <w:rPr>
                <w:sz w:val="20"/>
              </w:rPr>
            </w:pPr>
            <w:r w:rsidRPr="0053570C">
              <w:rPr>
                <w:sz w:val="20"/>
              </w:rPr>
              <w:t>Southern</w:t>
            </w:r>
            <w:r w:rsidR="0084799A">
              <w:rPr>
                <w:sz w:val="20"/>
              </w:rPr>
              <w:t xml:space="preserve"> (5</w:t>
            </w:r>
            <w:r w:rsidR="00AF5796">
              <w:rPr>
                <w:sz w:val="20"/>
              </w:rPr>
              <w:t>)</w:t>
            </w:r>
          </w:p>
        </w:tc>
        <w:tc>
          <w:tcPr>
            <w:tcW w:w="4253" w:type="dxa"/>
            <w:tcMar>
              <w:top w:w="28" w:type="dxa"/>
              <w:bottom w:w="57" w:type="dxa"/>
            </w:tcMar>
          </w:tcPr>
          <w:p w:rsidR="0053570C" w:rsidRPr="0053570C" w:rsidRDefault="0053570C" w:rsidP="009B1C60">
            <w:pPr>
              <w:spacing w:after="0"/>
              <w:rPr>
                <w:sz w:val="20"/>
              </w:rPr>
            </w:pPr>
            <w:proofErr w:type="spellStart"/>
            <w:r w:rsidRPr="0053570C">
              <w:rPr>
                <w:sz w:val="20"/>
              </w:rPr>
              <w:t>Balclutha</w:t>
            </w:r>
            <w:proofErr w:type="spellEnd"/>
            <w:r>
              <w:rPr>
                <w:sz w:val="20"/>
              </w:rPr>
              <w:t xml:space="preserve">, </w:t>
            </w:r>
            <w:r w:rsidRPr="0053570C">
              <w:rPr>
                <w:sz w:val="20"/>
              </w:rPr>
              <w:t>Dunstan</w:t>
            </w:r>
            <w:r>
              <w:rPr>
                <w:sz w:val="20"/>
              </w:rPr>
              <w:t xml:space="preserve">, </w:t>
            </w:r>
            <w:r w:rsidRPr="0053570C">
              <w:rPr>
                <w:sz w:val="20"/>
              </w:rPr>
              <w:t>Gore</w:t>
            </w:r>
            <w:r>
              <w:rPr>
                <w:sz w:val="20"/>
              </w:rPr>
              <w:t xml:space="preserve">, </w:t>
            </w:r>
            <w:proofErr w:type="spellStart"/>
            <w:r w:rsidRPr="0053570C">
              <w:rPr>
                <w:sz w:val="20"/>
              </w:rPr>
              <w:t>Oamaru</w:t>
            </w:r>
            <w:proofErr w:type="spellEnd"/>
            <w:r>
              <w:rPr>
                <w:sz w:val="20"/>
              </w:rPr>
              <w:t xml:space="preserve">, </w:t>
            </w:r>
            <w:r w:rsidRPr="0053570C">
              <w:rPr>
                <w:sz w:val="20"/>
              </w:rPr>
              <w:t>Queenstown</w:t>
            </w:r>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proofErr w:type="spellStart"/>
            <w:r w:rsidRPr="0053570C">
              <w:rPr>
                <w:sz w:val="20"/>
              </w:rPr>
              <w:t>Tairawhiti</w:t>
            </w:r>
            <w:proofErr w:type="spellEnd"/>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Te</w:t>
            </w:r>
            <w:proofErr w:type="spellEnd"/>
            <w:r>
              <w:rPr>
                <w:sz w:val="20"/>
              </w:rPr>
              <w:t xml:space="preserve"> </w:t>
            </w:r>
            <w:proofErr w:type="spellStart"/>
            <w:r w:rsidRPr="00E3191F">
              <w:rPr>
                <w:sz w:val="20"/>
              </w:rPr>
              <w:t>Puia</w:t>
            </w:r>
            <w:proofErr w:type="spellEnd"/>
            <w:r>
              <w:rPr>
                <w:sz w:val="20"/>
              </w:rPr>
              <w:t xml:space="preserve"> Springs</w:t>
            </w:r>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proofErr w:type="spellStart"/>
            <w:r w:rsidRPr="0053570C">
              <w:rPr>
                <w:sz w:val="20"/>
              </w:rPr>
              <w:t>Taranaki</w:t>
            </w:r>
            <w:proofErr w:type="spellEnd"/>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Hawera</w:t>
            </w:r>
            <w:proofErr w:type="spellEnd"/>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r w:rsidRPr="0053570C">
              <w:rPr>
                <w:sz w:val="20"/>
              </w:rPr>
              <w:t>Waikato</w:t>
            </w:r>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Taumarunui</w:t>
            </w:r>
            <w:proofErr w:type="spellEnd"/>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proofErr w:type="spellStart"/>
            <w:r w:rsidRPr="0053570C">
              <w:rPr>
                <w:sz w:val="20"/>
              </w:rPr>
              <w:t>Wairarapa</w:t>
            </w:r>
            <w:proofErr w:type="spellEnd"/>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Featherston</w:t>
            </w:r>
            <w:proofErr w:type="spellEnd"/>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proofErr w:type="spellStart"/>
            <w:r w:rsidRPr="0053570C">
              <w:rPr>
                <w:sz w:val="20"/>
              </w:rPr>
              <w:t>Waitemata</w:t>
            </w:r>
            <w:proofErr w:type="spellEnd"/>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Warkworth</w:t>
            </w:r>
            <w:proofErr w:type="spellEnd"/>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r w:rsidRPr="0053570C">
              <w:rPr>
                <w:sz w:val="20"/>
              </w:rPr>
              <w:t>West Coast</w:t>
            </w:r>
          </w:p>
        </w:tc>
        <w:tc>
          <w:tcPr>
            <w:tcW w:w="4253" w:type="dxa"/>
            <w:tcMar>
              <w:top w:w="28" w:type="dxa"/>
              <w:bottom w:w="57" w:type="dxa"/>
            </w:tcMar>
          </w:tcPr>
          <w:p w:rsidR="00E3191F" w:rsidRPr="00E3191F" w:rsidRDefault="00E3191F" w:rsidP="009B1C60">
            <w:pPr>
              <w:spacing w:after="0"/>
              <w:rPr>
                <w:sz w:val="20"/>
              </w:rPr>
            </w:pPr>
            <w:proofErr w:type="spellStart"/>
            <w:r w:rsidRPr="00E3191F">
              <w:rPr>
                <w:sz w:val="20"/>
              </w:rPr>
              <w:t>Buller</w:t>
            </w:r>
            <w:proofErr w:type="spellEnd"/>
          </w:p>
        </w:tc>
      </w:tr>
      <w:tr w:rsidR="00E3191F" w:rsidRPr="0053570C" w:rsidTr="00B6631C">
        <w:trPr>
          <w:cantSplit/>
        </w:trPr>
        <w:tc>
          <w:tcPr>
            <w:tcW w:w="2835" w:type="dxa"/>
            <w:tcMar>
              <w:top w:w="28" w:type="dxa"/>
              <w:bottom w:w="57" w:type="dxa"/>
            </w:tcMar>
          </w:tcPr>
          <w:p w:rsidR="00E3191F" w:rsidRPr="0053570C" w:rsidRDefault="00E3191F" w:rsidP="0053570C">
            <w:pPr>
              <w:spacing w:after="0"/>
              <w:rPr>
                <w:sz w:val="20"/>
              </w:rPr>
            </w:pPr>
            <w:proofErr w:type="spellStart"/>
            <w:r>
              <w:rPr>
                <w:sz w:val="20"/>
              </w:rPr>
              <w:t>Whanganui</w:t>
            </w:r>
            <w:proofErr w:type="spellEnd"/>
          </w:p>
        </w:tc>
        <w:tc>
          <w:tcPr>
            <w:tcW w:w="4253" w:type="dxa"/>
            <w:tcMar>
              <w:top w:w="28" w:type="dxa"/>
              <w:bottom w:w="57" w:type="dxa"/>
            </w:tcMar>
          </w:tcPr>
          <w:p w:rsidR="00E3191F" w:rsidRPr="00E3191F" w:rsidRDefault="00E3191F" w:rsidP="009B1C60">
            <w:pPr>
              <w:spacing w:after="0"/>
              <w:rPr>
                <w:sz w:val="20"/>
              </w:rPr>
            </w:pPr>
            <w:proofErr w:type="spellStart"/>
            <w:r>
              <w:rPr>
                <w:sz w:val="20"/>
              </w:rPr>
              <w:t>Taihape</w:t>
            </w:r>
            <w:proofErr w:type="spellEnd"/>
          </w:p>
        </w:tc>
      </w:tr>
    </w:tbl>
    <w:p w:rsidR="00C52A3F" w:rsidRDefault="00B6631C" w:rsidP="00C52A3F">
      <w:pPr>
        <w:pStyle w:val="Heading3"/>
      </w:pPr>
      <w:bookmarkStart w:id="56" w:name="_Toc423945919"/>
      <w:r>
        <w:lastRenderedPageBreak/>
        <w:t>Outputs</w:t>
      </w:r>
      <w:r w:rsidR="006A1C37">
        <w:t xml:space="preserve"> </w:t>
      </w:r>
      <w:r w:rsidR="00C52A3F">
        <w:t>– dental, endoscopy and general surgery dominate</w:t>
      </w:r>
      <w:bookmarkEnd w:id="56"/>
    </w:p>
    <w:p w:rsidR="006A1C37" w:rsidRDefault="006A1C37" w:rsidP="00D87AB5">
      <w:pPr>
        <w:pStyle w:val="UnnumtextBodytext"/>
      </w:pPr>
      <w:r>
        <w:t>The mobile surgical service delivers around 1,500 elective day surgery discharges per year.</w:t>
      </w:r>
      <w:r w:rsidR="00D87AB5">
        <w:t xml:space="preserve"> </w:t>
      </w:r>
      <w:r w:rsidR="00453239">
        <w:fldChar w:fldCharType="begin"/>
      </w:r>
      <w:r w:rsidR="00453239">
        <w:instrText xml:space="preserve"> REF _Ref380761620 \h </w:instrText>
      </w:r>
      <w:r w:rsidR="00453239">
        <w:fldChar w:fldCharType="separate"/>
      </w:r>
      <w:r w:rsidR="00CA314A">
        <w:t xml:space="preserve">Figure </w:t>
      </w:r>
      <w:r w:rsidR="00CA314A">
        <w:rPr>
          <w:noProof/>
        </w:rPr>
        <w:t>3</w:t>
      </w:r>
      <w:r w:rsidR="00453239">
        <w:fldChar w:fldCharType="end"/>
      </w:r>
      <w:r w:rsidR="00453239">
        <w:t xml:space="preserve"> </w:t>
      </w:r>
      <w:r w:rsidR="00D87AB5">
        <w:t xml:space="preserve">shows the annual volumes delivered under the current contract have ranged from 1,420 in 2010/11 to 1,686 in 2007/08. </w:t>
      </w:r>
      <w:r>
        <w:t xml:space="preserve">The specialties of dental, endoscopy and general surgery </w:t>
      </w:r>
      <w:r w:rsidR="00D87AB5">
        <w:t xml:space="preserve">tend to dominate. </w:t>
      </w:r>
      <w:r w:rsidR="00453239">
        <w:fldChar w:fldCharType="begin"/>
      </w:r>
      <w:r w:rsidR="00453239">
        <w:instrText xml:space="preserve"> REF _Ref380495906 \h </w:instrText>
      </w:r>
      <w:r w:rsidR="00453239">
        <w:fldChar w:fldCharType="separate"/>
      </w:r>
      <w:r w:rsidR="00CA314A">
        <w:t xml:space="preserve">Figure </w:t>
      </w:r>
      <w:r w:rsidR="00CA314A">
        <w:rPr>
          <w:noProof/>
        </w:rPr>
        <w:t>4</w:t>
      </w:r>
      <w:r w:rsidR="00453239">
        <w:fldChar w:fldCharType="end"/>
      </w:r>
      <w:r w:rsidR="00453239">
        <w:t xml:space="preserve"> </w:t>
      </w:r>
      <w:r w:rsidR="00D87AB5">
        <w:t>shows that these specialties com</w:t>
      </w:r>
      <w:r>
        <w:t>prise</w:t>
      </w:r>
      <w:r w:rsidR="00D87AB5">
        <w:t>d</w:t>
      </w:r>
      <w:r>
        <w:t xml:space="preserve"> 80% of discharges across the two recently completed financial years of 2011/12 and 2012/13.</w:t>
      </w:r>
      <w:r w:rsidR="00D87AB5">
        <w:t xml:space="preserve"> Other specialties are: </w:t>
      </w:r>
      <w:proofErr w:type="spellStart"/>
      <w:r w:rsidR="00D87AB5">
        <w:t>orthopaedics</w:t>
      </w:r>
      <w:proofErr w:type="spellEnd"/>
      <w:r w:rsidR="00D87AB5">
        <w:t xml:space="preserve">; </w:t>
      </w:r>
      <w:proofErr w:type="spellStart"/>
      <w:r w:rsidR="00D87AB5">
        <w:t>gynaecology</w:t>
      </w:r>
      <w:proofErr w:type="spellEnd"/>
      <w:r w:rsidR="00D87AB5">
        <w:t xml:space="preserve">; ear, nose and throat; urology; ophthalmology; and plastics. </w:t>
      </w:r>
    </w:p>
    <w:p w:rsidR="00C52A3F" w:rsidRDefault="00C52A3F" w:rsidP="00B6631C">
      <w:pPr>
        <w:pStyle w:val="Caption"/>
        <w:spacing w:before="80" w:after="80"/>
      </w:pPr>
      <w:bookmarkStart w:id="57" w:name="_Ref380761620"/>
      <w:bookmarkStart w:id="58" w:name="_Toc380597836"/>
      <w:bookmarkStart w:id="59" w:name="_Toc380605796"/>
      <w:bookmarkStart w:id="60" w:name="_Toc423945982"/>
      <w:r>
        <w:t xml:space="preserve">Figure </w:t>
      </w:r>
      <w:fldSimple w:instr=" SEQ Figure \* ARABIC ">
        <w:r w:rsidR="00CA314A">
          <w:rPr>
            <w:noProof/>
          </w:rPr>
          <w:t>3</w:t>
        </w:r>
      </w:fldSimple>
      <w:bookmarkEnd w:id="57"/>
      <w:r>
        <w:rPr>
          <w:noProof/>
        </w:rPr>
        <w:t>:</w:t>
      </w:r>
      <w:r>
        <w:t xml:space="preserve"> Mobile surgical discharges</w:t>
      </w:r>
      <w:bookmarkEnd w:id="58"/>
      <w:bookmarkEnd w:id="59"/>
      <w:r>
        <w:t xml:space="preserve"> by financial year, 2006/06 – 2012/13</w:t>
      </w:r>
      <w:bookmarkEnd w:id="60"/>
    </w:p>
    <w:p w:rsidR="00C52A3F" w:rsidRPr="005255D1" w:rsidRDefault="00C52A3F" w:rsidP="00D87AB5">
      <w:pPr>
        <w:pStyle w:val="Whitespace"/>
        <w:spacing w:after="0"/>
        <w:ind w:hanging="98"/>
        <w:rPr>
          <w:sz w:val="17"/>
        </w:rPr>
      </w:pPr>
      <w:r>
        <w:rPr>
          <w:noProof/>
          <w:lang w:val="en-NZ" w:eastAsia="en-NZ"/>
        </w:rPr>
        <w:drawing>
          <wp:inline distT="0" distB="0" distL="0" distR="0" wp14:anchorId="3DCE698A" wp14:editId="32B3BB6F">
            <wp:extent cx="4572000" cy="2762250"/>
            <wp:effectExtent l="0" t="0" r="0" b="0"/>
            <wp:docPr id="15" name="Chart 15" title="Figure 3: Mobile surgical discharges by financial year, 2006/06 –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2A3F" w:rsidRPr="0097128F" w:rsidRDefault="00C52A3F" w:rsidP="00B6631C">
      <w:pPr>
        <w:pStyle w:val="Sourceinformation"/>
        <w:spacing w:before="80" w:after="320"/>
        <w:rPr>
          <w:sz w:val="20"/>
        </w:rPr>
      </w:pPr>
      <w:r w:rsidRPr="0097128F">
        <w:rPr>
          <w:b/>
          <w:sz w:val="20"/>
        </w:rPr>
        <w:t>Source:</w:t>
      </w:r>
      <w:r w:rsidRPr="0097128F">
        <w:rPr>
          <w:sz w:val="20"/>
        </w:rPr>
        <w:t xml:space="preserve"> Mobile Surgical Solutions Ltd; </w:t>
      </w:r>
      <w:proofErr w:type="spellStart"/>
      <w:r w:rsidR="006A1C37">
        <w:rPr>
          <w:sz w:val="20"/>
        </w:rPr>
        <w:t>Sapere</w:t>
      </w:r>
      <w:proofErr w:type="spellEnd"/>
      <w:r w:rsidR="006A1C37">
        <w:rPr>
          <w:sz w:val="20"/>
        </w:rPr>
        <w:t xml:space="preserve"> analysis</w:t>
      </w:r>
    </w:p>
    <w:p w:rsidR="00C52A3F" w:rsidRDefault="00C52A3F" w:rsidP="00B6631C">
      <w:pPr>
        <w:pStyle w:val="Caption"/>
        <w:spacing w:before="40" w:after="180"/>
      </w:pPr>
      <w:bookmarkStart w:id="61" w:name="_Ref380495906"/>
      <w:bookmarkStart w:id="62" w:name="_Toc380597837"/>
      <w:bookmarkStart w:id="63" w:name="_Toc380605797"/>
      <w:bookmarkStart w:id="64" w:name="_Toc423945983"/>
      <w:r>
        <w:t xml:space="preserve">Figure </w:t>
      </w:r>
      <w:fldSimple w:instr=" SEQ Figure \* ARABIC ">
        <w:r w:rsidR="00CA314A">
          <w:rPr>
            <w:noProof/>
          </w:rPr>
          <w:t>4</w:t>
        </w:r>
      </w:fldSimple>
      <w:bookmarkEnd w:id="61"/>
      <w:r>
        <w:rPr>
          <w:noProof/>
        </w:rPr>
        <w:t>:</w:t>
      </w:r>
      <w:r>
        <w:t xml:space="preserve"> </w:t>
      </w:r>
      <w:r w:rsidR="00FE0449">
        <w:t xml:space="preserve">Mobile surgical discharges </w:t>
      </w:r>
      <w:r>
        <w:t>by health specialty, 2011/12 and 2012/13</w:t>
      </w:r>
      <w:bookmarkEnd w:id="62"/>
      <w:bookmarkEnd w:id="63"/>
      <w:bookmarkEnd w:id="64"/>
    </w:p>
    <w:p w:rsidR="00C52A3F" w:rsidRDefault="00C52A3F" w:rsidP="00B6631C">
      <w:pPr>
        <w:pStyle w:val="Objectplaceholderpicture"/>
        <w:spacing w:before="0" w:after="20"/>
      </w:pPr>
      <w:r w:rsidRPr="006A1C37">
        <w:rPr>
          <w:noProof/>
          <w:sz w:val="20"/>
          <w:szCs w:val="20"/>
        </w:rPr>
        <w:drawing>
          <wp:inline distT="0" distB="0" distL="0" distR="0" wp14:anchorId="342A652C" wp14:editId="59780646">
            <wp:extent cx="4152900" cy="2933700"/>
            <wp:effectExtent l="0" t="0" r="0" b="0"/>
            <wp:docPr id="14" name="Chart 14" title="Figure 4: Mobile surgical discharges by health specialty, 2011/12 and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2A3F" w:rsidRPr="0097128F" w:rsidRDefault="00C52A3F" w:rsidP="006A1C37">
      <w:pPr>
        <w:pStyle w:val="Sourceinformation"/>
        <w:spacing w:after="0"/>
        <w:rPr>
          <w:sz w:val="20"/>
        </w:rPr>
      </w:pPr>
      <w:r w:rsidRPr="0097128F">
        <w:rPr>
          <w:b/>
          <w:sz w:val="20"/>
        </w:rPr>
        <w:t>Source:</w:t>
      </w:r>
      <w:r w:rsidRPr="0097128F">
        <w:rPr>
          <w:sz w:val="20"/>
        </w:rPr>
        <w:t xml:space="preserve"> Mobile Surgical Solutions Ltd; </w:t>
      </w:r>
      <w:proofErr w:type="spellStart"/>
      <w:r w:rsidR="006A1C37">
        <w:rPr>
          <w:sz w:val="20"/>
        </w:rPr>
        <w:t>Sapere</w:t>
      </w:r>
      <w:proofErr w:type="spellEnd"/>
      <w:r w:rsidR="006A1C37">
        <w:rPr>
          <w:sz w:val="20"/>
        </w:rPr>
        <w:t xml:space="preserve"> analysis</w:t>
      </w:r>
    </w:p>
    <w:p w:rsidR="00DD4BC5" w:rsidRDefault="00D21F82" w:rsidP="00C52A3F">
      <w:pPr>
        <w:pStyle w:val="UnnumtextBodytext"/>
      </w:pPr>
      <w:r>
        <w:lastRenderedPageBreak/>
        <w:t xml:space="preserve">Dental extractions and restorations were </w:t>
      </w:r>
      <w:r w:rsidR="00C52A3F">
        <w:t xml:space="preserve">the most commonly performed </w:t>
      </w:r>
      <w:r>
        <w:t xml:space="preserve">procedures </w:t>
      </w:r>
      <w:r w:rsidR="00C52A3F">
        <w:t>during the recent full years of 2011/12 and 2012/13</w:t>
      </w:r>
      <w:r>
        <w:t xml:space="preserve">. </w:t>
      </w:r>
      <w:r w:rsidR="00921ECC">
        <w:t xml:space="preserve">Figure </w:t>
      </w:r>
      <w:r w:rsidR="00921ECC">
        <w:rPr>
          <w:noProof/>
        </w:rPr>
        <w:t>5</w:t>
      </w:r>
      <w:r>
        <w:t xml:space="preserve"> shows that dental extractions and restoration procedures numbered around 580 and 490 </w:t>
      </w:r>
      <w:r w:rsidR="00FE0449">
        <w:t xml:space="preserve">discharges </w:t>
      </w:r>
      <w:r>
        <w:t>per annum in these years, or 33% of di</w:t>
      </w:r>
      <w:r w:rsidR="00FE0449">
        <w:t xml:space="preserve">scharges delivered. </w:t>
      </w:r>
      <w:r>
        <w:t xml:space="preserve">We understand these </w:t>
      </w:r>
      <w:r w:rsidR="00B749E6">
        <w:t xml:space="preserve">procedures </w:t>
      </w:r>
      <w:r>
        <w:t xml:space="preserve">are </w:t>
      </w:r>
      <w:r w:rsidR="00C52A3F">
        <w:t xml:space="preserve">largely </w:t>
      </w:r>
      <w:r w:rsidR="00324AB1">
        <w:t xml:space="preserve">for children </w:t>
      </w:r>
      <w:r w:rsidR="00DD4BC5">
        <w:t>and that, in some cases</w:t>
      </w:r>
      <w:r w:rsidR="00324AB1">
        <w:t>,</w:t>
      </w:r>
      <w:r w:rsidR="00DD4BC5">
        <w:t xml:space="preserve"> can involve multiple extractions and fillings. One rural nurse who has been part o</w:t>
      </w:r>
      <w:r w:rsidR="00324AB1">
        <w:t>f</w:t>
      </w:r>
      <w:r w:rsidR="00DD4BC5">
        <w:t xml:space="preserve"> the mobile surgical service since </w:t>
      </w:r>
      <w:r w:rsidR="00324AB1">
        <w:t xml:space="preserve">its inception </w:t>
      </w:r>
      <w:r w:rsidR="00DD4BC5">
        <w:t xml:space="preserve">commented as follows. </w:t>
      </w:r>
    </w:p>
    <w:p w:rsidR="00B6631C" w:rsidRDefault="00DD4BC5" w:rsidP="00DD4BC5">
      <w:pPr>
        <w:pStyle w:val="Quotation"/>
      </w:pPr>
      <w:r w:rsidRPr="004B52D5">
        <w:t>We were sometimes pulling out 10</w:t>
      </w:r>
      <w:r>
        <w:t xml:space="preserve"> to </w:t>
      </w:r>
      <w:r w:rsidRPr="004B52D5">
        <w:t>16 teeth in a single child when we first started</w:t>
      </w:r>
      <w:r>
        <w:t>. No</w:t>
      </w:r>
      <w:r w:rsidRPr="004B52D5">
        <w:t>w they’re not waiting as long</w:t>
      </w:r>
      <w:r>
        <w:t xml:space="preserve"> and </w:t>
      </w:r>
      <w:r w:rsidRPr="004B52D5">
        <w:t xml:space="preserve">we do health promotion messages in </w:t>
      </w:r>
      <w:r>
        <w:t xml:space="preserve">the post-op care unit. So </w:t>
      </w:r>
      <w:r w:rsidRPr="004B52D5">
        <w:t>the cases ar</w:t>
      </w:r>
      <w:r>
        <w:t>e</w:t>
      </w:r>
      <w:r w:rsidRPr="004B52D5">
        <w:t>n</w:t>
      </w:r>
      <w:r>
        <w:t>’</w:t>
      </w:r>
      <w:r w:rsidRPr="004B52D5">
        <w:t>t as ba</w:t>
      </w:r>
      <w:r>
        <w:t>d, but they’re still bad.</w:t>
      </w:r>
      <w:r w:rsidRPr="004B52D5">
        <w:t xml:space="preserve"> </w:t>
      </w:r>
    </w:p>
    <w:p w:rsidR="00FE0449" w:rsidRDefault="00FE0449" w:rsidP="00C52A3F">
      <w:pPr>
        <w:pStyle w:val="UnnumtextBodytext"/>
      </w:pPr>
      <w:r>
        <w:t xml:space="preserve">Colonoscopies (150 discharges per year) and gastroscopies (100 and 140 discharges) were the next largest categories, </w:t>
      </w:r>
      <w:r w:rsidR="00B6631C">
        <w:t>accounting</w:t>
      </w:r>
      <w:r>
        <w:t xml:space="preserve"> for </w:t>
      </w:r>
      <w:r w:rsidR="00B6631C">
        <w:t>10% and 8% of volumes over this two-year period. Hernia procedures (110 and 120 discharges) also accounted for around 8% of all discharges across these years.</w:t>
      </w:r>
    </w:p>
    <w:p w:rsidR="00C52A3F" w:rsidRDefault="00C52A3F" w:rsidP="00C52A3F">
      <w:pPr>
        <w:pStyle w:val="Caption"/>
        <w:spacing w:before="100" w:beforeAutospacing="1" w:after="80"/>
      </w:pPr>
      <w:bookmarkStart w:id="65" w:name="_Ref380762468"/>
      <w:bookmarkStart w:id="66" w:name="_Toc380597838"/>
      <w:bookmarkStart w:id="67" w:name="_Toc380605798"/>
      <w:bookmarkStart w:id="68" w:name="_Toc423945984"/>
      <w:r>
        <w:t xml:space="preserve">Figure </w:t>
      </w:r>
      <w:fldSimple w:instr=" SEQ Figure \* ARABIC ">
        <w:r w:rsidR="00CA314A">
          <w:rPr>
            <w:noProof/>
          </w:rPr>
          <w:t>5</w:t>
        </w:r>
      </w:fldSimple>
      <w:bookmarkEnd w:id="65"/>
      <w:r>
        <w:rPr>
          <w:noProof/>
        </w:rPr>
        <w:t>:</w:t>
      </w:r>
      <w:r>
        <w:t xml:space="preserve"> </w:t>
      </w:r>
      <w:r w:rsidR="00FE0449">
        <w:t xml:space="preserve">Mobile surgical discharges by </w:t>
      </w:r>
      <w:r>
        <w:t>top 10 DRG codes, 2011/12 and 2012/13</w:t>
      </w:r>
      <w:bookmarkEnd w:id="66"/>
      <w:bookmarkEnd w:id="67"/>
      <w:bookmarkEnd w:id="68"/>
    </w:p>
    <w:p w:rsidR="00C52A3F" w:rsidRDefault="00C52A3F" w:rsidP="00B6631C">
      <w:pPr>
        <w:pStyle w:val="Sourceinformation"/>
        <w:spacing w:after="120"/>
        <w:ind w:hanging="1021"/>
        <w:rPr>
          <w:b/>
          <w:sz w:val="20"/>
        </w:rPr>
      </w:pPr>
      <w:r>
        <w:rPr>
          <w:noProof/>
          <w:lang w:val="en-NZ" w:eastAsia="en-NZ"/>
        </w:rPr>
        <w:drawing>
          <wp:inline distT="0" distB="0" distL="0" distR="0" wp14:anchorId="6C959B98" wp14:editId="427F1333">
            <wp:extent cx="5724525" cy="4857750"/>
            <wp:effectExtent l="0" t="0" r="0" b="0"/>
            <wp:docPr id="26" name="Chart 26" title="Figure 5: Mobile surgical discharges by top 10 DRG codes, 2011/12 and 201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1C37" w:rsidRDefault="00C52A3F" w:rsidP="00324AB1">
      <w:pPr>
        <w:pStyle w:val="Sourceinformation"/>
        <w:spacing w:before="80" w:after="100" w:afterAutospacing="1"/>
        <w:rPr>
          <w:rFonts w:cs="Arial"/>
          <w:b/>
          <w:bCs/>
          <w:color w:val="000000"/>
          <w:sz w:val="32"/>
          <w:szCs w:val="24"/>
        </w:rPr>
      </w:pPr>
      <w:r w:rsidRPr="007368CD">
        <w:rPr>
          <w:b/>
          <w:sz w:val="20"/>
        </w:rPr>
        <w:t>Source:</w:t>
      </w:r>
      <w:r w:rsidRPr="007368CD">
        <w:rPr>
          <w:sz w:val="20"/>
        </w:rPr>
        <w:t xml:space="preserve"> Mobile Surgical Solutions Ltd; </w:t>
      </w:r>
      <w:proofErr w:type="spellStart"/>
      <w:r w:rsidR="006A1C37">
        <w:rPr>
          <w:sz w:val="20"/>
        </w:rPr>
        <w:t>Sapere</w:t>
      </w:r>
      <w:proofErr w:type="spellEnd"/>
      <w:r w:rsidR="006A1C37">
        <w:rPr>
          <w:sz w:val="20"/>
        </w:rPr>
        <w:t xml:space="preserve"> analysis</w:t>
      </w:r>
    </w:p>
    <w:p w:rsidR="00C52A3F" w:rsidRDefault="00C52A3F">
      <w:pPr>
        <w:spacing w:after="0" w:line="240" w:lineRule="auto"/>
        <w:rPr>
          <w:rFonts w:cs="Arial"/>
          <w:b/>
          <w:bCs/>
          <w:color w:val="000000"/>
          <w:sz w:val="32"/>
          <w:szCs w:val="24"/>
        </w:rPr>
      </w:pPr>
      <w:r>
        <w:br w:type="page"/>
      </w:r>
    </w:p>
    <w:p w:rsidR="00FC2E04" w:rsidRPr="00FC2E04" w:rsidRDefault="005B735B" w:rsidP="00FC2E04">
      <w:pPr>
        <w:pStyle w:val="Heading3"/>
      </w:pPr>
      <w:bookmarkStart w:id="69" w:name="_Toc423945920"/>
      <w:r>
        <w:lastRenderedPageBreak/>
        <w:t>S</w:t>
      </w:r>
      <w:r w:rsidR="00FC2E04">
        <w:t>urgeon availability and patient safety determine the scope of services</w:t>
      </w:r>
      <w:bookmarkEnd w:id="69"/>
    </w:p>
    <w:p w:rsidR="00B705B2" w:rsidRDefault="005255D1" w:rsidP="00FC2E04">
      <w:r>
        <w:t xml:space="preserve">The provider </w:t>
      </w:r>
      <w:r w:rsidR="000F441F">
        <w:t>p</w:t>
      </w:r>
      <w:r w:rsidRPr="003A2287">
        <w:t>ublishe</w:t>
      </w:r>
      <w:r w:rsidR="000F441F">
        <w:t>s a</w:t>
      </w:r>
      <w:r w:rsidRPr="003A2287">
        <w:t xml:space="preserve"> schedule of </w:t>
      </w:r>
      <w:r w:rsidR="000F441F">
        <w:t xml:space="preserve">upcoming </w:t>
      </w:r>
      <w:r w:rsidRPr="003A2287">
        <w:t>visi</w:t>
      </w:r>
      <w:r>
        <w:t>t</w:t>
      </w:r>
      <w:r w:rsidRPr="003A2287">
        <w:t>s six m</w:t>
      </w:r>
      <w:r>
        <w:t>o</w:t>
      </w:r>
      <w:r w:rsidRPr="003A2287">
        <w:t>nths out</w:t>
      </w:r>
      <w:r w:rsidR="000F441F">
        <w:t xml:space="preserve">. </w:t>
      </w:r>
      <w:r w:rsidR="00C64FE6">
        <w:t>T</w:t>
      </w:r>
      <w:r w:rsidR="000F441F">
        <w:t xml:space="preserve">he schedule tends to follow the same pattern, while </w:t>
      </w:r>
      <w:r>
        <w:t xml:space="preserve">allowing for public holidays and </w:t>
      </w:r>
      <w:r w:rsidR="000F441F">
        <w:t xml:space="preserve">training or </w:t>
      </w:r>
      <w:r>
        <w:t>demo</w:t>
      </w:r>
      <w:r w:rsidR="000F441F">
        <w:t>nstration days. O</w:t>
      </w:r>
      <w:r>
        <w:t xml:space="preserve">ccasionally </w:t>
      </w:r>
      <w:r w:rsidR="000F441F">
        <w:t xml:space="preserve">a one-off </w:t>
      </w:r>
      <w:r w:rsidR="009D57D4">
        <w:t xml:space="preserve">“blitz” </w:t>
      </w:r>
      <w:r w:rsidR="000F441F">
        <w:t>day</w:t>
      </w:r>
      <w:r w:rsidR="009D57D4">
        <w:t xml:space="preserve"> is held</w:t>
      </w:r>
      <w:r w:rsidR="000F441F">
        <w:t xml:space="preserve">, </w:t>
      </w:r>
      <w:r w:rsidR="00C64FE6">
        <w:t>at the</w:t>
      </w:r>
      <w:r w:rsidR="000F441F">
        <w:t xml:space="preserve"> request</w:t>
      </w:r>
      <w:r w:rsidR="00C64FE6">
        <w:t xml:space="preserve"> of </w:t>
      </w:r>
      <w:r w:rsidR="000F441F">
        <w:t xml:space="preserve">a DHB to </w:t>
      </w:r>
      <w:r w:rsidR="009D57D4">
        <w:t xml:space="preserve">help manage demand at a certain site – recent examples include </w:t>
      </w:r>
      <w:r w:rsidR="000F441F">
        <w:t>g</w:t>
      </w:r>
      <w:r>
        <w:t xml:space="preserve">astroscopies </w:t>
      </w:r>
      <w:r w:rsidR="009D57D4">
        <w:t xml:space="preserve">and </w:t>
      </w:r>
      <w:r>
        <w:t>colonoscopies</w:t>
      </w:r>
      <w:r w:rsidR="009D57D4">
        <w:t>.</w:t>
      </w:r>
      <w:r w:rsidR="00FC2E04">
        <w:t xml:space="preserve"> </w:t>
      </w:r>
      <w:r w:rsidR="006E20CD">
        <w:t xml:space="preserve">Overall, the </w:t>
      </w:r>
      <w:r w:rsidR="001A5BA5">
        <w:t>health specialty areas covered by the mobile surgical service within each district depend on the availability of surgeons who are willing to work on the bus</w:t>
      </w:r>
      <w:r w:rsidR="005B735B">
        <w:t xml:space="preserve"> (and their views about what can safely be done on the bus). DHBs work within these limits, in terms of selecting the frequency of each specialty for their allocated surgical lists through the year. </w:t>
      </w:r>
      <w:r w:rsidR="001A5BA5">
        <w:t>DHB</w:t>
      </w:r>
      <w:r w:rsidR="005B735B">
        <w:t xml:space="preserve">s that we spoke with made these decisions by examining </w:t>
      </w:r>
      <w:r w:rsidR="00C64FE6">
        <w:t>waiting lists and</w:t>
      </w:r>
      <w:r w:rsidR="001A5BA5">
        <w:t xml:space="preserve"> </w:t>
      </w:r>
      <w:r w:rsidR="005B735B">
        <w:t>patient suitability for</w:t>
      </w:r>
      <w:r w:rsidR="001A5BA5">
        <w:t xml:space="preserve"> </w:t>
      </w:r>
      <w:r w:rsidR="005B735B">
        <w:t xml:space="preserve">the </w:t>
      </w:r>
      <w:r w:rsidR="001A5BA5">
        <w:t xml:space="preserve">rural </w:t>
      </w:r>
      <w:r w:rsidR="005B735B">
        <w:t xml:space="preserve">host </w:t>
      </w:r>
      <w:r w:rsidR="001A5BA5">
        <w:t>site.</w:t>
      </w:r>
    </w:p>
    <w:p w:rsidR="00054686" w:rsidRDefault="00054686" w:rsidP="00100563">
      <w:pPr>
        <w:pStyle w:val="Quotation"/>
      </w:pPr>
      <w:r>
        <w:t xml:space="preserve">We have some control of the mix of lists </w:t>
      </w:r>
      <w:r w:rsidR="009D57D4">
        <w:t>–</w:t>
      </w:r>
      <w:r>
        <w:t xml:space="preserve"> it depends on patient need and </w:t>
      </w:r>
      <w:r w:rsidRPr="00635669">
        <w:t xml:space="preserve">availability </w:t>
      </w:r>
      <w:r>
        <w:t xml:space="preserve">of </w:t>
      </w:r>
      <w:r w:rsidRPr="00635669">
        <w:t>consultant</w:t>
      </w:r>
      <w:r>
        <w:t>s.</w:t>
      </w:r>
      <w:r w:rsidR="009D57D4">
        <w:t xml:space="preserve"> </w:t>
      </w:r>
      <w:r w:rsidR="00C64FE6">
        <w:t>W</w:t>
      </w:r>
      <w:r w:rsidR="009D57D4" w:rsidRPr="00635669">
        <w:t xml:space="preserve">e </w:t>
      </w:r>
      <w:r w:rsidR="00C64FE6">
        <w:t xml:space="preserve">use </w:t>
      </w:r>
      <w:r w:rsidR="009D57D4" w:rsidRPr="00635669">
        <w:t xml:space="preserve">the </w:t>
      </w:r>
      <w:r w:rsidR="00C64FE6">
        <w:t>doctors that are willing,</w:t>
      </w:r>
      <w:r w:rsidR="009D57D4">
        <w:t xml:space="preserve"> typically</w:t>
      </w:r>
      <w:r w:rsidR="009D57D4" w:rsidRPr="00635669">
        <w:t xml:space="preserve"> gen</w:t>
      </w:r>
      <w:r w:rsidR="009D57D4">
        <w:t>eral</w:t>
      </w:r>
      <w:r w:rsidR="009D57D4" w:rsidRPr="00635669">
        <w:t xml:space="preserve"> surg</w:t>
      </w:r>
      <w:r w:rsidR="009D57D4">
        <w:t xml:space="preserve">ery and </w:t>
      </w:r>
      <w:proofErr w:type="spellStart"/>
      <w:r w:rsidR="009D57D4">
        <w:t>orthopaedics</w:t>
      </w:r>
      <w:proofErr w:type="spellEnd"/>
      <w:r w:rsidR="009D57D4">
        <w:t>.</w:t>
      </w:r>
    </w:p>
    <w:p w:rsidR="000F441F" w:rsidRDefault="000F441F" w:rsidP="00100563">
      <w:pPr>
        <w:pStyle w:val="Quotation"/>
      </w:pPr>
      <w:r>
        <w:t xml:space="preserve">The </w:t>
      </w:r>
      <w:r w:rsidR="00E614D1">
        <w:t xml:space="preserve">mobile </w:t>
      </w:r>
      <w:r>
        <w:t>service has looked at the surgeons who’re available</w:t>
      </w:r>
      <w:r w:rsidR="00E614D1">
        <w:t>. That</w:t>
      </w:r>
      <w:r w:rsidR="009D57D4">
        <w:t xml:space="preserve"> </w:t>
      </w:r>
      <w:r>
        <w:t>determine</w:t>
      </w:r>
      <w:r w:rsidR="00E614D1">
        <w:t>s</w:t>
      </w:r>
      <w:r>
        <w:t xml:space="preserve"> the </w:t>
      </w:r>
      <w:r w:rsidR="00E614D1">
        <w:t>lists</w:t>
      </w:r>
      <w:r>
        <w:t>.</w:t>
      </w:r>
    </w:p>
    <w:p w:rsidR="00100563" w:rsidRDefault="002E1945" w:rsidP="00100563">
      <w:pPr>
        <w:pStyle w:val="UnnumtextBodytext"/>
      </w:pPr>
      <w:r>
        <w:t xml:space="preserve">When asked about other needs, DHB </w:t>
      </w:r>
      <w:r w:rsidR="00FC2E04">
        <w:t xml:space="preserve">service managers </w:t>
      </w:r>
      <w:r>
        <w:t xml:space="preserve">acknowledged that there are other </w:t>
      </w:r>
      <w:r w:rsidR="00FC2E04">
        <w:t xml:space="preserve">health </w:t>
      </w:r>
      <w:r>
        <w:t>needs</w:t>
      </w:r>
      <w:r w:rsidR="00FC2E04">
        <w:t xml:space="preserve"> in rural communities</w:t>
      </w:r>
      <w:r>
        <w:t>, but that the constraints are</w:t>
      </w:r>
      <w:r w:rsidR="0082571D">
        <w:t xml:space="preserve"> the frequency of </w:t>
      </w:r>
      <w:r w:rsidR="00FC2E04">
        <w:t xml:space="preserve">the bus </w:t>
      </w:r>
      <w:r w:rsidR="0082571D">
        <w:t xml:space="preserve">visits and the </w:t>
      </w:r>
      <w:r>
        <w:t xml:space="preserve">suitability </w:t>
      </w:r>
      <w:r w:rsidR="0082571D">
        <w:t xml:space="preserve">of some procedures and patients to be safely </w:t>
      </w:r>
      <w:r w:rsidR="00FC2E04">
        <w:t>managed following surgery</w:t>
      </w:r>
      <w:r w:rsidR="0082571D">
        <w:t>.</w:t>
      </w:r>
      <w:r w:rsidR="00FC2E04">
        <w:t xml:space="preserve"> Several stakeholders, clinical and managerial, pointed to the issue of patient safety as a </w:t>
      </w:r>
      <w:proofErr w:type="spellStart"/>
      <w:r w:rsidR="00FC2E04">
        <w:t>judgement</w:t>
      </w:r>
      <w:proofErr w:type="spellEnd"/>
      <w:r w:rsidR="00FC2E04">
        <w:t xml:space="preserve"> that ultimately sits with the operating surgeons at each rural site</w:t>
      </w:r>
      <w:r w:rsidR="0082571D">
        <w:t>.</w:t>
      </w:r>
    </w:p>
    <w:p w:rsidR="0082571D" w:rsidRDefault="0082571D" w:rsidP="0082571D">
      <w:pPr>
        <w:pStyle w:val="Quotation"/>
      </w:pPr>
      <w:r>
        <w:t xml:space="preserve">A lot of the waiting list backlog is more complex than what can be handled on the bus, for example, a lot of the </w:t>
      </w:r>
      <w:proofErr w:type="spellStart"/>
      <w:r>
        <w:t>orthopaedic</w:t>
      </w:r>
      <w:proofErr w:type="spellEnd"/>
      <w:r>
        <w:t xml:space="preserve"> surgery. The bus is like a day</w:t>
      </w:r>
      <w:r w:rsidR="00F2698E">
        <w:t>-</w:t>
      </w:r>
      <w:r>
        <w:t>stay facility without the back-up</w:t>
      </w:r>
      <w:r w:rsidR="00FC2E04">
        <w:t>, s</w:t>
      </w:r>
      <w:r>
        <w:t>o they</w:t>
      </w:r>
      <w:r w:rsidR="00FC2E04">
        <w:t>’ll</w:t>
      </w:r>
      <w:r>
        <w:t xml:space="preserve"> always be limit</w:t>
      </w:r>
      <w:r w:rsidR="00FC2E04">
        <w:t xml:space="preserve">s to </w:t>
      </w:r>
      <w:r>
        <w:t>things that you can do in that environment.</w:t>
      </w:r>
    </w:p>
    <w:p w:rsidR="002E1945" w:rsidRDefault="002E1945" w:rsidP="00100563">
      <w:pPr>
        <w:pStyle w:val="Quotation"/>
      </w:pPr>
      <w:r>
        <w:t>They’re unable to tonsils and adenoids for children – the surgeon won’t do them, as it’s the risk of post-op bleeding.</w:t>
      </w:r>
      <w:r w:rsidR="0082571D" w:rsidRPr="0082571D">
        <w:t xml:space="preserve"> </w:t>
      </w:r>
      <w:r w:rsidR="0082571D">
        <w:t xml:space="preserve">The patients are supposed to be in </w:t>
      </w:r>
      <w:r w:rsidR="006E20CD">
        <w:t xml:space="preserve">five </w:t>
      </w:r>
      <w:r w:rsidR="0082571D">
        <w:t xml:space="preserve">hours of post-op recovery, </w:t>
      </w:r>
      <w:r w:rsidR="006E20CD">
        <w:t xml:space="preserve">so </w:t>
      </w:r>
      <w:r w:rsidR="0082571D">
        <w:t>that’s the restraint. But the number waiting for [that] surgery is quite big.</w:t>
      </w:r>
    </w:p>
    <w:p w:rsidR="006E20CD" w:rsidRDefault="006E20CD" w:rsidP="006E20CD">
      <w:pPr>
        <w:pStyle w:val="UnnumtextBodytext"/>
      </w:pPr>
      <w:r>
        <w:t xml:space="preserve">One DHB service manager commented on the schedule and frequency of visits, and while acknowledging that this has been stable, queried </w:t>
      </w:r>
      <w:r w:rsidR="00135DEF">
        <w:t xml:space="preserve">how the route is determined overall. </w:t>
      </w:r>
    </w:p>
    <w:p w:rsidR="006E20CD" w:rsidRDefault="006E20CD" w:rsidP="00100563">
      <w:pPr>
        <w:pStyle w:val="Quotation"/>
      </w:pPr>
      <w:r>
        <w:t>There’s a question about how they determine the frequency and number of days at a certain place. There doesn’t seem to be any review and the bus just goes around in same pattern. You could question if x times per year is appropriate for one site versus</w:t>
      </w:r>
      <w:r w:rsidR="007B01DE">
        <w:t xml:space="preserve"> </w:t>
      </w:r>
      <w:r>
        <w:t xml:space="preserve">another. </w:t>
      </w:r>
    </w:p>
    <w:p w:rsidR="001515D7" w:rsidRDefault="00C3771A" w:rsidP="00B705B2">
      <w:pPr>
        <w:pStyle w:val="Heading3"/>
      </w:pPr>
      <w:bookmarkStart w:id="70" w:name="_Toc423945921"/>
      <w:r>
        <w:t>Hospital</w:t>
      </w:r>
      <w:r w:rsidR="00B705B2">
        <w:t xml:space="preserve"> capacity does not appear to be reduced</w:t>
      </w:r>
      <w:bookmarkEnd w:id="70"/>
    </w:p>
    <w:p w:rsidR="0028029C" w:rsidRDefault="0028029C" w:rsidP="0028029C">
      <w:pPr>
        <w:pStyle w:val="UnnumtextBodytext"/>
      </w:pPr>
      <w:r>
        <w:t>None of the DH</w:t>
      </w:r>
      <w:r w:rsidR="00C3771A">
        <w:t>B</w:t>
      </w:r>
      <w:r>
        <w:t>s that we spoke with raised any concerns about the bus taking staff and reducing capacity in the</w:t>
      </w:r>
      <w:r w:rsidR="00C3771A">
        <w:t>ir</w:t>
      </w:r>
      <w:r>
        <w:t xml:space="preserve"> provider arm. </w:t>
      </w:r>
      <w:r w:rsidR="001A5BA5">
        <w:t xml:space="preserve">One DHB noted that MSS Ltd has consulted with them for their views on which surgeons may be suitable for the bus. </w:t>
      </w:r>
      <w:r>
        <w:t>Two of the DHBs stated that the</w:t>
      </w:r>
      <w:r w:rsidR="001A5BA5">
        <w:t>ir</w:t>
      </w:r>
      <w:r>
        <w:t xml:space="preserve"> surgeon</w:t>
      </w:r>
      <w:r w:rsidR="00C3771A">
        <w:t>s</w:t>
      </w:r>
      <w:r w:rsidR="00F479FE">
        <w:t xml:space="preserve"> either take leave or</w:t>
      </w:r>
      <w:r>
        <w:t xml:space="preserve"> carve</w:t>
      </w:r>
      <w:r w:rsidR="00F479FE">
        <w:t xml:space="preserve"> out</w:t>
      </w:r>
      <w:r>
        <w:t xml:space="preserve"> time </w:t>
      </w:r>
      <w:r w:rsidR="00F479FE">
        <w:t xml:space="preserve">from </w:t>
      </w:r>
      <w:r>
        <w:t>their usual private practice</w:t>
      </w:r>
      <w:r w:rsidR="00F479FE">
        <w:t>.</w:t>
      </w:r>
    </w:p>
    <w:p w:rsidR="00C3771A" w:rsidRDefault="0028029C" w:rsidP="00C3771A">
      <w:pPr>
        <w:pStyle w:val="Quotation"/>
      </w:pPr>
      <w:r>
        <w:t xml:space="preserve">Our consultants have a mix a </w:t>
      </w:r>
      <w:r w:rsidR="00C3771A">
        <w:t xml:space="preserve">public and </w:t>
      </w:r>
      <w:r>
        <w:t xml:space="preserve">private </w:t>
      </w:r>
      <w:r w:rsidR="00C3771A">
        <w:t xml:space="preserve">work </w:t>
      </w:r>
      <w:r>
        <w:t>anyway</w:t>
      </w:r>
      <w:r w:rsidR="00C3771A">
        <w:t xml:space="preserve">… most will </w:t>
      </w:r>
      <w:r>
        <w:t>build it into their private practice</w:t>
      </w:r>
      <w:r w:rsidR="00E614D1">
        <w:t>. T</w:t>
      </w:r>
      <w:r>
        <w:t xml:space="preserve">hey’re </w:t>
      </w:r>
      <w:r w:rsidR="00E614D1">
        <w:t>substituting their private time, s</w:t>
      </w:r>
      <w:r>
        <w:t>o it doesn’t affect our capacity. I haven’t had anybody decrease their public capacity to go on the bus</w:t>
      </w:r>
      <w:r w:rsidR="00C3771A">
        <w:t xml:space="preserve">… </w:t>
      </w:r>
    </w:p>
    <w:p w:rsidR="00C3771A" w:rsidRDefault="00C3771A" w:rsidP="00D7189E">
      <w:pPr>
        <w:pStyle w:val="Quotation"/>
      </w:pPr>
      <w:r w:rsidRPr="00635669">
        <w:t>Two gen</w:t>
      </w:r>
      <w:r>
        <w:t>eral</w:t>
      </w:r>
      <w:r w:rsidRPr="00635669">
        <w:t xml:space="preserve"> surg</w:t>
      </w:r>
      <w:r>
        <w:t>eons are</w:t>
      </w:r>
      <w:r w:rsidRPr="00635669">
        <w:t xml:space="preserve"> keen to wo</w:t>
      </w:r>
      <w:r>
        <w:t>r</w:t>
      </w:r>
      <w:r w:rsidRPr="00635669">
        <w:t>k on the bus</w:t>
      </w:r>
      <w:r w:rsidR="00E614D1">
        <w:t xml:space="preserve">… but </w:t>
      </w:r>
      <w:r>
        <w:t xml:space="preserve">generally </w:t>
      </w:r>
      <w:r w:rsidRPr="00635669">
        <w:t xml:space="preserve">not </w:t>
      </w:r>
      <w:r w:rsidR="00E614D1">
        <w:t xml:space="preserve">during </w:t>
      </w:r>
      <w:r w:rsidRPr="00635669">
        <w:t>operating or clinic time.</w:t>
      </w:r>
      <w:r>
        <w:t xml:space="preserve"> I</w:t>
      </w:r>
      <w:r w:rsidRPr="00635669">
        <w:t xml:space="preserve">f </w:t>
      </w:r>
      <w:r>
        <w:t xml:space="preserve">they do miss a session, then I ask another surgeon to come in and cover it. The surgeon who works on the </w:t>
      </w:r>
      <w:r w:rsidRPr="00635669">
        <w:t xml:space="preserve">bus </w:t>
      </w:r>
      <w:r>
        <w:t>has</w:t>
      </w:r>
      <w:r w:rsidRPr="00635669">
        <w:t xml:space="preserve"> to take annual leave</w:t>
      </w:r>
      <w:r>
        <w:t xml:space="preserve">. </w:t>
      </w:r>
    </w:p>
    <w:p w:rsidR="0028029C" w:rsidRDefault="0028029C" w:rsidP="0028029C">
      <w:pPr>
        <w:pStyle w:val="UnnumtextBodytext"/>
      </w:pPr>
      <w:r>
        <w:lastRenderedPageBreak/>
        <w:t xml:space="preserve">One DHB </w:t>
      </w:r>
      <w:r w:rsidR="00C3771A">
        <w:t xml:space="preserve">commented that the head of </w:t>
      </w:r>
      <w:r w:rsidR="00AE2EEE">
        <w:t xml:space="preserve">a </w:t>
      </w:r>
      <w:r w:rsidR="00C3771A">
        <w:t xml:space="preserve">department had allocated </w:t>
      </w:r>
      <w:r w:rsidR="00AE2EEE">
        <w:t xml:space="preserve">a day </w:t>
      </w:r>
      <w:r w:rsidR="00C3771A">
        <w:t xml:space="preserve">out of non-clinical time </w:t>
      </w:r>
      <w:r w:rsidR="00AE2EEE">
        <w:t xml:space="preserve">every five weeks to operate on the mobile bus. This was </w:t>
      </w:r>
      <w:r w:rsidR="00AE2EEE" w:rsidRPr="00AE2EEE">
        <w:t>driven by desire to</w:t>
      </w:r>
      <w:r w:rsidR="00AE2EEE">
        <w:t xml:space="preserve"> improve access for </w:t>
      </w:r>
      <w:r w:rsidR="00AE2EEE" w:rsidRPr="00AE2EEE">
        <w:t xml:space="preserve">patients </w:t>
      </w:r>
      <w:r w:rsidR="00AE2EEE">
        <w:t xml:space="preserve">and appears accepted </w:t>
      </w:r>
      <w:r w:rsidR="00AE2EEE" w:rsidRPr="00D7189E">
        <w:rPr>
          <w:i/>
        </w:rPr>
        <w:t xml:space="preserve">“We </w:t>
      </w:r>
      <w:r w:rsidRPr="00D7189E">
        <w:rPr>
          <w:i/>
        </w:rPr>
        <w:t>know in advance</w:t>
      </w:r>
      <w:r w:rsidR="00AE2EEE" w:rsidRPr="00D7189E">
        <w:rPr>
          <w:i/>
        </w:rPr>
        <w:t xml:space="preserve"> and</w:t>
      </w:r>
      <w:r w:rsidRPr="00D7189E">
        <w:rPr>
          <w:i/>
        </w:rPr>
        <w:t xml:space="preserve"> it’s part of his role here</w:t>
      </w:r>
      <w:r w:rsidR="00AE2EEE" w:rsidRPr="00D7189E">
        <w:rPr>
          <w:i/>
        </w:rPr>
        <w:t>”.</w:t>
      </w:r>
    </w:p>
    <w:p w:rsidR="0028029C" w:rsidRDefault="0028029C" w:rsidP="0028029C">
      <w:pPr>
        <w:pStyle w:val="UnnumtextBodytext"/>
      </w:pPr>
      <w:r>
        <w:t xml:space="preserve">The provider has also stated that they </w:t>
      </w:r>
      <w:r w:rsidRPr="0028029C">
        <w:t xml:space="preserve">aware of </w:t>
      </w:r>
      <w:r>
        <w:t xml:space="preserve">the </w:t>
      </w:r>
      <w:r w:rsidRPr="0028029C">
        <w:t>issue of not taking away capacity from DHBs</w:t>
      </w:r>
      <w:r>
        <w:t xml:space="preserve"> and generally try to work </w:t>
      </w:r>
      <w:r w:rsidRPr="0028029C">
        <w:t>with elective service managers at DHBs</w:t>
      </w:r>
      <w:r>
        <w:t xml:space="preserve">. Staff contracted to work on the bus generally take annual leave or their </w:t>
      </w:r>
      <w:r w:rsidRPr="0028029C">
        <w:t xml:space="preserve">private </w:t>
      </w:r>
      <w:r w:rsidR="001F71B6">
        <w:t xml:space="preserve">practice </w:t>
      </w:r>
      <w:r w:rsidRPr="0028029C">
        <w:t>days</w:t>
      </w:r>
      <w:r>
        <w:t>.</w:t>
      </w:r>
    </w:p>
    <w:p w:rsidR="0016574B" w:rsidRDefault="0016574B" w:rsidP="00D76C69">
      <w:pPr>
        <w:pStyle w:val="UnnumtextBodytext"/>
      </w:pPr>
      <w:r>
        <w:t xml:space="preserve">The </w:t>
      </w:r>
      <w:r w:rsidR="00D76C69">
        <w:t xml:space="preserve">additional capacity provided by the bus appears to be appreciated by DHB service managers, and this may continue to be the case as the waiting time target reduces from five to four months. </w:t>
      </w:r>
      <w:r>
        <w:t xml:space="preserve">Two </w:t>
      </w:r>
      <w:r w:rsidR="00D76C69">
        <w:t xml:space="preserve">service managers commented </w:t>
      </w:r>
      <w:r>
        <w:t>that the surg</w:t>
      </w:r>
      <w:r w:rsidR="00D76C69">
        <w:t xml:space="preserve">ical </w:t>
      </w:r>
      <w:r>
        <w:t xml:space="preserve">volumes, although small, </w:t>
      </w:r>
      <w:r w:rsidR="00D76C69">
        <w:t>are</w:t>
      </w:r>
      <w:r>
        <w:t xml:space="preserve"> useful </w:t>
      </w:r>
      <w:r w:rsidR="00D76C69">
        <w:t xml:space="preserve">for helping to meet </w:t>
      </w:r>
      <w:r>
        <w:t xml:space="preserve">targets for waiting times and elective surgery </w:t>
      </w:r>
      <w:r w:rsidR="00D76C69">
        <w:t>cas</w:t>
      </w:r>
      <w:r>
        <w:t>e weights.</w:t>
      </w:r>
    </w:p>
    <w:p w:rsidR="00D7189E" w:rsidRDefault="0016574B" w:rsidP="00D7189E">
      <w:pPr>
        <w:pStyle w:val="Quotation"/>
      </w:pPr>
      <w:r>
        <w:t>Those</w:t>
      </w:r>
      <w:r w:rsidRPr="00635669">
        <w:t xml:space="preserve"> </w:t>
      </w:r>
      <w:r>
        <w:t>case-weighted discharges</w:t>
      </w:r>
      <w:r w:rsidRPr="00635669">
        <w:t xml:space="preserve"> all help</w:t>
      </w:r>
      <w:r>
        <w:t xml:space="preserve">. It </w:t>
      </w:r>
      <w:r w:rsidRPr="00635669">
        <w:t xml:space="preserve">means I </w:t>
      </w:r>
      <w:r>
        <w:t>d</w:t>
      </w:r>
      <w:r w:rsidRPr="00635669">
        <w:t>on</w:t>
      </w:r>
      <w:r>
        <w:t>’</w:t>
      </w:r>
      <w:r w:rsidRPr="00635669">
        <w:t xml:space="preserve">t have to push </w:t>
      </w:r>
      <w:r w:rsidR="00F2698E">
        <w:t xml:space="preserve">those </w:t>
      </w:r>
      <w:r w:rsidRPr="00635669">
        <w:t xml:space="preserve">patients through </w:t>
      </w:r>
      <w:r>
        <w:t xml:space="preserve">the base hospital </w:t>
      </w:r>
      <w:r w:rsidRPr="00635669">
        <w:t>theatre</w:t>
      </w:r>
      <w:r>
        <w:t>.</w:t>
      </w:r>
      <w:r w:rsidR="00D7189E" w:rsidRPr="00D7189E">
        <w:t xml:space="preserve"> </w:t>
      </w:r>
      <w:r w:rsidR="00D7189E" w:rsidRPr="002E1945">
        <w:t>A full day is our aim</w:t>
      </w:r>
      <w:r w:rsidR="00D7189E">
        <w:t>..</w:t>
      </w:r>
      <w:r w:rsidR="00D7189E" w:rsidRPr="002E1945">
        <w:t xml:space="preserve">. </w:t>
      </w:r>
      <w:r w:rsidR="00D7189E">
        <w:t>t</w:t>
      </w:r>
      <w:r w:rsidR="00D7189E" w:rsidRPr="002E1945">
        <w:t>he staff on the bus are being paid to work for 8 hours, so let’s get the most out of that capacity [by having a full list]</w:t>
      </w:r>
      <w:r w:rsidR="00D7189E">
        <w:t>.</w:t>
      </w:r>
    </w:p>
    <w:p w:rsidR="0016574B" w:rsidRDefault="0016574B" w:rsidP="0016574B">
      <w:pPr>
        <w:pStyle w:val="Quotation"/>
      </w:pPr>
      <w:r>
        <w:t>The bus is like an additional theatre. It’s a small percentage of our target case weights, but it would be harder to meet the targets without it.</w:t>
      </w:r>
    </w:p>
    <w:p w:rsidR="0082571D" w:rsidRPr="0082571D" w:rsidRDefault="0082571D" w:rsidP="0082571D">
      <w:r>
        <w:t>A couple of DHB</w:t>
      </w:r>
      <w:r w:rsidR="006E20CD">
        <w:t xml:space="preserve"> </w:t>
      </w:r>
      <w:r>
        <w:t>s</w:t>
      </w:r>
      <w:r w:rsidR="006E20CD">
        <w:t>ervice managers</w:t>
      </w:r>
      <w:r>
        <w:t xml:space="preserve"> noted that </w:t>
      </w:r>
      <w:r w:rsidRPr="0082571D">
        <w:t xml:space="preserve">the </w:t>
      </w:r>
      <w:r>
        <w:t xml:space="preserve">shift in patient </w:t>
      </w:r>
      <w:r w:rsidRPr="0082571D">
        <w:t xml:space="preserve">waiting time targets for </w:t>
      </w:r>
      <w:r>
        <w:t>elective surgery from a maximum of six to five months, and soon to four months, is “</w:t>
      </w:r>
      <w:r w:rsidRPr="0082571D">
        <w:t>a massive change</w:t>
      </w:r>
      <w:r>
        <w:t xml:space="preserve">” and that they’re much more </w:t>
      </w:r>
      <w:r w:rsidRPr="0082571D">
        <w:t xml:space="preserve">driven by </w:t>
      </w:r>
      <w:r>
        <w:t xml:space="preserve">the need to </w:t>
      </w:r>
      <w:r w:rsidRPr="0082571D">
        <w:t>meet</w:t>
      </w:r>
      <w:r>
        <w:t xml:space="preserve"> those targets.</w:t>
      </w:r>
      <w:r w:rsidRPr="0082571D">
        <w:t xml:space="preserve"> </w:t>
      </w:r>
      <w:r w:rsidR="002F2091">
        <w:t>This might mean re-looking at the sites, time in the district, mix of specialties and how the patients are scheduled.</w:t>
      </w:r>
    </w:p>
    <w:p w:rsidR="0082571D" w:rsidRDefault="0082571D" w:rsidP="0016574B">
      <w:pPr>
        <w:pStyle w:val="Quotation"/>
      </w:pPr>
      <w:r>
        <w:t xml:space="preserve">We recently said that we’re thinking about how the bus can better complement this new world of targets. </w:t>
      </w:r>
      <w:r w:rsidRPr="007A141C">
        <w:t>We</w:t>
      </w:r>
      <w:r>
        <w:t>’</w:t>
      </w:r>
      <w:r w:rsidRPr="007A141C">
        <w:t>d like them to look at what they do and they’ve said they would</w:t>
      </w:r>
      <w:r>
        <w:t>.</w:t>
      </w:r>
    </w:p>
    <w:p w:rsidR="0016574B" w:rsidRDefault="0016574B" w:rsidP="00950129">
      <w:pPr>
        <w:pStyle w:val="Heading3"/>
      </w:pPr>
      <w:bookmarkStart w:id="71" w:name="_Toc423945922"/>
      <w:r>
        <w:t>No major issues with r</w:t>
      </w:r>
      <w:r w:rsidR="00950129">
        <w:t>eferral path</w:t>
      </w:r>
      <w:r>
        <w:t>ways</w:t>
      </w:r>
      <w:bookmarkEnd w:id="71"/>
      <w:r>
        <w:t xml:space="preserve"> </w:t>
      </w:r>
    </w:p>
    <w:p w:rsidR="00135DEF" w:rsidRDefault="00135DEF" w:rsidP="00100563">
      <w:r>
        <w:t>The DHB service managers that we spoke with were satisfied with the referral pathways for patients being treated on the mobile surgical bu</w:t>
      </w:r>
      <w:r w:rsidR="00CD75AB">
        <w:t>s. In each case, the service manager was clear that their DHB operates a</w:t>
      </w:r>
      <w:r>
        <w:t xml:space="preserve"> single waiting list </w:t>
      </w:r>
      <w:r w:rsidR="00CD75AB">
        <w:t>and that patients treated on the bus are offered that option, once they pass the threshold for elective surgery.</w:t>
      </w:r>
      <w:r>
        <w:t xml:space="preserve"> </w:t>
      </w:r>
    </w:p>
    <w:p w:rsidR="00CD75AB" w:rsidRDefault="00CD75AB" w:rsidP="00CD75AB">
      <w:pPr>
        <w:pStyle w:val="Quotation"/>
      </w:pPr>
      <w:r>
        <w:t>They all qualify for the [district health board] threshold to get on the waiting list.</w:t>
      </w:r>
    </w:p>
    <w:p w:rsidR="00CD75AB" w:rsidRDefault="00CD75AB" w:rsidP="00CD75AB">
      <w:pPr>
        <w:pStyle w:val="Quotation"/>
      </w:pPr>
      <w:r>
        <w:t>W</w:t>
      </w:r>
      <w:r w:rsidRPr="00635669">
        <w:t>e only have a single list</w:t>
      </w:r>
      <w:r>
        <w:t>. I</w:t>
      </w:r>
      <w:r w:rsidRPr="00635669">
        <w:t xml:space="preserve">f </w:t>
      </w:r>
      <w:r>
        <w:t xml:space="preserve">they </w:t>
      </w:r>
      <w:r w:rsidRPr="00635669">
        <w:t xml:space="preserve">don’t meet the </w:t>
      </w:r>
      <w:r>
        <w:t xml:space="preserve">DHB </w:t>
      </w:r>
      <w:r w:rsidRPr="00635669">
        <w:t xml:space="preserve">threshold for surgery, </w:t>
      </w:r>
      <w:r w:rsidR="00AF51CC">
        <w:t xml:space="preserve">then </w:t>
      </w:r>
      <w:r w:rsidRPr="00635669">
        <w:t>they won</w:t>
      </w:r>
      <w:r>
        <w:t>’</w:t>
      </w:r>
      <w:r w:rsidRPr="00635669">
        <w:t xml:space="preserve">t be </w:t>
      </w:r>
      <w:r w:rsidR="00AF51CC">
        <w:t xml:space="preserve">treated </w:t>
      </w:r>
      <w:r w:rsidRPr="00635669">
        <w:t xml:space="preserve">on the </w:t>
      </w:r>
      <w:r>
        <w:t>bus.</w:t>
      </w:r>
    </w:p>
    <w:p w:rsidR="00100563" w:rsidRDefault="00100563" w:rsidP="00135DEF">
      <w:pPr>
        <w:pStyle w:val="Quotation"/>
      </w:pPr>
      <w:r>
        <w:t>All patients must go on the DHB waiting list</w:t>
      </w:r>
      <w:r w:rsidR="00135DEF">
        <w:t xml:space="preserve"> and </w:t>
      </w:r>
      <w:r>
        <w:t>they’re then chronologically assigned to lists</w:t>
      </w:r>
      <w:r w:rsidR="00135DEF">
        <w:t>. W</w:t>
      </w:r>
      <w:r>
        <w:t>e’re closely monitoring elective waiting times, with the move to five-month targets.</w:t>
      </w:r>
    </w:p>
    <w:p w:rsidR="00135DEF" w:rsidRDefault="00135DEF" w:rsidP="00135DEF">
      <w:pPr>
        <w:pStyle w:val="UnnumtextBodytext"/>
      </w:pPr>
      <w:r>
        <w:t xml:space="preserve">One DHB </w:t>
      </w:r>
      <w:r w:rsidR="00B749E6">
        <w:t>acknowledged</w:t>
      </w:r>
      <w:r>
        <w:t xml:space="preserve"> that, in the past, there had been direct referrals of </w:t>
      </w:r>
      <w:r w:rsidR="00B749E6">
        <w:t>patients</w:t>
      </w:r>
      <w:r>
        <w:t xml:space="preserve"> onto the bus, </w:t>
      </w:r>
      <w:r w:rsidR="00B749E6">
        <w:t>form</w:t>
      </w:r>
      <w:r>
        <w:t xml:space="preserve"> a rural </w:t>
      </w:r>
      <w:r w:rsidR="00B749E6">
        <w:t>hospital</w:t>
      </w:r>
      <w:r>
        <w:t xml:space="preserve"> site operated by a community </w:t>
      </w:r>
      <w:r w:rsidR="00B749E6">
        <w:t>trust</w:t>
      </w:r>
      <w:r>
        <w:t xml:space="preserve">. This is now no longer the case, with all </w:t>
      </w:r>
      <w:r w:rsidR="00B749E6">
        <w:t xml:space="preserve">stakeholders </w:t>
      </w:r>
      <w:r>
        <w:t xml:space="preserve">agreeing that </w:t>
      </w:r>
      <w:r w:rsidR="00B749E6">
        <w:t>patients</w:t>
      </w:r>
      <w:r>
        <w:t xml:space="preserve"> within the </w:t>
      </w:r>
      <w:r w:rsidR="00B749E6">
        <w:t>district s</w:t>
      </w:r>
      <w:r>
        <w:t xml:space="preserve">hould be managed by DHB booking staff under a </w:t>
      </w:r>
      <w:proofErr w:type="spellStart"/>
      <w:r>
        <w:t>centralised</w:t>
      </w:r>
      <w:proofErr w:type="spellEnd"/>
      <w:r>
        <w:t xml:space="preserve"> list.</w:t>
      </w:r>
      <w:r w:rsidR="00AF51CC">
        <w:t xml:space="preserve"> In another case, a community trust acknowledged that they had directly referred to the mobile surgical bus in the early days of the service, but that their DHB now requires all patients to be managed via a central list.</w:t>
      </w:r>
    </w:p>
    <w:p w:rsidR="00D7189E" w:rsidRDefault="00D7189E">
      <w:pPr>
        <w:spacing w:after="0" w:line="240" w:lineRule="auto"/>
      </w:pPr>
      <w:r>
        <w:br w:type="page"/>
      </w:r>
    </w:p>
    <w:p w:rsidR="00CD75AB" w:rsidRDefault="00135DEF" w:rsidP="00CD75AB">
      <w:pPr>
        <w:pStyle w:val="UnnumtextBodytext"/>
      </w:pPr>
      <w:r w:rsidRPr="00135DEF">
        <w:lastRenderedPageBreak/>
        <w:t xml:space="preserve">A couple of DHB service managers pointed to </w:t>
      </w:r>
      <w:r>
        <w:t>ste</w:t>
      </w:r>
      <w:r w:rsidR="00031354">
        <w:t>p</w:t>
      </w:r>
      <w:r>
        <w:t>s that h</w:t>
      </w:r>
      <w:r w:rsidR="00031354">
        <w:t>a</w:t>
      </w:r>
      <w:r>
        <w:t xml:space="preserve">d </w:t>
      </w:r>
      <w:r w:rsidR="00031354">
        <w:t xml:space="preserve">been </w:t>
      </w:r>
      <w:r>
        <w:t xml:space="preserve">taken </w:t>
      </w:r>
      <w:r w:rsidR="00031354">
        <w:t xml:space="preserve">within their district </w:t>
      </w:r>
      <w:r>
        <w:t>to assist pat</w:t>
      </w:r>
      <w:r w:rsidR="00031354">
        <w:t>i</w:t>
      </w:r>
      <w:r>
        <w:t>e</w:t>
      </w:r>
      <w:r w:rsidR="00031354">
        <w:t>n</w:t>
      </w:r>
      <w:r>
        <w:t>t access to the mobile service</w:t>
      </w:r>
      <w:r w:rsidR="00031354">
        <w:t xml:space="preserve"> at rural sites. </w:t>
      </w:r>
      <w:r w:rsidRPr="00135DEF">
        <w:t xml:space="preserve">One DHB </w:t>
      </w:r>
      <w:r w:rsidR="00031354">
        <w:t xml:space="preserve">holds </w:t>
      </w:r>
      <w:r w:rsidRPr="00135DEF">
        <w:t xml:space="preserve">outpatient clinics </w:t>
      </w:r>
      <w:r w:rsidR="00031354">
        <w:t xml:space="preserve">with visiting specialists </w:t>
      </w:r>
      <w:r w:rsidRPr="00135DEF">
        <w:t xml:space="preserve">at the </w:t>
      </w:r>
      <w:r w:rsidR="00031354" w:rsidRPr="00135DEF">
        <w:t>rural</w:t>
      </w:r>
      <w:r w:rsidRPr="00135DEF">
        <w:t xml:space="preserve"> hospital site in question, which mean</w:t>
      </w:r>
      <w:r w:rsidR="00031354">
        <w:t>s</w:t>
      </w:r>
      <w:r w:rsidRPr="00135DEF">
        <w:t xml:space="preserve"> that the referring consultant </w:t>
      </w:r>
      <w:r w:rsidR="00031354">
        <w:t>is,</w:t>
      </w:r>
      <w:r w:rsidRPr="00135DEF">
        <w:t xml:space="preserve"> in some cases</w:t>
      </w:r>
      <w:r w:rsidR="00031354">
        <w:t>,</w:t>
      </w:r>
      <w:r w:rsidRPr="00135DEF">
        <w:t xml:space="preserve"> the same surgeon th</w:t>
      </w:r>
      <w:r w:rsidR="00031354">
        <w:t>a</w:t>
      </w:r>
      <w:r w:rsidRPr="00135DEF">
        <w:t>t operate</w:t>
      </w:r>
      <w:r w:rsidR="00031354">
        <w:t>s</w:t>
      </w:r>
      <w:r w:rsidRPr="00135DEF">
        <w:t xml:space="preserve"> on the mobile surgical bus. This means that </w:t>
      </w:r>
      <w:r w:rsidR="00031354">
        <w:t>some patients ar</w:t>
      </w:r>
      <w:r w:rsidRPr="00135DEF">
        <w:t>e able to have the</w:t>
      </w:r>
      <w:r w:rsidR="00031354">
        <w:t xml:space="preserve">ir </w:t>
      </w:r>
      <w:r w:rsidR="00064030">
        <w:t xml:space="preserve">assessment and </w:t>
      </w:r>
      <w:r w:rsidRPr="00135DEF">
        <w:t xml:space="preserve">treatment </w:t>
      </w:r>
      <w:r w:rsidR="00064030">
        <w:t>c</w:t>
      </w:r>
      <w:r w:rsidR="00031354">
        <w:t>loser to home, and some, cases, handled by the same consultant.</w:t>
      </w:r>
      <w:r w:rsidR="00AF51CC">
        <w:t xml:space="preserve"> </w:t>
      </w:r>
      <w:r>
        <w:t>Ano</w:t>
      </w:r>
      <w:r w:rsidR="00064030">
        <w:t>ther DHB has</w:t>
      </w:r>
      <w:r w:rsidR="00031354">
        <w:t xml:space="preserve"> </w:t>
      </w:r>
      <w:r w:rsidR="00AF51CC">
        <w:t xml:space="preserve">approved a </w:t>
      </w:r>
      <w:r w:rsidR="00031354">
        <w:t>general practitioner with a special</w:t>
      </w:r>
      <w:r w:rsidR="00CD75AB">
        <w:t xml:space="preserve"> interest who sees</w:t>
      </w:r>
      <w:r w:rsidR="00DC0BE3">
        <w:t xml:space="preserve"> a lot of the </w:t>
      </w:r>
      <w:r w:rsidR="00CD75AB">
        <w:t>c</w:t>
      </w:r>
      <w:r w:rsidR="00DC0BE3">
        <w:t xml:space="preserve">hildren </w:t>
      </w:r>
      <w:r w:rsidR="00064030">
        <w:t>in the</w:t>
      </w:r>
      <w:r w:rsidR="00AF51CC">
        <w:t xml:space="preserve"> rural area in question, including those that are referred to the waiting list and treated by the mobile surgical service.</w:t>
      </w:r>
      <w:r w:rsidR="00DC0BE3">
        <w:t xml:space="preserve"> </w:t>
      </w:r>
    </w:p>
    <w:p w:rsidR="00DC0BE3" w:rsidRDefault="00CD75AB" w:rsidP="00DC0BE3">
      <w:pPr>
        <w:pStyle w:val="Quotation"/>
      </w:pPr>
      <w:r>
        <w:t>We</w:t>
      </w:r>
      <w:r w:rsidR="00DC0BE3">
        <w:t xml:space="preserve"> have a credentialed </w:t>
      </w:r>
      <w:r>
        <w:t xml:space="preserve">general practitioner </w:t>
      </w:r>
      <w:r w:rsidR="00DC0BE3">
        <w:t xml:space="preserve">to see them </w:t>
      </w:r>
      <w:r>
        <w:t xml:space="preserve">locally </w:t>
      </w:r>
      <w:r w:rsidR="00DC0BE3">
        <w:t>as an outpatient for the</w:t>
      </w:r>
      <w:r>
        <w:t xml:space="preserve">ir first </w:t>
      </w:r>
      <w:r w:rsidR="00DC0BE3">
        <w:t xml:space="preserve">appointment; that’s where the </w:t>
      </w:r>
      <w:r>
        <w:t>referrals are generated from</w:t>
      </w:r>
      <w:r w:rsidR="00064030">
        <w:t>, i</w:t>
      </w:r>
      <w:r>
        <w:t>f they’re living in the area.</w:t>
      </w:r>
    </w:p>
    <w:p w:rsidR="00950129" w:rsidRDefault="0016574B" w:rsidP="00950129">
      <w:pPr>
        <w:pStyle w:val="Heading3"/>
      </w:pPr>
      <w:bookmarkStart w:id="72" w:name="_Toc423945923"/>
      <w:r>
        <w:t xml:space="preserve">No evidence of large differences in </w:t>
      </w:r>
      <w:r w:rsidR="00950129">
        <w:t>waiting time</w:t>
      </w:r>
      <w:r>
        <w:t>s</w:t>
      </w:r>
      <w:bookmarkEnd w:id="72"/>
      <w:r>
        <w:t xml:space="preserve"> </w:t>
      </w:r>
    </w:p>
    <w:p w:rsidR="00950129" w:rsidRDefault="00950129" w:rsidP="00950129">
      <w:pPr>
        <w:pStyle w:val="UnnumtextBodytext"/>
      </w:pPr>
      <w:r w:rsidRPr="00981FA2">
        <w:t xml:space="preserve">We </w:t>
      </w:r>
      <w:r w:rsidR="00A059AC">
        <w:t xml:space="preserve">asked </w:t>
      </w:r>
      <w:r w:rsidR="00632E67">
        <w:t xml:space="preserve">DHB service managers about </w:t>
      </w:r>
      <w:r w:rsidR="00A059AC">
        <w:t xml:space="preserve">waiting times, and whether these were different for patients treated on the mobile surgical bus when compared with those treated at a base hospital. The general consensus among </w:t>
      </w:r>
      <w:r w:rsidR="00632E67">
        <w:t>the s</w:t>
      </w:r>
      <w:r w:rsidR="00A059AC">
        <w:t>ervice managers that we spoke with was that there was no significant difference</w:t>
      </w:r>
      <w:r w:rsidR="00D0410B">
        <w:t xml:space="preserve"> in waiting times</w:t>
      </w:r>
      <w:r w:rsidR="00A059AC">
        <w:t xml:space="preserve">, or evidence </w:t>
      </w:r>
      <w:r w:rsidR="00D0410B">
        <w:t>that bus patients were systematically being treated more quickly than other patients waiting for equivalent surgery.</w:t>
      </w:r>
    </w:p>
    <w:p w:rsidR="00D0410B" w:rsidRDefault="00D0410B" w:rsidP="000F441F">
      <w:pPr>
        <w:pStyle w:val="Quotation"/>
      </w:pPr>
      <w:r>
        <w:t xml:space="preserve">The head of department contacted me a few weeks ago, seeking a comparison of wait times for here and [rural hospital] – </w:t>
      </w:r>
      <w:r w:rsidR="00F2698E">
        <w:t xml:space="preserve">and </w:t>
      </w:r>
      <w:r>
        <w:t xml:space="preserve">there was no difference. </w:t>
      </w:r>
    </w:p>
    <w:p w:rsidR="0016574B" w:rsidRDefault="000F441F" w:rsidP="000F441F">
      <w:pPr>
        <w:pStyle w:val="Quotation"/>
      </w:pPr>
      <w:r>
        <w:t xml:space="preserve">Whenever </w:t>
      </w:r>
      <w:r w:rsidR="00064030">
        <w:t xml:space="preserve">we </w:t>
      </w:r>
      <w:r>
        <w:t>select</w:t>
      </w:r>
      <w:r w:rsidR="00064030">
        <w:t xml:space="preserve"> p</w:t>
      </w:r>
      <w:r>
        <w:t>atient</w:t>
      </w:r>
      <w:r w:rsidR="00064030">
        <w:t>s for</w:t>
      </w:r>
      <w:r>
        <w:t xml:space="preserve"> lists, it’s a combination of factors, such as health priorities and waiting times and also </w:t>
      </w:r>
      <w:r w:rsidR="00064030">
        <w:t xml:space="preserve">the </w:t>
      </w:r>
      <w:r>
        <w:t>location and age of patients. It’s fair to say we have more who can be done on the bus tha</w:t>
      </w:r>
      <w:r w:rsidR="002F2091">
        <w:t>n</w:t>
      </w:r>
      <w:r>
        <w:t xml:space="preserve"> </w:t>
      </w:r>
      <w:r w:rsidR="002F2091">
        <w:t>can be accommodated</w:t>
      </w:r>
      <w:r w:rsidR="00F2698E">
        <w:t xml:space="preserve">... </w:t>
      </w:r>
      <w:r w:rsidR="00064030">
        <w:t>T</w:t>
      </w:r>
      <w:r>
        <w:t xml:space="preserve">hey’re all getting </w:t>
      </w:r>
      <w:r w:rsidR="00D0410B">
        <w:t xml:space="preserve">the </w:t>
      </w:r>
      <w:r>
        <w:t xml:space="preserve">same surgery but just in different settings and often </w:t>
      </w:r>
      <w:r w:rsidR="00064030">
        <w:t xml:space="preserve">with </w:t>
      </w:r>
      <w:r>
        <w:t xml:space="preserve">the same surgeon. </w:t>
      </w:r>
    </w:p>
    <w:p w:rsidR="00632E67" w:rsidRDefault="00632E67" w:rsidP="00632E67">
      <w:pPr>
        <w:pStyle w:val="UnnumtextBodytext"/>
      </w:pPr>
      <w:r>
        <w:t>There may be cases where a patient receives surgery a couple of weeks earlier o</w:t>
      </w:r>
      <w:r w:rsidR="001F71B6">
        <w:t>r</w:t>
      </w:r>
      <w:r>
        <w:t xml:space="preserve"> later than would be the case if they were treated a base hospital. This </w:t>
      </w:r>
      <w:r w:rsidR="00447953">
        <w:t xml:space="preserve">difference </w:t>
      </w:r>
      <w:r>
        <w:t>depends</w:t>
      </w:r>
      <w:r w:rsidR="00447953">
        <w:t xml:space="preserve">, in part, </w:t>
      </w:r>
      <w:r>
        <w:t xml:space="preserve">on </w:t>
      </w:r>
      <w:r w:rsidR="00447953">
        <w:t xml:space="preserve">when the </w:t>
      </w:r>
      <w:r>
        <w:t xml:space="preserve">mobile surgical bus </w:t>
      </w:r>
      <w:r w:rsidR="00447953">
        <w:t xml:space="preserve">is next scheduled to arrive. When given the choice, it appears some patients or caregivers are willing to wait a little longer for elective surgery, if that means they can avoid a trip to the base </w:t>
      </w:r>
      <w:r w:rsidR="00503011">
        <w:t>hospital</w:t>
      </w:r>
      <w:r w:rsidR="00447953">
        <w:t xml:space="preserve">. </w:t>
      </w:r>
    </w:p>
    <w:p w:rsidR="002E1945" w:rsidRDefault="00135DEF" w:rsidP="00064030">
      <w:pPr>
        <w:pStyle w:val="Quotation"/>
      </w:pPr>
      <w:r>
        <w:t>Sometimes it might make sense to allow a mum with two kids to wait a couple of weeks for the bus</w:t>
      </w:r>
      <w:r w:rsidR="00064030">
        <w:t xml:space="preserve"> to come</w:t>
      </w:r>
      <w:r>
        <w:t xml:space="preserve">, instead of </w:t>
      </w:r>
      <w:r w:rsidR="00064030">
        <w:t xml:space="preserve">them </w:t>
      </w:r>
      <w:r>
        <w:t>travelling to the base hospital.</w:t>
      </w:r>
      <w:r w:rsidR="00447953">
        <w:t xml:space="preserve"> </w:t>
      </w:r>
      <w:r w:rsidR="00DE134C">
        <w:t>Some people are willing to wait a bit longer… if they can have the surgery closer to home.</w:t>
      </w:r>
    </w:p>
    <w:p w:rsidR="00204BC2" w:rsidRDefault="00204BC2" w:rsidP="00064030">
      <w:pPr>
        <w:pStyle w:val="Quotation"/>
      </w:pPr>
      <w:r>
        <w:t>Parents are happy to wait for 4-5 weeks longer [than otherwise] because they’d rather wait for the service at [rural hospital] than get called into [base hospital].</w:t>
      </w:r>
    </w:p>
    <w:p w:rsidR="00D0036E" w:rsidRDefault="00F13255" w:rsidP="00D0036E">
      <w:pPr>
        <w:pStyle w:val="Heading3"/>
      </w:pPr>
      <w:bookmarkStart w:id="73" w:name="_Toc423945924"/>
      <w:r>
        <w:t>Most r</w:t>
      </w:r>
      <w:r w:rsidR="00866B92">
        <w:t>ural sites are very happy to host the bus</w:t>
      </w:r>
      <w:bookmarkEnd w:id="73"/>
    </w:p>
    <w:p w:rsidR="00D0036E" w:rsidRDefault="00921ECC" w:rsidP="00D0036E">
      <w:r>
        <w:t>Most</w:t>
      </w:r>
      <w:r w:rsidR="006256D8">
        <w:t xml:space="preserve"> general managers </w:t>
      </w:r>
      <w:r>
        <w:t xml:space="preserve">of </w:t>
      </w:r>
      <w:r w:rsidR="006256D8">
        <w:t>r</w:t>
      </w:r>
      <w:r w:rsidR="00D0036E">
        <w:t xml:space="preserve">ural hospital </w:t>
      </w:r>
      <w:r>
        <w:t xml:space="preserve">that we spoke with were </w:t>
      </w:r>
      <w:r w:rsidR="006256D8">
        <w:t xml:space="preserve">supportive of hosting the mobile surgical service. </w:t>
      </w:r>
      <w:r>
        <w:t>There were</w:t>
      </w:r>
      <w:r w:rsidR="006256D8">
        <w:t xml:space="preserve"> </w:t>
      </w:r>
      <w:r w:rsidR="001C3866">
        <w:t xml:space="preserve">several </w:t>
      </w:r>
      <w:r>
        <w:t xml:space="preserve">comments </w:t>
      </w:r>
      <w:r w:rsidR="006256D8">
        <w:t xml:space="preserve">that the bus was seen as a </w:t>
      </w:r>
      <w:r>
        <w:t>replacement</w:t>
      </w:r>
      <w:r w:rsidR="006256D8">
        <w:t xml:space="preserve"> fulfilling loss of surgery in 1990s and helping the staff and town to feel like they were a “real </w:t>
      </w:r>
      <w:r>
        <w:t>hospital</w:t>
      </w:r>
      <w:r w:rsidR="006256D8">
        <w:t>”.</w:t>
      </w:r>
      <w:r>
        <w:t xml:space="preserve"> Most mentioned improved access to services in the community as being the key benefit, along with the experience gained by their nursing team. </w:t>
      </w:r>
    </w:p>
    <w:p w:rsidR="00F13255" w:rsidRDefault="00F13255" w:rsidP="00F13255">
      <w:pPr>
        <w:pStyle w:val="Quotation"/>
      </w:pPr>
      <w:r>
        <w:t>We’re s</w:t>
      </w:r>
      <w:r w:rsidRPr="00F13255">
        <w:t>upportive of the bus 110%</w:t>
      </w:r>
      <w:r>
        <w:t>,</w:t>
      </w:r>
      <w:r w:rsidRPr="00F13255">
        <w:t xml:space="preserve"> from a rural hospital point of view</w:t>
      </w:r>
      <w:r>
        <w:t xml:space="preserve">. The </w:t>
      </w:r>
      <w:proofErr w:type="spellStart"/>
      <w:r w:rsidRPr="00F13255">
        <w:t>centralisation</w:t>
      </w:r>
      <w:proofErr w:type="spellEnd"/>
      <w:r w:rsidRPr="00F13255">
        <w:t xml:space="preserve"> of surgery </w:t>
      </w:r>
      <w:r>
        <w:t>w</w:t>
      </w:r>
      <w:r w:rsidRPr="00F13255">
        <w:t>as a loss</w:t>
      </w:r>
      <w:r>
        <w:t xml:space="preserve"> for us, so </w:t>
      </w:r>
      <w:r w:rsidRPr="00F13255">
        <w:t>the bus has given us</w:t>
      </w:r>
      <w:r w:rsidR="006256D8">
        <w:t xml:space="preserve"> a</w:t>
      </w:r>
      <w:r w:rsidRPr="00F13255">
        <w:t xml:space="preserve"> sense of regaining surgery</w:t>
      </w:r>
      <w:r>
        <w:t xml:space="preserve">. The benefit </w:t>
      </w:r>
      <w:r w:rsidRPr="00FB01F1">
        <w:t>is that a prop</w:t>
      </w:r>
      <w:r>
        <w:t xml:space="preserve">ortion of patients no </w:t>
      </w:r>
      <w:r w:rsidRPr="00FB01F1">
        <w:t>longer need to trave</w:t>
      </w:r>
      <w:r>
        <w:t>l</w:t>
      </w:r>
      <w:r w:rsidRPr="00FB01F1">
        <w:t xml:space="preserve"> and in</w:t>
      </w:r>
      <w:r>
        <w:t>c</w:t>
      </w:r>
      <w:r w:rsidRPr="00FB01F1">
        <w:t xml:space="preserve">ur </w:t>
      </w:r>
      <w:r>
        <w:t>a c</w:t>
      </w:r>
      <w:r w:rsidRPr="00FB01F1">
        <w:t>ost</w:t>
      </w:r>
      <w:r>
        <w:t>….</w:t>
      </w:r>
      <w:r w:rsidRPr="00F13255">
        <w:t xml:space="preserve"> </w:t>
      </w:r>
      <w:r>
        <w:t xml:space="preserve">And </w:t>
      </w:r>
      <w:r w:rsidR="00DA7940">
        <w:t>it’s</w:t>
      </w:r>
      <w:r>
        <w:t xml:space="preserve"> c</w:t>
      </w:r>
      <w:r w:rsidRPr="00FB01F1">
        <w:t>onsist</w:t>
      </w:r>
      <w:r>
        <w:t>e</w:t>
      </w:r>
      <w:r w:rsidRPr="00FB01F1">
        <w:t xml:space="preserve">nt with </w:t>
      </w:r>
      <w:r w:rsidR="00DA7940">
        <w:t>“</w:t>
      </w:r>
      <w:r w:rsidRPr="00FB01F1">
        <w:t>B</w:t>
      </w:r>
      <w:r>
        <w:t xml:space="preserve">etter, </w:t>
      </w:r>
      <w:r w:rsidRPr="00FB01F1">
        <w:t>S</w:t>
      </w:r>
      <w:r>
        <w:t xml:space="preserve">ooner, </w:t>
      </w:r>
      <w:r w:rsidRPr="00FB01F1">
        <w:t>M</w:t>
      </w:r>
      <w:r>
        <w:t xml:space="preserve">ore </w:t>
      </w:r>
      <w:r w:rsidRPr="00FB01F1">
        <w:t>C</w:t>
      </w:r>
      <w:r>
        <w:t>onvenient</w:t>
      </w:r>
      <w:r w:rsidR="00DA7940">
        <w:t>”</w:t>
      </w:r>
      <w:r>
        <w:t xml:space="preserve"> –</w:t>
      </w:r>
      <w:r w:rsidRPr="00FB01F1">
        <w:t xml:space="preserve"> </w:t>
      </w:r>
      <w:r w:rsidR="00DA7940">
        <w:t xml:space="preserve">especially being </w:t>
      </w:r>
      <w:r>
        <w:t>“more convenient.”</w:t>
      </w:r>
    </w:p>
    <w:p w:rsidR="000C122C" w:rsidRDefault="000C122C" w:rsidP="00845EDF">
      <w:pPr>
        <w:pStyle w:val="Quotation"/>
      </w:pPr>
      <w:r>
        <w:lastRenderedPageBreak/>
        <w:t>O</w:t>
      </w:r>
      <w:r w:rsidRPr="000C122C">
        <w:t>ur operating theatre had been closed</w:t>
      </w:r>
      <w:r>
        <w:t xml:space="preserve"> and </w:t>
      </w:r>
      <w:r w:rsidRPr="000C122C">
        <w:t>the public asked us what else to replace it</w:t>
      </w:r>
      <w:r w:rsidR="00845EDF">
        <w:t xml:space="preserve">… MSS asked us at </w:t>
      </w:r>
      <w:r w:rsidRPr="00845EDF">
        <w:t>the right time</w:t>
      </w:r>
      <w:r w:rsidR="00845EDF">
        <w:t xml:space="preserve">. So </w:t>
      </w:r>
      <w:r w:rsidRPr="00845EDF">
        <w:t>there was strong public support</w:t>
      </w:r>
      <w:r w:rsidR="00845EDF">
        <w:t xml:space="preserve"> for the bus</w:t>
      </w:r>
      <w:r w:rsidRPr="00845EDF">
        <w:t xml:space="preserve"> – a lot of </w:t>
      </w:r>
      <w:proofErr w:type="spellStart"/>
      <w:r w:rsidRPr="00845EDF">
        <w:t>kaumātua</w:t>
      </w:r>
      <w:proofErr w:type="spellEnd"/>
      <w:r w:rsidRPr="00845EDF">
        <w:t xml:space="preserve"> </w:t>
      </w:r>
      <w:r w:rsidR="00845EDF">
        <w:t>and children were on board.</w:t>
      </w:r>
    </w:p>
    <w:p w:rsidR="006256D8" w:rsidRDefault="006256D8" w:rsidP="006256D8">
      <w:pPr>
        <w:pStyle w:val="Quotation"/>
      </w:pPr>
      <w:r>
        <w:t xml:space="preserve">Our surgical operations closed in </w:t>
      </w:r>
      <w:r w:rsidR="00447953">
        <w:t>the 1990s</w:t>
      </w:r>
      <w:r>
        <w:t xml:space="preserve">… so </w:t>
      </w:r>
      <w:r w:rsidR="00447953">
        <w:t>our</w:t>
      </w:r>
      <w:r>
        <w:t xml:space="preserve"> nurses lost the ability to work in surgery. </w:t>
      </w:r>
      <w:r w:rsidR="00921ECC">
        <w:t xml:space="preserve">So </w:t>
      </w:r>
      <w:r>
        <w:t xml:space="preserve">I saw the potential to get </w:t>
      </w:r>
      <w:r w:rsidR="00F2698E">
        <w:t>that</w:t>
      </w:r>
      <w:r>
        <w:t xml:space="preserve"> back and to provide the service in the community. </w:t>
      </w:r>
    </w:p>
    <w:p w:rsidR="006256D8" w:rsidRPr="006256D8" w:rsidRDefault="006256D8" w:rsidP="006256D8">
      <w:pPr>
        <w:pStyle w:val="Quotation"/>
      </w:pPr>
      <w:r w:rsidRPr="006256D8">
        <w:t xml:space="preserve">We were keen to get access to </w:t>
      </w:r>
      <w:r>
        <w:t xml:space="preserve">the surgical </w:t>
      </w:r>
      <w:r w:rsidRPr="006256D8">
        <w:t xml:space="preserve">bus and </w:t>
      </w:r>
      <w:r>
        <w:t xml:space="preserve">the </w:t>
      </w:r>
      <w:r w:rsidRPr="006256D8">
        <w:t>telepresenc</w:t>
      </w:r>
      <w:r>
        <w:t>e, as w</w:t>
      </w:r>
      <w:r w:rsidRPr="006256D8">
        <w:t xml:space="preserve">e’re surrounded by mountains </w:t>
      </w:r>
      <w:r>
        <w:t xml:space="preserve">here. </w:t>
      </w:r>
      <w:r w:rsidRPr="006256D8">
        <w:t>There was a party the night the surgical service opened here</w:t>
      </w:r>
      <w:r>
        <w:t>.</w:t>
      </w:r>
    </w:p>
    <w:p w:rsidR="00995BB8" w:rsidRDefault="00995BB8" w:rsidP="00995BB8">
      <w:pPr>
        <w:pStyle w:val="UnnumtextBodytext"/>
      </w:pPr>
      <w:r>
        <w:t xml:space="preserve">The hosting costs borne by the rural host sites largely comprise nursing staff time, with sites tending to providing four nurses for the day. Other </w:t>
      </w:r>
      <w:r w:rsidR="00B31675">
        <w:t xml:space="preserve">direct </w:t>
      </w:r>
      <w:r>
        <w:t xml:space="preserve">costs include </w:t>
      </w:r>
      <w:r w:rsidR="00136D76">
        <w:t xml:space="preserve">administration coordination time, </w:t>
      </w:r>
      <w:r>
        <w:t xml:space="preserve">consumables, </w:t>
      </w:r>
      <w:r w:rsidR="00B31675">
        <w:t xml:space="preserve">bed </w:t>
      </w:r>
      <w:r w:rsidR="00136D76">
        <w:t>linen</w:t>
      </w:r>
      <w:r w:rsidR="00B31675">
        <w:t>, e</w:t>
      </w:r>
      <w:r>
        <w:t xml:space="preserve">lectricity and the </w:t>
      </w:r>
      <w:r w:rsidR="00B31675">
        <w:t xml:space="preserve">overheads associated with the use of </w:t>
      </w:r>
      <w:r>
        <w:t>admission and recovery spaces required to support the service flow.</w:t>
      </w:r>
      <w:r w:rsidR="00B31675">
        <w:t xml:space="preserve"> As well, </w:t>
      </w:r>
      <w:r w:rsidR="004B3A45">
        <w:t xml:space="preserve">there is a </w:t>
      </w:r>
      <w:r w:rsidR="00B31675">
        <w:t xml:space="preserve">one-off </w:t>
      </w:r>
      <w:r w:rsidR="004B3A45">
        <w:t>c</w:t>
      </w:r>
      <w:r w:rsidR="00B31675">
        <w:t>apital outlay for a special plug for the electric</w:t>
      </w:r>
      <w:r w:rsidR="004B3A45">
        <w:t>al connection.</w:t>
      </w:r>
      <w:r>
        <w:t xml:space="preserve"> These costs are borne directly by a DHB in cases where it owns the rural hospital. In some cases where the hospital is run by a community trust, a DHB may provide some funding to offset the costs.</w:t>
      </w:r>
    </w:p>
    <w:p w:rsidR="00265A89" w:rsidRDefault="00995BB8" w:rsidP="00265A89">
      <w:pPr>
        <w:pStyle w:val="UnnumtextBodytext"/>
      </w:pPr>
      <w:r>
        <w:t>T</w:t>
      </w:r>
      <w:r w:rsidR="00921ECC">
        <w:t>he genera</w:t>
      </w:r>
      <w:r w:rsidR="00447953">
        <w:t xml:space="preserve">l manager of </w:t>
      </w:r>
      <w:r>
        <w:t>one</w:t>
      </w:r>
      <w:r w:rsidR="00447953">
        <w:t xml:space="preserve"> rural hospital was less enthusiastic about hosting the bus. One factor was that the hosting </w:t>
      </w:r>
      <w:r>
        <w:t>i</w:t>
      </w:r>
      <w:r w:rsidR="00447953">
        <w:t>s costly to the community trust-run facility</w:t>
      </w:r>
      <w:r w:rsidR="00265A89">
        <w:t xml:space="preserve">. Another is that the service is “disruptive and puts pressure on </w:t>
      </w:r>
      <w:proofErr w:type="spellStart"/>
      <w:r w:rsidR="00265A89">
        <w:t>rostering</w:t>
      </w:r>
      <w:proofErr w:type="spellEnd"/>
      <w:r w:rsidR="00265A89">
        <w:t xml:space="preserve"> and nursing staff”. </w:t>
      </w:r>
      <w:r w:rsidR="001C3866">
        <w:t xml:space="preserve">Furthermore, a lack of buy-in from surgeons in the district meant that the lists </w:t>
      </w:r>
      <w:r w:rsidR="00CD5DCD">
        <w:t>a</w:t>
      </w:r>
      <w:r w:rsidR="001C3866">
        <w:t xml:space="preserve">re becoming dominated by </w:t>
      </w:r>
      <w:proofErr w:type="spellStart"/>
      <w:r w:rsidR="001C3866">
        <w:t>paediatric</w:t>
      </w:r>
      <w:proofErr w:type="spellEnd"/>
      <w:r w:rsidR="001C3866">
        <w:t xml:space="preserve"> dental surgery</w:t>
      </w:r>
      <w:r w:rsidR="00CD5DCD">
        <w:t>, whereas there are other local health needs</w:t>
      </w:r>
      <w:r w:rsidR="00265A89">
        <w:t xml:space="preserve">. </w:t>
      </w:r>
    </w:p>
    <w:p w:rsidR="00866B92" w:rsidRPr="00467B4E" w:rsidRDefault="00866B92" w:rsidP="00866B92">
      <w:pPr>
        <w:pStyle w:val="Heading3"/>
      </w:pPr>
      <w:bookmarkStart w:id="74" w:name="_Ref381023703"/>
      <w:bookmarkStart w:id="75" w:name="_Toc423945925"/>
      <w:r>
        <w:t>Rural nurses are trained up and see wider benefits</w:t>
      </w:r>
      <w:bookmarkEnd w:id="74"/>
      <w:bookmarkEnd w:id="75"/>
    </w:p>
    <w:p w:rsidR="00866B92" w:rsidRDefault="00866B92" w:rsidP="00866B92">
      <w:pPr>
        <w:pStyle w:val="UnnumtextBodytext"/>
      </w:pPr>
      <w:r>
        <w:t>Several rural hospital managers noted that they had made a pool for 4-6 nurses available to work with the mobile surgical service for one day every five weeks. The roles are scrub nurse, circulation nurse, and two roles to handle pre-operative admission and then recovery in a post-</w:t>
      </w:r>
      <w:proofErr w:type="spellStart"/>
      <w:r>
        <w:t>anaesthesia</w:t>
      </w:r>
      <w:proofErr w:type="spellEnd"/>
      <w:r>
        <w:t xml:space="preserve"> care unit. We n</w:t>
      </w:r>
      <w:r w:rsidRPr="00FB01F1">
        <w:t xml:space="preserve">eed continuity </w:t>
      </w:r>
      <w:r>
        <w:t xml:space="preserve">for the service </w:t>
      </w:r>
      <w:r w:rsidRPr="00FB01F1">
        <w:t>and use same nurses;</w:t>
      </w:r>
    </w:p>
    <w:p w:rsidR="00866B92" w:rsidRPr="00866B92" w:rsidRDefault="00866B92" w:rsidP="00866B92">
      <w:pPr>
        <w:pStyle w:val="UnnumtextBodytext"/>
      </w:pPr>
      <w:r>
        <w:t>The nurses mo</w:t>
      </w:r>
      <w:r w:rsidRPr="00866B92">
        <w:t xml:space="preserve">stly </w:t>
      </w:r>
      <w:r>
        <w:t xml:space="preserve">had </w:t>
      </w:r>
      <w:r w:rsidRPr="00866B92">
        <w:t>on</w:t>
      </w:r>
      <w:r>
        <w:t>-</w:t>
      </w:r>
      <w:r w:rsidRPr="00866B92">
        <w:t>the</w:t>
      </w:r>
      <w:r>
        <w:t>-</w:t>
      </w:r>
      <w:r w:rsidRPr="00866B92">
        <w:t>job training</w:t>
      </w:r>
      <w:r>
        <w:t xml:space="preserve">, supplemented with training at the annual rural workforce </w:t>
      </w:r>
      <w:r w:rsidRPr="00866B92">
        <w:t xml:space="preserve">conference </w:t>
      </w:r>
      <w:r>
        <w:t>held by MSS Ltd. The tr</w:t>
      </w:r>
      <w:r w:rsidRPr="00866B92">
        <w:t xml:space="preserve">aining </w:t>
      </w:r>
      <w:r>
        <w:t xml:space="preserve">counts </w:t>
      </w:r>
      <w:r w:rsidRPr="00866B92">
        <w:t xml:space="preserve">towards maintain </w:t>
      </w:r>
      <w:r>
        <w:t xml:space="preserve">a </w:t>
      </w:r>
      <w:r w:rsidRPr="00866B92">
        <w:t>practi</w:t>
      </w:r>
      <w:r>
        <w:t>c</w:t>
      </w:r>
      <w:r w:rsidRPr="00866B92">
        <w:t>ing certificate</w:t>
      </w:r>
      <w:r>
        <w:t xml:space="preserve"> as a registered nurse. </w:t>
      </w:r>
    </w:p>
    <w:p w:rsidR="00866B92" w:rsidRDefault="00866B92" w:rsidP="00866B92">
      <w:pPr>
        <w:pStyle w:val="Quotation"/>
      </w:pPr>
      <w:r w:rsidRPr="00866B92">
        <w:t>They did a training day with us at the start</w:t>
      </w:r>
      <w:r>
        <w:t>, such as</w:t>
      </w:r>
      <w:r w:rsidRPr="00866B92">
        <w:t xml:space="preserve"> patient recovery and airway </w:t>
      </w:r>
      <w:r>
        <w:t>m</w:t>
      </w:r>
      <w:r w:rsidRPr="00866B92">
        <w:t>anagement</w:t>
      </w:r>
      <w:r>
        <w:t>...</w:t>
      </w:r>
      <w:r w:rsidRPr="00866B92">
        <w:t xml:space="preserve"> </w:t>
      </w:r>
      <w:r>
        <w:t xml:space="preserve"> We’ve had refreshers – a non-surgical day – learning how to use the equipment, such as the defibrillator, and knowing where everything is for safety reasons.</w:t>
      </w:r>
    </w:p>
    <w:p w:rsidR="00866B92" w:rsidRDefault="00866B92" w:rsidP="00866B92">
      <w:pPr>
        <w:pStyle w:val="Quotation"/>
      </w:pPr>
      <w:r>
        <w:t xml:space="preserve">I’ve </w:t>
      </w:r>
      <w:r w:rsidRPr="00021C80">
        <w:t>never felt unsafe on the bus</w:t>
      </w:r>
      <w:r>
        <w:t xml:space="preserve"> or in recovery with a child. T</w:t>
      </w:r>
      <w:r w:rsidRPr="00021C80">
        <w:t xml:space="preserve">he team that travels with the bus </w:t>
      </w:r>
      <w:r>
        <w:t xml:space="preserve">is </w:t>
      </w:r>
      <w:r w:rsidRPr="00021C80">
        <w:t>very knowledgeable</w:t>
      </w:r>
      <w:r>
        <w:t xml:space="preserve"> and</w:t>
      </w:r>
      <w:r w:rsidRPr="00021C80">
        <w:t xml:space="preserve"> they’re happy to help if you’re not quite sure</w:t>
      </w:r>
      <w:r>
        <w:t>.</w:t>
      </w:r>
    </w:p>
    <w:p w:rsidR="00866B92" w:rsidRDefault="00866B92" w:rsidP="00866B92">
      <w:pPr>
        <w:pStyle w:val="UnnumtextBodytext"/>
      </w:pPr>
      <w:r>
        <w:t xml:space="preserve">Some nurses and managerial staff saw their training and experience on the bus as </w:t>
      </w:r>
      <w:r w:rsidR="004106E3">
        <w:t>being useful and crossing over to their usual role within a rural hospital setting.</w:t>
      </w:r>
    </w:p>
    <w:p w:rsidR="00866B92" w:rsidRDefault="00866B92" w:rsidP="00866B92">
      <w:pPr>
        <w:pStyle w:val="Quotation"/>
      </w:pPr>
      <w:r>
        <w:t>Y</w:t>
      </w:r>
      <w:r w:rsidRPr="00D32C53">
        <w:t>ou learn about airway management</w:t>
      </w:r>
      <w:r w:rsidR="00ED64DB">
        <w:t xml:space="preserve">, which is </w:t>
      </w:r>
      <w:r w:rsidRPr="00D32C53">
        <w:t>useful for dealing with unconscious patients</w:t>
      </w:r>
      <w:r w:rsidR="00ED64DB">
        <w:t xml:space="preserve">. </w:t>
      </w:r>
      <w:r>
        <w:t xml:space="preserve">I’ve </w:t>
      </w:r>
      <w:r w:rsidRPr="00D32C53">
        <w:t xml:space="preserve">been able to relate it back to my work in the ward, </w:t>
      </w:r>
      <w:r w:rsidR="00ED64DB">
        <w:t>for example, if s</w:t>
      </w:r>
      <w:r w:rsidRPr="00D32C53">
        <w:t>omeone</w:t>
      </w:r>
      <w:r w:rsidR="002F2091">
        <w:t xml:space="preserve"> has</w:t>
      </w:r>
      <w:r w:rsidR="00ED64DB">
        <w:t xml:space="preserve"> </w:t>
      </w:r>
      <w:r w:rsidRPr="00D32C53">
        <w:t>overdos</w:t>
      </w:r>
      <w:r w:rsidR="00ED64DB">
        <w:t>ed.</w:t>
      </w:r>
      <w:r w:rsidRPr="00D32C53">
        <w:t xml:space="preserve"> </w:t>
      </w:r>
      <w:r w:rsidR="00ED64DB">
        <w:t xml:space="preserve">You just </w:t>
      </w:r>
      <w:r w:rsidRPr="00D32C53">
        <w:t xml:space="preserve">focus on </w:t>
      </w:r>
      <w:r w:rsidR="00ED64DB">
        <w:t xml:space="preserve">their </w:t>
      </w:r>
      <w:r w:rsidRPr="00D32C53">
        <w:t>airway and breathing</w:t>
      </w:r>
      <w:r w:rsidR="00ED64DB">
        <w:t>,</w:t>
      </w:r>
      <w:r w:rsidRPr="00D32C53">
        <w:t xml:space="preserve"> whereas others might be less sure</w:t>
      </w:r>
      <w:r w:rsidR="002F2091">
        <w:t xml:space="preserve"> of</w:t>
      </w:r>
      <w:r>
        <w:t xml:space="preserve"> what to do</w:t>
      </w:r>
      <w:r w:rsidR="00ED64DB">
        <w:t xml:space="preserve">… </w:t>
      </w:r>
      <w:r w:rsidRPr="00D32C53">
        <w:t>you lear</w:t>
      </w:r>
      <w:r>
        <w:t>n</w:t>
      </w:r>
      <w:r w:rsidRPr="00D32C53">
        <w:t xml:space="preserve"> not t</w:t>
      </w:r>
      <w:r>
        <w:t>o</w:t>
      </w:r>
      <w:r w:rsidRPr="00D32C53">
        <w:t xml:space="preserve"> ge</w:t>
      </w:r>
      <w:r>
        <w:t>t</w:t>
      </w:r>
      <w:r w:rsidRPr="00D32C53">
        <w:t xml:space="preserve"> distracted by other things</w:t>
      </w:r>
      <w:r w:rsidR="00ED64DB">
        <w:t>.</w:t>
      </w:r>
    </w:p>
    <w:p w:rsidR="00866B92" w:rsidRDefault="004A3FD6" w:rsidP="00866B92">
      <w:pPr>
        <w:pStyle w:val="Quotation"/>
      </w:pPr>
      <w:r>
        <w:t xml:space="preserve">It’s </w:t>
      </w:r>
      <w:r w:rsidR="002F2091">
        <w:t>valuable</w:t>
      </w:r>
      <w:r>
        <w:t xml:space="preserve"> f</w:t>
      </w:r>
      <w:r w:rsidR="00866B92">
        <w:t xml:space="preserve">or staff </w:t>
      </w:r>
      <w:r w:rsidR="00ED64DB">
        <w:t>on the ward dealing with a resuscitation</w:t>
      </w:r>
      <w:r w:rsidR="00866B92">
        <w:t xml:space="preserve"> situation </w:t>
      </w:r>
      <w:r>
        <w:t>–</w:t>
      </w:r>
      <w:r w:rsidRPr="00FB01F1">
        <w:t xml:space="preserve"> </w:t>
      </w:r>
      <w:r w:rsidR="00866B92">
        <w:t xml:space="preserve">and </w:t>
      </w:r>
      <w:r>
        <w:t xml:space="preserve">you </w:t>
      </w:r>
      <w:r w:rsidR="00866B92">
        <w:t>co</w:t>
      </w:r>
      <w:r>
        <w:t xml:space="preserve">uld </w:t>
      </w:r>
      <w:r w:rsidR="00866B92">
        <w:t>be exposed to that here</w:t>
      </w:r>
      <w:r>
        <w:t>. A</w:t>
      </w:r>
      <w:r w:rsidR="00866B92">
        <w:t>nything you learn is potentially applicable</w:t>
      </w:r>
      <w:r>
        <w:t>.</w:t>
      </w:r>
    </w:p>
    <w:p w:rsidR="004A3FD6" w:rsidRDefault="004A3FD6" w:rsidP="004A3FD6">
      <w:pPr>
        <w:pStyle w:val="Quotation"/>
      </w:pPr>
      <w:r w:rsidRPr="00FB01F1">
        <w:lastRenderedPageBreak/>
        <w:t xml:space="preserve">There would be </w:t>
      </w:r>
      <w:r>
        <w:t xml:space="preserve">some </w:t>
      </w:r>
      <w:r w:rsidRPr="00FB01F1">
        <w:t xml:space="preserve">crossover </w:t>
      </w:r>
      <w:r>
        <w:t>–</w:t>
      </w:r>
      <w:r w:rsidRPr="00FB01F1">
        <w:t xml:space="preserve"> some of the nurses </w:t>
      </w:r>
      <w:r>
        <w:t xml:space="preserve">who </w:t>
      </w:r>
      <w:r w:rsidRPr="00FB01F1">
        <w:t xml:space="preserve">work in </w:t>
      </w:r>
      <w:r>
        <w:t>ED</w:t>
      </w:r>
      <w:r w:rsidRPr="00FB01F1">
        <w:t xml:space="preserve"> </w:t>
      </w:r>
      <w:r>
        <w:t>or on the w</w:t>
      </w:r>
      <w:r w:rsidRPr="00FB01F1">
        <w:t>ard</w:t>
      </w:r>
      <w:r>
        <w:t>,</w:t>
      </w:r>
      <w:r w:rsidRPr="00FB01F1">
        <w:t xml:space="preserve"> they should be able to </w:t>
      </w:r>
      <w:r>
        <w:t xml:space="preserve">more competently </w:t>
      </w:r>
      <w:r w:rsidRPr="00FB01F1">
        <w:t>assist with the medical team</w:t>
      </w:r>
      <w:r>
        <w:t>.</w:t>
      </w:r>
    </w:p>
    <w:p w:rsidR="00866B92" w:rsidRDefault="00866B92" w:rsidP="00866B92">
      <w:pPr>
        <w:pStyle w:val="UnnumtextBodytext"/>
      </w:pPr>
      <w:r>
        <w:t xml:space="preserve">All </w:t>
      </w:r>
      <w:r w:rsidR="00ED64DB">
        <w:t xml:space="preserve">of the </w:t>
      </w:r>
      <w:r>
        <w:t>nurse</w:t>
      </w:r>
      <w:r w:rsidR="00ED64DB">
        <w:t xml:space="preserve">s that we spoke with commented that they enjoyed the experience of working on the mobile surgical bus. It was seen as a new challenge and </w:t>
      </w:r>
      <w:r w:rsidR="00D40A46" w:rsidRPr="00D7189E">
        <w:rPr>
          <w:i/>
        </w:rPr>
        <w:t>“</w:t>
      </w:r>
      <w:r w:rsidR="00ED64DB" w:rsidRPr="00D7189E">
        <w:rPr>
          <w:i/>
        </w:rPr>
        <w:t>something different</w:t>
      </w:r>
      <w:r w:rsidR="00D40A46" w:rsidRPr="00D7189E">
        <w:rPr>
          <w:i/>
        </w:rPr>
        <w:t>”</w:t>
      </w:r>
      <w:r w:rsidR="00ED64DB">
        <w:t>.</w:t>
      </w:r>
    </w:p>
    <w:p w:rsidR="00866B92" w:rsidRDefault="00866B92" w:rsidP="00866B92">
      <w:pPr>
        <w:pStyle w:val="Quotation"/>
      </w:pPr>
      <w:r>
        <w:t>I’m from aged care but I love it. I would do it every week if I could.</w:t>
      </w:r>
    </w:p>
    <w:p w:rsidR="00866B92" w:rsidRDefault="00866B92" w:rsidP="00866B92">
      <w:pPr>
        <w:pStyle w:val="Quotation"/>
      </w:pPr>
      <w:r>
        <w:t>My c</w:t>
      </w:r>
      <w:r w:rsidRPr="00C6278A">
        <w:t xml:space="preserve">olleagues are somewhat envious </w:t>
      </w:r>
      <w:r>
        <w:t xml:space="preserve">and </w:t>
      </w:r>
      <w:r w:rsidRPr="00C6278A">
        <w:t xml:space="preserve">see me </w:t>
      </w:r>
      <w:r>
        <w:t xml:space="preserve">as </w:t>
      </w:r>
      <w:r w:rsidRPr="00C6278A">
        <w:t>fortunate</w:t>
      </w:r>
      <w:r>
        <w:t>.</w:t>
      </w:r>
    </w:p>
    <w:p w:rsidR="004127D0" w:rsidRDefault="004127D0" w:rsidP="004127D0">
      <w:pPr>
        <w:pStyle w:val="Quotation"/>
      </w:pPr>
      <w:r>
        <w:t>Th</w:t>
      </w:r>
      <w:r w:rsidRPr="00155E9E">
        <w:t>ey’re clamoring to be able to get that different experience – admitting, post-op care and standing next to surgeons and being involved.</w:t>
      </w:r>
    </w:p>
    <w:p w:rsidR="00866B92" w:rsidRDefault="00866B92" w:rsidP="00866B92">
      <w:pPr>
        <w:pStyle w:val="UnnumtextBodytext"/>
      </w:pPr>
      <w:r>
        <w:t>In one case</w:t>
      </w:r>
      <w:r w:rsidR="00D40A46">
        <w:t>,</w:t>
      </w:r>
      <w:r>
        <w:t xml:space="preserve"> a medical </w:t>
      </w:r>
      <w:proofErr w:type="spellStart"/>
      <w:r>
        <w:t>centre</w:t>
      </w:r>
      <w:proofErr w:type="spellEnd"/>
      <w:r>
        <w:t xml:space="preserve"> </w:t>
      </w:r>
      <w:r w:rsidR="00D40A46">
        <w:t xml:space="preserve">contributes </w:t>
      </w:r>
      <w:r>
        <w:t>a practice nurse to work on the bus</w:t>
      </w:r>
      <w:r w:rsidR="00D40A46">
        <w:t xml:space="preserve">, alongside the </w:t>
      </w:r>
      <w:r w:rsidR="00ED64DB">
        <w:t>hospital-based rural nurses</w:t>
      </w:r>
      <w:r w:rsidR="00D40A46">
        <w:t xml:space="preserve">. The rationale was to build links, </w:t>
      </w:r>
      <w:r w:rsidR="00ED64DB">
        <w:t>support the bus visit</w:t>
      </w:r>
      <w:r w:rsidR="00D40A46">
        <w:t xml:space="preserve">s, </w:t>
      </w:r>
      <w:r w:rsidR="00ED64DB">
        <w:t xml:space="preserve">and </w:t>
      </w:r>
      <w:r w:rsidRPr="00021C80">
        <w:t xml:space="preserve">gain extra skills to fit with </w:t>
      </w:r>
      <w:r w:rsidR="00ED64DB">
        <w:t xml:space="preserve">the </w:t>
      </w:r>
      <w:r w:rsidRPr="00021C80">
        <w:t xml:space="preserve">minor surgical service </w:t>
      </w:r>
      <w:r w:rsidR="00ED64DB">
        <w:t xml:space="preserve">offered by the medical </w:t>
      </w:r>
      <w:proofErr w:type="spellStart"/>
      <w:r w:rsidR="00ED64DB">
        <w:t>centre</w:t>
      </w:r>
      <w:proofErr w:type="spellEnd"/>
      <w:r w:rsidR="00ED64DB">
        <w:t xml:space="preserve">. The </w:t>
      </w:r>
      <w:proofErr w:type="spellStart"/>
      <w:r w:rsidR="00ED64DB">
        <w:t>centre</w:t>
      </w:r>
      <w:proofErr w:type="spellEnd"/>
      <w:r w:rsidR="00ED64DB">
        <w:t xml:space="preserve"> covers the costs of backfilling the role for one day in the five week cycle between bus visits.</w:t>
      </w:r>
    </w:p>
    <w:p w:rsidR="00C4644D" w:rsidRPr="00467B4E" w:rsidRDefault="00CB07A3" w:rsidP="00C4644D">
      <w:pPr>
        <w:pStyle w:val="Heading3"/>
      </w:pPr>
      <w:bookmarkStart w:id="76" w:name="_Toc423945926"/>
      <w:r>
        <w:t>E</w:t>
      </w:r>
      <w:r w:rsidR="00C4644D" w:rsidRPr="00467B4E">
        <w:t xml:space="preserve">vidence of </w:t>
      </w:r>
      <w:r w:rsidR="00DC0BE3">
        <w:t>some good relationships in place</w:t>
      </w:r>
      <w:bookmarkEnd w:id="76"/>
    </w:p>
    <w:p w:rsidR="00135DEF" w:rsidRDefault="00135DEF" w:rsidP="00213466">
      <w:pPr>
        <w:pStyle w:val="UnnumtextBodytext"/>
      </w:pPr>
      <w:r>
        <w:t xml:space="preserve">It appears that MSS Ltd has had </w:t>
      </w:r>
      <w:r w:rsidR="00DC0BE3">
        <w:t>s</w:t>
      </w:r>
      <w:r>
        <w:t xml:space="preserve">ome success in building the necessary </w:t>
      </w:r>
      <w:r w:rsidR="00DC0BE3">
        <w:t>relationships</w:t>
      </w:r>
      <w:r>
        <w:t xml:space="preserve">. Most stakeholders </w:t>
      </w:r>
      <w:r w:rsidR="00995BB8">
        <w:t xml:space="preserve">that </w:t>
      </w:r>
      <w:r>
        <w:t>we encountered, among ser</w:t>
      </w:r>
      <w:r w:rsidR="00DC0BE3">
        <w:t>v</w:t>
      </w:r>
      <w:r>
        <w:t>i</w:t>
      </w:r>
      <w:r w:rsidR="00DC0BE3">
        <w:t>c</w:t>
      </w:r>
      <w:r>
        <w:t xml:space="preserve">e managers and rural </w:t>
      </w:r>
      <w:r w:rsidR="00DC0BE3">
        <w:t>hospital</w:t>
      </w:r>
      <w:r>
        <w:t xml:space="preserve"> management, all had positive </w:t>
      </w:r>
      <w:r w:rsidR="00DC0BE3">
        <w:t>comments</w:t>
      </w:r>
      <w:r w:rsidR="00213466">
        <w:t xml:space="preserve">, such as the provider being willing to listen and to meet needs. </w:t>
      </w:r>
      <w:r>
        <w:t xml:space="preserve">The following quotes are </w:t>
      </w:r>
      <w:r w:rsidR="00DC0BE3">
        <w:t>from</w:t>
      </w:r>
      <w:r>
        <w:t xml:space="preserve"> service </w:t>
      </w:r>
      <w:r w:rsidR="00DC0BE3">
        <w:t>managers</w:t>
      </w:r>
      <w:r>
        <w:t xml:space="preserve"> the three </w:t>
      </w:r>
      <w:r w:rsidR="00DC0BE3">
        <w:t>different</w:t>
      </w:r>
      <w:r>
        <w:t xml:space="preserve"> DHBs.</w:t>
      </w:r>
    </w:p>
    <w:p w:rsidR="00C4644D" w:rsidRDefault="00C4644D" w:rsidP="00C4644D">
      <w:pPr>
        <w:pStyle w:val="Quotation"/>
      </w:pPr>
      <w:r>
        <w:t>The provider is f</w:t>
      </w:r>
      <w:r w:rsidRPr="00635669">
        <w:t>lexib</w:t>
      </w:r>
      <w:r w:rsidR="001F71B6">
        <w:t>le</w:t>
      </w:r>
      <w:r w:rsidRPr="00635669">
        <w:t xml:space="preserve"> </w:t>
      </w:r>
      <w:r>
        <w:t>–</w:t>
      </w:r>
      <w:r w:rsidRPr="00635669">
        <w:t xml:space="preserve"> they </w:t>
      </w:r>
      <w:r w:rsidR="00135DEF">
        <w:t xml:space="preserve">do </w:t>
      </w:r>
      <w:r w:rsidRPr="00635669">
        <w:t>try to meet our needs</w:t>
      </w:r>
      <w:r>
        <w:t xml:space="preserve">. </w:t>
      </w:r>
    </w:p>
    <w:p w:rsidR="00C4644D" w:rsidRDefault="00C4644D" w:rsidP="00C4644D">
      <w:pPr>
        <w:pStyle w:val="Quotation"/>
      </w:pPr>
      <w:r>
        <w:t xml:space="preserve">I have a good relationship with them. They visit 2-3 times per year and we review </w:t>
      </w:r>
      <w:r w:rsidR="00DC0BE3">
        <w:t xml:space="preserve">the </w:t>
      </w:r>
      <w:r>
        <w:t xml:space="preserve">dates and needs for them and us. </w:t>
      </w:r>
    </w:p>
    <w:p w:rsidR="00C4644D" w:rsidRDefault="00043D16" w:rsidP="00C4644D">
      <w:pPr>
        <w:pStyle w:val="Quotation"/>
      </w:pPr>
      <w:r>
        <w:t>O</w:t>
      </w:r>
      <w:r w:rsidR="00C4644D">
        <w:t xml:space="preserve">n </w:t>
      </w:r>
      <w:r>
        <w:t xml:space="preserve">one </w:t>
      </w:r>
      <w:r w:rsidR="00C4644D">
        <w:t>occasion when they had an engine issue</w:t>
      </w:r>
      <w:r w:rsidR="007B01DE">
        <w:t xml:space="preserve"> and</w:t>
      </w:r>
      <w:r w:rsidR="00C4644D">
        <w:t xml:space="preserve"> they called to stay they may not be able to make it </w:t>
      </w:r>
      <w:r w:rsidR="00213466">
        <w:t>in time. We said…</w:t>
      </w:r>
      <w:r w:rsidR="00135DEF">
        <w:t xml:space="preserve"> </w:t>
      </w:r>
      <w:r w:rsidR="00C4644D">
        <w:t xml:space="preserve">just get it here to work on the list of waiting patients. And they did. It was possibly new for them to know that we’re committed to getting the most out of their service. They </w:t>
      </w:r>
      <w:proofErr w:type="spellStart"/>
      <w:r w:rsidR="00C4644D" w:rsidRPr="005A0923">
        <w:t>recognis</w:t>
      </w:r>
      <w:r w:rsidR="00C4644D">
        <w:t>ed</w:t>
      </w:r>
      <w:proofErr w:type="spellEnd"/>
      <w:r w:rsidR="00C4644D" w:rsidRPr="005A0923">
        <w:t xml:space="preserve"> the need to meet its commitments and that if </w:t>
      </w:r>
      <w:r>
        <w:t xml:space="preserve">it </w:t>
      </w:r>
      <w:r w:rsidR="00C4644D" w:rsidRPr="005A0923">
        <w:t>couldn't come</w:t>
      </w:r>
      <w:r w:rsidR="00213466">
        <w:t>,</w:t>
      </w:r>
      <w:r w:rsidR="00C4644D" w:rsidRPr="005A0923">
        <w:t xml:space="preserve"> that this would be a significant event for </w:t>
      </w:r>
      <w:r w:rsidR="007B01DE">
        <w:t>us</w:t>
      </w:r>
      <w:r w:rsidR="00C4644D" w:rsidRPr="005A0923">
        <w:t xml:space="preserve">. </w:t>
      </w:r>
      <w:r w:rsidR="007B01DE">
        <w:t xml:space="preserve">So they </w:t>
      </w:r>
      <w:r w:rsidR="00C4644D" w:rsidRPr="005A0923">
        <w:t>really went the extra mile</w:t>
      </w:r>
      <w:r w:rsidR="00213466">
        <w:t>.</w:t>
      </w:r>
    </w:p>
    <w:p w:rsidR="000F1228" w:rsidRDefault="00213466">
      <w:pPr>
        <w:spacing w:after="0" w:line="240" w:lineRule="auto"/>
      </w:pPr>
      <w:r>
        <w:t xml:space="preserve">Stakeholders from communities, including rural hospital staff and community leaders pointed to the provider’s willingness to hold open days or to give presentations to help build awareness of </w:t>
      </w:r>
      <w:r w:rsidR="008075D3">
        <w:t>t</w:t>
      </w:r>
      <w:r>
        <w:t>he service in the community</w:t>
      </w:r>
      <w:r w:rsidR="008075D3">
        <w:t xml:space="preserve">. One clinical nurse manger commented that this had helped to allay the fears of some families and </w:t>
      </w:r>
      <w:proofErr w:type="spellStart"/>
      <w:r w:rsidR="008075D3">
        <w:t>wh</w:t>
      </w:r>
      <w:r w:rsidR="008075D3" w:rsidRPr="008075D3">
        <w:t>ā</w:t>
      </w:r>
      <w:r w:rsidR="008075D3">
        <w:t>nau</w:t>
      </w:r>
      <w:proofErr w:type="spellEnd"/>
      <w:r w:rsidR="00043D16">
        <w:t>.</w:t>
      </w:r>
      <w:r w:rsidR="008075D3">
        <w:t xml:space="preserve"> </w:t>
      </w:r>
    </w:p>
    <w:p w:rsidR="000F1228" w:rsidRDefault="000F1228">
      <w:pPr>
        <w:spacing w:after="0" w:line="240" w:lineRule="auto"/>
      </w:pPr>
    </w:p>
    <w:p w:rsidR="000F1228" w:rsidRDefault="000F1228" w:rsidP="000F1228">
      <w:pPr>
        <w:pStyle w:val="Quotation"/>
      </w:pPr>
      <w:r>
        <w:t xml:space="preserve">They’re </w:t>
      </w:r>
      <w:r w:rsidRPr="00FB01F1">
        <w:t>open to</w:t>
      </w:r>
      <w:r>
        <w:t xml:space="preserve"> the</w:t>
      </w:r>
      <w:r w:rsidRPr="00FB01F1">
        <w:t xml:space="preserve"> community</w:t>
      </w:r>
      <w:r w:rsidR="004127D0">
        <w:t>. I</w:t>
      </w:r>
      <w:r w:rsidRPr="00FB01F1">
        <w:t xml:space="preserve">f </w:t>
      </w:r>
      <w:r>
        <w:t>a</w:t>
      </w:r>
      <w:r w:rsidRPr="00FB01F1">
        <w:t xml:space="preserve"> </w:t>
      </w:r>
      <w:r w:rsidR="00D7189E">
        <w:t xml:space="preserve">community </w:t>
      </w:r>
      <w:r>
        <w:t xml:space="preserve">group </w:t>
      </w:r>
      <w:r w:rsidRPr="00FB01F1">
        <w:t>want</w:t>
      </w:r>
      <w:r>
        <w:t>s</w:t>
      </w:r>
      <w:r w:rsidRPr="00FB01F1">
        <w:t xml:space="preserve"> </w:t>
      </w:r>
      <w:r>
        <w:t>a presentation</w:t>
      </w:r>
      <w:r w:rsidR="00D7189E">
        <w:t xml:space="preserve">, </w:t>
      </w:r>
      <w:r w:rsidRPr="00FB01F1">
        <w:t xml:space="preserve">they’re always </w:t>
      </w:r>
      <w:r>
        <w:t>happy to</w:t>
      </w:r>
      <w:r w:rsidR="00D7189E">
        <w:t xml:space="preserve"> come along</w:t>
      </w:r>
      <w:r w:rsidR="004127D0">
        <w:t>.</w:t>
      </w:r>
      <w:r>
        <w:t xml:space="preserve"> </w:t>
      </w:r>
    </w:p>
    <w:p w:rsidR="000F1228" w:rsidRDefault="000F1228" w:rsidP="000F1228">
      <w:pPr>
        <w:pStyle w:val="Quotation"/>
      </w:pPr>
      <w:r>
        <w:t>Th</w:t>
      </w:r>
      <w:r w:rsidRPr="000F1228">
        <w:t>ey held bus open days in 2013 and 2011</w:t>
      </w:r>
      <w:r w:rsidR="00774229">
        <w:t xml:space="preserve">. There was </w:t>
      </w:r>
      <w:r w:rsidRPr="000F1228">
        <w:t xml:space="preserve">a presentation to </w:t>
      </w:r>
      <w:r w:rsidR="00774229">
        <w:t xml:space="preserve">a </w:t>
      </w:r>
      <w:r w:rsidRPr="000F1228">
        <w:t xml:space="preserve">Rotary evening – </w:t>
      </w:r>
      <w:r w:rsidR="00774229">
        <w:t xml:space="preserve">to </w:t>
      </w:r>
      <w:r w:rsidRPr="000F1228">
        <w:t>rais</w:t>
      </w:r>
      <w:r w:rsidR="00774229">
        <w:t>e</w:t>
      </w:r>
      <w:r w:rsidRPr="000F1228">
        <w:t xml:space="preserve"> awareness</w:t>
      </w:r>
      <w:r w:rsidR="00774229">
        <w:t>… So t</w:t>
      </w:r>
      <w:r w:rsidRPr="000F1228">
        <w:t>here’s a sense of ownership of the bus here…</w:t>
      </w:r>
    </w:p>
    <w:p w:rsidR="00887A64" w:rsidRDefault="00213466" w:rsidP="00887A64">
      <w:r>
        <w:t xml:space="preserve">In our discussion with the provider they </w:t>
      </w:r>
      <w:r w:rsidR="00774229">
        <w:t>pointed</w:t>
      </w:r>
      <w:r>
        <w:t xml:space="preserve"> out</w:t>
      </w:r>
      <w:r w:rsidR="00774229">
        <w:t xml:space="preserve"> a longstanding </w:t>
      </w:r>
      <w:r w:rsidR="00887A64">
        <w:t xml:space="preserve">community education focus that includes occasional </w:t>
      </w:r>
      <w:r>
        <w:t>demonstration</w:t>
      </w:r>
      <w:r w:rsidR="00887A64">
        <w:t xml:space="preserve">s </w:t>
      </w:r>
      <w:r>
        <w:t>at high schools</w:t>
      </w:r>
      <w:r w:rsidR="00887A64">
        <w:t xml:space="preserve">. These days involve introducing kids to the bus – sending the signal </w:t>
      </w:r>
      <w:r w:rsidR="00887A64" w:rsidRPr="00D7189E">
        <w:rPr>
          <w:i/>
        </w:rPr>
        <w:t>“you could do this”</w:t>
      </w:r>
      <w:r w:rsidR="00887A64">
        <w:t xml:space="preserve">. </w:t>
      </w:r>
    </w:p>
    <w:p w:rsidR="004B3A45" w:rsidRDefault="004B3A45" w:rsidP="004B3A45">
      <w:pPr>
        <w:spacing w:after="0" w:line="240" w:lineRule="auto"/>
        <w:rPr>
          <w:rFonts w:cs="Arial"/>
          <w:b/>
          <w:bCs/>
          <w:color w:val="000000"/>
          <w:sz w:val="32"/>
          <w:szCs w:val="24"/>
        </w:rPr>
      </w:pPr>
      <w:r>
        <w:br w:type="page"/>
      </w:r>
    </w:p>
    <w:p w:rsidR="001515D7" w:rsidRDefault="001515D7" w:rsidP="001458C0">
      <w:pPr>
        <w:pStyle w:val="Heading2"/>
        <w:spacing w:after="80"/>
      </w:pPr>
      <w:bookmarkStart w:id="77" w:name="_Toc423945927"/>
      <w:r>
        <w:lastRenderedPageBreak/>
        <w:t>Impacts and outcomes</w:t>
      </w:r>
      <w:r w:rsidR="00D2708B">
        <w:t xml:space="preserve"> – patients value the service highly</w:t>
      </w:r>
      <w:bookmarkEnd w:id="77"/>
      <w:r w:rsidR="00D2708B">
        <w:t xml:space="preserve"> </w:t>
      </w:r>
    </w:p>
    <w:p w:rsidR="00C94111" w:rsidRDefault="00AD50E5" w:rsidP="001458C0">
      <w:pPr>
        <w:pStyle w:val="Heading3"/>
        <w:spacing w:before="240"/>
      </w:pPr>
      <w:bookmarkStart w:id="78" w:name="_Toc423945928"/>
      <w:r>
        <w:t>A</w:t>
      </w:r>
      <w:r w:rsidR="00C94111">
        <w:t xml:space="preserve"> focus on high-need populations </w:t>
      </w:r>
      <w:r>
        <w:t>in rural areas</w:t>
      </w:r>
      <w:bookmarkEnd w:id="78"/>
    </w:p>
    <w:p w:rsidR="00CF317A" w:rsidRDefault="00AD50E5" w:rsidP="00CF317A">
      <w:pPr>
        <w:pStyle w:val="UnnumtextBodytext"/>
      </w:pPr>
      <w:r>
        <w:t>Patients receiving treatment on the mobile surgical bus have tended</w:t>
      </w:r>
      <w:r w:rsidR="009C4BA5">
        <w:t xml:space="preserve"> to be children,</w:t>
      </w:r>
      <w:r>
        <w:t xml:space="preserve"> young people, </w:t>
      </w:r>
      <w:r w:rsidR="009C4BA5">
        <w:t>and o</w:t>
      </w:r>
      <w:r>
        <w:t>lder people</w:t>
      </w:r>
      <w:r w:rsidR="009C4BA5">
        <w:t xml:space="preserve"> aged 60 years and over</w:t>
      </w:r>
      <w:r>
        <w:t>.</w:t>
      </w:r>
      <w:r w:rsidR="009C4BA5">
        <w:t xml:space="preserve"> These are groups that typically have higher health needs</w:t>
      </w:r>
      <w:r w:rsidR="00945A84">
        <w:t xml:space="preserve">. It should be noted that </w:t>
      </w:r>
      <w:r w:rsidR="005B735B">
        <w:t>the</w:t>
      </w:r>
      <w:r w:rsidR="00945A84">
        <w:t>ir levels of access are supported by the</w:t>
      </w:r>
      <w:r w:rsidR="005B735B">
        <w:t xml:space="preserve"> mix of services offered </w:t>
      </w:r>
      <w:r w:rsidR="00945A84">
        <w:t xml:space="preserve">on the bus </w:t>
      </w:r>
      <w:r w:rsidR="005B735B">
        <w:t>(e.g. dental, endoscopy)</w:t>
      </w:r>
      <w:r w:rsidR="009C4BA5">
        <w:t xml:space="preserve">. </w:t>
      </w:r>
      <w:r w:rsidR="003A4258">
        <w:fldChar w:fldCharType="begin"/>
      </w:r>
      <w:r w:rsidR="003A4258">
        <w:instrText xml:space="preserve"> REF _Ref380496808 \h </w:instrText>
      </w:r>
      <w:r w:rsidR="003A4258">
        <w:fldChar w:fldCharType="separate"/>
      </w:r>
      <w:r w:rsidR="00CA314A">
        <w:t xml:space="preserve">Figure </w:t>
      </w:r>
      <w:r w:rsidR="00CA314A">
        <w:rPr>
          <w:noProof/>
        </w:rPr>
        <w:t>6</w:t>
      </w:r>
      <w:r w:rsidR="003A4258">
        <w:fldChar w:fldCharType="end"/>
      </w:r>
      <w:r w:rsidR="003A4258">
        <w:t xml:space="preserve"> </w:t>
      </w:r>
      <w:r w:rsidR="00C61899">
        <w:t>presents the discharges</w:t>
      </w:r>
      <w:r>
        <w:t xml:space="preserve"> between 2006/06 and 2013</w:t>
      </w:r>
      <w:r w:rsidR="00C61899">
        <w:t xml:space="preserve"> by aggregated by ten-year age groups. </w:t>
      </w:r>
      <w:r w:rsidR="00CF317A">
        <w:t>Children and young people under 20 years comprised 4</w:t>
      </w:r>
      <w:r w:rsidR="00C61899">
        <w:t>1</w:t>
      </w:r>
      <w:r w:rsidR="00CF317A">
        <w:t>% of discharges</w:t>
      </w:r>
      <w:r w:rsidR="00C61899">
        <w:t xml:space="preserve">. </w:t>
      </w:r>
      <w:r>
        <w:t xml:space="preserve">Children aged 0-9 years comprised the largest ten-year age group (36%) and </w:t>
      </w:r>
      <w:r w:rsidR="009C4BA5">
        <w:t xml:space="preserve">are predominantly receiving dental surgery. </w:t>
      </w:r>
      <w:r w:rsidR="00C61899">
        <w:t>People</w:t>
      </w:r>
      <w:r w:rsidR="00B04D92">
        <w:t xml:space="preserve"> aged </w:t>
      </w:r>
      <w:r w:rsidR="009C4BA5">
        <w:t>6</w:t>
      </w:r>
      <w:r w:rsidR="00B04D92">
        <w:t xml:space="preserve">0 years and over accounted for </w:t>
      </w:r>
      <w:r w:rsidR="00C61899">
        <w:t>a further</w:t>
      </w:r>
      <w:r w:rsidR="009C4BA5">
        <w:t xml:space="preserve"> 27</w:t>
      </w:r>
      <w:r w:rsidR="00B04D92">
        <w:t xml:space="preserve">% </w:t>
      </w:r>
      <w:r w:rsidR="00C61899">
        <w:t>of discharges</w:t>
      </w:r>
      <w:r w:rsidR="009C4BA5">
        <w:t xml:space="preserve"> during the same period</w:t>
      </w:r>
      <w:r w:rsidR="00C61899">
        <w:t>.</w:t>
      </w:r>
    </w:p>
    <w:p w:rsidR="003A4258" w:rsidRDefault="003A4258" w:rsidP="003A4258">
      <w:pPr>
        <w:pStyle w:val="UnnumtextBodytext"/>
      </w:pPr>
      <w:r>
        <w:rPr>
          <w:lang w:eastAsia="en-NZ"/>
        </w:rPr>
        <w:t xml:space="preserve">The </w:t>
      </w:r>
      <w:r w:rsidRPr="00E51D90">
        <w:rPr>
          <w:lang w:eastAsia="en-NZ"/>
        </w:rPr>
        <w:t xml:space="preserve">service </w:t>
      </w:r>
      <w:r w:rsidR="00631DC1">
        <w:rPr>
          <w:lang w:eastAsia="en-NZ"/>
        </w:rPr>
        <w:t xml:space="preserve">also appears to </w:t>
      </w:r>
      <w:r>
        <w:rPr>
          <w:lang w:eastAsia="en-NZ"/>
        </w:rPr>
        <w:t xml:space="preserve">enable a relatively high proportion of </w:t>
      </w:r>
      <w:r w:rsidRPr="00E51D90">
        <w:rPr>
          <w:lang w:eastAsia="en-NZ"/>
        </w:rPr>
        <w:t xml:space="preserve">Māori </w:t>
      </w:r>
      <w:r>
        <w:rPr>
          <w:lang w:eastAsia="en-NZ"/>
        </w:rPr>
        <w:t>to access day surgery in rural areas.</w:t>
      </w:r>
      <w:r>
        <w:t xml:space="preserve"> Patients who identified as M</w:t>
      </w:r>
      <w:r w:rsidRPr="008F5C57">
        <w:t>ā</w:t>
      </w:r>
      <w:r>
        <w:t xml:space="preserve">ori comprised 24% of discharges over the period of the current contract, from 2006/07 to 2013. </w:t>
      </w:r>
      <w:r w:rsidR="00E82435">
        <w:t>In contrast, M</w:t>
      </w:r>
      <w:r w:rsidR="00E82435" w:rsidRPr="008F5C57">
        <w:t>ā</w:t>
      </w:r>
      <w:r w:rsidR="00E82435">
        <w:t xml:space="preserve">ori comprised around </w:t>
      </w:r>
      <w:r>
        <w:t xml:space="preserve">14-15% </w:t>
      </w:r>
      <w:r w:rsidR="00E82435">
        <w:t>of the national population during this period, and 18% of the population in rural or semi-rural areas.</w:t>
      </w:r>
      <w:r>
        <w:rPr>
          <w:rStyle w:val="FootnoteReference"/>
        </w:rPr>
        <w:footnoteReference w:id="5"/>
      </w:r>
      <w:r>
        <w:t xml:space="preserve"> The mobile surgical service can therefore be seen as contributing to improved access to health care for M</w:t>
      </w:r>
      <w:r w:rsidRPr="008F5C57">
        <w:t>ā</w:t>
      </w:r>
      <w:r w:rsidR="00631DC1">
        <w:t>ori,</w:t>
      </w:r>
      <w:r>
        <w:t xml:space="preserve"> thereby helping to reduce health inequalities.  </w:t>
      </w:r>
    </w:p>
    <w:p w:rsidR="003A4258" w:rsidRDefault="003A4258" w:rsidP="003A4258">
      <w:pPr>
        <w:pStyle w:val="UnnumtextBodytext"/>
      </w:pPr>
      <w:r>
        <w:t>In contrast, Pacific peoples accounted for only 2% of discharges over the same period – lower than their share of the national population (7%). This difference is not surprising, given that 98% Pacific peoples reside in urban areas. By our calculation, approximately 1% of the population in rural or semi-rural areas belongs to a Pacific ethnic group.</w:t>
      </w:r>
      <w:r>
        <w:rPr>
          <w:rStyle w:val="FootnoteReference"/>
        </w:rPr>
        <w:footnoteReference w:id="6"/>
      </w:r>
      <w:r>
        <w:t xml:space="preserve"> This suggests that Pacific peoples are not under-represented among rural patients accessing the bus.</w:t>
      </w:r>
    </w:p>
    <w:p w:rsidR="00BE40F3" w:rsidRDefault="00BE40F3" w:rsidP="001458C0">
      <w:pPr>
        <w:pStyle w:val="Caption"/>
        <w:spacing w:before="80" w:after="40"/>
      </w:pPr>
      <w:bookmarkStart w:id="79" w:name="_Ref380496808"/>
      <w:bookmarkStart w:id="80" w:name="_Toc380597839"/>
      <w:bookmarkStart w:id="81" w:name="_Toc380605799"/>
      <w:bookmarkStart w:id="82" w:name="_Toc423945985"/>
      <w:r>
        <w:t xml:space="preserve">Figure </w:t>
      </w:r>
      <w:fldSimple w:instr=" SEQ Figure \* ARABIC ">
        <w:r w:rsidR="00CA314A">
          <w:rPr>
            <w:noProof/>
          </w:rPr>
          <w:t>6</w:t>
        </w:r>
      </w:fldSimple>
      <w:bookmarkEnd w:id="79"/>
      <w:r>
        <w:rPr>
          <w:noProof/>
        </w:rPr>
        <w:t>:</w:t>
      </w:r>
      <w:r>
        <w:t xml:space="preserve"> Elective surgery day procedures, by age group, 2006/07 – 2013</w:t>
      </w:r>
      <w:bookmarkEnd w:id="80"/>
      <w:bookmarkEnd w:id="81"/>
      <w:bookmarkEnd w:id="82"/>
    </w:p>
    <w:p w:rsidR="00BE40F3" w:rsidRPr="00BE40F3" w:rsidRDefault="00BE40F3" w:rsidP="00BE40F3">
      <w:pPr>
        <w:pStyle w:val="Whitespace"/>
        <w:spacing w:after="0"/>
        <w:ind w:hanging="84"/>
        <w:rPr>
          <w:sz w:val="17"/>
        </w:rPr>
      </w:pPr>
      <w:r>
        <w:rPr>
          <w:noProof/>
          <w:lang w:val="en-NZ" w:eastAsia="en-NZ"/>
        </w:rPr>
        <w:drawing>
          <wp:inline distT="0" distB="0" distL="0" distR="0" wp14:anchorId="20106478" wp14:editId="2FEB1A60">
            <wp:extent cx="4619625" cy="2495550"/>
            <wp:effectExtent l="0" t="0" r="0" b="0"/>
            <wp:docPr id="13" name="Chart 13" title="Figure 6: Elective surgery day procedures, by age group, 2006/07 –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40F3" w:rsidRPr="00850D3E" w:rsidRDefault="00BE40F3" w:rsidP="009C4BA5">
      <w:pPr>
        <w:pStyle w:val="Sourceinformation"/>
        <w:spacing w:before="80" w:after="100" w:afterAutospacing="1"/>
        <w:rPr>
          <w:sz w:val="20"/>
        </w:rPr>
      </w:pPr>
      <w:r w:rsidRPr="00850D3E">
        <w:rPr>
          <w:b/>
          <w:sz w:val="20"/>
        </w:rPr>
        <w:t>Source:</w:t>
      </w:r>
      <w:r w:rsidRPr="00850D3E">
        <w:rPr>
          <w:sz w:val="20"/>
        </w:rPr>
        <w:t xml:space="preserve"> M</w:t>
      </w:r>
      <w:r>
        <w:rPr>
          <w:sz w:val="20"/>
        </w:rPr>
        <w:t xml:space="preserve">obile Surgical Solutions Ltd; </w:t>
      </w:r>
      <w:proofErr w:type="spellStart"/>
      <w:r>
        <w:rPr>
          <w:sz w:val="20"/>
        </w:rPr>
        <w:t>Sapere</w:t>
      </w:r>
      <w:proofErr w:type="spellEnd"/>
      <w:r>
        <w:rPr>
          <w:sz w:val="20"/>
        </w:rPr>
        <w:t xml:space="preserve"> analysis</w:t>
      </w:r>
    </w:p>
    <w:p w:rsidR="00C94111" w:rsidRDefault="003E332F" w:rsidP="00550C47">
      <w:pPr>
        <w:pStyle w:val="Heading3"/>
      </w:pPr>
      <w:bookmarkStart w:id="83" w:name="_Toc423945929"/>
      <w:r>
        <w:lastRenderedPageBreak/>
        <w:t xml:space="preserve">Patients value the service </w:t>
      </w:r>
      <w:r w:rsidR="006E2479">
        <w:t xml:space="preserve">most </w:t>
      </w:r>
      <w:r>
        <w:t xml:space="preserve">for </w:t>
      </w:r>
      <w:r w:rsidR="006E2479">
        <w:t>its convenience</w:t>
      </w:r>
      <w:bookmarkEnd w:id="83"/>
    </w:p>
    <w:p w:rsidR="00F333C9" w:rsidRDefault="00ED60E6" w:rsidP="005B58E3">
      <w:r>
        <w:t>When asked about what they most valued about the service, the majority of p</w:t>
      </w:r>
      <w:r w:rsidR="006E2479">
        <w:t>at</w:t>
      </w:r>
      <w:r>
        <w:t>i</w:t>
      </w:r>
      <w:r w:rsidR="006E2479">
        <w:t xml:space="preserve">ent </w:t>
      </w:r>
      <w:r>
        <w:t xml:space="preserve">and caregivers </w:t>
      </w:r>
      <w:r w:rsidR="005B58E3">
        <w:t xml:space="preserve">cited the convenience of having </w:t>
      </w:r>
      <w:r w:rsidR="003E332F">
        <w:t xml:space="preserve">the service </w:t>
      </w:r>
      <w:r w:rsidR="005B58E3">
        <w:t xml:space="preserve">available </w:t>
      </w:r>
      <w:r w:rsidR="00D86B5C">
        <w:t>locally</w:t>
      </w:r>
      <w:r w:rsidR="005B58E3">
        <w:t xml:space="preserve">. </w:t>
      </w:r>
      <w:r w:rsidR="003A2106" w:rsidRPr="003A2106">
        <w:t>Among the p</w:t>
      </w:r>
      <w:r w:rsidR="009207C8" w:rsidRPr="003A2106">
        <w:t>atient t</w:t>
      </w:r>
      <w:r w:rsidR="00F333C9" w:rsidRPr="003A2106">
        <w:t>elephone interviews</w:t>
      </w:r>
      <w:r w:rsidR="003A2106" w:rsidRPr="003A2106">
        <w:t>,</w:t>
      </w:r>
      <w:r w:rsidR="00F333C9" w:rsidRPr="003A2106">
        <w:t xml:space="preserve"> 67%, or 1</w:t>
      </w:r>
      <w:r w:rsidR="003E332F" w:rsidRPr="003A2106">
        <w:t>8</w:t>
      </w:r>
      <w:r w:rsidR="00F333C9" w:rsidRPr="003A2106">
        <w:t xml:space="preserve">/28 interviewees mentioned </w:t>
      </w:r>
      <w:r w:rsidR="003A2106" w:rsidRPr="003A2106">
        <w:t xml:space="preserve">that the service was </w:t>
      </w:r>
      <w:r w:rsidR="00F333C9" w:rsidRPr="003A2106">
        <w:t>convenien</w:t>
      </w:r>
      <w:r w:rsidR="003A2106" w:rsidRPr="003A2106">
        <w:t>t or close to home</w:t>
      </w:r>
      <w:r w:rsidR="009B6A24">
        <w:t xml:space="preserve"> – as shown in</w:t>
      </w:r>
      <w:r w:rsidR="003A4258">
        <w:t xml:space="preserve"> </w:t>
      </w:r>
      <w:r w:rsidR="003A4258">
        <w:fldChar w:fldCharType="begin"/>
      </w:r>
      <w:r w:rsidR="003A4258">
        <w:instrText xml:space="preserve"> REF _Ref380529634 \h </w:instrText>
      </w:r>
      <w:r w:rsidR="003A4258">
        <w:fldChar w:fldCharType="separate"/>
      </w:r>
      <w:r w:rsidR="00CA314A">
        <w:t xml:space="preserve">Figure </w:t>
      </w:r>
      <w:r w:rsidR="00CA314A">
        <w:rPr>
          <w:noProof/>
        </w:rPr>
        <w:t>7</w:t>
      </w:r>
      <w:r w:rsidR="003A4258">
        <w:fldChar w:fldCharType="end"/>
      </w:r>
      <w:r w:rsidR="003A2106" w:rsidRPr="003A2106">
        <w:t>.</w:t>
      </w:r>
      <w:r w:rsidR="009B6A24">
        <w:t xml:space="preserve"> </w:t>
      </w:r>
      <w:r w:rsidR="005B58E3">
        <w:t xml:space="preserve">Some of the more specific </w:t>
      </w:r>
      <w:r w:rsidR="009B6A24">
        <w:t xml:space="preserve">reasons cited were: pain relief/the opportunity to stop taking medication; not having to take time off work; the child liked the bus or </w:t>
      </w:r>
      <w:r w:rsidR="0069774B">
        <w:t xml:space="preserve">found that it </w:t>
      </w:r>
      <w:r w:rsidR="009B6A24">
        <w:t xml:space="preserve">was not scary; and not having to travel with a sick child. </w:t>
      </w:r>
    </w:p>
    <w:p w:rsidR="00D86B5C" w:rsidRDefault="00D86B5C" w:rsidP="003A2106">
      <w:pPr>
        <w:pStyle w:val="UnnumtextBodytext"/>
      </w:pPr>
      <w:r>
        <w:t xml:space="preserve">A </w:t>
      </w:r>
      <w:r w:rsidR="0069774B">
        <w:t>similar</w:t>
      </w:r>
      <w:r>
        <w:t xml:space="preserve"> them</w:t>
      </w:r>
      <w:r w:rsidR="0069774B">
        <w:t xml:space="preserve">e was apparent among the patient postal survey, </w:t>
      </w:r>
      <w:r>
        <w:t>with 86%, or 36/42 respondents citing convenience or no</w:t>
      </w:r>
      <w:r w:rsidR="005B58E3">
        <w:t>t having to</w:t>
      </w:r>
      <w:r>
        <w:t xml:space="preserve"> travel</w:t>
      </w:r>
      <w:r w:rsidR="005B58E3">
        <w:t>.</w:t>
      </w:r>
      <w:r>
        <w:t xml:space="preserve">   </w:t>
      </w:r>
    </w:p>
    <w:p w:rsidR="00F333C9" w:rsidRDefault="00F333C9" w:rsidP="00575536">
      <w:pPr>
        <w:pStyle w:val="Caption"/>
        <w:spacing w:after="60"/>
      </w:pPr>
      <w:bookmarkStart w:id="84" w:name="_Ref380529634"/>
      <w:bookmarkStart w:id="85" w:name="_Toc380597842"/>
      <w:bookmarkStart w:id="86" w:name="_Toc380605802"/>
      <w:bookmarkStart w:id="87" w:name="_Toc423945986"/>
      <w:r>
        <w:t xml:space="preserve">Figure </w:t>
      </w:r>
      <w:fldSimple w:instr=" SEQ Figure \* ARABIC ">
        <w:r w:rsidR="00CA314A">
          <w:rPr>
            <w:noProof/>
          </w:rPr>
          <w:t>7</w:t>
        </w:r>
      </w:fldSimple>
      <w:bookmarkEnd w:id="84"/>
      <w:r w:rsidR="009207C8">
        <w:rPr>
          <w:noProof/>
        </w:rPr>
        <w:t>:</w:t>
      </w:r>
      <w:r>
        <w:t xml:space="preserve"> </w:t>
      </w:r>
      <w:r w:rsidR="009207C8">
        <w:t xml:space="preserve">Patient telephone </w:t>
      </w:r>
      <w:r>
        <w:t xml:space="preserve">interviews </w:t>
      </w:r>
      <w:r w:rsidR="009207C8">
        <w:t>–</w:t>
      </w:r>
      <w:r>
        <w:t xml:space="preserve"> </w:t>
      </w:r>
      <w:r w:rsidR="009207C8">
        <w:t>what was valued most about the service</w:t>
      </w:r>
      <w:bookmarkEnd w:id="85"/>
      <w:bookmarkEnd w:id="86"/>
      <w:bookmarkEnd w:id="87"/>
    </w:p>
    <w:p w:rsidR="00F333C9" w:rsidRDefault="009207C8" w:rsidP="00575536">
      <w:pPr>
        <w:pStyle w:val="Sourceinformation"/>
        <w:spacing w:after="0"/>
        <w:ind w:left="-57" w:hanging="27"/>
        <w:rPr>
          <w:b/>
          <w:sz w:val="20"/>
        </w:rPr>
      </w:pPr>
      <w:r>
        <w:rPr>
          <w:noProof/>
          <w:lang w:val="en-NZ" w:eastAsia="en-NZ"/>
        </w:rPr>
        <w:drawing>
          <wp:inline distT="0" distB="0" distL="0" distR="0" wp14:anchorId="695F92FD" wp14:editId="1296E402">
            <wp:extent cx="5038725" cy="2952750"/>
            <wp:effectExtent l="0" t="0" r="0" b="0"/>
            <wp:docPr id="23" name="Chart 23" title="Figure 7: Patient telephone interviews – what was valued most about the serv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33C9" w:rsidRPr="00F333C9" w:rsidRDefault="00F333C9" w:rsidP="00AA1856">
      <w:pPr>
        <w:pStyle w:val="Sourceinformation"/>
        <w:spacing w:after="100" w:afterAutospacing="1"/>
        <w:rPr>
          <w:sz w:val="20"/>
        </w:rPr>
      </w:pPr>
      <w:r w:rsidRPr="00F333C9">
        <w:rPr>
          <w:b/>
          <w:sz w:val="20"/>
        </w:rPr>
        <w:t>Source:</w:t>
      </w:r>
      <w:r w:rsidRPr="00F333C9">
        <w:rPr>
          <w:sz w:val="20"/>
        </w:rPr>
        <w:t xml:space="preserve"> </w:t>
      </w:r>
      <w:proofErr w:type="spellStart"/>
      <w:r w:rsidRPr="00F333C9">
        <w:rPr>
          <w:sz w:val="20"/>
        </w:rPr>
        <w:t>Sapere</w:t>
      </w:r>
      <w:proofErr w:type="spellEnd"/>
      <w:r w:rsidRPr="00F333C9">
        <w:rPr>
          <w:sz w:val="20"/>
        </w:rPr>
        <w:t xml:space="preserve"> Research Group</w:t>
      </w:r>
    </w:p>
    <w:p w:rsidR="00C04FE0" w:rsidRDefault="00C04FE0" w:rsidP="00C04FE0">
      <w:pPr>
        <w:pStyle w:val="UnnumtextBodytext"/>
      </w:pPr>
      <w:r>
        <w:t>When asked what convenience that meant to people there w</w:t>
      </w:r>
      <w:r w:rsidR="00B6631C">
        <w:t>ere a range of responses.</w:t>
      </w:r>
    </w:p>
    <w:p w:rsidR="00C04FE0" w:rsidRDefault="00C04FE0" w:rsidP="00C04FE0">
      <w:pPr>
        <w:pStyle w:val="Quotation"/>
      </w:pPr>
      <w:r>
        <w:t>I don’t drive so would have had to have others take me.</w:t>
      </w:r>
    </w:p>
    <w:p w:rsidR="00C04FE0" w:rsidRDefault="00C04FE0" w:rsidP="00C04FE0">
      <w:pPr>
        <w:pStyle w:val="Quotation"/>
      </w:pPr>
      <w:r>
        <w:t>Having it so close was magic, especially for us older people.</w:t>
      </w:r>
    </w:p>
    <w:p w:rsidR="00C04FE0" w:rsidRDefault="00C04FE0" w:rsidP="00C04FE0">
      <w:pPr>
        <w:pStyle w:val="Quotation"/>
      </w:pPr>
      <w:r>
        <w:t>Not having to travel meant we saved two days and employment for two people for those days.</w:t>
      </w:r>
    </w:p>
    <w:p w:rsidR="00C04FE0" w:rsidRDefault="00C04FE0" w:rsidP="00C04FE0">
      <w:pPr>
        <w:pStyle w:val="Quotation"/>
      </w:pPr>
      <w:r>
        <w:t>Getting her home straight away was so much better than having to drive for two hours. She was less distressed… and could just play with her own toys as normal.</w:t>
      </w:r>
    </w:p>
    <w:p w:rsidR="00C04FE0" w:rsidRDefault="00AA1856" w:rsidP="00C04FE0">
      <w:r>
        <w:t>A</w:t>
      </w:r>
      <w:r w:rsidR="00C04FE0">
        <w:t xml:space="preserve"> quote from a parent of a child who lived in </w:t>
      </w:r>
      <w:proofErr w:type="spellStart"/>
      <w:r w:rsidR="00C04FE0">
        <w:t>Takaka</w:t>
      </w:r>
      <w:proofErr w:type="spellEnd"/>
      <w:r w:rsidR="00C04FE0">
        <w:t xml:space="preserve"> illustrates how the term “convenience” can include multiple elements. </w:t>
      </w:r>
    </w:p>
    <w:p w:rsidR="00C04FE0" w:rsidRDefault="00C04FE0" w:rsidP="00C04FE0">
      <w:pPr>
        <w:pStyle w:val="Quotation"/>
      </w:pPr>
      <w:r>
        <w:t>If we had to go over the hill to [the base hospital] we would’ve needed two of us go – which means a loss of income for her. Then we would have had to go the night before and stay the night after (to be near the hospital) so it would be two nights’ accommodation, all the food, and petrol too. That is invaluable not to have to deal with that. Not to mention the stress of it all, especially for my child who finds things out of routine very stressful and difficult.</w:t>
      </w:r>
    </w:p>
    <w:p w:rsidR="00B725AA" w:rsidRDefault="00B725AA" w:rsidP="00B428C5">
      <w:pPr>
        <w:pStyle w:val="Heading3"/>
      </w:pPr>
      <w:bookmarkStart w:id="88" w:name="_Toc423945930"/>
      <w:r>
        <w:lastRenderedPageBreak/>
        <w:t>Staff on the bus were rated very highly by patients</w:t>
      </w:r>
      <w:bookmarkEnd w:id="88"/>
    </w:p>
    <w:p w:rsidR="00792CFB" w:rsidRDefault="00792CFB" w:rsidP="00792CFB">
      <w:r>
        <w:t xml:space="preserve">We asked patients about their general perception of the staff in the bus and in recovery on the day of their surgery, although it was made clear that this not a review of staff. Among </w:t>
      </w:r>
      <w:r w:rsidR="00AA1856">
        <w:t xml:space="preserve">the </w:t>
      </w:r>
      <w:r>
        <w:t xml:space="preserve">telephone interviews, 100% of </w:t>
      </w:r>
      <w:r w:rsidR="00AA1856">
        <w:t>responses w</w:t>
      </w:r>
      <w:r>
        <w:t xml:space="preserve">ere positive and complimentary about the staff, their professionalism and their welcoming attitude. People used descriptive words such as </w:t>
      </w:r>
      <w:r w:rsidRPr="00AC387A">
        <w:rPr>
          <w:i/>
        </w:rPr>
        <w:t>“Superb”, “Awesome”, “Really lovely”</w:t>
      </w:r>
      <w:r>
        <w:t xml:space="preserve"> and </w:t>
      </w:r>
      <w:r w:rsidRPr="00AC387A">
        <w:rPr>
          <w:i/>
        </w:rPr>
        <w:t>“Marve</w:t>
      </w:r>
      <w:r w:rsidR="00AA1856" w:rsidRPr="00AC387A">
        <w:rPr>
          <w:i/>
        </w:rPr>
        <w:t>l</w:t>
      </w:r>
      <w:r w:rsidRPr="00AC387A">
        <w:rPr>
          <w:i/>
        </w:rPr>
        <w:t xml:space="preserve">ous”. </w:t>
      </w:r>
      <w:r>
        <w:t>Many commen</w:t>
      </w:r>
      <w:r w:rsidR="00AA1856">
        <w:t xml:space="preserve">ted on the jovial nature of </w:t>
      </w:r>
      <w:r>
        <w:t>staff and how this relaxed them</w:t>
      </w:r>
      <w:r w:rsidR="00AC387A">
        <w:t>.</w:t>
      </w:r>
      <w:r>
        <w:t xml:space="preserve"> </w:t>
      </w:r>
    </w:p>
    <w:p w:rsidR="00792CFB" w:rsidRDefault="00792CFB" w:rsidP="00792CFB">
      <w:r>
        <w:t xml:space="preserve">Many parents reported how fantastic the </w:t>
      </w:r>
      <w:proofErr w:type="gramStart"/>
      <w:r>
        <w:t>staff were</w:t>
      </w:r>
      <w:proofErr w:type="gramEnd"/>
      <w:r>
        <w:t xml:space="preserve"> with children. Examples include giving the children gifts (e.g. toothbrush and toothpaste), having a film playing beforehand to distract the child, having coloured </w:t>
      </w:r>
      <w:proofErr w:type="spellStart"/>
      <w:r>
        <w:t>anaesthetic</w:t>
      </w:r>
      <w:proofErr w:type="spellEnd"/>
      <w:r>
        <w:t xml:space="preserve"> face masks and making them feel at ease. Some parents talked about the language and how the staff pretended the bus is a space ship.</w:t>
      </w:r>
    </w:p>
    <w:p w:rsidR="00B428C5" w:rsidRDefault="00B428C5" w:rsidP="00B428C5">
      <w:pPr>
        <w:pStyle w:val="Heading3"/>
      </w:pPr>
      <w:bookmarkStart w:id="89" w:name="_Toc423945931"/>
      <w:r>
        <w:t>Patient feedback to the provider</w:t>
      </w:r>
      <w:r w:rsidR="00B725AA">
        <w:t xml:space="preserve"> is highly positive</w:t>
      </w:r>
      <w:bookmarkEnd w:id="89"/>
      <w:r w:rsidR="00B725AA">
        <w:t xml:space="preserve"> </w:t>
      </w:r>
    </w:p>
    <w:p w:rsidR="001D3413" w:rsidRDefault="00B45C09" w:rsidP="00B428C5">
      <w:r>
        <w:t xml:space="preserve">Feedback provided by patients directly to MSS Ltd is also highly positive about the mobile surgical service. </w:t>
      </w:r>
      <w:r w:rsidR="004169F9">
        <w:t>Fe</w:t>
      </w:r>
      <w:r>
        <w:t xml:space="preserve">edback </w:t>
      </w:r>
      <w:r w:rsidR="004169F9">
        <w:t>f</w:t>
      </w:r>
      <w:r>
        <w:t xml:space="preserve">orms </w:t>
      </w:r>
      <w:r w:rsidR="004169F9">
        <w:t xml:space="preserve">are </w:t>
      </w:r>
      <w:r>
        <w:t xml:space="preserve">distributed on the day of surgery and returned on the same day, or soon after. </w:t>
      </w:r>
      <w:r w:rsidR="001D3413">
        <w:t xml:space="preserve">The </w:t>
      </w:r>
      <w:r w:rsidR="001D3413" w:rsidRPr="001D3413">
        <w:t xml:space="preserve">questions </w:t>
      </w:r>
      <w:r w:rsidR="001D3413">
        <w:t xml:space="preserve">relate to the usefulness of the information provided before </w:t>
      </w:r>
      <w:r w:rsidR="004169F9">
        <w:t>/</w:t>
      </w:r>
      <w:r w:rsidR="001D3413">
        <w:t xml:space="preserve"> after surgery, the effectiveness of </w:t>
      </w:r>
      <w:r w:rsidR="004169F9">
        <w:t>DHB</w:t>
      </w:r>
      <w:r w:rsidR="001D3413">
        <w:t xml:space="preserve"> communication in preparation, individual needs being met, and the competence of the staff. </w:t>
      </w:r>
      <w:r w:rsidR="004169F9">
        <w:t xml:space="preserve">Respondents are invited to rate their experience on a five-step scale ranging from “very poor” to “excellent” </w:t>
      </w:r>
    </w:p>
    <w:p w:rsidR="00B45C09" w:rsidRDefault="00B45C09" w:rsidP="00B428C5">
      <w:r>
        <w:t xml:space="preserve">Our analysis of </w:t>
      </w:r>
      <w:r w:rsidR="001D3413">
        <w:t xml:space="preserve">a </w:t>
      </w:r>
      <w:r w:rsidR="004169F9">
        <w:t xml:space="preserve">random </w:t>
      </w:r>
      <w:r w:rsidR="001D3413">
        <w:t xml:space="preserve">sample of 150 </w:t>
      </w:r>
      <w:r w:rsidR="005C1AE8">
        <w:t xml:space="preserve">forms </w:t>
      </w:r>
      <w:r w:rsidR="001D3413">
        <w:t>found</w:t>
      </w:r>
      <w:r w:rsidR="004169F9">
        <w:t xml:space="preserve"> 95-99% of responses to each question were rated “good” or “excellent”.</w:t>
      </w:r>
      <w:r w:rsidR="001D3413">
        <w:t xml:space="preserve"> </w:t>
      </w:r>
      <w:r>
        <w:t>On average</w:t>
      </w:r>
      <w:r w:rsidR="004169F9">
        <w:t>, across</w:t>
      </w:r>
      <w:r>
        <w:t xml:space="preserve"> all questions, 75% </w:t>
      </w:r>
      <w:r w:rsidR="004169F9">
        <w:t xml:space="preserve">of respondents </w:t>
      </w:r>
      <w:r>
        <w:t xml:space="preserve">gave “excellent” as an answer </w:t>
      </w:r>
      <w:r w:rsidR="004169F9">
        <w:t xml:space="preserve">with </w:t>
      </w:r>
      <w:r>
        <w:t xml:space="preserve">23% </w:t>
      </w:r>
      <w:r w:rsidR="004169F9">
        <w:t xml:space="preserve">answering </w:t>
      </w:r>
      <w:r>
        <w:t>“good”</w:t>
      </w:r>
      <w:r w:rsidR="004169F9">
        <w:t xml:space="preserve">, equating to </w:t>
      </w:r>
      <w:r>
        <w:t xml:space="preserve">98% </w:t>
      </w:r>
      <w:r w:rsidR="004169F9">
        <w:t xml:space="preserve">rating the service as </w:t>
      </w:r>
      <w:r>
        <w:t>either “excellent</w:t>
      </w:r>
      <w:r w:rsidR="004169F9">
        <w:t>”</w:t>
      </w:r>
      <w:r>
        <w:t xml:space="preserve"> or </w:t>
      </w:r>
      <w:r w:rsidR="004169F9">
        <w:t>“</w:t>
      </w:r>
      <w:r>
        <w:t>good”.</w:t>
      </w:r>
      <w:r w:rsidR="001D3413">
        <w:t xml:space="preserve"> </w:t>
      </w:r>
      <w:r w:rsidR="00847228">
        <w:t>Patient and caregivers were also invited to comment on the service, and we p</w:t>
      </w:r>
      <w:r w:rsidR="001D3413">
        <w:t>rovide a cross</w:t>
      </w:r>
      <w:r w:rsidR="005C1AE8">
        <w:t>-</w:t>
      </w:r>
      <w:r w:rsidR="001D3413">
        <w:t xml:space="preserve">section of </w:t>
      </w:r>
      <w:r w:rsidR="00847228">
        <w:t xml:space="preserve">these </w:t>
      </w:r>
      <w:r w:rsidR="001D3413">
        <w:t xml:space="preserve">comments below in </w:t>
      </w:r>
      <w:r w:rsidR="003A4258">
        <w:fldChar w:fldCharType="begin"/>
      </w:r>
      <w:r w:rsidR="003A4258">
        <w:instrText xml:space="preserve"> REF _Ref380758755 \h </w:instrText>
      </w:r>
      <w:r w:rsidR="003A4258">
        <w:fldChar w:fldCharType="separate"/>
      </w:r>
      <w:r w:rsidR="00CA314A">
        <w:t xml:space="preserve">Table </w:t>
      </w:r>
      <w:r w:rsidR="00CA314A">
        <w:rPr>
          <w:noProof/>
        </w:rPr>
        <w:t>5</w:t>
      </w:r>
      <w:r w:rsidR="003A4258">
        <w:fldChar w:fldCharType="end"/>
      </w:r>
      <w:r w:rsidR="003A4258">
        <w:t>.</w:t>
      </w:r>
      <w:r w:rsidR="00847228">
        <w:t xml:space="preserve"> </w:t>
      </w:r>
    </w:p>
    <w:p w:rsidR="00E4184A" w:rsidRDefault="00E4184A" w:rsidP="004169F9">
      <w:pPr>
        <w:pStyle w:val="Caption"/>
        <w:spacing w:before="100" w:beforeAutospacing="1" w:after="100"/>
      </w:pPr>
      <w:bookmarkStart w:id="90" w:name="_Ref380758755"/>
      <w:bookmarkStart w:id="91" w:name="_Toc423945975"/>
      <w:r>
        <w:t xml:space="preserve">Table </w:t>
      </w:r>
      <w:fldSimple w:instr=" SEQ Table \* ARABIC ">
        <w:r w:rsidR="00CA314A">
          <w:rPr>
            <w:noProof/>
          </w:rPr>
          <w:t>5</w:t>
        </w:r>
      </w:fldSimple>
      <w:bookmarkEnd w:id="90"/>
      <w:r>
        <w:rPr>
          <w:noProof/>
        </w:rPr>
        <w:t>:</w:t>
      </w:r>
      <w:r>
        <w:t xml:space="preserve"> Selected comments from a sample of patient feedback forms</w:t>
      </w:r>
      <w:bookmarkEnd w:id="91"/>
    </w:p>
    <w:tbl>
      <w:tblPr>
        <w:tblStyle w:val="TableSapereGrid"/>
        <w:tblW w:w="7937" w:type="dxa"/>
        <w:tblInd w:w="108" w:type="dxa"/>
        <w:tblLayout w:type="fixed"/>
        <w:tblLook w:val="0620" w:firstRow="1" w:lastRow="0" w:firstColumn="0" w:lastColumn="0" w:noHBand="1" w:noVBand="1"/>
        <w:tblCaption w:val="Table 5: Selected comments from a sample of patient feedback forms"/>
      </w:tblPr>
      <w:tblGrid>
        <w:gridCol w:w="2645"/>
        <w:gridCol w:w="2646"/>
        <w:gridCol w:w="2646"/>
      </w:tblGrid>
      <w:tr w:rsidR="00E4184A" w:rsidRPr="00E4184A" w:rsidTr="00E4184A">
        <w:trPr>
          <w:cnfStyle w:val="100000000000" w:firstRow="1" w:lastRow="0" w:firstColumn="0" w:lastColumn="0" w:oddVBand="0" w:evenVBand="0" w:oddHBand="0" w:evenHBand="0" w:firstRowFirstColumn="0" w:firstRowLastColumn="0" w:lastRowFirstColumn="0" w:lastRowLastColumn="0"/>
          <w:cantSplit/>
        </w:trPr>
        <w:tc>
          <w:tcPr>
            <w:tcW w:w="2645" w:type="dxa"/>
          </w:tcPr>
          <w:p w:rsidR="00E4184A" w:rsidRPr="00E4184A" w:rsidRDefault="00E4184A" w:rsidP="00E4184A">
            <w:pPr>
              <w:pStyle w:val="Table-headingrow1"/>
              <w:rPr>
                <w:sz w:val="20"/>
              </w:rPr>
            </w:pPr>
            <w:r>
              <w:rPr>
                <w:sz w:val="20"/>
              </w:rPr>
              <w:t>“Positive” comments</w:t>
            </w:r>
          </w:p>
        </w:tc>
        <w:tc>
          <w:tcPr>
            <w:tcW w:w="2646" w:type="dxa"/>
          </w:tcPr>
          <w:p w:rsidR="00E4184A" w:rsidRPr="00E4184A" w:rsidRDefault="00E4184A" w:rsidP="00E4184A">
            <w:pPr>
              <w:pStyle w:val="Table-headingrow1"/>
              <w:rPr>
                <w:sz w:val="20"/>
              </w:rPr>
            </w:pPr>
            <w:r>
              <w:rPr>
                <w:sz w:val="20"/>
              </w:rPr>
              <w:t>“Negative” comments</w:t>
            </w:r>
          </w:p>
        </w:tc>
        <w:tc>
          <w:tcPr>
            <w:tcW w:w="2646" w:type="dxa"/>
          </w:tcPr>
          <w:p w:rsidR="00E4184A" w:rsidRPr="00E4184A" w:rsidRDefault="00E4184A" w:rsidP="00E4184A">
            <w:pPr>
              <w:pStyle w:val="Table-headingrow1"/>
              <w:rPr>
                <w:sz w:val="20"/>
              </w:rPr>
            </w:pPr>
            <w:r>
              <w:rPr>
                <w:sz w:val="20"/>
              </w:rPr>
              <w:t>Feedback for improvement</w:t>
            </w:r>
          </w:p>
        </w:tc>
      </w:tr>
      <w:tr w:rsidR="00E4184A" w:rsidRPr="00E4184A" w:rsidTr="004169F9">
        <w:trPr>
          <w:cantSplit/>
        </w:trPr>
        <w:tc>
          <w:tcPr>
            <w:tcW w:w="2645" w:type="dxa"/>
            <w:tcMar>
              <w:right w:w="57" w:type="dxa"/>
            </w:tcMar>
          </w:tcPr>
          <w:p w:rsidR="00E4184A" w:rsidRPr="00B725AA" w:rsidRDefault="00E4184A" w:rsidP="00847228">
            <w:pPr>
              <w:pStyle w:val="Quotation"/>
              <w:spacing w:after="100"/>
              <w:ind w:left="0"/>
              <w:rPr>
                <w:sz w:val="20"/>
              </w:rPr>
            </w:pPr>
            <w:r w:rsidRPr="00B725AA">
              <w:rPr>
                <w:sz w:val="20"/>
              </w:rPr>
              <w:t xml:space="preserve">Very good service.  Left a good impression on our </w:t>
            </w:r>
            <w:proofErr w:type="spellStart"/>
            <w:r w:rsidRPr="00B725AA">
              <w:rPr>
                <w:sz w:val="20"/>
              </w:rPr>
              <w:t>wh</w:t>
            </w:r>
            <w:r w:rsidR="008075D3" w:rsidRPr="008075D3">
              <w:rPr>
                <w:sz w:val="20"/>
              </w:rPr>
              <w:t>ā</w:t>
            </w:r>
            <w:r w:rsidRPr="00B725AA">
              <w:rPr>
                <w:sz w:val="20"/>
              </w:rPr>
              <w:t>nau</w:t>
            </w:r>
            <w:proofErr w:type="spellEnd"/>
          </w:p>
          <w:p w:rsidR="00E4184A" w:rsidRPr="00B725AA" w:rsidRDefault="00E4184A" w:rsidP="00847228">
            <w:pPr>
              <w:pStyle w:val="Quotation"/>
              <w:spacing w:after="100"/>
              <w:ind w:left="0"/>
              <w:rPr>
                <w:sz w:val="20"/>
              </w:rPr>
            </w:pPr>
            <w:r w:rsidRPr="00B725AA">
              <w:rPr>
                <w:sz w:val="20"/>
              </w:rPr>
              <w:t>What a great experience.</w:t>
            </w:r>
          </w:p>
          <w:p w:rsidR="00E4184A" w:rsidRPr="00B725AA" w:rsidRDefault="00E4184A" w:rsidP="00847228">
            <w:pPr>
              <w:pStyle w:val="Quotation"/>
              <w:spacing w:after="100"/>
              <w:ind w:left="0"/>
              <w:rPr>
                <w:sz w:val="20"/>
              </w:rPr>
            </w:pPr>
            <w:r w:rsidRPr="00B725AA">
              <w:rPr>
                <w:sz w:val="20"/>
              </w:rPr>
              <w:t>They could teach a few other hospitals a few things.</w:t>
            </w:r>
          </w:p>
          <w:p w:rsidR="00E4184A" w:rsidRPr="00B725AA" w:rsidRDefault="00E4184A" w:rsidP="00847228">
            <w:pPr>
              <w:pStyle w:val="Quotation"/>
              <w:spacing w:after="100"/>
              <w:ind w:left="0"/>
              <w:rPr>
                <w:sz w:val="20"/>
              </w:rPr>
            </w:pPr>
            <w:r w:rsidRPr="00B725AA">
              <w:rPr>
                <w:sz w:val="20"/>
              </w:rPr>
              <w:t>We are very lucky to have such an excellent service.</w:t>
            </w:r>
          </w:p>
          <w:p w:rsidR="00E4184A" w:rsidRPr="00B725AA" w:rsidRDefault="00E4184A" w:rsidP="00847228">
            <w:pPr>
              <w:pStyle w:val="Quotation"/>
              <w:spacing w:after="100"/>
              <w:ind w:left="0"/>
              <w:rPr>
                <w:sz w:val="20"/>
              </w:rPr>
            </w:pPr>
            <w:proofErr w:type="gramStart"/>
            <w:r w:rsidRPr="00B725AA">
              <w:rPr>
                <w:sz w:val="20"/>
              </w:rPr>
              <w:t>Keep the bus</w:t>
            </w:r>
            <w:proofErr w:type="gramEnd"/>
            <w:r w:rsidRPr="00B725AA">
              <w:rPr>
                <w:sz w:val="20"/>
              </w:rPr>
              <w:t xml:space="preserve"> coming.</w:t>
            </w:r>
          </w:p>
          <w:p w:rsidR="00E4184A" w:rsidRPr="00B725AA" w:rsidRDefault="00E4184A" w:rsidP="00847228">
            <w:pPr>
              <w:pStyle w:val="Quotation"/>
              <w:spacing w:after="100"/>
              <w:ind w:left="0"/>
              <w:rPr>
                <w:sz w:val="20"/>
              </w:rPr>
            </w:pPr>
            <w:r w:rsidRPr="00B725AA">
              <w:rPr>
                <w:sz w:val="20"/>
              </w:rPr>
              <w:t>This is such a great asset to our rural community.</w:t>
            </w:r>
          </w:p>
          <w:p w:rsidR="00E4184A" w:rsidRPr="00E4184A" w:rsidRDefault="00E4184A" w:rsidP="00847228">
            <w:pPr>
              <w:pStyle w:val="Quotation"/>
              <w:spacing w:after="100"/>
              <w:ind w:left="0"/>
              <w:rPr>
                <w:sz w:val="20"/>
              </w:rPr>
            </w:pPr>
            <w:r w:rsidRPr="00B725AA">
              <w:rPr>
                <w:sz w:val="20"/>
              </w:rPr>
              <w:t>It is useful for families to be able to be part of the healing</w:t>
            </w:r>
            <w:r w:rsidRPr="00B725AA">
              <w:rPr>
                <w:i w:val="0"/>
                <w:sz w:val="20"/>
              </w:rPr>
              <w:t xml:space="preserve"> </w:t>
            </w:r>
            <w:r w:rsidRPr="00B725AA">
              <w:rPr>
                <w:sz w:val="20"/>
              </w:rPr>
              <w:t>process</w:t>
            </w:r>
            <w:r w:rsidRPr="00B725AA">
              <w:rPr>
                <w:i w:val="0"/>
                <w:sz w:val="20"/>
              </w:rPr>
              <w:t>.</w:t>
            </w:r>
          </w:p>
        </w:tc>
        <w:tc>
          <w:tcPr>
            <w:tcW w:w="2646" w:type="dxa"/>
            <w:tcMar>
              <w:right w:w="57" w:type="dxa"/>
            </w:tcMar>
          </w:tcPr>
          <w:p w:rsidR="00B725AA" w:rsidRPr="00B725AA" w:rsidRDefault="00B725AA" w:rsidP="00847228">
            <w:pPr>
              <w:pStyle w:val="Quotation"/>
              <w:spacing w:after="100"/>
              <w:ind w:left="0"/>
              <w:rPr>
                <w:sz w:val="20"/>
              </w:rPr>
            </w:pPr>
            <w:r w:rsidRPr="00B725AA">
              <w:rPr>
                <w:sz w:val="20"/>
              </w:rPr>
              <w:t>My bandages stuck to my wounds.</w:t>
            </w:r>
          </w:p>
          <w:p w:rsidR="00B725AA" w:rsidRPr="00B725AA" w:rsidRDefault="00B725AA" w:rsidP="00847228">
            <w:pPr>
              <w:pStyle w:val="Quotation"/>
              <w:spacing w:after="100"/>
              <w:ind w:left="0"/>
              <w:rPr>
                <w:sz w:val="20"/>
              </w:rPr>
            </w:pPr>
            <w:r w:rsidRPr="00B725AA">
              <w:rPr>
                <w:sz w:val="20"/>
              </w:rPr>
              <w:t>The first couple of people on the list have to start clean prep before 6am!</w:t>
            </w:r>
          </w:p>
          <w:p w:rsidR="00B725AA" w:rsidRPr="00B725AA" w:rsidRDefault="00B725AA" w:rsidP="00847228">
            <w:pPr>
              <w:pStyle w:val="Quotation"/>
              <w:spacing w:after="100"/>
              <w:ind w:left="0"/>
              <w:rPr>
                <w:sz w:val="20"/>
              </w:rPr>
            </w:pPr>
            <w:r w:rsidRPr="00B725AA">
              <w:rPr>
                <w:sz w:val="20"/>
              </w:rPr>
              <w:t>I was unable to read the information they sent.</w:t>
            </w:r>
          </w:p>
          <w:p w:rsidR="00B725AA" w:rsidRPr="00B725AA" w:rsidRDefault="00B725AA" w:rsidP="00847228">
            <w:pPr>
              <w:pStyle w:val="Quotation"/>
              <w:spacing w:after="100"/>
              <w:ind w:left="0"/>
              <w:rPr>
                <w:sz w:val="20"/>
              </w:rPr>
            </w:pPr>
            <w:r w:rsidRPr="00B725AA">
              <w:rPr>
                <w:sz w:val="20"/>
              </w:rPr>
              <w:t xml:space="preserve">The waiting time was too long – the appointment was at 10am but I didn’t go in </w:t>
            </w:r>
            <w:r>
              <w:rPr>
                <w:sz w:val="20"/>
              </w:rPr>
              <w:t>un</w:t>
            </w:r>
            <w:r w:rsidRPr="00B725AA">
              <w:rPr>
                <w:sz w:val="20"/>
              </w:rPr>
              <w:t xml:space="preserve">til 2.30pm. </w:t>
            </w:r>
          </w:p>
          <w:p w:rsidR="00B725AA" w:rsidRPr="00B725AA" w:rsidRDefault="00B725AA" w:rsidP="00847228">
            <w:pPr>
              <w:pStyle w:val="Quotation"/>
              <w:spacing w:after="100"/>
              <w:ind w:left="0"/>
              <w:rPr>
                <w:sz w:val="20"/>
              </w:rPr>
            </w:pPr>
            <w:r w:rsidRPr="00B725AA">
              <w:rPr>
                <w:sz w:val="20"/>
              </w:rPr>
              <w:t>The doctor should explain what he found.</w:t>
            </w:r>
          </w:p>
          <w:p w:rsidR="00E4184A" w:rsidRPr="00E4184A" w:rsidRDefault="00B725AA" w:rsidP="00847228">
            <w:pPr>
              <w:pStyle w:val="Quotation"/>
              <w:spacing w:after="100"/>
              <w:ind w:left="0"/>
              <w:rPr>
                <w:sz w:val="20"/>
              </w:rPr>
            </w:pPr>
            <w:r w:rsidRPr="00B725AA">
              <w:rPr>
                <w:sz w:val="20"/>
              </w:rPr>
              <w:t>It was cold on the bus.</w:t>
            </w:r>
          </w:p>
        </w:tc>
        <w:tc>
          <w:tcPr>
            <w:tcW w:w="2646" w:type="dxa"/>
            <w:tcMar>
              <w:right w:w="57" w:type="dxa"/>
            </w:tcMar>
          </w:tcPr>
          <w:p w:rsidR="00B725AA" w:rsidRPr="00B725AA" w:rsidRDefault="00B725AA" w:rsidP="00847228">
            <w:pPr>
              <w:pStyle w:val="Quotation"/>
              <w:spacing w:after="100"/>
              <w:ind w:left="0"/>
              <w:rPr>
                <w:sz w:val="20"/>
              </w:rPr>
            </w:pPr>
            <w:r w:rsidRPr="00B725AA">
              <w:rPr>
                <w:sz w:val="20"/>
              </w:rPr>
              <w:t>They could provide supplies – like dressings and a sling.</w:t>
            </w:r>
          </w:p>
          <w:p w:rsidR="00B725AA" w:rsidRPr="00B725AA" w:rsidRDefault="00B725AA" w:rsidP="00847228">
            <w:pPr>
              <w:pStyle w:val="Quotation"/>
              <w:spacing w:after="100"/>
              <w:ind w:left="0"/>
              <w:rPr>
                <w:sz w:val="20"/>
              </w:rPr>
            </w:pPr>
            <w:r w:rsidRPr="00B725AA">
              <w:rPr>
                <w:sz w:val="20"/>
              </w:rPr>
              <w:t>The form said to report to reception but there was no sign and it was difficult to find.  Better signage would be good.</w:t>
            </w:r>
          </w:p>
          <w:p w:rsidR="00B725AA" w:rsidRPr="00B725AA" w:rsidRDefault="00B725AA" w:rsidP="00847228">
            <w:pPr>
              <w:pStyle w:val="Quotation"/>
              <w:spacing w:after="100"/>
              <w:ind w:left="0"/>
              <w:rPr>
                <w:sz w:val="20"/>
              </w:rPr>
            </w:pPr>
            <w:r w:rsidRPr="00B725AA">
              <w:rPr>
                <w:sz w:val="20"/>
              </w:rPr>
              <w:t>It would be nice to have little polar fleece blankets for the children.</w:t>
            </w:r>
          </w:p>
          <w:p w:rsidR="00E4184A" w:rsidRDefault="00B725AA" w:rsidP="00847228">
            <w:pPr>
              <w:pStyle w:val="Quotation"/>
              <w:spacing w:after="100"/>
              <w:ind w:left="0" w:right="-108"/>
              <w:rPr>
                <w:sz w:val="20"/>
              </w:rPr>
            </w:pPr>
            <w:r w:rsidRPr="00B725AA">
              <w:rPr>
                <w:sz w:val="20"/>
              </w:rPr>
              <w:t>Parents need more information on what to expect.</w:t>
            </w:r>
          </w:p>
          <w:p w:rsidR="00847228" w:rsidRPr="00E4184A" w:rsidRDefault="00847228" w:rsidP="00847228">
            <w:pPr>
              <w:pStyle w:val="Quotation"/>
              <w:spacing w:after="100"/>
              <w:ind w:left="0" w:right="-108"/>
              <w:rPr>
                <w:sz w:val="20"/>
              </w:rPr>
            </w:pPr>
            <w:r>
              <w:t>The nurses need a pay rise.</w:t>
            </w:r>
          </w:p>
        </w:tc>
      </w:tr>
    </w:tbl>
    <w:p w:rsidR="00E4184A" w:rsidRDefault="00E4184A" w:rsidP="004169F9">
      <w:pPr>
        <w:pStyle w:val="Sourceinformation"/>
        <w:spacing w:before="80" w:after="100" w:afterAutospacing="1"/>
        <w:rPr>
          <w:sz w:val="20"/>
        </w:rPr>
      </w:pPr>
      <w:r w:rsidRPr="00E4184A">
        <w:rPr>
          <w:b/>
          <w:sz w:val="20"/>
        </w:rPr>
        <w:t>Source:</w:t>
      </w:r>
      <w:r w:rsidRPr="00E4184A">
        <w:rPr>
          <w:sz w:val="20"/>
        </w:rPr>
        <w:t xml:space="preserve"> </w:t>
      </w:r>
      <w:r w:rsidRPr="00850D3E">
        <w:rPr>
          <w:sz w:val="20"/>
        </w:rPr>
        <w:t>M</w:t>
      </w:r>
      <w:r>
        <w:rPr>
          <w:sz w:val="20"/>
        </w:rPr>
        <w:t xml:space="preserve">obile Surgical Solutions Ltd; </w:t>
      </w:r>
      <w:proofErr w:type="spellStart"/>
      <w:r>
        <w:rPr>
          <w:sz w:val="20"/>
        </w:rPr>
        <w:t>Sapere</w:t>
      </w:r>
      <w:proofErr w:type="spellEnd"/>
      <w:r>
        <w:rPr>
          <w:sz w:val="20"/>
        </w:rPr>
        <w:t xml:space="preserve"> analysis</w:t>
      </w:r>
    </w:p>
    <w:p w:rsidR="00B45C09" w:rsidRDefault="00B45C09" w:rsidP="00B45C09">
      <w:pPr>
        <w:pStyle w:val="UnnumtextBodytext"/>
      </w:pPr>
      <w:r>
        <w:lastRenderedPageBreak/>
        <w:t>A registered nurse from MSS calls patients at 30 days post-surgery to ascertain how things are going for them. If there are any issues, for example, around wound management or infection, advice is provided she provides advice what to do, links them in to a clinic with the surgeon or suggests they go and see their GP. As part of this process people often give feedback of their experience with the bus, even though that is not the purpose of the call.</w:t>
      </w:r>
    </w:p>
    <w:p w:rsidR="00B45C09" w:rsidRDefault="00B45C09" w:rsidP="00B45C09">
      <w:pPr>
        <w:pStyle w:val="UnnumtextBodytext"/>
      </w:pPr>
      <w:r>
        <w:t xml:space="preserve">The key things people feedback about are overwhelmingly positive, There are mostly positive comments, and are typically about the convenience of being able to have the surgery locally.  This is especially important for parents of children and elderly people, who appreciate the reduction in travel time home following the administration of general </w:t>
      </w:r>
      <w:proofErr w:type="spellStart"/>
      <w:r>
        <w:t>anaesthesia</w:t>
      </w:r>
      <w:proofErr w:type="spellEnd"/>
      <w:r>
        <w:t xml:space="preserve">. </w:t>
      </w:r>
    </w:p>
    <w:p w:rsidR="00B45C09" w:rsidRDefault="00B45C09" w:rsidP="00792CFB">
      <w:pPr>
        <w:pStyle w:val="UnnumtextBodytext"/>
      </w:pPr>
      <w:r>
        <w:t>Although n</w:t>
      </w:r>
      <w:r w:rsidRPr="00CE5EDC">
        <w:t>egative</w:t>
      </w:r>
      <w:r w:rsidRPr="00550C47">
        <w:t xml:space="preserve"> </w:t>
      </w:r>
      <w:r>
        <w:t>comments tend to be few in number, they typically fall into two themes.</w:t>
      </w:r>
    </w:p>
    <w:p w:rsidR="00B45C09" w:rsidRDefault="00B45C09" w:rsidP="00792CFB">
      <w:pPr>
        <w:pStyle w:val="UnnumtextBullet1"/>
        <w:spacing w:after="170"/>
      </w:pPr>
      <w:r>
        <w:t>Parents wanting faster access to their children post-surgery.  That is, being able to be with them when they wake up.</w:t>
      </w:r>
    </w:p>
    <w:p w:rsidR="00B45C09" w:rsidRDefault="00B45C09" w:rsidP="00792CFB">
      <w:pPr>
        <w:pStyle w:val="UnnumtextBullet1"/>
        <w:spacing w:after="170"/>
      </w:pPr>
      <w:r>
        <w:t>Waiting times on the day. Some people, due to other surgery taking longer than expected, have to wait longer than they perceive to be fair.</w:t>
      </w:r>
    </w:p>
    <w:p w:rsidR="00B45C09" w:rsidRPr="00E4184A" w:rsidRDefault="00B45C09" w:rsidP="00B45C09">
      <w:pPr>
        <w:pStyle w:val="Sourceinformation"/>
        <w:spacing w:before="120" w:after="100" w:afterAutospacing="1"/>
        <w:rPr>
          <w:sz w:val="20"/>
        </w:rPr>
      </w:pPr>
      <w:r>
        <w:t>Regarding faster access to children, it should be noted, in fairness, that good</w:t>
      </w:r>
      <w:r w:rsidRPr="00BF4947">
        <w:t xml:space="preserve"> practice for post-</w:t>
      </w:r>
      <w:proofErr w:type="spellStart"/>
      <w:r w:rsidRPr="00BF4947">
        <w:t>anaesthetic</w:t>
      </w:r>
      <w:proofErr w:type="spellEnd"/>
      <w:r w:rsidRPr="00BF4947">
        <w:t xml:space="preserve"> nursing care </w:t>
      </w:r>
      <w:proofErr w:type="spellStart"/>
      <w:r>
        <w:t>recognises</w:t>
      </w:r>
      <w:proofErr w:type="spellEnd"/>
      <w:r>
        <w:t xml:space="preserve"> there is l</w:t>
      </w:r>
      <w:r w:rsidRPr="00BF4947">
        <w:t>evel of risk</w:t>
      </w:r>
      <w:r>
        <w:t xml:space="preserve"> involved</w:t>
      </w:r>
      <w:r w:rsidRPr="00BF4947">
        <w:t xml:space="preserve"> and that </w:t>
      </w:r>
      <w:r>
        <w:t>care</w:t>
      </w:r>
      <w:r w:rsidRPr="00BF4947">
        <w:t xml:space="preserve"> should </w:t>
      </w:r>
      <w:r>
        <w:t xml:space="preserve">ideally </w:t>
      </w:r>
      <w:r w:rsidRPr="00BF4947">
        <w:t>be one</w:t>
      </w:r>
      <w:r>
        <w:t>-</w:t>
      </w:r>
      <w:r w:rsidRPr="00BF4947">
        <w:t>on</w:t>
      </w:r>
      <w:r>
        <w:t>-</w:t>
      </w:r>
      <w:r w:rsidRPr="00BF4947">
        <w:t>one nursing.</w:t>
      </w:r>
      <w:r w:rsidRPr="00BF4947">
        <w:rPr>
          <w:rStyle w:val="FootnoteReference"/>
        </w:rPr>
        <w:footnoteReference w:id="7"/>
      </w:r>
      <w:r w:rsidRPr="00BF4947">
        <w:t xml:space="preserve">  </w:t>
      </w:r>
      <w:r>
        <w:t>Furthermore, t</w:t>
      </w:r>
      <w:r w:rsidRPr="00BF4947">
        <w:t>here are also standards that govern post</w:t>
      </w:r>
      <w:r>
        <w:t>-</w:t>
      </w:r>
      <w:proofErr w:type="spellStart"/>
      <w:r w:rsidRPr="00BF4947">
        <w:t>anaesthetic</w:t>
      </w:r>
      <w:proofErr w:type="spellEnd"/>
      <w:r w:rsidRPr="00BF4947">
        <w:t xml:space="preserve"> care</w:t>
      </w:r>
      <w:r>
        <w:t>, and i</w:t>
      </w:r>
      <w:r w:rsidRPr="00BF4947">
        <w:t>n a hospital setting</w:t>
      </w:r>
      <w:r>
        <w:t>,</w:t>
      </w:r>
      <w:r w:rsidRPr="00BF4947">
        <w:t xml:space="preserve"> </w:t>
      </w:r>
      <w:r>
        <w:t xml:space="preserve">a </w:t>
      </w:r>
      <w:r w:rsidRPr="00BF4947">
        <w:t>child would usually wake up without the parent.</w:t>
      </w:r>
      <w:r w:rsidRPr="00BF4947">
        <w:rPr>
          <w:rStyle w:val="FootnoteReference"/>
        </w:rPr>
        <w:footnoteReference w:id="8"/>
      </w:r>
    </w:p>
    <w:p w:rsidR="003E332F" w:rsidRPr="003E332F" w:rsidRDefault="003E332F" w:rsidP="0080665E">
      <w:pPr>
        <w:pStyle w:val="Heading3"/>
      </w:pPr>
      <w:bookmarkStart w:id="92" w:name="_Toc423945932"/>
      <w:r w:rsidRPr="003E332F">
        <w:t>What people like</w:t>
      </w:r>
      <w:r w:rsidR="00392C80">
        <w:t>d</w:t>
      </w:r>
      <w:r w:rsidRPr="003E332F">
        <w:t xml:space="preserve"> the least</w:t>
      </w:r>
      <w:r w:rsidR="00392C80">
        <w:t xml:space="preserve"> about the service</w:t>
      </w:r>
      <w:bookmarkEnd w:id="92"/>
      <w:r w:rsidR="00392C80">
        <w:t xml:space="preserve"> </w:t>
      </w:r>
    </w:p>
    <w:p w:rsidR="00E80821" w:rsidRDefault="00AA1856" w:rsidP="00E80821">
      <w:pPr>
        <w:pStyle w:val="UnnumtextBodytext"/>
      </w:pPr>
      <w:r>
        <w:t xml:space="preserve">Patients and caregivers who completed the telephone interviews or postal survey were also invited to state what they liked least about the </w:t>
      </w:r>
      <w:r w:rsidR="00932C73">
        <w:t xml:space="preserve">mobile surgical </w:t>
      </w:r>
      <w:r>
        <w:t>service.</w:t>
      </w:r>
      <w:r w:rsidR="00932C73">
        <w:t xml:space="preserve"> </w:t>
      </w:r>
      <w:r w:rsidR="00E80821">
        <w:t xml:space="preserve">Among those who responded to the postal survey, 67% or 28/42 answered that there was nothing that they liked least about the service, or that they could not think of anything. There were no other common answers, other than three comments about physical access to the bus: </w:t>
      </w:r>
      <w:r w:rsidR="00E80821" w:rsidRPr="00AC387A">
        <w:rPr>
          <w:i/>
        </w:rPr>
        <w:t>“a blustery and rainy day so a covered entrance to the bus would be an improvement”; “the bus was parked in the car park, so no car parks”;</w:t>
      </w:r>
      <w:r w:rsidR="00E80821">
        <w:t xml:space="preserve"> and </w:t>
      </w:r>
      <w:r w:rsidR="00E80821" w:rsidRPr="00AC387A">
        <w:rPr>
          <w:i/>
        </w:rPr>
        <w:t xml:space="preserve">“the walk from the medical </w:t>
      </w:r>
      <w:proofErr w:type="spellStart"/>
      <w:r w:rsidR="00E80821" w:rsidRPr="00AC387A">
        <w:rPr>
          <w:i/>
        </w:rPr>
        <w:t>centre</w:t>
      </w:r>
      <w:proofErr w:type="spellEnd"/>
      <w:r w:rsidR="00E80821" w:rsidRPr="00AC387A">
        <w:rPr>
          <w:i/>
        </w:rPr>
        <w:t xml:space="preserve"> to the bus”</w:t>
      </w:r>
      <w:r w:rsidR="00E80821">
        <w:t>.</w:t>
      </w:r>
    </w:p>
    <w:p w:rsidR="003E332F" w:rsidRDefault="00AA1856" w:rsidP="00932C73">
      <w:pPr>
        <w:pStyle w:val="UnnumtextBodytext"/>
      </w:pPr>
      <w:r>
        <w:t xml:space="preserve">Among the interviewees, 42%, or </w:t>
      </w:r>
      <w:r w:rsidR="003E332F">
        <w:t>12</w:t>
      </w:r>
      <w:r>
        <w:t>/28,</w:t>
      </w:r>
      <w:r w:rsidR="003E332F">
        <w:t xml:space="preserve"> had </w:t>
      </w:r>
      <w:r>
        <w:t>“</w:t>
      </w:r>
      <w:r w:rsidR="003E332F">
        <w:t>nothing to say</w:t>
      </w:r>
      <w:r>
        <w:t>”</w:t>
      </w:r>
      <w:r w:rsidR="003E332F">
        <w:t xml:space="preserve"> </w:t>
      </w:r>
      <w:r>
        <w:t xml:space="preserve">or </w:t>
      </w:r>
      <w:r w:rsidR="003E332F">
        <w:t>could</w:t>
      </w:r>
      <w:r>
        <w:t xml:space="preserve"> not </w:t>
      </w:r>
      <w:r w:rsidR="003E332F">
        <w:t>think of anything they like</w:t>
      </w:r>
      <w:r>
        <w:t>d</w:t>
      </w:r>
      <w:r w:rsidR="003E332F">
        <w:t xml:space="preserve"> the least. The </w:t>
      </w:r>
      <w:r w:rsidR="00932C73">
        <w:t xml:space="preserve">most common issue </w:t>
      </w:r>
      <w:r w:rsidR="003E332F">
        <w:t xml:space="preserve">was from seven </w:t>
      </w:r>
      <w:r w:rsidR="00932C73">
        <w:t xml:space="preserve">caregivers, or 25% of the sample, </w:t>
      </w:r>
      <w:r w:rsidR="003E332F">
        <w:t xml:space="preserve">who were concerned that their child woke from the </w:t>
      </w:r>
      <w:proofErr w:type="spellStart"/>
      <w:r w:rsidR="003E332F">
        <w:t>anaesthetic</w:t>
      </w:r>
      <w:proofErr w:type="spellEnd"/>
      <w:r w:rsidR="003E332F">
        <w:t xml:space="preserve"> on the bus without them there and </w:t>
      </w:r>
      <w:r w:rsidR="00932C73">
        <w:t xml:space="preserve">became </w:t>
      </w:r>
      <w:r w:rsidR="003E332F">
        <w:t xml:space="preserve">distressed. </w:t>
      </w:r>
    </w:p>
    <w:p w:rsidR="003E332F" w:rsidRDefault="003E332F" w:rsidP="00AA1856">
      <w:pPr>
        <w:pStyle w:val="Quotation"/>
        <w:ind w:left="652"/>
      </w:pPr>
      <w:r>
        <w:t>If children wake up and don’t know where they are, and can’t see anyone they know, of course they</w:t>
      </w:r>
      <w:r w:rsidR="00AA1856">
        <w:t>’</w:t>
      </w:r>
      <w:r>
        <w:t>re going to be scared.</w:t>
      </w:r>
    </w:p>
    <w:p w:rsidR="005C1AE8" w:rsidRDefault="00AA1856" w:rsidP="00B725AA">
      <w:pPr>
        <w:pStyle w:val="UnnumtextBodytext"/>
      </w:pPr>
      <w:r>
        <w:t>As noted above, this concern about access to children post-</w:t>
      </w:r>
      <w:proofErr w:type="spellStart"/>
      <w:r>
        <w:t>anaesthesia</w:t>
      </w:r>
      <w:proofErr w:type="spellEnd"/>
      <w:r>
        <w:t xml:space="preserve"> is also a concern </w:t>
      </w:r>
      <w:r w:rsidR="003E332F">
        <w:t xml:space="preserve">that the </w:t>
      </w:r>
      <w:r>
        <w:t>provider’s</w:t>
      </w:r>
      <w:r w:rsidR="003E332F">
        <w:t xml:space="preserve"> nurse hears in some of her 30</w:t>
      </w:r>
      <w:r>
        <w:t>-</w:t>
      </w:r>
      <w:r w:rsidR="003E332F">
        <w:t>day follow</w:t>
      </w:r>
      <w:r>
        <w:t>-</w:t>
      </w:r>
      <w:r w:rsidR="003E332F">
        <w:t xml:space="preserve">up </w:t>
      </w:r>
      <w:r>
        <w:t xml:space="preserve">telephone </w:t>
      </w:r>
      <w:r w:rsidR="003E332F">
        <w:t>conversations</w:t>
      </w:r>
      <w:r>
        <w:t xml:space="preserve">. It was </w:t>
      </w:r>
      <w:r w:rsidR="003E332F">
        <w:t xml:space="preserve">also evident in some of the patient feedback forms. </w:t>
      </w:r>
      <w:r w:rsidR="001F71B6" w:rsidRPr="001F71B6">
        <w:t>However</w:t>
      </w:r>
      <w:r w:rsidR="001F71B6">
        <w:t>,</w:t>
      </w:r>
      <w:r w:rsidR="001F71B6" w:rsidRPr="001F71B6">
        <w:t xml:space="preserve"> good practice in hospital settings means that the parent would not</w:t>
      </w:r>
      <w:r w:rsidR="004910DB">
        <w:t xml:space="preserve"> initially</w:t>
      </w:r>
      <w:r w:rsidR="001F71B6" w:rsidRPr="001F71B6">
        <w:t xml:space="preserve"> be </w:t>
      </w:r>
      <w:r w:rsidR="004910DB">
        <w:t xml:space="preserve">present </w:t>
      </w:r>
      <w:r w:rsidR="001F71B6" w:rsidRPr="001F71B6">
        <w:t>when the</w:t>
      </w:r>
      <w:r w:rsidR="001F71B6">
        <w:t>ir</w:t>
      </w:r>
      <w:r w:rsidR="001F71B6" w:rsidRPr="001F71B6">
        <w:t xml:space="preserve"> child woke up</w:t>
      </w:r>
      <w:r w:rsidR="001F71B6">
        <w:t>.</w:t>
      </w:r>
    </w:p>
    <w:p w:rsidR="004B4973" w:rsidRDefault="004B4973" w:rsidP="004B4973">
      <w:pPr>
        <w:pStyle w:val="Heading3"/>
      </w:pPr>
      <w:bookmarkStart w:id="93" w:name="_Toc423945933"/>
      <w:r>
        <w:lastRenderedPageBreak/>
        <w:t>Cultural needs – no issues were raised</w:t>
      </w:r>
      <w:bookmarkEnd w:id="93"/>
      <w:r>
        <w:t xml:space="preserve"> </w:t>
      </w:r>
    </w:p>
    <w:p w:rsidR="004B4973" w:rsidRDefault="004B4973" w:rsidP="004B4973">
      <w:pPr>
        <w:pStyle w:val="UnnumtextBodytext"/>
      </w:pPr>
      <w:r>
        <w:t>Looking across the three sources of patient views, we found no suggestion that the mobile surgical service was not sufficiently addressing the cultural needs of patients.</w:t>
      </w:r>
    </w:p>
    <w:p w:rsidR="004B4973" w:rsidRDefault="004B4973" w:rsidP="004B4973">
      <w:pPr>
        <w:pStyle w:val="UnnumtextBullet1"/>
        <w:spacing w:after="170"/>
      </w:pPr>
      <w:r>
        <w:rPr>
          <w:b/>
        </w:rPr>
        <w:t>Patient t</w:t>
      </w:r>
      <w:r w:rsidRPr="00A6528A">
        <w:rPr>
          <w:b/>
        </w:rPr>
        <w:t>elephone interviews</w:t>
      </w:r>
      <w:r>
        <w:t xml:space="preserve"> – 79%, or </w:t>
      </w:r>
      <w:r w:rsidRPr="00860522">
        <w:t>22</w:t>
      </w:r>
      <w:r>
        <w:t xml:space="preserve">/28 interviewees, stated that </w:t>
      </w:r>
      <w:r w:rsidRPr="00860522">
        <w:t xml:space="preserve">their cultural needs </w:t>
      </w:r>
      <w:r>
        <w:t>were</w:t>
      </w:r>
      <w:r w:rsidRPr="00860522">
        <w:t xml:space="preserve"> met</w:t>
      </w:r>
      <w:r>
        <w:t xml:space="preserve">, </w:t>
      </w:r>
      <w:r w:rsidRPr="00860522">
        <w:t xml:space="preserve">including all </w:t>
      </w:r>
      <w:r>
        <w:t xml:space="preserve">who identified as </w:t>
      </w:r>
      <w:r w:rsidRPr="00860522">
        <w:t>M</w:t>
      </w:r>
      <w:r w:rsidRPr="00320454">
        <w:t>ā</w:t>
      </w:r>
      <w:r w:rsidRPr="00860522">
        <w:t>ori</w:t>
      </w:r>
      <w:r>
        <w:t xml:space="preserve">. </w:t>
      </w:r>
      <w:r w:rsidRPr="00860522">
        <w:t>No</w:t>
      </w:r>
      <w:r>
        <w:t xml:space="preserve"> interviewees answered that their cultural needs were not met, while the </w:t>
      </w:r>
      <w:r w:rsidRPr="00860522">
        <w:t>remain</w:t>
      </w:r>
      <w:r>
        <w:t>der saw this issue as non-</w:t>
      </w:r>
      <w:r w:rsidRPr="00860522">
        <w:t>applicable</w:t>
      </w:r>
      <w:r>
        <w:t>.</w:t>
      </w:r>
    </w:p>
    <w:p w:rsidR="004B4973" w:rsidRDefault="004B4973" w:rsidP="004B4973">
      <w:pPr>
        <w:pStyle w:val="UnnumtextBullet1"/>
        <w:spacing w:after="170"/>
      </w:pPr>
      <w:r>
        <w:rPr>
          <w:b/>
        </w:rPr>
        <w:t>Patient postal survey</w:t>
      </w:r>
      <w:r>
        <w:t xml:space="preserve"> – 62%, 24/39 respondents, </w:t>
      </w:r>
      <w:r w:rsidRPr="00860522">
        <w:t xml:space="preserve">said </w:t>
      </w:r>
      <w:r>
        <w:t>“</w:t>
      </w:r>
      <w:r w:rsidRPr="00860522">
        <w:t>yes</w:t>
      </w:r>
      <w:r>
        <w:t>”</w:t>
      </w:r>
      <w:r w:rsidRPr="00860522">
        <w:t xml:space="preserve"> to </w:t>
      </w:r>
      <w:r>
        <w:t xml:space="preserve">the question about whether their </w:t>
      </w:r>
      <w:r w:rsidRPr="00860522">
        <w:t xml:space="preserve">cultural needs </w:t>
      </w:r>
      <w:r>
        <w:t xml:space="preserve">were </w:t>
      </w:r>
      <w:r w:rsidRPr="00860522">
        <w:t>met. No</w:t>
      </w:r>
      <w:r>
        <w:t xml:space="preserve"> respondents answered “</w:t>
      </w:r>
      <w:r w:rsidRPr="00860522">
        <w:t>no</w:t>
      </w:r>
      <w:r>
        <w:t>”</w:t>
      </w:r>
      <w:r w:rsidRPr="00860522">
        <w:t>,</w:t>
      </w:r>
      <w:r>
        <w:t xml:space="preserve"> while the remaining respondents answered that this question was “</w:t>
      </w:r>
      <w:r w:rsidRPr="00860522">
        <w:t>not applicable</w:t>
      </w:r>
      <w:r>
        <w:t>”</w:t>
      </w:r>
      <w:r w:rsidRPr="00860522">
        <w:t>.</w:t>
      </w:r>
    </w:p>
    <w:p w:rsidR="004B4973" w:rsidRDefault="004B4973" w:rsidP="004B4973">
      <w:pPr>
        <w:pStyle w:val="UnnumtextBullet1"/>
        <w:spacing w:after="170"/>
      </w:pPr>
      <w:r w:rsidRPr="00A6528A">
        <w:rPr>
          <w:b/>
        </w:rPr>
        <w:t xml:space="preserve">Sample of </w:t>
      </w:r>
      <w:r>
        <w:rPr>
          <w:b/>
        </w:rPr>
        <w:t xml:space="preserve">patient </w:t>
      </w:r>
      <w:r w:rsidRPr="00A6528A">
        <w:rPr>
          <w:b/>
        </w:rPr>
        <w:t>feedback forms</w:t>
      </w:r>
      <w:r>
        <w:t xml:space="preserve"> – 98%, or 147/150 feedback forms sampled included ratings that were “good” or “excellent” to the question “</w:t>
      </w:r>
      <w:r w:rsidRPr="00860522">
        <w:t>How well do you feel that your individual needs were met</w:t>
      </w:r>
      <w:r>
        <w:t>?” This question not only covered c</w:t>
      </w:r>
      <w:r w:rsidRPr="00860522">
        <w:t xml:space="preserve">ultural needs, </w:t>
      </w:r>
      <w:r>
        <w:t xml:space="preserve">but also </w:t>
      </w:r>
      <w:r w:rsidRPr="00860522">
        <w:t>needs related to a disability or other special needs</w:t>
      </w:r>
      <w:r>
        <w:t>.</w:t>
      </w:r>
    </w:p>
    <w:p w:rsidR="004B4973" w:rsidRDefault="004B4973" w:rsidP="004B4973">
      <w:pPr>
        <w:pStyle w:val="UnnumtextBullet1"/>
        <w:numPr>
          <w:ilvl w:val="0"/>
          <w:numId w:val="0"/>
        </w:numPr>
        <w:spacing w:after="170"/>
      </w:pPr>
      <w:r>
        <w:t xml:space="preserve">These findings are consistent with the interview comments from the clinical manager of a </w:t>
      </w:r>
      <w:proofErr w:type="spellStart"/>
      <w:r>
        <w:t>hauroa</w:t>
      </w:r>
      <w:proofErr w:type="spellEnd"/>
      <w:r>
        <w:t xml:space="preserve"> provider, whose </w:t>
      </w:r>
      <w:proofErr w:type="spellStart"/>
      <w:r w:rsidRPr="00860522">
        <w:t>Tamariki</w:t>
      </w:r>
      <w:proofErr w:type="spellEnd"/>
      <w:r w:rsidRPr="00860522">
        <w:t xml:space="preserve"> </w:t>
      </w:r>
      <w:proofErr w:type="spellStart"/>
      <w:r>
        <w:t>O</w:t>
      </w:r>
      <w:r w:rsidRPr="00860522">
        <w:t>ra</w:t>
      </w:r>
      <w:proofErr w:type="spellEnd"/>
      <w:r w:rsidRPr="00860522">
        <w:t xml:space="preserve"> clients </w:t>
      </w:r>
      <w:r>
        <w:t xml:space="preserve">use the mobile surgical unit </w:t>
      </w:r>
      <w:r w:rsidRPr="00860522">
        <w:t xml:space="preserve">for dental </w:t>
      </w:r>
      <w:r>
        <w:t>as well as ear, nose and throat surgery.</w:t>
      </w:r>
    </w:p>
    <w:p w:rsidR="004B4973" w:rsidRDefault="004B4973" w:rsidP="004B4973">
      <w:pPr>
        <w:pStyle w:val="Quotation"/>
      </w:pPr>
      <w:r>
        <w:t>There’s nothing more (or less) culturally attractive about the bus that I know of. It’s more about ease of access</w:t>
      </w:r>
      <w:r w:rsidR="00AC387A">
        <w:t>.</w:t>
      </w:r>
      <w:r>
        <w:t xml:space="preserve"> </w:t>
      </w:r>
      <w:r w:rsidR="000F1228">
        <w:t>I haven’t seen any app</w:t>
      </w:r>
      <w:r w:rsidR="00AC387A">
        <w:t>rehension or cultural negativity…</w:t>
      </w:r>
      <w:r w:rsidR="000F1228">
        <w:t xml:space="preserve"> </w:t>
      </w:r>
      <w:r>
        <w:t xml:space="preserve">What I like is that it provides us with an alternative to </w:t>
      </w:r>
      <w:r w:rsidR="00AC387A">
        <w:t>[</w:t>
      </w:r>
      <w:r>
        <w:t xml:space="preserve">base hospital] and this reduces </w:t>
      </w:r>
      <w:proofErr w:type="spellStart"/>
      <w:r>
        <w:t>wh</w:t>
      </w:r>
      <w:r w:rsidR="008075D3" w:rsidRPr="008075D3">
        <w:t>ā</w:t>
      </w:r>
      <w:r>
        <w:t>nau</w:t>
      </w:r>
      <w:proofErr w:type="spellEnd"/>
      <w:r>
        <w:t xml:space="preserve"> stress.</w:t>
      </w:r>
    </w:p>
    <w:p w:rsidR="00386E13" w:rsidRDefault="00386E13" w:rsidP="00386E13">
      <w:pPr>
        <w:pStyle w:val="Heading3"/>
      </w:pPr>
      <w:bookmarkStart w:id="94" w:name="_Toc423945934"/>
      <w:r>
        <w:t>Travel time</w:t>
      </w:r>
      <w:r w:rsidR="00A2061A">
        <w:t>s</w:t>
      </w:r>
      <w:r>
        <w:t xml:space="preserve"> to </w:t>
      </w:r>
      <w:r w:rsidR="00A2061A">
        <w:t>reach</w:t>
      </w:r>
      <w:r>
        <w:t xml:space="preserve"> the bus </w:t>
      </w:r>
      <w:r w:rsidR="00A2061A">
        <w:t>tend to be short</w:t>
      </w:r>
      <w:bookmarkEnd w:id="94"/>
    </w:p>
    <w:p w:rsidR="00A2061A" w:rsidRDefault="00386E13" w:rsidP="00386E13">
      <w:pPr>
        <w:pStyle w:val="UnnumtextBodytext"/>
      </w:pPr>
      <w:r>
        <w:t xml:space="preserve">The majority </w:t>
      </w:r>
      <w:r w:rsidR="00E77E97">
        <w:t xml:space="preserve">of patients sampled for this review travelled less than 20 </w:t>
      </w:r>
      <w:r w:rsidR="00C158BA">
        <w:t xml:space="preserve">minutes </w:t>
      </w:r>
      <w:r w:rsidR="00DB04EF">
        <w:t xml:space="preserve">each way </w:t>
      </w:r>
      <w:r w:rsidR="00E77E97">
        <w:t>to have their surgery on the mobile surgical bus. Among those interviewed by telep</w:t>
      </w:r>
      <w:r w:rsidR="00C158BA">
        <w:t>ho</w:t>
      </w:r>
      <w:r w:rsidR="00E77E97">
        <w:t xml:space="preserve">ne, </w:t>
      </w:r>
      <w:r w:rsidR="00C158BA">
        <w:t>79</w:t>
      </w:r>
      <w:r w:rsidR="00E77E97">
        <w:t xml:space="preserve">% or </w:t>
      </w:r>
      <w:r w:rsidR="00C158BA">
        <w:t>22</w:t>
      </w:r>
      <w:r w:rsidR="00E77E97">
        <w:t>/2</w:t>
      </w:r>
      <w:r w:rsidR="00C158BA">
        <w:t>8</w:t>
      </w:r>
      <w:r w:rsidR="00E77E97">
        <w:t xml:space="preserve"> reported </w:t>
      </w:r>
      <w:r w:rsidR="00C158BA">
        <w:t>travel time of less than 20 minutes</w:t>
      </w:r>
      <w:r w:rsidR="00DB04EF">
        <w:t xml:space="preserve"> </w:t>
      </w:r>
      <w:r w:rsidR="00E56F0B">
        <w:t>each way</w:t>
      </w:r>
      <w:r w:rsidR="00C158BA">
        <w:t xml:space="preserve">. The comparable figure for the patient postal survey was </w:t>
      </w:r>
      <w:r w:rsidR="00854F50">
        <w:t>65%.</w:t>
      </w:r>
      <w:r w:rsidR="00A2061A">
        <w:t xml:space="preserve"> These findings are consistent with the comments made by patients and caregivers about the convenience of the service, and specifically, not having to drive further to a base hospital. </w:t>
      </w:r>
    </w:p>
    <w:p w:rsidR="00AC387A" w:rsidRDefault="00DB04EF" w:rsidP="00386E13">
      <w:pPr>
        <w:pStyle w:val="UnnumtextBodytext"/>
      </w:pPr>
      <w:r>
        <w:t xml:space="preserve">Some patients experienced a longer travel time to meet the bus. </w:t>
      </w:r>
      <w:r w:rsidR="00854F50" w:rsidRPr="00854F50">
        <w:t xml:space="preserve">The longest driving time </w:t>
      </w:r>
      <w:r w:rsidR="000A0FA0">
        <w:t xml:space="preserve">among those interviewed </w:t>
      </w:r>
      <w:r w:rsidR="00854F50" w:rsidRPr="00854F50">
        <w:t>was reported as being 40 minutes</w:t>
      </w:r>
      <w:r w:rsidR="00E56F0B">
        <w:t xml:space="preserve"> each way</w:t>
      </w:r>
      <w:r w:rsidR="00A2061A">
        <w:t>. Respondents in the postal survey reported some longer travel times, with 9%, or 4/43, reporting travel times of more than 60 minutes</w:t>
      </w:r>
      <w:r>
        <w:t>, with two respondents reporting two hours or more to reach the bus</w:t>
      </w:r>
      <w:r w:rsidR="00A2061A">
        <w:t>.</w:t>
      </w:r>
      <w:r w:rsidR="00E56F0B">
        <w:t xml:space="preserve"> </w:t>
      </w:r>
    </w:p>
    <w:p w:rsidR="00386E13" w:rsidRDefault="00B725AA" w:rsidP="00386E13">
      <w:pPr>
        <w:pStyle w:val="UnnumtextBodytext"/>
      </w:pPr>
      <w:r>
        <w:t>Consistent with th</w:t>
      </w:r>
      <w:r w:rsidR="00AC387A">
        <w:t xml:space="preserve">e above </w:t>
      </w:r>
      <w:r>
        <w:t>finding, s</w:t>
      </w:r>
      <w:r w:rsidR="00E56F0B">
        <w:t xml:space="preserve">ome of the </w:t>
      </w:r>
      <w:r w:rsidR="004B4973">
        <w:t xml:space="preserve">stakeholders </w:t>
      </w:r>
      <w:r w:rsidR="00027700">
        <w:t xml:space="preserve">interviewed also </w:t>
      </w:r>
      <w:r w:rsidR="00E56F0B">
        <w:t>noted that</w:t>
      </w:r>
      <w:r w:rsidR="00027700">
        <w:t>,</w:t>
      </w:r>
      <w:r w:rsidR="00E56F0B">
        <w:t xml:space="preserve"> in some cases</w:t>
      </w:r>
      <w:r w:rsidR="00027700">
        <w:t>,</w:t>
      </w:r>
      <w:r w:rsidR="00E56F0B">
        <w:t xml:space="preserve"> pat</w:t>
      </w:r>
      <w:r w:rsidR="00027700">
        <w:t>i</w:t>
      </w:r>
      <w:r w:rsidR="00E56F0B">
        <w:t>ent</w:t>
      </w:r>
      <w:r>
        <w:t>s</w:t>
      </w:r>
      <w:r w:rsidR="00E56F0B">
        <w:t xml:space="preserve"> h</w:t>
      </w:r>
      <w:r w:rsidR="00027700">
        <w:t>a</w:t>
      </w:r>
      <w:r w:rsidR="00E56F0B">
        <w:t>v</w:t>
      </w:r>
      <w:r w:rsidR="00027700">
        <w:t>e</w:t>
      </w:r>
      <w:r w:rsidR="00E56F0B">
        <w:t xml:space="preserve"> to travel some distance just to reach the rural </w:t>
      </w:r>
      <w:r w:rsidR="00AC387A">
        <w:t xml:space="preserve">site </w:t>
      </w:r>
      <w:r w:rsidR="00027700">
        <w:t>hosting th</w:t>
      </w:r>
      <w:r>
        <w:t>e</w:t>
      </w:r>
      <w:r w:rsidR="00027700">
        <w:t xml:space="preserve"> bus</w:t>
      </w:r>
      <w:r w:rsidR="00E56F0B">
        <w:t xml:space="preserve">.  </w:t>
      </w:r>
    </w:p>
    <w:p w:rsidR="00027700" w:rsidRDefault="00027700" w:rsidP="00B725AA">
      <w:pPr>
        <w:pStyle w:val="Quotation"/>
      </w:pPr>
      <w:r>
        <w:t xml:space="preserve">From </w:t>
      </w:r>
      <w:proofErr w:type="spellStart"/>
      <w:r>
        <w:t>Waipoua</w:t>
      </w:r>
      <w:proofErr w:type="spellEnd"/>
      <w:r>
        <w:t xml:space="preserve"> Forest to here is already a one-hour drive just for surgery – one way. So it’d be an hour and 45 minutes for a trip to </w:t>
      </w:r>
      <w:proofErr w:type="spellStart"/>
      <w:r>
        <w:t>Whangarei</w:t>
      </w:r>
      <w:proofErr w:type="spellEnd"/>
      <w:r>
        <w:t xml:space="preserve"> Hospital. </w:t>
      </w:r>
    </w:p>
    <w:p w:rsidR="00DB04EF" w:rsidRDefault="00DB04EF" w:rsidP="00B725AA">
      <w:pPr>
        <w:pStyle w:val="Quotation"/>
      </w:pPr>
      <w:r>
        <w:t xml:space="preserve">For example, inland from </w:t>
      </w:r>
      <w:proofErr w:type="spellStart"/>
      <w:r>
        <w:t>Oamaru</w:t>
      </w:r>
      <w:proofErr w:type="spellEnd"/>
      <w:r>
        <w:t xml:space="preserve"> </w:t>
      </w:r>
      <w:r w:rsidR="00E56F0B">
        <w:t>–</w:t>
      </w:r>
      <w:r>
        <w:t xml:space="preserve"> places like </w:t>
      </w:r>
      <w:proofErr w:type="spellStart"/>
      <w:r>
        <w:t>Omarama</w:t>
      </w:r>
      <w:proofErr w:type="spellEnd"/>
      <w:r>
        <w:t xml:space="preserve"> </w:t>
      </w:r>
      <w:r w:rsidR="00E56F0B">
        <w:t>–</w:t>
      </w:r>
      <w:r>
        <w:t xml:space="preserve"> it’s </w:t>
      </w:r>
      <w:r w:rsidR="00E56F0B">
        <w:t xml:space="preserve">some </w:t>
      </w:r>
      <w:r>
        <w:t>distan</w:t>
      </w:r>
      <w:r w:rsidR="00E56F0B">
        <w:t>ce</w:t>
      </w:r>
      <w:r>
        <w:t xml:space="preserve">, even to get to </w:t>
      </w:r>
      <w:proofErr w:type="spellStart"/>
      <w:r>
        <w:t>Oamaru</w:t>
      </w:r>
      <w:proofErr w:type="spellEnd"/>
      <w:r>
        <w:t>; so the service is especially good for young families and older people</w:t>
      </w:r>
      <w:r w:rsidR="00E56F0B">
        <w:t>.</w:t>
      </w:r>
    </w:p>
    <w:p w:rsidR="00DB04EF" w:rsidRDefault="00E56F0B" w:rsidP="00B725AA">
      <w:pPr>
        <w:pStyle w:val="Quotation"/>
      </w:pPr>
      <w:r>
        <w:t xml:space="preserve">Quite a few patients live south of </w:t>
      </w:r>
      <w:proofErr w:type="spellStart"/>
      <w:r>
        <w:t>Pukekohe</w:t>
      </w:r>
      <w:proofErr w:type="spellEnd"/>
      <w:r>
        <w:t xml:space="preserve">, for example, at </w:t>
      </w:r>
      <w:proofErr w:type="spellStart"/>
      <w:r>
        <w:t>Tuakau</w:t>
      </w:r>
      <w:proofErr w:type="spellEnd"/>
      <w:r>
        <w:t xml:space="preserve"> and </w:t>
      </w:r>
      <w:proofErr w:type="spellStart"/>
      <w:r>
        <w:t>Waiuku</w:t>
      </w:r>
      <w:proofErr w:type="spellEnd"/>
      <w:r>
        <w:t xml:space="preserve">. Those are the patients we </w:t>
      </w:r>
      <w:r w:rsidR="00027700">
        <w:t xml:space="preserve">try to </w:t>
      </w:r>
      <w:r>
        <w:t>select for the bus session</w:t>
      </w:r>
      <w:r w:rsidR="00027700">
        <w:t>s</w:t>
      </w:r>
      <w:r>
        <w:t xml:space="preserve"> a</w:t>
      </w:r>
      <w:r w:rsidR="00027700">
        <w:t>t</w:t>
      </w:r>
      <w:r>
        <w:t xml:space="preserve"> </w:t>
      </w:r>
      <w:proofErr w:type="spellStart"/>
      <w:r>
        <w:t>Pukekohe</w:t>
      </w:r>
      <w:proofErr w:type="spellEnd"/>
      <w:r w:rsidR="00027700">
        <w:t>.</w:t>
      </w:r>
    </w:p>
    <w:p w:rsidR="00E77E97" w:rsidRDefault="00E77E97" w:rsidP="00E77E97">
      <w:pPr>
        <w:pStyle w:val="Caption"/>
        <w:spacing w:before="100" w:beforeAutospacing="1" w:after="40"/>
      </w:pPr>
      <w:bookmarkStart w:id="95" w:name="_Toc380597843"/>
      <w:bookmarkStart w:id="96" w:name="_Toc380605803"/>
      <w:bookmarkStart w:id="97" w:name="_Toc423945987"/>
      <w:r>
        <w:lastRenderedPageBreak/>
        <w:t xml:space="preserve">Figure </w:t>
      </w:r>
      <w:fldSimple w:instr=" SEQ Figure \* ARABIC ">
        <w:r w:rsidR="00CA314A">
          <w:rPr>
            <w:noProof/>
          </w:rPr>
          <w:t>8</w:t>
        </w:r>
      </w:fldSimple>
      <w:r>
        <w:rPr>
          <w:noProof/>
        </w:rPr>
        <w:t>:</w:t>
      </w:r>
      <w:r>
        <w:t xml:space="preserve"> Patient travel time to </w:t>
      </w:r>
      <w:r w:rsidR="00E56F0B">
        <w:t xml:space="preserve">reach </w:t>
      </w:r>
      <w:r>
        <w:t>the bus – self-reported</w:t>
      </w:r>
      <w:bookmarkEnd w:id="95"/>
      <w:bookmarkEnd w:id="96"/>
      <w:bookmarkEnd w:id="97"/>
      <w:r w:rsidR="00E56F0B">
        <w:t xml:space="preserve"> </w:t>
      </w:r>
    </w:p>
    <w:p w:rsidR="00E77E97" w:rsidRDefault="00E77E97" w:rsidP="00DA0AC3">
      <w:pPr>
        <w:pStyle w:val="Sourceinformation"/>
        <w:spacing w:after="0"/>
        <w:ind w:hanging="70"/>
        <w:rPr>
          <w:b/>
          <w:sz w:val="20"/>
        </w:rPr>
      </w:pPr>
      <w:r>
        <w:rPr>
          <w:noProof/>
          <w:lang w:val="en-NZ" w:eastAsia="en-NZ"/>
        </w:rPr>
        <w:drawing>
          <wp:inline distT="0" distB="0" distL="0" distR="0" wp14:anchorId="41B5CA03" wp14:editId="7613B226">
            <wp:extent cx="4762500" cy="28479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B04EF" w:rsidRDefault="00E77E97" w:rsidP="004B4973">
      <w:pPr>
        <w:pStyle w:val="Sourceinformation"/>
        <w:rPr>
          <w:rFonts w:cs="Arial"/>
          <w:b/>
          <w:bCs/>
          <w:color w:val="000000"/>
          <w:sz w:val="32"/>
          <w:szCs w:val="24"/>
        </w:rPr>
      </w:pPr>
      <w:r w:rsidRPr="00E77E97">
        <w:rPr>
          <w:b/>
          <w:sz w:val="20"/>
        </w:rPr>
        <w:t>Source:</w:t>
      </w:r>
      <w:r w:rsidRPr="00E77E97">
        <w:rPr>
          <w:sz w:val="20"/>
        </w:rPr>
        <w:t xml:space="preserve"> </w:t>
      </w:r>
      <w:proofErr w:type="spellStart"/>
      <w:r w:rsidRPr="00E77E97">
        <w:rPr>
          <w:sz w:val="20"/>
        </w:rPr>
        <w:t>Sapere</w:t>
      </w:r>
      <w:proofErr w:type="spellEnd"/>
      <w:r>
        <w:rPr>
          <w:sz w:val="20"/>
        </w:rPr>
        <w:t xml:space="preserve"> Research Group</w:t>
      </w:r>
    </w:p>
    <w:p w:rsidR="00AD50E5" w:rsidRDefault="0067024D" w:rsidP="00AD50E5">
      <w:pPr>
        <w:pStyle w:val="Heading3"/>
      </w:pPr>
      <w:bookmarkStart w:id="98" w:name="_Toc423945935"/>
      <w:bookmarkStart w:id="99" w:name="_Ref380706109"/>
      <w:r>
        <w:t xml:space="preserve">A slight improvement in </w:t>
      </w:r>
      <w:r w:rsidR="00450FD9">
        <w:t xml:space="preserve">the </w:t>
      </w:r>
      <w:r>
        <w:t>r</w:t>
      </w:r>
      <w:r w:rsidR="00AD50E5">
        <w:t>ate of non-attendance</w:t>
      </w:r>
      <w:bookmarkEnd w:id="98"/>
      <w:r w:rsidR="00AD50E5">
        <w:t xml:space="preserve"> </w:t>
      </w:r>
      <w:bookmarkEnd w:id="99"/>
    </w:p>
    <w:p w:rsidR="00AD50E5" w:rsidRDefault="0067024D" w:rsidP="00AD50E5">
      <w:pPr>
        <w:pStyle w:val="UnnumtextBodytext"/>
      </w:pPr>
      <w:r>
        <w:t>T</w:t>
      </w:r>
      <w:r w:rsidR="009B2329">
        <w:t>he rate</w:t>
      </w:r>
      <w:r w:rsidR="00AD50E5">
        <w:t xml:space="preserve"> of patients who d</w:t>
      </w:r>
      <w:r>
        <w:t xml:space="preserve">o </w:t>
      </w:r>
      <w:r w:rsidR="00AD50E5">
        <w:t>not attend their appointment</w:t>
      </w:r>
      <w:r>
        <w:t xml:space="preserve"> </w:t>
      </w:r>
      <w:r w:rsidR="00AD50E5">
        <w:t xml:space="preserve">for the mobile surgical bus </w:t>
      </w:r>
      <w:r>
        <w:t xml:space="preserve">has been fairly stable at </w:t>
      </w:r>
      <w:r w:rsidR="00AD50E5">
        <w:t>4.1</w:t>
      </w:r>
      <w:r>
        <w:t>-</w:t>
      </w:r>
      <w:r w:rsidR="00AD50E5">
        <w:t>5</w:t>
      </w:r>
      <w:r>
        <w:t>.0</w:t>
      </w:r>
      <w:r w:rsidR="00AD50E5">
        <w:t xml:space="preserve">% </w:t>
      </w:r>
      <w:r>
        <w:t>between</w:t>
      </w:r>
      <w:r w:rsidR="00AD50E5">
        <w:t xml:space="preserve"> 2006/07 to 2012/13, </w:t>
      </w:r>
      <w:r w:rsidR="009B2329">
        <w:t xml:space="preserve">as shown in </w:t>
      </w:r>
      <w:r w:rsidR="009B2329">
        <w:fldChar w:fldCharType="begin"/>
      </w:r>
      <w:r w:rsidR="009B2329">
        <w:instrText xml:space="preserve"> REF _Ref388879593 \h </w:instrText>
      </w:r>
      <w:r w:rsidR="009B2329">
        <w:fldChar w:fldCharType="separate"/>
      </w:r>
      <w:r w:rsidR="00CA314A">
        <w:t xml:space="preserve">Figure </w:t>
      </w:r>
      <w:r w:rsidR="00CA314A">
        <w:rPr>
          <w:noProof/>
        </w:rPr>
        <w:t>9</w:t>
      </w:r>
      <w:r w:rsidR="009B2329">
        <w:fldChar w:fldCharType="end"/>
      </w:r>
      <w:r w:rsidR="009B2329">
        <w:t xml:space="preserve">. On a rolling three-year average basis, there has been a small decrease from an average of 4.8% </w:t>
      </w:r>
      <w:r w:rsidR="00450FD9">
        <w:t xml:space="preserve">in the three years </w:t>
      </w:r>
      <w:r w:rsidR="009B2329">
        <w:t xml:space="preserve">to 2008/09 to an average of 4.4% </w:t>
      </w:r>
      <w:r w:rsidR="00450FD9">
        <w:t xml:space="preserve">in the three years to </w:t>
      </w:r>
      <w:r w:rsidR="009B2329">
        <w:t xml:space="preserve">2012/13. </w:t>
      </w:r>
      <w:r w:rsidR="00AD50E5">
        <w:t>This rate is calculated by taking all those patients who did not attend their appointment for surgery on the bus as a proportion of all surgery delivered plus those who did not attend.</w:t>
      </w:r>
    </w:p>
    <w:p w:rsidR="00AD50E5" w:rsidRDefault="009B2329" w:rsidP="006B4CC2">
      <w:pPr>
        <w:pStyle w:val="UnnumtextBodytext"/>
      </w:pPr>
      <w:r>
        <w:t xml:space="preserve">There is no </w:t>
      </w:r>
      <w:r w:rsidR="00450FD9">
        <w:t>c</w:t>
      </w:r>
      <w:r>
        <w:t>entrally-held information t</w:t>
      </w:r>
      <w:r w:rsidR="00450FD9">
        <w:t xml:space="preserve">o enable </w:t>
      </w:r>
      <w:r>
        <w:t>a direct comparison with</w:t>
      </w:r>
      <w:r w:rsidR="00450FD9">
        <w:t xml:space="preserve"> base hospitals to determine how these rates compare with similar surgical procedures. </w:t>
      </w:r>
      <w:r>
        <w:t xml:space="preserve">The </w:t>
      </w:r>
      <w:r w:rsidR="00450FD9">
        <w:t xml:space="preserve">only publicly available </w:t>
      </w:r>
      <w:r>
        <w:t>information</w:t>
      </w:r>
      <w:r w:rsidR="00450FD9">
        <w:t xml:space="preserve"> on </w:t>
      </w:r>
      <w:r w:rsidR="00AD50E5">
        <w:t>“did not attend” rate</w:t>
      </w:r>
      <w:r w:rsidR="00450FD9">
        <w:t>s</w:t>
      </w:r>
      <w:r w:rsidR="00AD50E5">
        <w:t xml:space="preserve"> </w:t>
      </w:r>
      <w:r w:rsidR="00450FD9">
        <w:t>among district health boards</w:t>
      </w:r>
      <w:r w:rsidR="00450FD9" w:rsidRPr="00450FD9">
        <w:t xml:space="preserve"> </w:t>
      </w:r>
      <w:r w:rsidR="00450FD9">
        <w:t xml:space="preserve">relates to </w:t>
      </w:r>
      <w:r w:rsidR="00450FD9" w:rsidRPr="009531BB">
        <w:t>specialist clinical appointment</w:t>
      </w:r>
      <w:r w:rsidR="00450FD9">
        <w:t>s (i.e. outpatient clinics) rather than appointments for day surgery.</w:t>
      </w:r>
      <w:r w:rsidR="00450FD9" w:rsidRPr="00450FD9">
        <w:rPr>
          <w:rStyle w:val="FootnoteReference"/>
        </w:rPr>
        <w:t xml:space="preserve"> </w:t>
      </w:r>
      <w:r w:rsidR="00450FD9">
        <w:rPr>
          <w:rStyle w:val="FootnoteReference"/>
        </w:rPr>
        <w:footnoteReference w:id="9"/>
      </w:r>
      <w:r w:rsidR="00450FD9">
        <w:t xml:space="preserve">  T</w:t>
      </w:r>
      <w:r w:rsidR="00AD50E5">
        <w:t>hese figures are not comparable</w:t>
      </w:r>
      <w:r w:rsidR="00450FD9">
        <w:t xml:space="preserve">, given that anecdotally, far fewer patients tend to be recorded as “did not attend” for theatre than for outpatient clinics. </w:t>
      </w:r>
    </w:p>
    <w:p w:rsidR="00064030" w:rsidRDefault="003D164D" w:rsidP="00361D9A">
      <w:pPr>
        <w:pStyle w:val="UnnumtextBodytext"/>
      </w:pPr>
      <w:r>
        <w:t xml:space="preserve">Nevertheless, </w:t>
      </w:r>
      <w:r w:rsidR="00450FD9">
        <w:t xml:space="preserve">it is plausible that </w:t>
      </w:r>
      <w:r w:rsidR="00AD50E5">
        <w:t xml:space="preserve">the mobile surgical </w:t>
      </w:r>
      <w:r w:rsidR="00625F4F">
        <w:t xml:space="preserve">service has supported improved </w:t>
      </w:r>
      <w:r w:rsidR="00AD50E5">
        <w:t>access for patients who may not otherwise attend</w:t>
      </w:r>
      <w:r w:rsidR="00450FD9">
        <w:t>, given that the</w:t>
      </w:r>
      <w:r w:rsidR="00625F4F">
        <w:t xml:space="preserve"> </w:t>
      </w:r>
      <w:r w:rsidR="00450FD9">
        <w:t xml:space="preserve">service is </w:t>
      </w:r>
      <w:r w:rsidR="00AD50E5">
        <w:t xml:space="preserve">relatively </w:t>
      </w:r>
      <w:r w:rsidR="00450FD9">
        <w:t xml:space="preserve">nearby </w:t>
      </w:r>
      <w:r w:rsidR="00AD50E5">
        <w:t xml:space="preserve">for </w:t>
      </w:r>
      <w:proofErr w:type="gramStart"/>
      <w:r w:rsidR="00AD50E5">
        <w:t>most  patients</w:t>
      </w:r>
      <w:proofErr w:type="gramEnd"/>
      <w:r w:rsidR="00625F4F">
        <w:t>. A</w:t>
      </w:r>
      <w:r w:rsidR="00C04FE0">
        <w:t xml:space="preserve">s noted above, </w:t>
      </w:r>
      <w:r w:rsidR="00AD50E5">
        <w:t xml:space="preserve">the majority of sampled patients reporting travel time of less than 20 minutes. </w:t>
      </w:r>
      <w:r w:rsidR="00064030">
        <w:t>This view was supported by one DHB service manager who commented that</w:t>
      </w:r>
      <w:r w:rsidR="00361D9A">
        <w:t>…</w:t>
      </w:r>
      <w:r w:rsidR="00064030">
        <w:t xml:space="preserve"> </w:t>
      </w:r>
    </w:p>
    <w:p w:rsidR="00064030" w:rsidRDefault="00064030" w:rsidP="00361D9A">
      <w:pPr>
        <w:pStyle w:val="Quotation"/>
      </w:pPr>
      <w:r>
        <w:t xml:space="preserve">Everyone has attended at [rural hospital] for the last few lists. The bus probably does have a lower rate of </w:t>
      </w:r>
      <w:r w:rsidR="00361D9A">
        <w:t>“</w:t>
      </w:r>
      <w:r>
        <w:t>DNAs</w:t>
      </w:r>
      <w:r w:rsidR="00361D9A">
        <w:t>”</w:t>
      </w:r>
      <w:r>
        <w:t xml:space="preserve"> than </w:t>
      </w:r>
      <w:r w:rsidR="00361D9A">
        <w:t>at [base hospital].</w:t>
      </w:r>
    </w:p>
    <w:p w:rsidR="008A4B8D" w:rsidRDefault="008A4B8D" w:rsidP="00FF6554">
      <w:pPr>
        <w:pStyle w:val="Caption"/>
        <w:spacing w:before="100" w:beforeAutospacing="1" w:after="80"/>
      </w:pPr>
      <w:bookmarkStart w:id="100" w:name="_Ref388879593"/>
      <w:bookmarkStart w:id="101" w:name="_Toc423945988"/>
      <w:r>
        <w:lastRenderedPageBreak/>
        <w:t xml:space="preserve">Figure </w:t>
      </w:r>
      <w:fldSimple w:instr=" SEQ Figure \* ARABIC ">
        <w:r w:rsidR="00CA314A">
          <w:rPr>
            <w:noProof/>
          </w:rPr>
          <w:t>9</w:t>
        </w:r>
      </w:fldSimple>
      <w:bookmarkEnd w:id="100"/>
      <w:r>
        <w:rPr>
          <w:noProof/>
        </w:rPr>
        <w:t>:</w:t>
      </w:r>
      <w:r>
        <w:t xml:space="preserve"> </w:t>
      </w:r>
      <w:r w:rsidR="00450FD9">
        <w:t>Rate of patient non-attendance</w:t>
      </w:r>
      <w:r>
        <w:t>, 2006/07-2012/13</w:t>
      </w:r>
      <w:bookmarkEnd w:id="101"/>
    </w:p>
    <w:p w:rsidR="008A4B8D" w:rsidRDefault="008A4B8D" w:rsidP="00FF6554">
      <w:pPr>
        <w:pStyle w:val="Sourceinformation"/>
        <w:spacing w:after="160"/>
        <w:ind w:hanging="68"/>
        <w:rPr>
          <w:b/>
        </w:rPr>
      </w:pPr>
      <w:r>
        <w:rPr>
          <w:noProof/>
          <w:lang w:val="en-NZ" w:eastAsia="en-NZ"/>
        </w:rPr>
        <w:drawing>
          <wp:inline distT="0" distB="0" distL="0" distR="0" wp14:anchorId="6CA64C92" wp14:editId="42D4651D">
            <wp:extent cx="4533900" cy="3048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A4B8D" w:rsidRPr="00D1245C" w:rsidRDefault="008A4B8D" w:rsidP="00D1245C">
      <w:pPr>
        <w:pStyle w:val="Sourceinformation"/>
        <w:spacing w:before="40" w:after="100" w:afterAutospacing="1"/>
        <w:rPr>
          <w:sz w:val="20"/>
        </w:rPr>
      </w:pPr>
      <w:r w:rsidRPr="00D1245C">
        <w:rPr>
          <w:b/>
          <w:sz w:val="20"/>
        </w:rPr>
        <w:t>Source:</w:t>
      </w:r>
      <w:r w:rsidRPr="00D1245C">
        <w:rPr>
          <w:sz w:val="20"/>
        </w:rPr>
        <w:t xml:space="preserve"> Mobile Surgical Solutions Ltd; </w:t>
      </w:r>
      <w:proofErr w:type="spellStart"/>
      <w:r w:rsidRPr="00D1245C">
        <w:rPr>
          <w:sz w:val="20"/>
        </w:rPr>
        <w:t>Sapere</w:t>
      </w:r>
      <w:proofErr w:type="spellEnd"/>
      <w:r w:rsidRPr="00D1245C">
        <w:rPr>
          <w:sz w:val="20"/>
        </w:rPr>
        <w:t xml:space="preserve"> analysis</w:t>
      </w:r>
    </w:p>
    <w:p w:rsidR="00450FD9" w:rsidRDefault="006B4CC2" w:rsidP="001458C0">
      <w:pPr>
        <w:pStyle w:val="UnnumtextBodytext"/>
      </w:pPr>
      <w:r>
        <w:t>R</w:t>
      </w:r>
      <w:r w:rsidR="00450FD9">
        <w:t>ate</w:t>
      </w:r>
      <w:r>
        <w:t>s</w:t>
      </w:r>
      <w:r w:rsidR="00450FD9">
        <w:t xml:space="preserve"> of patient non-attendance var</w:t>
      </w:r>
      <w:r>
        <w:t>y</w:t>
      </w:r>
      <w:r w:rsidR="00450FD9">
        <w:t xml:space="preserve"> considerably across </w:t>
      </w:r>
      <w:r>
        <w:t>the</w:t>
      </w:r>
      <w:r w:rsidR="00450FD9">
        <w:t xml:space="preserve"> rur</w:t>
      </w:r>
      <w:r>
        <w:t>al</w:t>
      </w:r>
      <w:r w:rsidR="00450FD9">
        <w:t xml:space="preserve"> sites. </w:t>
      </w:r>
      <w:r w:rsidR="00450FD9">
        <w:fldChar w:fldCharType="begin"/>
      </w:r>
      <w:r w:rsidR="00450FD9">
        <w:instrText xml:space="preserve"> REF _Ref388886753 \h </w:instrText>
      </w:r>
      <w:r w:rsidR="00450FD9">
        <w:fldChar w:fldCharType="separate"/>
      </w:r>
      <w:r w:rsidR="00CA314A">
        <w:t xml:space="preserve">Figure </w:t>
      </w:r>
      <w:r w:rsidR="00CA314A">
        <w:rPr>
          <w:noProof/>
        </w:rPr>
        <w:t>10</w:t>
      </w:r>
      <w:r w:rsidR="00450FD9">
        <w:fldChar w:fldCharType="end"/>
      </w:r>
      <w:r>
        <w:t xml:space="preserve"> presents rates for each site that combine volumes for the two years of 2011/12 and 2012/13. Higher rates are apparent at </w:t>
      </w:r>
      <w:proofErr w:type="spellStart"/>
      <w:r>
        <w:t>Te</w:t>
      </w:r>
      <w:proofErr w:type="spellEnd"/>
      <w:r>
        <w:t xml:space="preserve"> </w:t>
      </w:r>
      <w:proofErr w:type="spellStart"/>
      <w:r>
        <w:t>Puia</w:t>
      </w:r>
      <w:proofErr w:type="spellEnd"/>
      <w:r>
        <w:t xml:space="preserve"> (13.3%) and </w:t>
      </w:r>
      <w:proofErr w:type="spellStart"/>
      <w:r>
        <w:t>Featherston</w:t>
      </w:r>
      <w:proofErr w:type="spellEnd"/>
      <w:r>
        <w:t xml:space="preserve"> (9.6%), whereas two host sites had no patient non-attendance over this period (</w:t>
      </w:r>
      <w:proofErr w:type="spellStart"/>
      <w:r>
        <w:t>Balclutha</w:t>
      </w:r>
      <w:proofErr w:type="spellEnd"/>
      <w:r>
        <w:t xml:space="preserve"> and </w:t>
      </w:r>
      <w:proofErr w:type="spellStart"/>
      <w:r>
        <w:t>Motueka</w:t>
      </w:r>
      <w:proofErr w:type="spellEnd"/>
      <w:r>
        <w:t>). Anecdotally, some of these “no shows” are replaced on the day of surgery by calling up patients placed on stand-by.</w:t>
      </w:r>
    </w:p>
    <w:p w:rsidR="00450FD9" w:rsidRDefault="00450FD9" w:rsidP="00FF6554">
      <w:pPr>
        <w:pStyle w:val="Caption"/>
        <w:spacing w:before="100" w:beforeAutospacing="1" w:after="80"/>
      </w:pPr>
      <w:bookmarkStart w:id="102" w:name="_Ref388886753"/>
      <w:bookmarkStart w:id="103" w:name="_Toc423945989"/>
      <w:r>
        <w:t xml:space="preserve">Figure </w:t>
      </w:r>
      <w:fldSimple w:instr=" SEQ Figure \* ARABIC ">
        <w:r w:rsidR="00CA314A">
          <w:rPr>
            <w:noProof/>
          </w:rPr>
          <w:t>10</w:t>
        </w:r>
      </w:fldSimple>
      <w:bookmarkEnd w:id="102"/>
      <w:r>
        <w:rPr>
          <w:noProof/>
        </w:rPr>
        <w:t>:</w:t>
      </w:r>
      <w:r>
        <w:t xml:space="preserve"> Combined rate of patient non-attendance for 2011/12 and 2012/13, by site</w:t>
      </w:r>
      <w:bookmarkEnd w:id="103"/>
    </w:p>
    <w:p w:rsidR="00450FD9" w:rsidRDefault="00450FD9" w:rsidP="00FF6554">
      <w:pPr>
        <w:pStyle w:val="Sourceinformation"/>
        <w:ind w:hanging="142"/>
        <w:rPr>
          <w:b/>
        </w:rPr>
      </w:pPr>
      <w:r>
        <w:rPr>
          <w:noProof/>
          <w:lang w:val="en-NZ" w:eastAsia="en-NZ"/>
        </w:rPr>
        <w:drawing>
          <wp:inline distT="0" distB="0" distL="0" distR="0" wp14:anchorId="6937EEE9" wp14:editId="21D557A2">
            <wp:extent cx="5429250" cy="32289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50FD9" w:rsidRPr="00FF6554" w:rsidRDefault="00450FD9" w:rsidP="006B4CC2">
      <w:pPr>
        <w:pStyle w:val="Sourceinformation"/>
        <w:rPr>
          <w:sz w:val="20"/>
        </w:rPr>
      </w:pPr>
      <w:r w:rsidRPr="00FF6554">
        <w:rPr>
          <w:b/>
          <w:sz w:val="20"/>
        </w:rPr>
        <w:t>Source:</w:t>
      </w:r>
      <w:r w:rsidRPr="00FF6554">
        <w:rPr>
          <w:sz w:val="20"/>
        </w:rPr>
        <w:t xml:space="preserve"> </w:t>
      </w:r>
      <w:r w:rsidRPr="006B4CC2">
        <w:rPr>
          <w:sz w:val="20"/>
        </w:rPr>
        <w:t xml:space="preserve">Mobile Surgical Solutions Ltd; </w:t>
      </w:r>
      <w:proofErr w:type="spellStart"/>
      <w:r w:rsidRPr="006B4CC2">
        <w:rPr>
          <w:sz w:val="20"/>
        </w:rPr>
        <w:t>Sapere</w:t>
      </w:r>
      <w:proofErr w:type="spellEnd"/>
      <w:r w:rsidRPr="006B4CC2">
        <w:rPr>
          <w:sz w:val="20"/>
        </w:rPr>
        <w:t xml:space="preserve"> analysis</w:t>
      </w:r>
      <w:r w:rsidRPr="00FF6554">
        <w:rPr>
          <w:sz w:val="20"/>
        </w:rPr>
        <w:t xml:space="preserve"> </w:t>
      </w:r>
    </w:p>
    <w:p w:rsidR="00392C80" w:rsidRDefault="00BF4947" w:rsidP="00392C80">
      <w:pPr>
        <w:pStyle w:val="Heading3"/>
      </w:pPr>
      <w:bookmarkStart w:id="104" w:name="_Toc423945936"/>
      <w:r>
        <w:lastRenderedPageBreak/>
        <w:t>P</w:t>
      </w:r>
      <w:r w:rsidR="00392C80">
        <w:t>atient</w:t>
      </w:r>
      <w:r>
        <w:t>s reported improved well-being after surgery</w:t>
      </w:r>
      <w:bookmarkEnd w:id="104"/>
    </w:p>
    <w:p w:rsidR="00353BFD" w:rsidRDefault="003101CB" w:rsidP="00353BFD">
      <w:pPr>
        <w:pStyle w:val="UnnumtextBodytext"/>
      </w:pPr>
      <w:r>
        <w:t xml:space="preserve">Patients, or their caregivers, generally reported </w:t>
      </w:r>
      <w:r w:rsidR="00353BFD">
        <w:t xml:space="preserve">improvements in well-being </w:t>
      </w:r>
      <w:r w:rsidR="00DC50B5">
        <w:t xml:space="preserve">after </w:t>
      </w:r>
      <w:r>
        <w:t xml:space="preserve">surgery. </w:t>
      </w:r>
      <w:r w:rsidR="00DC50B5">
        <w:t xml:space="preserve">Of those interviewed by telephone, </w:t>
      </w:r>
      <w:r w:rsidR="00353BFD" w:rsidRPr="00353BFD">
        <w:t>88%, or 23/26</w:t>
      </w:r>
      <w:r w:rsidR="00DC50B5">
        <w:t xml:space="preserve">, </w:t>
      </w:r>
      <w:r w:rsidR="00353BFD" w:rsidRPr="00353BFD">
        <w:t>answered that their well-being</w:t>
      </w:r>
      <w:r w:rsidR="00353BFD">
        <w:t>, or th</w:t>
      </w:r>
      <w:r w:rsidR="00DC50B5">
        <w:t xml:space="preserve">at of </w:t>
      </w:r>
      <w:r w:rsidR="00353BFD">
        <w:t>their child,</w:t>
      </w:r>
      <w:r w:rsidR="00353BFD" w:rsidRPr="00353BFD">
        <w:t xml:space="preserve"> was either “much better” or “a bit better” following their operation</w:t>
      </w:r>
      <w:r w:rsidR="00353BFD">
        <w:t xml:space="preserve">. </w:t>
      </w:r>
      <w:r w:rsidR="00DC50B5">
        <w:t xml:space="preserve">The </w:t>
      </w:r>
      <w:r w:rsidR="00125AAF" w:rsidRPr="00353BFD">
        <w:t xml:space="preserve">postal survey </w:t>
      </w:r>
      <w:r w:rsidR="00DC50B5">
        <w:t xml:space="preserve">produced a similar result, with </w:t>
      </w:r>
      <w:r w:rsidR="00125AAF" w:rsidRPr="00353BFD">
        <w:t xml:space="preserve">78%, </w:t>
      </w:r>
      <w:r w:rsidR="00DC50B5">
        <w:t xml:space="preserve">or </w:t>
      </w:r>
      <w:r w:rsidR="00125AAF" w:rsidRPr="00353BFD">
        <w:t xml:space="preserve">29/37 </w:t>
      </w:r>
      <w:r w:rsidR="00DC50B5">
        <w:t xml:space="preserve">respondents </w:t>
      </w:r>
      <w:r w:rsidRPr="00353BFD">
        <w:t>report</w:t>
      </w:r>
      <w:r w:rsidR="00DC50B5">
        <w:t>ing t</w:t>
      </w:r>
      <w:r w:rsidRPr="00353BFD">
        <w:t xml:space="preserve">hat </w:t>
      </w:r>
      <w:r w:rsidR="00DC50B5">
        <w:t xml:space="preserve">their </w:t>
      </w:r>
      <w:r w:rsidRPr="00353BFD">
        <w:t>well-being</w:t>
      </w:r>
      <w:r w:rsidR="00DC50B5">
        <w:t>,</w:t>
      </w:r>
      <w:r w:rsidRPr="00353BFD">
        <w:t xml:space="preserve"> </w:t>
      </w:r>
      <w:r w:rsidR="00DC50B5">
        <w:t xml:space="preserve">or in the case of caregivers, the well-being of their child, </w:t>
      </w:r>
      <w:r w:rsidRPr="00353BFD">
        <w:t>was either “much better” or “a bit better”.</w:t>
      </w:r>
      <w:r w:rsidR="00353BFD">
        <w:t xml:space="preserve"> </w:t>
      </w:r>
      <w:r w:rsidR="00DC50B5">
        <w:t xml:space="preserve">The full distribution of self-reported outcomes is </w:t>
      </w:r>
      <w:r w:rsidR="00353BFD">
        <w:t xml:space="preserve">shown in </w:t>
      </w:r>
      <w:r w:rsidR="003A4258">
        <w:fldChar w:fldCharType="begin"/>
      </w:r>
      <w:r w:rsidR="003A4258">
        <w:instrText xml:space="preserve"> REF _Ref380674550 \h </w:instrText>
      </w:r>
      <w:r w:rsidR="003A4258">
        <w:fldChar w:fldCharType="separate"/>
      </w:r>
      <w:r w:rsidR="00CA314A">
        <w:t xml:space="preserve">Figure </w:t>
      </w:r>
      <w:r w:rsidR="00CA314A">
        <w:rPr>
          <w:noProof/>
        </w:rPr>
        <w:t>11</w:t>
      </w:r>
      <w:r w:rsidR="003A4258">
        <w:fldChar w:fldCharType="end"/>
      </w:r>
      <w:r w:rsidR="00353BFD">
        <w:t>.</w:t>
      </w:r>
    </w:p>
    <w:p w:rsidR="008B2546" w:rsidRDefault="00E05052" w:rsidP="008B2546">
      <w:pPr>
        <w:pStyle w:val="UnnumtextBodytext"/>
      </w:pPr>
      <w:r>
        <w:t xml:space="preserve">Patients (and caregivers) typically provided reasons why they </w:t>
      </w:r>
      <w:r w:rsidR="00DC50B5">
        <w:t xml:space="preserve">reported </w:t>
      </w:r>
      <w:r>
        <w:t xml:space="preserve">their (or their child’s) well-being as being “the same”. One </w:t>
      </w:r>
      <w:r w:rsidR="00DC50B5">
        <w:t>patient</w:t>
      </w:r>
      <w:r>
        <w:t xml:space="preserve">, for example, </w:t>
      </w:r>
      <w:r w:rsidR="00DC50B5">
        <w:t xml:space="preserve">stated </w:t>
      </w:r>
      <w:r>
        <w:t xml:space="preserve">that </w:t>
      </w:r>
      <w:r w:rsidR="00DC50B5">
        <w:t xml:space="preserve">he felt </w:t>
      </w:r>
      <w:r>
        <w:t xml:space="preserve">he had not </w:t>
      </w:r>
      <w:r w:rsidR="00DC50B5">
        <w:t>been “sick”</w:t>
      </w:r>
      <w:r>
        <w:t xml:space="preserve"> in the first place </w:t>
      </w:r>
      <w:r w:rsidR="00DC50B5">
        <w:t xml:space="preserve">(i.e. the surgery was for </w:t>
      </w:r>
      <w:r w:rsidR="008B2546" w:rsidRPr="008B2546">
        <w:t xml:space="preserve">removal of </w:t>
      </w:r>
      <w:r>
        <w:t>skin</w:t>
      </w:r>
      <w:r w:rsidR="008B2546" w:rsidRPr="008B2546">
        <w:t xml:space="preserve"> lesions</w:t>
      </w:r>
      <w:r w:rsidR="00DC50B5">
        <w:t>)</w:t>
      </w:r>
      <w:r>
        <w:t xml:space="preserve">, while several others had undergone </w:t>
      </w:r>
      <w:r w:rsidR="00DC50B5">
        <w:t xml:space="preserve">investigative </w:t>
      </w:r>
      <w:r w:rsidR="00BF7C63">
        <w:t xml:space="preserve">procedures (i.e. </w:t>
      </w:r>
      <w:r>
        <w:t>endoscopies</w:t>
      </w:r>
      <w:r w:rsidR="00BF7C63">
        <w:t>)</w:t>
      </w:r>
      <w:r>
        <w:t xml:space="preserve"> rather than </w:t>
      </w:r>
      <w:r w:rsidR="00DC50B5">
        <w:t xml:space="preserve">remedial surgery. </w:t>
      </w:r>
      <w:r w:rsidR="008B2546" w:rsidRPr="008B2546">
        <w:t xml:space="preserve">The one person who said they were much worse was that the surgery didn’t find anything and so they are under the specialist still. </w:t>
      </w:r>
      <w:r w:rsidR="008B2546">
        <w:t>One male said he was much worse, however he wasn’t sure if it was due to the surgery or no</w:t>
      </w:r>
      <w:r>
        <w:t>t.</w:t>
      </w:r>
    </w:p>
    <w:p w:rsidR="008B2546" w:rsidRDefault="008B2546" w:rsidP="00353BFD">
      <w:pPr>
        <w:pStyle w:val="Caption"/>
        <w:spacing w:before="100" w:beforeAutospacing="1" w:after="60"/>
      </w:pPr>
      <w:bookmarkStart w:id="105" w:name="_Ref380674550"/>
      <w:bookmarkStart w:id="106" w:name="_Toc423945990"/>
      <w:r>
        <w:t xml:space="preserve">Figure </w:t>
      </w:r>
      <w:fldSimple w:instr=" SEQ Figure \* ARABIC ">
        <w:r w:rsidR="00CA314A">
          <w:rPr>
            <w:noProof/>
          </w:rPr>
          <w:t>11</w:t>
        </w:r>
      </w:fldSimple>
      <w:bookmarkEnd w:id="105"/>
      <w:r>
        <w:rPr>
          <w:noProof/>
        </w:rPr>
        <w:t>:</w:t>
      </w:r>
      <w:r>
        <w:t xml:space="preserve"> </w:t>
      </w:r>
      <w:r w:rsidR="00BF4947">
        <w:t xml:space="preserve">Post-operative well-being </w:t>
      </w:r>
      <w:r w:rsidR="00353BFD">
        <w:t>reported by patients and caregivers</w:t>
      </w:r>
      <w:bookmarkEnd w:id="106"/>
    </w:p>
    <w:p w:rsidR="008B2546" w:rsidRDefault="008B2546" w:rsidP="008B2546">
      <w:pPr>
        <w:pStyle w:val="Sourceinformation"/>
        <w:spacing w:after="0"/>
        <w:ind w:hanging="68"/>
        <w:rPr>
          <w:b/>
          <w:sz w:val="20"/>
        </w:rPr>
      </w:pPr>
      <w:r>
        <w:rPr>
          <w:noProof/>
          <w:lang w:val="en-NZ" w:eastAsia="en-NZ"/>
        </w:rPr>
        <w:drawing>
          <wp:inline distT="0" distB="0" distL="0" distR="0" wp14:anchorId="108FA66A" wp14:editId="71EFEBB3">
            <wp:extent cx="4724400" cy="29622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2546" w:rsidRPr="008B2546" w:rsidRDefault="008B2546" w:rsidP="007862AB">
      <w:pPr>
        <w:pStyle w:val="Sourceinformation"/>
        <w:spacing w:after="100" w:afterAutospacing="1"/>
        <w:rPr>
          <w:sz w:val="20"/>
        </w:rPr>
      </w:pPr>
      <w:r w:rsidRPr="008B2546">
        <w:rPr>
          <w:b/>
          <w:sz w:val="20"/>
        </w:rPr>
        <w:t>Source:</w:t>
      </w:r>
      <w:r w:rsidRPr="008B2546">
        <w:rPr>
          <w:sz w:val="20"/>
        </w:rPr>
        <w:t xml:space="preserve"> </w:t>
      </w:r>
      <w:proofErr w:type="spellStart"/>
      <w:r w:rsidRPr="008B2546">
        <w:rPr>
          <w:sz w:val="20"/>
        </w:rPr>
        <w:t>Sapere</w:t>
      </w:r>
      <w:proofErr w:type="spellEnd"/>
      <w:r w:rsidRPr="008B2546">
        <w:rPr>
          <w:sz w:val="20"/>
        </w:rPr>
        <w:t xml:space="preserve"> Research Group</w:t>
      </w:r>
    </w:p>
    <w:p w:rsidR="007862AB" w:rsidRDefault="007862AB" w:rsidP="00392C80">
      <w:pPr>
        <w:pStyle w:val="UnnumtextBodytext"/>
      </w:pPr>
      <w:r>
        <w:t xml:space="preserve">Specific post-surgery </w:t>
      </w:r>
      <w:r w:rsidR="00BF4947">
        <w:t>outcomes</w:t>
      </w:r>
      <w:r>
        <w:t xml:space="preserve"> were also cited by patients and caregivers during interviews.</w:t>
      </w:r>
    </w:p>
    <w:p w:rsidR="00D624D7" w:rsidRDefault="00D925B1" w:rsidP="007862AB">
      <w:pPr>
        <w:pStyle w:val="UnnumtextBullet1"/>
        <w:spacing w:after="170"/>
      </w:pPr>
      <w:r>
        <w:t>Several patients commented that they were able to stop taking</w:t>
      </w:r>
      <w:r w:rsidR="00084170">
        <w:t xml:space="preserve"> painkiller medication after</w:t>
      </w:r>
      <w:r>
        <w:t xml:space="preserve"> the</w:t>
      </w:r>
      <w:r w:rsidR="00084170">
        <w:t>ir</w:t>
      </w:r>
      <w:r>
        <w:t xml:space="preserve"> surgery. Several caregivers mentioned this with respect to their child who had been a patient.</w:t>
      </w:r>
      <w:r w:rsidRPr="00D925B1">
        <w:t xml:space="preserve"> </w:t>
      </w:r>
      <w:r w:rsidR="007862AB">
        <w:t>The painkillers</w:t>
      </w:r>
      <w:r>
        <w:t xml:space="preserve"> mentioned </w:t>
      </w:r>
      <w:r w:rsidR="007862AB">
        <w:t xml:space="preserve">were </w:t>
      </w:r>
      <w:r>
        <w:t>codeine, Panadol and ibuprofen</w:t>
      </w:r>
      <w:r w:rsidR="00D624D7">
        <w:t xml:space="preserve">. </w:t>
      </w:r>
    </w:p>
    <w:p w:rsidR="007862AB" w:rsidRDefault="007862AB" w:rsidP="007862AB">
      <w:pPr>
        <w:pStyle w:val="UnnumtextBullet1"/>
        <w:spacing w:after="170"/>
      </w:pPr>
      <w:r>
        <w:t xml:space="preserve">One woman mentioned that she had visited an emergency department ten times in a year for morphine pain management, but now, following her operation on the mobile surgical bus, only uses Panadol </w:t>
      </w:r>
      <w:r w:rsidRPr="00AC387A">
        <w:rPr>
          <w:i/>
        </w:rPr>
        <w:t>“every now and then”</w:t>
      </w:r>
      <w:r>
        <w:t>.</w:t>
      </w:r>
    </w:p>
    <w:p w:rsidR="007862AB" w:rsidRDefault="007862AB" w:rsidP="007862AB">
      <w:pPr>
        <w:pStyle w:val="UnnumtextBullet1"/>
        <w:spacing w:after="170"/>
      </w:pPr>
      <w:r>
        <w:t>A couple of patient</w:t>
      </w:r>
      <w:r w:rsidR="00D925B1">
        <w:t xml:space="preserve">s also mentioned </w:t>
      </w:r>
      <w:r>
        <w:t xml:space="preserve">they had taken </w:t>
      </w:r>
      <w:r w:rsidR="00D925B1">
        <w:t>several courses of antibiotics while getting referred to</w:t>
      </w:r>
      <w:r>
        <w:t>, and while being on, t</w:t>
      </w:r>
      <w:r w:rsidR="00D925B1">
        <w:t xml:space="preserve">he waiting list for the </w:t>
      </w:r>
      <w:r>
        <w:t xml:space="preserve">mobile surgical </w:t>
      </w:r>
      <w:r w:rsidR="00D925B1">
        <w:t>bus.</w:t>
      </w:r>
    </w:p>
    <w:p w:rsidR="007862AB" w:rsidRPr="007862AB" w:rsidRDefault="007862AB" w:rsidP="007862AB">
      <w:pPr>
        <w:pStyle w:val="UnnumtextBullet1"/>
        <w:numPr>
          <w:ilvl w:val="0"/>
          <w:numId w:val="0"/>
        </w:numPr>
        <w:spacing w:after="170"/>
        <w:ind w:left="425"/>
        <w:rPr>
          <w:rFonts w:cs="Arial"/>
          <w:b/>
          <w:bCs/>
          <w:color w:val="000000"/>
          <w:sz w:val="32"/>
          <w:szCs w:val="24"/>
        </w:rPr>
      </w:pPr>
    </w:p>
    <w:p w:rsidR="003F144C" w:rsidRDefault="003A13FF" w:rsidP="00625F4F">
      <w:pPr>
        <w:pStyle w:val="Heading2"/>
      </w:pPr>
      <w:bookmarkStart w:id="107" w:name="_Toc423945937"/>
      <w:r>
        <w:lastRenderedPageBreak/>
        <w:t>Considering the counterfactual – w</w:t>
      </w:r>
      <w:r w:rsidR="003F144C">
        <w:t>hat if there were no bus?</w:t>
      </w:r>
      <w:bookmarkEnd w:id="107"/>
    </w:p>
    <w:p w:rsidR="003D164D" w:rsidRDefault="003433CD" w:rsidP="00650E14">
      <w:pPr>
        <w:pStyle w:val="UnnumtextBodytext"/>
      </w:pPr>
      <w:r>
        <w:t>T</w:t>
      </w:r>
      <w:r w:rsidR="00650E14">
        <w:t>o understand the impact</w:t>
      </w:r>
      <w:r w:rsidR="00D87E36">
        <w:t>s</w:t>
      </w:r>
      <w:r w:rsidR="00650E14">
        <w:t xml:space="preserve"> of the mobile surgical service, it </w:t>
      </w:r>
      <w:r w:rsidR="009672BB">
        <w:t xml:space="preserve">is </w:t>
      </w:r>
      <w:r w:rsidR="00650E14">
        <w:t xml:space="preserve">useful to consider </w:t>
      </w:r>
      <w:r>
        <w:t>the</w:t>
      </w:r>
      <w:r w:rsidR="00650E14">
        <w:t xml:space="preserve"> </w:t>
      </w:r>
      <w:r>
        <w:t>counterfactual – what would happen in the absence of the service</w:t>
      </w:r>
      <w:r w:rsidR="00650E14">
        <w:t xml:space="preserve">. </w:t>
      </w:r>
      <w:r w:rsidR="009672BB">
        <w:t>The</w:t>
      </w:r>
      <w:r w:rsidR="003D164D">
        <w:t xml:space="preserve"> three district health boards that we spoke with </w:t>
      </w:r>
      <w:r w:rsidR="00CC4D03">
        <w:t xml:space="preserve">stated </w:t>
      </w:r>
      <w:r w:rsidR="003D164D">
        <w:t xml:space="preserve">that, in the absence of the mobile surgical bus, patients who would have been treated on the bus would still </w:t>
      </w:r>
      <w:r w:rsidR="00CC4D03">
        <w:t>qualify</w:t>
      </w:r>
      <w:r w:rsidR="003D164D">
        <w:t xml:space="preserve"> f</w:t>
      </w:r>
      <w:r w:rsidR="00CC4D03">
        <w:t>o</w:t>
      </w:r>
      <w:r w:rsidR="003D164D">
        <w:t>r surge</w:t>
      </w:r>
      <w:r w:rsidR="00CC4D03">
        <w:t>r</w:t>
      </w:r>
      <w:r w:rsidR="003D164D">
        <w:t>y</w:t>
      </w:r>
      <w:r w:rsidR="009672BB">
        <w:t>,</w:t>
      </w:r>
      <w:r w:rsidR="003D164D">
        <w:t xml:space="preserve"> but </w:t>
      </w:r>
      <w:r w:rsidR="009672BB">
        <w:t xml:space="preserve">they </w:t>
      </w:r>
      <w:r w:rsidR="003D164D">
        <w:t xml:space="preserve">would have to travel further. The </w:t>
      </w:r>
      <w:r w:rsidR="009672BB">
        <w:t>likely</w:t>
      </w:r>
      <w:r w:rsidR="003D164D">
        <w:t xml:space="preserve"> alternative was </w:t>
      </w:r>
      <w:r w:rsidR="00CC4D03">
        <w:t xml:space="preserve">seen as </w:t>
      </w:r>
      <w:r w:rsidR="009672BB">
        <w:t xml:space="preserve">day </w:t>
      </w:r>
      <w:r w:rsidR="003D164D">
        <w:t>surgery be</w:t>
      </w:r>
      <w:r w:rsidR="00CC4D03">
        <w:t>ing</w:t>
      </w:r>
      <w:r w:rsidR="009672BB">
        <w:t xml:space="preserve"> delivered from a</w:t>
      </w:r>
      <w:r w:rsidR="003D164D">
        <w:t xml:space="preserve"> DHB</w:t>
      </w:r>
      <w:r w:rsidR="009672BB">
        <w:t>’s</w:t>
      </w:r>
      <w:r w:rsidR="003D164D">
        <w:t xml:space="preserve"> base hospital. </w:t>
      </w:r>
      <w:r>
        <w:t>The following quotes are from s</w:t>
      </w:r>
      <w:r w:rsidR="003D164D">
        <w:t xml:space="preserve">ervice manager at </w:t>
      </w:r>
      <w:r w:rsidR="00484671">
        <w:t xml:space="preserve">two </w:t>
      </w:r>
      <w:r w:rsidR="003D164D">
        <w:t>district health board</w:t>
      </w:r>
      <w:r>
        <w:t>s.</w:t>
      </w:r>
    </w:p>
    <w:p w:rsidR="00CC4D03" w:rsidRDefault="003D164D" w:rsidP="00CC4D03">
      <w:pPr>
        <w:pStyle w:val="Quotation"/>
      </w:pPr>
      <w:r>
        <w:t>The patients wo</w:t>
      </w:r>
      <w:r w:rsidRPr="00635669">
        <w:t>uld still quali</w:t>
      </w:r>
      <w:r>
        <w:t>f</w:t>
      </w:r>
      <w:r w:rsidRPr="00635669">
        <w:t xml:space="preserve">y </w:t>
      </w:r>
      <w:r w:rsidR="00CC4D03">
        <w:t>–</w:t>
      </w:r>
      <w:r w:rsidRPr="00635669">
        <w:t xml:space="preserve"> </w:t>
      </w:r>
      <w:r>
        <w:t xml:space="preserve">we </w:t>
      </w:r>
      <w:r w:rsidRPr="00635669">
        <w:t>only do patien</w:t>
      </w:r>
      <w:r>
        <w:t>t</w:t>
      </w:r>
      <w:r w:rsidRPr="00635669">
        <w:t>s on</w:t>
      </w:r>
      <w:r>
        <w:t xml:space="preserve"> </w:t>
      </w:r>
      <w:r w:rsidRPr="00635669">
        <w:t>t</w:t>
      </w:r>
      <w:r>
        <w:t>h</w:t>
      </w:r>
      <w:r w:rsidRPr="00635669">
        <w:t>e bus that qualify</w:t>
      </w:r>
      <w:r>
        <w:t xml:space="preserve"> for surgery</w:t>
      </w:r>
      <w:r w:rsidR="00CD75AB">
        <w:t>..</w:t>
      </w:r>
      <w:r>
        <w:t xml:space="preserve">. </w:t>
      </w:r>
      <w:r w:rsidR="00CC4D03">
        <w:t>The p</w:t>
      </w:r>
      <w:r w:rsidR="00CC4D03" w:rsidRPr="00635669">
        <w:t>atient</w:t>
      </w:r>
      <w:r w:rsidR="00CC4D03">
        <w:t>s</w:t>
      </w:r>
      <w:r w:rsidR="00CC4D03" w:rsidRPr="00635669">
        <w:t xml:space="preserve"> </w:t>
      </w:r>
      <w:r w:rsidR="00CC4D03">
        <w:t xml:space="preserve">would </w:t>
      </w:r>
      <w:r w:rsidR="00CC4D03" w:rsidRPr="00635669">
        <w:t xml:space="preserve">all </w:t>
      </w:r>
      <w:r w:rsidR="00CC4D03">
        <w:t xml:space="preserve">have to </w:t>
      </w:r>
      <w:r w:rsidR="00CC4D03" w:rsidRPr="00635669">
        <w:t xml:space="preserve">drive to </w:t>
      </w:r>
      <w:r w:rsidR="00CC4D03">
        <w:t>[base hospital]… They’d come for an outpatient appointment and then drive back again for the surgical procedure.</w:t>
      </w:r>
    </w:p>
    <w:p w:rsidR="003D164D" w:rsidRDefault="00CC4D03" w:rsidP="003D164D">
      <w:pPr>
        <w:pStyle w:val="Quotation"/>
      </w:pPr>
      <w:r>
        <w:t>The p</w:t>
      </w:r>
      <w:r w:rsidR="003D164D">
        <w:t>atients would be managed on elective waiting lists and would still be offered surgery in chronological order. They would likely have to travel a bit further from home</w:t>
      </w:r>
      <w:r>
        <w:t>.</w:t>
      </w:r>
    </w:p>
    <w:p w:rsidR="003D164D" w:rsidRDefault="00484671" w:rsidP="003D164D">
      <w:r>
        <w:t>Comments from service managers at two d</w:t>
      </w:r>
      <w:r w:rsidR="003D164D">
        <w:t xml:space="preserve">istrict health boards </w:t>
      </w:r>
      <w:r>
        <w:t>suggest that provider arms may be able to absorb the volumes from the mobile surgical bus</w:t>
      </w:r>
      <w:r w:rsidR="009672BB">
        <w:t xml:space="preserve">, although </w:t>
      </w:r>
      <w:r w:rsidR="00D0036E" w:rsidRPr="009672BB">
        <w:t xml:space="preserve">in fairness, </w:t>
      </w:r>
      <w:r w:rsidRPr="009672BB">
        <w:t xml:space="preserve">these </w:t>
      </w:r>
      <w:r w:rsidR="00D0036E" w:rsidRPr="009672BB">
        <w:t xml:space="preserve">comments were made “off the cuff” without any detailed </w:t>
      </w:r>
      <w:r w:rsidR="009672BB" w:rsidRPr="009672BB">
        <w:t>analysis</w:t>
      </w:r>
      <w:r w:rsidRPr="009672BB">
        <w:t xml:space="preserve">. </w:t>
      </w:r>
      <w:r w:rsidR="009672BB" w:rsidRPr="009672BB">
        <w:t>However, s</w:t>
      </w:r>
      <w:r w:rsidR="00D0036E" w:rsidRPr="009672BB">
        <w:t>ome of the potential t</w:t>
      </w:r>
      <w:r w:rsidRPr="009672BB">
        <w:t>rade-offs were no</w:t>
      </w:r>
      <w:r w:rsidR="00D0036E" w:rsidRPr="009672BB">
        <w:t>t</w:t>
      </w:r>
      <w:r w:rsidRPr="009672BB">
        <w:t xml:space="preserve">ed, such </w:t>
      </w:r>
      <w:r w:rsidR="00D0036E" w:rsidRPr="009672BB">
        <w:t xml:space="preserve">as waiting </w:t>
      </w:r>
      <w:r w:rsidR="009672BB" w:rsidRPr="009672BB">
        <w:t xml:space="preserve">times </w:t>
      </w:r>
      <w:r w:rsidR="009E357A">
        <w:t xml:space="preserve">for elective </w:t>
      </w:r>
      <w:r w:rsidR="00D0036E" w:rsidRPr="009672BB">
        <w:t xml:space="preserve">patients in other specialties being </w:t>
      </w:r>
      <w:r w:rsidR="009672BB" w:rsidRPr="009672BB">
        <w:t>extended</w:t>
      </w:r>
      <w:r w:rsidR="00D0036E" w:rsidRPr="009672BB">
        <w:t>, or</w:t>
      </w:r>
      <w:r w:rsidR="009672BB" w:rsidRPr="009672BB">
        <w:t xml:space="preserve"> surgica</w:t>
      </w:r>
      <w:r w:rsidR="009E357A">
        <w:t>l lists being extended or added</w:t>
      </w:r>
      <w:r w:rsidR="009672BB" w:rsidRPr="009672BB">
        <w:t xml:space="preserve">. </w:t>
      </w:r>
      <w:r w:rsidR="009E357A">
        <w:t>A further consideration is that m</w:t>
      </w:r>
      <w:r w:rsidR="009672BB">
        <w:t xml:space="preserve">ost </w:t>
      </w:r>
      <w:r w:rsidR="009E357A">
        <w:t>district health boards h</w:t>
      </w:r>
      <w:r w:rsidR="009672BB">
        <w:t xml:space="preserve">ave one or two hosting sites, which </w:t>
      </w:r>
      <w:r w:rsidR="009E357A">
        <w:t xml:space="preserve">in the absence of the bus, would require capacity to meet </w:t>
      </w:r>
      <w:r w:rsidR="009672BB">
        <w:t xml:space="preserve">10-20 </w:t>
      </w:r>
      <w:r w:rsidR="009E357A">
        <w:t>al</w:t>
      </w:r>
      <w:r w:rsidR="009672BB">
        <w:t>l-day surgical lists per year, or 1-1</w:t>
      </w:r>
      <w:r w:rsidR="009E357A">
        <w:t xml:space="preserve">½ </w:t>
      </w:r>
      <w:r w:rsidR="009672BB">
        <w:t xml:space="preserve">lists per month. </w:t>
      </w:r>
      <w:r w:rsidR="009E357A">
        <w:t>Southern DHB, with five sites, might face 50 all-day surgical lists per year or one each week.</w:t>
      </w:r>
    </w:p>
    <w:p w:rsidR="00CC4D03" w:rsidRDefault="00CC4D03" w:rsidP="00CC4D03">
      <w:pPr>
        <w:pStyle w:val="Quotation"/>
      </w:pPr>
      <w:r>
        <w:t>We’d p</w:t>
      </w:r>
      <w:r w:rsidRPr="00635669">
        <w:t xml:space="preserve">robably have </w:t>
      </w:r>
      <w:r>
        <w:t>c</w:t>
      </w:r>
      <w:r w:rsidRPr="00635669">
        <w:t xml:space="preserve">apacity to absorb it… </w:t>
      </w:r>
      <w:r>
        <w:t xml:space="preserve">it </w:t>
      </w:r>
      <w:r w:rsidRPr="00635669">
        <w:t>might mean</w:t>
      </w:r>
      <w:r>
        <w:t xml:space="preserve"> some of the shorter</w:t>
      </w:r>
      <w:r w:rsidRPr="00635669">
        <w:t xml:space="preserve"> waiting time</w:t>
      </w:r>
      <w:r>
        <w:t xml:space="preserve">s for </w:t>
      </w:r>
      <w:r w:rsidRPr="00635669">
        <w:t>other pat</w:t>
      </w:r>
      <w:r>
        <w:t>ient are extended a bit… but we</w:t>
      </w:r>
      <w:r w:rsidRPr="00635669">
        <w:t xml:space="preserve"> could still</w:t>
      </w:r>
      <w:r>
        <w:t xml:space="preserve"> absorb it because it’s usually 8</w:t>
      </w:r>
      <w:r w:rsidRPr="00635669">
        <w:t>-10 patients every trip</w:t>
      </w:r>
      <w:r>
        <w:t xml:space="preserve">, which are </w:t>
      </w:r>
      <w:r w:rsidRPr="00635669">
        <w:t>5 weeks</w:t>
      </w:r>
      <w:r>
        <w:t xml:space="preserve"> apart.</w:t>
      </w:r>
    </w:p>
    <w:p w:rsidR="003D164D" w:rsidRDefault="00CC4D03" w:rsidP="00CC4D03">
      <w:pPr>
        <w:pStyle w:val="Quotation"/>
      </w:pPr>
      <w:r>
        <w:t>Our r</w:t>
      </w:r>
      <w:r w:rsidR="003D164D">
        <w:t>esponse would possibl</w:t>
      </w:r>
      <w:r>
        <w:t>y</w:t>
      </w:r>
      <w:r w:rsidR="003D164D">
        <w:t xml:space="preserve"> involve </w:t>
      </w:r>
      <w:r w:rsidR="00484671">
        <w:t xml:space="preserve">doing the </w:t>
      </w:r>
      <w:r w:rsidR="003D164D">
        <w:t xml:space="preserve">volumes in-house with extra sessions or longer days. Or we might outsource some of it elsewhere. </w:t>
      </w:r>
      <w:r w:rsidR="00D0036E">
        <w:t xml:space="preserve">It’s </w:t>
      </w:r>
      <w:r w:rsidR="003D164D">
        <w:t xml:space="preserve">a small percentage of our target case weights, but </w:t>
      </w:r>
      <w:r w:rsidR="00484671">
        <w:t xml:space="preserve">without </w:t>
      </w:r>
      <w:r w:rsidR="00D0036E">
        <w:t>the bus</w:t>
      </w:r>
      <w:r w:rsidR="00484671">
        <w:t>, it’d b</w:t>
      </w:r>
      <w:r w:rsidR="003D164D">
        <w:t>e harder to meet the targets</w:t>
      </w:r>
      <w:r>
        <w:t xml:space="preserve">. </w:t>
      </w:r>
    </w:p>
    <w:p w:rsidR="006B2AFA" w:rsidRDefault="003433CD" w:rsidP="006B2AFA">
      <w:pPr>
        <w:pStyle w:val="UnnumtextBodytext"/>
      </w:pPr>
      <w:r>
        <w:t>S</w:t>
      </w:r>
      <w:r w:rsidR="00650E14">
        <w:t>takeholder</w:t>
      </w:r>
      <w:r w:rsidR="00CC4D03">
        <w:t xml:space="preserve">s </w:t>
      </w:r>
      <w:r>
        <w:t xml:space="preserve">based at </w:t>
      </w:r>
      <w:r w:rsidR="00470AF1">
        <w:t xml:space="preserve">rural </w:t>
      </w:r>
      <w:r>
        <w:t>sites that host the bus tended to agree that the alternative would be for patients to travel to a base hospital for their day surgery</w:t>
      </w:r>
      <w:r w:rsidR="00484671">
        <w:t xml:space="preserve">. These local stakeholders also </w:t>
      </w:r>
      <w:r w:rsidR="009672BB">
        <w:t xml:space="preserve">tended to comment </w:t>
      </w:r>
      <w:r w:rsidR="00484671">
        <w:t>on what that additional travel might mean for patients</w:t>
      </w:r>
      <w:r w:rsidR="00D0036E">
        <w:t xml:space="preserve"> and their families</w:t>
      </w:r>
      <w:r w:rsidR="00484671">
        <w:t>. The following quotes from g</w:t>
      </w:r>
      <w:r w:rsidR="006B2AFA">
        <w:t xml:space="preserve">eneral </w:t>
      </w:r>
      <w:r w:rsidR="00D87E36">
        <w:t>managers</w:t>
      </w:r>
      <w:r w:rsidR="006B2AFA">
        <w:t xml:space="preserve"> at </w:t>
      </w:r>
      <w:r w:rsidR="006256D8">
        <w:t>four</w:t>
      </w:r>
      <w:r w:rsidR="00D87E36">
        <w:t xml:space="preserve"> </w:t>
      </w:r>
      <w:r w:rsidR="006B2AFA">
        <w:t>rural hospital</w:t>
      </w:r>
      <w:r w:rsidR="00D87E36">
        <w:t>s</w:t>
      </w:r>
      <w:r w:rsidR="00484671">
        <w:t xml:space="preserve"> point to some </w:t>
      </w:r>
      <w:r w:rsidR="00AB3943">
        <w:t>patients – typically children or older people – being less likely to travel or having to wait longer.</w:t>
      </w:r>
    </w:p>
    <w:p w:rsidR="001A5CB9" w:rsidRDefault="00D87E36" w:rsidP="00D87E36">
      <w:pPr>
        <w:pStyle w:val="Quotation"/>
      </w:pPr>
      <w:r>
        <w:t>T</w:t>
      </w:r>
      <w:r w:rsidR="001A5CB9">
        <w:t>here would be more kids not getting the surgery they need</w:t>
      </w:r>
      <w:r w:rsidR="00AB3943">
        <w:t xml:space="preserve">… Sometimes </w:t>
      </w:r>
      <w:proofErr w:type="spellStart"/>
      <w:r w:rsidR="00AB3943">
        <w:t>paediatric</w:t>
      </w:r>
      <w:proofErr w:type="spellEnd"/>
      <w:r w:rsidR="00AB3943">
        <w:t xml:space="preserve"> </w:t>
      </w:r>
      <w:r w:rsidR="001A5CB9">
        <w:t xml:space="preserve">dental problems reflect how much effort </w:t>
      </w:r>
      <w:r w:rsidR="00AB3943">
        <w:t xml:space="preserve">is </w:t>
      </w:r>
      <w:r w:rsidR="001A5CB9">
        <w:t>put into the</w:t>
      </w:r>
      <w:r w:rsidR="00AB3943">
        <w:t>ir</w:t>
      </w:r>
      <w:r w:rsidR="001A5CB9">
        <w:t xml:space="preserve"> health</w:t>
      </w:r>
      <w:r>
        <w:t xml:space="preserve"> and care overall. So </w:t>
      </w:r>
      <w:r w:rsidR="001A5CB9">
        <w:t>the easier it is to access services</w:t>
      </w:r>
      <w:r w:rsidR="00484671">
        <w:t>,</w:t>
      </w:r>
      <w:r w:rsidR="001A5CB9">
        <w:t xml:space="preserve"> the more likely they are to attend</w:t>
      </w:r>
      <w:r>
        <w:t>.</w:t>
      </w:r>
      <w:r w:rsidR="001A5CB9">
        <w:t xml:space="preserve"> </w:t>
      </w:r>
    </w:p>
    <w:p w:rsidR="00877362" w:rsidRDefault="00877362" w:rsidP="00D87E36">
      <w:pPr>
        <w:pStyle w:val="Quotation"/>
      </w:pPr>
      <w:r>
        <w:t>M</w:t>
      </w:r>
      <w:r w:rsidRPr="00045B59">
        <w:t>any parents who</w:t>
      </w:r>
      <w:r>
        <w:t>’</w:t>
      </w:r>
      <w:r w:rsidR="006256D8">
        <w:t xml:space="preserve">ve had kids on… </w:t>
      </w:r>
      <w:r>
        <w:t>say they’</w:t>
      </w:r>
      <w:r w:rsidRPr="00045B59">
        <w:t xml:space="preserve">d never have </w:t>
      </w:r>
      <w:r>
        <w:t>g</w:t>
      </w:r>
      <w:r w:rsidRPr="00045B59">
        <w:t>one through it without the bus</w:t>
      </w:r>
      <w:r>
        <w:t>.</w:t>
      </w:r>
    </w:p>
    <w:p w:rsidR="00AB3943" w:rsidRDefault="00AB3943" w:rsidP="00AB3943">
      <w:pPr>
        <w:pStyle w:val="Quotation"/>
      </w:pPr>
      <w:r w:rsidRPr="00FB01F1">
        <w:t xml:space="preserve">If </w:t>
      </w:r>
      <w:r>
        <w:t xml:space="preserve">there were </w:t>
      </w:r>
      <w:r w:rsidRPr="00FB01F1">
        <w:t xml:space="preserve">no </w:t>
      </w:r>
      <w:r>
        <w:t>service, the patients would have to travel to [base hospital].</w:t>
      </w:r>
      <w:r w:rsidRPr="00FB01F1">
        <w:t xml:space="preserve"> </w:t>
      </w:r>
      <w:r>
        <w:t>It c</w:t>
      </w:r>
      <w:r w:rsidRPr="00FB01F1">
        <w:t>ould be a</w:t>
      </w:r>
      <w:r>
        <w:t xml:space="preserve"> barrier</w:t>
      </w:r>
      <w:r w:rsidRPr="00FB01F1">
        <w:t xml:space="preserve"> for some</w:t>
      </w:r>
      <w:r>
        <w:t xml:space="preserve">, such as the </w:t>
      </w:r>
      <w:r w:rsidRPr="00FB01F1">
        <w:t xml:space="preserve">elderly </w:t>
      </w:r>
      <w:r>
        <w:t>population. I</w:t>
      </w:r>
      <w:r w:rsidRPr="00FB01F1">
        <w:t xml:space="preserve"> wouldn’t say generally</w:t>
      </w:r>
      <w:r>
        <w:t>,</w:t>
      </w:r>
      <w:r w:rsidRPr="00FB01F1">
        <w:t xml:space="preserve"> </w:t>
      </w:r>
      <w:r w:rsidRPr="006B2AFA">
        <w:t>but</w:t>
      </w:r>
      <w:r w:rsidRPr="00FB01F1">
        <w:t xml:space="preserve"> it</w:t>
      </w:r>
      <w:r>
        <w:t>’</w:t>
      </w:r>
      <w:r w:rsidRPr="00FB01F1">
        <w:t xml:space="preserve">s plausible </w:t>
      </w:r>
      <w:r>
        <w:t xml:space="preserve">that </w:t>
      </w:r>
      <w:r w:rsidRPr="00FB01F1">
        <w:t>some people wo</w:t>
      </w:r>
      <w:r>
        <w:t>u</w:t>
      </w:r>
      <w:r w:rsidRPr="00FB01F1">
        <w:t>ld f</w:t>
      </w:r>
      <w:r>
        <w:t>i</w:t>
      </w:r>
      <w:r w:rsidRPr="00FB01F1">
        <w:t xml:space="preserve">nd it a barrier </w:t>
      </w:r>
      <w:r>
        <w:t>t</w:t>
      </w:r>
      <w:r w:rsidRPr="00FB01F1">
        <w:t>o trav</w:t>
      </w:r>
      <w:r>
        <w:t>el.</w:t>
      </w:r>
    </w:p>
    <w:p w:rsidR="001A5CB9" w:rsidRDefault="006256D8" w:rsidP="006B2AFA">
      <w:pPr>
        <w:pStyle w:val="Quotation"/>
      </w:pPr>
      <w:r>
        <w:t xml:space="preserve">The </w:t>
      </w:r>
      <w:r w:rsidR="001A5CB9">
        <w:t xml:space="preserve">kids would have to wait </w:t>
      </w:r>
      <w:r w:rsidR="00D87E36">
        <w:t>for capacity at</w:t>
      </w:r>
      <w:r w:rsidR="001A5CB9">
        <w:t xml:space="preserve"> [base hospital] </w:t>
      </w:r>
      <w:r w:rsidR="00D87E36">
        <w:t xml:space="preserve">as </w:t>
      </w:r>
      <w:r>
        <w:t xml:space="preserve">it has </w:t>
      </w:r>
      <w:r w:rsidR="001A5CB9">
        <w:t>limited theatre sessio</w:t>
      </w:r>
      <w:r w:rsidR="00D87E36">
        <w:t>n</w:t>
      </w:r>
      <w:r w:rsidR="00AB3943">
        <w:t>s</w:t>
      </w:r>
      <w:r w:rsidR="001A5CB9">
        <w:t xml:space="preserve"> allocated to dental </w:t>
      </w:r>
      <w:r w:rsidR="00D87E36">
        <w:t>surgery. The w</w:t>
      </w:r>
      <w:r w:rsidR="00D87E36" w:rsidRPr="00D87E36">
        <w:t>ait list</w:t>
      </w:r>
      <w:r w:rsidR="00D87E36">
        <w:t xml:space="preserve"> </w:t>
      </w:r>
      <w:r w:rsidR="00D87E36" w:rsidRPr="00D87E36">
        <w:t xml:space="preserve">is longer for </w:t>
      </w:r>
      <w:proofErr w:type="spellStart"/>
      <w:r w:rsidR="00D87E36">
        <w:t>paediatric</w:t>
      </w:r>
      <w:proofErr w:type="spellEnd"/>
      <w:r w:rsidR="00D87E36">
        <w:t xml:space="preserve"> </w:t>
      </w:r>
      <w:r w:rsidR="00D87E36" w:rsidRPr="00D87E36">
        <w:t>dental</w:t>
      </w:r>
      <w:r>
        <w:t xml:space="preserve"> there</w:t>
      </w:r>
      <w:r w:rsidR="00D87E36">
        <w:t>.</w:t>
      </w:r>
    </w:p>
    <w:p w:rsidR="006B2AFA" w:rsidRDefault="00AB3943" w:rsidP="006B2AFA">
      <w:pPr>
        <w:pStyle w:val="UnnumtextBodytext"/>
      </w:pPr>
      <w:r>
        <w:lastRenderedPageBreak/>
        <w:t xml:space="preserve">Two </w:t>
      </w:r>
      <w:r w:rsidR="006B2AFA">
        <w:t>nurse</w:t>
      </w:r>
      <w:r w:rsidR="00D0036E">
        <w:t xml:space="preserve">s </w:t>
      </w:r>
      <w:r w:rsidR="006B2AFA">
        <w:t xml:space="preserve">who work on the bus </w:t>
      </w:r>
      <w:r w:rsidR="00D0036E">
        <w:t xml:space="preserve">at </w:t>
      </w:r>
      <w:r w:rsidR="009672BB">
        <w:t xml:space="preserve">two </w:t>
      </w:r>
      <w:r>
        <w:t>di</w:t>
      </w:r>
      <w:r w:rsidR="00D0036E">
        <w:t>f</w:t>
      </w:r>
      <w:r>
        <w:t>f</w:t>
      </w:r>
      <w:r w:rsidR="00D0036E">
        <w:t>e</w:t>
      </w:r>
      <w:r>
        <w:t>r</w:t>
      </w:r>
      <w:r w:rsidR="00D0036E">
        <w:t xml:space="preserve">ent </w:t>
      </w:r>
      <w:r w:rsidR="009672BB">
        <w:t xml:space="preserve">rural </w:t>
      </w:r>
      <w:r w:rsidR="00D0036E">
        <w:t xml:space="preserve">sites </w:t>
      </w:r>
      <w:r w:rsidR="006B2AFA">
        <w:t>commented</w:t>
      </w:r>
      <w:r w:rsidR="00D0036E">
        <w:t xml:space="preserve"> on the </w:t>
      </w:r>
      <w:r>
        <w:t>transport barriers facing some of the families with a child needing day surgery.</w:t>
      </w:r>
    </w:p>
    <w:p w:rsidR="003D164D" w:rsidRDefault="003D164D" w:rsidP="006B2AFA">
      <w:pPr>
        <w:pStyle w:val="Quotation"/>
      </w:pPr>
      <w:r>
        <w:t xml:space="preserve">If </w:t>
      </w:r>
      <w:r w:rsidR="006B2AFA">
        <w:t xml:space="preserve">there was </w:t>
      </w:r>
      <w:r>
        <w:t xml:space="preserve">no </w:t>
      </w:r>
      <w:r w:rsidR="006B2AFA">
        <w:t xml:space="preserve">bus </w:t>
      </w:r>
      <w:r>
        <w:t>service a lot of kids would fall through the gaps</w:t>
      </w:r>
      <w:r w:rsidR="006B2AFA">
        <w:t xml:space="preserve">, </w:t>
      </w:r>
      <w:r>
        <w:t>definitely</w:t>
      </w:r>
      <w:r w:rsidR="006B2AFA">
        <w:t>.</w:t>
      </w:r>
      <w:r>
        <w:t xml:space="preserve"> </w:t>
      </w:r>
      <w:r w:rsidR="006B2AFA">
        <w:t>A</w:t>
      </w:r>
      <w:r>
        <w:t xml:space="preserve"> lot of people haven’t got the money or transport to get to </w:t>
      </w:r>
      <w:r w:rsidR="006B2AFA">
        <w:t>[base hospital]. My</w:t>
      </w:r>
      <w:r>
        <w:t xml:space="preserve"> opinion </w:t>
      </w:r>
      <w:r w:rsidR="006B2AFA">
        <w:t xml:space="preserve">is </w:t>
      </w:r>
      <w:r>
        <w:t>based on what I’ve seen</w:t>
      </w:r>
      <w:r w:rsidR="006B2AFA">
        <w:t xml:space="preserve"> </w:t>
      </w:r>
      <w:r w:rsidR="003433CD">
        <w:t>–</w:t>
      </w:r>
      <w:r w:rsidR="006B2AFA">
        <w:t xml:space="preserve"> such as families with n</w:t>
      </w:r>
      <w:r>
        <w:t>o car or no money for petrol</w:t>
      </w:r>
      <w:r w:rsidR="006B2AFA">
        <w:t>, or where mum is working</w:t>
      </w:r>
      <w:r w:rsidR="003433CD">
        <w:t>,</w:t>
      </w:r>
      <w:r w:rsidR="006B2AFA">
        <w:t xml:space="preserve"> or even where there is </w:t>
      </w:r>
      <w:r>
        <w:t>no reliable care</w:t>
      </w:r>
      <w:r w:rsidR="006B2AFA">
        <w:t>giver.</w:t>
      </w:r>
    </w:p>
    <w:p w:rsidR="001A5CB9" w:rsidRDefault="001A5CB9" w:rsidP="006B2AFA">
      <w:pPr>
        <w:pStyle w:val="Quotation"/>
      </w:pPr>
      <w:r w:rsidRPr="00EA0C4E">
        <w:t xml:space="preserve">They’d have to travel – but it’s no fun getting over </w:t>
      </w:r>
      <w:r>
        <w:t>th</w:t>
      </w:r>
      <w:r w:rsidR="00AB3943">
        <w:t>os</w:t>
      </w:r>
      <w:r>
        <w:t xml:space="preserve">e </w:t>
      </w:r>
      <w:r w:rsidRPr="00EA0C4E">
        <w:t>winding roads with a post-</w:t>
      </w:r>
      <w:proofErr w:type="spellStart"/>
      <w:r w:rsidRPr="00EA0C4E">
        <w:t>anaesthetic</w:t>
      </w:r>
      <w:proofErr w:type="spellEnd"/>
      <w:r w:rsidRPr="00EA0C4E">
        <w:t xml:space="preserve"> kid</w:t>
      </w:r>
      <w:r>
        <w:t xml:space="preserve">. </w:t>
      </w:r>
      <w:r w:rsidRPr="00C6278A">
        <w:t>Those that need the service most probably wouldn’t end up going</w:t>
      </w:r>
      <w:r>
        <w:t>.</w:t>
      </w:r>
    </w:p>
    <w:p w:rsidR="00AB3943" w:rsidRDefault="00484671" w:rsidP="00AB3943">
      <w:r>
        <w:t xml:space="preserve">The clinical manager of a </w:t>
      </w:r>
      <w:proofErr w:type="spellStart"/>
      <w:r>
        <w:t>hauroa</w:t>
      </w:r>
      <w:proofErr w:type="spellEnd"/>
      <w:r>
        <w:t xml:space="preserve"> provider </w:t>
      </w:r>
      <w:r w:rsidR="00585C7B">
        <w:t xml:space="preserve">and general practitioner at a rural medical </w:t>
      </w:r>
      <w:proofErr w:type="spellStart"/>
      <w:r w:rsidR="00585C7B">
        <w:t>centre</w:t>
      </w:r>
      <w:proofErr w:type="spellEnd"/>
      <w:r w:rsidR="00585C7B">
        <w:t xml:space="preserve"> </w:t>
      </w:r>
      <w:r w:rsidR="00D0036E">
        <w:t xml:space="preserve">also </w:t>
      </w:r>
      <w:r w:rsidR="00585C7B">
        <w:t>noted that, in their view, some famili</w:t>
      </w:r>
      <w:r w:rsidR="00D0036E">
        <w:t xml:space="preserve">es </w:t>
      </w:r>
      <w:r w:rsidR="00585C7B">
        <w:t>may struggle to get their child to a base hospital.</w:t>
      </w:r>
    </w:p>
    <w:p w:rsidR="003433CD" w:rsidRDefault="001A5CB9" w:rsidP="00484671">
      <w:pPr>
        <w:pStyle w:val="Quotation"/>
      </w:pPr>
      <w:r>
        <w:t xml:space="preserve">Otherwise we’d have to send </w:t>
      </w:r>
      <w:r w:rsidR="00484671">
        <w:t xml:space="preserve">the </w:t>
      </w:r>
      <w:r>
        <w:t xml:space="preserve">kids to </w:t>
      </w:r>
      <w:r w:rsidR="00484671">
        <w:t>[base hospital]</w:t>
      </w:r>
      <w:r>
        <w:t xml:space="preserve"> – half wouldn’t go because the parents couldn’t get them </w:t>
      </w:r>
      <w:r w:rsidR="00484671">
        <w:t xml:space="preserve">there. </w:t>
      </w:r>
    </w:p>
    <w:p w:rsidR="003433CD" w:rsidRDefault="003433CD" w:rsidP="00DA0AC3">
      <w:pPr>
        <w:pStyle w:val="Quotation"/>
      </w:pPr>
      <w:r>
        <w:t xml:space="preserve">There’s high need for </w:t>
      </w:r>
      <w:proofErr w:type="spellStart"/>
      <w:r>
        <w:t>paediatric</w:t>
      </w:r>
      <w:proofErr w:type="spellEnd"/>
      <w:r>
        <w:t xml:space="preserve"> dental but [the surgery] wouldn’t get done if it’s not here. Some families wouldn’t be able to sort the transport.</w:t>
      </w:r>
    </w:p>
    <w:p w:rsidR="00650E14" w:rsidRPr="00AE3505" w:rsidRDefault="00650E14" w:rsidP="00650E14">
      <w:pPr>
        <w:pStyle w:val="Heading3"/>
      </w:pPr>
      <w:bookmarkStart w:id="108" w:name="_Toc423945938"/>
      <w:r>
        <w:t>Most patients w</w:t>
      </w:r>
      <w:r w:rsidRPr="00AE3505">
        <w:t>ould</w:t>
      </w:r>
      <w:r>
        <w:t xml:space="preserve"> </w:t>
      </w:r>
      <w:r w:rsidRPr="00AE3505">
        <w:t>travel</w:t>
      </w:r>
      <w:r>
        <w:t xml:space="preserve"> </w:t>
      </w:r>
      <w:r w:rsidRPr="00AE3505">
        <w:t xml:space="preserve">further </w:t>
      </w:r>
      <w:r>
        <w:t xml:space="preserve">for their </w:t>
      </w:r>
      <w:r w:rsidRPr="00AE3505">
        <w:t>surgery</w:t>
      </w:r>
      <w:bookmarkEnd w:id="108"/>
    </w:p>
    <w:p w:rsidR="00650E14" w:rsidRDefault="004B4973" w:rsidP="00650E14">
      <w:r>
        <w:t>To test perceptions of transport barriers, w</w:t>
      </w:r>
      <w:r w:rsidR="00B808C3">
        <w:t xml:space="preserve">e asked patients and caregivers whether they would have travelled to the nearest base hospital, if they had been unable to have surgery on the surgical bus. </w:t>
      </w:r>
      <w:r>
        <w:t>The f</w:t>
      </w:r>
      <w:r w:rsidR="00650E14">
        <w:t xml:space="preserve">inding from the </w:t>
      </w:r>
      <w:r w:rsidR="00B808C3">
        <w:t>telephone interviews and postal survey were</w:t>
      </w:r>
      <w:r w:rsidR="00650E14">
        <w:t xml:space="preserve"> that most patients </w:t>
      </w:r>
      <w:r w:rsidR="00B808C3">
        <w:t xml:space="preserve">(79-86%) </w:t>
      </w:r>
      <w:r w:rsidR="00650E14">
        <w:t>would have travel</w:t>
      </w:r>
      <w:r w:rsidR="00B808C3">
        <w:t>led</w:t>
      </w:r>
      <w:r w:rsidR="00650E14">
        <w:t xml:space="preserve"> further</w:t>
      </w:r>
      <w:r w:rsidR="00B808C3">
        <w:t xml:space="preserve"> </w:t>
      </w:r>
      <w:r w:rsidR="00650E14">
        <w:t xml:space="preserve">if the mobile </w:t>
      </w:r>
      <w:r w:rsidR="00B808C3">
        <w:t xml:space="preserve">service </w:t>
      </w:r>
      <w:r w:rsidR="00650E14">
        <w:t>had not been available.</w:t>
      </w:r>
    </w:p>
    <w:p w:rsidR="00650E14" w:rsidRDefault="00650E14" w:rsidP="00585C7B">
      <w:pPr>
        <w:pStyle w:val="UnnumtextBullet1"/>
        <w:spacing w:after="170"/>
      </w:pPr>
      <w:r>
        <w:rPr>
          <w:b/>
        </w:rPr>
        <w:t>Patient t</w:t>
      </w:r>
      <w:r w:rsidRPr="00A6528A">
        <w:rPr>
          <w:b/>
        </w:rPr>
        <w:t>elephone interviews</w:t>
      </w:r>
      <w:r>
        <w:t xml:space="preserve"> – 79%, or 22/28 interviewees said that they would have agreed to travel further for the surgery if they had not been able to have the service on the surgical bus. The remaining 21% stated that they would not have travelled further.</w:t>
      </w:r>
    </w:p>
    <w:p w:rsidR="00650E14" w:rsidRDefault="00650E14" w:rsidP="00585C7B">
      <w:pPr>
        <w:pStyle w:val="UnnumtextBullet1"/>
        <w:spacing w:after="170"/>
      </w:pPr>
      <w:r>
        <w:rPr>
          <w:b/>
        </w:rPr>
        <w:t>Patient postal survey</w:t>
      </w:r>
      <w:r>
        <w:t xml:space="preserve"> –</w:t>
      </w:r>
      <w:r w:rsidRPr="00927345">
        <w:t xml:space="preserve"> </w:t>
      </w:r>
      <w:r>
        <w:t>86% or 37/42 respondents answered that they would have agreed to travel further for the surgery. The remaining 14% stated that they would not.</w:t>
      </w:r>
    </w:p>
    <w:p w:rsidR="00D0036E" w:rsidRDefault="00D0036E" w:rsidP="00B71581">
      <w:pPr>
        <w:pStyle w:val="Caption"/>
        <w:spacing w:before="100" w:beforeAutospacing="1" w:after="20"/>
      </w:pPr>
      <w:bookmarkStart w:id="109" w:name="_Toc423945991"/>
      <w:r>
        <w:t xml:space="preserve">Figure </w:t>
      </w:r>
      <w:fldSimple w:instr=" SEQ Figure \* ARABIC ">
        <w:r w:rsidR="00CA314A">
          <w:rPr>
            <w:noProof/>
          </w:rPr>
          <w:t>12</w:t>
        </w:r>
      </w:fldSimple>
      <w:r>
        <w:rPr>
          <w:noProof/>
        </w:rPr>
        <w:t>:</w:t>
      </w:r>
      <w:r>
        <w:t xml:space="preserve"> W</w:t>
      </w:r>
      <w:r w:rsidR="00585C7B">
        <w:t xml:space="preserve">hether patients would have </w:t>
      </w:r>
      <w:r>
        <w:t>travel</w:t>
      </w:r>
      <w:r w:rsidR="00585C7B">
        <w:t>led</w:t>
      </w:r>
      <w:r>
        <w:t xml:space="preserve"> further</w:t>
      </w:r>
      <w:r w:rsidR="00585C7B">
        <w:t xml:space="preserve"> for the service</w:t>
      </w:r>
      <w:bookmarkEnd w:id="109"/>
    </w:p>
    <w:p w:rsidR="00AB3943" w:rsidRDefault="006D1799" w:rsidP="00B71581">
      <w:pPr>
        <w:pStyle w:val="Sourceinformation"/>
        <w:spacing w:after="0"/>
        <w:ind w:hanging="84"/>
        <w:rPr>
          <w:b/>
          <w:sz w:val="20"/>
        </w:rPr>
      </w:pPr>
      <w:r>
        <w:rPr>
          <w:noProof/>
          <w:lang w:val="en-NZ" w:eastAsia="en-NZ"/>
        </w:rPr>
        <w:drawing>
          <wp:inline distT="0" distB="0" distL="0" distR="0" wp14:anchorId="1C321EE7" wp14:editId="49D8348C">
            <wp:extent cx="4610100" cy="27717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036E" w:rsidRPr="00D0036E" w:rsidRDefault="00D0036E" w:rsidP="00585C7B">
      <w:pPr>
        <w:pStyle w:val="Sourceinformation"/>
        <w:spacing w:before="40" w:after="120"/>
        <w:rPr>
          <w:sz w:val="20"/>
        </w:rPr>
      </w:pPr>
      <w:r w:rsidRPr="00D0036E">
        <w:rPr>
          <w:b/>
          <w:sz w:val="20"/>
        </w:rPr>
        <w:t>Source:</w:t>
      </w:r>
      <w:r w:rsidRPr="00D0036E">
        <w:rPr>
          <w:sz w:val="20"/>
        </w:rPr>
        <w:t xml:space="preserve"> </w:t>
      </w:r>
      <w:proofErr w:type="spellStart"/>
      <w:r w:rsidRPr="00D0036E">
        <w:rPr>
          <w:sz w:val="20"/>
        </w:rPr>
        <w:t>Sapere</w:t>
      </w:r>
      <w:proofErr w:type="spellEnd"/>
      <w:r w:rsidRPr="00D0036E">
        <w:rPr>
          <w:sz w:val="20"/>
        </w:rPr>
        <w:t xml:space="preserve"> Research Group</w:t>
      </w:r>
    </w:p>
    <w:p w:rsidR="00650E14" w:rsidRDefault="00650E14" w:rsidP="00650E14">
      <w:pPr>
        <w:pStyle w:val="UnnumtextBodytext"/>
      </w:pPr>
      <w:r>
        <w:lastRenderedPageBreak/>
        <w:t>The following quote</w:t>
      </w:r>
      <w:r w:rsidR="00AB3943">
        <w:t>s</w:t>
      </w:r>
      <w:r>
        <w:t xml:space="preserve"> from </w:t>
      </w:r>
      <w:r w:rsidR="00AB3943">
        <w:t xml:space="preserve">caregivers </w:t>
      </w:r>
      <w:r>
        <w:t>reflect many of the statements made by those who stated that they would have travelled further in the absence of the mobile surgical bus.</w:t>
      </w:r>
    </w:p>
    <w:p w:rsidR="00650E14" w:rsidRDefault="00650E14" w:rsidP="00650E14">
      <w:pPr>
        <w:pStyle w:val="Quotation"/>
      </w:pPr>
      <w:r>
        <w:t>Before the surgery she was on so many pain medications, including some that are addictive.  She is a preschooler. I knew I had to get her off those medications as soon as possible. So yes, I would</w:t>
      </w:r>
      <w:r w:rsidR="00B808C3">
        <w:t>’</w:t>
      </w:r>
      <w:r>
        <w:t>ve had to travel further.</w:t>
      </w:r>
    </w:p>
    <w:p w:rsidR="00AB3943" w:rsidRDefault="00AB3943" w:rsidP="00650E14">
      <w:pPr>
        <w:pStyle w:val="Quotation"/>
      </w:pPr>
      <w:r>
        <w:t xml:space="preserve">Yes, as he was in so much pain, he’d stopped eating. Now he’s enjoying </w:t>
      </w:r>
      <w:r w:rsidR="004910DB">
        <w:t xml:space="preserve">kai </w:t>
      </w:r>
      <w:r>
        <w:t>again.</w:t>
      </w:r>
    </w:p>
    <w:p w:rsidR="00A74F13" w:rsidRDefault="00A74F13" w:rsidP="00650E14">
      <w:pPr>
        <w:pStyle w:val="UnnumtextBodytext"/>
      </w:pPr>
      <w:r w:rsidRPr="00ED60E6">
        <w:t xml:space="preserve">It should be noted that the question of </w:t>
      </w:r>
      <w:r>
        <w:t xml:space="preserve">whether people would travel further was posed </w:t>
      </w:r>
      <w:r w:rsidRPr="00ED60E6">
        <w:t xml:space="preserve">post-surgery, when </w:t>
      </w:r>
      <w:r>
        <w:t>most patients</w:t>
      </w:r>
      <w:r w:rsidRPr="00ED60E6">
        <w:t xml:space="preserve"> had an excellent experience and health improvement</w:t>
      </w:r>
      <w:r>
        <w:t xml:space="preserve">. </w:t>
      </w:r>
      <w:r w:rsidR="006D1799">
        <w:t xml:space="preserve">It </w:t>
      </w:r>
      <w:r w:rsidR="00C9654A">
        <w:t xml:space="preserve">is </w:t>
      </w:r>
      <w:r w:rsidR="006D1799">
        <w:t xml:space="preserve">therefore </w:t>
      </w:r>
      <w:r>
        <w:t xml:space="preserve">possible that these figures are </w:t>
      </w:r>
      <w:r w:rsidR="00C9654A">
        <w:t xml:space="preserve">positively influenced </w:t>
      </w:r>
      <w:r>
        <w:t xml:space="preserve">by the fact </w:t>
      </w:r>
      <w:r w:rsidR="00E330CD">
        <w:t>th</w:t>
      </w:r>
      <w:r w:rsidR="006D1799">
        <w:t>at</w:t>
      </w:r>
      <w:r w:rsidR="00E330CD">
        <w:t xml:space="preserve"> </w:t>
      </w:r>
      <w:r w:rsidR="00C9654A">
        <w:t xml:space="preserve">these </w:t>
      </w:r>
      <w:r w:rsidR="00E330CD">
        <w:t xml:space="preserve">patients </w:t>
      </w:r>
      <w:r w:rsidR="006D1799">
        <w:t xml:space="preserve">and their caregivers </w:t>
      </w:r>
      <w:r w:rsidR="00C9654A">
        <w:t>are</w:t>
      </w:r>
      <w:r>
        <w:t xml:space="preserve"> in a </w:t>
      </w:r>
      <w:r w:rsidR="00E330CD">
        <w:t xml:space="preserve">better </w:t>
      </w:r>
      <w:r>
        <w:t xml:space="preserve">position to weigh up the costs and benefits of </w:t>
      </w:r>
      <w:r w:rsidR="00C9654A">
        <w:t xml:space="preserve">accessing a </w:t>
      </w:r>
      <w:r w:rsidR="00E330CD">
        <w:t xml:space="preserve">surgical </w:t>
      </w:r>
      <w:r w:rsidR="00C9654A">
        <w:t>treatment</w:t>
      </w:r>
      <w:r>
        <w:t>.</w:t>
      </w:r>
    </w:p>
    <w:p w:rsidR="00A74F13" w:rsidRDefault="006A21CB" w:rsidP="00A74F13">
      <w:pPr>
        <w:pStyle w:val="Heading3"/>
      </w:pPr>
      <w:bookmarkStart w:id="110" w:name="_Toc423945939"/>
      <w:r>
        <w:t>Up to</w:t>
      </w:r>
      <w:r w:rsidR="00A74F13">
        <w:t xml:space="preserve"> 300 patients per year </w:t>
      </w:r>
      <w:r w:rsidR="00960323">
        <w:t xml:space="preserve">may </w:t>
      </w:r>
      <w:r w:rsidR="00A74F13">
        <w:t xml:space="preserve">not otherwise </w:t>
      </w:r>
      <w:r w:rsidR="00D87E36">
        <w:t>access</w:t>
      </w:r>
      <w:r w:rsidR="00A74F13">
        <w:t xml:space="preserve"> surgery</w:t>
      </w:r>
      <w:bookmarkEnd w:id="110"/>
      <w:r w:rsidR="00A74F13">
        <w:t xml:space="preserve"> </w:t>
      </w:r>
    </w:p>
    <w:p w:rsidR="00A74F13" w:rsidRDefault="00A74F13" w:rsidP="00650E14">
      <w:pPr>
        <w:pStyle w:val="UnnumtextBodytext"/>
      </w:pPr>
      <w:r>
        <w:t>Focusing on th</w:t>
      </w:r>
      <w:r w:rsidR="00960323">
        <w:t>ose</w:t>
      </w:r>
      <w:r>
        <w:t xml:space="preserve"> who would not have travelled further for the</w:t>
      </w:r>
      <w:r w:rsidR="00C66F78">
        <w:t>ir</w:t>
      </w:r>
      <w:r>
        <w:t xml:space="preserve"> surgery, the </w:t>
      </w:r>
      <w:r w:rsidR="00960323">
        <w:t>results from</w:t>
      </w:r>
      <w:r>
        <w:t xml:space="preserve"> the telephone interviews and postal survey </w:t>
      </w:r>
      <w:r w:rsidR="00650E14">
        <w:t xml:space="preserve">suggest </w:t>
      </w:r>
      <w:r w:rsidR="00C66F78">
        <w:t xml:space="preserve">the plausible range is </w:t>
      </w:r>
      <w:r w:rsidR="00650E14">
        <w:t>14-21% of patients</w:t>
      </w:r>
      <w:r w:rsidR="00C66F78">
        <w:t xml:space="preserve">. </w:t>
      </w:r>
      <w:r w:rsidRPr="00AF1B82">
        <w:rPr>
          <w:b/>
        </w:rPr>
        <w:t>This</w:t>
      </w:r>
      <w:r w:rsidR="007D62EC" w:rsidRPr="00AF1B82">
        <w:rPr>
          <w:b/>
        </w:rPr>
        <w:t xml:space="preserve"> range</w:t>
      </w:r>
      <w:r w:rsidRPr="00AF1B82">
        <w:rPr>
          <w:b/>
        </w:rPr>
        <w:t xml:space="preserve"> equate</w:t>
      </w:r>
      <w:r w:rsidR="00AF1B82">
        <w:rPr>
          <w:b/>
        </w:rPr>
        <w:t>s</w:t>
      </w:r>
      <w:r w:rsidRPr="00AF1B82">
        <w:rPr>
          <w:b/>
        </w:rPr>
        <w:t xml:space="preserve"> to 210-320 patients from among the </w:t>
      </w:r>
      <w:r w:rsidR="007D62EC" w:rsidRPr="00AF1B82">
        <w:rPr>
          <w:b/>
        </w:rPr>
        <w:t xml:space="preserve">approximately </w:t>
      </w:r>
      <w:r w:rsidRPr="00AF1B82">
        <w:rPr>
          <w:b/>
        </w:rPr>
        <w:t xml:space="preserve">1,500 patients, who, on average, receive </w:t>
      </w:r>
      <w:r w:rsidR="007D62EC" w:rsidRPr="00AF1B82">
        <w:rPr>
          <w:b/>
        </w:rPr>
        <w:t>day s</w:t>
      </w:r>
      <w:r w:rsidRPr="00AF1B82">
        <w:rPr>
          <w:b/>
        </w:rPr>
        <w:t xml:space="preserve">urgery on the </w:t>
      </w:r>
      <w:r w:rsidR="00960323" w:rsidRPr="00AF1B82">
        <w:rPr>
          <w:b/>
        </w:rPr>
        <w:t xml:space="preserve">mobile surgical </w:t>
      </w:r>
      <w:r w:rsidRPr="00AF1B82">
        <w:rPr>
          <w:b/>
        </w:rPr>
        <w:t>bus each year</w:t>
      </w:r>
      <w:r>
        <w:t>.</w:t>
      </w:r>
      <w:r w:rsidRPr="00A74F13">
        <w:t xml:space="preserve"> </w:t>
      </w:r>
      <w:r w:rsidR="00E330CD">
        <w:t xml:space="preserve">These are patients who have been assessed as meeting the threshold for elective surgery by their district health board. </w:t>
      </w:r>
      <w:r w:rsidR="007D62EC">
        <w:t>Therefore, i</w:t>
      </w:r>
      <w:r>
        <w:t xml:space="preserve">n the absence of the </w:t>
      </w:r>
      <w:r w:rsidR="00C9654A">
        <w:t>mobile service</w:t>
      </w:r>
      <w:r>
        <w:t xml:space="preserve">, </w:t>
      </w:r>
      <w:r w:rsidR="00960323">
        <w:t xml:space="preserve">it </w:t>
      </w:r>
      <w:r w:rsidR="006A21CB">
        <w:t xml:space="preserve">seems </w:t>
      </w:r>
      <w:r w:rsidR="00ED1087">
        <w:t xml:space="preserve">reasonable </w:t>
      </w:r>
      <w:r w:rsidR="007D62EC">
        <w:t xml:space="preserve">to conclude </w:t>
      </w:r>
      <w:r w:rsidR="00960323">
        <w:t xml:space="preserve">that </w:t>
      </w:r>
      <w:r w:rsidR="007D62EC">
        <w:t xml:space="preserve">up to 300 patients per year </w:t>
      </w:r>
      <w:r>
        <w:t xml:space="preserve">would not receive </w:t>
      </w:r>
      <w:r w:rsidR="00960323">
        <w:t xml:space="preserve">the surgery required to address their health needs, </w:t>
      </w:r>
      <w:r>
        <w:t>if the</w:t>
      </w:r>
      <w:r w:rsidR="00960323">
        <w:t>ir</w:t>
      </w:r>
      <w:r>
        <w:t xml:space="preserve"> alternative was to travel to a base hospital.</w:t>
      </w:r>
      <w:r w:rsidR="00C66F78">
        <w:t xml:space="preserve"> </w:t>
      </w:r>
    </w:p>
    <w:p w:rsidR="00650E14" w:rsidRDefault="007D62EC" w:rsidP="00650E14">
      <w:pPr>
        <w:pStyle w:val="UnnumtextBodytext"/>
      </w:pPr>
      <w:r>
        <w:t>R</w:t>
      </w:r>
      <w:r w:rsidR="00650E14">
        <w:t xml:space="preserve">espondents </w:t>
      </w:r>
      <w:r>
        <w:t>who stated that they would not have travelled further for their surgery cited a range of reasons or barriers, including:</w:t>
      </w:r>
    </w:p>
    <w:p w:rsidR="00ED1087" w:rsidRDefault="00ED1087" w:rsidP="00ED1087">
      <w:pPr>
        <w:pStyle w:val="UnnumtextBullet1"/>
        <w:spacing w:after="170"/>
      </w:pPr>
      <w:r>
        <w:t>no access to transport;</w:t>
      </w:r>
    </w:p>
    <w:p w:rsidR="00650E14" w:rsidRDefault="00650E14" w:rsidP="007D62EC">
      <w:pPr>
        <w:pStyle w:val="UnnumtextBullet1"/>
        <w:spacing w:after="170"/>
      </w:pPr>
      <w:r>
        <w:t>too costly to pay for transport, food and accommodation;</w:t>
      </w:r>
    </w:p>
    <w:p w:rsidR="00ED1087" w:rsidRDefault="00ED1087" w:rsidP="00ED1087">
      <w:pPr>
        <w:pStyle w:val="UnnumtextBullet1"/>
        <w:spacing w:after="170"/>
      </w:pPr>
      <w:r>
        <w:t>having to take time off work</w:t>
      </w:r>
      <w:r w:rsidR="004910DB">
        <w:t>, or others having to do so</w:t>
      </w:r>
      <w:r>
        <w:t>;</w:t>
      </w:r>
    </w:p>
    <w:p w:rsidR="00ED1087" w:rsidRDefault="00ED1087" w:rsidP="00ED1087">
      <w:pPr>
        <w:pStyle w:val="UnnumtextBullet1"/>
        <w:spacing w:after="170"/>
      </w:pPr>
      <w:r>
        <w:t>having to take two adults;</w:t>
      </w:r>
    </w:p>
    <w:p w:rsidR="00650E14" w:rsidRDefault="00650E14" w:rsidP="007D62EC">
      <w:pPr>
        <w:pStyle w:val="UnnumtextBullet1"/>
        <w:spacing w:after="170"/>
      </w:pPr>
      <w:r>
        <w:t xml:space="preserve">not wanting to travel back with a sick child or elderly person in the car, with potential after-effects of the </w:t>
      </w:r>
      <w:proofErr w:type="spellStart"/>
      <w:r>
        <w:t>anaesthetic</w:t>
      </w:r>
      <w:proofErr w:type="spellEnd"/>
      <w:r>
        <w:t xml:space="preserve">, </w:t>
      </w:r>
      <w:r w:rsidR="00ED1087">
        <w:t xml:space="preserve">such as </w:t>
      </w:r>
      <w:r>
        <w:t>nausea and vomiting;</w:t>
      </w:r>
      <w:r w:rsidR="00ED1087">
        <w:t xml:space="preserve"> and</w:t>
      </w:r>
    </w:p>
    <w:p w:rsidR="00650E14" w:rsidRDefault="00650E14" w:rsidP="007D62EC">
      <w:pPr>
        <w:pStyle w:val="UnnumtextBullet1"/>
        <w:spacing w:after="170"/>
      </w:pPr>
      <w:proofErr w:type="gramStart"/>
      <w:r>
        <w:t>logistical</w:t>
      </w:r>
      <w:proofErr w:type="gramEnd"/>
      <w:r>
        <w:t xml:space="preserve"> issues of child care and the timing of school hours for other children. </w:t>
      </w:r>
    </w:p>
    <w:p w:rsidR="006A21CB" w:rsidRDefault="006A21CB" w:rsidP="008A4B8D">
      <w:pPr>
        <w:pStyle w:val="UnnumtextBodytext"/>
      </w:pPr>
      <w:r>
        <w:t xml:space="preserve">There was no clear correlation between characteristics of those who would not travel to receive surgery if the mobile surgical bus was not available – for example by income, age or ethnicity. This may be due to the relatively small sample sizes. </w:t>
      </w:r>
    </w:p>
    <w:p w:rsidR="00D26175" w:rsidRDefault="00D26175" w:rsidP="00FF6554">
      <w:pPr>
        <w:pStyle w:val="Heading3"/>
      </w:pPr>
      <w:bookmarkStart w:id="111" w:name="_Toc423945940"/>
      <w:r>
        <w:t>Characteristics of patients who stated they would not travel</w:t>
      </w:r>
      <w:r w:rsidR="00E411FF">
        <w:t xml:space="preserve"> further for surgery</w:t>
      </w:r>
      <w:bookmarkEnd w:id="111"/>
    </w:p>
    <w:p w:rsidR="00752220" w:rsidRDefault="00E411FF">
      <w:pPr>
        <w:pStyle w:val="UnnumtextBodytext"/>
      </w:pPr>
      <w:r>
        <w:t>The characteristics of patients who stated they would not travel further for their surgery were examined for any common elements</w:t>
      </w:r>
      <w:r w:rsidR="00D26175" w:rsidRPr="00D26175">
        <w:t xml:space="preserve">. </w:t>
      </w:r>
      <w:r>
        <w:t xml:space="preserve">Summary information on these patients is set out in </w:t>
      </w:r>
      <w:r w:rsidR="00D26175">
        <w:fldChar w:fldCharType="begin"/>
      </w:r>
      <w:r w:rsidR="00D26175">
        <w:instrText xml:space="preserve"> REF _Ref388862134 \h </w:instrText>
      </w:r>
      <w:r w:rsidR="00D26175">
        <w:fldChar w:fldCharType="separate"/>
      </w:r>
      <w:r w:rsidR="00CA314A">
        <w:t xml:space="preserve">Table </w:t>
      </w:r>
      <w:r w:rsidR="00CA314A">
        <w:rPr>
          <w:noProof/>
        </w:rPr>
        <w:t>6</w:t>
      </w:r>
      <w:r w:rsidR="00D26175">
        <w:fldChar w:fldCharType="end"/>
      </w:r>
      <w:r w:rsidR="00D26175">
        <w:t>.</w:t>
      </w:r>
      <w:r w:rsidR="00BB2016">
        <w:t xml:space="preserve"> </w:t>
      </w:r>
      <w:r>
        <w:t>This information must be interpreted with caution, given than t</w:t>
      </w:r>
      <w:r w:rsidR="00435F7F">
        <w:t>he</w:t>
      </w:r>
      <w:r>
        <w:t xml:space="preserve"> absolute number</w:t>
      </w:r>
      <w:r w:rsidR="00752A86">
        <w:t xml:space="preserve">s </w:t>
      </w:r>
      <w:r>
        <w:lastRenderedPageBreak/>
        <w:t xml:space="preserve">involved </w:t>
      </w:r>
      <w:r w:rsidR="00752A86">
        <w:t>are relatively</w:t>
      </w:r>
      <w:r>
        <w:t xml:space="preserve"> small and form a minority of responses from the sample surveys</w:t>
      </w:r>
      <w:r w:rsidR="00435F7F">
        <w:t>. However, we would note the</w:t>
      </w:r>
      <w:r>
        <w:t xml:space="preserve"> patients </w:t>
      </w:r>
      <w:r w:rsidR="00752A86">
        <w:t xml:space="preserve">who stated that they would not travel further </w:t>
      </w:r>
      <w:r>
        <w:t>have the</w:t>
      </w:r>
      <w:r w:rsidR="00435F7F">
        <w:t xml:space="preserve"> following characteristics:</w:t>
      </w:r>
    </w:p>
    <w:p w:rsidR="00435F7F" w:rsidRDefault="00E411FF" w:rsidP="00FF6554">
      <w:pPr>
        <w:pStyle w:val="UnnumtextBullet1"/>
        <w:spacing w:after="170"/>
      </w:pPr>
      <w:r>
        <w:t xml:space="preserve">the patients </w:t>
      </w:r>
      <w:r w:rsidR="00435F7F">
        <w:t>were distri</w:t>
      </w:r>
      <w:r>
        <w:t xml:space="preserve">buted </w:t>
      </w:r>
      <w:r w:rsidR="00435F7F">
        <w:t xml:space="preserve">across the age groups of 0-10, </w:t>
      </w:r>
      <w:r>
        <w:t>21-64, and 65 years &amp; over;</w:t>
      </w:r>
    </w:p>
    <w:p w:rsidR="00435F7F" w:rsidRDefault="00435F7F" w:rsidP="00FF6554">
      <w:pPr>
        <w:pStyle w:val="UnnumtextBullet1"/>
        <w:spacing w:after="170"/>
      </w:pPr>
      <w:r>
        <w:t xml:space="preserve">most </w:t>
      </w:r>
      <w:r w:rsidR="00E411FF">
        <w:t>patient</w:t>
      </w:r>
      <w:r>
        <w:t xml:space="preserve">s tended to identify their ethnicity as European or </w:t>
      </w:r>
      <w:r w:rsidRPr="00435F7F">
        <w:t>Māori</w:t>
      </w:r>
      <w:r w:rsidR="00E411FF">
        <w:t>;</w:t>
      </w:r>
    </w:p>
    <w:p w:rsidR="00435F7F" w:rsidRDefault="00435F7F" w:rsidP="00FF6554">
      <w:pPr>
        <w:pStyle w:val="UnnumtextBullet1"/>
        <w:spacing w:after="170"/>
      </w:pPr>
      <w:r>
        <w:t>the majority of respondents (3/4 for the telephone interviews and 3/6 for the written survey)  lived in households with an annual income of $60,000 or less;</w:t>
      </w:r>
    </w:p>
    <w:p w:rsidR="00435F7F" w:rsidRDefault="00435F7F" w:rsidP="00FF6554">
      <w:pPr>
        <w:pStyle w:val="UnnumtextBullet1"/>
        <w:spacing w:after="170"/>
      </w:pPr>
      <w:r>
        <w:t>dental was the most common type of surgery</w:t>
      </w:r>
      <w:r w:rsidR="00E411FF">
        <w:t xml:space="preserve"> that these patients underwent;</w:t>
      </w:r>
    </w:p>
    <w:p w:rsidR="00C54FFA" w:rsidRDefault="00E411FF" w:rsidP="00FF6554">
      <w:pPr>
        <w:pStyle w:val="UnnumtextBullet1"/>
        <w:spacing w:after="170"/>
      </w:pPr>
      <w:proofErr w:type="gramStart"/>
      <w:r>
        <w:t>the</w:t>
      </w:r>
      <w:proofErr w:type="gramEnd"/>
      <w:r>
        <w:t xml:space="preserve"> </w:t>
      </w:r>
      <w:r w:rsidR="00435F7F">
        <w:t>p</w:t>
      </w:r>
      <w:r w:rsidR="00752220">
        <w:t>atients</w:t>
      </w:r>
      <w:r w:rsidR="00C54FFA">
        <w:t xml:space="preserve"> li</w:t>
      </w:r>
      <w:r w:rsidR="00752220">
        <w:t>v</w:t>
      </w:r>
      <w:r w:rsidR="00C54FFA">
        <w:t xml:space="preserve">ed </w:t>
      </w:r>
      <w:r w:rsidR="00752220">
        <w:t xml:space="preserve">in a range of district health boards, with being </w:t>
      </w:r>
      <w:proofErr w:type="spellStart"/>
      <w:r w:rsidR="00C54FFA">
        <w:t>MidCentral</w:t>
      </w:r>
      <w:proofErr w:type="spellEnd"/>
      <w:r w:rsidR="00C54FFA">
        <w:t xml:space="preserve"> (3</w:t>
      </w:r>
      <w:r>
        <w:t>)</w:t>
      </w:r>
      <w:r w:rsidR="00752220">
        <w:t xml:space="preserve">, </w:t>
      </w:r>
      <w:proofErr w:type="spellStart"/>
      <w:r w:rsidR="00752220">
        <w:t>Tairawhiti</w:t>
      </w:r>
      <w:proofErr w:type="spellEnd"/>
      <w:r w:rsidR="00752220">
        <w:t xml:space="preserve"> (2) and Southern (2)</w:t>
      </w:r>
      <w:r>
        <w:t xml:space="preserve"> each having more than one response</w:t>
      </w:r>
      <w:r w:rsidR="00752220">
        <w:t>.</w:t>
      </w:r>
    </w:p>
    <w:p w:rsidR="00D26175" w:rsidRDefault="00D26175" w:rsidP="00FF6554">
      <w:pPr>
        <w:pStyle w:val="Caption"/>
        <w:spacing w:before="100" w:beforeAutospacing="1" w:after="120"/>
      </w:pPr>
      <w:bookmarkStart w:id="112" w:name="_Ref388862134"/>
      <w:bookmarkStart w:id="113" w:name="_Toc307413519"/>
      <w:bookmarkStart w:id="114" w:name="_Toc423945976"/>
      <w:r>
        <w:t xml:space="preserve">Table </w:t>
      </w:r>
      <w:fldSimple w:instr=" SEQ Table \* ARABIC ">
        <w:r w:rsidR="00CA314A">
          <w:rPr>
            <w:noProof/>
          </w:rPr>
          <w:t>6</w:t>
        </w:r>
      </w:fldSimple>
      <w:bookmarkEnd w:id="112"/>
      <w:r>
        <w:rPr>
          <w:noProof/>
        </w:rPr>
        <w:t>:</w:t>
      </w:r>
      <w:r>
        <w:t xml:space="preserve"> </w:t>
      </w:r>
      <w:bookmarkEnd w:id="113"/>
      <w:r>
        <w:t>Characteristics of patients who stated they would not travel</w:t>
      </w:r>
      <w:r w:rsidR="00E411FF">
        <w:t xml:space="preserve"> further</w:t>
      </w:r>
      <w:bookmarkEnd w:id="114"/>
    </w:p>
    <w:tbl>
      <w:tblPr>
        <w:tblStyle w:val="TableSapereGrid"/>
        <w:tblW w:w="7937" w:type="dxa"/>
        <w:tblInd w:w="108" w:type="dxa"/>
        <w:tblLayout w:type="fixed"/>
        <w:tblLook w:val="0620" w:firstRow="1" w:lastRow="0" w:firstColumn="0" w:lastColumn="0" w:noHBand="1" w:noVBand="1"/>
      </w:tblPr>
      <w:tblGrid>
        <w:gridCol w:w="2645"/>
        <w:gridCol w:w="2646"/>
        <w:gridCol w:w="2646"/>
      </w:tblGrid>
      <w:tr w:rsidR="00D26175" w:rsidRPr="00D26175" w:rsidTr="00FF6554">
        <w:trPr>
          <w:cnfStyle w:val="100000000000" w:firstRow="1" w:lastRow="0" w:firstColumn="0" w:lastColumn="0" w:oddVBand="0" w:evenVBand="0" w:oddHBand="0" w:evenHBand="0" w:firstRowFirstColumn="0" w:firstRowLastColumn="0" w:lastRowFirstColumn="0" w:lastRowLastColumn="0"/>
          <w:cantSplit/>
        </w:trPr>
        <w:tc>
          <w:tcPr>
            <w:tcW w:w="2645" w:type="dxa"/>
          </w:tcPr>
          <w:p w:rsidR="00D26175" w:rsidRPr="00FF6554" w:rsidRDefault="00435F7F" w:rsidP="00FF6554">
            <w:pPr>
              <w:pStyle w:val="Table-headingrow1"/>
              <w:rPr>
                <w:sz w:val="20"/>
              </w:rPr>
            </w:pPr>
            <w:r>
              <w:rPr>
                <w:sz w:val="20"/>
              </w:rPr>
              <w:t>Patient characteristic</w:t>
            </w:r>
          </w:p>
        </w:tc>
        <w:tc>
          <w:tcPr>
            <w:tcW w:w="2646" w:type="dxa"/>
          </w:tcPr>
          <w:p w:rsidR="00D26175" w:rsidRPr="00FF6554" w:rsidRDefault="00D26175" w:rsidP="00FF6554">
            <w:pPr>
              <w:pStyle w:val="Table-headingrow1"/>
              <w:rPr>
                <w:sz w:val="20"/>
              </w:rPr>
            </w:pPr>
            <w:r>
              <w:rPr>
                <w:sz w:val="20"/>
              </w:rPr>
              <w:t>Patient telephone interviews</w:t>
            </w:r>
          </w:p>
        </w:tc>
        <w:tc>
          <w:tcPr>
            <w:tcW w:w="2646" w:type="dxa"/>
          </w:tcPr>
          <w:p w:rsidR="00D26175" w:rsidRPr="00FF6554" w:rsidRDefault="00D26175" w:rsidP="00FF6554">
            <w:pPr>
              <w:pStyle w:val="Table-headingrow1"/>
              <w:rPr>
                <w:sz w:val="20"/>
              </w:rPr>
            </w:pPr>
            <w:r>
              <w:rPr>
                <w:sz w:val="20"/>
              </w:rPr>
              <w:t>Patient written survey</w:t>
            </w:r>
          </w:p>
        </w:tc>
      </w:tr>
      <w:tr w:rsidR="00D26175" w:rsidRPr="00D26175" w:rsidTr="0082712E">
        <w:trPr>
          <w:cantSplit/>
        </w:trPr>
        <w:tc>
          <w:tcPr>
            <w:tcW w:w="2645" w:type="dxa"/>
            <w:tcMar>
              <w:top w:w="85" w:type="dxa"/>
              <w:bottom w:w="85" w:type="dxa"/>
            </w:tcMar>
          </w:tcPr>
          <w:p w:rsidR="00D26175" w:rsidRPr="00FF6554" w:rsidRDefault="00D26175" w:rsidP="00FF6554">
            <w:pPr>
              <w:pStyle w:val="Table-bodytext"/>
              <w:spacing w:after="80"/>
              <w:rPr>
                <w:sz w:val="20"/>
              </w:rPr>
            </w:pPr>
            <w:r>
              <w:rPr>
                <w:sz w:val="20"/>
              </w:rPr>
              <w:t>Number of responses</w:t>
            </w:r>
          </w:p>
        </w:tc>
        <w:tc>
          <w:tcPr>
            <w:tcW w:w="2646" w:type="dxa"/>
            <w:tcMar>
              <w:top w:w="85" w:type="dxa"/>
              <w:bottom w:w="85" w:type="dxa"/>
            </w:tcMar>
          </w:tcPr>
          <w:p w:rsidR="00D26175" w:rsidRPr="00FF6554" w:rsidRDefault="00C54FFA" w:rsidP="00FF6554">
            <w:pPr>
              <w:pStyle w:val="Table-bodytext"/>
              <w:spacing w:after="80"/>
              <w:rPr>
                <w:sz w:val="20"/>
              </w:rPr>
            </w:pPr>
            <w:r>
              <w:rPr>
                <w:sz w:val="20"/>
              </w:rPr>
              <w:t>6/28 (21%)</w:t>
            </w:r>
          </w:p>
        </w:tc>
        <w:tc>
          <w:tcPr>
            <w:tcW w:w="2646" w:type="dxa"/>
            <w:tcMar>
              <w:top w:w="85" w:type="dxa"/>
              <w:bottom w:w="85" w:type="dxa"/>
            </w:tcMar>
          </w:tcPr>
          <w:p w:rsidR="00D26175" w:rsidRPr="00FF6554" w:rsidRDefault="00C54FFA" w:rsidP="00FF6554">
            <w:pPr>
              <w:pStyle w:val="Table-bodytext"/>
              <w:spacing w:after="80"/>
              <w:rPr>
                <w:sz w:val="20"/>
              </w:rPr>
            </w:pPr>
            <w:r>
              <w:rPr>
                <w:sz w:val="20"/>
              </w:rPr>
              <w:t>6/43 (14%)</w:t>
            </w:r>
          </w:p>
        </w:tc>
      </w:tr>
      <w:tr w:rsidR="00D26175" w:rsidRPr="00D26175" w:rsidTr="0082712E">
        <w:trPr>
          <w:cantSplit/>
        </w:trPr>
        <w:tc>
          <w:tcPr>
            <w:tcW w:w="2645" w:type="dxa"/>
            <w:tcMar>
              <w:top w:w="85" w:type="dxa"/>
              <w:bottom w:w="85" w:type="dxa"/>
            </w:tcMar>
          </w:tcPr>
          <w:p w:rsidR="00D26175" w:rsidRPr="00FF6554" w:rsidRDefault="00D26175" w:rsidP="00FF6554">
            <w:pPr>
              <w:pStyle w:val="Table-bodytext"/>
              <w:spacing w:after="80"/>
              <w:rPr>
                <w:sz w:val="20"/>
              </w:rPr>
            </w:pPr>
            <w:r>
              <w:rPr>
                <w:sz w:val="20"/>
              </w:rPr>
              <w:t>Age group</w:t>
            </w:r>
          </w:p>
        </w:tc>
        <w:tc>
          <w:tcPr>
            <w:tcW w:w="2646" w:type="dxa"/>
            <w:tcMar>
              <w:top w:w="85" w:type="dxa"/>
              <w:bottom w:w="85" w:type="dxa"/>
            </w:tcMar>
          </w:tcPr>
          <w:p w:rsidR="00C54FFA" w:rsidRPr="00C54FFA" w:rsidRDefault="00C54FFA" w:rsidP="00FF6554">
            <w:pPr>
              <w:pStyle w:val="Table-bodytext"/>
              <w:spacing w:after="80"/>
              <w:rPr>
                <w:b/>
                <w:color w:val="7B5E05"/>
                <w:sz w:val="20"/>
              </w:rPr>
            </w:pPr>
            <w:r>
              <w:rPr>
                <w:sz w:val="20"/>
              </w:rPr>
              <w:t>0-</w:t>
            </w:r>
            <w:r w:rsidRPr="00C54FFA">
              <w:rPr>
                <w:sz w:val="20"/>
              </w:rPr>
              <w:t xml:space="preserve">10 years: </w:t>
            </w:r>
            <w:r>
              <w:rPr>
                <w:sz w:val="20"/>
              </w:rPr>
              <w:t>4</w:t>
            </w:r>
            <w:r w:rsidRPr="00C54FFA">
              <w:rPr>
                <w:sz w:val="20"/>
              </w:rPr>
              <w:t xml:space="preserve"> p</w:t>
            </w:r>
            <w:r>
              <w:rPr>
                <w:sz w:val="20"/>
              </w:rPr>
              <w:t>eople</w:t>
            </w:r>
          </w:p>
          <w:p w:rsidR="00BB2016" w:rsidRDefault="00BB2016" w:rsidP="00FF6554">
            <w:pPr>
              <w:pStyle w:val="Table-bodytext"/>
              <w:spacing w:after="80"/>
              <w:rPr>
                <w:b/>
                <w:color w:val="7B5E05"/>
                <w:sz w:val="20"/>
              </w:rPr>
            </w:pPr>
            <w:r>
              <w:rPr>
                <w:sz w:val="20"/>
              </w:rPr>
              <w:t>11-20 years: none</w:t>
            </w:r>
          </w:p>
          <w:p w:rsidR="00C54FFA" w:rsidRPr="00C54FFA" w:rsidRDefault="00C54FFA" w:rsidP="00FF6554">
            <w:pPr>
              <w:pStyle w:val="Table-bodytext"/>
              <w:spacing w:after="80"/>
              <w:rPr>
                <w:b/>
                <w:color w:val="7B5E05"/>
                <w:sz w:val="20"/>
              </w:rPr>
            </w:pPr>
            <w:r w:rsidRPr="00C54FFA">
              <w:rPr>
                <w:sz w:val="20"/>
              </w:rPr>
              <w:t>21</w:t>
            </w:r>
            <w:r>
              <w:rPr>
                <w:sz w:val="20"/>
              </w:rPr>
              <w:t>-</w:t>
            </w:r>
            <w:r w:rsidRPr="00C54FFA">
              <w:rPr>
                <w:sz w:val="20"/>
              </w:rPr>
              <w:t xml:space="preserve">64 years: </w:t>
            </w:r>
            <w:r>
              <w:rPr>
                <w:sz w:val="20"/>
              </w:rPr>
              <w:t>1</w:t>
            </w:r>
            <w:r w:rsidRPr="00C54FFA">
              <w:rPr>
                <w:sz w:val="20"/>
              </w:rPr>
              <w:t xml:space="preserve"> pe</w:t>
            </w:r>
            <w:r>
              <w:rPr>
                <w:sz w:val="20"/>
              </w:rPr>
              <w:t>rson</w:t>
            </w:r>
          </w:p>
          <w:p w:rsidR="00D26175" w:rsidRPr="00FF6554" w:rsidRDefault="00C54FFA" w:rsidP="00FF6554">
            <w:pPr>
              <w:pStyle w:val="Table-bodytext"/>
              <w:spacing w:after="80"/>
              <w:rPr>
                <w:sz w:val="20"/>
              </w:rPr>
            </w:pPr>
            <w:r w:rsidRPr="00C54FFA">
              <w:rPr>
                <w:sz w:val="20"/>
              </w:rPr>
              <w:t>65</w:t>
            </w:r>
            <w:r>
              <w:rPr>
                <w:sz w:val="20"/>
              </w:rPr>
              <w:t xml:space="preserve"> years &amp; over</w:t>
            </w:r>
            <w:r w:rsidRPr="00C54FFA">
              <w:rPr>
                <w:sz w:val="20"/>
              </w:rPr>
              <w:t xml:space="preserve">: </w:t>
            </w:r>
            <w:r>
              <w:rPr>
                <w:sz w:val="20"/>
              </w:rPr>
              <w:t>1</w:t>
            </w:r>
            <w:r w:rsidRPr="00C54FFA">
              <w:rPr>
                <w:sz w:val="20"/>
              </w:rPr>
              <w:t xml:space="preserve"> pe</w:t>
            </w:r>
            <w:r>
              <w:rPr>
                <w:sz w:val="20"/>
              </w:rPr>
              <w:t>rson</w:t>
            </w:r>
          </w:p>
        </w:tc>
        <w:tc>
          <w:tcPr>
            <w:tcW w:w="2646" w:type="dxa"/>
            <w:tcMar>
              <w:top w:w="85" w:type="dxa"/>
              <w:bottom w:w="85" w:type="dxa"/>
            </w:tcMar>
          </w:tcPr>
          <w:p w:rsidR="00C54FFA" w:rsidRPr="00C54FFA" w:rsidRDefault="00C54FFA" w:rsidP="00FF6554">
            <w:pPr>
              <w:pStyle w:val="Table-bodytext"/>
              <w:spacing w:after="80"/>
              <w:rPr>
                <w:b/>
                <w:color w:val="7B5E05"/>
                <w:sz w:val="20"/>
              </w:rPr>
            </w:pPr>
            <w:r>
              <w:rPr>
                <w:sz w:val="20"/>
              </w:rPr>
              <w:t>0-</w:t>
            </w:r>
            <w:r w:rsidRPr="00C54FFA">
              <w:rPr>
                <w:sz w:val="20"/>
              </w:rPr>
              <w:t>10 years: 1 person</w:t>
            </w:r>
          </w:p>
          <w:p w:rsidR="00BB2016" w:rsidRDefault="00BB2016" w:rsidP="00FF6554">
            <w:pPr>
              <w:pStyle w:val="Table-bodytext"/>
              <w:spacing w:after="80"/>
              <w:rPr>
                <w:b/>
                <w:color w:val="7B5E05"/>
                <w:sz w:val="20"/>
              </w:rPr>
            </w:pPr>
            <w:r>
              <w:rPr>
                <w:sz w:val="20"/>
              </w:rPr>
              <w:t>11-20 years: none</w:t>
            </w:r>
          </w:p>
          <w:p w:rsidR="00C54FFA" w:rsidRPr="00C54FFA" w:rsidRDefault="00C54FFA" w:rsidP="00FF6554">
            <w:pPr>
              <w:pStyle w:val="Table-bodytext"/>
              <w:spacing w:after="80"/>
              <w:rPr>
                <w:b/>
                <w:color w:val="7B5E05"/>
                <w:sz w:val="20"/>
              </w:rPr>
            </w:pPr>
            <w:r w:rsidRPr="00C54FFA">
              <w:rPr>
                <w:sz w:val="20"/>
              </w:rPr>
              <w:t>21</w:t>
            </w:r>
            <w:r>
              <w:rPr>
                <w:sz w:val="20"/>
              </w:rPr>
              <w:t>-</w:t>
            </w:r>
            <w:r w:rsidRPr="00C54FFA">
              <w:rPr>
                <w:sz w:val="20"/>
              </w:rPr>
              <w:t>64 years: 3 people</w:t>
            </w:r>
          </w:p>
          <w:p w:rsidR="00D26175" w:rsidRPr="00FF6554" w:rsidRDefault="00C54FFA" w:rsidP="00FF6554">
            <w:pPr>
              <w:pStyle w:val="Table-bodytext"/>
              <w:spacing w:after="80"/>
              <w:rPr>
                <w:sz w:val="20"/>
              </w:rPr>
            </w:pPr>
            <w:r w:rsidRPr="00C54FFA">
              <w:rPr>
                <w:sz w:val="20"/>
              </w:rPr>
              <w:t>65</w:t>
            </w:r>
            <w:r>
              <w:rPr>
                <w:sz w:val="20"/>
              </w:rPr>
              <w:t xml:space="preserve"> years &amp; over</w:t>
            </w:r>
            <w:r w:rsidRPr="00C54FFA">
              <w:rPr>
                <w:sz w:val="20"/>
              </w:rPr>
              <w:t>: 2 people</w:t>
            </w:r>
          </w:p>
        </w:tc>
      </w:tr>
      <w:tr w:rsidR="00D26175" w:rsidRPr="00D26175" w:rsidTr="0082712E">
        <w:trPr>
          <w:cantSplit/>
        </w:trPr>
        <w:tc>
          <w:tcPr>
            <w:tcW w:w="2645" w:type="dxa"/>
            <w:tcMar>
              <w:top w:w="85" w:type="dxa"/>
              <w:bottom w:w="85" w:type="dxa"/>
            </w:tcMar>
          </w:tcPr>
          <w:p w:rsidR="00D26175" w:rsidRPr="00FF6554" w:rsidRDefault="00D26175" w:rsidP="00FF6554">
            <w:pPr>
              <w:pStyle w:val="Table-bodytext"/>
              <w:spacing w:after="80"/>
              <w:rPr>
                <w:sz w:val="20"/>
              </w:rPr>
            </w:pPr>
            <w:r>
              <w:rPr>
                <w:sz w:val="20"/>
              </w:rPr>
              <w:t xml:space="preserve">Ethnicity </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European: 3 people</w:t>
            </w:r>
          </w:p>
          <w:p w:rsidR="00C54FFA" w:rsidRDefault="00C54FFA" w:rsidP="00FF6554">
            <w:pPr>
              <w:pStyle w:val="Table-bodytext"/>
              <w:spacing w:after="80"/>
              <w:rPr>
                <w:b/>
                <w:color w:val="7B5E05"/>
                <w:sz w:val="20"/>
              </w:rPr>
            </w:pPr>
            <w:r w:rsidRPr="00C54FFA">
              <w:rPr>
                <w:sz w:val="20"/>
              </w:rPr>
              <w:t>Māori: 2 people</w:t>
            </w:r>
          </w:p>
          <w:p w:rsidR="00C54FFA" w:rsidRPr="00C54FFA" w:rsidRDefault="00C54FFA" w:rsidP="00FF6554">
            <w:pPr>
              <w:pStyle w:val="Table-bodytext"/>
              <w:spacing w:after="80"/>
              <w:rPr>
                <w:b/>
                <w:color w:val="7B5E05"/>
                <w:sz w:val="20"/>
              </w:rPr>
            </w:pPr>
            <w:r>
              <w:rPr>
                <w:sz w:val="20"/>
              </w:rPr>
              <w:t>Pacific: none</w:t>
            </w:r>
          </w:p>
          <w:p w:rsidR="00D26175" w:rsidRPr="00FF6554" w:rsidRDefault="00C54FFA" w:rsidP="00FF6554">
            <w:pPr>
              <w:pStyle w:val="Table-bodytext"/>
              <w:spacing w:after="80"/>
              <w:rPr>
                <w:sz w:val="20"/>
              </w:rPr>
            </w:pPr>
            <w:r w:rsidRPr="00C54FFA">
              <w:rPr>
                <w:sz w:val="20"/>
              </w:rPr>
              <w:t>Asian: 1 person</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 xml:space="preserve">European: 4 people </w:t>
            </w:r>
          </w:p>
          <w:p w:rsidR="00D26175" w:rsidRDefault="00C54FFA" w:rsidP="00FF6554">
            <w:pPr>
              <w:pStyle w:val="Table-bodytext"/>
              <w:spacing w:after="80"/>
              <w:rPr>
                <w:b/>
                <w:color w:val="7B5E05"/>
                <w:sz w:val="20"/>
              </w:rPr>
            </w:pPr>
            <w:r w:rsidRPr="00C54FFA">
              <w:rPr>
                <w:sz w:val="20"/>
              </w:rPr>
              <w:t>Māori: 2 people</w:t>
            </w:r>
          </w:p>
          <w:p w:rsidR="00C54FFA" w:rsidRPr="00C54FFA" w:rsidRDefault="00C54FFA" w:rsidP="00FF6554">
            <w:pPr>
              <w:pStyle w:val="Table-bodytext"/>
              <w:spacing w:after="80"/>
              <w:rPr>
                <w:b/>
                <w:color w:val="7B5E05"/>
                <w:sz w:val="20"/>
              </w:rPr>
            </w:pPr>
            <w:r>
              <w:rPr>
                <w:sz w:val="20"/>
              </w:rPr>
              <w:t>Pacific: none</w:t>
            </w:r>
          </w:p>
          <w:p w:rsidR="00C54FFA" w:rsidRPr="00FF6554" w:rsidRDefault="00C54FFA" w:rsidP="00FF6554">
            <w:pPr>
              <w:pStyle w:val="Table-bodytext"/>
              <w:spacing w:after="80"/>
              <w:rPr>
                <w:sz w:val="20"/>
              </w:rPr>
            </w:pPr>
            <w:r w:rsidRPr="00C54FFA">
              <w:rPr>
                <w:sz w:val="20"/>
              </w:rPr>
              <w:t xml:space="preserve">Asian: </w:t>
            </w:r>
            <w:r>
              <w:rPr>
                <w:sz w:val="20"/>
              </w:rPr>
              <w:t>none</w:t>
            </w:r>
          </w:p>
        </w:tc>
      </w:tr>
      <w:tr w:rsidR="00D26175" w:rsidRPr="00D26175" w:rsidTr="0082712E">
        <w:trPr>
          <w:cantSplit/>
        </w:trPr>
        <w:tc>
          <w:tcPr>
            <w:tcW w:w="2645" w:type="dxa"/>
            <w:tcMar>
              <w:top w:w="85" w:type="dxa"/>
              <w:bottom w:w="85" w:type="dxa"/>
            </w:tcMar>
          </w:tcPr>
          <w:p w:rsidR="00D26175" w:rsidRPr="00FF6554" w:rsidRDefault="00D26175" w:rsidP="00FF6554">
            <w:pPr>
              <w:pStyle w:val="Table-bodytext"/>
              <w:spacing w:after="80"/>
              <w:rPr>
                <w:sz w:val="20"/>
              </w:rPr>
            </w:pPr>
            <w:r>
              <w:rPr>
                <w:sz w:val="20"/>
              </w:rPr>
              <w:t>Household income</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 xml:space="preserve">$0 - $40,000: </w:t>
            </w:r>
            <w:r w:rsidR="00435F7F">
              <w:rPr>
                <w:sz w:val="20"/>
              </w:rPr>
              <w:t>1</w:t>
            </w:r>
            <w:r w:rsidRPr="00C54FFA">
              <w:rPr>
                <w:sz w:val="20"/>
              </w:rPr>
              <w:t xml:space="preserve"> people</w:t>
            </w:r>
          </w:p>
          <w:p w:rsidR="00C54FFA" w:rsidRPr="00C54FFA" w:rsidRDefault="00C54FFA" w:rsidP="00FF6554">
            <w:pPr>
              <w:pStyle w:val="Table-bodytext"/>
              <w:spacing w:after="80"/>
              <w:rPr>
                <w:b/>
                <w:color w:val="7B5E05"/>
                <w:sz w:val="20"/>
              </w:rPr>
            </w:pPr>
            <w:r w:rsidRPr="00C54FFA">
              <w:rPr>
                <w:sz w:val="20"/>
              </w:rPr>
              <w:t xml:space="preserve">$41,000 - $60,000: </w:t>
            </w:r>
            <w:r w:rsidR="00435F7F">
              <w:rPr>
                <w:sz w:val="20"/>
              </w:rPr>
              <w:t>2</w:t>
            </w:r>
            <w:r w:rsidRPr="00C54FFA">
              <w:rPr>
                <w:sz w:val="20"/>
              </w:rPr>
              <w:t xml:space="preserve"> person</w:t>
            </w:r>
          </w:p>
          <w:p w:rsidR="00435F7F" w:rsidRDefault="00C54FFA" w:rsidP="00FF6554">
            <w:pPr>
              <w:pStyle w:val="Table-bodytext"/>
              <w:spacing w:after="80"/>
              <w:rPr>
                <w:b/>
                <w:color w:val="7B5E05"/>
                <w:sz w:val="20"/>
              </w:rPr>
            </w:pPr>
            <w:r w:rsidRPr="00C54FFA">
              <w:rPr>
                <w:sz w:val="20"/>
              </w:rPr>
              <w:t xml:space="preserve">$61,000 - $100,000: </w:t>
            </w:r>
            <w:r w:rsidR="00435F7F">
              <w:rPr>
                <w:sz w:val="20"/>
              </w:rPr>
              <w:t>1 person</w:t>
            </w:r>
          </w:p>
          <w:p w:rsidR="00D26175" w:rsidRPr="00FF6554" w:rsidRDefault="00C54FFA" w:rsidP="00FF6554">
            <w:pPr>
              <w:pStyle w:val="Table-bodytext"/>
              <w:spacing w:after="80"/>
              <w:rPr>
                <w:sz w:val="20"/>
              </w:rPr>
            </w:pPr>
            <w:r w:rsidRPr="00C54FFA">
              <w:rPr>
                <w:sz w:val="20"/>
              </w:rPr>
              <w:t xml:space="preserve">$150,000 plus: </w:t>
            </w:r>
            <w:r>
              <w:rPr>
                <w:sz w:val="20"/>
              </w:rPr>
              <w:t>none</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$0 - $40,000: 2 people</w:t>
            </w:r>
          </w:p>
          <w:p w:rsidR="00C54FFA" w:rsidRPr="00C54FFA" w:rsidRDefault="00C54FFA" w:rsidP="00FF6554">
            <w:pPr>
              <w:pStyle w:val="Table-bodytext"/>
              <w:spacing w:after="80"/>
              <w:rPr>
                <w:b/>
                <w:color w:val="7B5E05"/>
                <w:sz w:val="20"/>
              </w:rPr>
            </w:pPr>
            <w:r w:rsidRPr="00C54FFA">
              <w:rPr>
                <w:sz w:val="20"/>
              </w:rPr>
              <w:t xml:space="preserve">$41,000 </w:t>
            </w:r>
            <w:r>
              <w:rPr>
                <w:sz w:val="20"/>
              </w:rPr>
              <w:t>-</w:t>
            </w:r>
            <w:r w:rsidRPr="00C54FFA">
              <w:rPr>
                <w:sz w:val="20"/>
              </w:rPr>
              <w:t xml:space="preserve"> $60,000: 1 person</w:t>
            </w:r>
          </w:p>
          <w:p w:rsidR="00C54FFA" w:rsidRPr="00C54FFA" w:rsidRDefault="00C54FFA" w:rsidP="00FF6554">
            <w:pPr>
              <w:pStyle w:val="Table-bodytext"/>
              <w:spacing w:after="80"/>
              <w:rPr>
                <w:b/>
                <w:color w:val="7B5E05"/>
                <w:sz w:val="20"/>
              </w:rPr>
            </w:pPr>
            <w:r w:rsidRPr="00C54FFA">
              <w:rPr>
                <w:sz w:val="20"/>
              </w:rPr>
              <w:t xml:space="preserve">$61,000 </w:t>
            </w:r>
            <w:r>
              <w:rPr>
                <w:sz w:val="20"/>
              </w:rPr>
              <w:t>-</w:t>
            </w:r>
            <w:r w:rsidRPr="00C54FFA">
              <w:rPr>
                <w:sz w:val="20"/>
              </w:rPr>
              <w:t xml:space="preserve"> $100,000: 2 people</w:t>
            </w:r>
          </w:p>
          <w:p w:rsidR="00D26175" w:rsidRPr="00FF6554" w:rsidRDefault="00C54FFA" w:rsidP="00FF6554">
            <w:pPr>
              <w:pStyle w:val="Table-bodytext"/>
              <w:spacing w:after="80"/>
              <w:rPr>
                <w:sz w:val="20"/>
              </w:rPr>
            </w:pPr>
            <w:r w:rsidRPr="00C54FFA">
              <w:rPr>
                <w:sz w:val="20"/>
              </w:rPr>
              <w:t>$150,000 plus: 1 person</w:t>
            </w:r>
          </w:p>
        </w:tc>
      </w:tr>
      <w:tr w:rsidR="00D26175" w:rsidRPr="00D26175" w:rsidTr="0082712E">
        <w:trPr>
          <w:cantSplit/>
        </w:trPr>
        <w:tc>
          <w:tcPr>
            <w:tcW w:w="2645" w:type="dxa"/>
            <w:tcMar>
              <w:top w:w="85" w:type="dxa"/>
              <w:bottom w:w="85" w:type="dxa"/>
            </w:tcMar>
          </w:tcPr>
          <w:p w:rsidR="00D26175" w:rsidRDefault="00C54FFA" w:rsidP="00FF6554">
            <w:pPr>
              <w:pStyle w:val="Table-bodytext"/>
              <w:spacing w:after="80"/>
              <w:rPr>
                <w:sz w:val="20"/>
              </w:rPr>
            </w:pPr>
            <w:r>
              <w:rPr>
                <w:sz w:val="20"/>
              </w:rPr>
              <w:t xml:space="preserve">Type of operation </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Dental: 4 people</w:t>
            </w:r>
          </w:p>
          <w:p w:rsidR="00C54FFA" w:rsidRPr="00C54FFA" w:rsidRDefault="00C54FFA" w:rsidP="00FF6554">
            <w:pPr>
              <w:pStyle w:val="Table-bodytext"/>
              <w:spacing w:after="80"/>
              <w:rPr>
                <w:b/>
                <w:color w:val="7B5E05"/>
                <w:sz w:val="20"/>
              </w:rPr>
            </w:pPr>
            <w:proofErr w:type="spellStart"/>
            <w:r w:rsidRPr="00C54FFA">
              <w:rPr>
                <w:sz w:val="20"/>
              </w:rPr>
              <w:t>Gyn</w:t>
            </w:r>
            <w:r>
              <w:rPr>
                <w:sz w:val="20"/>
              </w:rPr>
              <w:t>a</w:t>
            </w:r>
            <w:r w:rsidRPr="00C54FFA">
              <w:rPr>
                <w:sz w:val="20"/>
              </w:rPr>
              <w:t>e</w:t>
            </w:r>
            <w:r>
              <w:rPr>
                <w:sz w:val="20"/>
              </w:rPr>
              <w:t>cology</w:t>
            </w:r>
            <w:proofErr w:type="spellEnd"/>
            <w:r w:rsidRPr="00C54FFA">
              <w:rPr>
                <w:sz w:val="20"/>
              </w:rPr>
              <w:t>: 1 person</w:t>
            </w:r>
          </w:p>
          <w:p w:rsidR="00D26175" w:rsidRPr="008A4B8D" w:rsidRDefault="00C54FFA" w:rsidP="00FF6554">
            <w:pPr>
              <w:pStyle w:val="Table-bodytext"/>
              <w:spacing w:after="80"/>
              <w:rPr>
                <w:b/>
                <w:color w:val="7B5E05"/>
                <w:sz w:val="20"/>
              </w:rPr>
            </w:pPr>
            <w:r w:rsidRPr="00C54FFA">
              <w:rPr>
                <w:sz w:val="20"/>
              </w:rPr>
              <w:t>ENT: 1 person</w:t>
            </w:r>
          </w:p>
        </w:tc>
        <w:tc>
          <w:tcPr>
            <w:tcW w:w="2646" w:type="dxa"/>
            <w:tcMar>
              <w:top w:w="85" w:type="dxa"/>
              <w:bottom w:w="85" w:type="dxa"/>
            </w:tcMar>
          </w:tcPr>
          <w:p w:rsidR="00C54FFA" w:rsidRPr="00C54FFA" w:rsidRDefault="00C54FFA" w:rsidP="00FF6554">
            <w:pPr>
              <w:pStyle w:val="Table-bodytext"/>
              <w:spacing w:after="80"/>
              <w:rPr>
                <w:b/>
                <w:color w:val="7B5E05"/>
                <w:sz w:val="20"/>
              </w:rPr>
            </w:pPr>
            <w:r w:rsidRPr="00C54FFA">
              <w:rPr>
                <w:sz w:val="20"/>
              </w:rPr>
              <w:t>Dental: 4 people</w:t>
            </w:r>
          </w:p>
          <w:p w:rsidR="00C54FFA" w:rsidRPr="00C54FFA" w:rsidRDefault="00C54FFA" w:rsidP="00FF6554">
            <w:pPr>
              <w:pStyle w:val="Table-bodytext"/>
              <w:spacing w:after="80"/>
              <w:rPr>
                <w:b/>
                <w:color w:val="7B5E05"/>
                <w:sz w:val="20"/>
              </w:rPr>
            </w:pPr>
            <w:r w:rsidRPr="00C54FFA">
              <w:rPr>
                <w:sz w:val="20"/>
              </w:rPr>
              <w:t>Endo</w:t>
            </w:r>
            <w:r>
              <w:rPr>
                <w:sz w:val="20"/>
              </w:rPr>
              <w:t>scopy</w:t>
            </w:r>
            <w:r w:rsidRPr="00C54FFA">
              <w:rPr>
                <w:sz w:val="20"/>
              </w:rPr>
              <w:t>: 1 person</w:t>
            </w:r>
          </w:p>
          <w:p w:rsidR="00D26175" w:rsidRPr="008A4B8D" w:rsidRDefault="00C54FFA" w:rsidP="00FF6554">
            <w:pPr>
              <w:pStyle w:val="Table-bodytext"/>
              <w:spacing w:after="80"/>
              <w:rPr>
                <w:b/>
                <w:color w:val="7B5E05"/>
                <w:sz w:val="20"/>
              </w:rPr>
            </w:pPr>
            <w:r w:rsidRPr="00C54FFA">
              <w:rPr>
                <w:sz w:val="20"/>
              </w:rPr>
              <w:t>General Surgery: 1 person</w:t>
            </w:r>
          </w:p>
        </w:tc>
      </w:tr>
      <w:tr w:rsidR="00C54FFA" w:rsidRPr="00D26175" w:rsidTr="0082712E">
        <w:trPr>
          <w:cantSplit/>
        </w:trPr>
        <w:tc>
          <w:tcPr>
            <w:tcW w:w="2645" w:type="dxa"/>
            <w:tcMar>
              <w:top w:w="85" w:type="dxa"/>
              <w:bottom w:w="85" w:type="dxa"/>
            </w:tcMar>
          </w:tcPr>
          <w:p w:rsidR="00C54FFA" w:rsidRDefault="00C54FFA" w:rsidP="00FF6554">
            <w:pPr>
              <w:pStyle w:val="Table-bodytext"/>
              <w:spacing w:after="80"/>
              <w:rPr>
                <w:b/>
                <w:color w:val="7B5E05"/>
                <w:sz w:val="20"/>
              </w:rPr>
            </w:pPr>
            <w:r>
              <w:rPr>
                <w:sz w:val="20"/>
              </w:rPr>
              <w:t>Location where patient lives</w:t>
            </w:r>
          </w:p>
        </w:tc>
        <w:tc>
          <w:tcPr>
            <w:tcW w:w="2646" w:type="dxa"/>
            <w:tcMar>
              <w:top w:w="85" w:type="dxa"/>
              <w:bottom w:w="85" w:type="dxa"/>
            </w:tcMar>
          </w:tcPr>
          <w:p w:rsidR="00C54FFA" w:rsidRDefault="00C54FFA" w:rsidP="00FF6554">
            <w:pPr>
              <w:pStyle w:val="Table-bodytext"/>
              <w:spacing w:after="80"/>
              <w:rPr>
                <w:b/>
                <w:color w:val="7B5E05"/>
                <w:sz w:val="20"/>
              </w:rPr>
            </w:pPr>
            <w:proofErr w:type="spellStart"/>
            <w:r>
              <w:rPr>
                <w:sz w:val="20"/>
              </w:rPr>
              <w:t>Dargaville</w:t>
            </w:r>
            <w:proofErr w:type="spellEnd"/>
            <w:r w:rsidR="00752220">
              <w:rPr>
                <w:sz w:val="20"/>
              </w:rPr>
              <w:t xml:space="preserve"> (Northland)</w:t>
            </w:r>
          </w:p>
          <w:p w:rsidR="00C54FFA" w:rsidRDefault="00C54FFA" w:rsidP="00FF6554">
            <w:pPr>
              <w:pStyle w:val="Table-bodytext"/>
              <w:spacing w:after="80"/>
              <w:rPr>
                <w:b/>
                <w:color w:val="7B5E05"/>
                <w:sz w:val="20"/>
              </w:rPr>
            </w:pPr>
            <w:r>
              <w:rPr>
                <w:sz w:val="20"/>
              </w:rPr>
              <w:t>D</w:t>
            </w:r>
            <w:r w:rsidRPr="00C54FFA">
              <w:rPr>
                <w:sz w:val="20"/>
              </w:rPr>
              <w:t>rury</w:t>
            </w:r>
            <w:r>
              <w:rPr>
                <w:sz w:val="20"/>
              </w:rPr>
              <w:t xml:space="preserve"> </w:t>
            </w:r>
            <w:r w:rsidR="00752220">
              <w:rPr>
                <w:sz w:val="20"/>
              </w:rPr>
              <w:t xml:space="preserve">(Counties </w:t>
            </w:r>
            <w:proofErr w:type="spellStart"/>
            <w:r w:rsidR="00752220">
              <w:rPr>
                <w:sz w:val="20"/>
              </w:rPr>
              <w:t>Manukau</w:t>
            </w:r>
            <w:proofErr w:type="spellEnd"/>
            <w:r w:rsidR="00752220">
              <w:rPr>
                <w:sz w:val="20"/>
              </w:rPr>
              <w:t>)</w:t>
            </w:r>
          </w:p>
          <w:p w:rsidR="00C54FFA" w:rsidRPr="00C54FFA" w:rsidRDefault="00C54FFA" w:rsidP="00FF6554">
            <w:pPr>
              <w:pStyle w:val="Table-bodytext"/>
              <w:spacing w:after="80"/>
              <w:rPr>
                <w:b/>
                <w:color w:val="7B5E05"/>
                <w:sz w:val="20"/>
              </w:rPr>
            </w:pPr>
            <w:proofErr w:type="spellStart"/>
            <w:r>
              <w:rPr>
                <w:sz w:val="20"/>
              </w:rPr>
              <w:t>O</w:t>
            </w:r>
            <w:r w:rsidRPr="00C54FFA">
              <w:rPr>
                <w:sz w:val="20"/>
              </w:rPr>
              <w:t>pot</w:t>
            </w:r>
            <w:r>
              <w:rPr>
                <w:sz w:val="20"/>
              </w:rPr>
              <w:t>i</w:t>
            </w:r>
            <w:r w:rsidRPr="00C54FFA">
              <w:rPr>
                <w:sz w:val="20"/>
              </w:rPr>
              <w:t>ki</w:t>
            </w:r>
            <w:proofErr w:type="spellEnd"/>
            <w:r w:rsidR="00752220">
              <w:rPr>
                <w:sz w:val="20"/>
              </w:rPr>
              <w:t xml:space="preserve"> (Bay of Plenty)</w:t>
            </w:r>
          </w:p>
          <w:p w:rsidR="00C54FFA" w:rsidRPr="00C54FFA" w:rsidRDefault="00C54FFA" w:rsidP="00FF6554">
            <w:pPr>
              <w:pStyle w:val="Table-bodytext"/>
              <w:spacing w:after="80"/>
              <w:rPr>
                <w:b/>
                <w:color w:val="7B5E05"/>
                <w:sz w:val="20"/>
              </w:rPr>
            </w:pPr>
            <w:r w:rsidRPr="00C54FFA">
              <w:rPr>
                <w:sz w:val="20"/>
              </w:rPr>
              <w:t>Levin</w:t>
            </w:r>
            <w:r w:rsidR="00752220">
              <w:rPr>
                <w:sz w:val="20"/>
              </w:rPr>
              <w:t xml:space="preserve"> (</w:t>
            </w:r>
            <w:proofErr w:type="spellStart"/>
            <w:r w:rsidR="00752220">
              <w:rPr>
                <w:sz w:val="20"/>
              </w:rPr>
              <w:t>MidCentral</w:t>
            </w:r>
            <w:proofErr w:type="spellEnd"/>
            <w:r w:rsidR="00752220">
              <w:rPr>
                <w:sz w:val="20"/>
              </w:rPr>
              <w:t>)</w:t>
            </w:r>
          </w:p>
          <w:p w:rsidR="00C54FFA" w:rsidRPr="00C54FFA" w:rsidRDefault="00C54FFA" w:rsidP="00FF6554">
            <w:pPr>
              <w:pStyle w:val="Table-bodytext"/>
              <w:spacing w:after="80"/>
              <w:rPr>
                <w:b/>
                <w:color w:val="7B5E05"/>
                <w:sz w:val="20"/>
              </w:rPr>
            </w:pPr>
            <w:r>
              <w:rPr>
                <w:sz w:val="20"/>
              </w:rPr>
              <w:t>S</w:t>
            </w:r>
            <w:r w:rsidRPr="00C54FFA">
              <w:rPr>
                <w:sz w:val="20"/>
              </w:rPr>
              <w:t>hannon</w:t>
            </w:r>
            <w:r w:rsidR="00752220">
              <w:rPr>
                <w:sz w:val="20"/>
              </w:rPr>
              <w:t xml:space="preserve"> (</w:t>
            </w:r>
            <w:proofErr w:type="spellStart"/>
            <w:r w:rsidR="00752220">
              <w:rPr>
                <w:sz w:val="20"/>
              </w:rPr>
              <w:t>MidCentral</w:t>
            </w:r>
            <w:proofErr w:type="spellEnd"/>
            <w:r w:rsidR="00752220">
              <w:rPr>
                <w:sz w:val="20"/>
              </w:rPr>
              <w:t>)</w:t>
            </w:r>
          </w:p>
          <w:p w:rsidR="00C54FFA" w:rsidRPr="00C54FFA" w:rsidRDefault="00C54FFA" w:rsidP="00FF6554">
            <w:pPr>
              <w:pStyle w:val="Table-bodytext"/>
              <w:spacing w:after="80"/>
              <w:rPr>
                <w:b/>
                <w:color w:val="7B5E05"/>
                <w:sz w:val="20"/>
              </w:rPr>
            </w:pPr>
            <w:r>
              <w:rPr>
                <w:sz w:val="20"/>
              </w:rPr>
              <w:t>N</w:t>
            </w:r>
            <w:r w:rsidRPr="00C54FFA">
              <w:rPr>
                <w:sz w:val="20"/>
              </w:rPr>
              <w:t>ewlands</w:t>
            </w:r>
            <w:r w:rsidR="00752220">
              <w:rPr>
                <w:sz w:val="20"/>
              </w:rPr>
              <w:t xml:space="preserve"> (Capital &amp; Coast)</w:t>
            </w:r>
          </w:p>
        </w:tc>
        <w:tc>
          <w:tcPr>
            <w:tcW w:w="2646" w:type="dxa"/>
            <w:tcMar>
              <w:top w:w="85" w:type="dxa"/>
              <w:bottom w:w="85" w:type="dxa"/>
            </w:tcMar>
          </w:tcPr>
          <w:p w:rsidR="00C54FFA" w:rsidRPr="00C54FFA" w:rsidRDefault="00C54FFA" w:rsidP="00FF6554">
            <w:pPr>
              <w:pStyle w:val="Table-bodytext"/>
              <w:spacing w:after="80"/>
              <w:rPr>
                <w:b/>
                <w:color w:val="7B5E05"/>
                <w:sz w:val="20"/>
              </w:rPr>
            </w:pPr>
            <w:proofErr w:type="spellStart"/>
            <w:r w:rsidRPr="00C54FFA">
              <w:rPr>
                <w:sz w:val="20"/>
              </w:rPr>
              <w:t>Ruatoria</w:t>
            </w:r>
            <w:proofErr w:type="spellEnd"/>
            <w:r w:rsidR="00752220">
              <w:rPr>
                <w:sz w:val="20"/>
              </w:rPr>
              <w:t xml:space="preserve"> (</w:t>
            </w:r>
            <w:proofErr w:type="spellStart"/>
            <w:r w:rsidR="00752220">
              <w:rPr>
                <w:sz w:val="20"/>
              </w:rPr>
              <w:t>Tairawhiti</w:t>
            </w:r>
            <w:proofErr w:type="spellEnd"/>
            <w:r w:rsidR="00752220">
              <w:rPr>
                <w:sz w:val="20"/>
              </w:rPr>
              <w:t>)</w:t>
            </w:r>
          </w:p>
          <w:p w:rsidR="00C54FFA" w:rsidRPr="00C54FFA" w:rsidRDefault="00C54FFA" w:rsidP="00FF6554">
            <w:pPr>
              <w:pStyle w:val="Table-bodytext"/>
              <w:spacing w:after="80"/>
              <w:rPr>
                <w:b/>
                <w:color w:val="7B5E05"/>
                <w:sz w:val="20"/>
              </w:rPr>
            </w:pPr>
            <w:proofErr w:type="spellStart"/>
            <w:r w:rsidRPr="00C54FFA">
              <w:rPr>
                <w:sz w:val="20"/>
              </w:rPr>
              <w:t>Tokomaru</w:t>
            </w:r>
            <w:proofErr w:type="spellEnd"/>
            <w:r w:rsidRPr="00C54FFA">
              <w:rPr>
                <w:sz w:val="20"/>
              </w:rPr>
              <w:t xml:space="preserve"> Bay</w:t>
            </w:r>
            <w:r w:rsidR="00752220">
              <w:rPr>
                <w:sz w:val="20"/>
              </w:rPr>
              <w:t xml:space="preserve"> (</w:t>
            </w:r>
            <w:proofErr w:type="spellStart"/>
            <w:r w:rsidR="00752220">
              <w:rPr>
                <w:sz w:val="20"/>
              </w:rPr>
              <w:t>Tairawhiti</w:t>
            </w:r>
            <w:proofErr w:type="spellEnd"/>
            <w:r w:rsidR="00752220">
              <w:rPr>
                <w:sz w:val="20"/>
              </w:rPr>
              <w:t>)</w:t>
            </w:r>
          </w:p>
          <w:p w:rsidR="00C54FFA" w:rsidRDefault="00C54FFA" w:rsidP="00FF6554">
            <w:pPr>
              <w:pStyle w:val="Table-bodytext"/>
              <w:spacing w:after="80"/>
              <w:rPr>
                <w:b/>
                <w:color w:val="7B5E05"/>
                <w:sz w:val="20"/>
              </w:rPr>
            </w:pPr>
            <w:proofErr w:type="spellStart"/>
            <w:r w:rsidRPr="00C54FFA">
              <w:rPr>
                <w:sz w:val="20"/>
              </w:rPr>
              <w:t>Te</w:t>
            </w:r>
            <w:proofErr w:type="spellEnd"/>
            <w:r w:rsidRPr="00C54FFA">
              <w:rPr>
                <w:sz w:val="20"/>
              </w:rPr>
              <w:t xml:space="preserve"> </w:t>
            </w:r>
            <w:proofErr w:type="spellStart"/>
            <w:r w:rsidRPr="00C54FFA">
              <w:rPr>
                <w:sz w:val="20"/>
              </w:rPr>
              <w:t>Kuiti</w:t>
            </w:r>
            <w:proofErr w:type="spellEnd"/>
            <w:r w:rsidRPr="00C54FFA">
              <w:rPr>
                <w:sz w:val="20"/>
              </w:rPr>
              <w:t xml:space="preserve"> </w:t>
            </w:r>
            <w:r w:rsidR="00752220">
              <w:rPr>
                <w:sz w:val="20"/>
              </w:rPr>
              <w:t>(Waikato)</w:t>
            </w:r>
          </w:p>
          <w:p w:rsidR="00C54FFA" w:rsidRPr="00C54FFA" w:rsidRDefault="00C54FFA" w:rsidP="00FF6554">
            <w:pPr>
              <w:pStyle w:val="Table-bodytext"/>
              <w:spacing w:after="80"/>
              <w:rPr>
                <w:b/>
                <w:color w:val="7B5E05"/>
                <w:sz w:val="20"/>
              </w:rPr>
            </w:pPr>
            <w:r w:rsidRPr="00C54FFA">
              <w:rPr>
                <w:sz w:val="20"/>
              </w:rPr>
              <w:t>Levin</w:t>
            </w:r>
            <w:r w:rsidR="00752220">
              <w:rPr>
                <w:sz w:val="20"/>
              </w:rPr>
              <w:t xml:space="preserve"> (</w:t>
            </w:r>
            <w:proofErr w:type="spellStart"/>
            <w:r w:rsidR="00752220">
              <w:rPr>
                <w:sz w:val="20"/>
              </w:rPr>
              <w:t>MidCentral</w:t>
            </w:r>
            <w:proofErr w:type="spellEnd"/>
            <w:r w:rsidR="00752220">
              <w:rPr>
                <w:sz w:val="20"/>
              </w:rPr>
              <w:t>)</w:t>
            </w:r>
          </w:p>
          <w:p w:rsidR="00C54FFA" w:rsidRPr="00C54FFA" w:rsidRDefault="00C54FFA" w:rsidP="00FF6554">
            <w:pPr>
              <w:pStyle w:val="Table-bodytext"/>
              <w:spacing w:after="80"/>
              <w:rPr>
                <w:b/>
                <w:color w:val="7B5E05"/>
                <w:sz w:val="20"/>
              </w:rPr>
            </w:pPr>
            <w:r w:rsidRPr="00C54FFA">
              <w:rPr>
                <w:sz w:val="20"/>
              </w:rPr>
              <w:t>Wanaka</w:t>
            </w:r>
            <w:r w:rsidR="00752220">
              <w:rPr>
                <w:sz w:val="20"/>
              </w:rPr>
              <w:t xml:space="preserve"> (Southern</w:t>
            </w:r>
          </w:p>
          <w:p w:rsidR="00C54FFA" w:rsidRPr="00C54FFA" w:rsidRDefault="00C54FFA" w:rsidP="00FF6554">
            <w:pPr>
              <w:pStyle w:val="Table-bodytext"/>
              <w:spacing w:after="80"/>
              <w:rPr>
                <w:b/>
                <w:color w:val="7B5E05"/>
                <w:sz w:val="20"/>
              </w:rPr>
            </w:pPr>
            <w:r w:rsidRPr="00C54FFA">
              <w:rPr>
                <w:sz w:val="20"/>
              </w:rPr>
              <w:t>Cromwell</w:t>
            </w:r>
            <w:r w:rsidR="00752220">
              <w:rPr>
                <w:sz w:val="20"/>
              </w:rPr>
              <w:t xml:space="preserve"> (Southern)</w:t>
            </w:r>
          </w:p>
        </w:tc>
      </w:tr>
    </w:tbl>
    <w:p w:rsidR="00D26175" w:rsidRDefault="00D26175" w:rsidP="00FF6554">
      <w:pPr>
        <w:pStyle w:val="UnnumtextBodytext"/>
        <w:spacing w:before="40" w:after="100" w:afterAutospacing="1"/>
        <w:rPr>
          <w:rFonts w:cs="Arial"/>
          <w:b/>
          <w:bCs/>
          <w:iCs/>
          <w:color w:val="7B5E05"/>
          <w:sz w:val="40"/>
          <w:szCs w:val="28"/>
        </w:rPr>
      </w:pPr>
      <w:r w:rsidRPr="00D0036E">
        <w:rPr>
          <w:b/>
          <w:sz w:val="20"/>
        </w:rPr>
        <w:t>Source:</w:t>
      </w:r>
      <w:r w:rsidRPr="00D0036E">
        <w:rPr>
          <w:sz w:val="20"/>
        </w:rPr>
        <w:t xml:space="preserve"> </w:t>
      </w:r>
      <w:proofErr w:type="spellStart"/>
      <w:r w:rsidRPr="00D0036E">
        <w:rPr>
          <w:sz w:val="20"/>
        </w:rPr>
        <w:t>Sapere</w:t>
      </w:r>
      <w:proofErr w:type="spellEnd"/>
      <w:r w:rsidRPr="00D0036E">
        <w:rPr>
          <w:sz w:val="20"/>
        </w:rPr>
        <w:t xml:space="preserve"> Research Group</w:t>
      </w:r>
    </w:p>
    <w:p w:rsidR="001515D7" w:rsidRDefault="0082712E" w:rsidP="0082712E">
      <w:pPr>
        <w:pStyle w:val="Heading1"/>
      </w:pPr>
      <w:bookmarkStart w:id="115" w:name="_Toc423945941"/>
      <w:r>
        <w:lastRenderedPageBreak/>
        <w:t>Mobile surgery –</w:t>
      </w:r>
      <w:r w:rsidR="0098340D">
        <w:t xml:space="preserve"> c</w:t>
      </w:r>
      <w:r w:rsidR="00625F4F">
        <w:t>ost-effective</w:t>
      </w:r>
      <w:r w:rsidR="0098340D">
        <w:t>ness</w:t>
      </w:r>
      <w:bookmarkEnd w:id="115"/>
      <w:r w:rsidR="0098340D">
        <w:t xml:space="preserve"> </w:t>
      </w:r>
    </w:p>
    <w:p w:rsidR="00C94111" w:rsidRPr="00C94111" w:rsidRDefault="005619E9" w:rsidP="00C94111">
      <w:pPr>
        <w:pStyle w:val="UnnumtextBodytext"/>
      </w:pPr>
      <w:r>
        <w:t xml:space="preserve">This section considers the </w:t>
      </w:r>
      <w:r w:rsidR="009341EC">
        <w:t xml:space="preserve">costs of the </w:t>
      </w:r>
      <w:r w:rsidR="00CC2535">
        <w:t xml:space="preserve">mobile surgical </w:t>
      </w:r>
      <w:r>
        <w:t>service provided by MSS Ltd</w:t>
      </w:r>
      <w:r w:rsidR="009341EC">
        <w:t xml:space="preserve"> and whether it is cost-effective, relative to the plausible counterfactual of service provision by base hospitals.</w:t>
      </w:r>
      <w:r>
        <w:t xml:space="preserve"> A full cost-effectiveness comparison has not been possible</w:t>
      </w:r>
      <w:r w:rsidR="00CC2535">
        <w:t xml:space="preserve"> due </w:t>
      </w:r>
      <w:r w:rsidR="00EE2F01">
        <w:t xml:space="preserve">a lack of </w:t>
      </w:r>
      <w:r w:rsidR="00CC2535">
        <w:t>detailed financial data</w:t>
      </w:r>
      <w:r w:rsidR="00752A86">
        <w:t>. Instead,</w:t>
      </w:r>
      <w:r w:rsidR="009341EC">
        <w:t xml:space="preserve"> we </w:t>
      </w:r>
      <w:r w:rsidR="00A84D4F">
        <w:t xml:space="preserve">examine a range </w:t>
      </w:r>
      <w:r w:rsidR="009341EC">
        <w:t>of perspectives to build up a picture.</w:t>
      </w:r>
    </w:p>
    <w:p w:rsidR="005619E9" w:rsidRDefault="001B1581" w:rsidP="005619E9">
      <w:pPr>
        <w:pStyle w:val="Heading3"/>
      </w:pPr>
      <w:bookmarkStart w:id="116" w:name="_Toc380691090"/>
      <w:bookmarkStart w:id="117" w:name="_Toc423945942"/>
      <w:r>
        <w:t>The original contract was based on a business case</w:t>
      </w:r>
      <w:bookmarkEnd w:id="116"/>
      <w:bookmarkEnd w:id="117"/>
    </w:p>
    <w:p w:rsidR="005619E9" w:rsidRDefault="005619E9" w:rsidP="005619E9">
      <w:pPr>
        <w:pStyle w:val="UnnumtextBodytext"/>
      </w:pPr>
      <w:r>
        <w:t>We understand that the original</w:t>
      </w:r>
      <w:r w:rsidR="009341EC">
        <w:t xml:space="preserve"> contract</w:t>
      </w:r>
      <w:r>
        <w:t xml:space="preserve"> negotiated between the Ministry and MSS Ltd in </w:t>
      </w:r>
      <w:r w:rsidR="00FE462B">
        <w:t>2000/</w:t>
      </w:r>
      <w:r w:rsidR="009341EC">
        <w:t>01</w:t>
      </w:r>
      <w:r>
        <w:t xml:space="preserve"> was supported by detailed </w:t>
      </w:r>
      <w:r w:rsidR="00674632">
        <w:t>costings</w:t>
      </w:r>
      <w:r>
        <w:t>.</w:t>
      </w:r>
      <w:r>
        <w:rPr>
          <w:rStyle w:val="FootnoteReference"/>
        </w:rPr>
        <w:footnoteReference w:id="10"/>
      </w:r>
      <w:r>
        <w:t xml:space="preserve"> The contract was predicated on the understanding that the </w:t>
      </w:r>
      <w:r w:rsidR="009341EC">
        <w:t xml:space="preserve">key elements – </w:t>
      </w:r>
      <w:r>
        <w:t>the volume of procedures, the effective price of such procedures and total costs</w:t>
      </w:r>
      <w:r w:rsidR="009341EC">
        <w:t xml:space="preserve"> – reasonably matched </w:t>
      </w:r>
      <w:r>
        <w:t xml:space="preserve">the </w:t>
      </w:r>
      <w:r w:rsidRPr="00172379">
        <w:rPr>
          <w:i/>
        </w:rPr>
        <w:t>actual</w:t>
      </w:r>
      <w:r>
        <w:t xml:space="preserve"> costs </w:t>
      </w:r>
      <w:r w:rsidR="00C3356E">
        <w:t xml:space="preserve">incurred </w:t>
      </w:r>
      <w:r w:rsidR="00674632">
        <w:t xml:space="preserve">(including all overheads and depreciation) </w:t>
      </w:r>
      <w:r>
        <w:t xml:space="preserve">of delivering the services to the </w:t>
      </w:r>
      <w:r w:rsidR="001B1581">
        <w:t>s</w:t>
      </w:r>
      <w:r>
        <w:t>tandard required.</w:t>
      </w:r>
      <w:r>
        <w:rPr>
          <w:rStyle w:val="FootnoteReference"/>
        </w:rPr>
        <w:footnoteReference w:id="11"/>
      </w:r>
      <w:r>
        <w:t xml:space="preserve"> </w:t>
      </w:r>
      <w:r w:rsidR="00FE462B">
        <w:t xml:space="preserve">Some </w:t>
      </w:r>
      <w:r w:rsidR="001B1581">
        <w:t xml:space="preserve">considerations underpinned this </w:t>
      </w:r>
      <w:proofErr w:type="spellStart"/>
      <w:r w:rsidR="001B1581">
        <w:t>judg</w:t>
      </w:r>
      <w:r w:rsidR="00FE462B">
        <w:t>e</w:t>
      </w:r>
      <w:r w:rsidR="001B1581">
        <w:t>ment</w:t>
      </w:r>
      <w:proofErr w:type="spellEnd"/>
      <w:r w:rsidR="00EE2F01">
        <w:t>, as follows</w:t>
      </w:r>
      <w:r w:rsidR="00F26F39">
        <w:t>.</w:t>
      </w:r>
    </w:p>
    <w:p w:rsidR="005619E9" w:rsidRDefault="00FE462B" w:rsidP="00D1245C">
      <w:pPr>
        <w:pStyle w:val="UnnumtextBullet1"/>
        <w:spacing w:after="170"/>
      </w:pPr>
      <w:r>
        <w:t>There are</w:t>
      </w:r>
      <w:r w:rsidR="005619E9">
        <w:t xml:space="preserve"> </w:t>
      </w:r>
      <w:r>
        <w:t xml:space="preserve">various </w:t>
      </w:r>
      <w:r w:rsidR="005619E9">
        <w:t>components for which costs were assessed a</w:t>
      </w:r>
      <w:r w:rsidR="00EE2F01">
        <w:t xml:space="preserve">s being similar for </w:t>
      </w:r>
      <w:r w:rsidR="005619E9">
        <w:t>MSS Ltd and DHBs</w:t>
      </w:r>
      <w:r w:rsidR="00EE2F01">
        <w:t xml:space="preserve">, for example, </w:t>
      </w:r>
      <w:r w:rsidR="005619E9">
        <w:t xml:space="preserve">staff time, consumables, equipment, </w:t>
      </w:r>
      <w:r w:rsidR="00EE2F01">
        <w:t xml:space="preserve">and </w:t>
      </w:r>
      <w:r w:rsidR="005619E9">
        <w:t>depreciation</w:t>
      </w:r>
      <w:r w:rsidR="00EE2F01">
        <w:t>.</w:t>
      </w:r>
    </w:p>
    <w:p w:rsidR="00EE2F01" w:rsidRDefault="00EE2F01" w:rsidP="00D1245C">
      <w:pPr>
        <w:pStyle w:val="UnnumtextBullet1"/>
        <w:spacing w:after="170"/>
      </w:pPr>
      <w:r>
        <w:t>Some costs were specific to MSS Ltd, for example, operating costs such as fuel, maintenance for the surgical bus, staff travel, as well as the service start-up costs.</w:t>
      </w:r>
    </w:p>
    <w:p w:rsidR="005619E9" w:rsidRDefault="005619E9" w:rsidP="00D1245C">
      <w:pPr>
        <w:pStyle w:val="UnnumtextBullet1"/>
        <w:spacing w:after="170"/>
      </w:pPr>
      <w:r>
        <w:t xml:space="preserve">Threshold effects and minimum efficient scale issues </w:t>
      </w:r>
      <w:r w:rsidR="00C3356E">
        <w:t xml:space="preserve">were </w:t>
      </w:r>
      <w:r>
        <w:t>appli</w:t>
      </w:r>
      <w:r w:rsidR="00C3356E">
        <w:t>cable</w:t>
      </w:r>
      <w:r>
        <w:t xml:space="preserve"> to MSS Ltd (i.e. </w:t>
      </w:r>
      <w:r w:rsidR="00C3356E">
        <w:t xml:space="preserve">the </w:t>
      </w:r>
      <w:r>
        <w:t xml:space="preserve">economies of scale and scope </w:t>
      </w:r>
      <w:r w:rsidR="00C3356E">
        <w:t xml:space="preserve">achievable at DHB base hospitals </w:t>
      </w:r>
      <w:r>
        <w:t xml:space="preserve">could not be exploited </w:t>
      </w:r>
      <w:r w:rsidR="00C3356E">
        <w:t>to the same extent with a mobile surgical unit</w:t>
      </w:r>
      <w:r>
        <w:t>)</w:t>
      </w:r>
      <w:r w:rsidR="004F7614">
        <w:t>.</w:t>
      </w:r>
    </w:p>
    <w:p w:rsidR="005619E9" w:rsidRDefault="005619E9" w:rsidP="00D1245C">
      <w:pPr>
        <w:pStyle w:val="UnnumtextBullet1"/>
        <w:spacing w:after="170"/>
      </w:pPr>
      <w:r>
        <w:t xml:space="preserve">Acknowledgement of a </w:t>
      </w:r>
      <w:r w:rsidR="004F7614">
        <w:t>r</w:t>
      </w:r>
      <w:r>
        <w:t xml:space="preserve">ural factor </w:t>
      </w:r>
      <w:r w:rsidR="00C3356E">
        <w:t xml:space="preserve">(i.e. distances and remoteness) </w:t>
      </w:r>
      <w:r>
        <w:t xml:space="preserve">leading to </w:t>
      </w:r>
      <w:r w:rsidR="004F7614">
        <w:t>extra</w:t>
      </w:r>
      <w:r>
        <w:t xml:space="preserve"> transaction and coordination costs</w:t>
      </w:r>
      <w:r w:rsidR="004F7614">
        <w:t>.</w:t>
      </w:r>
    </w:p>
    <w:p w:rsidR="005619E9" w:rsidRDefault="005619E9" w:rsidP="005619E9">
      <w:pPr>
        <w:pStyle w:val="UnnumtextBullet1"/>
        <w:spacing w:after="170"/>
      </w:pPr>
      <w:r>
        <w:t xml:space="preserve">The overriding concern for the Ministry </w:t>
      </w:r>
      <w:r w:rsidR="00C3356E">
        <w:t>appears</w:t>
      </w:r>
      <w:r>
        <w:t xml:space="preserve"> </w:t>
      </w:r>
      <w:r w:rsidR="00955344">
        <w:t xml:space="preserve">to </w:t>
      </w:r>
      <w:r w:rsidR="00C3356E">
        <w:t xml:space="preserve">have been to </w:t>
      </w:r>
      <w:proofErr w:type="spellStart"/>
      <w:r>
        <w:t>maximis</w:t>
      </w:r>
      <w:r w:rsidR="00955344">
        <w:t>e</w:t>
      </w:r>
      <w:proofErr w:type="spellEnd"/>
      <w:r>
        <w:t xml:space="preserve"> outputs</w:t>
      </w:r>
      <w:r w:rsidR="00955344">
        <w:t xml:space="preserve"> </w:t>
      </w:r>
      <w:r>
        <w:t>for a given level of funding</w:t>
      </w:r>
      <w:r w:rsidR="00955344">
        <w:t xml:space="preserve">, rather than </w:t>
      </w:r>
      <w:r>
        <w:t xml:space="preserve">finding </w:t>
      </w:r>
      <w:r w:rsidR="00955344">
        <w:t xml:space="preserve">the </w:t>
      </w:r>
      <w:r>
        <w:t xml:space="preserve">optimal </w:t>
      </w:r>
      <w:r w:rsidR="00955344">
        <w:t xml:space="preserve">unit </w:t>
      </w:r>
      <w:r>
        <w:t xml:space="preserve">prices for </w:t>
      </w:r>
      <w:r w:rsidR="00C3356E">
        <w:t xml:space="preserve">each </w:t>
      </w:r>
      <w:r w:rsidR="00955344">
        <w:t>component</w:t>
      </w:r>
      <w:r w:rsidR="00C3356E">
        <w:t xml:space="preserve"> (i.e. the mobile surgical service versus rural professional development services)</w:t>
      </w:r>
      <w:r w:rsidR="00955344">
        <w:t>.</w:t>
      </w:r>
    </w:p>
    <w:p w:rsidR="00674632" w:rsidRDefault="005619E9" w:rsidP="005619E9">
      <w:pPr>
        <w:pStyle w:val="UnnumtextBodytext"/>
      </w:pPr>
      <w:r>
        <w:t xml:space="preserve">The </w:t>
      </w:r>
      <w:r w:rsidR="006E551D">
        <w:t xml:space="preserve">result </w:t>
      </w:r>
      <w:r>
        <w:t>was a “negotiated” price which aimed to reflect the costs of provi</w:t>
      </w:r>
      <w:r w:rsidR="00C3356E">
        <w:t>ding the mobile surgical service</w:t>
      </w:r>
      <w:r>
        <w:t xml:space="preserve">, but </w:t>
      </w:r>
      <w:r w:rsidR="006E551D">
        <w:t xml:space="preserve">with </w:t>
      </w:r>
      <w:r w:rsidR="007669EE">
        <w:t xml:space="preserve">some </w:t>
      </w:r>
      <w:proofErr w:type="spellStart"/>
      <w:r>
        <w:t>judg</w:t>
      </w:r>
      <w:r w:rsidR="007669EE">
        <w:t>e</w:t>
      </w:r>
      <w:r>
        <w:t>ment</w:t>
      </w:r>
      <w:r w:rsidR="007669EE">
        <w:t>s</w:t>
      </w:r>
      <w:proofErr w:type="spellEnd"/>
      <w:r w:rsidR="006E551D">
        <w:t xml:space="preserve"> about the extra costs and diseconomies of small scale face by MSS Ltd</w:t>
      </w:r>
      <w:r w:rsidR="00C3356E">
        <w:t>,</w:t>
      </w:r>
      <w:r w:rsidR="006E551D">
        <w:t xml:space="preserve"> </w:t>
      </w:r>
      <w:r w:rsidR="00C3356E">
        <w:t xml:space="preserve">relative to a </w:t>
      </w:r>
      <w:r w:rsidR="006E551D">
        <w:t>base hospital</w:t>
      </w:r>
      <w:r>
        <w:t xml:space="preserve">. </w:t>
      </w:r>
      <w:r w:rsidR="006E551D">
        <w:t>So f</w:t>
      </w:r>
      <w:r>
        <w:t>rom the outset</w:t>
      </w:r>
      <w:r w:rsidR="006E551D">
        <w:t>,</w:t>
      </w:r>
      <w:r>
        <w:t xml:space="preserve"> there was a</w:t>
      </w:r>
      <w:r w:rsidR="006E551D">
        <w:t xml:space="preserve">n acknowledged </w:t>
      </w:r>
      <w:r>
        <w:t xml:space="preserve">gap between the effective price per procedure paid to MSS Ltd and the equivalent </w:t>
      </w:r>
      <w:r w:rsidR="006E551D">
        <w:t xml:space="preserve">national </w:t>
      </w:r>
      <w:r>
        <w:t xml:space="preserve">price </w:t>
      </w:r>
      <w:r w:rsidR="006E551D">
        <w:t xml:space="preserve">set for DHB </w:t>
      </w:r>
      <w:r>
        <w:t>provider</w:t>
      </w:r>
      <w:r w:rsidR="006E551D">
        <w:t xml:space="preserve"> arm</w:t>
      </w:r>
      <w:r>
        <w:t>s.</w:t>
      </w:r>
      <w:r w:rsidR="00674632">
        <w:t xml:space="preserve"> </w:t>
      </w:r>
    </w:p>
    <w:p w:rsidR="005619E9" w:rsidRDefault="005619E9" w:rsidP="005619E9">
      <w:pPr>
        <w:pStyle w:val="Heading3"/>
      </w:pPr>
      <w:bookmarkStart w:id="118" w:name="_Toc388900994"/>
      <w:bookmarkStart w:id="119" w:name="_Toc388905424"/>
      <w:bookmarkStart w:id="120" w:name="_Toc388907613"/>
      <w:bookmarkStart w:id="121" w:name="_Toc388909292"/>
      <w:bookmarkStart w:id="122" w:name="_Toc388910164"/>
      <w:bookmarkStart w:id="123" w:name="_Toc388912680"/>
      <w:bookmarkStart w:id="124" w:name="_Toc388950620"/>
      <w:bookmarkStart w:id="125" w:name="_Toc388952951"/>
      <w:bookmarkStart w:id="126" w:name="_Toc388955274"/>
      <w:bookmarkStart w:id="127" w:name="_Toc388956823"/>
      <w:bookmarkStart w:id="128" w:name="_Toc388957099"/>
      <w:bookmarkStart w:id="129" w:name="_Toc380691091"/>
      <w:bookmarkStart w:id="130" w:name="_Toc423945943"/>
      <w:bookmarkEnd w:id="118"/>
      <w:bookmarkEnd w:id="119"/>
      <w:bookmarkEnd w:id="120"/>
      <w:bookmarkEnd w:id="121"/>
      <w:bookmarkEnd w:id="122"/>
      <w:bookmarkEnd w:id="123"/>
      <w:bookmarkEnd w:id="124"/>
      <w:bookmarkEnd w:id="125"/>
      <w:bookmarkEnd w:id="126"/>
      <w:bookmarkEnd w:id="127"/>
      <w:bookmarkEnd w:id="128"/>
      <w:r>
        <w:t>The current arrangements</w:t>
      </w:r>
      <w:bookmarkEnd w:id="129"/>
      <w:r w:rsidR="004F7614">
        <w:t xml:space="preserve"> and a fluctuating “gap” between the contract price and national price</w:t>
      </w:r>
      <w:bookmarkEnd w:id="130"/>
    </w:p>
    <w:p w:rsidR="005619E9" w:rsidRDefault="005619E9" w:rsidP="008250C8">
      <w:pPr>
        <w:pStyle w:val="UnnumtextBodytext"/>
      </w:pPr>
      <w:r>
        <w:t xml:space="preserve">The Ministry of Health and MSS Ltd re-contracted in 2006/07 </w:t>
      </w:r>
      <w:r w:rsidR="00EF1BD2">
        <w:t xml:space="preserve">– initially for five years – </w:t>
      </w:r>
      <w:r>
        <w:t xml:space="preserve">and this agreement </w:t>
      </w:r>
      <w:r w:rsidR="00EF1BD2">
        <w:t xml:space="preserve">has been extended and </w:t>
      </w:r>
      <w:r>
        <w:t xml:space="preserve">essentially </w:t>
      </w:r>
      <w:r w:rsidR="00EF1BD2">
        <w:t xml:space="preserve">remains </w:t>
      </w:r>
      <w:r>
        <w:t xml:space="preserve">in place. The underlying basis for </w:t>
      </w:r>
      <w:r w:rsidR="00FF6554">
        <w:t xml:space="preserve">the contracted </w:t>
      </w:r>
      <w:r>
        <w:t xml:space="preserve">surgical volumes was changed from 1,500 procedures to 705 case-weighted </w:t>
      </w:r>
      <w:r>
        <w:lastRenderedPageBreak/>
        <w:t>discharges (CWD) per annum, although this desired number of procedures was still referenced.</w:t>
      </w:r>
      <w:r>
        <w:rPr>
          <w:rStyle w:val="FootnoteReference"/>
        </w:rPr>
        <w:footnoteReference w:id="12"/>
      </w:r>
      <w:r>
        <w:t xml:space="preserve"> The effective case weight price was derived </w:t>
      </w:r>
      <w:r w:rsidR="00FF6554">
        <w:t xml:space="preserve">by dividing </w:t>
      </w:r>
      <w:r>
        <w:t>the value of th</w:t>
      </w:r>
      <w:r w:rsidR="007669EE">
        <w:t>is</w:t>
      </w:r>
      <w:r w:rsidR="00B010E5">
        <w:t xml:space="preserve"> part</w:t>
      </w:r>
      <w:r w:rsidR="007669EE">
        <w:t xml:space="preserve"> of the </w:t>
      </w:r>
      <w:r>
        <w:t>contract</w:t>
      </w:r>
      <w:r w:rsidR="00B010E5">
        <w:t xml:space="preserve"> (which was </w:t>
      </w:r>
      <w:r w:rsidR="007669EE">
        <w:t>unchanged</w:t>
      </w:r>
      <w:r w:rsidR="00EF1BD2">
        <w:t xml:space="preserve"> at $3.5 million per annum</w:t>
      </w:r>
      <w:r w:rsidR="00B010E5">
        <w:t>) by the volume of CWD</w:t>
      </w:r>
      <w:r w:rsidR="007669EE">
        <w:t>.</w:t>
      </w:r>
      <w:r>
        <w:t xml:space="preserve"> The contract </w:t>
      </w:r>
      <w:r w:rsidR="00B010E5">
        <w:t>notes</w:t>
      </w:r>
      <w:r>
        <w:t xml:space="preserve"> th</w:t>
      </w:r>
      <w:r w:rsidR="00B010E5">
        <w:t>e</w:t>
      </w:r>
      <w:r>
        <w:t xml:space="preserve"> agreed </w:t>
      </w:r>
      <w:r w:rsidR="007669EE">
        <w:t>volumes were</w:t>
      </w:r>
      <w:r>
        <w:t xml:space="preserve"> an estimate of </w:t>
      </w:r>
      <w:r w:rsidRPr="007669EE">
        <w:t>maximum</w:t>
      </w:r>
      <w:r>
        <w:t xml:space="preserve"> throughput.</w:t>
      </w:r>
      <w:r>
        <w:rPr>
          <w:rStyle w:val="FootnoteReference"/>
        </w:rPr>
        <w:footnoteReference w:id="13"/>
      </w:r>
      <w:r>
        <w:t xml:space="preserve"> </w:t>
      </w:r>
    </w:p>
    <w:p w:rsidR="00C26173" w:rsidRDefault="00C26173" w:rsidP="008250C8">
      <w:pPr>
        <w:pStyle w:val="UnnumtextBodytext"/>
      </w:pPr>
      <w:r>
        <w:fldChar w:fldCharType="begin"/>
      </w:r>
      <w:r>
        <w:instrText xml:space="preserve"> REF _Ref380574026 \h </w:instrText>
      </w:r>
      <w:r>
        <w:fldChar w:fldCharType="separate"/>
      </w:r>
      <w:r w:rsidR="00CA314A">
        <w:t xml:space="preserve">Table </w:t>
      </w:r>
      <w:r w:rsidR="00CA314A">
        <w:rPr>
          <w:noProof/>
        </w:rPr>
        <w:t>7</w:t>
      </w:r>
      <w:r>
        <w:fldChar w:fldCharType="end"/>
      </w:r>
      <w:r>
        <w:t xml:space="preserve"> shows the “gap” in pricing between the</w:t>
      </w:r>
      <w:r w:rsidRPr="00FA132B">
        <w:t xml:space="preserve"> </w:t>
      </w:r>
      <w:r>
        <w:t xml:space="preserve">effective CWD price received by MSS Ltd and the national CWD price over time. The price </w:t>
      </w:r>
      <w:r w:rsidR="00B010E5">
        <w:t>“</w:t>
      </w:r>
      <w:r>
        <w:t>premium</w:t>
      </w:r>
      <w:r w:rsidR="00B010E5">
        <w:t>”</w:t>
      </w:r>
      <w:r>
        <w:t xml:space="preserve"> received by MSS in 2006/07 was around 58% </w:t>
      </w:r>
      <w:r w:rsidR="00B010E5">
        <w:t>above</w:t>
      </w:r>
      <w:r>
        <w:t xml:space="preserve"> the national price. This premium was </w:t>
      </w:r>
      <w:r w:rsidR="00FA18DB">
        <w:t>eroded</w:t>
      </w:r>
      <w:r>
        <w:t xml:space="preserve"> over the following years because the national price was adjusted on an annual basis, whereas there was no adjustment to the contract price for inflation or cost pressures.</w:t>
      </w:r>
      <w:r>
        <w:rPr>
          <w:rStyle w:val="FootnoteReference"/>
        </w:rPr>
        <w:footnoteReference w:id="14"/>
      </w:r>
      <w:r>
        <w:t xml:space="preserve"> As a result, in 2010/11, the price premium had been reduced to 13% over the national price.</w:t>
      </w:r>
    </w:p>
    <w:p w:rsidR="005619E9" w:rsidRPr="00D77FF0" w:rsidRDefault="005619E9" w:rsidP="00FA18DB">
      <w:pPr>
        <w:pStyle w:val="UnnumtextBodytext"/>
      </w:pPr>
      <w:r>
        <w:t xml:space="preserve">However, </w:t>
      </w:r>
      <w:r w:rsidR="00C537F4">
        <w:t>a contract variation adjusted the</w:t>
      </w:r>
      <w:r>
        <w:t xml:space="preserve"> </w:t>
      </w:r>
      <w:r w:rsidR="00C537F4">
        <w:t xml:space="preserve">effective </w:t>
      </w:r>
      <w:r>
        <w:t>case weight price from 1 October 2011, restore</w:t>
      </w:r>
      <w:r w:rsidR="00C26173">
        <w:t>d some of</w:t>
      </w:r>
      <w:r>
        <w:t xml:space="preserve"> the previous relativity between the national CWD price and the effective price received by MSS Ltd. This was achieved by </w:t>
      </w:r>
      <w:r w:rsidR="006E551D">
        <w:t>reallocat</w:t>
      </w:r>
      <w:r w:rsidR="00B010E5">
        <w:t>ing</w:t>
      </w:r>
      <w:r w:rsidR="006E551D">
        <w:t xml:space="preserve"> funds </w:t>
      </w:r>
      <w:r w:rsidR="00FA132B">
        <w:t xml:space="preserve">($0.5 million) </w:t>
      </w:r>
      <w:r w:rsidR="006E551D">
        <w:t>from the other two components.</w:t>
      </w:r>
      <w:r w:rsidR="00C26173">
        <w:t xml:space="preserve"> </w:t>
      </w:r>
      <w:r w:rsidR="00FA18DB">
        <w:t xml:space="preserve">In 2012/13 the </w:t>
      </w:r>
      <w:r w:rsidR="00C26173">
        <w:t>premium was around</w:t>
      </w:r>
      <w:r w:rsidR="00FA132B">
        <w:t xml:space="preserve"> 33%</w:t>
      </w:r>
      <w:r w:rsidR="00FA18DB">
        <w:t xml:space="preserve"> above the national price</w:t>
      </w:r>
      <w:r>
        <w:t xml:space="preserve">. </w:t>
      </w:r>
    </w:p>
    <w:p w:rsidR="005619E9" w:rsidRDefault="005619E9" w:rsidP="0098340D">
      <w:pPr>
        <w:pStyle w:val="Caption"/>
        <w:spacing w:before="100" w:beforeAutospacing="1" w:after="80"/>
      </w:pPr>
      <w:bookmarkStart w:id="131" w:name="_Ref380574026"/>
      <w:bookmarkStart w:id="132" w:name="_Toc380691096"/>
      <w:bookmarkStart w:id="133" w:name="_Toc423945977"/>
      <w:r>
        <w:t xml:space="preserve">Table </w:t>
      </w:r>
      <w:fldSimple w:instr=" SEQ Table \* ARABIC ">
        <w:r w:rsidR="00CA314A">
          <w:rPr>
            <w:noProof/>
          </w:rPr>
          <w:t>7</w:t>
        </w:r>
      </w:fldSimple>
      <w:bookmarkEnd w:id="131"/>
      <w:r>
        <w:rPr>
          <w:noProof/>
        </w:rPr>
        <w:t>:</w:t>
      </w:r>
      <w:r>
        <w:t xml:space="preserve"> C</w:t>
      </w:r>
      <w:r w:rsidR="004F7614">
        <w:t>ontract prices and c</w:t>
      </w:r>
      <w:r w:rsidR="00CC2535">
        <w:t>ase-weighted discharge p</w:t>
      </w:r>
      <w:r>
        <w:t>rice</w:t>
      </w:r>
      <w:r w:rsidR="00CC2535">
        <w:t xml:space="preserve">s </w:t>
      </w:r>
      <w:r w:rsidR="00CB2B79">
        <w:t>– a</w:t>
      </w:r>
      <w:r w:rsidR="00CC2535">
        <w:t xml:space="preserve"> </w:t>
      </w:r>
      <w:r w:rsidR="00CB2B79">
        <w:t>c</w:t>
      </w:r>
      <w:r>
        <w:t>omparison</w:t>
      </w:r>
      <w:bookmarkEnd w:id="132"/>
      <w:bookmarkEnd w:id="133"/>
    </w:p>
    <w:tbl>
      <w:tblPr>
        <w:tblStyle w:val="TableSapereGrid"/>
        <w:tblW w:w="7937" w:type="dxa"/>
        <w:tblInd w:w="108" w:type="dxa"/>
        <w:tblLayout w:type="fixed"/>
        <w:tblLook w:val="0620" w:firstRow="1" w:lastRow="0" w:firstColumn="0" w:lastColumn="0" w:noHBand="1" w:noVBand="1"/>
      </w:tblPr>
      <w:tblGrid>
        <w:gridCol w:w="1984"/>
        <w:gridCol w:w="1984"/>
        <w:gridCol w:w="1984"/>
        <w:gridCol w:w="1985"/>
      </w:tblGrid>
      <w:tr w:rsidR="005619E9" w:rsidRPr="005619E9" w:rsidTr="00950129">
        <w:trPr>
          <w:cnfStyle w:val="100000000000" w:firstRow="1" w:lastRow="0" w:firstColumn="0" w:lastColumn="0" w:oddVBand="0" w:evenVBand="0" w:oddHBand="0" w:evenHBand="0" w:firstRowFirstColumn="0" w:firstRowLastColumn="0" w:lastRowFirstColumn="0" w:lastRowLastColumn="0"/>
        </w:trPr>
        <w:tc>
          <w:tcPr>
            <w:tcW w:w="1984" w:type="dxa"/>
          </w:tcPr>
          <w:p w:rsidR="005619E9" w:rsidRPr="005619E9" w:rsidRDefault="005619E9" w:rsidP="008250C8">
            <w:pPr>
              <w:pStyle w:val="Table-headingrow1"/>
              <w:spacing w:after="40"/>
              <w:rPr>
                <w:sz w:val="20"/>
              </w:rPr>
            </w:pPr>
            <w:r w:rsidRPr="005619E9">
              <w:rPr>
                <w:sz w:val="20"/>
              </w:rPr>
              <w:t>Year</w:t>
            </w:r>
          </w:p>
        </w:tc>
        <w:tc>
          <w:tcPr>
            <w:tcW w:w="1984" w:type="dxa"/>
          </w:tcPr>
          <w:p w:rsidR="005619E9" w:rsidRPr="005619E9" w:rsidRDefault="005619E9" w:rsidP="008250C8">
            <w:pPr>
              <w:pStyle w:val="Table-headingrow1"/>
              <w:spacing w:after="40"/>
              <w:jc w:val="center"/>
              <w:rPr>
                <w:sz w:val="20"/>
              </w:rPr>
            </w:pPr>
            <w:r w:rsidRPr="005619E9">
              <w:rPr>
                <w:sz w:val="20"/>
              </w:rPr>
              <w:t>MSS Ltd</w:t>
            </w:r>
            <w:r w:rsidR="00CB2B79">
              <w:rPr>
                <w:sz w:val="20"/>
              </w:rPr>
              <w:t xml:space="preserve"> – effective </w:t>
            </w:r>
            <w:r w:rsidR="00850113">
              <w:rPr>
                <w:sz w:val="20"/>
              </w:rPr>
              <w:t xml:space="preserve">price specified in </w:t>
            </w:r>
            <w:r w:rsidR="00CB2B79">
              <w:rPr>
                <w:sz w:val="20"/>
              </w:rPr>
              <w:t>contract</w:t>
            </w:r>
            <w:r w:rsidR="00594498" w:rsidRPr="00FF6554">
              <w:rPr>
                <w:sz w:val="20"/>
                <w:vertAlign w:val="superscript"/>
              </w:rPr>
              <w:t>1</w:t>
            </w:r>
          </w:p>
        </w:tc>
        <w:tc>
          <w:tcPr>
            <w:tcW w:w="1984" w:type="dxa"/>
          </w:tcPr>
          <w:p w:rsidR="005619E9" w:rsidRPr="005619E9" w:rsidRDefault="005619E9" w:rsidP="008250C8">
            <w:pPr>
              <w:pStyle w:val="Table-headingrow1"/>
              <w:spacing w:after="40"/>
              <w:jc w:val="center"/>
              <w:rPr>
                <w:sz w:val="20"/>
              </w:rPr>
            </w:pPr>
            <w:r w:rsidRPr="005619E9">
              <w:rPr>
                <w:sz w:val="20"/>
              </w:rPr>
              <w:t>National price</w:t>
            </w:r>
            <w:r w:rsidR="00CB2B79">
              <w:rPr>
                <w:sz w:val="20"/>
              </w:rPr>
              <w:t xml:space="preserve"> used by DHBs</w:t>
            </w:r>
          </w:p>
        </w:tc>
        <w:tc>
          <w:tcPr>
            <w:tcW w:w="1985" w:type="dxa"/>
          </w:tcPr>
          <w:p w:rsidR="005619E9" w:rsidRPr="005619E9" w:rsidRDefault="005619E9" w:rsidP="008250C8">
            <w:pPr>
              <w:pStyle w:val="Table-headingrow1"/>
              <w:spacing w:after="40"/>
              <w:jc w:val="center"/>
              <w:rPr>
                <w:sz w:val="20"/>
              </w:rPr>
            </w:pPr>
            <w:r w:rsidRPr="005619E9">
              <w:rPr>
                <w:sz w:val="20"/>
              </w:rPr>
              <w:t>Difference</w:t>
            </w:r>
            <w:r w:rsidR="008250C8">
              <w:rPr>
                <w:sz w:val="20"/>
              </w:rPr>
              <w:t xml:space="preserve"> (premium over the national price)</w:t>
            </w:r>
            <w:r w:rsidR="00C26173">
              <w:rPr>
                <w:sz w:val="20"/>
              </w:rPr>
              <w:t xml:space="preserve"> </w:t>
            </w:r>
          </w:p>
        </w:tc>
      </w:tr>
      <w:tr w:rsidR="005619E9" w:rsidTr="00950129">
        <w:tc>
          <w:tcPr>
            <w:tcW w:w="1984" w:type="dxa"/>
            <w:vAlign w:val="bottom"/>
          </w:tcPr>
          <w:p w:rsidR="005619E9" w:rsidRPr="007878B8" w:rsidRDefault="005619E9" w:rsidP="008250C8">
            <w:pPr>
              <w:spacing w:after="60"/>
              <w:ind w:right="458"/>
              <w:rPr>
                <w:b/>
                <w:sz w:val="20"/>
              </w:rPr>
            </w:pPr>
            <w:r w:rsidRPr="007878B8">
              <w:rPr>
                <w:b/>
                <w:sz w:val="20"/>
              </w:rPr>
              <w:t>2006/07</w:t>
            </w:r>
          </w:p>
        </w:tc>
        <w:tc>
          <w:tcPr>
            <w:tcW w:w="1984" w:type="dxa"/>
            <w:vAlign w:val="bottom"/>
          </w:tcPr>
          <w:p w:rsidR="005619E9" w:rsidRPr="003771A1" w:rsidRDefault="005619E9" w:rsidP="008250C8">
            <w:pPr>
              <w:pStyle w:val="Table-bodytext"/>
              <w:spacing w:after="60"/>
              <w:ind w:right="458"/>
              <w:jc w:val="right"/>
              <w:rPr>
                <w:sz w:val="20"/>
              </w:rPr>
            </w:pPr>
            <w:r w:rsidRPr="003771A1">
              <w:rPr>
                <w:sz w:val="20"/>
              </w:rPr>
              <w:t>$4,</w:t>
            </w:r>
            <w:r w:rsidR="00594498">
              <w:rPr>
                <w:sz w:val="20"/>
              </w:rPr>
              <w:t>9</w:t>
            </w:r>
            <w:r w:rsidRPr="003771A1">
              <w:rPr>
                <w:sz w:val="20"/>
              </w:rPr>
              <w:t>64.54</w:t>
            </w:r>
          </w:p>
        </w:tc>
        <w:tc>
          <w:tcPr>
            <w:tcW w:w="1984" w:type="dxa"/>
            <w:vAlign w:val="bottom"/>
          </w:tcPr>
          <w:p w:rsidR="005619E9" w:rsidRPr="003771A1" w:rsidRDefault="005619E9" w:rsidP="008250C8">
            <w:pPr>
              <w:pStyle w:val="Table-bodytext"/>
              <w:spacing w:after="60"/>
              <w:ind w:right="457"/>
              <w:jc w:val="right"/>
              <w:rPr>
                <w:sz w:val="20"/>
              </w:rPr>
            </w:pPr>
            <w:r w:rsidRPr="003771A1">
              <w:rPr>
                <w:sz w:val="20"/>
              </w:rPr>
              <w:t>$3,151.01</w:t>
            </w:r>
          </w:p>
        </w:tc>
        <w:tc>
          <w:tcPr>
            <w:tcW w:w="1985" w:type="dxa"/>
            <w:vAlign w:val="bottom"/>
          </w:tcPr>
          <w:p w:rsidR="005619E9" w:rsidRPr="003771A1" w:rsidRDefault="005619E9" w:rsidP="008250C8">
            <w:pPr>
              <w:pStyle w:val="Table-bodytext"/>
              <w:spacing w:after="60"/>
              <w:ind w:right="174"/>
              <w:jc w:val="right"/>
              <w:rPr>
                <w:sz w:val="20"/>
              </w:rPr>
            </w:pPr>
            <w:r w:rsidRPr="003771A1">
              <w:rPr>
                <w:sz w:val="20"/>
              </w:rPr>
              <w:t>$1,</w:t>
            </w:r>
            <w:r w:rsidR="00EF1BD2">
              <w:rPr>
                <w:sz w:val="20"/>
              </w:rPr>
              <w:t>813.53 (5</w:t>
            </w:r>
            <w:r w:rsidRPr="003771A1">
              <w:rPr>
                <w:sz w:val="20"/>
              </w:rPr>
              <w:t>8%)</w:t>
            </w:r>
          </w:p>
        </w:tc>
      </w:tr>
      <w:tr w:rsidR="005619E9" w:rsidTr="00950129">
        <w:tc>
          <w:tcPr>
            <w:tcW w:w="1984" w:type="dxa"/>
            <w:vAlign w:val="bottom"/>
          </w:tcPr>
          <w:p w:rsidR="005619E9" w:rsidRPr="007878B8" w:rsidRDefault="005619E9" w:rsidP="008250C8">
            <w:pPr>
              <w:spacing w:after="60"/>
              <w:ind w:right="458"/>
              <w:rPr>
                <w:b/>
                <w:sz w:val="20"/>
              </w:rPr>
            </w:pPr>
            <w:r w:rsidRPr="007878B8">
              <w:rPr>
                <w:b/>
                <w:sz w:val="20"/>
              </w:rPr>
              <w:t>2007/08</w:t>
            </w:r>
          </w:p>
        </w:tc>
        <w:tc>
          <w:tcPr>
            <w:tcW w:w="1984" w:type="dxa"/>
            <w:vAlign w:val="bottom"/>
          </w:tcPr>
          <w:p w:rsidR="005619E9" w:rsidRPr="003771A1" w:rsidRDefault="00594498" w:rsidP="008250C8">
            <w:pPr>
              <w:spacing w:after="60"/>
              <w:ind w:right="458"/>
              <w:jc w:val="right"/>
              <w:rPr>
                <w:sz w:val="20"/>
              </w:rPr>
            </w:pPr>
            <w:r w:rsidRPr="003771A1">
              <w:rPr>
                <w:sz w:val="20"/>
              </w:rPr>
              <w:t>$4,</w:t>
            </w:r>
            <w:r>
              <w:rPr>
                <w:sz w:val="20"/>
              </w:rPr>
              <w:t>9</w:t>
            </w:r>
            <w:r w:rsidRPr="003771A1">
              <w:rPr>
                <w:sz w:val="20"/>
              </w:rPr>
              <w:t>64.54</w:t>
            </w:r>
          </w:p>
        </w:tc>
        <w:tc>
          <w:tcPr>
            <w:tcW w:w="1984" w:type="dxa"/>
            <w:vAlign w:val="bottom"/>
          </w:tcPr>
          <w:p w:rsidR="005619E9" w:rsidRPr="003771A1" w:rsidRDefault="005619E9" w:rsidP="008250C8">
            <w:pPr>
              <w:pStyle w:val="Table-bodytext"/>
              <w:spacing w:after="60"/>
              <w:ind w:right="457"/>
              <w:jc w:val="right"/>
              <w:rPr>
                <w:sz w:val="20"/>
              </w:rPr>
            </w:pPr>
            <w:r w:rsidRPr="003771A1">
              <w:rPr>
                <w:sz w:val="20"/>
              </w:rPr>
              <w:t>$3,740.38</w:t>
            </w:r>
          </w:p>
        </w:tc>
        <w:tc>
          <w:tcPr>
            <w:tcW w:w="1985" w:type="dxa"/>
            <w:vAlign w:val="bottom"/>
          </w:tcPr>
          <w:p w:rsidR="005619E9" w:rsidRPr="003771A1" w:rsidRDefault="005619E9" w:rsidP="008250C8">
            <w:pPr>
              <w:pStyle w:val="Table-bodytext"/>
              <w:spacing w:after="60"/>
              <w:ind w:right="174"/>
              <w:jc w:val="right"/>
              <w:rPr>
                <w:sz w:val="20"/>
              </w:rPr>
            </w:pPr>
            <w:r w:rsidRPr="003771A1">
              <w:rPr>
                <w:sz w:val="20"/>
              </w:rPr>
              <w:t>$</w:t>
            </w:r>
            <w:r w:rsidR="00EF1BD2">
              <w:rPr>
                <w:sz w:val="20"/>
              </w:rPr>
              <w:t>1,224</w:t>
            </w:r>
            <w:r w:rsidRPr="003771A1">
              <w:rPr>
                <w:sz w:val="20"/>
              </w:rPr>
              <w:t xml:space="preserve">.16 </w:t>
            </w:r>
            <w:r w:rsidR="00EF1BD2">
              <w:rPr>
                <w:sz w:val="20"/>
              </w:rPr>
              <w:t>(33</w:t>
            </w:r>
            <w:r w:rsidRPr="003771A1">
              <w:rPr>
                <w:sz w:val="20"/>
              </w:rPr>
              <w:t>%)</w:t>
            </w:r>
          </w:p>
        </w:tc>
      </w:tr>
      <w:tr w:rsidR="005619E9" w:rsidTr="00950129">
        <w:tc>
          <w:tcPr>
            <w:tcW w:w="1984" w:type="dxa"/>
            <w:vAlign w:val="bottom"/>
          </w:tcPr>
          <w:p w:rsidR="005619E9" w:rsidRPr="007878B8" w:rsidRDefault="005619E9" w:rsidP="008250C8">
            <w:pPr>
              <w:spacing w:after="60"/>
              <w:ind w:right="458"/>
              <w:rPr>
                <w:b/>
                <w:sz w:val="20"/>
              </w:rPr>
            </w:pPr>
            <w:r w:rsidRPr="007878B8">
              <w:rPr>
                <w:b/>
                <w:sz w:val="20"/>
              </w:rPr>
              <w:t>2008/09</w:t>
            </w:r>
          </w:p>
        </w:tc>
        <w:tc>
          <w:tcPr>
            <w:tcW w:w="1984" w:type="dxa"/>
            <w:vAlign w:val="bottom"/>
          </w:tcPr>
          <w:p w:rsidR="005619E9" w:rsidRPr="003771A1" w:rsidRDefault="00594498" w:rsidP="008250C8">
            <w:pPr>
              <w:spacing w:after="60"/>
              <w:ind w:right="458"/>
              <w:jc w:val="right"/>
              <w:rPr>
                <w:sz w:val="20"/>
              </w:rPr>
            </w:pPr>
            <w:r w:rsidRPr="003771A1">
              <w:rPr>
                <w:sz w:val="20"/>
              </w:rPr>
              <w:t>$4,</w:t>
            </w:r>
            <w:r>
              <w:rPr>
                <w:sz w:val="20"/>
              </w:rPr>
              <w:t>9</w:t>
            </w:r>
            <w:r w:rsidRPr="003771A1">
              <w:rPr>
                <w:sz w:val="20"/>
              </w:rPr>
              <w:t>64.54</w:t>
            </w:r>
          </w:p>
        </w:tc>
        <w:tc>
          <w:tcPr>
            <w:tcW w:w="1984" w:type="dxa"/>
            <w:vAlign w:val="bottom"/>
          </w:tcPr>
          <w:p w:rsidR="005619E9" w:rsidRPr="003771A1" w:rsidRDefault="005619E9" w:rsidP="008250C8">
            <w:pPr>
              <w:pStyle w:val="Table-bodytext"/>
              <w:spacing w:after="60"/>
              <w:ind w:right="457"/>
              <w:jc w:val="right"/>
              <w:rPr>
                <w:sz w:val="20"/>
              </w:rPr>
            </w:pPr>
            <w:r w:rsidRPr="003771A1">
              <w:rPr>
                <w:sz w:val="20"/>
              </w:rPr>
              <w:t>$3,985.32</w:t>
            </w:r>
          </w:p>
        </w:tc>
        <w:tc>
          <w:tcPr>
            <w:tcW w:w="1985" w:type="dxa"/>
            <w:vAlign w:val="bottom"/>
          </w:tcPr>
          <w:p w:rsidR="005619E9" w:rsidRPr="003771A1" w:rsidRDefault="005619E9" w:rsidP="008250C8">
            <w:pPr>
              <w:pStyle w:val="Table-bodytext"/>
              <w:spacing w:after="60"/>
              <w:ind w:right="174"/>
              <w:jc w:val="right"/>
              <w:rPr>
                <w:sz w:val="20"/>
              </w:rPr>
            </w:pPr>
            <w:r w:rsidRPr="003771A1">
              <w:rPr>
                <w:sz w:val="20"/>
              </w:rPr>
              <w:t>$</w:t>
            </w:r>
            <w:r w:rsidR="00EF1BD2">
              <w:rPr>
                <w:sz w:val="20"/>
              </w:rPr>
              <w:t>979</w:t>
            </w:r>
            <w:r w:rsidRPr="003771A1">
              <w:rPr>
                <w:sz w:val="20"/>
              </w:rPr>
              <w:t>.22 (</w:t>
            </w:r>
            <w:r w:rsidR="00EF1BD2">
              <w:rPr>
                <w:sz w:val="20"/>
              </w:rPr>
              <w:t>25</w:t>
            </w:r>
            <w:r w:rsidRPr="003771A1">
              <w:rPr>
                <w:sz w:val="20"/>
              </w:rPr>
              <w:t>%)</w:t>
            </w:r>
          </w:p>
        </w:tc>
      </w:tr>
      <w:tr w:rsidR="00594498" w:rsidTr="00950129">
        <w:tc>
          <w:tcPr>
            <w:tcW w:w="1984" w:type="dxa"/>
            <w:vAlign w:val="bottom"/>
          </w:tcPr>
          <w:p w:rsidR="00594498" w:rsidRPr="007878B8" w:rsidRDefault="00594498" w:rsidP="008250C8">
            <w:pPr>
              <w:spacing w:after="60"/>
              <w:ind w:right="458"/>
              <w:rPr>
                <w:b/>
                <w:sz w:val="20"/>
              </w:rPr>
            </w:pPr>
            <w:r w:rsidRPr="007878B8">
              <w:rPr>
                <w:b/>
                <w:sz w:val="20"/>
              </w:rPr>
              <w:t>2009/10</w:t>
            </w:r>
          </w:p>
        </w:tc>
        <w:tc>
          <w:tcPr>
            <w:tcW w:w="1984" w:type="dxa"/>
            <w:vAlign w:val="bottom"/>
          </w:tcPr>
          <w:p w:rsidR="00594498" w:rsidRPr="003771A1" w:rsidRDefault="00594498" w:rsidP="008250C8">
            <w:pPr>
              <w:spacing w:after="60"/>
              <w:ind w:right="458"/>
              <w:jc w:val="right"/>
              <w:rPr>
                <w:sz w:val="20"/>
              </w:rPr>
            </w:pPr>
            <w:r w:rsidRPr="003771A1">
              <w:rPr>
                <w:sz w:val="20"/>
              </w:rPr>
              <w:t>$4,</w:t>
            </w:r>
            <w:r>
              <w:rPr>
                <w:sz w:val="20"/>
              </w:rPr>
              <w:t>9</w:t>
            </w:r>
            <w:r w:rsidRPr="003771A1">
              <w:rPr>
                <w:sz w:val="20"/>
              </w:rPr>
              <w:t>64.54</w:t>
            </w:r>
          </w:p>
        </w:tc>
        <w:tc>
          <w:tcPr>
            <w:tcW w:w="1984" w:type="dxa"/>
            <w:vAlign w:val="bottom"/>
          </w:tcPr>
          <w:p w:rsidR="00594498" w:rsidRPr="003771A1" w:rsidRDefault="00594498" w:rsidP="008250C8">
            <w:pPr>
              <w:pStyle w:val="Table-bodytext"/>
              <w:spacing w:after="60"/>
              <w:ind w:right="457"/>
              <w:jc w:val="right"/>
              <w:rPr>
                <w:sz w:val="20"/>
              </w:rPr>
            </w:pPr>
            <w:r w:rsidRPr="003771A1">
              <w:rPr>
                <w:sz w:val="20"/>
              </w:rPr>
              <w:t>$4,315.48</w:t>
            </w:r>
          </w:p>
        </w:tc>
        <w:tc>
          <w:tcPr>
            <w:tcW w:w="1985" w:type="dxa"/>
            <w:vAlign w:val="bottom"/>
          </w:tcPr>
          <w:p w:rsidR="00594498" w:rsidRPr="003771A1" w:rsidRDefault="00594498" w:rsidP="008250C8">
            <w:pPr>
              <w:pStyle w:val="Table-bodytext"/>
              <w:spacing w:after="60"/>
              <w:ind w:right="174"/>
              <w:jc w:val="right"/>
              <w:rPr>
                <w:sz w:val="20"/>
              </w:rPr>
            </w:pPr>
            <w:r w:rsidRPr="003771A1">
              <w:rPr>
                <w:sz w:val="20"/>
              </w:rPr>
              <w:t>$</w:t>
            </w:r>
            <w:r w:rsidR="00EF1BD2">
              <w:rPr>
                <w:sz w:val="20"/>
              </w:rPr>
              <w:t>649</w:t>
            </w:r>
            <w:r w:rsidRPr="003771A1">
              <w:rPr>
                <w:sz w:val="20"/>
              </w:rPr>
              <w:t>.06 (</w:t>
            </w:r>
            <w:r w:rsidR="00EF1BD2">
              <w:rPr>
                <w:sz w:val="20"/>
              </w:rPr>
              <w:t>15</w:t>
            </w:r>
            <w:r w:rsidRPr="003771A1">
              <w:rPr>
                <w:sz w:val="20"/>
              </w:rPr>
              <w:t>%)</w:t>
            </w:r>
          </w:p>
        </w:tc>
      </w:tr>
      <w:tr w:rsidR="00594498" w:rsidTr="00950129">
        <w:tc>
          <w:tcPr>
            <w:tcW w:w="1984" w:type="dxa"/>
            <w:vAlign w:val="bottom"/>
          </w:tcPr>
          <w:p w:rsidR="00594498" w:rsidRPr="007878B8" w:rsidRDefault="00594498" w:rsidP="008250C8">
            <w:pPr>
              <w:spacing w:after="60"/>
              <w:ind w:right="458"/>
              <w:rPr>
                <w:b/>
                <w:sz w:val="20"/>
              </w:rPr>
            </w:pPr>
            <w:r w:rsidRPr="007878B8">
              <w:rPr>
                <w:b/>
                <w:sz w:val="20"/>
              </w:rPr>
              <w:t>2010/11</w:t>
            </w:r>
          </w:p>
        </w:tc>
        <w:tc>
          <w:tcPr>
            <w:tcW w:w="1984" w:type="dxa"/>
            <w:vAlign w:val="bottom"/>
          </w:tcPr>
          <w:p w:rsidR="00594498" w:rsidRPr="003771A1" w:rsidRDefault="00594498" w:rsidP="008250C8">
            <w:pPr>
              <w:spacing w:after="60"/>
              <w:ind w:right="458"/>
              <w:jc w:val="right"/>
              <w:rPr>
                <w:sz w:val="20"/>
              </w:rPr>
            </w:pPr>
            <w:r w:rsidRPr="003771A1">
              <w:rPr>
                <w:sz w:val="20"/>
              </w:rPr>
              <w:t>$4,</w:t>
            </w:r>
            <w:r>
              <w:rPr>
                <w:sz w:val="20"/>
              </w:rPr>
              <w:t>9</w:t>
            </w:r>
            <w:r w:rsidRPr="003771A1">
              <w:rPr>
                <w:sz w:val="20"/>
              </w:rPr>
              <w:t>64.54</w:t>
            </w:r>
          </w:p>
        </w:tc>
        <w:tc>
          <w:tcPr>
            <w:tcW w:w="1984" w:type="dxa"/>
            <w:vAlign w:val="bottom"/>
          </w:tcPr>
          <w:p w:rsidR="00594498" w:rsidRPr="003771A1" w:rsidRDefault="00594498" w:rsidP="008250C8">
            <w:pPr>
              <w:pStyle w:val="Table-bodytext"/>
              <w:spacing w:after="60"/>
              <w:ind w:right="457"/>
              <w:jc w:val="right"/>
              <w:rPr>
                <w:sz w:val="20"/>
              </w:rPr>
            </w:pPr>
            <w:r w:rsidRPr="003771A1">
              <w:rPr>
                <w:sz w:val="20"/>
              </w:rPr>
              <w:t>$4,410.38</w:t>
            </w:r>
          </w:p>
        </w:tc>
        <w:tc>
          <w:tcPr>
            <w:tcW w:w="1985" w:type="dxa"/>
            <w:vAlign w:val="bottom"/>
          </w:tcPr>
          <w:p w:rsidR="00594498" w:rsidRPr="003771A1" w:rsidRDefault="00594498" w:rsidP="008250C8">
            <w:pPr>
              <w:pStyle w:val="Table-bodytext"/>
              <w:spacing w:after="60"/>
              <w:ind w:right="174"/>
              <w:jc w:val="right"/>
              <w:rPr>
                <w:sz w:val="20"/>
              </w:rPr>
            </w:pPr>
            <w:r w:rsidRPr="003771A1">
              <w:rPr>
                <w:sz w:val="20"/>
              </w:rPr>
              <w:t>$</w:t>
            </w:r>
            <w:r w:rsidR="00EF1BD2">
              <w:rPr>
                <w:sz w:val="20"/>
              </w:rPr>
              <w:t>554.16 (13</w:t>
            </w:r>
            <w:r w:rsidRPr="003771A1">
              <w:rPr>
                <w:sz w:val="20"/>
              </w:rPr>
              <w:t>%)</w:t>
            </w:r>
          </w:p>
        </w:tc>
      </w:tr>
      <w:tr w:rsidR="005619E9" w:rsidTr="00950129">
        <w:tc>
          <w:tcPr>
            <w:tcW w:w="1984" w:type="dxa"/>
            <w:vAlign w:val="bottom"/>
          </w:tcPr>
          <w:p w:rsidR="005619E9" w:rsidRPr="007878B8" w:rsidRDefault="005619E9" w:rsidP="008250C8">
            <w:pPr>
              <w:spacing w:after="60"/>
              <w:ind w:right="458"/>
              <w:rPr>
                <w:b/>
                <w:sz w:val="20"/>
              </w:rPr>
            </w:pPr>
            <w:r w:rsidRPr="007878B8">
              <w:rPr>
                <w:b/>
                <w:sz w:val="20"/>
              </w:rPr>
              <w:t>2011/12</w:t>
            </w:r>
          </w:p>
        </w:tc>
        <w:tc>
          <w:tcPr>
            <w:tcW w:w="1984" w:type="dxa"/>
            <w:vAlign w:val="bottom"/>
          </w:tcPr>
          <w:p w:rsidR="005619E9" w:rsidRPr="00D40BA7" w:rsidRDefault="005619E9" w:rsidP="008250C8">
            <w:pPr>
              <w:pStyle w:val="Table-bodytext"/>
              <w:spacing w:after="60"/>
              <w:ind w:right="458"/>
              <w:jc w:val="right"/>
              <w:rPr>
                <w:sz w:val="20"/>
                <w:vertAlign w:val="superscript"/>
              </w:rPr>
            </w:pPr>
            <w:r w:rsidRPr="003771A1">
              <w:rPr>
                <w:sz w:val="20"/>
              </w:rPr>
              <w:t>$5,</w:t>
            </w:r>
            <w:r>
              <w:rPr>
                <w:sz w:val="20"/>
              </w:rPr>
              <w:t>4</w:t>
            </w:r>
            <w:r w:rsidR="00EF1BD2">
              <w:rPr>
                <w:sz w:val="20"/>
              </w:rPr>
              <w:t>96</w:t>
            </w:r>
            <w:r>
              <w:rPr>
                <w:sz w:val="20"/>
              </w:rPr>
              <w:t>.</w:t>
            </w:r>
            <w:r w:rsidR="00EF1BD2">
              <w:rPr>
                <w:sz w:val="20"/>
              </w:rPr>
              <w:t>46</w:t>
            </w:r>
            <w:r w:rsidR="00594498">
              <w:rPr>
                <w:sz w:val="20"/>
                <w:vertAlign w:val="superscript"/>
              </w:rPr>
              <w:t>2</w:t>
            </w:r>
          </w:p>
        </w:tc>
        <w:tc>
          <w:tcPr>
            <w:tcW w:w="1984" w:type="dxa"/>
            <w:vAlign w:val="bottom"/>
          </w:tcPr>
          <w:p w:rsidR="005619E9" w:rsidRPr="003771A1" w:rsidRDefault="005619E9" w:rsidP="008250C8">
            <w:pPr>
              <w:pStyle w:val="Table-bodytext"/>
              <w:spacing w:after="60"/>
              <w:ind w:right="457"/>
              <w:jc w:val="right"/>
              <w:rPr>
                <w:sz w:val="20"/>
              </w:rPr>
            </w:pPr>
            <w:r w:rsidRPr="003771A1">
              <w:rPr>
                <w:sz w:val="20"/>
              </w:rPr>
              <w:t>$4,567.49</w:t>
            </w:r>
          </w:p>
        </w:tc>
        <w:tc>
          <w:tcPr>
            <w:tcW w:w="1985" w:type="dxa"/>
            <w:vAlign w:val="bottom"/>
          </w:tcPr>
          <w:p w:rsidR="005619E9" w:rsidRPr="003771A1" w:rsidRDefault="005619E9" w:rsidP="008250C8">
            <w:pPr>
              <w:pStyle w:val="Table-bodytext"/>
              <w:spacing w:after="60"/>
              <w:ind w:right="174"/>
              <w:jc w:val="right"/>
              <w:rPr>
                <w:sz w:val="20"/>
              </w:rPr>
            </w:pPr>
            <w:r w:rsidRPr="003771A1">
              <w:rPr>
                <w:sz w:val="20"/>
              </w:rPr>
              <w:t>$</w:t>
            </w:r>
            <w:r w:rsidR="00EF1BD2">
              <w:rPr>
                <w:sz w:val="20"/>
              </w:rPr>
              <w:t>928</w:t>
            </w:r>
            <w:r>
              <w:rPr>
                <w:sz w:val="20"/>
              </w:rPr>
              <w:t>.</w:t>
            </w:r>
            <w:r w:rsidR="00EF1BD2">
              <w:rPr>
                <w:sz w:val="20"/>
              </w:rPr>
              <w:t>97</w:t>
            </w:r>
            <w:r>
              <w:rPr>
                <w:sz w:val="20"/>
              </w:rPr>
              <w:t xml:space="preserve"> (</w:t>
            </w:r>
            <w:r w:rsidR="00EF1BD2">
              <w:rPr>
                <w:sz w:val="20"/>
              </w:rPr>
              <w:t>20</w:t>
            </w:r>
            <w:r w:rsidRPr="003771A1">
              <w:rPr>
                <w:sz w:val="20"/>
              </w:rPr>
              <w:t>%)</w:t>
            </w:r>
          </w:p>
        </w:tc>
      </w:tr>
      <w:tr w:rsidR="005619E9" w:rsidTr="00950129">
        <w:tc>
          <w:tcPr>
            <w:tcW w:w="1984" w:type="dxa"/>
            <w:vAlign w:val="bottom"/>
          </w:tcPr>
          <w:p w:rsidR="005619E9" w:rsidRPr="007878B8" w:rsidRDefault="005619E9" w:rsidP="008250C8">
            <w:pPr>
              <w:spacing w:after="60"/>
              <w:ind w:right="458"/>
              <w:rPr>
                <w:b/>
                <w:sz w:val="20"/>
              </w:rPr>
            </w:pPr>
            <w:r w:rsidRPr="007878B8">
              <w:rPr>
                <w:b/>
                <w:sz w:val="20"/>
              </w:rPr>
              <w:t>2012/13</w:t>
            </w:r>
          </w:p>
        </w:tc>
        <w:tc>
          <w:tcPr>
            <w:tcW w:w="1984" w:type="dxa"/>
            <w:vAlign w:val="bottom"/>
          </w:tcPr>
          <w:p w:rsidR="005619E9" w:rsidRPr="003771A1" w:rsidRDefault="005619E9" w:rsidP="008250C8">
            <w:pPr>
              <w:spacing w:after="60"/>
              <w:ind w:right="458"/>
              <w:jc w:val="right"/>
              <w:rPr>
                <w:sz w:val="20"/>
              </w:rPr>
            </w:pPr>
            <w:r w:rsidRPr="003771A1">
              <w:rPr>
                <w:sz w:val="20"/>
              </w:rPr>
              <w:t>$6,153.85</w:t>
            </w:r>
          </w:p>
        </w:tc>
        <w:tc>
          <w:tcPr>
            <w:tcW w:w="1984" w:type="dxa"/>
            <w:vAlign w:val="bottom"/>
          </w:tcPr>
          <w:p w:rsidR="005619E9" w:rsidRPr="003771A1" w:rsidRDefault="005619E9" w:rsidP="008250C8">
            <w:pPr>
              <w:pStyle w:val="Table-bodytext"/>
              <w:spacing w:after="60"/>
              <w:ind w:right="457"/>
              <w:jc w:val="right"/>
              <w:rPr>
                <w:sz w:val="20"/>
              </w:rPr>
            </w:pPr>
            <w:r w:rsidRPr="003771A1">
              <w:rPr>
                <w:sz w:val="20"/>
              </w:rPr>
              <w:t>$4,614.36</w:t>
            </w:r>
          </w:p>
        </w:tc>
        <w:tc>
          <w:tcPr>
            <w:tcW w:w="1985" w:type="dxa"/>
            <w:vAlign w:val="bottom"/>
          </w:tcPr>
          <w:p w:rsidR="005619E9" w:rsidRPr="003771A1" w:rsidRDefault="005619E9" w:rsidP="008250C8">
            <w:pPr>
              <w:pStyle w:val="Table-bodytext"/>
              <w:spacing w:after="60"/>
              <w:ind w:right="174"/>
              <w:jc w:val="right"/>
              <w:rPr>
                <w:sz w:val="20"/>
              </w:rPr>
            </w:pPr>
            <w:r w:rsidRPr="003771A1">
              <w:rPr>
                <w:sz w:val="20"/>
              </w:rPr>
              <w:t>$1,539.49 (33%)</w:t>
            </w:r>
          </w:p>
        </w:tc>
      </w:tr>
    </w:tbl>
    <w:p w:rsidR="00594498" w:rsidRDefault="00C3356E" w:rsidP="008250C8">
      <w:pPr>
        <w:pStyle w:val="Notes"/>
        <w:spacing w:before="100"/>
        <w:ind w:left="283"/>
      </w:pPr>
      <w:r>
        <w:t xml:space="preserve">The effective </w:t>
      </w:r>
      <w:r w:rsidR="00850113">
        <w:t>CWD price specified in the contract with MSS Ltd</w:t>
      </w:r>
      <w:r>
        <w:t xml:space="preserve"> varies due to the </w:t>
      </w:r>
      <w:r w:rsidR="00850113">
        <w:t>changes in the volumes contracted for and increases total amount set aside for this service within the overall contract.</w:t>
      </w:r>
      <w:r>
        <w:t xml:space="preserve"> </w:t>
      </w:r>
    </w:p>
    <w:p w:rsidR="005619E9" w:rsidRDefault="005619E9" w:rsidP="008250C8">
      <w:pPr>
        <w:pStyle w:val="Notes"/>
        <w:spacing w:before="100"/>
      </w:pPr>
      <w:r>
        <w:t>This figure is a weighted average of the effective price prevailing for the first quarter of FY2011/12 and the new effective price for the remain</w:t>
      </w:r>
      <w:r w:rsidR="00EE2F01">
        <w:t>ing</w:t>
      </w:r>
      <w:r>
        <w:t xml:space="preserve"> three</w:t>
      </w:r>
      <w:r w:rsidR="00EE2F01">
        <w:t>-</w:t>
      </w:r>
      <w:r>
        <w:t>quarters of the year.</w:t>
      </w:r>
    </w:p>
    <w:p w:rsidR="005619E9" w:rsidRDefault="005619E9" w:rsidP="00FA18DB">
      <w:pPr>
        <w:pStyle w:val="Sourceinformation"/>
        <w:spacing w:before="80" w:after="0"/>
        <w:rPr>
          <w:sz w:val="20"/>
        </w:rPr>
      </w:pPr>
      <w:r w:rsidRPr="00EE2F01">
        <w:rPr>
          <w:b/>
          <w:sz w:val="20"/>
        </w:rPr>
        <w:t>Source:</w:t>
      </w:r>
      <w:r w:rsidRPr="00EE2F01">
        <w:rPr>
          <w:sz w:val="20"/>
        </w:rPr>
        <w:t xml:space="preserve"> </w:t>
      </w:r>
      <w:r w:rsidR="00CB2B79" w:rsidRPr="00EE2F01">
        <w:rPr>
          <w:sz w:val="20"/>
        </w:rPr>
        <w:t xml:space="preserve">Ministry of Health (2011) </w:t>
      </w:r>
      <w:r w:rsidR="00CB2B79" w:rsidRPr="00EE2F01">
        <w:rPr>
          <w:i/>
          <w:sz w:val="20"/>
        </w:rPr>
        <w:t xml:space="preserve">New Zealand </w:t>
      </w:r>
      <w:proofErr w:type="spellStart"/>
      <w:r w:rsidR="00CB2B79" w:rsidRPr="00EE2F01">
        <w:rPr>
          <w:i/>
          <w:sz w:val="20"/>
        </w:rPr>
        <w:t>Casemix</w:t>
      </w:r>
      <w:proofErr w:type="spellEnd"/>
      <w:r w:rsidR="00CB2B79" w:rsidRPr="00EE2F01">
        <w:rPr>
          <w:i/>
          <w:sz w:val="20"/>
        </w:rPr>
        <w:t xml:space="preserve"> Framework for Publicly Funded Hospitals including WIESNZ12 Methodology and </w:t>
      </w:r>
      <w:proofErr w:type="spellStart"/>
      <w:r w:rsidR="00CB2B79" w:rsidRPr="00EE2F01">
        <w:rPr>
          <w:i/>
          <w:sz w:val="20"/>
        </w:rPr>
        <w:t>Casemix</w:t>
      </w:r>
      <w:proofErr w:type="spellEnd"/>
      <w:r w:rsidR="00CB2B79" w:rsidRPr="00EE2F01">
        <w:rPr>
          <w:i/>
          <w:sz w:val="20"/>
        </w:rPr>
        <w:t xml:space="preserve"> Purchase Unit Allocation.</w:t>
      </w:r>
      <w:r w:rsidR="00CB2B79" w:rsidRPr="00EE2F01">
        <w:rPr>
          <w:sz w:val="20"/>
        </w:rPr>
        <w:t xml:space="preserve"> </w:t>
      </w:r>
    </w:p>
    <w:p w:rsidR="0098340D" w:rsidRPr="00EE2F01" w:rsidRDefault="0098340D" w:rsidP="00FA18DB">
      <w:pPr>
        <w:pStyle w:val="Sourceinformation"/>
        <w:spacing w:before="80" w:after="0"/>
        <w:rPr>
          <w:sz w:val="20"/>
        </w:rPr>
      </w:pPr>
    </w:p>
    <w:p w:rsidR="005619E9" w:rsidRDefault="005619E9" w:rsidP="005619E9">
      <w:pPr>
        <w:pStyle w:val="UnnumtextBodytext"/>
      </w:pPr>
      <w:r>
        <w:t xml:space="preserve">Given the implicit motivation to maintain </w:t>
      </w:r>
      <w:r w:rsidR="00D52070">
        <w:t xml:space="preserve">the </w:t>
      </w:r>
      <w:r>
        <w:t xml:space="preserve">relativity between the respective prices, one possible expression of cost effectiveness is to look at </w:t>
      </w:r>
      <w:r w:rsidR="00D52070">
        <w:t xml:space="preserve">the </w:t>
      </w:r>
      <w:r>
        <w:t xml:space="preserve">overall movements in prices </w:t>
      </w:r>
      <w:r w:rsidR="00D52070">
        <w:t xml:space="preserve">across the period of </w:t>
      </w:r>
      <w:r>
        <w:t xml:space="preserve">the contract. Using the figures </w:t>
      </w:r>
      <w:r w:rsidR="00850113">
        <w:t xml:space="preserve">in </w:t>
      </w:r>
      <w:r w:rsidR="00850113">
        <w:fldChar w:fldCharType="begin"/>
      </w:r>
      <w:r w:rsidR="00850113">
        <w:instrText xml:space="preserve"> REF _Ref380574026 \h </w:instrText>
      </w:r>
      <w:r w:rsidR="00850113">
        <w:fldChar w:fldCharType="separate"/>
      </w:r>
      <w:r w:rsidR="00CA314A">
        <w:t xml:space="preserve">Table </w:t>
      </w:r>
      <w:r w:rsidR="00CA314A">
        <w:rPr>
          <w:noProof/>
        </w:rPr>
        <w:t>7</w:t>
      </w:r>
      <w:r w:rsidR="00850113">
        <w:fldChar w:fldCharType="end"/>
      </w:r>
      <w:r w:rsidR="00850113">
        <w:t xml:space="preserve"> </w:t>
      </w:r>
      <w:r>
        <w:t xml:space="preserve">above, we see that the national </w:t>
      </w:r>
      <w:r w:rsidR="00850113">
        <w:t xml:space="preserve">CWD </w:t>
      </w:r>
      <w:r>
        <w:t>price has risen by 46</w:t>
      </w:r>
      <w:r w:rsidR="00EF0EA0">
        <w:t>%</w:t>
      </w:r>
      <w:r>
        <w:t xml:space="preserve"> between 2006/07 and 2012/03, while the co</w:t>
      </w:r>
      <w:r w:rsidR="00C537F4">
        <w:t xml:space="preserve">mparable </w:t>
      </w:r>
      <w:r w:rsidR="00850113">
        <w:t xml:space="preserve">increase in the effective CWD price in the contract with </w:t>
      </w:r>
      <w:r w:rsidR="00C537F4">
        <w:t xml:space="preserve">MSS Ltd </w:t>
      </w:r>
      <w:r w:rsidR="00850113">
        <w:t xml:space="preserve">has been lower, at </w:t>
      </w:r>
      <w:r w:rsidR="00C537F4">
        <w:t>24</w:t>
      </w:r>
      <w:r w:rsidR="00EF0EA0">
        <w:t>%</w:t>
      </w:r>
      <w:r>
        <w:t xml:space="preserve">. To the extent that </w:t>
      </w:r>
      <w:r w:rsidR="00D52070">
        <w:t xml:space="preserve">the </w:t>
      </w:r>
      <w:r>
        <w:t>ability to manage</w:t>
      </w:r>
      <w:r w:rsidR="00D52070">
        <w:t xml:space="preserve"> and </w:t>
      </w:r>
      <w:r>
        <w:t>contain costs is a measure of cost effectiveness, then the</w:t>
      </w:r>
      <w:r w:rsidR="00D52070">
        <w:t>se</w:t>
      </w:r>
      <w:r>
        <w:t xml:space="preserve"> movements may be interpreted as demonstrating </w:t>
      </w:r>
      <w:r w:rsidR="00D52070">
        <w:t xml:space="preserve">a degree of </w:t>
      </w:r>
      <w:r w:rsidR="00B010E5">
        <w:t xml:space="preserve">relative </w:t>
      </w:r>
      <w:r>
        <w:t xml:space="preserve">cost effectiveness </w:t>
      </w:r>
      <w:r w:rsidR="00D52070">
        <w:t xml:space="preserve">on the part of </w:t>
      </w:r>
      <w:r w:rsidR="00EE2F01">
        <w:t>MS</w:t>
      </w:r>
      <w:r>
        <w:t>S Ltd.</w:t>
      </w:r>
      <w:r>
        <w:rPr>
          <w:rStyle w:val="FootnoteReference"/>
        </w:rPr>
        <w:footnoteReference w:id="15"/>
      </w:r>
    </w:p>
    <w:p w:rsidR="005619E9" w:rsidRDefault="00A84D4F" w:rsidP="00CC2535">
      <w:pPr>
        <w:pStyle w:val="Heading3"/>
      </w:pPr>
      <w:bookmarkStart w:id="134" w:name="_Toc423945944"/>
      <w:r>
        <w:t>Factoring</w:t>
      </w:r>
      <w:r w:rsidR="005F1CAC">
        <w:t xml:space="preserve"> in </w:t>
      </w:r>
      <w:r>
        <w:t>rural hosting costs</w:t>
      </w:r>
      <w:r w:rsidR="00223ED0">
        <w:t xml:space="preserve"> </w:t>
      </w:r>
      <w:r w:rsidR="00BA53A1">
        <w:t xml:space="preserve">increases the </w:t>
      </w:r>
      <w:r w:rsidR="005F1CAC">
        <w:t>gap</w:t>
      </w:r>
      <w:bookmarkEnd w:id="134"/>
    </w:p>
    <w:p w:rsidR="005619E9" w:rsidRDefault="005619E9" w:rsidP="005619E9">
      <w:pPr>
        <w:pStyle w:val="UnnumtextBodytext"/>
        <w:rPr>
          <w:lang w:val="en-NZ"/>
        </w:rPr>
      </w:pPr>
      <w:r>
        <w:t xml:space="preserve">The preceding examination of relative prices assumes that all </w:t>
      </w:r>
      <w:r w:rsidR="00850113">
        <w:t xml:space="preserve">the </w:t>
      </w:r>
      <w:r>
        <w:t>costs</w:t>
      </w:r>
      <w:r w:rsidR="00850113">
        <w:t xml:space="preserve"> of the service</w:t>
      </w:r>
      <w:r>
        <w:t xml:space="preserve"> are contained within such prices</w:t>
      </w:r>
      <w:r w:rsidR="00850113">
        <w:t xml:space="preserve"> </w:t>
      </w:r>
      <w:r w:rsidR="00A84D4F">
        <w:t>and</w:t>
      </w:r>
      <w:r w:rsidR="00850113">
        <w:t>,</w:t>
      </w:r>
      <w:r w:rsidR="00A84D4F">
        <w:t xml:space="preserve"> therefore</w:t>
      </w:r>
      <w:r w:rsidR="00850113">
        <w:t>,</w:t>
      </w:r>
      <w:r w:rsidR="00A84D4F">
        <w:t xml:space="preserve"> </w:t>
      </w:r>
      <w:r w:rsidR="00850113">
        <w:t xml:space="preserve">within </w:t>
      </w:r>
      <w:r w:rsidR="00A84D4F">
        <w:t>the contract</w:t>
      </w:r>
      <w:r>
        <w:t xml:space="preserve">. However, a previous </w:t>
      </w:r>
      <w:r w:rsidR="00D52070">
        <w:t>review</w:t>
      </w:r>
      <w:r>
        <w:t xml:space="preserve"> of the mobile surgical service found that there were additional costs faced in</w:t>
      </w:r>
      <w:r w:rsidR="00D52070">
        <w:t xml:space="preserve"> hosting the bus, estimated at</w:t>
      </w:r>
      <w:r>
        <w:t xml:space="preserve"> between $600 and $1,200 per visit.</w:t>
      </w:r>
      <w:r>
        <w:rPr>
          <w:rStyle w:val="FootnoteReference"/>
        </w:rPr>
        <w:footnoteReference w:id="16"/>
      </w:r>
      <w:r>
        <w:t xml:space="preserve"> </w:t>
      </w:r>
      <w:r w:rsidR="00850113">
        <w:rPr>
          <w:lang w:val="en-NZ"/>
        </w:rPr>
        <w:t>We</w:t>
      </w:r>
      <w:r w:rsidR="00A84D4F">
        <w:rPr>
          <w:lang w:val="en-NZ"/>
        </w:rPr>
        <w:t xml:space="preserve"> understand that </w:t>
      </w:r>
      <w:r w:rsidR="00D52070">
        <w:rPr>
          <w:lang w:val="en-NZ"/>
        </w:rPr>
        <w:t xml:space="preserve">most </w:t>
      </w:r>
      <w:r w:rsidR="00A84D4F">
        <w:rPr>
          <w:lang w:val="en-NZ"/>
        </w:rPr>
        <w:t xml:space="preserve">of this amount relates to the nursing time contributed by the rural site </w:t>
      </w:r>
      <w:r w:rsidR="00850113">
        <w:rPr>
          <w:lang w:val="en-NZ"/>
        </w:rPr>
        <w:t>–</w:t>
      </w:r>
      <w:r w:rsidR="00A84D4F">
        <w:rPr>
          <w:lang w:val="en-NZ"/>
        </w:rPr>
        <w:t xml:space="preserve"> typically up to four nurses </w:t>
      </w:r>
      <w:r w:rsidR="00D52070">
        <w:rPr>
          <w:lang w:val="en-NZ"/>
        </w:rPr>
        <w:t>pe</w:t>
      </w:r>
      <w:r w:rsidR="00A84D4F">
        <w:rPr>
          <w:lang w:val="en-NZ"/>
        </w:rPr>
        <w:t xml:space="preserve">r day. </w:t>
      </w:r>
      <w:r>
        <w:rPr>
          <w:lang w:val="en-NZ"/>
        </w:rPr>
        <w:t>Using data from the Nurs</w:t>
      </w:r>
      <w:r w:rsidR="00850113">
        <w:rPr>
          <w:lang w:val="en-NZ"/>
        </w:rPr>
        <w:t>ing</w:t>
      </w:r>
      <w:r>
        <w:rPr>
          <w:lang w:val="en-NZ"/>
        </w:rPr>
        <w:t xml:space="preserve"> MECA and </w:t>
      </w:r>
      <w:r w:rsidR="00D52070">
        <w:rPr>
          <w:lang w:val="en-NZ"/>
        </w:rPr>
        <w:t>data</w:t>
      </w:r>
      <w:r>
        <w:rPr>
          <w:lang w:val="en-NZ"/>
        </w:rPr>
        <w:t xml:space="preserve"> on the number of surgical days completed in 2012/13, w</w:t>
      </w:r>
      <w:r w:rsidR="00A84D4F">
        <w:rPr>
          <w:lang w:val="en-NZ"/>
        </w:rPr>
        <w:t xml:space="preserve">e were able to verify that the upper end of this range seems </w:t>
      </w:r>
      <w:r w:rsidR="00E4096D">
        <w:rPr>
          <w:lang w:val="en-NZ"/>
        </w:rPr>
        <w:t xml:space="preserve">more </w:t>
      </w:r>
      <w:r>
        <w:rPr>
          <w:lang w:val="en-NZ"/>
        </w:rPr>
        <w:t xml:space="preserve">plausible. </w:t>
      </w:r>
    </w:p>
    <w:p w:rsidR="005B735B" w:rsidRDefault="005B735B" w:rsidP="005B735B">
      <w:pPr>
        <w:pStyle w:val="UnnumtextBodytext"/>
        <w:rPr>
          <w:lang w:val="en-NZ"/>
        </w:rPr>
      </w:pPr>
      <w:r>
        <w:rPr>
          <w:lang w:val="en-NZ"/>
        </w:rPr>
        <w:t xml:space="preserve">These hosting costs are not factored into the contract, but arguably, the effective price of a CWD for MSS Ltd should take these costs into account. </w:t>
      </w:r>
      <w:r w:rsidR="00D55B3C" w:rsidRPr="00D55B3C">
        <w:rPr>
          <w:lang w:val="en-NZ"/>
        </w:rPr>
        <w:t>In short, the mobile service essentially receives a higher CWD price than a base hospital for the same procedure, while also calling on DHB resources to assist in hosting the procedures undertaken (whereas hospitals absorb such costs within their CWD price).</w:t>
      </w:r>
    </w:p>
    <w:p w:rsidR="005619E9" w:rsidRDefault="00EC0327" w:rsidP="005619E9">
      <w:pPr>
        <w:pStyle w:val="UnnumtextBodytext"/>
        <w:rPr>
          <w:lang w:val="en-NZ"/>
        </w:rPr>
      </w:pPr>
      <w:r>
        <w:rPr>
          <w:lang w:val="en-NZ"/>
        </w:rPr>
        <w:t>W</w:t>
      </w:r>
      <w:r w:rsidR="005619E9">
        <w:rPr>
          <w:lang w:val="en-NZ"/>
        </w:rPr>
        <w:t xml:space="preserve">e </w:t>
      </w:r>
      <w:r>
        <w:rPr>
          <w:lang w:val="en-NZ"/>
        </w:rPr>
        <w:t xml:space="preserve">examine </w:t>
      </w:r>
      <w:r w:rsidR="003A6869">
        <w:rPr>
          <w:lang w:val="en-NZ"/>
        </w:rPr>
        <w:t>t</w:t>
      </w:r>
      <w:r w:rsidR="005619E9">
        <w:rPr>
          <w:lang w:val="en-NZ"/>
        </w:rPr>
        <w:t xml:space="preserve">he </w:t>
      </w:r>
      <w:r>
        <w:rPr>
          <w:lang w:val="en-NZ"/>
        </w:rPr>
        <w:t xml:space="preserve">impact of </w:t>
      </w:r>
      <w:r w:rsidR="00C570CE">
        <w:rPr>
          <w:lang w:val="en-NZ"/>
        </w:rPr>
        <w:t>factoring</w:t>
      </w:r>
      <w:r>
        <w:rPr>
          <w:lang w:val="en-NZ"/>
        </w:rPr>
        <w:t xml:space="preserve"> these hosting costs into the CWD price in the </w:t>
      </w:r>
      <w:r w:rsidR="005619E9">
        <w:rPr>
          <w:lang w:val="en-NZ"/>
        </w:rPr>
        <w:t xml:space="preserve">2012/13 year. </w:t>
      </w:r>
      <w:r>
        <w:rPr>
          <w:lang w:val="en-NZ"/>
        </w:rPr>
        <w:t>Using</w:t>
      </w:r>
      <w:r w:rsidR="00C141C3">
        <w:rPr>
          <w:lang w:val="en-NZ"/>
        </w:rPr>
        <w:t xml:space="preserve"> a</w:t>
      </w:r>
      <w:r w:rsidR="005619E9">
        <w:rPr>
          <w:lang w:val="en-NZ"/>
        </w:rPr>
        <w:t xml:space="preserve"> midpoint estimate of $900 </w:t>
      </w:r>
      <w:r w:rsidR="003A6869">
        <w:rPr>
          <w:lang w:val="en-NZ"/>
        </w:rPr>
        <w:t>in hosting costs</w:t>
      </w:r>
      <w:r w:rsidR="00C141C3">
        <w:rPr>
          <w:lang w:val="en-NZ"/>
        </w:rPr>
        <w:t xml:space="preserve"> per day</w:t>
      </w:r>
      <w:r w:rsidR="003A6869">
        <w:rPr>
          <w:lang w:val="en-NZ"/>
        </w:rPr>
        <w:t>, 193 days of surgery in the year, a</w:t>
      </w:r>
      <w:r w:rsidR="005619E9">
        <w:rPr>
          <w:lang w:val="en-NZ"/>
        </w:rPr>
        <w:t>nd the contracted volume of 650 CWD</w:t>
      </w:r>
      <w:r w:rsidR="003A6869">
        <w:rPr>
          <w:lang w:val="en-NZ"/>
        </w:rPr>
        <w:t>,</w:t>
      </w:r>
      <w:r w:rsidR="005619E9">
        <w:rPr>
          <w:lang w:val="en-NZ"/>
        </w:rPr>
        <w:t xml:space="preserve"> </w:t>
      </w:r>
      <w:r w:rsidR="00C141C3">
        <w:rPr>
          <w:lang w:val="en-NZ"/>
        </w:rPr>
        <w:t xml:space="preserve">implies </w:t>
      </w:r>
      <w:r w:rsidR="005619E9">
        <w:rPr>
          <w:lang w:val="en-NZ"/>
        </w:rPr>
        <w:t xml:space="preserve">an additional $267 on the price. This </w:t>
      </w:r>
      <w:r w:rsidR="00C141C3">
        <w:rPr>
          <w:lang w:val="en-NZ"/>
        </w:rPr>
        <w:t xml:space="preserve">would mean </w:t>
      </w:r>
      <w:r w:rsidR="005619E9">
        <w:rPr>
          <w:lang w:val="en-NZ"/>
        </w:rPr>
        <w:t xml:space="preserve">an effective CWD price </w:t>
      </w:r>
      <w:r w:rsidR="00C141C3">
        <w:rPr>
          <w:lang w:val="en-NZ"/>
        </w:rPr>
        <w:t xml:space="preserve">in 2012/13 </w:t>
      </w:r>
      <w:r w:rsidR="005619E9">
        <w:rPr>
          <w:lang w:val="en-NZ"/>
        </w:rPr>
        <w:t xml:space="preserve">for </w:t>
      </w:r>
      <w:r w:rsidR="00C141C3">
        <w:rPr>
          <w:lang w:val="en-NZ"/>
        </w:rPr>
        <w:t xml:space="preserve">the mobile surgical service of $6,420.85, or a premium of </w:t>
      </w:r>
      <w:r w:rsidR="005619E9">
        <w:rPr>
          <w:lang w:val="en-NZ"/>
        </w:rPr>
        <w:t>$1,806.49 (39%) relative to the national CWD price.</w:t>
      </w:r>
    </w:p>
    <w:p w:rsidR="005619E9" w:rsidRDefault="00BA53A1" w:rsidP="005619E9">
      <w:pPr>
        <w:pStyle w:val="Heading3"/>
      </w:pPr>
      <w:bookmarkStart w:id="135" w:name="_Toc423945945"/>
      <w:bookmarkStart w:id="136" w:name="_Toc380691092"/>
      <w:r>
        <w:t xml:space="preserve">Delivery of volumes above contract </w:t>
      </w:r>
      <w:r w:rsidR="005F1CAC">
        <w:t>reduce</w:t>
      </w:r>
      <w:r>
        <w:t>s</w:t>
      </w:r>
      <w:r w:rsidR="005F1CAC">
        <w:t xml:space="preserve"> the gap</w:t>
      </w:r>
      <w:bookmarkEnd w:id="135"/>
      <w:r w:rsidR="00223ED0">
        <w:t xml:space="preserve"> </w:t>
      </w:r>
      <w:bookmarkEnd w:id="136"/>
    </w:p>
    <w:p w:rsidR="00EF0EA0" w:rsidRDefault="005619E9" w:rsidP="007839CF">
      <w:pPr>
        <w:pStyle w:val="UnnumtextBodytext"/>
      </w:pPr>
      <w:r>
        <w:t xml:space="preserve">Examination of performance against the contract is at least as important as the terms of the contract itself. </w:t>
      </w:r>
      <w:r w:rsidR="00EF0EA0">
        <w:t xml:space="preserve">The provider has broadly met or exceeded </w:t>
      </w:r>
      <w:r w:rsidR="00C570CE">
        <w:t xml:space="preserve">the </w:t>
      </w:r>
      <w:r w:rsidR="00EF0EA0">
        <w:t xml:space="preserve">contracted volumes, as measured by case-weighted discharges, for </w:t>
      </w:r>
      <w:r w:rsidR="00C570CE">
        <w:t xml:space="preserve">nearly every </w:t>
      </w:r>
      <w:r w:rsidR="00EF0EA0">
        <w:t xml:space="preserve">year since 2006/07. </w:t>
      </w:r>
      <w:r w:rsidR="007839CF">
        <w:t>Across the terms of this contract, on average</w:t>
      </w:r>
      <w:r w:rsidR="00EF0EA0">
        <w:t>,</w:t>
      </w:r>
      <w:r w:rsidR="007839CF">
        <w:t xml:space="preserve"> MSS Ltd has </w:t>
      </w:r>
      <w:r w:rsidR="00C570CE">
        <w:t>“</w:t>
      </w:r>
      <w:r w:rsidR="004910DB">
        <w:t>over-</w:t>
      </w:r>
      <w:r w:rsidR="007839CF">
        <w:t>delivered</w:t>
      </w:r>
      <w:r w:rsidR="00C570CE">
        <w:t>”</w:t>
      </w:r>
      <w:r w:rsidR="007839CF">
        <w:t xml:space="preserve"> </w:t>
      </w:r>
      <w:r w:rsidR="004910DB">
        <w:t xml:space="preserve">by </w:t>
      </w:r>
      <w:r w:rsidR="00EF0EA0">
        <w:t>6%</w:t>
      </w:r>
      <w:r w:rsidR="007839CF">
        <w:t xml:space="preserve"> </w:t>
      </w:r>
      <w:r w:rsidR="004910DB">
        <w:t xml:space="preserve">more </w:t>
      </w:r>
      <w:r w:rsidR="007839CF">
        <w:t>CWDs annually than contracted</w:t>
      </w:r>
      <w:r w:rsidR="004910DB">
        <w:t xml:space="preserve"> for</w:t>
      </w:r>
      <w:r w:rsidR="007839CF">
        <w:t xml:space="preserve">. </w:t>
      </w:r>
    </w:p>
    <w:p w:rsidR="007839CF" w:rsidRDefault="007839CF" w:rsidP="007839CF">
      <w:pPr>
        <w:pStyle w:val="UnnumtextBodytext"/>
      </w:pPr>
      <w:r>
        <w:t xml:space="preserve">In the </w:t>
      </w:r>
      <w:r w:rsidR="00C570CE">
        <w:t>most recent full year, MSS Ltd over-delivered</w:t>
      </w:r>
      <w:r>
        <w:t xml:space="preserve"> by around 11</w:t>
      </w:r>
      <w:r w:rsidR="00EF0EA0">
        <w:t xml:space="preserve">%, that is, </w:t>
      </w:r>
      <w:r>
        <w:t xml:space="preserve">720 CWDs delivered versus 650 </w:t>
      </w:r>
      <w:r w:rsidR="00EF0EA0">
        <w:t xml:space="preserve">in </w:t>
      </w:r>
      <w:r>
        <w:t>contracted volume</w:t>
      </w:r>
      <w:r w:rsidR="00EF0EA0">
        <w:t>. Dividing the contract price by this higher volume would</w:t>
      </w:r>
      <w:r w:rsidR="00C570CE">
        <w:t xml:space="preserve"> reduce </w:t>
      </w:r>
      <w:r>
        <w:t>the pricing “gap” in the contract to $944.28 (20</w:t>
      </w:r>
      <w:r w:rsidR="00EF0EA0">
        <w:t>%</w:t>
      </w:r>
      <w:r>
        <w:t>)</w:t>
      </w:r>
      <w:r w:rsidR="00C570CE">
        <w:t xml:space="preserve">. The inclusion of </w:t>
      </w:r>
      <w:r>
        <w:t xml:space="preserve">site hosting costs </w:t>
      </w:r>
      <w:r w:rsidR="00C570CE">
        <w:t xml:space="preserve">would mean the gap is </w:t>
      </w:r>
      <w:r>
        <w:t>$1,185.</w:t>
      </w:r>
      <w:r w:rsidR="001A2D46">
        <w:t>46</w:t>
      </w:r>
      <w:r>
        <w:t xml:space="preserve"> (26</w:t>
      </w:r>
      <w:r w:rsidR="00EF0EA0">
        <w:t>%</w:t>
      </w:r>
      <w:r>
        <w:t xml:space="preserve">). </w:t>
      </w:r>
    </w:p>
    <w:p w:rsidR="005619E9" w:rsidRDefault="005619E9" w:rsidP="00EF0EA0">
      <w:pPr>
        <w:pStyle w:val="UnnumtextBodytext"/>
      </w:pPr>
      <w:r>
        <w:lastRenderedPageBreak/>
        <w:t xml:space="preserve">From a health system perspective, if greater than contracted-for volumes are delivered, then the value received from the contract could be understated. With the exception of the 2010/11 year, MSS Ltd has delivered </w:t>
      </w:r>
      <w:r w:rsidR="00C570CE">
        <w:t xml:space="preserve">more </w:t>
      </w:r>
      <w:r>
        <w:t xml:space="preserve">CWDs than contracted </w:t>
      </w:r>
      <w:r w:rsidR="00C570CE">
        <w:t>for</w:t>
      </w:r>
      <w:r>
        <w:t xml:space="preserve">. </w:t>
      </w:r>
      <w:r w:rsidR="00EF0EA0">
        <w:t xml:space="preserve">The </w:t>
      </w:r>
      <w:r>
        <w:t xml:space="preserve">variance of -0.6% in 2010/11 (4 case-weights) </w:t>
      </w:r>
      <w:r w:rsidR="00C570CE">
        <w:t xml:space="preserve">is small enough to be </w:t>
      </w:r>
      <w:r>
        <w:t xml:space="preserve">within the margin of error. </w:t>
      </w:r>
    </w:p>
    <w:p w:rsidR="005619E9" w:rsidRDefault="005619E9" w:rsidP="00411DFA">
      <w:pPr>
        <w:pStyle w:val="Caption"/>
        <w:spacing w:before="100" w:beforeAutospacing="1" w:after="60"/>
      </w:pPr>
      <w:bookmarkStart w:id="137" w:name="_Toc380597844"/>
      <w:bookmarkStart w:id="138" w:name="_Toc380605804"/>
      <w:bookmarkStart w:id="139" w:name="_Toc423945992"/>
      <w:r>
        <w:t xml:space="preserve">Figure </w:t>
      </w:r>
      <w:fldSimple w:instr=" SEQ Figure \* ARABIC ">
        <w:r w:rsidR="00CA314A">
          <w:rPr>
            <w:noProof/>
          </w:rPr>
          <w:t>13</w:t>
        </w:r>
      </w:fldSimple>
      <w:r>
        <w:rPr>
          <w:noProof/>
        </w:rPr>
        <w:t>:</w:t>
      </w:r>
      <w:r>
        <w:t xml:space="preserve"> Elective day surgery – performance against contract</w:t>
      </w:r>
      <w:bookmarkEnd w:id="137"/>
      <w:bookmarkEnd w:id="138"/>
      <w:bookmarkEnd w:id="139"/>
    </w:p>
    <w:p w:rsidR="005619E9" w:rsidRDefault="005619E9" w:rsidP="00411DFA">
      <w:pPr>
        <w:pStyle w:val="Sourceinformation"/>
        <w:spacing w:after="0"/>
        <w:ind w:hanging="42"/>
        <w:rPr>
          <w:b/>
          <w:sz w:val="20"/>
        </w:rPr>
      </w:pPr>
      <w:r>
        <w:rPr>
          <w:noProof/>
          <w:lang w:val="en-NZ" w:eastAsia="en-NZ"/>
        </w:rPr>
        <w:drawing>
          <wp:inline distT="0" distB="0" distL="0" distR="0" wp14:anchorId="0664B448" wp14:editId="6064E454">
            <wp:extent cx="4781550" cy="29718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619E9" w:rsidRDefault="005619E9" w:rsidP="00411DFA">
      <w:pPr>
        <w:pStyle w:val="Sourceinformation"/>
        <w:spacing w:after="120"/>
        <w:rPr>
          <w:sz w:val="20"/>
        </w:rPr>
      </w:pPr>
      <w:r w:rsidRPr="001515D7">
        <w:rPr>
          <w:b/>
          <w:sz w:val="20"/>
        </w:rPr>
        <w:t>Source:</w:t>
      </w:r>
      <w:r w:rsidRPr="001515D7">
        <w:rPr>
          <w:sz w:val="20"/>
        </w:rPr>
        <w:t xml:space="preserve"> Service contract and MSS Ltd reported volumes</w:t>
      </w:r>
    </w:p>
    <w:p w:rsidR="005619E9" w:rsidRDefault="005619E9" w:rsidP="005619E9">
      <w:pPr>
        <w:pStyle w:val="Sourceinformation"/>
        <w:spacing w:after="100" w:afterAutospacing="1"/>
        <w:rPr>
          <w:sz w:val="20"/>
        </w:rPr>
      </w:pPr>
      <w:r w:rsidRPr="000E4059">
        <w:rPr>
          <w:b/>
          <w:sz w:val="20"/>
        </w:rPr>
        <w:t>Note</w:t>
      </w:r>
      <w:r>
        <w:rPr>
          <w:sz w:val="20"/>
        </w:rPr>
        <w:t>: Case weighted volumes are not directly comparable across years</w:t>
      </w:r>
      <w:r w:rsidR="007839CF">
        <w:rPr>
          <w:sz w:val="20"/>
        </w:rPr>
        <w:t xml:space="preserve"> due to re-weighting</w:t>
      </w:r>
      <w:r w:rsidR="00625F4F">
        <w:rPr>
          <w:sz w:val="20"/>
        </w:rPr>
        <w:t xml:space="preserve">. </w:t>
      </w:r>
      <w:r w:rsidR="002003EA">
        <w:rPr>
          <w:sz w:val="20"/>
        </w:rPr>
        <w:t>The target of 1,500 procedures was revised in 2</w:t>
      </w:r>
      <w:r w:rsidR="00625F4F">
        <w:rPr>
          <w:sz w:val="20"/>
        </w:rPr>
        <w:t xml:space="preserve">012/13, </w:t>
      </w:r>
      <w:r w:rsidR="002003EA">
        <w:rPr>
          <w:sz w:val="20"/>
        </w:rPr>
        <w:t xml:space="preserve">from being </w:t>
      </w:r>
      <w:r w:rsidR="00625F4F">
        <w:rPr>
          <w:sz w:val="20"/>
        </w:rPr>
        <w:t xml:space="preserve">705 case weights </w:t>
      </w:r>
      <w:r w:rsidR="002003EA">
        <w:rPr>
          <w:sz w:val="20"/>
        </w:rPr>
        <w:t xml:space="preserve">down </w:t>
      </w:r>
      <w:r w:rsidR="00625F4F">
        <w:rPr>
          <w:sz w:val="20"/>
        </w:rPr>
        <w:t>to 650</w:t>
      </w:r>
      <w:r w:rsidR="002003EA">
        <w:rPr>
          <w:sz w:val="20"/>
        </w:rPr>
        <w:t xml:space="preserve"> case weights</w:t>
      </w:r>
      <w:r w:rsidR="00625F4F">
        <w:rPr>
          <w:sz w:val="20"/>
        </w:rPr>
        <w:t xml:space="preserve">. </w:t>
      </w:r>
    </w:p>
    <w:p w:rsidR="005619E9" w:rsidRPr="00847055" w:rsidRDefault="00273CAE" w:rsidP="00847055">
      <w:pPr>
        <w:pStyle w:val="Heading4"/>
      </w:pPr>
      <w:r w:rsidRPr="00847055">
        <w:t>P</w:t>
      </w:r>
      <w:r w:rsidR="005619E9" w:rsidRPr="00847055">
        <w:t>ossible explanations</w:t>
      </w:r>
      <w:r w:rsidR="00EE2F01" w:rsidRPr="00847055">
        <w:t xml:space="preserve"> for</w:t>
      </w:r>
      <w:r w:rsidRPr="00847055">
        <w:t xml:space="preserve"> observed </w:t>
      </w:r>
      <w:r w:rsidR="00EE2F01" w:rsidRPr="00847055">
        <w:t xml:space="preserve">over delivery </w:t>
      </w:r>
    </w:p>
    <w:p w:rsidR="005619E9" w:rsidRDefault="005619E9" w:rsidP="005619E9">
      <w:pPr>
        <w:pStyle w:val="UnnumtextBodytext"/>
      </w:pPr>
      <w:r>
        <w:t>The fact that MSS Ltd is able to deliver</w:t>
      </w:r>
      <w:r w:rsidR="0071074A">
        <w:t>, on average</w:t>
      </w:r>
      <w:r w:rsidR="00273CAE">
        <w:t>,</w:t>
      </w:r>
      <w:r>
        <w:t xml:space="preserve"> </w:t>
      </w:r>
      <w:r w:rsidR="00273CAE">
        <w:t xml:space="preserve">6% </w:t>
      </w:r>
      <w:r>
        <w:t xml:space="preserve">more </w:t>
      </w:r>
      <w:r w:rsidR="00273CAE">
        <w:t xml:space="preserve">surgical volumes </w:t>
      </w:r>
      <w:r>
        <w:t xml:space="preserve">than </w:t>
      </w:r>
      <w:r w:rsidR="00273CAE">
        <w:t xml:space="preserve">set out in the </w:t>
      </w:r>
      <w:r>
        <w:t xml:space="preserve">contract could relate to the efficiency </w:t>
      </w:r>
      <w:r w:rsidR="00273CAE">
        <w:t>of its operations. It is plausible that MSS Ltd has obtained efficiencies over time.</w:t>
      </w:r>
      <w:r>
        <w:t xml:space="preserve"> </w:t>
      </w:r>
      <w:r w:rsidR="00273CAE">
        <w:t xml:space="preserve">Alternatively, it may be due to the </w:t>
      </w:r>
      <w:r>
        <w:t xml:space="preserve">original contract </w:t>
      </w:r>
      <w:r w:rsidR="00273CAE">
        <w:t>being reliant on an initial e</w:t>
      </w:r>
      <w:r>
        <w:t xml:space="preserve">stimate of maximum throughput </w:t>
      </w:r>
      <w:r w:rsidR="00273CAE">
        <w:t xml:space="preserve">and being </w:t>
      </w:r>
      <w:r w:rsidR="00411DFA">
        <w:t xml:space="preserve">cost-reflective. </w:t>
      </w:r>
      <w:r w:rsidR="0071074A">
        <w:t>A</w:t>
      </w:r>
      <w:r w:rsidR="00273CAE">
        <w:t xml:space="preserve"> further explanation could be that </w:t>
      </w:r>
      <w:r>
        <w:t xml:space="preserve">MSS Ltd is able to deliver such volumes </w:t>
      </w:r>
      <w:r w:rsidR="00411DFA">
        <w:t>via</w:t>
      </w:r>
      <w:r>
        <w:t xml:space="preserve"> cross-</w:t>
      </w:r>
      <w:proofErr w:type="spellStart"/>
      <w:r>
        <w:t>subsidisation</w:t>
      </w:r>
      <w:proofErr w:type="spellEnd"/>
      <w:r>
        <w:t xml:space="preserve"> from the other </w:t>
      </w:r>
      <w:r w:rsidR="00273CAE">
        <w:t>components</w:t>
      </w:r>
      <w:r>
        <w:t xml:space="preserve"> of the overall contract. There is some evidence in support of this view, given prior experience of significant over-delivery of the professional development and remote collaboration elements of the contract. Indeed, a previous contract variation </w:t>
      </w:r>
      <w:proofErr w:type="spellStart"/>
      <w:r>
        <w:t>recognised</w:t>
      </w:r>
      <w:proofErr w:type="spellEnd"/>
      <w:r>
        <w:t xml:space="preserve"> this possibility </w:t>
      </w:r>
      <w:r w:rsidR="0071074A">
        <w:t xml:space="preserve">by increasing the </w:t>
      </w:r>
      <w:r>
        <w:t xml:space="preserve">funding </w:t>
      </w:r>
      <w:r w:rsidR="0071074A">
        <w:t xml:space="preserve">tagged </w:t>
      </w:r>
      <w:r>
        <w:t xml:space="preserve">to surgery </w:t>
      </w:r>
      <w:r w:rsidR="0071074A">
        <w:t>via</w:t>
      </w:r>
      <w:r>
        <w:t xml:space="preserve"> a transfer from the other </w:t>
      </w:r>
      <w:r w:rsidR="0071074A">
        <w:t>service components</w:t>
      </w:r>
      <w:r>
        <w:t xml:space="preserve">. We have not been able to ascertain the veracity of </w:t>
      </w:r>
      <w:r w:rsidR="00273CAE">
        <w:t>this</w:t>
      </w:r>
      <w:r>
        <w:t xml:space="preserve"> view.</w:t>
      </w:r>
    </w:p>
    <w:p w:rsidR="00BA53A1" w:rsidRPr="003675CC" w:rsidRDefault="00851BCC" w:rsidP="003675CC">
      <w:pPr>
        <w:pStyle w:val="Heading3"/>
      </w:pPr>
      <w:bookmarkStart w:id="140" w:name="_Toc423945946"/>
      <w:r>
        <w:t>Considerin</w:t>
      </w:r>
      <w:r w:rsidR="00D1245C">
        <w:t>g a</w:t>
      </w:r>
      <w:r w:rsidR="00AE66A1" w:rsidRPr="003675CC">
        <w:t xml:space="preserve">voided public subsidies for travel </w:t>
      </w:r>
      <w:r w:rsidR="00BA53A1" w:rsidRPr="003675CC">
        <w:t>costs</w:t>
      </w:r>
      <w:bookmarkEnd w:id="140"/>
    </w:p>
    <w:p w:rsidR="005619E9" w:rsidRDefault="005B735B" w:rsidP="00AE66A1">
      <w:pPr>
        <w:pStyle w:val="UnnumtextBodytext"/>
      </w:pPr>
      <w:r w:rsidRPr="00AE66A1">
        <w:t>A further element to consider is the avoided cost of travel and accommodation subsid</w:t>
      </w:r>
      <w:r>
        <w:t>ies</w:t>
      </w:r>
      <w:r w:rsidRPr="00AE66A1">
        <w:t xml:space="preserve"> for people who would otherwise have to travel to receive care. The review conducted in 2006 cited a figure of $63,800 in potential travel reimbursements under the national policy. This figure was derived from a </w:t>
      </w:r>
      <w:r>
        <w:t xml:space="preserve">sample </w:t>
      </w:r>
      <w:r w:rsidRPr="00AE66A1">
        <w:t xml:space="preserve">survey </w:t>
      </w:r>
      <w:r>
        <w:t xml:space="preserve">that found 45% of patients would have had to travel </w:t>
      </w:r>
      <w:r>
        <w:lastRenderedPageBreak/>
        <w:t>more than 100 km, if required to go to a base hospital for treatment</w:t>
      </w:r>
      <w:r w:rsidRPr="00AE66A1">
        <w:t>.</w:t>
      </w:r>
      <w:r w:rsidRPr="00AE66A1">
        <w:rPr>
          <w:rStyle w:val="FootnoteReference"/>
        </w:rPr>
        <w:footnoteReference w:id="17"/>
      </w:r>
      <w:r w:rsidRPr="00AE66A1">
        <w:t>. A</w:t>
      </w:r>
      <w:r>
        <w:t>fter a</w:t>
      </w:r>
      <w:r w:rsidRPr="00AE66A1">
        <w:t>djusting for inflation, th</w:t>
      </w:r>
      <w:r>
        <w:t>is figure equates to</w:t>
      </w:r>
      <w:r w:rsidRPr="00AE66A1">
        <w:t xml:space="preserve"> $73,400</w:t>
      </w:r>
      <w:r>
        <w:t xml:space="preserve"> in 2013 terms</w:t>
      </w:r>
      <w:r w:rsidRPr="00AE66A1">
        <w:t xml:space="preserve">. </w:t>
      </w:r>
      <w:r>
        <w:t>These avoided costs would be sufficient to purchase an additional 13 CWD, using the effective price of $5,799.82 (which includes adjustments for hosting costs and over delivery). Factoring in the notional CWD value of these avoided costs would further reduce t</w:t>
      </w:r>
      <w:r w:rsidRPr="00AE66A1">
        <w:t xml:space="preserve">he effective contract price per CWD </w:t>
      </w:r>
      <w:r>
        <w:t>to</w:t>
      </w:r>
      <w:r w:rsidRPr="00AE66A1">
        <w:t xml:space="preserve"> $5</w:t>
      </w:r>
      <w:r>
        <w:t xml:space="preserve">462.55, with the </w:t>
      </w:r>
      <w:r w:rsidRPr="00AE66A1">
        <w:t xml:space="preserve">“gap” </w:t>
      </w:r>
      <w:r>
        <w:t xml:space="preserve">with the national CWD price being reduced to </w:t>
      </w:r>
      <w:r w:rsidRPr="00AE66A1">
        <w:t>$</w:t>
      </w:r>
      <w:r>
        <w:t>848.19</w:t>
      </w:r>
      <w:r w:rsidRPr="00AE66A1">
        <w:t>, or 1</w:t>
      </w:r>
      <w:r>
        <w:t>8%.</w:t>
      </w:r>
    </w:p>
    <w:bookmarkStart w:id="141" w:name="_Ref388952305"/>
    <w:p w:rsidR="00D1245C" w:rsidRDefault="005B735B" w:rsidP="00D1245C">
      <w:pPr>
        <w:pStyle w:val="UnnumtextBodytext"/>
      </w:pPr>
      <w:r>
        <w:fldChar w:fldCharType="begin"/>
      </w:r>
      <w:r>
        <w:instrText xml:space="preserve"> REF _Ref388955876 \h </w:instrText>
      </w:r>
      <w:r>
        <w:fldChar w:fldCharType="separate"/>
      </w:r>
      <w:r w:rsidR="00CA314A">
        <w:t xml:space="preserve">Table </w:t>
      </w:r>
      <w:r w:rsidR="00CA314A">
        <w:rPr>
          <w:noProof/>
        </w:rPr>
        <w:t>8</w:t>
      </w:r>
      <w:r>
        <w:fldChar w:fldCharType="end"/>
      </w:r>
      <w:r>
        <w:t xml:space="preserve"> </w:t>
      </w:r>
      <w:proofErr w:type="spellStart"/>
      <w:r w:rsidR="00D1245C">
        <w:t>summarises</w:t>
      </w:r>
      <w:proofErr w:type="spellEnd"/>
      <w:r w:rsidR="00D1245C">
        <w:t xml:space="preserve"> the results of the series of adjustments that we have considered. The final column of the table shows how the price gap with the national price is affected by:</w:t>
      </w:r>
    </w:p>
    <w:p w:rsidR="00D1245C" w:rsidRDefault="00D1245C" w:rsidP="00D1245C">
      <w:pPr>
        <w:pStyle w:val="UnnumtextBullet1"/>
        <w:spacing w:after="170"/>
      </w:pPr>
      <w:r>
        <w:t>added in the hosting costs incurred by rural sites;</w:t>
      </w:r>
    </w:p>
    <w:p w:rsidR="00D1245C" w:rsidRDefault="00D1245C" w:rsidP="00D1245C">
      <w:pPr>
        <w:pStyle w:val="UnnumtextBullet1"/>
        <w:spacing w:after="170"/>
      </w:pPr>
      <w:r>
        <w:t>factoring in the delivery surgical CWD above the volumes contracted for; and</w:t>
      </w:r>
    </w:p>
    <w:p w:rsidR="00D1245C" w:rsidRDefault="00D1245C" w:rsidP="00D1245C">
      <w:pPr>
        <w:pStyle w:val="UnnumtextBullet1"/>
        <w:spacing w:after="170"/>
      </w:pPr>
      <w:proofErr w:type="gramStart"/>
      <w:r>
        <w:t>considering</w:t>
      </w:r>
      <w:proofErr w:type="gramEnd"/>
      <w:r>
        <w:t xml:space="preserve"> the avoided costs under the national policy for </w:t>
      </w:r>
      <w:proofErr w:type="spellStart"/>
      <w:r>
        <w:t>subsidising</w:t>
      </w:r>
      <w:proofErr w:type="spellEnd"/>
      <w:r>
        <w:t xml:space="preserve"> patient travel.</w:t>
      </w:r>
    </w:p>
    <w:p w:rsidR="00D1245C" w:rsidRDefault="00D1245C" w:rsidP="00D1245C">
      <w:pPr>
        <w:pStyle w:val="UnnumtextBodytext"/>
      </w:pPr>
      <w:r>
        <w:t>After factoring in the cumulative effective of these adjustments, our conclusion is that the effective price gap is more like 18% – this represents the premium that is being paid for the mobile service on a CWD basis.</w:t>
      </w:r>
    </w:p>
    <w:p w:rsidR="002B40E3" w:rsidRDefault="002B40E3" w:rsidP="0082712E">
      <w:pPr>
        <w:pStyle w:val="Caption"/>
        <w:spacing w:before="100" w:beforeAutospacing="1" w:after="120"/>
      </w:pPr>
      <w:bookmarkStart w:id="142" w:name="_Ref388955876"/>
      <w:bookmarkStart w:id="143" w:name="_Toc423945978"/>
      <w:r>
        <w:t xml:space="preserve">Table </w:t>
      </w:r>
      <w:fldSimple w:instr=" SEQ Table \* ARABIC ">
        <w:r w:rsidR="00CA314A">
          <w:rPr>
            <w:noProof/>
          </w:rPr>
          <w:t>8</w:t>
        </w:r>
      </w:fldSimple>
      <w:bookmarkEnd w:id="141"/>
      <w:bookmarkEnd w:id="142"/>
      <w:r>
        <w:rPr>
          <w:noProof/>
        </w:rPr>
        <w:t>:</w:t>
      </w:r>
      <w:r>
        <w:t xml:space="preserve"> </w:t>
      </w:r>
      <w:r w:rsidR="00B533FE">
        <w:t xml:space="preserve">Tests on the </w:t>
      </w:r>
      <w:r w:rsidR="0071074A">
        <w:t xml:space="preserve">CWD </w:t>
      </w:r>
      <w:r w:rsidR="00B533FE">
        <w:t>price “gap” – summary of results</w:t>
      </w:r>
      <w:bookmarkEnd w:id="143"/>
    </w:p>
    <w:tbl>
      <w:tblPr>
        <w:tblStyle w:val="TableSapereGrid"/>
        <w:tblW w:w="7937" w:type="dxa"/>
        <w:tblInd w:w="108" w:type="dxa"/>
        <w:tblLayout w:type="fixed"/>
        <w:tblLook w:val="0620" w:firstRow="1" w:lastRow="0" w:firstColumn="0" w:lastColumn="0" w:noHBand="1" w:noVBand="1"/>
      </w:tblPr>
      <w:tblGrid>
        <w:gridCol w:w="2377"/>
        <w:gridCol w:w="1853"/>
        <w:gridCol w:w="1853"/>
        <w:gridCol w:w="1854"/>
      </w:tblGrid>
      <w:tr w:rsidR="00867ED9" w:rsidTr="003675CC">
        <w:trPr>
          <w:cnfStyle w:val="100000000000" w:firstRow="1" w:lastRow="0" w:firstColumn="0" w:lastColumn="0" w:oddVBand="0" w:evenVBand="0" w:oddHBand="0" w:evenHBand="0" w:firstRowFirstColumn="0" w:firstRowLastColumn="0" w:lastRowFirstColumn="0" w:lastRowLastColumn="0"/>
          <w:cantSplit/>
        </w:trPr>
        <w:tc>
          <w:tcPr>
            <w:tcW w:w="2377" w:type="dxa"/>
          </w:tcPr>
          <w:p w:rsidR="00867ED9" w:rsidRPr="002B40E3" w:rsidRDefault="00B533FE" w:rsidP="002B40E3">
            <w:pPr>
              <w:pStyle w:val="Table-headingrow1"/>
              <w:rPr>
                <w:sz w:val="20"/>
              </w:rPr>
            </w:pPr>
            <w:r>
              <w:rPr>
                <w:sz w:val="20"/>
              </w:rPr>
              <w:t>Tests on the price “gap”</w:t>
            </w:r>
          </w:p>
        </w:tc>
        <w:tc>
          <w:tcPr>
            <w:tcW w:w="1853" w:type="dxa"/>
          </w:tcPr>
          <w:p w:rsidR="00867ED9" w:rsidRPr="005619E9" w:rsidRDefault="00867ED9" w:rsidP="00867ED9">
            <w:pPr>
              <w:pStyle w:val="Table-headingrow1"/>
              <w:jc w:val="center"/>
              <w:rPr>
                <w:sz w:val="20"/>
              </w:rPr>
            </w:pPr>
            <w:r w:rsidRPr="005619E9">
              <w:rPr>
                <w:sz w:val="20"/>
              </w:rPr>
              <w:t>MSS Ltd</w:t>
            </w:r>
            <w:r>
              <w:rPr>
                <w:sz w:val="20"/>
              </w:rPr>
              <w:t xml:space="preserve"> – effective </w:t>
            </w:r>
            <w:r w:rsidR="00104B9F">
              <w:rPr>
                <w:sz w:val="20"/>
              </w:rPr>
              <w:t xml:space="preserve">CWD </w:t>
            </w:r>
            <w:r>
              <w:rPr>
                <w:sz w:val="20"/>
              </w:rPr>
              <w:t>price in 2012/13</w:t>
            </w:r>
          </w:p>
        </w:tc>
        <w:tc>
          <w:tcPr>
            <w:tcW w:w="1853" w:type="dxa"/>
          </w:tcPr>
          <w:p w:rsidR="00867ED9" w:rsidRPr="005619E9" w:rsidRDefault="00867ED9" w:rsidP="00CC4D03">
            <w:pPr>
              <w:pStyle w:val="Table-headingrow1"/>
              <w:jc w:val="center"/>
              <w:rPr>
                <w:sz w:val="20"/>
              </w:rPr>
            </w:pPr>
            <w:r w:rsidRPr="005619E9">
              <w:rPr>
                <w:sz w:val="20"/>
              </w:rPr>
              <w:t xml:space="preserve">National </w:t>
            </w:r>
            <w:r w:rsidR="00104B9F">
              <w:rPr>
                <w:sz w:val="20"/>
              </w:rPr>
              <w:t xml:space="preserve">CWD </w:t>
            </w:r>
            <w:r w:rsidRPr="005619E9">
              <w:rPr>
                <w:sz w:val="20"/>
              </w:rPr>
              <w:t>price</w:t>
            </w:r>
            <w:r>
              <w:rPr>
                <w:sz w:val="20"/>
              </w:rPr>
              <w:t xml:space="preserve"> used by DHBs in 2012/13</w:t>
            </w:r>
          </w:p>
        </w:tc>
        <w:tc>
          <w:tcPr>
            <w:tcW w:w="1854" w:type="dxa"/>
          </w:tcPr>
          <w:p w:rsidR="00867ED9" w:rsidRPr="005619E9" w:rsidRDefault="00867ED9" w:rsidP="00CC4D03">
            <w:pPr>
              <w:pStyle w:val="Table-headingrow1"/>
              <w:jc w:val="center"/>
              <w:rPr>
                <w:sz w:val="20"/>
              </w:rPr>
            </w:pPr>
            <w:r w:rsidRPr="005619E9">
              <w:rPr>
                <w:sz w:val="20"/>
              </w:rPr>
              <w:t>Difference</w:t>
            </w:r>
            <w:r>
              <w:rPr>
                <w:sz w:val="20"/>
              </w:rPr>
              <w:t xml:space="preserve"> or “gap”</w:t>
            </w:r>
          </w:p>
        </w:tc>
      </w:tr>
      <w:tr w:rsidR="00867ED9" w:rsidTr="00851BCC">
        <w:trPr>
          <w:cantSplit/>
          <w:trHeight w:val="851"/>
        </w:trPr>
        <w:tc>
          <w:tcPr>
            <w:tcW w:w="2377" w:type="dxa"/>
            <w:tcMar>
              <w:right w:w="85" w:type="dxa"/>
            </w:tcMar>
          </w:tcPr>
          <w:p w:rsidR="00867ED9" w:rsidRPr="00B533FE" w:rsidRDefault="00867ED9" w:rsidP="00B533FE">
            <w:pPr>
              <w:pStyle w:val="Table-bodytext"/>
              <w:spacing w:after="40"/>
              <w:rPr>
                <w:b/>
                <w:sz w:val="20"/>
              </w:rPr>
            </w:pPr>
            <w:r w:rsidRPr="00B533FE">
              <w:rPr>
                <w:b/>
                <w:sz w:val="20"/>
              </w:rPr>
              <w:t>Base case – contract price in 2012/13</w:t>
            </w:r>
          </w:p>
        </w:tc>
        <w:tc>
          <w:tcPr>
            <w:tcW w:w="1853" w:type="dxa"/>
          </w:tcPr>
          <w:p w:rsidR="00867ED9" w:rsidRPr="003771A1" w:rsidRDefault="00867ED9" w:rsidP="00B533FE">
            <w:pPr>
              <w:spacing w:after="40"/>
              <w:ind w:right="458"/>
              <w:jc w:val="right"/>
              <w:rPr>
                <w:sz w:val="20"/>
              </w:rPr>
            </w:pPr>
            <w:r w:rsidRPr="003771A1">
              <w:rPr>
                <w:sz w:val="20"/>
              </w:rPr>
              <w:t>$6,153.85</w:t>
            </w:r>
          </w:p>
        </w:tc>
        <w:tc>
          <w:tcPr>
            <w:tcW w:w="1853" w:type="dxa"/>
          </w:tcPr>
          <w:p w:rsidR="00867ED9" w:rsidRPr="003771A1" w:rsidRDefault="00867ED9" w:rsidP="00B533FE">
            <w:pPr>
              <w:spacing w:after="40"/>
              <w:ind w:right="458"/>
              <w:jc w:val="right"/>
              <w:rPr>
                <w:sz w:val="20"/>
              </w:rPr>
            </w:pPr>
            <w:r w:rsidRPr="003771A1">
              <w:rPr>
                <w:sz w:val="20"/>
              </w:rPr>
              <w:t>$4,614.36</w:t>
            </w:r>
          </w:p>
        </w:tc>
        <w:tc>
          <w:tcPr>
            <w:tcW w:w="1854" w:type="dxa"/>
          </w:tcPr>
          <w:p w:rsidR="00867ED9" w:rsidRPr="003771A1" w:rsidRDefault="00867ED9" w:rsidP="00B533FE">
            <w:pPr>
              <w:spacing w:after="40"/>
              <w:ind w:right="174"/>
              <w:jc w:val="right"/>
              <w:rPr>
                <w:sz w:val="20"/>
              </w:rPr>
            </w:pPr>
            <w:r w:rsidRPr="003771A1">
              <w:rPr>
                <w:sz w:val="20"/>
              </w:rPr>
              <w:t>$1,539.49 (33%)</w:t>
            </w:r>
          </w:p>
        </w:tc>
      </w:tr>
      <w:tr w:rsidR="002B40E3" w:rsidTr="00851BCC">
        <w:trPr>
          <w:cantSplit/>
          <w:trHeight w:val="851"/>
        </w:trPr>
        <w:tc>
          <w:tcPr>
            <w:tcW w:w="2377" w:type="dxa"/>
            <w:tcMar>
              <w:right w:w="85" w:type="dxa"/>
            </w:tcMar>
          </w:tcPr>
          <w:p w:rsidR="002B40E3" w:rsidRPr="00B533FE" w:rsidRDefault="00867ED9" w:rsidP="00B533FE">
            <w:pPr>
              <w:pStyle w:val="Table-bodytext"/>
              <w:spacing w:after="40"/>
              <w:rPr>
                <w:b/>
                <w:sz w:val="20"/>
              </w:rPr>
            </w:pPr>
            <w:r w:rsidRPr="00B533FE">
              <w:rPr>
                <w:b/>
                <w:sz w:val="20"/>
              </w:rPr>
              <w:t xml:space="preserve">Add in rural </w:t>
            </w:r>
            <w:r w:rsidR="00B533FE">
              <w:rPr>
                <w:b/>
                <w:sz w:val="20"/>
              </w:rPr>
              <w:t xml:space="preserve">site </w:t>
            </w:r>
            <w:r w:rsidRPr="00B533FE">
              <w:rPr>
                <w:b/>
                <w:sz w:val="20"/>
              </w:rPr>
              <w:t>hosting costs</w:t>
            </w:r>
          </w:p>
        </w:tc>
        <w:tc>
          <w:tcPr>
            <w:tcW w:w="1853" w:type="dxa"/>
          </w:tcPr>
          <w:p w:rsidR="002B40E3" w:rsidRPr="002B40E3" w:rsidRDefault="00867ED9" w:rsidP="00B533FE">
            <w:pPr>
              <w:spacing w:after="40"/>
              <w:ind w:right="458"/>
              <w:jc w:val="right"/>
              <w:rPr>
                <w:sz w:val="20"/>
              </w:rPr>
            </w:pPr>
            <w:r w:rsidRPr="00867ED9">
              <w:rPr>
                <w:sz w:val="20"/>
              </w:rPr>
              <w:t>$</w:t>
            </w:r>
            <w:bookmarkStart w:id="144" w:name="OLE_LINK1"/>
            <w:r w:rsidRPr="00867ED9">
              <w:rPr>
                <w:sz w:val="20"/>
              </w:rPr>
              <w:t>6,420.85</w:t>
            </w:r>
            <w:bookmarkEnd w:id="144"/>
          </w:p>
        </w:tc>
        <w:tc>
          <w:tcPr>
            <w:tcW w:w="1853" w:type="dxa"/>
          </w:tcPr>
          <w:p w:rsidR="002B40E3" w:rsidRPr="002B40E3" w:rsidRDefault="00867ED9" w:rsidP="00B533FE">
            <w:pPr>
              <w:spacing w:after="40"/>
              <w:ind w:right="458"/>
              <w:jc w:val="right"/>
              <w:rPr>
                <w:sz w:val="20"/>
              </w:rPr>
            </w:pPr>
            <w:r w:rsidRPr="003771A1">
              <w:rPr>
                <w:sz w:val="20"/>
              </w:rPr>
              <w:t>$4,614.36</w:t>
            </w:r>
          </w:p>
        </w:tc>
        <w:tc>
          <w:tcPr>
            <w:tcW w:w="1854" w:type="dxa"/>
          </w:tcPr>
          <w:p w:rsidR="002B40E3" w:rsidRPr="002B40E3" w:rsidRDefault="00867ED9" w:rsidP="00B533FE">
            <w:pPr>
              <w:spacing w:after="40"/>
              <w:ind w:right="174"/>
              <w:jc w:val="right"/>
              <w:rPr>
                <w:sz w:val="20"/>
              </w:rPr>
            </w:pPr>
            <w:r w:rsidRPr="00867ED9">
              <w:rPr>
                <w:sz w:val="20"/>
              </w:rPr>
              <w:t>$1,806.49 (39%)</w:t>
            </w:r>
          </w:p>
        </w:tc>
      </w:tr>
      <w:tr w:rsidR="002B40E3" w:rsidTr="00851BCC">
        <w:trPr>
          <w:cantSplit/>
          <w:trHeight w:val="851"/>
        </w:trPr>
        <w:tc>
          <w:tcPr>
            <w:tcW w:w="2377" w:type="dxa"/>
            <w:tcMar>
              <w:right w:w="85" w:type="dxa"/>
            </w:tcMar>
          </w:tcPr>
          <w:p w:rsidR="002B40E3" w:rsidRPr="00B533FE" w:rsidRDefault="00867ED9" w:rsidP="00023D1E">
            <w:pPr>
              <w:pStyle w:val="Table-bodytext"/>
              <w:spacing w:after="40"/>
              <w:rPr>
                <w:b/>
                <w:sz w:val="20"/>
              </w:rPr>
            </w:pPr>
            <w:r w:rsidRPr="00B533FE">
              <w:rPr>
                <w:b/>
                <w:sz w:val="20"/>
              </w:rPr>
              <w:t xml:space="preserve">Over-delivery against contract in 2012/13 </w:t>
            </w:r>
            <w:r w:rsidRPr="00B533FE">
              <w:rPr>
                <w:sz w:val="20"/>
              </w:rPr>
              <w:t xml:space="preserve">– </w:t>
            </w:r>
            <w:r w:rsidR="00104B9F" w:rsidRPr="00B533FE">
              <w:rPr>
                <w:i/>
                <w:sz w:val="20"/>
              </w:rPr>
              <w:t xml:space="preserve">also </w:t>
            </w:r>
            <w:r w:rsidRPr="00B533FE">
              <w:rPr>
                <w:i/>
                <w:sz w:val="20"/>
              </w:rPr>
              <w:t>factor</w:t>
            </w:r>
            <w:r w:rsidR="00023D1E">
              <w:rPr>
                <w:i/>
                <w:sz w:val="20"/>
              </w:rPr>
              <w:t>s</w:t>
            </w:r>
            <w:r w:rsidRPr="00B533FE">
              <w:rPr>
                <w:i/>
                <w:sz w:val="20"/>
              </w:rPr>
              <w:t xml:space="preserve"> in rural hosting costs</w:t>
            </w:r>
            <w:r w:rsidRPr="00B533FE">
              <w:rPr>
                <w:b/>
                <w:sz w:val="20"/>
              </w:rPr>
              <w:t xml:space="preserve"> </w:t>
            </w:r>
          </w:p>
        </w:tc>
        <w:tc>
          <w:tcPr>
            <w:tcW w:w="1853" w:type="dxa"/>
          </w:tcPr>
          <w:p w:rsidR="002B40E3" w:rsidRPr="002B40E3" w:rsidRDefault="00867ED9" w:rsidP="001A2D46">
            <w:pPr>
              <w:spacing w:after="40"/>
              <w:ind w:right="458"/>
              <w:jc w:val="right"/>
              <w:rPr>
                <w:sz w:val="20"/>
              </w:rPr>
            </w:pPr>
            <w:r w:rsidRPr="00867ED9">
              <w:rPr>
                <w:sz w:val="20"/>
              </w:rPr>
              <w:t>$5,799.</w:t>
            </w:r>
            <w:r w:rsidR="001A2D46">
              <w:rPr>
                <w:sz w:val="20"/>
              </w:rPr>
              <w:t>82</w:t>
            </w:r>
          </w:p>
        </w:tc>
        <w:tc>
          <w:tcPr>
            <w:tcW w:w="1853" w:type="dxa"/>
          </w:tcPr>
          <w:p w:rsidR="002B40E3" w:rsidRPr="002B40E3" w:rsidRDefault="00867ED9" w:rsidP="00B533FE">
            <w:pPr>
              <w:spacing w:after="40"/>
              <w:ind w:right="458"/>
              <w:jc w:val="right"/>
              <w:rPr>
                <w:sz w:val="20"/>
              </w:rPr>
            </w:pPr>
            <w:r w:rsidRPr="003771A1">
              <w:rPr>
                <w:sz w:val="20"/>
              </w:rPr>
              <w:t>$4,614.36</w:t>
            </w:r>
          </w:p>
        </w:tc>
        <w:tc>
          <w:tcPr>
            <w:tcW w:w="1854" w:type="dxa"/>
          </w:tcPr>
          <w:p w:rsidR="00867ED9" w:rsidRPr="002B40E3" w:rsidRDefault="00867ED9" w:rsidP="001A2D46">
            <w:pPr>
              <w:spacing w:after="40"/>
              <w:ind w:right="174"/>
              <w:jc w:val="right"/>
              <w:rPr>
                <w:sz w:val="20"/>
              </w:rPr>
            </w:pPr>
            <w:r w:rsidRPr="00867ED9">
              <w:rPr>
                <w:sz w:val="20"/>
              </w:rPr>
              <w:t>$1,185.</w:t>
            </w:r>
            <w:r w:rsidR="001A2D46">
              <w:rPr>
                <w:sz w:val="20"/>
              </w:rPr>
              <w:t>46</w:t>
            </w:r>
            <w:r w:rsidRPr="00867ED9">
              <w:rPr>
                <w:sz w:val="20"/>
              </w:rPr>
              <w:t xml:space="preserve"> (26</w:t>
            </w:r>
            <w:r>
              <w:rPr>
                <w:sz w:val="20"/>
              </w:rPr>
              <w:t>%)</w:t>
            </w:r>
          </w:p>
        </w:tc>
      </w:tr>
      <w:tr w:rsidR="00867ED9" w:rsidTr="00851BCC">
        <w:trPr>
          <w:cantSplit/>
          <w:trHeight w:val="851"/>
        </w:trPr>
        <w:tc>
          <w:tcPr>
            <w:tcW w:w="2377" w:type="dxa"/>
            <w:tcMar>
              <w:right w:w="85" w:type="dxa"/>
            </w:tcMar>
          </w:tcPr>
          <w:p w:rsidR="00867ED9" w:rsidRPr="00B533FE" w:rsidRDefault="00104B9F" w:rsidP="00023D1E">
            <w:pPr>
              <w:pStyle w:val="Table-bodytext"/>
              <w:spacing w:after="40"/>
              <w:rPr>
                <w:b/>
                <w:sz w:val="20"/>
              </w:rPr>
            </w:pPr>
            <w:r w:rsidRPr="00B533FE">
              <w:rPr>
                <w:b/>
                <w:sz w:val="20"/>
              </w:rPr>
              <w:t>A</w:t>
            </w:r>
            <w:r w:rsidR="00B533FE">
              <w:rPr>
                <w:b/>
                <w:sz w:val="20"/>
              </w:rPr>
              <w:t>voided travel and</w:t>
            </w:r>
            <w:r w:rsidRPr="00B533FE">
              <w:rPr>
                <w:b/>
                <w:sz w:val="20"/>
              </w:rPr>
              <w:t xml:space="preserve"> work-related costs to DHB</w:t>
            </w:r>
            <w:r w:rsidR="00B533FE">
              <w:rPr>
                <w:b/>
                <w:sz w:val="20"/>
              </w:rPr>
              <w:t>s</w:t>
            </w:r>
            <w:r w:rsidRPr="00B533FE">
              <w:rPr>
                <w:b/>
                <w:sz w:val="20"/>
              </w:rPr>
              <w:t xml:space="preserve"> </w:t>
            </w:r>
            <w:r w:rsidRPr="00B533FE">
              <w:rPr>
                <w:sz w:val="20"/>
              </w:rPr>
              <w:t xml:space="preserve">– </w:t>
            </w:r>
            <w:r w:rsidRPr="00B533FE">
              <w:rPr>
                <w:i/>
                <w:sz w:val="20"/>
              </w:rPr>
              <w:t>also factor</w:t>
            </w:r>
            <w:r w:rsidR="00023D1E">
              <w:rPr>
                <w:i/>
                <w:sz w:val="20"/>
              </w:rPr>
              <w:t>s</w:t>
            </w:r>
            <w:r w:rsidRPr="00B533FE">
              <w:rPr>
                <w:i/>
                <w:sz w:val="20"/>
              </w:rPr>
              <w:t xml:space="preserve"> in rural hosting costs</w:t>
            </w:r>
          </w:p>
        </w:tc>
        <w:tc>
          <w:tcPr>
            <w:tcW w:w="1853" w:type="dxa"/>
          </w:tcPr>
          <w:p w:rsidR="00867ED9" w:rsidRPr="002B40E3" w:rsidRDefault="00104B9F" w:rsidP="001F09FC">
            <w:pPr>
              <w:spacing w:after="40"/>
              <w:ind w:right="458"/>
              <w:jc w:val="right"/>
              <w:rPr>
                <w:sz w:val="20"/>
              </w:rPr>
            </w:pPr>
            <w:r w:rsidRPr="00104B9F">
              <w:rPr>
                <w:sz w:val="20"/>
              </w:rPr>
              <w:t>$5,</w:t>
            </w:r>
            <w:r w:rsidR="002215A2">
              <w:rPr>
                <w:sz w:val="20"/>
              </w:rPr>
              <w:t>4</w:t>
            </w:r>
            <w:r w:rsidR="001F09FC">
              <w:rPr>
                <w:sz w:val="20"/>
              </w:rPr>
              <w:t>62</w:t>
            </w:r>
            <w:r w:rsidR="002215A2">
              <w:rPr>
                <w:sz w:val="20"/>
              </w:rPr>
              <w:t>.</w:t>
            </w:r>
            <w:r w:rsidR="001F09FC">
              <w:rPr>
                <w:sz w:val="20"/>
              </w:rPr>
              <w:t>55</w:t>
            </w:r>
          </w:p>
        </w:tc>
        <w:tc>
          <w:tcPr>
            <w:tcW w:w="1853" w:type="dxa"/>
          </w:tcPr>
          <w:p w:rsidR="00867ED9" w:rsidRPr="003771A1" w:rsidRDefault="00104B9F" w:rsidP="00B533FE">
            <w:pPr>
              <w:spacing w:after="40"/>
              <w:ind w:right="458"/>
              <w:jc w:val="right"/>
              <w:rPr>
                <w:sz w:val="20"/>
              </w:rPr>
            </w:pPr>
            <w:r w:rsidRPr="003771A1">
              <w:rPr>
                <w:sz w:val="20"/>
              </w:rPr>
              <w:t>$4,614.36</w:t>
            </w:r>
          </w:p>
        </w:tc>
        <w:tc>
          <w:tcPr>
            <w:tcW w:w="1854" w:type="dxa"/>
          </w:tcPr>
          <w:p w:rsidR="00867ED9" w:rsidRPr="002B40E3" w:rsidRDefault="00104B9F" w:rsidP="001F09FC">
            <w:pPr>
              <w:spacing w:after="40"/>
              <w:ind w:right="174"/>
              <w:jc w:val="right"/>
              <w:rPr>
                <w:sz w:val="20"/>
              </w:rPr>
            </w:pPr>
            <w:r w:rsidRPr="00104B9F">
              <w:rPr>
                <w:sz w:val="20"/>
              </w:rPr>
              <w:t>$</w:t>
            </w:r>
            <w:r w:rsidR="002215A2">
              <w:rPr>
                <w:sz w:val="20"/>
              </w:rPr>
              <w:t>8</w:t>
            </w:r>
            <w:r w:rsidR="001F09FC">
              <w:rPr>
                <w:sz w:val="20"/>
              </w:rPr>
              <w:t>48</w:t>
            </w:r>
            <w:r w:rsidR="002215A2">
              <w:rPr>
                <w:sz w:val="20"/>
              </w:rPr>
              <w:t>.</w:t>
            </w:r>
            <w:r w:rsidR="001F09FC">
              <w:rPr>
                <w:sz w:val="20"/>
              </w:rPr>
              <w:t>19</w:t>
            </w:r>
            <w:r w:rsidRPr="00104B9F">
              <w:rPr>
                <w:sz w:val="20"/>
              </w:rPr>
              <w:t xml:space="preserve"> (1</w:t>
            </w:r>
            <w:r w:rsidR="001F09FC">
              <w:rPr>
                <w:sz w:val="20"/>
              </w:rPr>
              <w:t>8</w:t>
            </w:r>
            <w:r w:rsidRPr="00104B9F">
              <w:rPr>
                <w:sz w:val="20"/>
              </w:rPr>
              <w:t>%)</w:t>
            </w:r>
          </w:p>
        </w:tc>
      </w:tr>
    </w:tbl>
    <w:p w:rsidR="002B40E3" w:rsidRPr="002B40E3" w:rsidRDefault="002B40E3" w:rsidP="0082712E">
      <w:pPr>
        <w:pStyle w:val="Sourceinformation"/>
        <w:spacing w:before="80" w:after="0"/>
        <w:rPr>
          <w:sz w:val="20"/>
        </w:rPr>
      </w:pPr>
      <w:r w:rsidRPr="002B40E3">
        <w:rPr>
          <w:b/>
          <w:sz w:val="20"/>
        </w:rPr>
        <w:t>Source:</w:t>
      </w:r>
      <w:r w:rsidRPr="002B40E3">
        <w:rPr>
          <w:sz w:val="20"/>
        </w:rPr>
        <w:t xml:space="preserve"> </w:t>
      </w:r>
      <w:proofErr w:type="spellStart"/>
      <w:r w:rsidRPr="002B40E3">
        <w:rPr>
          <w:sz w:val="20"/>
        </w:rPr>
        <w:t>Sapere</w:t>
      </w:r>
      <w:proofErr w:type="spellEnd"/>
      <w:r w:rsidRPr="002B40E3">
        <w:rPr>
          <w:sz w:val="20"/>
        </w:rPr>
        <w:t xml:space="preserve"> Research Group</w:t>
      </w:r>
    </w:p>
    <w:p w:rsidR="002B40E3" w:rsidRDefault="002B40E3" w:rsidP="002B40E3">
      <w:pPr>
        <w:pStyle w:val="Whitespace"/>
        <w:spacing w:after="0"/>
        <w:rPr>
          <w:sz w:val="9"/>
        </w:rPr>
      </w:pPr>
    </w:p>
    <w:p w:rsidR="00851BCC" w:rsidRDefault="00851BCC">
      <w:pPr>
        <w:spacing w:after="0" w:line="240" w:lineRule="auto"/>
        <w:rPr>
          <w:rFonts w:cs="Arial"/>
          <w:b/>
          <w:bCs/>
          <w:color w:val="000000"/>
          <w:sz w:val="32"/>
          <w:szCs w:val="24"/>
        </w:rPr>
      </w:pPr>
      <w:bookmarkStart w:id="145" w:name="_Toc380691093"/>
      <w:r>
        <w:br w:type="page"/>
      </w:r>
    </w:p>
    <w:p w:rsidR="005619E9" w:rsidRDefault="005619E9" w:rsidP="005619E9">
      <w:pPr>
        <w:pStyle w:val="Heading3"/>
      </w:pPr>
      <w:bookmarkStart w:id="146" w:name="_Toc423945947"/>
      <w:r>
        <w:lastRenderedPageBreak/>
        <w:t xml:space="preserve">Other </w:t>
      </w:r>
      <w:bookmarkEnd w:id="145"/>
      <w:r w:rsidR="00194465">
        <w:t xml:space="preserve">perspectives on </w:t>
      </w:r>
      <w:r w:rsidR="001A7069">
        <w:t>cost and efficiency</w:t>
      </w:r>
      <w:bookmarkEnd w:id="146"/>
    </w:p>
    <w:p w:rsidR="005619E9" w:rsidRDefault="005619E9" w:rsidP="005619E9">
      <w:pPr>
        <w:pStyle w:val="UnnumtextBodytext"/>
      </w:pPr>
      <w:r>
        <w:t xml:space="preserve">The focus of this section has been on comparing the effective price of a CWD delivered by MSS Ltd with the </w:t>
      </w:r>
      <w:r w:rsidR="001C7CEE">
        <w:t xml:space="preserve">national </w:t>
      </w:r>
      <w:r>
        <w:t>price of a CWD</w:t>
      </w:r>
      <w:r w:rsidR="001C7CEE">
        <w:t xml:space="preserve">, </w:t>
      </w:r>
      <w:r w:rsidR="00B010E5">
        <w:t xml:space="preserve">under the assumption that the national price represents </w:t>
      </w:r>
      <w:r w:rsidR="001C7CEE">
        <w:t>average</w:t>
      </w:r>
      <w:r>
        <w:t xml:space="preserve"> base hospital </w:t>
      </w:r>
      <w:r w:rsidR="001C7CEE">
        <w:t>costs</w:t>
      </w:r>
      <w:r>
        <w:t xml:space="preserve">. In the absence of </w:t>
      </w:r>
      <w:r w:rsidR="001C7CEE">
        <w:t xml:space="preserve">detailed </w:t>
      </w:r>
      <w:r>
        <w:t>data on actual</w:t>
      </w:r>
      <w:r w:rsidR="001C7CEE">
        <w:t xml:space="preserve"> resource usage, this </w:t>
      </w:r>
      <w:r>
        <w:t xml:space="preserve">seems the most </w:t>
      </w:r>
      <w:r w:rsidR="001C7CEE">
        <w:t xml:space="preserve">obvious </w:t>
      </w:r>
      <w:r>
        <w:t xml:space="preserve">comparison. However, </w:t>
      </w:r>
      <w:r w:rsidR="0098340D">
        <w:t>we also consider other</w:t>
      </w:r>
      <w:r w:rsidR="001C7CEE">
        <w:t xml:space="preserve"> perspective</w:t>
      </w:r>
      <w:r>
        <w:t xml:space="preserve">s. </w:t>
      </w:r>
    </w:p>
    <w:p w:rsidR="005619E9" w:rsidRPr="00847055" w:rsidRDefault="005619E9" w:rsidP="00847055">
      <w:pPr>
        <w:pStyle w:val="Heading4"/>
      </w:pPr>
      <w:r w:rsidRPr="00847055">
        <w:t xml:space="preserve">The potential for </w:t>
      </w:r>
      <w:r w:rsidR="001C7CEE" w:rsidRPr="00847055">
        <w:t xml:space="preserve">a </w:t>
      </w:r>
      <w:r w:rsidRPr="00847055">
        <w:t>new entrant</w:t>
      </w:r>
    </w:p>
    <w:p w:rsidR="005619E9" w:rsidRDefault="005619E9" w:rsidP="005619E9">
      <w:pPr>
        <w:pStyle w:val="UnnumtextBodytext"/>
      </w:pPr>
      <w:r>
        <w:t xml:space="preserve">In competition </w:t>
      </w:r>
      <w:r w:rsidR="001C7CEE">
        <w:t>analysis</w:t>
      </w:r>
      <w:r>
        <w:t>, especially for regulated industries, the Hypothetical New Entrant (HNE) test is often used to determine the efficiency of incumbents. The intent is to establish whether the incumbent’s prices would exceed the costs of the HNE. As the name suggests, this is largely a theoretical exercise, and it is the threat of entry that is likely to constrain prices for the incumbent, rather than actual entry itself. Th</w:t>
      </w:r>
      <w:r w:rsidR="001C7CEE">
        <w:t>erefore</w:t>
      </w:r>
      <w:r>
        <w:t xml:space="preserve">, the potential for entry is an important consideration for assessing incumbent costs and prices. </w:t>
      </w:r>
    </w:p>
    <w:p w:rsidR="005619E9" w:rsidRDefault="005619E9" w:rsidP="005619E9">
      <w:pPr>
        <w:pStyle w:val="UnnumtextBodytext"/>
      </w:pPr>
      <w:r>
        <w:t xml:space="preserve">In our view, </w:t>
      </w:r>
      <w:r w:rsidR="001C7CEE">
        <w:t xml:space="preserve">the </w:t>
      </w:r>
      <w:r w:rsidR="00831B8A">
        <w:t xml:space="preserve">barriers to entry appear </w:t>
      </w:r>
      <w:r>
        <w:t>for the services provided by MSS Ltd</w:t>
      </w:r>
      <w:r w:rsidR="00831B8A">
        <w:t xml:space="preserve"> are debatable – without knowing the capital requirements</w:t>
      </w:r>
      <w:r>
        <w:t xml:space="preserve">. </w:t>
      </w:r>
      <w:r w:rsidR="00831B8A">
        <w:t>If the barriers were low, t</w:t>
      </w:r>
      <w:r>
        <w:t xml:space="preserve">his </w:t>
      </w:r>
      <w:r w:rsidR="00831B8A">
        <w:t xml:space="preserve">could </w:t>
      </w:r>
      <w:r>
        <w:t xml:space="preserve">provide a modicum of pressure on prices, although we acknowledge that it is debatable whether a competitive market exists. Indeed, we understand that the prospect of going to tender for the letting of the contract has </w:t>
      </w:r>
      <w:r w:rsidR="001C7CEE">
        <w:t xml:space="preserve">not </w:t>
      </w:r>
      <w:r>
        <w:t xml:space="preserve">been </w:t>
      </w:r>
      <w:r w:rsidR="001C7CEE">
        <w:t>ruled out</w:t>
      </w:r>
      <w:r>
        <w:t>.</w:t>
      </w:r>
    </w:p>
    <w:p w:rsidR="005619E9" w:rsidRDefault="005619E9" w:rsidP="005619E9">
      <w:pPr>
        <w:pStyle w:val="UnnumtextBodytext"/>
      </w:pPr>
      <w:r>
        <w:t xml:space="preserve">The question of whether the threat of entry is sufficient to constrain pricing practices of the incumbent is </w:t>
      </w:r>
      <w:r w:rsidR="001C7CEE">
        <w:t xml:space="preserve">complex and it is not possible </w:t>
      </w:r>
      <w:r>
        <w:t>to examine all the relevant factors</w:t>
      </w:r>
      <w:r w:rsidR="001C7CEE">
        <w:t xml:space="preserve"> in detail here</w:t>
      </w:r>
      <w:r>
        <w:t xml:space="preserve">. </w:t>
      </w:r>
      <w:r w:rsidR="001C7CEE">
        <w:t>However, w</w:t>
      </w:r>
      <w:r>
        <w:t>e do make the following observations</w:t>
      </w:r>
      <w:r w:rsidR="001C7CEE">
        <w:t>.</w:t>
      </w:r>
    </w:p>
    <w:p w:rsidR="005619E9" w:rsidRDefault="00EB6351" w:rsidP="0098340D">
      <w:pPr>
        <w:pStyle w:val="UnnumtextBullet1"/>
        <w:spacing w:after="170"/>
      </w:pPr>
      <w:r>
        <w:t>The range and depth of sector r</w:t>
      </w:r>
      <w:r w:rsidR="005619E9">
        <w:t xml:space="preserve">elationships held by MSS Ltd appear to matter and it may </w:t>
      </w:r>
      <w:r w:rsidR="003F6AAA">
        <w:t>difficult and time consuming</w:t>
      </w:r>
      <w:r w:rsidR="005619E9">
        <w:t xml:space="preserve"> for a potential new entrant to establish these</w:t>
      </w:r>
      <w:r>
        <w:t>.</w:t>
      </w:r>
    </w:p>
    <w:p w:rsidR="005619E9" w:rsidRDefault="005619E9" w:rsidP="0098340D">
      <w:pPr>
        <w:pStyle w:val="UnnumtextBullet1"/>
        <w:spacing w:after="170"/>
      </w:pPr>
      <w:r>
        <w:t xml:space="preserve">The potential new entrant </w:t>
      </w:r>
      <w:r w:rsidR="00EB6351">
        <w:t xml:space="preserve">may </w:t>
      </w:r>
      <w:r>
        <w:t>have advantages in respect of up-to-date technology (i.e. they have not sunk capital into older technology), which might result in lower cost</w:t>
      </w:r>
      <w:r w:rsidR="00EB6351">
        <w:t>.</w:t>
      </w:r>
      <w:r>
        <w:t xml:space="preserve"> </w:t>
      </w:r>
    </w:p>
    <w:p w:rsidR="005619E9" w:rsidRDefault="005619E9" w:rsidP="0098340D">
      <w:pPr>
        <w:pStyle w:val="UnnumtextBullet1"/>
        <w:spacing w:after="170"/>
      </w:pPr>
      <w:r>
        <w:t xml:space="preserve">Discovery costs in terms of route </w:t>
      </w:r>
      <w:proofErr w:type="spellStart"/>
      <w:r>
        <w:t>optimisation</w:t>
      </w:r>
      <w:proofErr w:type="spellEnd"/>
      <w:r>
        <w:t xml:space="preserve"> and visitation frequency should be lower given the experience </w:t>
      </w:r>
      <w:r w:rsidR="00EB6351">
        <w:t>of the incumbent</w:t>
      </w:r>
      <w:r>
        <w:t xml:space="preserve"> (</w:t>
      </w:r>
      <w:r w:rsidR="00EB6351">
        <w:t>a benefit for an entrant and the incumbent).</w:t>
      </w:r>
    </w:p>
    <w:p w:rsidR="005619E9" w:rsidRDefault="005619E9" w:rsidP="0098340D">
      <w:pPr>
        <w:pStyle w:val="UnnumtextBullet1"/>
        <w:spacing w:after="170"/>
      </w:pPr>
      <w:r>
        <w:t xml:space="preserve">The length of the contract matters for both the incumbent and potential new entrant, </w:t>
      </w:r>
      <w:r w:rsidR="00CD4AF9">
        <w:t>al</w:t>
      </w:r>
      <w:r>
        <w:t>though</w:t>
      </w:r>
      <w:r w:rsidR="00CD4AF9">
        <w:t xml:space="preserve"> it</w:t>
      </w:r>
      <w:r>
        <w:t xml:space="preserve"> is likely to be felt more keenly by the potential new entrant</w:t>
      </w:r>
      <w:r w:rsidR="00EB6351">
        <w:t>,</w:t>
      </w:r>
      <w:r>
        <w:t xml:space="preserve"> given the capital costs associated with </w:t>
      </w:r>
      <w:r w:rsidR="00EB6351">
        <w:t xml:space="preserve">investing in a </w:t>
      </w:r>
      <w:r>
        <w:t>bus</w:t>
      </w:r>
      <w:r w:rsidR="00EB6351">
        <w:t>,</w:t>
      </w:r>
      <w:r>
        <w:t xml:space="preserve"> in particular</w:t>
      </w:r>
      <w:r w:rsidR="00EB6351">
        <w:t>.</w:t>
      </w:r>
    </w:p>
    <w:p w:rsidR="005619E9" w:rsidRDefault="005619E9" w:rsidP="005619E9">
      <w:pPr>
        <w:pStyle w:val="UnnumtextBullet1"/>
      </w:pPr>
      <w:r>
        <w:t>Given the public availability of the contracting arrangements between MSS Ltd and the Ministry a potential new entrant would have been able to assess (and reveal by way of approaches to the Ministry) their costs against the existing prices</w:t>
      </w:r>
      <w:r w:rsidR="0098340D">
        <w:t>.</w:t>
      </w:r>
      <w:r>
        <w:rPr>
          <w:rStyle w:val="FootnoteReference"/>
        </w:rPr>
        <w:footnoteReference w:id="18"/>
      </w:r>
    </w:p>
    <w:p w:rsidR="005619E9" w:rsidRDefault="005619E9" w:rsidP="00847055">
      <w:pPr>
        <w:pStyle w:val="Heading4"/>
      </w:pPr>
      <w:r>
        <w:t>Financial comparisons</w:t>
      </w:r>
    </w:p>
    <w:p w:rsidR="005619E9" w:rsidRDefault="005619E9" w:rsidP="005619E9">
      <w:pPr>
        <w:pStyle w:val="UnnumtextBodytext"/>
      </w:pPr>
      <w:r>
        <w:t xml:space="preserve">As part of the agreement, MSS Ltd supplies the Ministry with a special purpose statement of expenditure of funds provided, prepared by Deloitte. We have seen the statement for the 2012/13 year. </w:t>
      </w:r>
      <w:r w:rsidR="003D03DF">
        <w:t>T</w:t>
      </w:r>
      <w:r>
        <w:t>he level of detail in the statement was not sufficient for us to determine expenditure on each of the three contract components.</w:t>
      </w:r>
      <w:r>
        <w:rPr>
          <w:rStyle w:val="FootnoteReference"/>
        </w:rPr>
        <w:footnoteReference w:id="19"/>
      </w:r>
      <w:r>
        <w:t xml:space="preserve">  On the strength of the statement we </w:t>
      </w:r>
      <w:r>
        <w:lastRenderedPageBreak/>
        <w:t xml:space="preserve">make the observations below. </w:t>
      </w:r>
      <w:r w:rsidR="003D03DF">
        <w:t xml:space="preserve">For the most part, these observations illustrate the nature of a commercial undertaking and the impact of scale on cost structures, rather than any definitive conclusions about service </w:t>
      </w:r>
      <w:r>
        <w:t>cost effectiveness</w:t>
      </w:r>
      <w:r w:rsidR="003D03DF">
        <w:t>.</w:t>
      </w:r>
    </w:p>
    <w:p w:rsidR="005619E9" w:rsidRDefault="003D03DF" w:rsidP="0082712E">
      <w:pPr>
        <w:pStyle w:val="UnnumtextBullet1"/>
        <w:spacing w:after="170"/>
      </w:pPr>
      <w:r>
        <w:t>E</w:t>
      </w:r>
      <w:r w:rsidR="005619E9">
        <w:t xml:space="preserve">xpenditure on governance is around </w:t>
      </w:r>
      <w:r w:rsidR="004F1A87">
        <w:t>2</w:t>
      </w:r>
      <w:r w:rsidR="00EF0EA0">
        <w:t>%</w:t>
      </w:r>
      <w:r w:rsidR="005619E9">
        <w:t xml:space="preserve"> of total expenditure, which </w:t>
      </w:r>
      <w:r w:rsidR="004F1A87">
        <w:t>seems higher than for</w:t>
      </w:r>
      <w:r w:rsidR="005619E9">
        <w:t xml:space="preserve"> comparable Board-related costs of </w:t>
      </w:r>
      <w:r w:rsidR="004F1A87">
        <w:t xml:space="preserve">some sampled </w:t>
      </w:r>
      <w:r w:rsidR="005619E9">
        <w:t xml:space="preserve">DHBs </w:t>
      </w:r>
      <w:r w:rsidR="004F1A87">
        <w:t xml:space="preserve">with large rural areas, </w:t>
      </w:r>
      <w:r w:rsidR="005619E9">
        <w:t>but does not appear to be excessive</w:t>
      </w:r>
      <w:r>
        <w:t>.</w:t>
      </w:r>
      <w:r w:rsidR="00BB79B3">
        <w:rPr>
          <w:rStyle w:val="FootnoteReference"/>
        </w:rPr>
        <w:footnoteReference w:id="20"/>
      </w:r>
    </w:p>
    <w:p w:rsidR="005619E9" w:rsidRDefault="003D03DF" w:rsidP="0082712E">
      <w:pPr>
        <w:pStyle w:val="UnnumtextBullet1"/>
        <w:spacing w:after="170"/>
      </w:pPr>
      <w:proofErr w:type="spellStart"/>
      <w:r>
        <w:t>L</w:t>
      </w:r>
      <w:r w:rsidR="005619E9">
        <w:t>abour</w:t>
      </w:r>
      <w:proofErr w:type="spellEnd"/>
      <w:r w:rsidR="005619E9">
        <w:t xml:space="preserve"> costs (both salaried and outsourced staff), consumables and surgical communications account for around 59</w:t>
      </w:r>
      <w:r w:rsidR="00EF0EA0">
        <w:t>%</w:t>
      </w:r>
      <w:r w:rsidR="005619E9">
        <w:t xml:space="preserve"> of expenditure, while </w:t>
      </w:r>
      <w:proofErr w:type="spellStart"/>
      <w:r w:rsidR="005619E9">
        <w:t>labour</w:t>
      </w:r>
      <w:proofErr w:type="spellEnd"/>
      <w:r w:rsidR="005619E9">
        <w:t xml:space="preserve"> costs only for sampled DHBs are around 45</w:t>
      </w:r>
      <w:r w:rsidR="00EF0EA0">
        <w:t>%</w:t>
      </w:r>
      <w:r w:rsidR="005619E9">
        <w:t xml:space="preserve"> of total expenditure</w:t>
      </w:r>
      <w:r>
        <w:t>.</w:t>
      </w:r>
      <w:r w:rsidR="004F1A87">
        <w:t xml:space="preserve"> </w:t>
      </w:r>
    </w:p>
    <w:p w:rsidR="005619E9" w:rsidRDefault="003D03DF" w:rsidP="005619E9">
      <w:pPr>
        <w:pStyle w:val="UnnumtextBullet1"/>
      </w:pPr>
      <w:r>
        <w:t>C</w:t>
      </w:r>
      <w:r w:rsidR="005619E9">
        <w:t xml:space="preserve">ombined costs for the finance, insurance and office/general line items </w:t>
      </w:r>
      <w:r>
        <w:t>are</w:t>
      </w:r>
      <w:r w:rsidR="005619E9">
        <w:t xml:space="preserve"> around </w:t>
      </w:r>
      <w:r w:rsidR="00194465">
        <w:t>7</w:t>
      </w:r>
      <w:r w:rsidR="00EF0EA0">
        <w:t>%</w:t>
      </w:r>
      <w:r w:rsidR="005619E9">
        <w:t xml:space="preserve"> of total expenditure, whereas the equivalent</w:t>
      </w:r>
      <w:r w:rsidR="00194465">
        <w:t xml:space="preserve"> for </w:t>
      </w:r>
      <w:r>
        <w:t>the DHB accounts that we examined</w:t>
      </w:r>
      <w:r w:rsidR="00194465">
        <w:t xml:space="preserve"> is around 1</w:t>
      </w:r>
      <w:r w:rsidR="00EF0EA0">
        <w:t>%</w:t>
      </w:r>
      <w:r>
        <w:t xml:space="preserve"> of total expenditure</w:t>
      </w:r>
      <w:r w:rsidR="00847055">
        <w:t>.</w:t>
      </w:r>
    </w:p>
    <w:p w:rsidR="00E12540" w:rsidRPr="006C5437" w:rsidRDefault="00E12540" w:rsidP="005619E9">
      <w:pPr>
        <w:pStyle w:val="UnnumtextBullet1"/>
      </w:pPr>
      <w:r w:rsidRPr="00D55B3C">
        <w:t xml:space="preserve">We were advised by the provider that </w:t>
      </w:r>
      <w:r>
        <w:t xml:space="preserve">the pre-tax return on the cost value of the asset base employed in the business for 2012/13 was 11.5% (or a post-tax return of 8.3%). We note that, arguably, this return appears to be on the high side. However, </w:t>
      </w:r>
      <w:r w:rsidRPr="00BB79B3">
        <w:t xml:space="preserve">we </w:t>
      </w:r>
      <w:r>
        <w:t xml:space="preserve">offer these figures without having conducted </w:t>
      </w:r>
      <w:r w:rsidRPr="00BB79B3">
        <w:t>a detailed appraisal the company accounts</w:t>
      </w:r>
      <w:r>
        <w:t>.</w:t>
      </w:r>
    </w:p>
    <w:p w:rsidR="005619E9" w:rsidRDefault="005619E9" w:rsidP="005619E9">
      <w:pPr>
        <w:pStyle w:val="Heading2"/>
      </w:pPr>
      <w:bookmarkStart w:id="147" w:name="_Toc380691095"/>
      <w:bookmarkStart w:id="148" w:name="_Toc423945948"/>
      <w:r>
        <w:t>S</w:t>
      </w:r>
      <w:r w:rsidR="004F1A87">
        <w:t>ome observations about value</w:t>
      </w:r>
      <w:bookmarkEnd w:id="147"/>
      <w:r>
        <w:t xml:space="preserve"> </w:t>
      </w:r>
      <w:r w:rsidR="004F1A87">
        <w:t>for money</w:t>
      </w:r>
      <w:bookmarkEnd w:id="148"/>
    </w:p>
    <w:p w:rsidR="005619E9" w:rsidRDefault="005619E9" w:rsidP="004F1A87">
      <w:pPr>
        <w:pStyle w:val="UnnumtextBodytext"/>
      </w:pPr>
      <w:r>
        <w:t xml:space="preserve">The original contract </w:t>
      </w:r>
      <w:r w:rsidR="004F1A87">
        <w:t>appears to have been</w:t>
      </w:r>
      <w:r>
        <w:t xml:space="preserve"> influenced by budget management considerations rather than an optimal pricing perspective, although </w:t>
      </w:r>
      <w:r w:rsidR="0010689B">
        <w:t xml:space="preserve">the existence of </w:t>
      </w:r>
      <w:r>
        <w:t>a</w:t>
      </w:r>
      <w:r w:rsidR="0010689B">
        <w:t>n initial</w:t>
      </w:r>
      <w:r>
        <w:t xml:space="preserve"> business case su</w:t>
      </w:r>
      <w:r w:rsidR="0010689B">
        <w:t xml:space="preserve">ggests that </w:t>
      </w:r>
      <w:r>
        <w:t xml:space="preserve">prices </w:t>
      </w:r>
      <w:r w:rsidR="0010689B">
        <w:t xml:space="preserve">may have </w:t>
      </w:r>
      <w:r>
        <w:t xml:space="preserve">reflected </w:t>
      </w:r>
      <w:r w:rsidR="00CD4AF9">
        <w:t xml:space="preserve">overall </w:t>
      </w:r>
      <w:r>
        <w:t xml:space="preserve">costs </w:t>
      </w:r>
      <w:r w:rsidR="0010689B">
        <w:t xml:space="preserve">at </w:t>
      </w:r>
      <w:r>
        <w:t>the outset</w:t>
      </w:r>
      <w:r w:rsidR="004F1A87">
        <w:t>. Renewal of the contract and subsequent v</w:t>
      </w:r>
      <w:r>
        <w:t xml:space="preserve">ariations to </w:t>
      </w:r>
      <w:r w:rsidR="004F1A87">
        <w:t xml:space="preserve">its </w:t>
      </w:r>
      <w:r>
        <w:t xml:space="preserve">terms </w:t>
      </w:r>
      <w:r w:rsidR="004F1A87">
        <w:t xml:space="preserve">have </w:t>
      </w:r>
      <w:r>
        <w:t xml:space="preserve">sought to maintain </w:t>
      </w:r>
      <w:r w:rsidR="004F1A87">
        <w:t>the</w:t>
      </w:r>
      <w:r>
        <w:t xml:space="preserve"> overall funding amount, </w:t>
      </w:r>
      <w:r w:rsidR="004F1A87">
        <w:t>while reallocating f</w:t>
      </w:r>
      <w:r>
        <w:t xml:space="preserve">unding </w:t>
      </w:r>
      <w:r w:rsidR="00CD4AF9">
        <w:t>towards the mobile surgical service</w:t>
      </w:r>
      <w:r>
        <w:t xml:space="preserve"> to better reflect cost movements, </w:t>
      </w:r>
      <w:r w:rsidR="004F1A87">
        <w:t>although</w:t>
      </w:r>
      <w:r>
        <w:t xml:space="preserve"> no “bottom-up” costing exercise </w:t>
      </w:r>
      <w:r w:rsidR="004F1A87">
        <w:t>h</w:t>
      </w:r>
      <w:r>
        <w:t xml:space="preserve">as </w:t>
      </w:r>
      <w:r w:rsidR="004F1A87">
        <w:t xml:space="preserve">been </w:t>
      </w:r>
      <w:r>
        <w:t>undertaken</w:t>
      </w:r>
      <w:r w:rsidR="004F1A87">
        <w:t>.</w:t>
      </w:r>
      <w:r w:rsidR="003F6AAA" w:rsidRPr="003F6AAA">
        <w:t xml:space="preserve"> </w:t>
      </w:r>
      <w:r w:rsidR="003F6AAA">
        <w:t>In the absence of a full “bottom-up” costing exercise being undertaken, attempts to assess service cost-effectiveness necessarily rely on this type of partial, contract-based approach</w:t>
      </w:r>
      <w:r w:rsidR="0098340D">
        <w:t>.</w:t>
      </w:r>
    </w:p>
    <w:p w:rsidR="0010689B" w:rsidRDefault="0010689B" w:rsidP="0010689B">
      <w:pPr>
        <w:pStyle w:val="UnnumtextBullet1"/>
        <w:numPr>
          <w:ilvl w:val="0"/>
          <w:numId w:val="0"/>
        </w:numPr>
        <w:spacing w:after="170"/>
      </w:pPr>
      <w:r>
        <w:t xml:space="preserve">The </w:t>
      </w:r>
      <w:r w:rsidR="00180E41">
        <w:t>apparent</w:t>
      </w:r>
      <w:r w:rsidR="00CD4AF9">
        <w:t xml:space="preserve"> </w:t>
      </w:r>
      <w:r w:rsidR="005619E9">
        <w:t>gap</w:t>
      </w:r>
      <w:r w:rsidR="00CD4AF9">
        <w:t xml:space="preserve"> </w:t>
      </w:r>
      <w:r w:rsidR="005619E9">
        <w:t xml:space="preserve">between the price paid to MSS Ltd and the national </w:t>
      </w:r>
      <w:r w:rsidR="00CD4AF9">
        <w:t xml:space="preserve">case-weight </w:t>
      </w:r>
      <w:r w:rsidR="005619E9">
        <w:t xml:space="preserve">price </w:t>
      </w:r>
      <w:r w:rsidR="00CD4AF9">
        <w:t>used</w:t>
      </w:r>
      <w:r w:rsidR="005619E9">
        <w:t xml:space="preserve"> by DHBs</w:t>
      </w:r>
      <w:r w:rsidR="00180E41">
        <w:t>, of around 33%,</w:t>
      </w:r>
      <w:r w:rsidR="005619E9">
        <w:t xml:space="preserve"> </w:t>
      </w:r>
      <w:r>
        <w:t>may have been driven</w:t>
      </w:r>
      <w:r w:rsidR="00180E41">
        <w:t xml:space="preserve"> by</w:t>
      </w:r>
      <w:r>
        <w:t xml:space="preserve"> </w:t>
      </w:r>
      <w:r w:rsidR="005619E9">
        <w:t xml:space="preserve">cost differences such as scale effects, rural coordination efforts, </w:t>
      </w:r>
      <w:r>
        <w:t xml:space="preserve">and </w:t>
      </w:r>
      <w:r w:rsidR="005619E9">
        <w:t>idiosyncratic costs (e.g. fuel, staff travel)</w:t>
      </w:r>
      <w:r>
        <w:t>. Factoring in the costs of hosting the surgical bus, largely borne by DHBs,</w:t>
      </w:r>
      <w:r w:rsidR="00180E41">
        <w:t xml:space="preserve"> </w:t>
      </w:r>
      <w:r>
        <w:t>increases</w:t>
      </w:r>
      <w:r w:rsidR="00CD4AF9">
        <w:t xml:space="preserve"> this premium</w:t>
      </w:r>
      <w:r w:rsidR="00180E41">
        <w:t xml:space="preserve"> to 39%</w:t>
      </w:r>
      <w:r>
        <w:t xml:space="preserve">. </w:t>
      </w:r>
      <w:r w:rsidR="00180E41">
        <w:t xml:space="preserve"> However, t</w:t>
      </w:r>
      <w:r>
        <w:t xml:space="preserve">here are several </w:t>
      </w:r>
      <w:r w:rsidR="00CD4AF9">
        <w:t>considerations that</w:t>
      </w:r>
      <w:r w:rsidR="00180E41">
        <w:t xml:space="preserve"> point to value for money being better than this metric</w:t>
      </w:r>
      <w:r w:rsidR="00CD4AF9">
        <w:t xml:space="preserve">, on its own, might </w:t>
      </w:r>
      <w:r w:rsidR="00180E41">
        <w:t>suggest.</w:t>
      </w:r>
    </w:p>
    <w:p w:rsidR="001A7069" w:rsidRDefault="001A7069" w:rsidP="001A7069">
      <w:pPr>
        <w:pStyle w:val="UnnumtextBullet1"/>
        <w:spacing w:after="170"/>
      </w:pPr>
      <w:r>
        <w:t xml:space="preserve">When </w:t>
      </w:r>
      <w:r w:rsidR="00CD4AF9">
        <w:t xml:space="preserve">factoring in </w:t>
      </w:r>
      <w:r w:rsidR="00B320F5">
        <w:t xml:space="preserve">actual </w:t>
      </w:r>
      <w:r w:rsidR="00CD4AF9">
        <w:t>p</w:t>
      </w:r>
      <w:r>
        <w:t xml:space="preserve">erformance (e.g. </w:t>
      </w:r>
      <w:r w:rsidR="00CD4AF9">
        <w:t>ov</w:t>
      </w:r>
      <w:r>
        <w:t xml:space="preserve">er delivery of contracted volumes) and </w:t>
      </w:r>
      <w:r w:rsidR="00B320F5">
        <w:t xml:space="preserve">the avoided travel costs </w:t>
      </w:r>
      <w:r>
        <w:t>the</w:t>
      </w:r>
      <w:r w:rsidR="00B320F5">
        <w:t>n this</w:t>
      </w:r>
      <w:r>
        <w:t xml:space="preserve"> “gap” </w:t>
      </w:r>
      <w:r w:rsidR="00B320F5">
        <w:t xml:space="preserve">is </w:t>
      </w:r>
      <w:r w:rsidR="00851BCC">
        <w:t xml:space="preserve">significantly </w:t>
      </w:r>
      <w:r w:rsidR="00B320F5">
        <w:t>red</w:t>
      </w:r>
      <w:r w:rsidR="003F6AAA">
        <w:t>uced</w:t>
      </w:r>
      <w:r w:rsidR="00CD4AF9">
        <w:t>.</w:t>
      </w:r>
    </w:p>
    <w:p w:rsidR="00B320F5" w:rsidRDefault="00B320F5" w:rsidP="00B320F5">
      <w:pPr>
        <w:pStyle w:val="UnnumtextBullet1"/>
        <w:spacing w:after="170"/>
      </w:pPr>
      <w:r>
        <w:t>The national CWD price grew at a much faster rate than the MSS Ltd effective price between 2006/07 and 2012/13. If the price path for the national price for case-weighted discharges reflects inflationary pressures faced by DHB provider arms, then MSS Ltd may have faced greater pressures to find efficiencies, relative to DHB</w:t>
      </w:r>
      <w:r w:rsidR="00F74C8D">
        <w:t xml:space="preserve"> base hospitals</w:t>
      </w:r>
      <w:r>
        <w:t xml:space="preserve">. </w:t>
      </w:r>
    </w:p>
    <w:p w:rsidR="00D55B3C" w:rsidRDefault="00D55B3C">
      <w:pPr>
        <w:spacing w:after="0" w:line="240" w:lineRule="auto"/>
      </w:pPr>
      <w:r>
        <w:br w:type="page"/>
      </w:r>
    </w:p>
    <w:p w:rsidR="00CD4AF9" w:rsidRDefault="00CD4AF9" w:rsidP="00847055">
      <w:pPr>
        <w:pStyle w:val="UnnumtextBullet1"/>
        <w:spacing w:after="170"/>
      </w:pPr>
      <w:r>
        <w:lastRenderedPageBreak/>
        <w:t xml:space="preserve">There are </w:t>
      </w:r>
      <w:r w:rsidR="00847228">
        <w:t xml:space="preserve">also </w:t>
      </w:r>
      <w:r>
        <w:t xml:space="preserve">non-financial </w:t>
      </w:r>
      <w:r w:rsidR="00B320F5">
        <w:t>benefits, beyond the benefits considered above (</w:t>
      </w:r>
      <w:r w:rsidR="00847228">
        <w:t xml:space="preserve">i.e. the </w:t>
      </w:r>
      <w:r w:rsidR="00B320F5">
        <w:t xml:space="preserve">lower “did not attend” rates and avoided travel costs). </w:t>
      </w:r>
      <w:r w:rsidR="00847228">
        <w:t>Principally, t</w:t>
      </w:r>
      <w:r w:rsidR="00B320F5">
        <w:t xml:space="preserve">hese </w:t>
      </w:r>
      <w:r w:rsidR="00847228">
        <w:t xml:space="preserve">other benefits comprise </w:t>
      </w:r>
      <w:r w:rsidR="00B320F5">
        <w:t xml:space="preserve">reduced barriers for some patients to access </w:t>
      </w:r>
      <w:r w:rsidR="00847228">
        <w:t xml:space="preserve">their elective surgery </w:t>
      </w:r>
      <w:r w:rsidR="00B320F5">
        <w:t>(i.e. 20% of patients</w:t>
      </w:r>
      <w:r w:rsidR="00847228">
        <w:t>, equivalent to 300 people,</w:t>
      </w:r>
      <w:r w:rsidR="00B320F5">
        <w:t xml:space="preserve"> who would not otherwise </w:t>
      </w:r>
      <w:r w:rsidR="00847228">
        <w:t xml:space="preserve">travel) and “convenience” in the form of avoided travel stress and/or apprehension about visiting a hospital. </w:t>
      </w:r>
      <w:r>
        <w:t xml:space="preserve"> </w:t>
      </w:r>
    </w:p>
    <w:p w:rsidR="00BB79B3" w:rsidRDefault="001F62C6" w:rsidP="00BB79B3">
      <w:pPr>
        <w:pStyle w:val="UnnumtextBodytext"/>
      </w:pPr>
      <w:r>
        <w:t>We would conclude that i</w:t>
      </w:r>
      <w:r w:rsidR="005619E9">
        <w:t xml:space="preserve">n relation to the delivery of mobile surgical services, </w:t>
      </w:r>
      <w:r w:rsidR="001A7069" w:rsidRPr="00B320F5">
        <w:rPr>
          <w:b/>
        </w:rPr>
        <w:t xml:space="preserve">it is plausible that </w:t>
      </w:r>
      <w:r w:rsidR="005619E9" w:rsidRPr="00B320F5">
        <w:rPr>
          <w:b/>
        </w:rPr>
        <w:t xml:space="preserve">MSS Ltd </w:t>
      </w:r>
      <w:r w:rsidR="001A7069" w:rsidRPr="00B320F5">
        <w:rPr>
          <w:b/>
        </w:rPr>
        <w:t xml:space="preserve">is </w:t>
      </w:r>
      <w:r w:rsidRPr="00B320F5">
        <w:rPr>
          <w:b/>
        </w:rPr>
        <w:t xml:space="preserve">operating </w:t>
      </w:r>
      <w:r w:rsidR="00B320F5">
        <w:rPr>
          <w:b/>
        </w:rPr>
        <w:t>as cost-</w:t>
      </w:r>
      <w:r w:rsidR="005619E9" w:rsidRPr="00B320F5">
        <w:rPr>
          <w:b/>
        </w:rPr>
        <w:t>effective</w:t>
      </w:r>
      <w:r w:rsidR="001A7069" w:rsidRPr="00B320F5">
        <w:rPr>
          <w:b/>
        </w:rPr>
        <w:t>ly</w:t>
      </w:r>
      <w:r w:rsidR="005619E9" w:rsidRPr="00B320F5">
        <w:rPr>
          <w:b/>
        </w:rPr>
        <w:t xml:space="preserve"> as the alternative of base hospital delivery</w:t>
      </w:r>
      <w:r>
        <w:t>.</w:t>
      </w:r>
      <w:r w:rsidR="00CD4AF9">
        <w:t xml:space="preserve"> This </w:t>
      </w:r>
      <w:r w:rsidR="00B320F5">
        <w:t xml:space="preserve">view is offered </w:t>
      </w:r>
      <w:r w:rsidR="00CD4AF9">
        <w:t xml:space="preserve">without </w:t>
      </w:r>
      <w:r w:rsidR="00B320F5">
        <w:t xml:space="preserve">fully </w:t>
      </w:r>
      <w:r w:rsidR="00CD4AF9">
        <w:t>knowing the underlying cost structures and whether there is ongoing cross-</w:t>
      </w:r>
      <w:proofErr w:type="spellStart"/>
      <w:r w:rsidR="00CD4AF9">
        <w:t>subsidisation</w:t>
      </w:r>
      <w:proofErr w:type="spellEnd"/>
      <w:r w:rsidR="00CD4AF9">
        <w:t xml:space="preserve"> </w:t>
      </w:r>
      <w:r w:rsidR="00BB79B3">
        <w:t xml:space="preserve">from the other services </w:t>
      </w:r>
      <w:r w:rsidR="00CD4AF9">
        <w:t xml:space="preserve">towards the mobile surgical service. </w:t>
      </w:r>
    </w:p>
    <w:p w:rsidR="00BB79B3" w:rsidRDefault="00BB79B3" w:rsidP="00BB79B3">
      <w:pPr>
        <w:pStyle w:val="UnnumtextBodytext"/>
      </w:pPr>
      <w:r>
        <w:t xml:space="preserve">Arguably, if the mix of cases is oriented towards planned and low complexity day surgery, </w:t>
      </w:r>
      <w:r w:rsidRPr="00BB79B3">
        <w:rPr>
          <w:b/>
        </w:rPr>
        <w:t>it might be expected that the mobile service should be more cost-effective</w:t>
      </w:r>
      <w:r w:rsidRPr="003F6AAA">
        <w:t xml:space="preserve"> </w:t>
      </w:r>
      <w:r>
        <w:t xml:space="preserve">than a base hospital </w:t>
      </w:r>
      <w:r w:rsidRPr="003F6AAA">
        <w:t>– particularly for a</w:t>
      </w:r>
      <w:r>
        <w:t xml:space="preserve"> nimble provider that contracts in specialists without facing overheads, such as the professional development requirements of salaried clinical staff.   </w:t>
      </w:r>
    </w:p>
    <w:p w:rsidR="00BB79B3" w:rsidRDefault="00BB79B3" w:rsidP="00BB79B3">
      <w:pPr>
        <w:pStyle w:val="UnnumtextBodytext"/>
      </w:pPr>
    </w:p>
    <w:p w:rsidR="00AC54F9" w:rsidRDefault="001515D7" w:rsidP="00AC54F9">
      <w:pPr>
        <w:pStyle w:val="Heading1"/>
      </w:pPr>
      <w:bookmarkStart w:id="149" w:name="_Toc423945949"/>
      <w:r>
        <w:lastRenderedPageBreak/>
        <w:t xml:space="preserve">Rural </w:t>
      </w:r>
      <w:r w:rsidR="00AC54F9" w:rsidRPr="00503AE6">
        <w:t>professional development</w:t>
      </w:r>
      <w:r w:rsidR="00C51C01">
        <w:t xml:space="preserve"> </w:t>
      </w:r>
      <w:r w:rsidR="00412E08">
        <w:t>services</w:t>
      </w:r>
      <w:bookmarkEnd w:id="149"/>
    </w:p>
    <w:p w:rsidR="001515D7" w:rsidRDefault="001515D7" w:rsidP="001515D7">
      <w:pPr>
        <w:pStyle w:val="Heading2"/>
      </w:pPr>
      <w:bookmarkStart w:id="150" w:name="_Toc423945950"/>
      <w:r>
        <w:t>Service provision</w:t>
      </w:r>
      <w:r w:rsidR="00AF1B82">
        <w:t xml:space="preserve"> – training given locally</w:t>
      </w:r>
      <w:bookmarkEnd w:id="150"/>
    </w:p>
    <w:p w:rsidR="00B67AC0" w:rsidRDefault="00B67AC0" w:rsidP="001515D7">
      <w:pPr>
        <w:pStyle w:val="UnnumtextBodytext"/>
      </w:pPr>
      <w:r>
        <w:t xml:space="preserve">The rural professional development component of the contract specifies the following categories of outputs: </w:t>
      </w:r>
    </w:p>
    <w:p w:rsidR="00B67AC0" w:rsidRDefault="00B67AC0" w:rsidP="008F4FF9">
      <w:pPr>
        <w:pStyle w:val="UnnumtextBullet1"/>
      </w:pPr>
      <w:r>
        <w:t xml:space="preserve">Continuing Professional Development (previously known as </w:t>
      </w:r>
      <w:r w:rsidR="00E614D1">
        <w:t>“</w:t>
      </w:r>
      <w:r>
        <w:t>Skill Link</w:t>
      </w:r>
      <w:r w:rsidR="00E614D1">
        <w:t>”</w:t>
      </w:r>
      <w:r>
        <w:t>)</w:t>
      </w:r>
      <w:r w:rsidR="00E614D1">
        <w:t>;</w:t>
      </w:r>
    </w:p>
    <w:p w:rsidR="00B67AC0" w:rsidRDefault="00B67AC0" w:rsidP="008F4FF9">
      <w:pPr>
        <w:pStyle w:val="UnnumtextBullet1"/>
      </w:pPr>
      <w:r>
        <w:t xml:space="preserve">Surgical Skills </w:t>
      </w:r>
      <w:r w:rsidR="00730558">
        <w:t xml:space="preserve">– </w:t>
      </w:r>
      <w:r>
        <w:t>Nurses</w:t>
      </w:r>
      <w:r w:rsidR="00E614D1">
        <w:t>;</w:t>
      </w:r>
    </w:p>
    <w:p w:rsidR="00B67AC0" w:rsidRDefault="00B67AC0" w:rsidP="008F4FF9">
      <w:pPr>
        <w:pStyle w:val="UnnumtextBullet1"/>
      </w:pPr>
      <w:r>
        <w:t xml:space="preserve">Surgical Skills </w:t>
      </w:r>
      <w:r w:rsidR="00730558">
        <w:t xml:space="preserve">– </w:t>
      </w:r>
      <w:r>
        <w:t>GPs</w:t>
      </w:r>
      <w:r w:rsidR="00E614D1">
        <w:t>;</w:t>
      </w:r>
    </w:p>
    <w:p w:rsidR="00B67AC0" w:rsidRDefault="00B67AC0" w:rsidP="008F4FF9">
      <w:pPr>
        <w:pStyle w:val="UnnumtextBullet1"/>
      </w:pPr>
      <w:r>
        <w:t>Advanced Clinical Practice Skills</w:t>
      </w:r>
      <w:r w:rsidR="00E614D1">
        <w:t>; and</w:t>
      </w:r>
    </w:p>
    <w:p w:rsidR="00B67AC0" w:rsidRDefault="00B67AC0" w:rsidP="008F4FF9">
      <w:pPr>
        <w:pStyle w:val="UnnumtextBullet1"/>
        <w:spacing w:after="170"/>
      </w:pPr>
      <w:r>
        <w:t>Conferences for rural health practitioners</w:t>
      </w:r>
      <w:r w:rsidR="00E614D1">
        <w:t>.</w:t>
      </w:r>
    </w:p>
    <w:p w:rsidR="00182DCC" w:rsidRDefault="008F4FF9" w:rsidP="00182DCC">
      <w:pPr>
        <w:pStyle w:val="UnnumtextBodytext"/>
      </w:pPr>
      <w:r>
        <w:t xml:space="preserve">The </w:t>
      </w:r>
      <w:r w:rsidR="00182DCC">
        <w:t>services are</w:t>
      </w:r>
      <w:r>
        <w:t xml:space="preserve"> provided via a range of channels, and these include</w:t>
      </w:r>
      <w:r w:rsidR="00182DCC">
        <w:t>:</w:t>
      </w:r>
    </w:p>
    <w:p w:rsidR="00182DCC" w:rsidRDefault="008D2C6A" w:rsidP="00182DCC">
      <w:pPr>
        <w:pStyle w:val="UnnumtextBullet1"/>
      </w:pPr>
      <w:proofErr w:type="gramStart"/>
      <w:r>
        <w:t>on-the-</w:t>
      </w:r>
      <w:r w:rsidR="00182DCC">
        <w:t>bus</w:t>
      </w:r>
      <w:proofErr w:type="gramEnd"/>
      <w:r w:rsidR="00182DCC">
        <w:t xml:space="preserve"> observation and working with </w:t>
      </w:r>
      <w:r>
        <w:t xml:space="preserve">the </w:t>
      </w:r>
      <w:r w:rsidR="00182DCC">
        <w:t xml:space="preserve">surgical </w:t>
      </w:r>
      <w:r>
        <w:t>team</w:t>
      </w:r>
      <w:r w:rsidR="00B15E02">
        <w:t xml:space="preserve">. This </w:t>
      </w:r>
      <w:r w:rsidR="00182DCC">
        <w:t>experiential training</w:t>
      </w:r>
      <w:r w:rsidR="00B15E02">
        <w:t xml:space="preserve"> typically relates to the Surgical Skills and </w:t>
      </w:r>
      <w:r w:rsidR="005E3FBF">
        <w:t>Advanced Clinical Practice Skills</w:t>
      </w:r>
      <w:r w:rsidR="008F4FF9">
        <w:t>;</w:t>
      </w:r>
      <w:r w:rsidR="00182DCC">
        <w:t xml:space="preserve"> </w:t>
      </w:r>
    </w:p>
    <w:p w:rsidR="00182DCC" w:rsidRDefault="008F4FF9" w:rsidP="00182DCC">
      <w:pPr>
        <w:pStyle w:val="UnnumtextBullet1"/>
      </w:pPr>
      <w:r>
        <w:t>f</w:t>
      </w:r>
      <w:r w:rsidR="00182DCC">
        <w:t>ace-to-face teaching sessions</w:t>
      </w:r>
      <w:r>
        <w:t>;</w:t>
      </w:r>
    </w:p>
    <w:p w:rsidR="00182DCC" w:rsidRDefault="00B74D53" w:rsidP="00182DCC">
      <w:pPr>
        <w:pStyle w:val="UnnumtextBullet1"/>
      </w:pPr>
      <w:proofErr w:type="gramStart"/>
      <w:r>
        <w:t>the</w:t>
      </w:r>
      <w:proofErr w:type="gramEnd"/>
      <w:r>
        <w:t xml:space="preserve"> </w:t>
      </w:r>
      <w:r w:rsidR="008F4FF9">
        <w:t>u</w:t>
      </w:r>
      <w:r w:rsidR="00182DCC">
        <w:t>se of information technologies (IT) for remote teaching sessions</w:t>
      </w:r>
      <w:r w:rsidR="005E3FBF">
        <w:t xml:space="preserve">. This is </w:t>
      </w:r>
      <w:r w:rsidR="008F4FF9">
        <w:t xml:space="preserve">referred to as </w:t>
      </w:r>
      <w:r w:rsidR="005E3FBF">
        <w:t>“</w:t>
      </w:r>
      <w:r w:rsidR="008F4FF9">
        <w:t>telepresence</w:t>
      </w:r>
      <w:r w:rsidR="005E3FBF">
        <w:t>” and is typically used for Continuing Professional Development</w:t>
      </w:r>
      <w:r w:rsidR="008F4FF9">
        <w:t>; and</w:t>
      </w:r>
    </w:p>
    <w:p w:rsidR="00182DCC" w:rsidRPr="006D3F89" w:rsidRDefault="00E614D1" w:rsidP="00182DCC">
      <w:pPr>
        <w:pStyle w:val="UnnumtextBullet1"/>
        <w:spacing w:after="170"/>
      </w:pPr>
      <w:proofErr w:type="gramStart"/>
      <w:r>
        <w:t>the</w:t>
      </w:r>
      <w:proofErr w:type="gramEnd"/>
      <w:r>
        <w:t xml:space="preserve"> </w:t>
      </w:r>
      <w:r w:rsidR="00182DCC">
        <w:t>annual conference for rural health professionals (typically accompanied by targeted training sessions for rural nurses who work on the mobile surgical bus).</w:t>
      </w:r>
    </w:p>
    <w:p w:rsidR="008F4FF9" w:rsidRDefault="008F4FF9" w:rsidP="008F4FF9">
      <w:pPr>
        <w:pStyle w:val="Heading3"/>
      </w:pPr>
      <w:bookmarkStart w:id="151" w:name="_Toc423945951"/>
      <w:r>
        <w:t xml:space="preserve">Rural sites </w:t>
      </w:r>
      <w:r w:rsidR="00B15E02">
        <w:t xml:space="preserve">choose their </w:t>
      </w:r>
      <w:r>
        <w:t>Continuing Professional Development sessions</w:t>
      </w:r>
      <w:bookmarkEnd w:id="151"/>
    </w:p>
    <w:p w:rsidR="00F7219E" w:rsidRDefault="00F7219E" w:rsidP="00182DCC">
      <w:pPr>
        <w:pStyle w:val="UnnumtextBodytext"/>
      </w:pPr>
      <w:r>
        <w:t>Th</w:t>
      </w:r>
      <w:r w:rsidR="00182DCC">
        <w:t xml:space="preserve">e </w:t>
      </w:r>
      <w:r>
        <w:t>remote teaching sessions for the Continuing Professional Development stream are</w:t>
      </w:r>
      <w:r w:rsidR="00182DCC">
        <w:t xml:space="preserve"> by far the largest volume of interactions</w:t>
      </w:r>
      <w:r>
        <w:t>.</w:t>
      </w:r>
      <w:r w:rsidRPr="00F7219E">
        <w:t xml:space="preserve"> </w:t>
      </w:r>
      <w:r>
        <w:t>We spoke with managers, education coordinators and participating nurses at a range of rural sites that receive sessions via a telepresence link.</w:t>
      </w:r>
    </w:p>
    <w:p w:rsidR="009A775C" w:rsidRDefault="009A775C" w:rsidP="009A775C">
      <w:r>
        <w:t xml:space="preserve">A list of possible </w:t>
      </w:r>
      <w:r w:rsidR="00182DCC">
        <w:t xml:space="preserve">topics and </w:t>
      </w:r>
      <w:r>
        <w:t xml:space="preserve">presenters is </w:t>
      </w:r>
      <w:r w:rsidR="00182DCC">
        <w:t xml:space="preserve">circulated to the rural </w:t>
      </w:r>
      <w:r>
        <w:t xml:space="preserve">sites each quarter. </w:t>
      </w:r>
      <w:r w:rsidR="00F7219E">
        <w:t>Rural sites have a say in choosing training topics, typically looking at the list of potential sessions on offer from MSS Ltd, and selecting the topics they feel are most relevant. The t</w:t>
      </w:r>
      <w:r w:rsidR="00182DCC">
        <w:t xml:space="preserve">opics vary </w:t>
      </w:r>
      <w:r w:rsidR="00F7219E">
        <w:t>considerably, and the box overleaf provides a non-exhaustive sample.</w:t>
      </w:r>
      <w:r w:rsidRPr="009A775C">
        <w:t xml:space="preserve"> </w:t>
      </w:r>
      <w:r>
        <w:t xml:space="preserve">Some sites </w:t>
      </w:r>
      <w:r w:rsidR="00E614D1">
        <w:t>hold a</w:t>
      </w:r>
      <w:r>
        <w:t xml:space="preserve"> week of one-hour sessions during lunch breaks, </w:t>
      </w:r>
      <w:r w:rsidR="00E614D1">
        <w:t xml:space="preserve">up to </w:t>
      </w:r>
      <w:r>
        <w:t>three times a year. A day</w:t>
      </w:r>
      <w:r w:rsidR="00E614D1">
        <w:t>-</w:t>
      </w:r>
      <w:r>
        <w:t xml:space="preserve">long block </w:t>
      </w:r>
      <w:r w:rsidR="00E614D1">
        <w:t>training course i</w:t>
      </w:r>
      <w:r>
        <w:t>s another option</w:t>
      </w:r>
      <w:r w:rsidR="00E614D1">
        <w:t>, where the topic and audience interest justifies it.</w:t>
      </w:r>
    </w:p>
    <w:p w:rsidR="00F07A4F" w:rsidRDefault="00F07A4F" w:rsidP="00F07A4F">
      <w:pPr>
        <w:pStyle w:val="Quotation"/>
      </w:pPr>
      <w:r>
        <w:t>I look for is</w:t>
      </w:r>
      <w:r w:rsidR="005E3FBF">
        <w:t xml:space="preserve">sues coming up and </w:t>
      </w:r>
      <w:proofErr w:type="gramStart"/>
      <w:r w:rsidR="005E3FBF">
        <w:t>s</w:t>
      </w:r>
      <w:r>
        <w:t>taff suggest</w:t>
      </w:r>
      <w:proofErr w:type="gramEnd"/>
      <w:r>
        <w:t xml:space="preserve"> ideas. I</w:t>
      </w:r>
      <w:r w:rsidRPr="00EC6D1A">
        <w:t xml:space="preserve"> check </w:t>
      </w:r>
      <w:r w:rsidR="00AC387A">
        <w:t xml:space="preserve">their </w:t>
      </w:r>
      <w:r w:rsidRPr="00EC6D1A">
        <w:t>list</w:t>
      </w:r>
      <w:r>
        <w:t xml:space="preserve"> and they’re responsive to requests. We set the programme together</w:t>
      </w:r>
      <w:r w:rsidR="005E3FBF">
        <w:t xml:space="preserve">, usually </w:t>
      </w:r>
      <w:r>
        <w:t>hold</w:t>
      </w:r>
      <w:r w:rsidR="005E3FBF">
        <w:t>ing</w:t>
      </w:r>
      <w:r>
        <w:t xml:space="preserve"> it during lunch breaks.</w:t>
      </w:r>
    </w:p>
    <w:p w:rsidR="00F07A4F" w:rsidRDefault="00F07A4F" w:rsidP="00F07A4F">
      <w:pPr>
        <w:pStyle w:val="Quotation"/>
      </w:pPr>
      <w:r>
        <w:t xml:space="preserve">We’ll look at our relevant topics of the moment that we want to expose staff to. Then we make up the timetable and put it out to all staff, who may </w:t>
      </w:r>
      <w:r w:rsidR="00503D1F">
        <w:t>volunteer.</w:t>
      </w:r>
      <w:r>
        <w:t xml:space="preserve"> </w:t>
      </w:r>
    </w:p>
    <w:p w:rsidR="00F07A4F" w:rsidRDefault="00F07A4F" w:rsidP="003F466A">
      <w:pPr>
        <w:pStyle w:val="Quotation"/>
      </w:pPr>
      <w:r w:rsidRPr="00045B59">
        <w:t>We get to choose the topics</w:t>
      </w:r>
      <w:r>
        <w:t xml:space="preserve"> e</w:t>
      </w:r>
      <w:r w:rsidRPr="00045B59">
        <w:t xml:space="preserve">very </w:t>
      </w:r>
      <w:r>
        <w:t xml:space="preserve">three </w:t>
      </w:r>
      <w:r w:rsidRPr="00045B59">
        <w:t>months</w:t>
      </w:r>
      <w:r>
        <w:t xml:space="preserve">… We have a </w:t>
      </w:r>
      <w:r w:rsidRPr="00045B59">
        <w:t>good working relationship with</w:t>
      </w:r>
      <w:r w:rsidR="00AC387A">
        <w:t xml:space="preserve"> them and they </w:t>
      </w:r>
      <w:r w:rsidRPr="00045B59">
        <w:t xml:space="preserve">provide </w:t>
      </w:r>
      <w:r w:rsidR="00AC387A">
        <w:t xml:space="preserve">a </w:t>
      </w:r>
      <w:r w:rsidRPr="00045B59">
        <w:t>list of presenters</w:t>
      </w:r>
      <w:r w:rsidR="008D2C6A">
        <w:t>.</w:t>
      </w:r>
      <w:r w:rsidR="005E3FBF">
        <w:t xml:space="preserve"> </w:t>
      </w:r>
      <w:r w:rsidR="008D2C6A">
        <w:t xml:space="preserve">It’s </w:t>
      </w:r>
      <w:r w:rsidRPr="00045B59">
        <w:t xml:space="preserve">good to have a mix of length of sessions, </w:t>
      </w:r>
      <w:r w:rsidR="00503D1F">
        <w:t>for example,</w:t>
      </w:r>
      <w:r w:rsidRPr="00045B59">
        <w:t xml:space="preserve"> </w:t>
      </w:r>
      <w:r w:rsidR="008D2C6A">
        <w:t xml:space="preserve">we had a </w:t>
      </w:r>
      <w:r w:rsidRPr="00045B59">
        <w:t>da</w:t>
      </w:r>
      <w:r w:rsidR="008D2C6A">
        <w:t>y-</w:t>
      </w:r>
      <w:r w:rsidRPr="00045B59">
        <w:t>long course on infection control</w:t>
      </w:r>
      <w:r w:rsidR="008D2C6A">
        <w:t xml:space="preserve">. </w:t>
      </w:r>
    </w:p>
    <w:tbl>
      <w:tblPr>
        <w:tblStyle w:val="TableSaper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D1D3D4"/>
        <w:tblLook w:val="0480" w:firstRow="0" w:lastRow="0" w:firstColumn="1" w:lastColumn="0" w:noHBand="0" w:noVBand="1"/>
      </w:tblPr>
      <w:tblGrid>
        <w:gridCol w:w="3936"/>
        <w:gridCol w:w="4217"/>
      </w:tblGrid>
      <w:tr w:rsidR="008F4FF9" w:rsidRPr="00182DCC" w:rsidTr="000B14AA">
        <w:tc>
          <w:tcPr>
            <w:tcW w:w="8153" w:type="dxa"/>
            <w:gridSpan w:val="2"/>
            <w:tcBorders>
              <w:bottom w:val="nil"/>
            </w:tcBorders>
            <w:shd w:val="clear" w:color="auto" w:fill="D1D3D4"/>
          </w:tcPr>
          <w:p w:rsidR="008F4FF9" w:rsidRPr="00182DCC" w:rsidRDefault="008F4FF9" w:rsidP="000B14AA">
            <w:pPr>
              <w:pStyle w:val="UnnumtextBullet1"/>
              <w:numPr>
                <w:ilvl w:val="0"/>
                <w:numId w:val="0"/>
              </w:numPr>
              <w:spacing w:before="40" w:after="20"/>
              <w:ind w:left="425" w:hanging="425"/>
              <w:jc w:val="center"/>
              <w:rPr>
                <w:b/>
                <w:sz w:val="26"/>
                <w:szCs w:val="26"/>
              </w:rPr>
            </w:pPr>
            <w:r w:rsidRPr="00182DCC">
              <w:rPr>
                <w:b/>
                <w:sz w:val="26"/>
                <w:szCs w:val="26"/>
              </w:rPr>
              <w:lastRenderedPageBreak/>
              <w:t>Continuing Professional Development sessions – example topics</w:t>
            </w:r>
          </w:p>
        </w:tc>
      </w:tr>
      <w:tr w:rsidR="008F4FF9" w:rsidRPr="00182DCC" w:rsidTr="000B14AA">
        <w:tc>
          <w:tcPr>
            <w:tcW w:w="3936" w:type="dxa"/>
            <w:tcBorders>
              <w:top w:val="nil"/>
            </w:tcBorders>
            <w:shd w:val="clear" w:color="auto" w:fill="D1D3D4"/>
          </w:tcPr>
          <w:p w:rsidR="008F4FF9" w:rsidRPr="00182DCC" w:rsidRDefault="008F4FF9" w:rsidP="000B14AA">
            <w:pPr>
              <w:pStyle w:val="UnnumtextBullet1"/>
              <w:spacing w:before="0"/>
              <w:rPr>
                <w:sz w:val="20"/>
              </w:rPr>
            </w:pPr>
            <w:r w:rsidRPr="00182DCC">
              <w:rPr>
                <w:sz w:val="20"/>
              </w:rPr>
              <w:t>Palliative care</w:t>
            </w:r>
          </w:p>
          <w:p w:rsidR="008F4FF9" w:rsidRPr="00182DCC" w:rsidRDefault="008F4FF9" w:rsidP="000B14AA">
            <w:pPr>
              <w:pStyle w:val="UnnumtextBullet1"/>
              <w:spacing w:beforeLines="20" w:before="48"/>
              <w:rPr>
                <w:sz w:val="20"/>
              </w:rPr>
            </w:pPr>
            <w:r w:rsidRPr="00182DCC">
              <w:rPr>
                <w:sz w:val="20"/>
              </w:rPr>
              <w:t>Health assessments</w:t>
            </w:r>
          </w:p>
          <w:p w:rsidR="008F4FF9" w:rsidRPr="00182DCC" w:rsidRDefault="008F4FF9" w:rsidP="000B14AA">
            <w:pPr>
              <w:pStyle w:val="UnnumtextBullet1"/>
              <w:spacing w:beforeLines="20" w:before="48"/>
              <w:rPr>
                <w:sz w:val="20"/>
              </w:rPr>
            </w:pPr>
            <w:r w:rsidRPr="00182DCC">
              <w:rPr>
                <w:sz w:val="20"/>
              </w:rPr>
              <w:t>Emergency care</w:t>
            </w:r>
          </w:p>
          <w:p w:rsidR="008F4FF9" w:rsidRPr="00182DCC" w:rsidRDefault="008F4FF9" w:rsidP="000B14AA">
            <w:pPr>
              <w:pStyle w:val="UnnumtextBullet1"/>
              <w:spacing w:beforeLines="20" w:before="48"/>
              <w:rPr>
                <w:sz w:val="20"/>
              </w:rPr>
            </w:pPr>
            <w:r w:rsidRPr="00182DCC">
              <w:rPr>
                <w:sz w:val="20"/>
              </w:rPr>
              <w:t>Rural health</w:t>
            </w:r>
          </w:p>
          <w:p w:rsidR="008F4FF9" w:rsidRPr="00182DCC" w:rsidRDefault="008F4FF9" w:rsidP="000B14AA">
            <w:pPr>
              <w:pStyle w:val="UnnumtextBullet1"/>
              <w:spacing w:beforeLines="20" w:before="48"/>
              <w:rPr>
                <w:sz w:val="20"/>
              </w:rPr>
            </w:pPr>
            <w:r w:rsidRPr="00182DCC">
              <w:rPr>
                <w:sz w:val="20"/>
              </w:rPr>
              <w:t xml:space="preserve">Resuscitation </w:t>
            </w:r>
          </w:p>
          <w:p w:rsidR="008F4FF9" w:rsidRPr="00182DCC" w:rsidRDefault="008F4FF9" w:rsidP="000B14AA">
            <w:pPr>
              <w:pStyle w:val="UnnumtextBullet1"/>
              <w:spacing w:beforeLines="20" w:before="48"/>
              <w:rPr>
                <w:sz w:val="20"/>
              </w:rPr>
            </w:pPr>
            <w:r w:rsidRPr="00182DCC">
              <w:rPr>
                <w:sz w:val="20"/>
              </w:rPr>
              <w:t>Wound care</w:t>
            </w:r>
          </w:p>
          <w:p w:rsidR="008F4FF9" w:rsidRPr="00182DCC" w:rsidRDefault="008F4FF9" w:rsidP="000B14AA">
            <w:pPr>
              <w:pStyle w:val="UnnumtextBullet1"/>
              <w:spacing w:beforeLines="20" w:before="48"/>
              <w:rPr>
                <w:sz w:val="20"/>
              </w:rPr>
            </w:pPr>
            <w:r w:rsidRPr="00182DCC">
              <w:rPr>
                <w:sz w:val="20"/>
              </w:rPr>
              <w:t>Coronary care</w:t>
            </w:r>
          </w:p>
          <w:p w:rsidR="008F4FF9" w:rsidRPr="00182DCC" w:rsidRDefault="008F4FF9" w:rsidP="000B14AA">
            <w:pPr>
              <w:pStyle w:val="UnnumtextBullet1"/>
              <w:spacing w:beforeLines="20" w:before="48"/>
              <w:rPr>
                <w:sz w:val="20"/>
              </w:rPr>
            </w:pPr>
            <w:r w:rsidRPr="00182DCC">
              <w:rPr>
                <w:sz w:val="20"/>
              </w:rPr>
              <w:t>Dementia, depression and delirium</w:t>
            </w:r>
          </w:p>
          <w:p w:rsidR="008F4FF9" w:rsidRPr="00182DCC" w:rsidRDefault="008F4FF9" w:rsidP="000B14AA">
            <w:pPr>
              <w:pStyle w:val="UnnumtextBullet1"/>
              <w:spacing w:beforeLines="20" w:before="48"/>
              <w:rPr>
                <w:sz w:val="20"/>
              </w:rPr>
            </w:pPr>
            <w:r w:rsidRPr="00182DCC">
              <w:rPr>
                <w:sz w:val="20"/>
              </w:rPr>
              <w:t>Seizure disorders</w:t>
            </w:r>
          </w:p>
          <w:p w:rsidR="008F4FF9" w:rsidRPr="008D2C6A" w:rsidRDefault="008D2C6A" w:rsidP="008D2C6A">
            <w:pPr>
              <w:pStyle w:val="UnnumtextBullet1"/>
              <w:spacing w:beforeLines="20" w:before="48"/>
              <w:rPr>
                <w:sz w:val="20"/>
              </w:rPr>
            </w:pPr>
            <w:r w:rsidRPr="00182DCC">
              <w:rPr>
                <w:sz w:val="20"/>
              </w:rPr>
              <w:t xml:space="preserve">Multi drug resistant organisms </w:t>
            </w:r>
          </w:p>
        </w:tc>
        <w:tc>
          <w:tcPr>
            <w:tcW w:w="4217" w:type="dxa"/>
            <w:tcBorders>
              <w:top w:val="nil"/>
            </w:tcBorders>
            <w:shd w:val="clear" w:color="auto" w:fill="D1D3D4"/>
          </w:tcPr>
          <w:p w:rsidR="008F4FF9" w:rsidRPr="00182DCC" w:rsidRDefault="008F4FF9" w:rsidP="008D2C6A">
            <w:pPr>
              <w:pStyle w:val="UnnumtextBullet1"/>
              <w:spacing w:before="0"/>
              <w:rPr>
                <w:sz w:val="20"/>
              </w:rPr>
            </w:pPr>
            <w:r w:rsidRPr="00182DCC">
              <w:rPr>
                <w:sz w:val="20"/>
              </w:rPr>
              <w:t>Acute diabetes</w:t>
            </w:r>
          </w:p>
          <w:p w:rsidR="008F4FF9" w:rsidRPr="00182DCC" w:rsidRDefault="008F4FF9" w:rsidP="000B14AA">
            <w:pPr>
              <w:pStyle w:val="UnnumtextBullet1"/>
              <w:spacing w:beforeLines="20" w:before="48"/>
              <w:rPr>
                <w:sz w:val="20"/>
              </w:rPr>
            </w:pPr>
            <w:r w:rsidRPr="00182DCC">
              <w:rPr>
                <w:sz w:val="20"/>
              </w:rPr>
              <w:t>Chronic disease</w:t>
            </w:r>
          </w:p>
          <w:p w:rsidR="008F4FF9" w:rsidRPr="00182DCC" w:rsidRDefault="008F4FF9" w:rsidP="000B14AA">
            <w:pPr>
              <w:pStyle w:val="UnnumtextBullet1"/>
              <w:spacing w:beforeLines="20" w:before="48"/>
              <w:rPr>
                <w:sz w:val="20"/>
              </w:rPr>
            </w:pPr>
            <w:r w:rsidRPr="00182DCC">
              <w:rPr>
                <w:sz w:val="20"/>
              </w:rPr>
              <w:t>Chronic pain / Pain management</w:t>
            </w:r>
          </w:p>
          <w:p w:rsidR="008F4FF9" w:rsidRPr="00182DCC" w:rsidRDefault="008F4FF9" w:rsidP="000B14AA">
            <w:pPr>
              <w:pStyle w:val="UnnumtextBullet1"/>
              <w:spacing w:beforeLines="20" w:before="48"/>
              <w:rPr>
                <w:sz w:val="20"/>
              </w:rPr>
            </w:pPr>
            <w:r w:rsidRPr="00182DCC">
              <w:rPr>
                <w:sz w:val="20"/>
              </w:rPr>
              <w:t>Obesity and nutrition</w:t>
            </w:r>
          </w:p>
          <w:p w:rsidR="008F4FF9" w:rsidRPr="00182DCC" w:rsidRDefault="008F4FF9" w:rsidP="000B14AA">
            <w:pPr>
              <w:pStyle w:val="UnnumtextBullet1"/>
              <w:spacing w:beforeLines="20" w:before="48"/>
              <w:rPr>
                <w:sz w:val="20"/>
              </w:rPr>
            </w:pPr>
            <w:r w:rsidRPr="00182DCC">
              <w:rPr>
                <w:sz w:val="20"/>
              </w:rPr>
              <w:t>Elder care</w:t>
            </w:r>
          </w:p>
          <w:p w:rsidR="008F4FF9" w:rsidRPr="00182DCC" w:rsidRDefault="008F4FF9" w:rsidP="000B14AA">
            <w:pPr>
              <w:pStyle w:val="UnnumtextBullet1"/>
              <w:spacing w:beforeLines="20" w:before="48"/>
              <w:rPr>
                <w:sz w:val="20"/>
              </w:rPr>
            </w:pPr>
            <w:r w:rsidRPr="00182DCC">
              <w:rPr>
                <w:sz w:val="20"/>
              </w:rPr>
              <w:t>Women’s health</w:t>
            </w:r>
          </w:p>
          <w:p w:rsidR="008F4FF9" w:rsidRPr="00182DCC" w:rsidRDefault="008F4FF9" w:rsidP="000B14AA">
            <w:pPr>
              <w:pStyle w:val="UnnumtextBullet1"/>
              <w:spacing w:beforeLines="20" w:before="48"/>
              <w:rPr>
                <w:sz w:val="20"/>
              </w:rPr>
            </w:pPr>
            <w:r w:rsidRPr="00182DCC">
              <w:rPr>
                <w:sz w:val="20"/>
              </w:rPr>
              <w:t>Mental health</w:t>
            </w:r>
          </w:p>
          <w:p w:rsidR="008F4FF9" w:rsidRPr="00182DCC" w:rsidRDefault="008F4FF9" w:rsidP="000B14AA">
            <w:pPr>
              <w:pStyle w:val="UnnumtextBullet1"/>
              <w:spacing w:beforeLines="20" w:before="48"/>
              <w:rPr>
                <w:sz w:val="20"/>
              </w:rPr>
            </w:pPr>
            <w:r w:rsidRPr="00182DCC">
              <w:rPr>
                <w:sz w:val="20"/>
              </w:rPr>
              <w:t>Maori health</w:t>
            </w:r>
          </w:p>
          <w:p w:rsidR="008F4FF9" w:rsidRPr="00182DCC" w:rsidRDefault="008F4FF9" w:rsidP="000B14AA">
            <w:pPr>
              <w:pStyle w:val="UnnumtextBullet1"/>
              <w:spacing w:beforeLines="20" w:before="48"/>
              <w:rPr>
                <w:sz w:val="20"/>
              </w:rPr>
            </w:pPr>
            <w:r w:rsidRPr="00182DCC">
              <w:rPr>
                <w:sz w:val="20"/>
              </w:rPr>
              <w:t xml:space="preserve">Continence </w:t>
            </w:r>
          </w:p>
        </w:tc>
      </w:tr>
    </w:tbl>
    <w:p w:rsidR="0063106E" w:rsidRDefault="003F466A" w:rsidP="0063106E">
      <w:pPr>
        <w:pStyle w:val="Heading3"/>
      </w:pPr>
      <w:bookmarkStart w:id="152" w:name="_Toc423945952"/>
      <w:r>
        <w:t>Continuing Professional Development sessions are seen as r</w:t>
      </w:r>
      <w:r w:rsidR="0063106E">
        <w:t>elevan</w:t>
      </w:r>
      <w:r>
        <w:t xml:space="preserve">t and </w:t>
      </w:r>
      <w:r w:rsidR="00B15E02">
        <w:t>engaging</w:t>
      </w:r>
      <w:bookmarkEnd w:id="152"/>
      <w:r>
        <w:t xml:space="preserve"> </w:t>
      </w:r>
    </w:p>
    <w:p w:rsidR="00B15E02" w:rsidRDefault="00B15E02" w:rsidP="00B15E02">
      <w:pPr>
        <w:pStyle w:val="UnnumtextBodytext"/>
      </w:pPr>
      <w:r>
        <w:t>We asked participants about the relevance of the content of the sessions and the responses were uniformly positive. Some participants highlighted occasions where they felt the topic or presenters had been tailored to their rural context.</w:t>
      </w:r>
    </w:p>
    <w:p w:rsidR="00B15E02" w:rsidRDefault="00B15E02" w:rsidP="00B15E02">
      <w:pPr>
        <w:pStyle w:val="Quotation"/>
      </w:pPr>
      <w:r>
        <w:t xml:space="preserve">Emergency triaging – this was very suitable. It’s relevant for here because we do a lot of that as a medical practice in a smaller town. The courses suit rural places… as we handle emergency care and triaging that those in urban </w:t>
      </w:r>
      <w:proofErr w:type="spellStart"/>
      <w:r>
        <w:t>centres</w:t>
      </w:r>
      <w:proofErr w:type="spellEnd"/>
      <w:r>
        <w:t xml:space="preserve"> probably wouldn’t.</w:t>
      </w:r>
    </w:p>
    <w:p w:rsidR="00B15E02" w:rsidRDefault="008D2C6A" w:rsidP="008D2C6A">
      <w:pPr>
        <w:pStyle w:val="Quotation"/>
      </w:pPr>
      <w:r>
        <w:t>The s</w:t>
      </w:r>
      <w:r w:rsidRPr="00EA0C4E">
        <w:t xml:space="preserve">ubjects are relevant to rural health, </w:t>
      </w:r>
      <w:r>
        <w:t xml:space="preserve">for example, the </w:t>
      </w:r>
      <w:proofErr w:type="spellStart"/>
      <w:r w:rsidRPr="00EA0C4E">
        <w:t>paediatric</w:t>
      </w:r>
      <w:proofErr w:type="spellEnd"/>
      <w:r w:rsidRPr="00EA0C4E">
        <w:t xml:space="preserve"> emergency </w:t>
      </w:r>
      <w:r w:rsidR="00B15E02">
        <w:t xml:space="preserve">session. </w:t>
      </w:r>
    </w:p>
    <w:p w:rsidR="008D2C6A" w:rsidRDefault="00B15E02" w:rsidP="008D2C6A">
      <w:pPr>
        <w:pStyle w:val="Quotation"/>
      </w:pPr>
      <w:r>
        <w:t>A</w:t>
      </w:r>
      <w:r w:rsidR="008D2C6A">
        <w:t xml:space="preserve"> stroke speaker called up to find out about our pathways to tailor the presentation to us.</w:t>
      </w:r>
    </w:p>
    <w:p w:rsidR="00503D1F" w:rsidRDefault="00503D1F" w:rsidP="00503D1F">
      <w:pPr>
        <w:pStyle w:val="UnnumtextBodytext"/>
      </w:pPr>
      <w:r>
        <w:t>Several nurses commented that they felt they were getting access to experts from other parts of the country with high quality content that may not otherwise hear from.</w:t>
      </w:r>
    </w:p>
    <w:p w:rsidR="00503D1F" w:rsidRDefault="00503D1F" w:rsidP="00503D1F">
      <w:pPr>
        <w:pStyle w:val="Quotation"/>
      </w:pPr>
      <w:r w:rsidRPr="00EA0C4E">
        <w:t>Often the trainers are from large urban hospitals – so they deal with these cases all the time and so they’re the appropriate people to talk with</w:t>
      </w:r>
      <w:r>
        <w:t>.</w:t>
      </w:r>
    </w:p>
    <w:p w:rsidR="00DA42A4" w:rsidRDefault="00DA42A4" w:rsidP="00DA42A4">
      <w:pPr>
        <w:pStyle w:val="Quotation"/>
      </w:pPr>
      <w:r>
        <w:t>Cardiac nurses, diabetic nurses… They’re all really qualified nurses in their own field.</w:t>
      </w:r>
    </w:p>
    <w:p w:rsidR="00503D1F" w:rsidRDefault="00503D1F" w:rsidP="00503D1F">
      <w:pPr>
        <w:pStyle w:val="Quotation"/>
      </w:pPr>
      <w:r>
        <w:t xml:space="preserve">The training provides access to topics that </w:t>
      </w:r>
      <w:r w:rsidR="00DA42A4">
        <w:t xml:space="preserve">you </w:t>
      </w:r>
      <w:r>
        <w:t xml:space="preserve">wouldn’t otherwise be exposed </w:t>
      </w:r>
      <w:r w:rsidR="00DA42A4">
        <w:t>to.</w:t>
      </w:r>
      <w:r>
        <w:t xml:space="preserve"> </w:t>
      </w:r>
    </w:p>
    <w:p w:rsidR="00B15E02" w:rsidRDefault="00DA42A4" w:rsidP="007F121E">
      <w:r>
        <w:t xml:space="preserve">Most rural sites where we spoke with participants, commented that they had high overall levels </w:t>
      </w:r>
      <w:r w:rsidR="00B15E02">
        <w:t>of satisfaction</w:t>
      </w:r>
      <w:r>
        <w:t>, borne out by strong attendances at the sessions. Two sites did comment that their attendee levels have fluctuated, but this may be more their workload pressures and planning than about the quality of sessions.</w:t>
      </w:r>
      <w:r w:rsidR="007F121E" w:rsidRPr="007F121E">
        <w:t xml:space="preserve"> </w:t>
      </w:r>
      <w:r w:rsidR="007F121E">
        <w:t xml:space="preserve">A couple of interviewees also mentioned that they would find it valuable to hear more perspectives from peers in a similar position – how they manage the systems and process that are specific to a rural hospital. . </w:t>
      </w:r>
    </w:p>
    <w:p w:rsidR="00DA42A4" w:rsidRDefault="00B15E02" w:rsidP="00B15E02">
      <w:pPr>
        <w:pStyle w:val="Quotation"/>
      </w:pPr>
      <w:r>
        <w:t>At times we may not have had the numbers</w:t>
      </w:r>
      <w:r w:rsidR="00DA42A4">
        <w:t>,</w:t>
      </w:r>
      <w:r>
        <w:t xml:space="preserve"> but t</w:t>
      </w:r>
      <w:r w:rsidR="00DA42A4">
        <w:t>hat’s due to our internal planning.</w:t>
      </w:r>
    </w:p>
    <w:p w:rsidR="00B15E02" w:rsidRDefault="00DA42A4" w:rsidP="00B15E02">
      <w:pPr>
        <w:pStyle w:val="Quotation"/>
      </w:pPr>
      <w:r>
        <w:t>It</w:t>
      </w:r>
      <w:r w:rsidR="00B15E02">
        <w:t>’s a system</w:t>
      </w:r>
      <w:r>
        <w:t>s</w:t>
      </w:r>
      <w:r w:rsidR="00B15E02">
        <w:t xml:space="preserve"> and resourcing issue not a quality-of-training issue. </w:t>
      </w:r>
    </w:p>
    <w:p w:rsidR="00503D1F" w:rsidRDefault="00503D1F" w:rsidP="00503D1F">
      <w:pPr>
        <w:pStyle w:val="Heading3"/>
      </w:pPr>
      <w:bookmarkStart w:id="153" w:name="_Toc423945953"/>
      <w:r>
        <w:lastRenderedPageBreak/>
        <w:t>The opportunity to link with local peers is valued</w:t>
      </w:r>
      <w:bookmarkEnd w:id="153"/>
      <w:r>
        <w:t xml:space="preserve"> </w:t>
      </w:r>
    </w:p>
    <w:p w:rsidR="00503D1F" w:rsidRDefault="00503D1F" w:rsidP="00503D1F">
      <w:r>
        <w:t xml:space="preserve">Several interviewees at rural training sites commented that the sessions were open to all health care providers in their community and that they valued a change to build and maintain relationships, for example with general practice, </w:t>
      </w:r>
      <w:proofErr w:type="spellStart"/>
      <w:r>
        <w:t>hauora</w:t>
      </w:r>
      <w:proofErr w:type="spellEnd"/>
      <w:r>
        <w:t xml:space="preserve"> providers, district nursing, rest home nurses and allied health workers – among others.</w:t>
      </w:r>
    </w:p>
    <w:p w:rsidR="00503D1F" w:rsidRDefault="00503D1F" w:rsidP="00503D1F">
      <w:pPr>
        <w:pStyle w:val="Quotation"/>
      </w:pPr>
      <w:r>
        <w:t xml:space="preserve">We link up with staff from other providers and learn how they do things. </w:t>
      </w:r>
      <w:r w:rsidR="00C23055">
        <w:t>B</w:t>
      </w:r>
      <w:r>
        <w:t>y training together</w:t>
      </w:r>
      <w:r w:rsidR="00C23055">
        <w:t>,</w:t>
      </w:r>
      <w:r>
        <w:t xml:space="preserve"> you understand their role and what they do, so it’s easier to pick up the phone.</w:t>
      </w:r>
    </w:p>
    <w:p w:rsidR="00503D1F" w:rsidRDefault="00503D1F" w:rsidP="00503D1F">
      <w:pPr>
        <w:pStyle w:val="Quotation"/>
      </w:pPr>
      <w:r>
        <w:t xml:space="preserve">We get to learn with other nurses within [the rural site]. We know we’ve had the same training as each other, and that helps to strengthen the </w:t>
      </w:r>
      <w:proofErr w:type="spellStart"/>
      <w:r>
        <w:t>colleagialism</w:t>
      </w:r>
      <w:proofErr w:type="spellEnd"/>
      <w:r>
        <w:t>.</w:t>
      </w:r>
    </w:p>
    <w:p w:rsidR="00503D1F" w:rsidRDefault="00503D1F" w:rsidP="00503D1F">
      <w:pPr>
        <w:pStyle w:val="Quotation"/>
      </w:pPr>
      <w:r w:rsidRPr="00251506">
        <w:t>The rest home staff and ambulance staff can drop in too. It’s good local networking.</w:t>
      </w:r>
    </w:p>
    <w:p w:rsidR="0063106E" w:rsidRDefault="002B6E19" w:rsidP="0063106E">
      <w:pPr>
        <w:pStyle w:val="Heading3"/>
      </w:pPr>
      <w:bookmarkStart w:id="154" w:name="_Toc423945954"/>
      <w:r>
        <w:t xml:space="preserve">The </w:t>
      </w:r>
      <w:r w:rsidR="0063106E">
        <w:t xml:space="preserve">telepresence experience </w:t>
      </w:r>
      <w:r>
        <w:t>is seen as high quality</w:t>
      </w:r>
      <w:bookmarkEnd w:id="154"/>
      <w:r>
        <w:t xml:space="preserve"> </w:t>
      </w:r>
    </w:p>
    <w:p w:rsidR="00DE42C8" w:rsidRDefault="00DE42C8" w:rsidP="0063106E">
      <w:r>
        <w:t xml:space="preserve">Several participants commented on the quality of the telepresence experience, </w:t>
      </w:r>
      <w:r w:rsidR="00E426BD">
        <w:t>as</w:t>
      </w:r>
      <w:r>
        <w:t xml:space="preserve"> provided by the “Viper” units installed by MSS Ltd at participating rural sites. In some cases, commercial network limitations mean that the </w:t>
      </w:r>
      <w:r w:rsidR="00E426BD">
        <w:t>“</w:t>
      </w:r>
      <w:r>
        <w:t>sat van</w:t>
      </w:r>
      <w:r w:rsidR="00E426BD">
        <w:t>”</w:t>
      </w:r>
      <w:r>
        <w:t xml:space="preserve"> </w:t>
      </w:r>
      <w:r w:rsidR="00E426BD">
        <w:t>is parked outside t</w:t>
      </w:r>
      <w:r>
        <w:t>o enable a satellite-based link.</w:t>
      </w:r>
      <w:r w:rsidR="002B6E19">
        <w:t xml:space="preserve"> </w:t>
      </w:r>
    </w:p>
    <w:p w:rsidR="0063106E" w:rsidRDefault="0063106E" w:rsidP="00DE42C8">
      <w:pPr>
        <w:pStyle w:val="Quotation"/>
      </w:pPr>
      <w:r>
        <w:t xml:space="preserve">It’s almost like being the room with them – they can see everything </w:t>
      </w:r>
      <w:r w:rsidR="00DE42C8">
        <w:t xml:space="preserve">and </w:t>
      </w:r>
      <w:r>
        <w:t>can ask questions</w:t>
      </w:r>
      <w:r w:rsidR="00DE42C8">
        <w:t>.</w:t>
      </w:r>
      <w:r>
        <w:t xml:space="preserve"> </w:t>
      </w:r>
    </w:p>
    <w:p w:rsidR="00BC15EA" w:rsidRDefault="00BC15EA" w:rsidP="00BC15EA">
      <w:pPr>
        <w:pStyle w:val="Quotation"/>
      </w:pPr>
      <w:r w:rsidRPr="00DE42C8">
        <w:t xml:space="preserve">The quality of the link means there’s no delay and the specialist </w:t>
      </w:r>
      <w:r>
        <w:t>can</w:t>
      </w:r>
      <w:r w:rsidRPr="00DE42C8">
        <w:t xml:space="preserve"> see everyone </w:t>
      </w:r>
      <w:r>
        <w:t>there</w:t>
      </w:r>
      <w:r w:rsidRPr="00DE42C8">
        <w:t>.</w:t>
      </w:r>
    </w:p>
    <w:p w:rsidR="0063106E" w:rsidRPr="00FB01F1" w:rsidRDefault="002B6E19" w:rsidP="00DE42C8">
      <w:pPr>
        <w:pStyle w:val="Quotation"/>
      </w:pPr>
      <w:r>
        <w:t>Y</w:t>
      </w:r>
      <w:r w:rsidR="0063106E" w:rsidRPr="00FB01F1">
        <w:t>ou need that quality</w:t>
      </w:r>
      <w:r w:rsidR="00C23055">
        <w:t>,</w:t>
      </w:r>
      <w:r w:rsidR="0063106E" w:rsidRPr="00FB01F1">
        <w:t xml:space="preserve"> otherwise people </w:t>
      </w:r>
      <w:r w:rsidR="0063106E">
        <w:t>t</w:t>
      </w:r>
      <w:r w:rsidR="0063106E" w:rsidRPr="00FB01F1">
        <w:t>u</w:t>
      </w:r>
      <w:r w:rsidR="0063106E">
        <w:t>r</w:t>
      </w:r>
      <w:r w:rsidR="0063106E" w:rsidRPr="00FB01F1">
        <w:t>n off</w:t>
      </w:r>
      <w:r w:rsidR="00DE42C8">
        <w:t xml:space="preserve">. </w:t>
      </w:r>
      <w:r>
        <w:t>W</w:t>
      </w:r>
      <w:r w:rsidR="0063106E" w:rsidRPr="00FB01F1">
        <w:t xml:space="preserve">ith </w:t>
      </w:r>
      <w:r>
        <w:t xml:space="preserve">the </w:t>
      </w:r>
      <w:r w:rsidR="0063106E" w:rsidRPr="00FB01F1">
        <w:t>Vip</w:t>
      </w:r>
      <w:r w:rsidR="0063106E">
        <w:t>er</w:t>
      </w:r>
      <w:r w:rsidR="00C23055">
        <w:t>,</w:t>
      </w:r>
      <w:r>
        <w:t xml:space="preserve"> you</w:t>
      </w:r>
      <w:r w:rsidR="0063106E" w:rsidRPr="00FB01F1">
        <w:t xml:space="preserve"> can see presentation</w:t>
      </w:r>
      <w:r>
        <w:t xml:space="preserve">s </w:t>
      </w:r>
      <w:r w:rsidR="0063106E" w:rsidRPr="00FB01F1">
        <w:t>and interact</w:t>
      </w:r>
      <w:r>
        <w:t xml:space="preserve">. It </w:t>
      </w:r>
      <w:r w:rsidR="0063106E" w:rsidRPr="00FB01F1">
        <w:t xml:space="preserve">has to make you feel you’re in the room and that’s what the </w:t>
      </w:r>
      <w:r w:rsidR="0063106E">
        <w:t>V</w:t>
      </w:r>
      <w:r w:rsidR="0063106E" w:rsidRPr="00FB01F1">
        <w:t>iper does</w:t>
      </w:r>
      <w:r w:rsidR="00DE42C8">
        <w:t>.</w:t>
      </w:r>
    </w:p>
    <w:p w:rsidR="001515D7" w:rsidRDefault="001515D7" w:rsidP="001515D7">
      <w:pPr>
        <w:pStyle w:val="Heading2"/>
      </w:pPr>
      <w:bookmarkStart w:id="155" w:name="_Toc423945955"/>
      <w:r>
        <w:t>Impacts and outcomes</w:t>
      </w:r>
      <w:r w:rsidR="00AF1B82">
        <w:t xml:space="preserve"> – a valued service</w:t>
      </w:r>
      <w:bookmarkEnd w:id="155"/>
    </w:p>
    <w:p w:rsidR="009A775C" w:rsidRDefault="00BC15EA" w:rsidP="009A775C">
      <w:pPr>
        <w:pStyle w:val="Heading3"/>
      </w:pPr>
      <w:bookmarkStart w:id="156" w:name="_Toc423945956"/>
      <w:r>
        <w:t>Evidence of some a</w:t>
      </w:r>
      <w:r w:rsidR="009A775C">
        <w:t>pplication of skills</w:t>
      </w:r>
      <w:bookmarkEnd w:id="156"/>
    </w:p>
    <w:p w:rsidR="002B6E19" w:rsidRDefault="002B6E19" w:rsidP="008F4FF9">
      <w:pPr>
        <w:pStyle w:val="UnnumtextBodytext"/>
      </w:pPr>
      <w:r>
        <w:t>We asked participants</w:t>
      </w:r>
      <w:r w:rsidR="009A775C">
        <w:t xml:space="preserve"> </w:t>
      </w:r>
      <w:r w:rsidR="007C098F">
        <w:t>of the telepresence sessions and sessions aboard the mobile surgical bus about whether their experiences and skills acquired were useful for their usual roles.</w:t>
      </w:r>
    </w:p>
    <w:p w:rsidR="00730558" w:rsidRDefault="007C098F" w:rsidP="007C098F">
      <w:pPr>
        <w:pStyle w:val="UnnumtextBodytext"/>
      </w:pPr>
      <w:r>
        <w:t xml:space="preserve">Several of the nurses commented that this was the case – typically those that work in wards or an emergency department, rather than those assisting with outpatient clinics. The </w:t>
      </w:r>
      <w:r w:rsidR="00730558">
        <w:t>perceived benefits of this training are covered in</w:t>
      </w:r>
      <w:r>
        <w:t xml:space="preserve"> Section</w:t>
      </w:r>
      <w:r w:rsidR="00730558">
        <w:t xml:space="preserve"> </w:t>
      </w:r>
      <w:r w:rsidR="00730558">
        <w:fldChar w:fldCharType="begin"/>
      </w:r>
      <w:r w:rsidR="00730558">
        <w:instrText xml:space="preserve"> REF _Ref381023703 \r \h </w:instrText>
      </w:r>
      <w:r w:rsidR="00730558">
        <w:fldChar w:fldCharType="separate"/>
      </w:r>
      <w:r w:rsidR="00CA314A">
        <w:t>4.1.7</w:t>
      </w:r>
      <w:r w:rsidR="00730558">
        <w:fldChar w:fldCharType="end"/>
      </w:r>
      <w:r>
        <w:t>, but largely</w:t>
      </w:r>
      <w:r w:rsidR="002B6E19">
        <w:t xml:space="preserve"> </w:t>
      </w:r>
      <w:r w:rsidR="00B74D53">
        <w:t xml:space="preserve">relate to airway management and </w:t>
      </w:r>
      <w:r>
        <w:t xml:space="preserve">resuscitation </w:t>
      </w:r>
      <w:r w:rsidR="00B74D53">
        <w:t>s</w:t>
      </w:r>
      <w:r>
        <w:t>kills.</w:t>
      </w:r>
      <w:r w:rsidR="00B74D53">
        <w:t xml:space="preserve"> A couple of nurses </w:t>
      </w:r>
      <w:r>
        <w:t xml:space="preserve">commented that the skills would be useful if they were to move to a role at a base hospital where surgery </w:t>
      </w:r>
      <w:r w:rsidR="00B74D53">
        <w:t>i</w:t>
      </w:r>
      <w:r>
        <w:t>s regularly performed.</w:t>
      </w:r>
    </w:p>
    <w:p w:rsidR="00B74D53" w:rsidRDefault="00FA5E93" w:rsidP="007C098F">
      <w:pPr>
        <w:pStyle w:val="UnnumtextBodytext"/>
      </w:pPr>
      <w:r>
        <w:t>In terms of S</w:t>
      </w:r>
      <w:r w:rsidR="00B74D53">
        <w:t>urg</w:t>
      </w:r>
      <w:r>
        <w:t xml:space="preserve">ical </w:t>
      </w:r>
      <w:r w:rsidR="00B74D53">
        <w:t xml:space="preserve">Skills for GPs, </w:t>
      </w:r>
      <w:r>
        <w:t xml:space="preserve">one general practitioner commented on </w:t>
      </w:r>
      <w:r w:rsidR="00B74D53">
        <w:t xml:space="preserve">that </w:t>
      </w:r>
      <w:r>
        <w:t xml:space="preserve">a training session aboard the bus had improved his skills as a GP with special interest in minor surgery. </w:t>
      </w:r>
    </w:p>
    <w:p w:rsidR="00FA5E93" w:rsidRDefault="003A13FF" w:rsidP="00FA5E93">
      <w:pPr>
        <w:pStyle w:val="Quotation"/>
      </w:pPr>
      <w:r w:rsidRPr="004C0568">
        <w:t>It was one of the best training opportunities I’ve had</w:t>
      </w:r>
      <w:r w:rsidR="00C23055">
        <w:t xml:space="preserve">… </w:t>
      </w:r>
      <w:r w:rsidRPr="004C0568">
        <w:t>Performing minor surgery alongside the surgical team</w:t>
      </w:r>
      <w:r w:rsidR="00C23055">
        <w:t>, t</w:t>
      </w:r>
      <w:r w:rsidRPr="004C0568">
        <w:t>here’s no</w:t>
      </w:r>
      <w:r w:rsidR="00730558">
        <w:t xml:space="preserve"> substitute for that learning.</w:t>
      </w:r>
      <w:r w:rsidR="00FA5E93">
        <w:t xml:space="preserve"> </w:t>
      </w:r>
      <w:r w:rsidRPr="004C0568">
        <w:t xml:space="preserve">Since </w:t>
      </w:r>
      <w:r w:rsidR="00C23055">
        <w:t xml:space="preserve">then, </w:t>
      </w:r>
      <w:r w:rsidRPr="004C0568">
        <w:t>I’m performing better</w:t>
      </w:r>
      <w:r w:rsidR="00FA5E93">
        <w:t xml:space="preserve"> and </w:t>
      </w:r>
      <w:r w:rsidRPr="004C0568">
        <w:t>I’m more confident</w:t>
      </w:r>
      <w:r w:rsidR="00C23055">
        <w:t>…</w:t>
      </w:r>
      <w:r w:rsidR="00FA5E93">
        <w:t xml:space="preserve"> for example, being bo</w:t>
      </w:r>
      <w:r w:rsidR="00FA5E93" w:rsidRPr="004C0568">
        <w:t>lder</w:t>
      </w:r>
      <w:r w:rsidRPr="004C0568">
        <w:t xml:space="preserve"> about the margins around lesions. </w:t>
      </w:r>
    </w:p>
    <w:p w:rsidR="00172FCC" w:rsidRDefault="00172FCC" w:rsidP="003A13FF">
      <w:pPr>
        <w:pStyle w:val="UnnumtextBodytext"/>
      </w:pPr>
      <w:r>
        <w:t xml:space="preserve">We also received feedback that members of the Rural General Practice Network tend to view the mobile surgical bus and the training opportunities aboard very positively. </w:t>
      </w:r>
      <w:r w:rsidR="00C23055">
        <w:t>A</w:t>
      </w:r>
      <w:r w:rsidR="003A13FF" w:rsidRPr="004C0568">
        <w:t xml:space="preserve">ccess to </w:t>
      </w:r>
      <w:r>
        <w:t xml:space="preserve">a </w:t>
      </w:r>
      <w:r w:rsidR="003A13FF" w:rsidRPr="004C0568">
        <w:t xml:space="preserve">day </w:t>
      </w:r>
      <w:r>
        <w:t xml:space="preserve">of </w:t>
      </w:r>
      <w:r w:rsidR="003A13FF" w:rsidRPr="004C0568">
        <w:t xml:space="preserve">surgery </w:t>
      </w:r>
      <w:r w:rsidR="00C23055">
        <w:t xml:space="preserve">allows the </w:t>
      </w:r>
      <w:r w:rsidR="003A13FF" w:rsidRPr="004C0568">
        <w:t xml:space="preserve">opportunity to spend </w:t>
      </w:r>
      <w:r w:rsidRPr="004C0568">
        <w:t xml:space="preserve">extended </w:t>
      </w:r>
      <w:r w:rsidR="003A13FF" w:rsidRPr="004C0568">
        <w:t>time with the specialist</w:t>
      </w:r>
      <w:r w:rsidR="00FA5E93">
        <w:t xml:space="preserve">. As </w:t>
      </w:r>
      <w:r>
        <w:t xml:space="preserve">one </w:t>
      </w:r>
      <w:r w:rsidR="00C23055">
        <w:t xml:space="preserve">general practitioner </w:t>
      </w:r>
      <w:r>
        <w:t>commented</w:t>
      </w:r>
      <w:r w:rsidR="00FA5E93">
        <w:t>, this can have dual benefits – not only the acquisition of practical skills, but the chance to seek advice about patient management</w:t>
      </w:r>
      <w:r>
        <w:t>.</w:t>
      </w:r>
    </w:p>
    <w:p w:rsidR="00FA5E93" w:rsidRDefault="00076001" w:rsidP="00FA5E93">
      <w:pPr>
        <w:pStyle w:val="Quotation"/>
      </w:pPr>
      <w:r>
        <w:lastRenderedPageBreak/>
        <w:t>C</w:t>
      </w:r>
      <w:r w:rsidRPr="008F4B21">
        <w:t xml:space="preserve">ertainly </w:t>
      </w:r>
      <w:r>
        <w:t xml:space="preserve">it </w:t>
      </w:r>
      <w:r w:rsidRPr="008F4B21">
        <w:t xml:space="preserve">enhances access to education for </w:t>
      </w:r>
      <w:r>
        <w:t>GP</w:t>
      </w:r>
      <w:r w:rsidRPr="008F4B21">
        <w:t>s</w:t>
      </w:r>
      <w:r>
        <w:t xml:space="preserve">. </w:t>
      </w:r>
      <w:r w:rsidR="00FA5E93">
        <w:t xml:space="preserve">There are the </w:t>
      </w:r>
      <w:r w:rsidR="00FA5E93" w:rsidRPr="004C0568">
        <w:t xml:space="preserve">practical skills </w:t>
      </w:r>
      <w:r w:rsidR="00FA5E93">
        <w:t xml:space="preserve">– the </w:t>
      </w:r>
      <w:r w:rsidR="00FA5E93" w:rsidRPr="004C0568">
        <w:t xml:space="preserve">intubation of patients is useful when comes to </w:t>
      </w:r>
      <w:r>
        <w:t xml:space="preserve">an </w:t>
      </w:r>
      <w:r w:rsidR="00FA5E93" w:rsidRPr="004C0568">
        <w:t>emergency situation</w:t>
      </w:r>
      <w:r>
        <w:t>…</w:t>
      </w:r>
    </w:p>
    <w:p w:rsidR="00FA5E93" w:rsidRDefault="00C23055" w:rsidP="00172FCC">
      <w:pPr>
        <w:pStyle w:val="Quotation"/>
      </w:pPr>
      <w:r>
        <w:t>W</w:t>
      </w:r>
      <w:r w:rsidR="003A13FF" w:rsidRPr="004C0568">
        <w:t xml:space="preserve">e’ll have cases they won’t accept </w:t>
      </w:r>
      <w:r>
        <w:t xml:space="preserve">for </w:t>
      </w:r>
      <w:r w:rsidR="003A13FF" w:rsidRPr="004C0568">
        <w:t>outpatient referral</w:t>
      </w:r>
      <w:r w:rsidR="00FA5E93">
        <w:t xml:space="preserve">… </w:t>
      </w:r>
      <w:r w:rsidR="003A13FF" w:rsidRPr="004C0568">
        <w:t>but standing alongside a specialist you can explore that case</w:t>
      </w:r>
      <w:r>
        <w:t xml:space="preserve"> and </w:t>
      </w:r>
      <w:r w:rsidR="003A13FF" w:rsidRPr="004C0568">
        <w:t xml:space="preserve">improve your ability to manage </w:t>
      </w:r>
      <w:r>
        <w:t xml:space="preserve">it </w:t>
      </w:r>
      <w:r w:rsidR="003A13FF" w:rsidRPr="004C0568">
        <w:t>in the community</w:t>
      </w:r>
      <w:r w:rsidR="00FA5E93">
        <w:t>.</w:t>
      </w:r>
    </w:p>
    <w:p w:rsidR="00635DB6" w:rsidRDefault="00B74D53" w:rsidP="00B74D53">
      <w:pPr>
        <w:pStyle w:val="UnnumtextBodytext"/>
      </w:pPr>
      <w:r>
        <w:t xml:space="preserve">In terms of </w:t>
      </w:r>
      <w:r w:rsidR="00635DB6">
        <w:t>Advanced Clinical Practice Skills</w:t>
      </w:r>
      <w:r>
        <w:t xml:space="preserve">, we </w:t>
      </w:r>
      <w:r w:rsidR="00C23055">
        <w:t xml:space="preserve">heard from one senior medical officer, about the value of being able to train alongside the </w:t>
      </w:r>
      <w:proofErr w:type="spellStart"/>
      <w:r w:rsidR="00880D0C">
        <w:t>a</w:t>
      </w:r>
      <w:r w:rsidR="00880D0C" w:rsidRPr="00880D0C">
        <w:t>naesthetists</w:t>
      </w:r>
      <w:proofErr w:type="spellEnd"/>
      <w:r w:rsidR="00C23055">
        <w:t xml:space="preserve"> on the mobile surgical bus.</w:t>
      </w:r>
      <w:r>
        <w:t xml:space="preserve"> </w:t>
      </w:r>
      <w:r w:rsidR="00635DB6">
        <w:t xml:space="preserve"> </w:t>
      </w:r>
      <w:r w:rsidR="00C23055">
        <w:t>This is included as a case study – see the text box overleaf.</w:t>
      </w:r>
    </w:p>
    <w:p w:rsidR="0063106E" w:rsidRDefault="00E865BF" w:rsidP="009A775C">
      <w:pPr>
        <w:pStyle w:val="Heading3"/>
      </w:pPr>
      <w:bookmarkStart w:id="157" w:name="_Toc423945957"/>
      <w:r>
        <w:t xml:space="preserve">Limited findings on </w:t>
      </w:r>
      <w:r w:rsidR="00FA5E93">
        <w:t xml:space="preserve">recruitment and </w:t>
      </w:r>
      <w:r w:rsidR="009A775C">
        <w:t>retention</w:t>
      </w:r>
      <w:bookmarkEnd w:id="157"/>
      <w:r>
        <w:t xml:space="preserve"> </w:t>
      </w:r>
    </w:p>
    <w:p w:rsidR="00BC15EA" w:rsidRDefault="001E5DF5" w:rsidP="009A775C">
      <w:pPr>
        <w:spacing w:after="0" w:line="240" w:lineRule="auto"/>
      </w:pPr>
      <w:r>
        <w:t xml:space="preserve">We did not find managers arguing that the training </w:t>
      </w:r>
      <w:r w:rsidR="00D24B8D">
        <w:t xml:space="preserve">sessions </w:t>
      </w:r>
      <w:r>
        <w:t xml:space="preserve">or </w:t>
      </w:r>
      <w:r w:rsidR="00D24B8D">
        <w:t>opportunities to work on the bus are</w:t>
      </w:r>
      <w:r>
        <w:t xml:space="preserve"> </w:t>
      </w:r>
      <w:r w:rsidR="009A775C">
        <w:t>material factor</w:t>
      </w:r>
      <w:r w:rsidR="00D24B8D">
        <w:t>s</w:t>
      </w:r>
      <w:r w:rsidR="009A775C">
        <w:t xml:space="preserve"> in </w:t>
      </w:r>
      <w:r>
        <w:t xml:space="preserve">their nursing </w:t>
      </w:r>
      <w:r w:rsidR="009A775C">
        <w:t>workforce recruitment or retention</w:t>
      </w:r>
      <w:r>
        <w:t xml:space="preserve">. A couple of managers commented that the nursing roles </w:t>
      </w:r>
      <w:r w:rsidR="00DF5C3F">
        <w:t xml:space="preserve">in their rural hospitals </w:t>
      </w:r>
      <w:r>
        <w:t xml:space="preserve">tend to be </w:t>
      </w:r>
      <w:r w:rsidR="00D24B8D">
        <w:t>settled</w:t>
      </w:r>
      <w:r>
        <w:t xml:space="preserve"> and </w:t>
      </w:r>
      <w:r w:rsidR="009A775C">
        <w:t>typically sought-after</w:t>
      </w:r>
      <w:r>
        <w:t xml:space="preserve"> </w:t>
      </w:r>
      <w:r w:rsidR="009A775C" w:rsidRPr="001E5DF5">
        <w:rPr>
          <w:i/>
        </w:rPr>
        <w:t>“generally they’re coming to our door”</w:t>
      </w:r>
      <w:r w:rsidR="009A775C">
        <w:t>.</w:t>
      </w:r>
    </w:p>
    <w:p w:rsidR="00B74D53" w:rsidRDefault="00B74D53" w:rsidP="009A775C">
      <w:pPr>
        <w:spacing w:after="0" w:line="240" w:lineRule="auto"/>
      </w:pPr>
    </w:p>
    <w:p w:rsidR="001E5DF5" w:rsidRDefault="001E5DF5" w:rsidP="00DA5ACF">
      <w:pPr>
        <w:pStyle w:val="UnnumtextBodytext"/>
      </w:pPr>
      <w:r>
        <w:t xml:space="preserve">Two </w:t>
      </w:r>
      <w:proofErr w:type="spellStart"/>
      <w:r w:rsidR="00DA5ACF">
        <w:t>organisations</w:t>
      </w:r>
      <w:proofErr w:type="spellEnd"/>
      <w:r w:rsidR="00DA5ACF">
        <w:t xml:space="preserve"> </w:t>
      </w:r>
      <w:r w:rsidR="00DF5C3F">
        <w:t>did comment that they valued being able to offer training aboard the bus to their general practitioners</w:t>
      </w:r>
      <w:r w:rsidR="00E426BD">
        <w:t>. In one case, it may have helped with the recruitment of doctors to work in a rural hospital setting.</w:t>
      </w:r>
      <w:r>
        <w:t xml:space="preserve"> </w:t>
      </w:r>
    </w:p>
    <w:p w:rsidR="00B74D53" w:rsidRDefault="00B74D53" w:rsidP="00B74D53">
      <w:pPr>
        <w:pStyle w:val="Quotation"/>
      </w:pPr>
      <w:r>
        <w:t xml:space="preserve">We’ve offered some roles for </w:t>
      </w:r>
      <w:r w:rsidR="00DF5C3F">
        <w:t xml:space="preserve">our </w:t>
      </w:r>
      <w:r>
        <w:t xml:space="preserve">GPs to observe on </w:t>
      </w:r>
      <w:r w:rsidR="00DF5C3F">
        <w:t xml:space="preserve">the </w:t>
      </w:r>
      <w:r>
        <w:t xml:space="preserve">bus twice, and also our visiting medical students. We can offer </w:t>
      </w:r>
      <w:r w:rsidR="00DF5C3F">
        <w:t xml:space="preserve">them </w:t>
      </w:r>
      <w:r>
        <w:t xml:space="preserve">that – </w:t>
      </w:r>
      <w:r w:rsidR="00DF5C3F">
        <w:t xml:space="preserve">the chance </w:t>
      </w:r>
      <w:r>
        <w:t xml:space="preserve">to work with an </w:t>
      </w:r>
      <w:proofErr w:type="spellStart"/>
      <w:r>
        <w:t>anae</w:t>
      </w:r>
      <w:r w:rsidR="00880D0C">
        <w:t>s</w:t>
      </w:r>
      <w:r>
        <w:t>thetist</w:t>
      </w:r>
      <w:proofErr w:type="spellEnd"/>
      <w:r w:rsidR="00DF5C3F">
        <w:t>.</w:t>
      </w:r>
    </w:p>
    <w:p w:rsidR="00B74D53" w:rsidRPr="0018740E" w:rsidRDefault="00B74D53" w:rsidP="00DA5ACF">
      <w:pPr>
        <w:pStyle w:val="Quotation"/>
      </w:pPr>
      <w:r w:rsidRPr="0018740E">
        <w:t xml:space="preserve">The bus </w:t>
      </w:r>
      <w:r w:rsidR="00DA5ACF">
        <w:t xml:space="preserve">has </w:t>
      </w:r>
      <w:r w:rsidRPr="0018740E">
        <w:t xml:space="preserve">helped us </w:t>
      </w:r>
      <w:r w:rsidR="00E865BF">
        <w:t xml:space="preserve">manage </w:t>
      </w:r>
      <w:r w:rsidRPr="0018740E">
        <w:t xml:space="preserve">with </w:t>
      </w:r>
      <w:r w:rsidR="00DF5C3F">
        <w:t xml:space="preserve">the recruitment of doctors. We can offer </w:t>
      </w:r>
      <w:r w:rsidRPr="0018740E">
        <w:t xml:space="preserve">a GP </w:t>
      </w:r>
      <w:r w:rsidR="00DF5C3F">
        <w:t xml:space="preserve">who may work in </w:t>
      </w:r>
      <w:r w:rsidRPr="0018740E">
        <w:t>the rural hospital</w:t>
      </w:r>
      <w:r w:rsidR="00DF5C3F">
        <w:t>, a chance to work on</w:t>
      </w:r>
      <w:r w:rsidRPr="0018740E">
        <w:t xml:space="preserve"> the bus</w:t>
      </w:r>
      <w:r w:rsidR="00DF5C3F">
        <w:t>, where they hav</w:t>
      </w:r>
      <w:r w:rsidRPr="0018740E">
        <w:t>e the support</w:t>
      </w:r>
      <w:r w:rsidR="00E865BF">
        <w:t>…</w:t>
      </w:r>
      <w:r>
        <w:t xml:space="preserve"> </w:t>
      </w:r>
    </w:p>
    <w:p w:rsidR="00BC15EA" w:rsidRDefault="00BC15EA" w:rsidP="00BC15EA">
      <w:pPr>
        <w:pStyle w:val="Heading2"/>
      </w:pPr>
      <w:bookmarkStart w:id="158" w:name="_Toc423945958"/>
      <w:r>
        <w:t>Economic considerations</w:t>
      </w:r>
      <w:r w:rsidR="0022135D">
        <w:t xml:space="preserve"> of training</w:t>
      </w:r>
      <w:bookmarkEnd w:id="158"/>
    </w:p>
    <w:p w:rsidR="00495E2A" w:rsidRPr="00595298" w:rsidRDefault="00495E2A" w:rsidP="00495E2A">
      <w:pPr>
        <w:tabs>
          <w:tab w:val="left" w:pos="6379"/>
        </w:tabs>
      </w:pPr>
      <w:r>
        <w:t xml:space="preserve">The rural sites </w:t>
      </w:r>
      <w:r w:rsidR="00F851E6">
        <w:t xml:space="preserve">appear to </w:t>
      </w:r>
      <w:r>
        <w:t>value the service</w:t>
      </w:r>
      <w:r w:rsidR="00F851E6">
        <w:t xml:space="preserve"> and particularly the fact that they can access the training at no </w:t>
      </w:r>
      <w:r w:rsidR="007D0EA6">
        <w:t xml:space="preserve">direct financial </w:t>
      </w:r>
      <w:r w:rsidR="00F851E6">
        <w:t xml:space="preserve">cost. </w:t>
      </w:r>
      <w:r w:rsidR="00BC15EA">
        <w:t>We asked rural site managers and participants of the Continuing Professional Development sessions about how they would manage</w:t>
      </w:r>
      <w:r w:rsidR="00F851E6">
        <w:t xml:space="preserve"> in the absence of the service. The common response was that </w:t>
      </w:r>
      <w:r w:rsidR="001E5DF5">
        <w:t xml:space="preserve">they would have to fund staff to travel to obtain training </w:t>
      </w:r>
      <w:r w:rsidR="007D0EA6">
        <w:t xml:space="preserve">to meet Continuing Medical Education obligations </w:t>
      </w:r>
      <w:r w:rsidR="001E5DF5">
        <w:t>and that would come with costs that would stretch training budgets. Some training may become uneconomic to secure and would not otherwise happen.</w:t>
      </w:r>
      <w:r w:rsidRPr="00495E2A">
        <w:t xml:space="preserve"> </w:t>
      </w:r>
      <w:r w:rsidR="00E865BF">
        <w:t>A manager at one</w:t>
      </w:r>
      <w:r>
        <w:t xml:space="preserve"> rural hospital stated that they </w:t>
      </w:r>
      <w:r w:rsidRPr="00595298">
        <w:t xml:space="preserve">would consider paying for the education </w:t>
      </w:r>
      <w:r w:rsidR="00E865BF">
        <w:t>session</w:t>
      </w:r>
      <w:r w:rsidRPr="00595298">
        <w:t>s</w:t>
      </w:r>
      <w:r w:rsidR="00E865BF">
        <w:t>,</w:t>
      </w:r>
      <w:r w:rsidRPr="00595298">
        <w:t xml:space="preserve"> as</w:t>
      </w:r>
      <w:r w:rsidR="00E865BF">
        <w:t xml:space="preserve"> the</w:t>
      </w:r>
      <w:r w:rsidRPr="00595298">
        <w:t xml:space="preserve"> </w:t>
      </w:r>
      <w:r w:rsidR="00E865BF">
        <w:t xml:space="preserve">staff sees </w:t>
      </w:r>
      <w:r w:rsidRPr="00595298">
        <w:t>the</w:t>
      </w:r>
      <w:r w:rsidR="00E865BF">
        <w:t xml:space="preserve">m as being </w:t>
      </w:r>
      <w:r w:rsidRPr="00595298">
        <w:t xml:space="preserve">so valuable. </w:t>
      </w:r>
    </w:p>
    <w:p w:rsidR="00BC15EA" w:rsidRDefault="00BC15EA" w:rsidP="00BC15EA">
      <w:pPr>
        <w:pStyle w:val="Quotation"/>
      </w:pPr>
      <w:r w:rsidRPr="00FB01F1">
        <w:t>It</w:t>
      </w:r>
      <w:r>
        <w:t>’</w:t>
      </w:r>
      <w:r w:rsidRPr="00FB01F1">
        <w:t xml:space="preserve">d be more costly for </w:t>
      </w:r>
      <w:r>
        <w:t xml:space="preserve">the </w:t>
      </w:r>
      <w:proofErr w:type="spellStart"/>
      <w:r w:rsidRPr="00FB01F1">
        <w:t>org</w:t>
      </w:r>
      <w:r>
        <w:t>anisation</w:t>
      </w:r>
      <w:proofErr w:type="spellEnd"/>
      <w:r>
        <w:t>. We’</w:t>
      </w:r>
      <w:r w:rsidRPr="00FB01F1">
        <w:t xml:space="preserve">d support </w:t>
      </w:r>
      <w:r>
        <w:t xml:space="preserve">some </w:t>
      </w:r>
      <w:r w:rsidRPr="00FB01F1">
        <w:t xml:space="preserve">people to </w:t>
      </w:r>
      <w:r>
        <w:t xml:space="preserve">travel </w:t>
      </w:r>
      <w:r w:rsidRPr="00FB01F1">
        <w:t xml:space="preserve">outside </w:t>
      </w:r>
      <w:r>
        <w:t xml:space="preserve">the </w:t>
      </w:r>
      <w:r w:rsidRPr="00FB01F1">
        <w:t>region</w:t>
      </w:r>
      <w:r>
        <w:t xml:space="preserve">, but you </w:t>
      </w:r>
      <w:r w:rsidRPr="00FB01F1">
        <w:t xml:space="preserve">don’t always need </w:t>
      </w:r>
      <w:r>
        <w:t>the</w:t>
      </w:r>
      <w:r w:rsidRPr="00FB01F1">
        <w:t xml:space="preserve"> </w:t>
      </w:r>
      <w:r>
        <w:t>w</w:t>
      </w:r>
      <w:r w:rsidRPr="00FB01F1">
        <w:t>hole day</w:t>
      </w:r>
      <w:r>
        <w:t>.</w:t>
      </w:r>
      <w:r w:rsidRPr="00FB01F1">
        <w:t xml:space="preserve"> </w:t>
      </w:r>
      <w:r>
        <w:t xml:space="preserve">So </w:t>
      </w:r>
      <w:r w:rsidRPr="00FB01F1">
        <w:t xml:space="preserve">I’d have to pay </w:t>
      </w:r>
      <w:r>
        <w:t xml:space="preserve">for </w:t>
      </w:r>
      <w:r w:rsidRPr="00FB01F1">
        <w:t xml:space="preserve">them </w:t>
      </w:r>
      <w:r>
        <w:t xml:space="preserve">to drive there for a part day and that’s getting </w:t>
      </w:r>
      <w:r w:rsidRPr="00FB01F1">
        <w:t>costly</w:t>
      </w:r>
      <w:r>
        <w:t>.</w:t>
      </w:r>
    </w:p>
    <w:p w:rsidR="00BC15EA" w:rsidRDefault="00BC15EA" w:rsidP="00BC15EA">
      <w:pPr>
        <w:pStyle w:val="Quotation"/>
      </w:pPr>
      <w:r w:rsidRPr="00045B59">
        <w:t xml:space="preserve">There are </w:t>
      </w:r>
      <w:r>
        <w:t xml:space="preserve">other </w:t>
      </w:r>
      <w:r w:rsidRPr="00045B59">
        <w:t>online services</w:t>
      </w:r>
      <w:r>
        <w:t xml:space="preserve">, but they’re </w:t>
      </w:r>
      <w:r w:rsidRPr="00045B59">
        <w:t xml:space="preserve">not </w:t>
      </w:r>
      <w:r>
        <w:t xml:space="preserve">as </w:t>
      </w:r>
      <w:r w:rsidRPr="00045B59">
        <w:t>interactive or as regular</w:t>
      </w:r>
      <w:r>
        <w:t xml:space="preserve">… We can do courses in [a main </w:t>
      </w:r>
      <w:proofErr w:type="spellStart"/>
      <w:r>
        <w:t>centre</w:t>
      </w:r>
      <w:proofErr w:type="spellEnd"/>
      <w:r>
        <w:t xml:space="preserve">] or bring someone in, but that’s an </w:t>
      </w:r>
      <w:r w:rsidRPr="00045B59">
        <w:t>added expense for us</w:t>
      </w:r>
      <w:r>
        <w:t>.</w:t>
      </w:r>
    </w:p>
    <w:p w:rsidR="00BC15EA" w:rsidRDefault="00BC15EA" w:rsidP="00BC15EA">
      <w:pPr>
        <w:pStyle w:val="UnnumtextBodytext"/>
      </w:pPr>
      <w:r>
        <w:t xml:space="preserve">In term of Surgical Skill training for GPs, </w:t>
      </w:r>
      <w:r w:rsidR="001E5DF5">
        <w:t xml:space="preserve">it appears that coordination function handled by MSS Ltd is more efficient that </w:t>
      </w:r>
      <w:r>
        <w:t>one general practitioner commented that the service made the coordination of the training opportunity so much easier.</w:t>
      </w:r>
    </w:p>
    <w:p w:rsidR="00FC7ADA" w:rsidRDefault="00BC15EA" w:rsidP="00F851E6">
      <w:pPr>
        <w:pStyle w:val="Quotation"/>
      </w:pPr>
      <w:r w:rsidRPr="004C0568">
        <w:t>That sort of education wouldn’t happen otherwise</w:t>
      </w:r>
      <w:r>
        <w:t>. Y</w:t>
      </w:r>
      <w:r w:rsidRPr="004C0568">
        <w:t>ou</w:t>
      </w:r>
      <w:r>
        <w:t>’</w:t>
      </w:r>
      <w:r w:rsidRPr="004C0568">
        <w:t>d need to take a day out of your practice and travel to a base hospital and you would’ve had to have chased up</w:t>
      </w:r>
      <w:r>
        <w:t xml:space="preserve"> and persuaded a specialist,</w:t>
      </w:r>
      <w:r w:rsidRPr="004C0568">
        <w:t xml:space="preserve"> say</w:t>
      </w:r>
      <w:r>
        <w:t>ing</w:t>
      </w:r>
      <w:r w:rsidRPr="004C0568">
        <w:t xml:space="preserve"> </w:t>
      </w:r>
      <w:r>
        <w:t>“</w:t>
      </w:r>
      <w:r w:rsidRPr="004C0568">
        <w:t>I want to come and observe and to be observed</w:t>
      </w:r>
      <w:r>
        <w:t xml:space="preserve">”. So </w:t>
      </w:r>
      <w:r w:rsidRPr="004C0568">
        <w:t xml:space="preserve">you’d have to </w:t>
      </w:r>
      <w:proofErr w:type="spellStart"/>
      <w:r w:rsidRPr="004C0568">
        <w:t>organise</w:t>
      </w:r>
      <w:proofErr w:type="spellEnd"/>
      <w:r w:rsidRPr="004C0568">
        <w:t xml:space="preserve"> it yourself</w:t>
      </w:r>
      <w:r>
        <w:t>. I</w:t>
      </w:r>
      <w:r w:rsidRPr="004C0568">
        <w:t>t wouldn’t have happened otherwise</w:t>
      </w:r>
      <w:r>
        <w:t>.</w:t>
      </w:r>
      <w:r w:rsidR="00FC7ADA">
        <w:br w:type="page"/>
      </w:r>
    </w:p>
    <w:tbl>
      <w:tblPr>
        <w:tblStyle w:val="TableSaper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1D3D4"/>
        <w:tblLook w:val="0480" w:firstRow="0" w:lastRow="0" w:firstColumn="1" w:lastColumn="0" w:noHBand="0" w:noVBand="1"/>
      </w:tblPr>
      <w:tblGrid>
        <w:gridCol w:w="8153"/>
      </w:tblGrid>
      <w:tr w:rsidR="00FC7ADA" w:rsidTr="00473AED">
        <w:tc>
          <w:tcPr>
            <w:tcW w:w="8153" w:type="dxa"/>
            <w:shd w:val="clear" w:color="auto" w:fill="D1D3D4"/>
          </w:tcPr>
          <w:p w:rsidR="00FC7ADA" w:rsidRPr="00A53C56" w:rsidRDefault="00FC7ADA" w:rsidP="00FC7ADA">
            <w:pPr>
              <w:pStyle w:val="UnnumtextBodytext"/>
              <w:jc w:val="center"/>
              <w:rPr>
                <w:b/>
                <w:sz w:val="28"/>
                <w:szCs w:val="28"/>
              </w:rPr>
            </w:pPr>
            <w:r w:rsidRPr="00A53C56">
              <w:rPr>
                <w:b/>
                <w:sz w:val="28"/>
                <w:szCs w:val="28"/>
              </w:rPr>
              <w:lastRenderedPageBreak/>
              <w:t>Case study</w:t>
            </w:r>
            <w:r w:rsidR="00D22221" w:rsidRPr="00A53C56">
              <w:rPr>
                <w:b/>
                <w:sz w:val="28"/>
                <w:szCs w:val="28"/>
              </w:rPr>
              <w:t xml:space="preserve">: An application of intubation training </w:t>
            </w:r>
          </w:p>
          <w:p w:rsidR="00BA0A02" w:rsidRPr="00BA0A02" w:rsidRDefault="00BA0A02" w:rsidP="00FC7ADA">
            <w:pPr>
              <w:spacing w:after="120"/>
            </w:pPr>
            <w:r w:rsidRPr="00BA0A02">
              <w:t xml:space="preserve">A senior </w:t>
            </w:r>
            <w:r>
              <w:t xml:space="preserve">medical officer who works at rural hospitals, and who regularly trains aboard the mobile surgical bus, recounted an occasion where those skills were used in an emergency. </w:t>
            </w:r>
          </w:p>
          <w:p w:rsidR="00FC7ADA" w:rsidRPr="00706FB9" w:rsidRDefault="00FC7ADA" w:rsidP="00FC7ADA">
            <w:pPr>
              <w:spacing w:after="120"/>
              <w:rPr>
                <w:b/>
              </w:rPr>
            </w:pPr>
            <w:r w:rsidRPr="00706FB9">
              <w:rPr>
                <w:b/>
              </w:rPr>
              <w:t>The situation</w:t>
            </w:r>
          </w:p>
          <w:p w:rsidR="00FC7ADA" w:rsidRDefault="00FC7ADA" w:rsidP="00FC7ADA">
            <w:r>
              <w:t xml:space="preserve">A patient presented </w:t>
            </w:r>
            <w:r w:rsidR="00BA0A02">
              <w:t>to the</w:t>
            </w:r>
            <w:r w:rsidR="00D22221">
              <w:t xml:space="preserve"> senior medical officer </w:t>
            </w:r>
            <w:r>
              <w:t>at the emergency department of [a rural hospital] on a Sunday evening. The patient was not feeling well</w:t>
            </w:r>
            <w:r w:rsidR="00D22221">
              <w:t>,</w:t>
            </w:r>
            <w:r>
              <w:t xml:space="preserve"> having recently had </w:t>
            </w:r>
            <w:r w:rsidRPr="00FB01F1">
              <w:t>laser treatment o</w:t>
            </w:r>
            <w:r>
              <w:t>n</w:t>
            </w:r>
            <w:r w:rsidRPr="00FB01F1">
              <w:t xml:space="preserve"> </w:t>
            </w:r>
            <w:r>
              <w:t xml:space="preserve">the </w:t>
            </w:r>
            <w:r w:rsidRPr="00FB01F1">
              <w:t>v</w:t>
            </w:r>
            <w:r>
              <w:t>o</w:t>
            </w:r>
            <w:r w:rsidRPr="00FB01F1">
              <w:t>cal cords</w:t>
            </w:r>
            <w:r>
              <w:t>.</w:t>
            </w:r>
          </w:p>
          <w:p w:rsidR="00FC7ADA" w:rsidRPr="00F32C5F" w:rsidRDefault="00FC7ADA" w:rsidP="00FC7ADA">
            <w:pPr>
              <w:pStyle w:val="Quotation"/>
              <w:rPr>
                <w:sz w:val="22"/>
                <w:szCs w:val="22"/>
              </w:rPr>
            </w:pPr>
            <w:r w:rsidRPr="00FC7ADA">
              <w:t>I could hear that the patie</w:t>
            </w:r>
            <w:r>
              <w:t xml:space="preserve">nt had developed noisy breathing. </w:t>
            </w:r>
            <w:r w:rsidRPr="00F32C5F">
              <w:t>The situation quickly deteriorated to the point where the patient could not breathe because of a swelling in the vocal cords following surgery and was lapsing into unconsciousness</w:t>
            </w:r>
            <w:r w:rsidRPr="00F32C5F">
              <w:rPr>
                <w:sz w:val="22"/>
                <w:szCs w:val="22"/>
              </w:rPr>
              <w:t xml:space="preserve">.  </w:t>
            </w:r>
          </w:p>
          <w:p w:rsidR="00FC7ADA" w:rsidRPr="00706FB9" w:rsidRDefault="00FC7ADA" w:rsidP="00FC7ADA">
            <w:pPr>
              <w:rPr>
                <w:b/>
              </w:rPr>
            </w:pPr>
            <w:r w:rsidRPr="00706FB9">
              <w:rPr>
                <w:b/>
              </w:rPr>
              <w:t>The medical intervention</w:t>
            </w:r>
          </w:p>
          <w:p w:rsidR="00FC7ADA" w:rsidRDefault="00FC7ADA" w:rsidP="00FC7ADA">
            <w:r>
              <w:t>It was apparent that the patient required an immediate intubation – insertion of an</w:t>
            </w:r>
            <w:r w:rsidRPr="00FB01F1">
              <w:t xml:space="preserve"> endo</w:t>
            </w:r>
            <w:r>
              <w:t xml:space="preserve">tracheal tube to open the airway and enable ventilation. This invasive procedure typically requires </w:t>
            </w:r>
            <w:proofErr w:type="spellStart"/>
            <w:r>
              <w:t>anaesthesia</w:t>
            </w:r>
            <w:proofErr w:type="spellEnd"/>
            <w:r>
              <w:t xml:space="preserve">.  </w:t>
            </w:r>
            <w:r w:rsidRPr="00FB01F1">
              <w:t xml:space="preserve"> </w:t>
            </w:r>
          </w:p>
          <w:p w:rsidR="00FC7ADA" w:rsidRPr="00F32C5F" w:rsidRDefault="00FC7ADA" w:rsidP="00FC7ADA">
            <w:pPr>
              <w:pStyle w:val="Quotation"/>
            </w:pPr>
            <w:r w:rsidRPr="00F32C5F">
              <w:t xml:space="preserve">Before intubation, I had to take steps to sedate the patient using </w:t>
            </w:r>
            <w:proofErr w:type="spellStart"/>
            <w:r w:rsidRPr="00F32C5F">
              <w:t>propofol</w:t>
            </w:r>
            <w:proofErr w:type="spellEnd"/>
            <w:r w:rsidRPr="00F32C5F">
              <w:t xml:space="preserve"> and then administer medications to </w:t>
            </w:r>
            <w:proofErr w:type="spellStart"/>
            <w:r w:rsidRPr="00F32C5F">
              <w:t>paralyse</w:t>
            </w:r>
            <w:proofErr w:type="spellEnd"/>
            <w:r w:rsidRPr="00F32C5F">
              <w:t xml:space="preserve"> the patient so as to reduce any risk of vomiting. I then inserted t</w:t>
            </w:r>
            <w:r w:rsidR="00CC327C">
              <w:t xml:space="preserve">he endotracheal tube to enable </w:t>
            </w:r>
            <w:r w:rsidRPr="00F32C5F">
              <w:t xml:space="preserve">ventilation. </w:t>
            </w:r>
          </w:p>
          <w:p w:rsidR="00FC7ADA" w:rsidRPr="00706FB9" w:rsidRDefault="00FC7ADA" w:rsidP="00FC7ADA">
            <w:pPr>
              <w:rPr>
                <w:b/>
              </w:rPr>
            </w:pPr>
            <w:r w:rsidRPr="00706FB9">
              <w:rPr>
                <w:b/>
              </w:rPr>
              <w:t>The outcome</w:t>
            </w:r>
          </w:p>
          <w:p w:rsidR="00FC7ADA" w:rsidRPr="00FB01F1" w:rsidRDefault="00FC7ADA" w:rsidP="00FC7ADA">
            <w:r w:rsidRPr="00FB01F1">
              <w:t xml:space="preserve">By the time </w:t>
            </w:r>
            <w:r>
              <w:t>the patient was transferred</w:t>
            </w:r>
            <w:r w:rsidR="00BA0A02">
              <w:t xml:space="preserve"> to [a base hospital]</w:t>
            </w:r>
            <w:r>
              <w:t xml:space="preserve">, the </w:t>
            </w:r>
            <w:r w:rsidRPr="00FB01F1">
              <w:t>oxygen level</w:t>
            </w:r>
            <w:r>
              <w:t>s</w:t>
            </w:r>
            <w:r w:rsidRPr="00FB01F1">
              <w:t xml:space="preserve"> in </w:t>
            </w:r>
            <w:r>
              <w:t xml:space="preserve">the </w:t>
            </w:r>
            <w:r w:rsidRPr="00FB01F1">
              <w:t xml:space="preserve">blood </w:t>
            </w:r>
            <w:r>
              <w:t>were normal and the patient was being ventilated. The patient remained in the intensive care unit for a couple of days</w:t>
            </w:r>
            <w:r w:rsidR="00BA0A02">
              <w:t xml:space="preserve"> before </w:t>
            </w:r>
            <w:r>
              <w:t>ma</w:t>
            </w:r>
            <w:r w:rsidR="00BA0A02">
              <w:t>king</w:t>
            </w:r>
            <w:r>
              <w:t xml:space="preserve"> a </w:t>
            </w:r>
            <w:r w:rsidRPr="00FB01F1">
              <w:t>complete</w:t>
            </w:r>
            <w:r>
              <w:t xml:space="preserve"> recovery.</w:t>
            </w:r>
          </w:p>
          <w:p w:rsidR="00FC7ADA" w:rsidRPr="00F32C5F" w:rsidRDefault="00FC7ADA" w:rsidP="00FC7ADA">
            <w:pPr>
              <w:pStyle w:val="Quotation"/>
            </w:pPr>
            <w:r w:rsidRPr="00F32C5F">
              <w:t>An ambulance came to fetch the patient</w:t>
            </w:r>
            <w:r w:rsidR="009531BB">
              <w:t xml:space="preserve"> </w:t>
            </w:r>
            <w:r w:rsidR="009531BB" w:rsidRPr="009531BB">
              <w:t>(</w:t>
            </w:r>
            <w:r w:rsidR="009531BB">
              <w:t xml:space="preserve">as </w:t>
            </w:r>
            <w:r w:rsidR="009531BB" w:rsidRPr="009531BB">
              <w:t>the rescue helicopter was unable to fly that evening due to weather conditions)</w:t>
            </w:r>
            <w:r w:rsidRPr="00F32C5F">
              <w:t xml:space="preserve">, but this took over hour and a half and the patient wouldn’t have survived without that procedure. </w:t>
            </w:r>
          </w:p>
          <w:p w:rsidR="00FC7ADA" w:rsidRPr="00706FB9" w:rsidRDefault="00BA0A02" w:rsidP="00FC7ADA">
            <w:pPr>
              <w:rPr>
                <w:b/>
              </w:rPr>
            </w:pPr>
            <w:r>
              <w:rPr>
                <w:b/>
              </w:rPr>
              <w:t xml:space="preserve">The impact of the </w:t>
            </w:r>
            <w:r w:rsidR="00FC7ADA" w:rsidRPr="00706FB9">
              <w:rPr>
                <w:b/>
              </w:rPr>
              <w:t>training</w:t>
            </w:r>
          </w:p>
          <w:p w:rsidR="00D22221" w:rsidRDefault="00D22221" w:rsidP="00FC7ADA">
            <w:r>
              <w:t>The senior medical officer v</w:t>
            </w:r>
            <w:r w:rsidRPr="00FB01F1">
              <w:t>alue</w:t>
            </w:r>
            <w:r w:rsidR="00BA0A02">
              <w:t>d</w:t>
            </w:r>
            <w:r w:rsidRPr="00FB01F1">
              <w:t xml:space="preserve"> the opportunity to regularly</w:t>
            </w:r>
            <w:r>
              <w:t xml:space="preserve"> assist aboard the mobile surgical </w:t>
            </w:r>
            <w:r w:rsidRPr="00FB01F1">
              <w:t>bus</w:t>
            </w:r>
            <w:r>
              <w:t xml:space="preserve"> </w:t>
            </w:r>
            <w:r w:rsidRPr="00FB01F1">
              <w:t>as</w:t>
            </w:r>
            <w:r>
              <w:t xml:space="preserve"> one way to help maintain </w:t>
            </w:r>
            <w:r w:rsidR="00BA0A02">
              <w:t xml:space="preserve">these </w:t>
            </w:r>
            <w:r>
              <w:t>skills.</w:t>
            </w:r>
          </w:p>
          <w:p w:rsidR="00FC7ADA" w:rsidRDefault="00D22221" w:rsidP="00D22221">
            <w:pPr>
              <w:pStyle w:val="Quotation"/>
            </w:pPr>
            <w:r>
              <w:t xml:space="preserve">My </w:t>
            </w:r>
            <w:r w:rsidR="00FC7ADA">
              <w:t xml:space="preserve">experiences on the bus </w:t>
            </w:r>
            <w:r w:rsidR="00FC7ADA" w:rsidRPr="00FB01F1">
              <w:t xml:space="preserve">meant </w:t>
            </w:r>
            <w:r w:rsidR="00FC7ADA">
              <w:t xml:space="preserve">I had </w:t>
            </w:r>
            <w:r>
              <w:t xml:space="preserve">more </w:t>
            </w:r>
            <w:r w:rsidR="00FC7ADA" w:rsidRPr="00FB01F1">
              <w:t xml:space="preserve">familiarity </w:t>
            </w:r>
            <w:r w:rsidR="00965250" w:rsidRPr="00FB01F1">
              <w:t>to competently and safely d</w:t>
            </w:r>
            <w:r w:rsidR="00965250">
              <w:t>e</w:t>
            </w:r>
            <w:r w:rsidR="00965250" w:rsidRPr="00FB01F1">
              <w:t xml:space="preserve">al </w:t>
            </w:r>
            <w:r w:rsidR="00FC7ADA" w:rsidRPr="00FB01F1">
              <w:t xml:space="preserve">with the </w:t>
            </w:r>
            <w:proofErr w:type="spellStart"/>
            <w:r w:rsidR="00FC7ADA">
              <w:t>anaesthetic</w:t>
            </w:r>
            <w:proofErr w:type="spellEnd"/>
            <w:r w:rsidR="00FC7ADA">
              <w:t xml:space="preserve"> </w:t>
            </w:r>
            <w:r w:rsidR="00FC7ADA" w:rsidRPr="00FB01F1">
              <w:t>dr</w:t>
            </w:r>
            <w:r>
              <w:t>ugs involved and</w:t>
            </w:r>
            <w:r w:rsidR="00FC7ADA">
              <w:t xml:space="preserve"> </w:t>
            </w:r>
            <w:r w:rsidR="00965250">
              <w:t xml:space="preserve">to take </w:t>
            </w:r>
            <w:r w:rsidR="00FC7ADA">
              <w:t xml:space="preserve">steps to </w:t>
            </w:r>
            <w:proofErr w:type="spellStart"/>
            <w:r w:rsidR="00FC7ADA">
              <w:t>stabilise</w:t>
            </w:r>
            <w:proofErr w:type="spellEnd"/>
            <w:r w:rsidR="00FC7ADA">
              <w:t xml:space="preserve"> the patient. For example, the drugs </w:t>
            </w:r>
            <w:r>
              <w:t xml:space="preserve">reduce </w:t>
            </w:r>
            <w:r w:rsidR="00FC7ADA" w:rsidRPr="00FB01F1">
              <w:t>blood pressure</w:t>
            </w:r>
            <w:r w:rsidR="00FC7ADA">
              <w:t xml:space="preserve"> and so you think ahead to compensate to avoid cardiac arrest.</w:t>
            </w:r>
            <w:r w:rsidR="00FC7ADA" w:rsidRPr="00FB01F1">
              <w:t xml:space="preserve"> </w:t>
            </w:r>
          </w:p>
          <w:p w:rsidR="00FC7ADA" w:rsidRDefault="00FC7ADA" w:rsidP="00BA0A02">
            <w:pPr>
              <w:pStyle w:val="Quotation"/>
            </w:pPr>
            <w:r>
              <w:t xml:space="preserve">It’s </w:t>
            </w:r>
            <w:r w:rsidR="00965250">
              <w:t>about having</w:t>
            </w:r>
            <w:r>
              <w:t xml:space="preserve"> </w:t>
            </w:r>
            <w:r w:rsidR="00473AED">
              <w:t xml:space="preserve">the </w:t>
            </w:r>
            <w:r>
              <w:t>s</w:t>
            </w:r>
            <w:r w:rsidRPr="00FB01F1">
              <w:t xml:space="preserve">kill to </w:t>
            </w:r>
            <w:r w:rsidR="00473AED">
              <w:t>correctly</w:t>
            </w:r>
            <w:r w:rsidR="00473AED" w:rsidRPr="00FB01F1">
              <w:t xml:space="preserve"> </w:t>
            </w:r>
            <w:r w:rsidRPr="00FB01F1">
              <w:t>place the tube in the airway</w:t>
            </w:r>
            <w:r>
              <w:t>. It’s not straightforward</w:t>
            </w:r>
            <w:r w:rsidR="00473AED">
              <w:t xml:space="preserve"> and</w:t>
            </w:r>
            <w:r w:rsidR="00965250">
              <w:t xml:space="preserve"> </w:t>
            </w:r>
            <w:r>
              <w:t xml:space="preserve">you have to avoid the </w:t>
            </w:r>
            <w:proofErr w:type="spellStart"/>
            <w:r>
              <w:t>oesophagus</w:t>
            </w:r>
            <w:proofErr w:type="spellEnd"/>
            <w:r>
              <w:t>.</w:t>
            </w:r>
            <w:r w:rsidR="00965250" w:rsidRPr="00FB01F1">
              <w:t xml:space="preserve"> I teach A</w:t>
            </w:r>
            <w:r w:rsidR="00473AED">
              <w:t xml:space="preserve">dvanced </w:t>
            </w:r>
            <w:r w:rsidR="00965250" w:rsidRPr="00FB01F1">
              <w:t>C</w:t>
            </w:r>
            <w:r w:rsidR="00473AED">
              <w:t xml:space="preserve">ardiac </w:t>
            </w:r>
            <w:r w:rsidR="00965250" w:rsidRPr="00FB01F1">
              <w:t>L</w:t>
            </w:r>
            <w:r w:rsidR="00473AED">
              <w:t xml:space="preserve">ife </w:t>
            </w:r>
            <w:r w:rsidR="00965250" w:rsidRPr="00FB01F1">
              <w:t>S</w:t>
            </w:r>
            <w:r w:rsidR="00473AED">
              <w:t>upport</w:t>
            </w:r>
            <w:r w:rsidR="00965250">
              <w:t xml:space="preserve">, but practicing on mannequins is not the same, as you can’t duplicate the </w:t>
            </w:r>
            <w:r w:rsidR="00965250" w:rsidRPr="00FB01F1">
              <w:t>anatomical nuances.</w:t>
            </w:r>
          </w:p>
          <w:p w:rsidR="00FC7ADA" w:rsidRDefault="00473AED" w:rsidP="00CC327C">
            <w:pPr>
              <w:pStyle w:val="Quotation"/>
            </w:pPr>
            <w:r>
              <w:t>T</w:t>
            </w:r>
            <w:r w:rsidR="00FC7ADA" w:rsidRPr="00FB01F1">
              <w:t>his</w:t>
            </w:r>
            <w:r w:rsidR="00FC7ADA">
              <w:t xml:space="preserve"> refresher experience is crucial, as you don’t deal with these situations frequently enough in smaller </w:t>
            </w:r>
            <w:proofErr w:type="spellStart"/>
            <w:r w:rsidR="00FC7ADA">
              <w:t>centres</w:t>
            </w:r>
            <w:proofErr w:type="spellEnd"/>
            <w:r w:rsidR="00FC7ADA">
              <w:t xml:space="preserve">, but they do occur. So </w:t>
            </w:r>
            <w:r w:rsidR="00CC327C">
              <w:t>I value being able to access the bus</w:t>
            </w:r>
            <w:r w:rsidR="00FC7ADA">
              <w:t>.</w:t>
            </w:r>
          </w:p>
        </w:tc>
      </w:tr>
    </w:tbl>
    <w:p w:rsidR="00412E08" w:rsidRDefault="00FC7ADA" w:rsidP="007C098F">
      <w:pPr>
        <w:spacing w:after="0" w:line="240" w:lineRule="auto"/>
      </w:pPr>
      <w:r>
        <w:br w:type="page"/>
      </w:r>
    </w:p>
    <w:p w:rsidR="00412E08" w:rsidRDefault="001307DE" w:rsidP="001307DE">
      <w:pPr>
        <w:pStyle w:val="Heading1"/>
      </w:pPr>
      <w:bookmarkStart w:id="159" w:name="_Toc423945959"/>
      <w:r>
        <w:lastRenderedPageBreak/>
        <w:t>Remote collaboration</w:t>
      </w:r>
      <w:bookmarkEnd w:id="159"/>
      <w:r>
        <w:t xml:space="preserve"> </w:t>
      </w:r>
    </w:p>
    <w:p w:rsidR="00DA0D8B" w:rsidRDefault="002003EA" w:rsidP="00785586">
      <w:r>
        <w:t xml:space="preserve">We also considered the remote collaboration –a service component that accounts for a small share (approximately 6%) of the annual funding stream. </w:t>
      </w:r>
      <w:r w:rsidR="00495E2A">
        <w:t>The original intent of the remote c</w:t>
      </w:r>
      <w:r w:rsidR="00785586" w:rsidRPr="00FB01F1">
        <w:t>ollab</w:t>
      </w:r>
      <w:r w:rsidR="00785586">
        <w:t>oration</w:t>
      </w:r>
      <w:r w:rsidR="00495E2A">
        <w:t xml:space="preserve"> component was to use the telepresence technology to </w:t>
      </w:r>
      <w:r w:rsidR="00F851E6">
        <w:t>enable</w:t>
      </w:r>
      <w:r w:rsidR="00495E2A">
        <w:t xml:space="preserve"> </w:t>
      </w:r>
      <w:r w:rsidR="00F851E6">
        <w:t>clinicians</w:t>
      </w:r>
      <w:r w:rsidR="00785586" w:rsidRPr="00FB01F1">
        <w:t xml:space="preserve"> </w:t>
      </w:r>
      <w:r w:rsidR="00495E2A">
        <w:t xml:space="preserve">in smaller </w:t>
      </w:r>
      <w:r w:rsidR="00F851E6">
        <w:t>hospitals</w:t>
      </w:r>
      <w:r w:rsidR="00E865BF">
        <w:t xml:space="preserve">, including base hospitals, </w:t>
      </w:r>
      <w:r w:rsidR="00495E2A">
        <w:t xml:space="preserve">to link </w:t>
      </w:r>
      <w:r w:rsidR="00E865BF">
        <w:t>up and collaborate with their counterparts in larger urban hospital</w:t>
      </w:r>
      <w:r w:rsidR="00495E2A">
        <w:t>.</w:t>
      </w:r>
      <w:r w:rsidR="00E865BF">
        <w:t xml:space="preserve"> </w:t>
      </w:r>
      <w:r w:rsidR="0009296E">
        <w:t>Potential purposes were thought to include</w:t>
      </w:r>
      <w:r w:rsidR="00E865BF" w:rsidRPr="00E865BF">
        <w:t xml:space="preserve"> </w:t>
      </w:r>
      <w:r w:rsidR="00E865BF">
        <w:t>mortali</w:t>
      </w:r>
      <w:r w:rsidR="00E865BF" w:rsidRPr="00FB01F1">
        <w:t>ty reviews</w:t>
      </w:r>
      <w:r w:rsidR="0009296E">
        <w:t>,</w:t>
      </w:r>
      <w:r w:rsidR="00E865BF" w:rsidRPr="00FB01F1">
        <w:t xml:space="preserve"> difficult cases for diagnosi</w:t>
      </w:r>
      <w:r w:rsidR="00E865BF">
        <w:t>s</w:t>
      </w:r>
      <w:r w:rsidR="0009296E">
        <w:t xml:space="preserve">, and surgical </w:t>
      </w:r>
      <w:r w:rsidR="00E865BF" w:rsidRPr="00FB01F1">
        <w:t>observ</w:t>
      </w:r>
      <w:r w:rsidR="0009296E">
        <w:t>ation</w:t>
      </w:r>
      <w:r w:rsidR="00E865BF">
        <w:t xml:space="preserve">. </w:t>
      </w:r>
    </w:p>
    <w:p w:rsidR="0009296E" w:rsidRDefault="00E865BF" w:rsidP="00785586">
      <w:r>
        <w:t xml:space="preserve">We understand that it proved difficult to bring </w:t>
      </w:r>
      <w:r w:rsidR="00DB381B">
        <w:t xml:space="preserve">sufficient </w:t>
      </w:r>
      <w:r>
        <w:t>clinicians on board f</w:t>
      </w:r>
      <w:r w:rsidR="00DB381B">
        <w:t>or the practical delivery of this</w:t>
      </w:r>
      <w:r>
        <w:t xml:space="preserve"> concept.</w:t>
      </w:r>
      <w:r w:rsidR="0009296E">
        <w:t xml:space="preserve"> </w:t>
      </w:r>
      <w:r w:rsidR="00F851E6">
        <w:t xml:space="preserve">The focus has </w:t>
      </w:r>
      <w:r w:rsidR="00DB381B">
        <w:t xml:space="preserve">increasingly </w:t>
      </w:r>
      <w:r w:rsidR="00F851E6">
        <w:t>shifted in</w:t>
      </w:r>
      <w:r w:rsidR="00785586" w:rsidRPr="00FB01F1">
        <w:t xml:space="preserve">to </w:t>
      </w:r>
      <w:r w:rsidR="0009296E">
        <w:t xml:space="preserve">other areas where there is scope to use the technology, such as supporting </w:t>
      </w:r>
      <w:r w:rsidR="00DB381B">
        <w:t xml:space="preserve">rural participation in </w:t>
      </w:r>
      <w:r w:rsidR="0009296E">
        <w:t>conferences and medical student immersion</w:t>
      </w:r>
      <w:r w:rsidR="00DB381B">
        <w:t xml:space="preserve"> in rural settings</w:t>
      </w:r>
      <w:r w:rsidR="0009296E">
        <w:t xml:space="preserve">. </w:t>
      </w:r>
    </w:p>
    <w:p w:rsidR="00337FFD" w:rsidRDefault="002E41BB" w:rsidP="002E41BB">
      <w:pPr>
        <w:pStyle w:val="UnnumtextBodytext"/>
      </w:pPr>
      <w:r>
        <w:t>One example was the R</w:t>
      </w:r>
      <w:r w:rsidRPr="0070432D">
        <w:t xml:space="preserve">ural </w:t>
      </w:r>
      <w:r>
        <w:t>M</w:t>
      </w:r>
      <w:r w:rsidRPr="0070432D">
        <w:t>edicine of Australia conference</w:t>
      </w:r>
      <w:r>
        <w:t xml:space="preserve">, where </w:t>
      </w:r>
      <w:r w:rsidRPr="0070432D">
        <w:t>experienced</w:t>
      </w:r>
      <w:r>
        <w:t xml:space="preserve"> </w:t>
      </w:r>
      <w:r w:rsidRPr="0070432D">
        <w:t xml:space="preserve">rural </w:t>
      </w:r>
      <w:r>
        <w:t xml:space="preserve">general practitioners </w:t>
      </w:r>
      <w:r w:rsidRPr="0070432D">
        <w:t xml:space="preserve">in </w:t>
      </w:r>
      <w:r>
        <w:t xml:space="preserve">New Zealand were linked into relevant </w:t>
      </w:r>
      <w:r w:rsidRPr="0070432D">
        <w:t>session</w:t>
      </w:r>
      <w:r>
        <w:t>s and able to participate. Another example</w:t>
      </w:r>
      <w:r w:rsidR="00337FFD">
        <w:t xml:space="preserve"> is the Rural General Practice Network </w:t>
      </w:r>
      <w:r w:rsidR="00337FFD" w:rsidRPr="00FB01F1">
        <w:t>confere</w:t>
      </w:r>
      <w:r w:rsidR="00337FFD">
        <w:t>n</w:t>
      </w:r>
      <w:r w:rsidR="00337FFD" w:rsidRPr="00FB01F1">
        <w:t>ce</w:t>
      </w:r>
      <w:r w:rsidR="00337FFD">
        <w:t xml:space="preserve">, which </w:t>
      </w:r>
      <w:r w:rsidR="00076001">
        <w:t>has been supported for the last few years. The</w:t>
      </w:r>
      <w:r w:rsidR="007C45F1">
        <w:t xml:space="preserve"> </w:t>
      </w:r>
      <w:r w:rsidR="00076001">
        <w:t>tele</w:t>
      </w:r>
      <w:r w:rsidR="007C45F1">
        <w:t xml:space="preserve">presence technology allows the conference to be </w:t>
      </w:r>
      <w:r w:rsidR="00337FFD" w:rsidRPr="00FB01F1">
        <w:t>beam</w:t>
      </w:r>
      <w:r w:rsidR="00337FFD">
        <w:t>ed</w:t>
      </w:r>
      <w:r w:rsidR="00337FFD" w:rsidRPr="00FB01F1">
        <w:t xml:space="preserve"> to rural h</w:t>
      </w:r>
      <w:r w:rsidR="00337FFD">
        <w:t>ospitals</w:t>
      </w:r>
      <w:r w:rsidR="007C45F1">
        <w:t xml:space="preserve"> and broadcast online to members who were unable to attend</w:t>
      </w:r>
      <w:r w:rsidR="00337FFD">
        <w:t>.</w:t>
      </w:r>
      <w:r w:rsidR="00076001">
        <w:t xml:space="preserve"> A member of the Network commented </w:t>
      </w:r>
      <w:r w:rsidR="00272B42">
        <w:t>as follows.</w:t>
      </w:r>
      <w:r w:rsidR="00076001">
        <w:t xml:space="preserve"> </w:t>
      </w:r>
    </w:p>
    <w:p w:rsidR="0009296E" w:rsidRDefault="00337FFD" w:rsidP="0009296E">
      <w:pPr>
        <w:pStyle w:val="Quotation"/>
        <w:rPr>
          <w:b/>
        </w:rPr>
      </w:pPr>
      <w:r>
        <w:t>I c</w:t>
      </w:r>
      <w:r w:rsidR="0009296E" w:rsidRPr="00785586">
        <w:t xml:space="preserve">an’t speak highly enough </w:t>
      </w:r>
      <w:r>
        <w:t>–</w:t>
      </w:r>
      <w:r w:rsidR="0009296E" w:rsidRPr="00785586">
        <w:t xml:space="preserve"> </w:t>
      </w:r>
      <w:r>
        <w:t xml:space="preserve">the </w:t>
      </w:r>
      <w:r w:rsidR="0009296E" w:rsidRPr="00785586">
        <w:t>outcome is that more members can participate even though they’re not at the conference</w:t>
      </w:r>
      <w:r>
        <w:t xml:space="preserve">. </w:t>
      </w:r>
      <w:r w:rsidR="007C45F1">
        <w:t>The</w:t>
      </w:r>
      <w:r w:rsidR="007C45F1" w:rsidRPr="008F4B21">
        <w:t xml:space="preserve"> equipment</w:t>
      </w:r>
      <w:r w:rsidR="007C45F1">
        <w:t xml:space="preserve"> which </w:t>
      </w:r>
      <w:r w:rsidR="007C45F1" w:rsidRPr="008F4B21">
        <w:t>allows us to br</w:t>
      </w:r>
      <w:r w:rsidR="007C45F1">
        <w:t>o</w:t>
      </w:r>
      <w:r w:rsidR="007C45F1" w:rsidRPr="008F4B21">
        <w:t>adcast via the web</w:t>
      </w:r>
      <w:r w:rsidR="007C45F1">
        <w:t>… t</w:t>
      </w:r>
      <w:r w:rsidR="007C45F1" w:rsidRPr="008F4B21">
        <w:t>hat has be</w:t>
      </w:r>
      <w:r w:rsidR="007C45F1">
        <w:t>e</w:t>
      </w:r>
      <w:r w:rsidR="007C45F1" w:rsidRPr="008F4B21">
        <w:t>n phenom</w:t>
      </w:r>
      <w:r w:rsidR="007C45F1">
        <w:t xml:space="preserve">enal </w:t>
      </w:r>
      <w:r w:rsidR="007C45F1" w:rsidRPr="008F4B21">
        <w:t>in the way it has enhanced the u</w:t>
      </w:r>
      <w:r w:rsidR="007C45F1">
        <w:t xml:space="preserve">tility </w:t>
      </w:r>
      <w:r w:rsidR="007C45F1" w:rsidRPr="008F4B21">
        <w:t>of the conference</w:t>
      </w:r>
      <w:r w:rsidR="007C45F1">
        <w:t xml:space="preserve">. </w:t>
      </w:r>
      <w:r>
        <w:t xml:space="preserve">We </w:t>
      </w:r>
      <w:r w:rsidR="007C45F1">
        <w:t xml:space="preserve">also </w:t>
      </w:r>
      <w:r w:rsidR="0009296E" w:rsidRPr="008F4B21">
        <w:t xml:space="preserve">had a tele-link from </w:t>
      </w:r>
      <w:proofErr w:type="spellStart"/>
      <w:r w:rsidR="0009296E" w:rsidRPr="008F4B21">
        <w:t>Dargaville</w:t>
      </w:r>
      <w:proofErr w:type="spellEnd"/>
      <w:r w:rsidR="0009296E" w:rsidRPr="008F4B21">
        <w:t xml:space="preserve"> to the conference</w:t>
      </w:r>
      <w:r w:rsidR="00DB381B">
        <w:t xml:space="preserve">s… and so they were </w:t>
      </w:r>
      <w:r w:rsidR="0009296E" w:rsidRPr="008F4B21">
        <w:t>able to participate</w:t>
      </w:r>
      <w:r>
        <w:t>.</w:t>
      </w:r>
    </w:p>
    <w:p w:rsidR="00785586" w:rsidRDefault="00272B42" w:rsidP="00785586">
      <w:r w:rsidRPr="0070432D">
        <w:t xml:space="preserve">MSS has assisted </w:t>
      </w:r>
      <w:r>
        <w:t xml:space="preserve">with the University of </w:t>
      </w:r>
      <w:proofErr w:type="spellStart"/>
      <w:r>
        <w:t>Otago</w:t>
      </w:r>
      <w:proofErr w:type="spellEnd"/>
      <w:r>
        <w:t xml:space="preserve"> rural immersion programme for medical students. The students are based in rural settings in places such as</w:t>
      </w:r>
      <w:r w:rsidR="00785586" w:rsidRPr="00FB01F1">
        <w:t xml:space="preserve"> </w:t>
      </w:r>
      <w:proofErr w:type="spellStart"/>
      <w:r w:rsidR="00785586" w:rsidRPr="00FB01F1">
        <w:t>Masterton</w:t>
      </w:r>
      <w:proofErr w:type="spellEnd"/>
      <w:r w:rsidR="00785586">
        <w:t>,</w:t>
      </w:r>
      <w:r w:rsidR="00785586" w:rsidRPr="00FB01F1">
        <w:t xml:space="preserve"> </w:t>
      </w:r>
      <w:r w:rsidR="00785586">
        <w:t xml:space="preserve">Blenheim; </w:t>
      </w:r>
      <w:proofErr w:type="spellStart"/>
      <w:r w:rsidR="00785586">
        <w:t>Balclutha</w:t>
      </w:r>
      <w:proofErr w:type="spellEnd"/>
      <w:r w:rsidR="00785586">
        <w:t>; D</w:t>
      </w:r>
      <w:r w:rsidR="00785586" w:rsidRPr="00FB01F1">
        <w:t>u</w:t>
      </w:r>
      <w:r w:rsidR="00785586">
        <w:t>n</w:t>
      </w:r>
      <w:r w:rsidR="00785586" w:rsidRPr="00FB01F1">
        <w:t>stan</w:t>
      </w:r>
      <w:r w:rsidR="00785586">
        <w:t xml:space="preserve">; </w:t>
      </w:r>
      <w:proofErr w:type="spellStart"/>
      <w:r w:rsidR="00785586">
        <w:t>Greymouth</w:t>
      </w:r>
      <w:proofErr w:type="spellEnd"/>
      <w:r>
        <w:t xml:space="preserve">. They are able to </w:t>
      </w:r>
      <w:r w:rsidR="00785586" w:rsidRPr="00FB01F1">
        <w:t xml:space="preserve">beam back to </w:t>
      </w:r>
      <w:r>
        <w:t xml:space="preserve">a </w:t>
      </w:r>
      <w:r w:rsidR="00785586" w:rsidRPr="00FB01F1">
        <w:t xml:space="preserve">tutor in </w:t>
      </w:r>
      <w:r w:rsidR="00785586">
        <w:t>Dunedin</w:t>
      </w:r>
      <w:r>
        <w:t xml:space="preserve">, which means that the </w:t>
      </w:r>
      <w:r w:rsidR="00785586">
        <w:t xml:space="preserve">50 </w:t>
      </w:r>
      <w:r>
        <w:t xml:space="preserve">or so students now no longer need to be based in or near </w:t>
      </w:r>
      <w:r w:rsidR="00785586">
        <w:t>Dunedin</w:t>
      </w:r>
      <w:r w:rsidR="00785586" w:rsidRPr="00FB01F1">
        <w:t xml:space="preserve"> or </w:t>
      </w:r>
      <w:r w:rsidR="00785586">
        <w:t>Christchurch</w:t>
      </w:r>
      <w:r w:rsidR="009348C9">
        <w:t>.</w:t>
      </w:r>
    </w:p>
    <w:p w:rsidR="00785586" w:rsidRPr="0070432D" w:rsidRDefault="009348C9" w:rsidP="009348C9">
      <w:r>
        <w:t xml:space="preserve">Linkages with </w:t>
      </w:r>
      <w:proofErr w:type="spellStart"/>
      <w:r>
        <w:t>Monash</w:t>
      </w:r>
      <w:proofErr w:type="spellEnd"/>
      <w:r>
        <w:t xml:space="preserve"> University </w:t>
      </w:r>
      <w:r w:rsidR="009B086C">
        <w:t xml:space="preserve">in Victoria, Australia </w:t>
      </w:r>
      <w:r>
        <w:t xml:space="preserve">have also been fostered, and this appears to be within the “international connections” element of the contract. The </w:t>
      </w:r>
      <w:proofErr w:type="spellStart"/>
      <w:r w:rsidRPr="0070432D">
        <w:t>Monash</w:t>
      </w:r>
      <w:proofErr w:type="spellEnd"/>
      <w:r w:rsidRPr="0070432D">
        <w:t xml:space="preserve"> Churchill</w:t>
      </w:r>
      <w:r w:rsidRPr="009348C9">
        <w:t xml:space="preserve"> </w:t>
      </w:r>
      <w:r w:rsidRPr="0070432D">
        <w:t>campus has linked its school of nursing – using MSS equip</w:t>
      </w:r>
      <w:r>
        <w:t>ment</w:t>
      </w:r>
      <w:r w:rsidRPr="0070432D">
        <w:t xml:space="preserve"> </w:t>
      </w:r>
      <w:r>
        <w:t xml:space="preserve">– </w:t>
      </w:r>
      <w:r w:rsidRPr="00403308">
        <w:t xml:space="preserve">to the </w:t>
      </w:r>
      <w:r>
        <w:t xml:space="preserve">surgical </w:t>
      </w:r>
      <w:r w:rsidRPr="00403308">
        <w:t xml:space="preserve">bus and </w:t>
      </w:r>
      <w:r>
        <w:t xml:space="preserve">to </w:t>
      </w:r>
      <w:proofErr w:type="spellStart"/>
      <w:r w:rsidRPr="00403308">
        <w:t>Otago</w:t>
      </w:r>
      <w:proofErr w:type="spellEnd"/>
      <w:r w:rsidRPr="00403308">
        <w:t xml:space="preserve"> Uni</w:t>
      </w:r>
      <w:r>
        <w:t xml:space="preserve">versity. </w:t>
      </w:r>
      <w:r w:rsidR="00785586" w:rsidRPr="0070432D">
        <w:t>Tele</w:t>
      </w:r>
      <w:r w:rsidR="00785586">
        <w:t>-</w:t>
      </w:r>
      <w:r w:rsidR="00785586" w:rsidRPr="0070432D">
        <w:t xml:space="preserve">tutorials </w:t>
      </w:r>
      <w:r>
        <w:t xml:space="preserve">have been held between medical </w:t>
      </w:r>
      <w:r w:rsidR="00DA0D8B">
        <w:t>students</w:t>
      </w:r>
      <w:r>
        <w:t xml:space="preserve"> at </w:t>
      </w:r>
      <w:proofErr w:type="spellStart"/>
      <w:r w:rsidR="00DA0D8B">
        <w:t>M</w:t>
      </w:r>
      <w:r>
        <w:t>onash</w:t>
      </w:r>
      <w:proofErr w:type="spellEnd"/>
      <w:r>
        <w:t xml:space="preserve"> and at </w:t>
      </w:r>
      <w:proofErr w:type="spellStart"/>
      <w:r>
        <w:t>Otago</w:t>
      </w:r>
      <w:proofErr w:type="spellEnd"/>
      <w:r>
        <w:t xml:space="preserve">, for example, </w:t>
      </w:r>
      <w:r w:rsidR="00785586" w:rsidRPr="0070432D">
        <w:t>emergency medicine skills</w:t>
      </w:r>
      <w:r>
        <w:t xml:space="preserve"> and procedural skills in general, and we </w:t>
      </w:r>
      <w:r w:rsidR="00DA0D8B">
        <w:t>understand</w:t>
      </w:r>
      <w:r>
        <w:t xml:space="preserve"> that these have</w:t>
      </w:r>
      <w:r w:rsidR="00785586" w:rsidRPr="0070432D">
        <w:t xml:space="preserve"> been well received by students</w:t>
      </w:r>
      <w:r>
        <w:t>.</w:t>
      </w:r>
    </w:p>
    <w:p w:rsidR="00785586" w:rsidRPr="00FB01F1" w:rsidRDefault="009B086C" w:rsidP="00DB381B">
      <w:pPr>
        <w:pStyle w:val="UnnumtextBullet1"/>
        <w:numPr>
          <w:ilvl w:val="0"/>
          <w:numId w:val="0"/>
        </w:numPr>
      </w:pPr>
      <w:r>
        <w:t xml:space="preserve">These links with </w:t>
      </w:r>
      <w:proofErr w:type="spellStart"/>
      <w:r>
        <w:t>Monash</w:t>
      </w:r>
      <w:proofErr w:type="spellEnd"/>
      <w:r>
        <w:t xml:space="preserve"> and rural Victoria have also been drawn on for remote collaboration sessions involving rural practices at either end. A medical </w:t>
      </w:r>
      <w:proofErr w:type="spellStart"/>
      <w:r>
        <w:t>centre</w:t>
      </w:r>
      <w:proofErr w:type="spellEnd"/>
      <w:r>
        <w:t xml:space="preserve"> in </w:t>
      </w:r>
      <w:proofErr w:type="spellStart"/>
      <w:r>
        <w:t>Opotiki</w:t>
      </w:r>
      <w:proofErr w:type="spellEnd"/>
      <w:r>
        <w:t xml:space="preserve"> was </w:t>
      </w:r>
      <w:r w:rsidR="00337FFD" w:rsidRPr="00C8640D">
        <w:t xml:space="preserve">linked </w:t>
      </w:r>
      <w:r w:rsidR="00337FFD">
        <w:t>t</w:t>
      </w:r>
      <w:r w:rsidR="00337FFD" w:rsidRPr="00C8640D">
        <w:t>o</w:t>
      </w:r>
      <w:r w:rsidR="00337FFD">
        <w:t xml:space="preserve"> a rural health clinic in </w:t>
      </w:r>
      <w:r>
        <w:t xml:space="preserve">rural Victoria, as a demonstration of the use of </w:t>
      </w:r>
      <w:proofErr w:type="spellStart"/>
      <w:r>
        <w:t>telehealth</w:t>
      </w:r>
      <w:proofErr w:type="spellEnd"/>
      <w:r>
        <w:t xml:space="preserve">. A </w:t>
      </w:r>
      <w:r w:rsidR="00337FFD" w:rsidRPr="00C8640D">
        <w:t>spec</w:t>
      </w:r>
      <w:r w:rsidR="00337FFD">
        <w:t xml:space="preserve">ialist </w:t>
      </w:r>
      <w:r w:rsidR="00337FFD" w:rsidRPr="00C8640D">
        <w:t xml:space="preserve">in </w:t>
      </w:r>
      <w:proofErr w:type="spellStart"/>
      <w:r w:rsidR="00337FFD">
        <w:t>Opotiki</w:t>
      </w:r>
      <w:proofErr w:type="spellEnd"/>
      <w:r w:rsidR="00337FFD">
        <w:t xml:space="preserve"> </w:t>
      </w:r>
      <w:r w:rsidR="00337FFD" w:rsidRPr="00C8640D">
        <w:t>inter</w:t>
      </w:r>
      <w:r w:rsidR="00337FFD">
        <w:t>view</w:t>
      </w:r>
      <w:r>
        <w:t>ed</w:t>
      </w:r>
      <w:r w:rsidR="00337FFD">
        <w:t xml:space="preserve"> a pa</w:t>
      </w:r>
      <w:r w:rsidR="00337FFD" w:rsidRPr="00C8640D">
        <w:t xml:space="preserve">tient in </w:t>
      </w:r>
      <w:r>
        <w:t xml:space="preserve">Victoria </w:t>
      </w:r>
      <w:r w:rsidR="00337FFD">
        <w:t xml:space="preserve">and </w:t>
      </w:r>
      <w:r w:rsidR="00337FFD" w:rsidRPr="00C8640D">
        <w:t xml:space="preserve">advising </w:t>
      </w:r>
      <w:r w:rsidR="00337FFD">
        <w:t xml:space="preserve">the </w:t>
      </w:r>
      <w:r>
        <w:t xml:space="preserve">general practitioner </w:t>
      </w:r>
      <w:r w:rsidR="00337FFD">
        <w:t xml:space="preserve">there </w:t>
      </w:r>
      <w:r w:rsidR="00337FFD" w:rsidRPr="00C8640D">
        <w:t xml:space="preserve">on </w:t>
      </w:r>
      <w:r w:rsidR="00337FFD">
        <w:t xml:space="preserve">the </w:t>
      </w:r>
      <w:r w:rsidR="00337FFD" w:rsidRPr="00C8640D">
        <w:t>m</w:t>
      </w:r>
      <w:r w:rsidR="00337FFD">
        <w:t>anagement of a chronic ulcer</w:t>
      </w:r>
      <w:r>
        <w:t xml:space="preserve">. This was followed by a </w:t>
      </w:r>
      <w:r w:rsidR="00337FFD">
        <w:t>c</w:t>
      </w:r>
      <w:r w:rsidR="00337FFD" w:rsidRPr="00C8640D">
        <w:t>ase discus</w:t>
      </w:r>
      <w:r w:rsidR="00337FFD">
        <w:t>sion</w:t>
      </w:r>
      <w:r w:rsidR="00337FFD" w:rsidRPr="00C8640D">
        <w:t xml:space="preserve"> </w:t>
      </w:r>
      <w:r>
        <w:t xml:space="preserve">among staff from each rural clinic and shared </w:t>
      </w:r>
      <w:r w:rsidR="00337FFD" w:rsidRPr="00C8640D">
        <w:t>pers</w:t>
      </w:r>
      <w:r w:rsidR="00337FFD">
        <w:t>p</w:t>
      </w:r>
      <w:r w:rsidR="00337FFD" w:rsidRPr="00C8640D">
        <w:t>ective</w:t>
      </w:r>
      <w:r w:rsidR="00337FFD">
        <w:t>s on after</w:t>
      </w:r>
      <w:r w:rsidR="002E41BB">
        <w:t>-hours care in a rural setting.</w:t>
      </w:r>
    </w:p>
    <w:p w:rsidR="001307DE" w:rsidRPr="001307DE" w:rsidRDefault="001307DE" w:rsidP="001307DE">
      <w:pPr>
        <w:pStyle w:val="UnnumtextBodytext"/>
      </w:pPr>
    </w:p>
    <w:p w:rsidR="00AC54F9" w:rsidRDefault="00AC54F9" w:rsidP="00AC54F9">
      <w:pPr>
        <w:pStyle w:val="Heading1"/>
      </w:pPr>
      <w:bookmarkStart w:id="160" w:name="_Toc423945960"/>
      <w:r>
        <w:lastRenderedPageBreak/>
        <w:t>Conclu</w:t>
      </w:r>
      <w:r w:rsidR="000D127E">
        <w:t>ding remarks</w:t>
      </w:r>
      <w:bookmarkEnd w:id="160"/>
      <w:r>
        <w:t xml:space="preserve"> </w:t>
      </w:r>
    </w:p>
    <w:p w:rsidR="00310E6D" w:rsidRDefault="00310E6D" w:rsidP="0028029C">
      <w:pPr>
        <w:pStyle w:val="Heading2"/>
      </w:pPr>
      <w:bookmarkStart w:id="161" w:name="_Toc423945961"/>
      <w:r>
        <w:t>Mobile surgical services</w:t>
      </w:r>
      <w:bookmarkEnd w:id="161"/>
    </w:p>
    <w:p w:rsidR="00310E6D" w:rsidRDefault="000D127E" w:rsidP="00DE2D99">
      <w:pPr>
        <w:pStyle w:val="UnnumtextBodytext"/>
      </w:pPr>
      <w:r w:rsidRPr="00D57D2C">
        <w:rPr>
          <w:b/>
        </w:rPr>
        <w:t xml:space="preserve">There is sufficient evidence to conclude that the </w:t>
      </w:r>
      <w:r w:rsidR="00A96E79" w:rsidRPr="00D57D2C">
        <w:rPr>
          <w:b/>
        </w:rPr>
        <w:t xml:space="preserve">mobile </w:t>
      </w:r>
      <w:r w:rsidRPr="00D57D2C">
        <w:rPr>
          <w:b/>
        </w:rPr>
        <w:t>service improve</w:t>
      </w:r>
      <w:r w:rsidR="00A96E79" w:rsidRPr="00D57D2C">
        <w:rPr>
          <w:b/>
        </w:rPr>
        <w:t>s</w:t>
      </w:r>
      <w:r w:rsidRPr="00D57D2C">
        <w:rPr>
          <w:b/>
        </w:rPr>
        <w:t xml:space="preserve"> access for rural patients</w:t>
      </w:r>
      <w:r>
        <w:t xml:space="preserve">, and in particular, those </w:t>
      </w:r>
      <w:r w:rsidR="00DE2D99">
        <w:t xml:space="preserve">patients </w:t>
      </w:r>
      <w:r w:rsidR="00AC387A">
        <w:t xml:space="preserve">who </w:t>
      </w:r>
      <w:r>
        <w:t>are from groups that tend to have high health n</w:t>
      </w:r>
      <w:r w:rsidR="0000085D">
        <w:t>e</w:t>
      </w:r>
      <w:r>
        <w:t>eds</w:t>
      </w:r>
      <w:r w:rsidR="00A96E79">
        <w:t xml:space="preserve">, </w:t>
      </w:r>
      <w:r>
        <w:t>suffer f</w:t>
      </w:r>
      <w:r w:rsidR="000A4543">
        <w:t>r</w:t>
      </w:r>
      <w:r>
        <w:t>om health inequalities</w:t>
      </w:r>
      <w:r w:rsidR="00A96E79">
        <w:t>, and /or face barriers to accessing care</w:t>
      </w:r>
      <w:r>
        <w:t xml:space="preserve">. </w:t>
      </w:r>
    </w:p>
    <w:p w:rsidR="00847055" w:rsidRDefault="00847055" w:rsidP="00847055">
      <w:pPr>
        <w:pStyle w:val="UnnumtextBullet1"/>
        <w:spacing w:after="170"/>
      </w:pPr>
      <w:r>
        <w:t>The patients tend to be children and young people (41% of discharges) and people aged 60 years and over (27% of discharges), although this level of access is enabled by the mix of services offered on the bus (e.g. dental, endoscopies). Also of note, patients who identify as M</w:t>
      </w:r>
      <w:r w:rsidRPr="008F5C57">
        <w:t>ā</w:t>
      </w:r>
      <w:r>
        <w:t>ori comprised 24% of discharges – around 6 percentage points higher than their share of the rural population. These patients have been assessed by their DHB as meeting the threshold for surgery and so the mobile service can be seen as helping to support their access to care.</w:t>
      </w:r>
    </w:p>
    <w:p w:rsidR="00470AF1" w:rsidRDefault="000E08E6" w:rsidP="00470AF1">
      <w:pPr>
        <w:pStyle w:val="UnnumtextBullet1"/>
        <w:spacing w:after="170"/>
      </w:pPr>
      <w:r>
        <w:t>Although the</w:t>
      </w:r>
      <w:r w:rsidR="000D127E">
        <w:t xml:space="preserve"> majority of patients </w:t>
      </w:r>
      <w:r>
        <w:t xml:space="preserve">treated on the bus </w:t>
      </w:r>
      <w:r w:rsidR="000D127E">
        <w:t>would have travelled further</w:t>
      </w:r>
      <w:r>
        <w:t xml:space="preserve"> for surgery, for example to the</w:t>
      </w:r>
      <w:r w:rsidR="00AF1A26">
        <w:t>ir</w:t>
      </w:r>
      <w:r>
        <w:t xml:space="preserve"> base hospital, around 20% stated that they would not. This figure is not insignificant</w:t>
      </w:r>
      <w:r w:rsidR="00AF1A26">
        <w:t xml:space="preserve"> and implies </w:t>
      </w:r>
      <w:r w:rsidR="008408FA">
        <w:t xml:space="preserve">that </w:t>
      </w:r>
      <w:r w:rsidR="00AF1A26">
        <w:t>u</w:t>
      </w:r>
      <w:r>
        <w:t xml:space="preserve">p to 300 rural </w:t>
      </w:r>
      <w:r w:rsidR="000D127E">
        <w:t>patients per year</w:t>
      </w:r>
      <w:r w:rsidR="00AF1A26">
        <w:t>,</w:t>
      </w:r>
      <w:r w:rsidR="000D127E">
        <w:t xml:space="preserve"> who have been </w:t>
      </w:r>
      <w:proofErr w:type="spellStart"/>
      <w:r w:rsidR="000D127E">
        <w:t>prioritised</w:t>
      </w:r>
      <w:proofErr w:type="spellEnd"/>
      <w:r w:rsidR="000D127E">
        <w:t xml:space="preserve"> for surgery by their </w:t>
      </w:r>
      <w:r w:rsidR="00AF1A26">
        <w:t xml:space="preserve">DHB, may </w:t>
      </w:r>
      <w:r w:rsidR="008408FA">
        <w:t xml:space="preserve">not </w:t>
      </w:r>
      <w:r w:rsidR="00AF1A26">
        <w:t xml:space="preserve">otherwise </w:t>
      </w:r>
      <w:r w:rsidR="008408FA">
        <w:t>a</w:t>
      </w:r>
      <w:r w:rsidR="00AF1A26">
        <w:t>ccess the care they need.</w:t>
      </w:r>
      <w:r w:rsidR="00470AF1">
        <w:t xml:space="preserve"> Some of the reasons cited by these patients include: no access to transport; too costly to pay for transport, food and accommodation; and the logistical issues of child care.</w:t>
      </w:r>
    </w:p>
    <w:p w:rsidR="00DE2D99" w:rsidRDefault="00470AF1" w:rsidP="00FF6554">
      <w:pPr>
        <w:pStyle w:val="UnnumtextBullet1"/>
        <w:spacing w:after="170"/>
      </w:pPr>
      <w:r>
        <w:t>S</w:t>
      </w:r>
      <w:r w:rsidRPr="00470AF1">
        <w:t xml:space="preserve">takeholders </w:t>
      </w:r>
      <w:r>
        <w:t xml:space="preserve">at rural </w:t>
      </w:r>
      <w:r w:rsidR="001D6F50">
        <w:t xml:space="preserve">host </w:t>
      </w:r>
      <w:r>
        <w:t>sites</w:t>
      </w:r>
      <w:r w:rsidR="001D6F50">
        <w:t xml:space="preserve"> </w:t>
      </w:r>
      <w:r w:rsidRPr="00470AF1">
        <w:t>tended to comment that</w:t>
      </w:r>
      <w:r w:rsidR="001D6F50">
        <w:t>, in the absence of the mobile service, s</w:t>
      </w:r>
      <w:r w:rsidR="001D6F50" w:rsidRPr="00470AF1">
        <w:t xml:space="preserve">ome patients </w:t>
      </w:r>
      <w:r w:rsidR="001D6F50">
        <w:t xml:space="preserve">may not be able to </w:t>
      </w:r>
      <w:r w:rsidR="001D6F50" w:rsidRPr="00470AF1">
        <w:t xml:space="preserve">travel </w:t>
      </w:r>
      <w:r w:rsidR="001D6F50">
        <w:t xml:space="preserve">further to a base hospital for surgery. These stakeholders – including general managers at several rural hospitals, rural nurses, a clinical manager at a </w:t>
      </w:r>
      <w:proofErr w:type="spellStart"/>
      <w:r w:rsidR="001D6F50">
        <w:t>hauroa</w:t>
      </w:r>
      <w:proofErr w:type="spellEnd"/>
      <w:r w:rsidR="001D6F50">
        <w:t xml:space="preserve"> provider and a rural general practitioner – </w:t>
      </w:r>
      <w:r w:rsidR="001D6F50" w:rsidRPr="00470AF1">
        <w:t xml:space="preserve">typically </w:t>
      </w:r>
      <w:r w:rsidR="001D6F50">
        <w:t xml:space="preserve">mentioned </w:t>
      </w:r>
      <w:r w:rsidR="001D6F50" w:rsidRPr="00470AF1">
        <w:t xml:space="preserve">children </w:t>
      </w:r>
      <w:r w:rsidR="001D6F50">
        <w:t xml:space="preserve">in struggling families </w:t>
      </w:r>
      <w:r w:rsidR="001D6F50" w:rsidRPr="00470AF1">
        <w:t>or older people</w:t>
      </w:r>
      <w:r w:rsidR="001D6F50">
        <w:t xml:space="preserve"> and cited reasons such as a lack of transport and/or money, and the distance involved. </w:t>
      </w:r>
    </w:p>
    <w:p w:rsidR="00DE2D99" w:rsidRDefault="006859E0" w:rsidP="00DE2D99">
      <w:pPr>
        <w:pStyle w:val="UnnumtextBodytext"/>
      </w:pPr>
      <w:r w:rsidRPr="00D57D2C">
        <w:rPr>
          <w:b/>
        </w:rPr>
        <w:t xml:space="preserve">Patients and </w:t>
      </w:r>
      <w:r w:rsidR="00DE2D99" w:rsidRPr="00D57D2C">
        <w:rPr>
          <w:b/>
        </w:rPr>
        <w:t>their caregivers overwhelmingly perceive their experience of the mobile surgical service to be a positive experience</w:t>
      </w:r>
      <w:r w:rsidR="00DE2D99" w:rsidRPr="00A96E79">
        <w:t>.</w:t>
      </w:r>
      <w:r w:rsidR="00DE2D99" w:rsidRPr="00DE2D99">
        <w:t xml:space="preserve"> </w:t>
      </w:r>
      <w:r w:rsidR="00DE2D99">
        <w:t xml:space="preserve">There is strong evidence that rural patients and their caregivers value the </w:t>
      </w:r>
      <w:r w:rsidR="00A034B4">
        <w:t>“</w:t>
      </w:r>
      <w:r w:rsidR="00DE2D99">
        <w:t>convenience</w:t>
      </w:r>
      <w:r w:rsidR="00A034B4">
        <w:t>”</w:t>
      </w:r>
      <w:r w:rsidR="00DE2D99">
        <w:t xml:space="preserve"> of the service</w:t>
      </w:r>
      <w:r w:rsidR="00DE2D99" w:rsidRPr="00DE2D99">
        <w:t xml:space="preserve"> </w:t>
      </w:r>
      <w:r w:rsidR="00A034B4">
        <w:t xml:space="preserve">being </w:t>
      </w:r>
      <w:r w:rsidR="00DE2D99">
        <w:t>close to home</w:t>
      </w:r>
      <w:r w:rsidR="004C0568">
        <w:t>. Th</w:t>
      </w:r>
      <w:r w:rsidR="00A034B4">
        <w:t xml:space="preserve">is </w:t>
      </w:r>
      <w:r w:rsidR="004C0568">
        <w:t xml:space="preserve">term </w:t>
      </w:r>
      <w:r w:rsidR="00A034B4">
        <w:t>is</w:t>
      </w:r>
      <w:r w:rsidR="004C0568">
        <w:t xml:space="preserve"> variously used to</w:t>
      </w:r>
      <w:r w:rsidR="00A034B4">
        <w:t xml:space="preserve"> cover reduced travel time or direct travel costs, not having to take time of work or make alternative child care arrangements, and avoided stress or apprehension</w:t>
      </w:r>
      <w:r w:rsidR="00DE2D99">
        <w:t>.</w:t>
      </w:r>
    </w:p>
    <w:p w:rsidR="00A034B4" w:rsidRDefault="001D6F50" w:rsidP="00061942">
      <w:pPr>
        <w:pStyle w:val="UnnumtextBodytext"/>
      </w:pPr>
      <w:r>
        <w:rPr>
          <w:b/>
        </w:rPr>
        <w:t xml:space="preserve">No concerns were raised about the </w:t>
      </w:r>
      <w:r w:rsidR="00A034B4" w:rsidRPr="00D57D2C">
        <w:rPr>
          <w:b/>
        </w:rPr>
        <w:t>safe</w:t>
      </w:r>
      <w:r>
        <w:rPr>
          <w:b/>
        </w:rPr>
        <w:t>ty</w:t>
      </w:r>
      <w:r w:rsidR="00A034B4" w:rsidRPr="00D57D2C">
        <w:rPr>
          <w:b/>
        </w:rPr>
        <w:t xml:space="preserve"> and </w:t>
      </w:r>
      <w:r>
        <w:rPr>
          <w:b/>
        </w:rPr>
        <w:t>effectiveness of the service</w:t>
      </w:r>
      <w:r w:rsidR="00A034B4">
        <w:t xml:space="preserve">. None of the clinical staff involved expressed concerns about the current scope of procedures being performed or the follow-up care. </w:t>
      </w:r>
      <w:r>
        <w:t>C</w:t>
      </w:r>
      <w:r w:rsidR="00A034B4">
        <w:t xml:space="preserve">onsistent with </w:t>
      </w:r>
      <w:r>
        <w:t xml:space="preserve">this, </w:t>
      </w:r>
      <w:r w:rsidR="00A034B4">
        <w:t>the</w:t>
      </w:r>
      <w:r w:rsidR="00A034B4" w:rsidRPr="00A96E79">
        <w:t xml:space="preserve"> majority </w:t>
      </w:r>
      <w:r w:rsidR="00A034B4">
        <w:t>of patients report</w:t>
      </w:r>
      <w:r>
        <w:t>ed</w:t>
      </w:r>
      <w:r w:rsidR="00A034B4">
        <w:t xml:space="preserve"> that they have </w:t>
      </w:r>
      <w:r w:rsidR="00A034B4" w:rsidRPr="00A96E79">
        <w:t>experienced improvements in their wellbeing following their surgery</w:t>
      </w:r>
      <w:r w:rsidR="00A034B4">
        <w:t xml:space="preserve"> on the bus. </w:t>
      </w:r>
    </w:p>
    <w:p w:rsidR="00061942" w:rsidRDefault="00D57D2C" w:rsidP="00061942">
      <w:pPr>
        <w:pStyle w:val="UnnumtextBodytext"/>
      </w:pPr>
      <w:r w:rsidRPr="00D57D2C">
        <w:rPr>
          <w:b/>
        </w:rPr>
        <w:t>DHBs appear comfortable with referral pathways and waiting times</w:t>
      </w:r>
      <w:r>
        <w:t xml:space="preserve">. </w:t>
      </w:r>
      <w:r w:rsidR="00061942">
        <w:t>The district health boards that we spoke with appeared to be satisfied that the referral pathways and waiting times for the mobile surgical service did not place rural at any systemic or material disadvantage, relative to their non-rural counterparts that live closer to a base hospital (or vice versa). The bus was seen as small but useful supplementary capacity, helping DHBs to manage the shorter targets for patient waiting times. We conclude that the capacity is the equivalent of one additional day surgery list per month for most host DHBs, and up to one extra list per week for DHBs with multiple hosting sites.</w:t>
      </w:r>
    </w:p>
    <w:p w:rsidR="00061942" w:rsidRDefault="00D57D2C" w:rsidP="00061942">
      <w:pPr>
        <w:pStyle w:val="UnnumtextBodytext"/>
      </w:pPr>
      <w:r w:rsidRPr="00D57D2C">
        <w:rPr>
          <w:b/>
        </w:rPr>
        <w:lastRenderedPageBreak/>
        <w:t>Rural sites are highly supportive of the mobile service</w:t>
      </w:r>
      <w:r>
        <w:t xml:space="preserve">. </w:t>
      </w:r>
      <w:r w:rsidR="007C259F">
        <w:t>I</w:t>
      </w:r>
      <w:r w:rsidR="00061942">
        <w:t xml:space="preserve">n most, cases the rural hospitals and their local communities were highly welcoming of the bus and the opportunity for local nurses to work on board. Many saw the bus as something of a replacement for earlier loss of surgical services, following a </w:t>
      </w:r>
      <w:proofErr w:type="spellStart"/>
      <w:r w:rsidR="00061942">
        <w:t>centralisation</w:t>
      </w:r>
      <w:proofErr w:type="spellEnd"/>
      <w:r w:rsidR="00061942">
        <w:t xml:space="preserve"> of surgery during the 1990s. </w:t>
      </w:r>
    </w:p>
    <w:p w:rsidR="00AF1A26" w:rsidRDefault="00AF1A26" w:rsidP="00AF1A26">
      <w:pPr>
        <w:pStyle w:val="UnnumtextBodytext"/>
      </w:pPr>
      <w:r w:rsidRPr="00D57D2C">
        <w:rPr>
          <w:b/>
        </w:rPr>
        <w:t>It is not implausible that the mobile surgical service is operating as cost-effectively as the alternative of base hospital delivery</w:t>
      </w:r>
      <w:r w:rsidR="006859E0">
        <w:t>, once the effective contract price is adjusted to take account of over-delivery of volumes, and avoided costs</w:t>
      </w:r>
      <w:r w:rsidRPr="00AF1A26">
        <w:t>. This view is offered without fully knowing the underlying cost structures and whether there is ongoing cross-</w:t>
      </w:r>
      <w:proofErr w:type="spellStart"/>
      <w:r w:rsidRPr="00AF1A26">
        <w:t>subsidisation</w:t>
      </w:r>
      <w:proofErr w:type="spellEnd"/>
      <w:r w:rsidRPr="00AF1A26">
        <w:t xml:space="preserve"> towards the mobile surgical service from the other components</w:t>
      </w:r>
      <w:r>
        <w:t>.</w:t>
      </w:r>
      <w:r w:rsidR="006859E0" w:rsidRPr="006859E0">
        <w:t xml:space="preserve"> </w:t>
      </w:r>
      <w:r w:rsidR="006859E0">
        <w:t>In the absence of a full “bottom-up” costing exercise, any further attempts to assess service cost-effectiveness will continue to rely on this type of partial, contract-based approach.</w:t>
      </w:r>
    </w:p>
    <w:p w:rsidR="00D55B3C" w:rsidRDefault="00847055" w:rsidP="001458C0">
      <w:pPr>
        <w:pStyle w:val="UnnumtextBodytext"/>
      </w:pPr>
      <w:r w:rsidRPr="00847055">
        <w:rPr>
          <w:b/>
        </w:rPr>
        <w:t>The rates of return appear to be at the high end</w:t>
      </w:r>
      <w:r>
        <w:t xml:space="preserve">. </w:t>
      </w:r>
      <w:r w:rsidR="00D55B3C" w:rsidRPr="00D55B3C">
        <w:t xml:space="preserve">We were advised by the provider that </w:t>
      </w:r>
      <w:r w:rsidR="00D55B3C">
        <w:t xml:space="preserve">the pre-tax return on the cost value of the asset base employed in the business for 2012/13 was 11.5% (or a post-tax return of 8.3%). However, </w:t>
      </w:r>
      <w:r w:rsidR="00D55B3C" w:rsidRPr="00BB79B3">
        <w:t xml:space="preserve">we </w:t>
      </w:r>
      <w:r w:rsidR="00D55B3C">
        <w:t xml:space="preserve">offer these figures without having conducted </w:t>
      </w:r>
      <w:r w:rsidR="00D55B3C" w:rsidRPr="00BB79B3">
        <w:t>a detailed appraisal the company accounts</w:t>
      </w:r>
      <w:r w:rsidR="00D55B3C">
        <w:t>.</w:t>
      </w:r>
    </w:p>
    <w:p w:rsidR="00006285" w:rsidRDefault="00006285" w:rsidP="00006285">
      <w:pPr>
        <w:pStyle w:val="UnnumtextBodytext"/>
      </w:pPr>
      <w:r>
        <w:rPr>
          <w:b/>
        </w:rPr>
        <w:t>T</w:t>
      </w:r>
      <w:r w:rsidRPr="00D57D2C">
        <w:rPr>
          <w:b/>
        </w:rPr>
        <w:t>he service has demonstrated that it is well-planned and well-managed</w:t>
      </w:r>
      <w:r>
        <w:t xml:space="preserve"> by the fact that the bus reliably turns up at two dozen sites on a regular five-week cycle, largely without incident. Stakeholders could only recall one recent vehicle breakdown – a case where the provider was prepared to go the extra mile to ensure the surgical list was not cancelled.  Furthermore, the s</w:t>
      </w:r>
      <w:r w:rsidRPr="00A96E79">
        <w:t xml:space="preserve">taff </w:t>
      </w:r>
      <w:r>
        <w:t>employed or contracted by MSS Ltd were seen by stakeholders as “flexible” and willing to discuss other approaches, while patients and caregivers generally rate their experiences with staff very highly.</w:t>
      </w:r>
    </w:p>
    <w:p w:rsidR="004C0568" w:rsidRDefault="004C0568" w:rsidP="004C0568">
      <w:pPr>
        <w:pStyle w:val="UnnumtextBodytext"/>
      </w:pPr>
      <w:r w:rsidRPr="00D57D2C">
        <w:rPr>
          <w:b/>
        </w:rPr>
        <w:t>We would conclude that the mobile surgical service largely fulfills the objective</w:t>
      </w:r>
      <w:r w:rsidR="00D57D2C">
        <w:rPr>
          <w:b/>
        </w:rPr>
        <w:t>s</w:t>
      </w:r>
      <w:r>
        <w:t xml:space="preserve"> set out in the contract </w:t>
      </w:r>
      <w:r w:rsidR="00D57D2C">
        <w:t>–</w:t>
      </w:r>
      <w:r>
        <w:t xml:space="preserve"> of providing access to a (reasonably) wide range of day surgical procedures in rural communities in a timely way. In doing so, there is evidence that it is improving access to elective surgery for patients in rural communities and assisting DHBs to, at the margin, meet their elective surgical services key performance indicators.</w:t>
      </w:r>
    </w:p>
    <w:p w:rsidR="00310E6D" w:rsidRDefault="00310E6D" w:rsidP="00AF1A26">
      <w:pPr>
        <w:pStyle w:val="Heading2"/>
      </w:pPr>
      <w:bookmarkStart w:id="162" w:name="_Toc423945962"/>
      <w:r>
        <w:t>Rural health professional development services</w:t>
      </w:r>
      <w:bookmarkEnd w:id="162"/>
    </w:p>
    <w:p w:rsidR="00DF5C3F" w:rsidRPr="007C45F1" w:rsidRDefault="006E063F" w:rsidP="006E063F">
      <w:pPr>
        <w:pStyle w:val="UnnumtextBodytext"/>
      </w:pPr>
      <w:r w:rsidRPr="006E063F">
        <w:rPr>
          <w:b/>
        </w:rPr>
        <w:t xml:space="preserve">Continuing Professional Development sessions are seen as relevant and engaging. </w:t>
      </w:r>
      <w:r>
        <w:t>P</w:t>
      </w:r>
      <w:r w:rsidRPr="006E063F">
        <w:t>articipants were uniformly positive</w:t>
      </w:r>
      <w:r>
        <w:t xml:space="preserve"> about the relevance and quality of the content of these </w:t>
      </w:r>
      <w:r w:rsidR="00006285">
        <w:t xml:space="preserve">telepresence-based </w:t>
      </w:r>
      <w:r>
        <w:t>sessions</w:t>
      </w:r>
      <w:r w:rsidR="00006285">
        <w:t>, which form the largest volume of professional development services</w:t>
      </w:r>
      <w:r w:rsidRPr="006E063F">
        <w:t>. Some participants highlighted occasions where they felt the topic or presenters had been tailored to their rural context.</w:t>
      </w:r>
      <w:r>
        <w:t xml:space="preserve"> Several p</w:t>
      </w:r>
      <w:r w:rsidRPr="006E063F">
        <w:t>articipants</w:t>
      </w:r>
      <w:r>
        <w:t xml:space="preserve"> also commented that the </w:t>
      </w:r>
      <w:r w:rsidR="007C45F1">
        <w:t>sessions can enable local networks to be built and maintained</w:t>
      </w:r>
      <w:r>
        <w:t xml:space="preserve">, as the training </w:t>
      </w:r>
      <w:r w:rsidR="007C45F1" w:rsidRPr="007C45F1">
        <w:t>open</w:t>
      </w:r>
      <w:r w:rsidR="00DF5C3F" w:rsidRPr="007C45F1">
        <w:t xml:space="preserve"> </w:t>
      </w:r>
      <w:r w:rsidR="007C45F1" w:rsidRPr="007C45F1">
        <w:t>to other provid</w:t>
      </w:r>
      <w:r w:rsidR="007C45F1">
        <w:t>ers located</w:t>
      </w:r>
      <w:r>
        <w:t xml:space="preserve"> in and around the rural sites.</w:t>
      </w:r>
      <w:r w:rsidR="007C45F1">
        <w:t xml:space="preserve"> </w:t>
      </w:r>
    </w:p>
    <w:p w:rsidR="00006285" w:rsidRDefault="006E063F" w:rsidP="006E063F">
      <w:pPr>
        <w:pStyle w:val="UnnumtextBodytext"/>
      </w:pPr>
      <w:r w:rsidRPr="006E063F">
        <w:rPr>
          <w:b/>
        </w:rPr>
        <w:t>There is some evidence that the skills are being applied</w:t>
      </w:r>
      <w:r>
        <w:t>. Several of the nurse</w:t>
      </w:r>
      <w:r w:rsidR="00006285">
        <w:t>s commented that the training on patient</w:t>
      </w:r>
      <w:r>
        <w:t xml:space="preserve"> airway management and resuscitation skills</w:t>
      </w:r>
      <w:r w:rsidR="00006285">
        <w:t xml:space="preserve"> would be applicable to their roles – for those working in wards or emergency departments of rural hospitals</w:t>
      </w:r>
      <w:r>
        <w:t xml:space="preserve">. </w:t>
      </w:r>
      <w:r w:rsidR="00006285">
        <w:t>In terms of Surgical Skills for GPs, a</w:t>
      </w:r>
      <w:r w:rsidR="00006285" w:rsidRPr="004C0568">
        <w:t xml:space="preserve">ccess to </w:t>
      </w:r>
      <w:r w:rsidR="00006285">
        <w:t xml:space="preserve">a </w:t>
      </w:r>
      <w:r w:rsidR="00006285" w:rsidRPr="004C0568">
        <w:t xml:space="preserve">day </w:t>
      </w:r>
      <w:r w:rsidR="00006285">
        <w:t xml:space="preserve">of </w:t>
      </w:r>
      <w:r w:rsidR="00006285" w:rsidRPr="004C0568">
        <w:t xml:space="preserve">surgery </w:t>
      </w:r>
      <w:r w:rsidR="00006285">
        <w:t xml:space="preserve">allows GPs an </w:t>
      </w:r>
      <w:r w:rsidR="00006285" w:rsidRPr="004C0568">
        <w:t>opportunity to spend extended time with the specialist</w:t>
      </w:r>
      <w:r w:rsidR="00006285">
        <w:t>. As one general practitioner commented, this can have dual benefits – not only the acquisition of practical skills, but the chance to seek advice about patient management</w:t>
      </w:r>
    </w:p>
    <w:p w:rsidR="006E063F" w:rsidRDefault="00006285" w:rsidP="006E063F">
      <w:pPr>
        <w:pStyle w:val="UnnumtextBodytext"/>
      </w:pPr>
      <w:r>
        <w:rPr>
          <w:b/>
        </w:rPr>
        <w:lastRenderedPageBreak/>
        <w:t>The training may not be material for r</w:t>
      </w:r>
      <w:r w:rsidR="006E063F" w:rsidRPr="00006285">
        <w:rPr>
          <w:b/>
        </w:rPr>
        <w:t>ecruitment and retention</w:t>
      </w:r>
      <w:r>
        <w:t xml:space="preserve">. </w:t>
      </w:r>
      <w:r w:rsidR="006E063F">
        <w:t>We did not find managers arguing that the training sessions or opportunities to work on the bus are material factors in their nursing workforce recruitment or retention. A couple of managers commented that the nursing roles in their rural hospitals tend to be settled and typically sought-after</w:t>
      </w:r>
      <w:r>
        <w:rPr>
          <w:i/>
        </w:rPr>
        <w:t>.</w:t>
      </w:r>
      <w:r>
        <w:t xml:space="preserve"> Balancing this, t</w:t>
      </w:r>
      <w:r w:rsidR="006E063F">
        <w:t xml:space="preserve">wo </w:t>
      </w:r>
      <w:proofErr w:type="spellStart"/>
      <w:r w:rsidR="006E063F">
        <w:t>organisations</w:t>
      </w:r>
      <w:proofErr w:type="spellEnd"/>
      <w:r w:rsidR="006E063F">
        <w:t xml:space="preserve"> did comment that they valued being able to offer training aboard the bus to their general practitioners. In one case, it may have helped with the recruitment of doctors to work in a rural hospital setting. </w:t>
      </w:r>
    </w:p>
    <w:p w:rsidR="00310E6D" w:rsidRDefault="00310E6D" w:rsidP="0028029C">
      <w:pPr>
        <w:pStyle w:val="Heading2"/>
      </w:pPr>
      <w:bookmarkStart w:id="163" w:name="_Toc388884635"/>
      <w:bookmarkStart w:id="164" w:name="_Toc388887621"/>
      <w:bookmarkStart w:id="165" w:name="_Toc388901016"/>
      <w:bookmarkStart w:id="166" w:name="_Toc388905446"/>
      <w:bookmarkStart w:id="167" w:name="_Toc388907635"/>
      <w:bookmarkStart w:id="168" w:name="_Toc388909314"/>
      <w:bookmarkStart w:id="169" w:name="_Toc388910186"/>
      <w:bookmarkStart w:id="170" w:name="_Toc388912702"/>
      <w:bookmarkStart w:id="171" w:name="_Toc388950641"/>
      <w:bookmarkStart w:id="172" w:name="_Toc388952972"/>
      <w:bookmarkStart w:id="173" w:name="_Toc388955295"/>
      <w:bookmarkStart w:id="174" w:name="_Toc388956844"/>
      <w:bookmarkStart w:id="175" w:name="_Toc388957120"/>
      <w:bookmarkStart w:id="176" w:name="_Toc423945963"/>
      <w:bookmarkEnd w:id="163"/>
      <w:bookmarkEnd w:id="164"/>
      <w:bookmarkEnd w:id="165"/>
      <w:bookmarkEnd w:id="166"/>
      <w:bookmarkEnd w:id="167"/>
      <w:bookmarkEnd w:id="168"/>
      <w:bookmarkEnd w:id="169"/>
      <w:bookmarkEnd w:id="170"/>
      <w:bookmarkEnd w:id="171"/>
      <w:bookmarkEnd w:id="172"/>
      <w:bookmarkEnd w:id="173"/>
      <w:bookmarkEnd w:id="174"/>
      <w:bookmarkEnd w:id="175"/>
      <w:r>
        <w:t>Remote collaboration services</w:t>
      </w:r>
      <w:bookmarkEnd w:id="176"/>
    </w:p>
    <w:p w:rsidR="00DB27C1" w:rsidRDefault="00577AC7">
      <w:pPr>
        <w:spacing w:after="0" w:line="240" w:lineRule="auto"/>
      </w:pPr>
      <w:r w:rsidRPr="00577AC7">
        <w:rPr>
          <w:b/>
        </w:rPr>
        <w:t xml:space="preserve">Remote collaboration has refocused to include rural conferences and </w:t>
      </w:r>
      <w:r w:rsidR="00DB27C1">
        <w:rPr>
          <w:b/>
        </w:rPr>
        <w:t xml:space="preserve">a </w:t>
      </w:r>
      <w:r w:rsidRPr="00577AC7">
        <w:rPr>
          <w:b/>
        </w:rPr>
        <w:t>rural immersion programme</w:t>
      </w:r>
      <w:r w:rsidRPr="00DB27C1">
        <w:t>.</w:t>
      </w:r>
      <w:r>
        <w:t xml:space="preserve"> We understand that it has proved difficult to bring sufficient clinicians on board for the practical delivery of this concept, which had</w:t>
      </w:r>
      <w:r w:rsidR="00DB27C1">
        <w:t xml:space="preserve"> envisaged clinician collaboration over mortali</w:t>
      </w:r>
      <w:r w:rsidR="00DB27C1" w:rsidRPr="00FB01F1">
        <w:t>ty reviews</w:t>
      </w:r>
      <w:r w:rsidR="00DB27C1">
        <w:t>,</w:t>
      </w:r>
      <w:r w:rsidR="00DB27C1" w:rsidRPr="00FB01F1">
        <w:t xml:space="preserve"> difficult diagnos</w:t>
      </w:r>
      <w:r w:rsidR="00DB27C1">
        <w:t xml:space="preserve">es, and surgical </w:t>
      </w:r>
      <w:r w:rsidR="00DB27C1" w:rsidRPr="00FB01F1">
        <w:t>observ</w:t>
      </w:r>
      <w:r w:rsidR="00DB27C1">
        <w:t>ations</w:t>
      </w:r>
      <w:r>
        <w:t>. The focus has increasingly shifted in</w:t>
      </w:r>
      <w:r w:rsidRPr="00FB01F1">
        <w:t xml:space="preserve">to </w:t>
      </w:r>
      <w:r>
        <w:t>other areas where there is scope to use the technology, such as supporting rural participation in conferences and medical student immersion in rural settings</w:t>
      </w:r>
      <w:r w:rsidR="00DB27C1">
        <w:t xml:space="preserve">. </w:t>
      </w:r>
    </w:p>
    <w:p w:rsidR="00DB27C1" w:rsidRDefault="00DB27C1">
      <w:pPr>
        <w:spacing w:after="0" w:line="240" w:lineRule="auto"/>
      </w:pPr>
    </w:p>
    <w:p w:rsidR="006E063F" w:rsidRDefault="00DB27C1">
      <w:pPr>
        <w:spacing w:after="0" w:line="240" w:lineRule="auto"/>
      </w:pPr>
      <w:r>
        <w:t xml:space="preserve">Arguably, much of the activity being carried out under this component is part of a broader education/professional development theme. It might make sense to consider how funding and reporting could be simplified under one component that covers the current activities under the rural professional development and remote collaboration components.  </w:t>
      </w:r>
    </w:p>
    <w:p w:rsidR="004C1259" w:rsidRDefault="00A034B4" w:rsidP="00A034B4">
      <w:pPr>
        <w:pStyle w:val="Heading2"/>
      </w:pPr>
      <w:bookmarkStart w:id="177" w:name="_Toc423945964"/>
      <w:r>
        <w:t>Looking across the services</w:t>
      </w:r>
      <w:bookmarkEnd w:id="177"/>
    </w:p>
    <w:p w:rsidR="00DB381B" w:rsidRDefault="007C259F" w:rsidP="00061942">
      <w:pPr>
        <w:pStyle w:val="UnnumtextBodytext"/>
        <w:rPr>
          <w:lang w:eastAsia="en-NZ"/>
        </w:rPr>
      </w:pPr>
      <w:r w:rsidRPr="007C259F">
        <w:rPr>
          <w:b/>
          <w:lang w:eastAsia="en-NZ"/>
        </w:rPr>
        <w:t xml:space="preserve">Some signs of </w:t>
      </w:r>
      <w:r>
        <w:rPr>
          <w:b/>
          <w:lang w:eastAsia="en-NZ"/>
        </w:rPr>
        <w:t>“</w:t>
      </w:r>
      <w:r w:rsidRPr="007C259F">
        <w:rPr>
          <w:b/>
          <w:lang w:eastAsia="en-NZ"/>
        </w:rPr>
        <w:t>Better, Sooner, More Convenient</w:t>
      </w:r>
      <w:r>
        <w:rPr>
          <w:b/>
          <w:lang w:eastAsia="en-NZ"/>
        </w:rPr>
        <w:t>”</w:t>
      </w:r>
      <w:r w:rsidRPr="007C259F">
        <w:rPr>
          <w:lang w:eastAsia="en-NZ"/>
        </w:rPr>
        <w:t>.</w:t>
      </w:r>
      <w:r>
        <w:rPr>
          <w:lang w:eastAsia="en-NZ"/>
        </w:rPr>
        <w:t xml:space="preserve"> L</w:t>
      </w:r>
      <w:r w:rsidR="00785586">
        <w:rPr>
          <w:lang w:eastAsia="en-NZ"/>
        </w:rPr>
        <w:t xml:space="preserve">ooking across the services we found some signs that they are consistent with the </w:t>
      </w:r>
      <w:r w:rsidR="00A034B4" w:rsidRPr="00E51D90">
        <w:rPr>
          <w:lang w:eastAsia="en-NZ"/>
        </w:rPr>
        <w:t xml:space="preserve">objectives of service integration </w:t>
      </w:r>
      <w:r w:rsidR="00785586">
        <w:rPr>
          <w:lang w:eastAsia="en-NZ"/>
        </w:rPr>
        <w:t xml:space="preserve">articulated under </w:t>
      </w:r>
      <w:r w:rsidR="00A034B4" w:rsidRPr="00E51D90">
        <w:rPr>
          <w:lang w:eastAsia="en-NZ"/>
        </w:rPr>
        <w:t>t</w:t>
      </w:r>
      <w:r w:rsidR="00785586">
        <w:rPr>
          <w:lang w:eastAsia="en-NZ"/>
        </w:rPr>
        <w:t>he</w:t>
      </w:r>
      <w:r w:rsidR="00A034B4" w:rsidRPr="00E51D90">
        <w:rPr>
          <w:lang w:eastAsia="en-NZ"/>
        </w:rPr>
        <w:t xml:space="preserve"> “B</w:t>
      </w:r>
      <w:r w:rsidR="00785586">
        <w:rPr>
          <w:lang w:eastAsia="en-NZ"/>
        </w:rPr>
        <w:t>etter, Sooner, More Convenient” initiative.</w:t>
      </w:r>
      <w:r w:rsidR="00061942">
        <w:rPr>
          <w:lang w:eastAsia="en-NZ"/>
        </w:rPr>
        <w:t xml:space="preserve"> </w:t>
      </w:r>
    </w:p>
    <w:p w:rsidR="009B086C" w:rsidRDefault="009B086C" w:rsidP="00DB381B">
      <w:pPr>
        <w:pStyle w:val="UnnumtextBullet1"/>
        <w:rPr>
          <w:lang w:eastAsia="en-NZ"/>
        </w:rPr>
      </w:pPr>
      <w:r>
        <w:rPr>
          <w:lang w:eastAsia="en-NZ"/>
        </w:rPr>
        <w:t>Rural p</w:t>
      </w:r>
      <w:r w:rsidR="00DB381B">
        <w:rPr>
          <w:lang w:eastAsia="en-NZ"/>
        </w:rPr>
        <w:t>atients</w:t>
      </w:r>
      <w:r w:rsidR="007C259F">
        <w:rPr>
          <w:lang w:eastAsia="en-NZ"/>
        </w:rPr>
        <w:t>, often from relatively high-need groups,</w:t>
      </w:r>
      <w:r w:rsidR="00DB381B">
        <w:rPr>
          <w:lang w:eastAsia="en-NZ"/>
        </w:rPr>
        <w:t xml:space="preserve"> </w:t>
      </w:r>
      <w:r>
        <w:rPr>
          <w:lang w:eastAsia="en-NZ"/>
        </w:rPr>
        <w:t xml:space="preserve">are able to </w:t>
      </w:r>
      <w:r w:rsidR="00DB381B">
        <w:rPr>
          <w:lang w:eastAsia="en-NZ"/>
        </w:rPr>
        <w:t xml:space="preserve">access elective </w:t>
      </w:r>
      <w:r>
        <w:rPr>
          <w:lang w:eastAsia="en-NZ"/>
        </w:rPr>
        <w:t>day surgery in a way that is close</w:t>
      </w:r>
      <w:r w:rsidR="00726D12">
        <w:rPr>
          <w:lang w:eastAsia="en-NZ"/>
        </w:rPr>
        <w:t>r</w:t>
      </w:r>
      <w:r>
        <w:rPr>
          <w:lang w:eastAsia="en-NZ"/>
        </w:rPr>
        <w:t xml:space="preserve"> to home and “more convenient” for them;</w:t>
      </w:r>
    </w:p>
    <w:p w:rsidR="00726D12" w:rsidRDefault="007C259F" w:rsidP="00726D12">
      <w:pPr>
        <w:pStyle w:val="UnnumtextBullet1"/>
        <w:spacing w:after="170"/>
        <w:rPr>
          <w:lang w:eastAsia="en-NZ"/>
        </w:rPr>
      </w:pPr>
      <w:r>
        <w:rPr>
          <w:lang w:eastAsia="en-NZ"/>
        </w:rPr>
        <w:t>Some</w:t>
      </w:r>
      <w:r w:rsidR="00DB381B">
        <w:rPr>
          <w:lang w:eastAsia="en-NZ"/>
        </w:rPr>
        <w:t xml:space="preserve"> new </w:t>
      </w:r>
      <w:r w:rsidR="001E5DF5">
        <w:rPr>
          <w:lang w:eastAsia="en-NZ"/>
        </w:rPr>
        <w:t>patient pathways</w:t>
      </w:r>
      <w:r>
        <w:rPr>
          <w:lang w:eastAsia="en-NZ"/>
        </w:rPr>
        <w:t xml:space="preserve"> being supported or enabled by the mobile surgical service</w:t>
      </w:r>
      <w:r w:rsidR="00E71493">
        <w:rPr>
          <w:lang w:eastAsia="en-NZ"/>
        </w:rPr>
        <w:t>,</w:t>
      </w:r>
      <w:r>
        <w:rPr>
          <w:lang w:eastAsia="en-NZ"/>
        </w:rPr>
        <w:t xml:space="preserve"> for example, </w:t>
      </w:r>
      <w:r w:rsidR="00DB0F0D">
        <w:rPr>
          <w:lang w:eastAsia="en-NZ"/>
        </w:rPr>
        <w:t xml:space="preserve">in one case, a DHB had approved a GP with a “special interest” to </w:t>
      </w:r>
      <w:r w:rsidR="00E71493">
        <w:rPr>
          <w:lang w:eastAsia="en-NZ"/>
        </w:rPr>
        <w:t>handl</w:t>
      </w:r>
      <w:r w:rsidR="00DB0F0D">
        <w:rPr>
          <w:lang w:eastAsia="en-NZ"/>
        </w:rPr>
        <w:t>e</w:t>
      </w:r>
      <w:r w:rsidR="00E71493">
        <w:rPr>
          <w:lang w:eastAsia="en-NZ"/>
        </w:rPr>
        <w:t xml:space="preserve"> </w:t>
      </w:r>
      <w:r w:rsidR="00DB0F0D">
        <w:rPr>
          <w:lang w:eastAsia="en-NZ"/>
        </w:rPr>
        <w:t xml:space="preserve">community-based </w:t>
      </w:r>
      <w:r w:rsidR="00E71493">
        <w:rPr>
          <w:lang w:eastAsia="en-NZ"/>
        </w:rPr>
        <w:t xml:space="preserve">first specialist assessments </w:t>
      </w:r>
      <w:r>
        <w:rPr>
          <w:lang w:eastAsia="en-NZ"/>
        </w:rPr>
        <w:t>and referrals to the mobile surgical service</w:t>
      </w:r>
      <w:r w:rsidR="00E71493">
        <w:rPr>
          <w:lang w:eastAsia="en-NZ"/>
        </w:rPr>
        <w:t xml:space="preserve">. </w:t>
      </w:r>
    </w:p>
    <w:p w:rsidR="00061942" w:rsidRDefault="00726D12" w:rsidP="00726D12">
      <w:pPr>
        <w:pStyle w:val="UnnumtextBullet1"/>
        <w:spacing w:after="170"/>
        <w:rPr>
          <w:lang w:eastAsia="en-NZ"/>
        </w:rPr>
      </w:pPr>
      <w:r>
        <w:rPr>
          <w:lang w:eastAsia="en-NZ"/>
        </w:rPr>
        <w:t>Specialists are sharing knowledge to enable patients to be better managed within the community. There was an example of a</w:t>
      </w:r>
      <w:r w:rsidR="00E71493">
        <w:rPr>
          <w:lang w:eastAsia="en-NZ"/>
        </w:rPr>
        <w:t xml:space="preserve"> GP </w:t>
      </w:r>
      <w:r>
        <w:rPr>
          <w:lang w:eastAsia="en-NZ"/>
        </w:rPr>
        <w:t xml:space="preserve">being </w:t>
      </w:r>
      <w:r w:rsidR="00E71493">
        <w:rPr>
          <w:lang w:eastAsia="en-NZ"/>
        </w:rPr>
        <w:t xml:space="preserve">able </w:t>
      </w:r>
      <w:r>
        <w:rPr>
          <w:lang w:eastAsia="en-NZ"/>
        </w:rPr>
        <w:t xml:space="preserve">to </w:t>
      </w:r>
      <w:r w:rsidR="00E71493">
        <w:rPr>
          <w:lang w:eastAsia="en-NZ"/>
        </w:rPr>
        <w:t xml:space="preserve">draw on training from </w:t>
      </w:r>
      <w:r>
        <w:rPr>
          <w:lang w:eastAsia="en-NZ"/>
        </w:rPr>
        <w:t xml:space="preserve">a hospital-based specialist while aboard the surgical </w:t>
      </w:r>
      <w:r w:rsidR="00E71493">
        <w:rPr>
          <w:lang w:eastAsia="en-NZ"/>
        </w:rPr>
        <w:t>bus</w:t>
      </w:r>
      <w:r>
        <w:rPr>
          <w:lang w:eastAsia="en-NZ"/>
        </w:rPr>
        <w:t>. This meant improvements in the</w:t>
      </w:r>
      <w:r w:rsidR="00E71493">
        <w:rPr>
          <w:lang w:eastAsia="en-NZ"/>
        </w:rPr>
        <w:t xml:space="preserve"> delivery of minor surgery in a rural medical </w:t>
      </w:r>
      <w:proofErr w:type="spellStart"/>
      <w:r w:rsidR="00E71493">
        <w:rPr>
          <w:lang w:eastAsia="en-NZ"/>
        </w:rPr>
        <w:t>centre</w:t>
      </w:r>
      <w:proofErr w:type="spellEnd"/>
      <w:r>
        <w:rPr>
          <w:lang w:eastAsia="en-NZ"/>
        </w:rPr>
        <w:t xml:space="preserve"> and advice on how to manage certain patients </w:t>
      </w:r>
      <w:r w:rsidR="00577AC7">
        <w:rPr>
          <w:lang w:eastAsia="en-NZ"/>
        </w:rPr>
        <w:t>who would not meet the threshold for outpatient referral</w:t>
      </w:r>
      <w:r w:rsidR="00E71493">
        <w:rPr>
          <w:lang w:eastAsia="en-NZ"/>
        </w:rPr>
        <w:t xml:space="preserve">.  </w:t>
      </w:r>
      <w:r w:rsidR="007C259F">
        <w:rPr>
          <w:lang w:eastAsia="en-NZ"/>
        </w:rPr>
        <w:t xml:space="preserve">  </w:t>
      </w:r>
      <w:r w:rsidR="001E5DF5">
        <w:rPr>
          <w:lang w:eastAsia="en-NZ"/>
        </w:rPr>
        <w:t xml:space="preserve"> </w:t>
      </w:r>
    </w:p>
    <w:p w:rsidR="00337FFD" w:rsidRDefault="007C259F" w:rsidP="00A034B4">
      <w:pPr>
        <w:pStyle w:val="UnnumtextBodytext"/>
      </w:pPr>
      <w:r w:rsidRPr="007C259F">
        <w:rPr>
          <w:b/>
        </w:rPr>
        <w:t xml:space="preserve">Rural professional development and remote collaboration appear to fit </w:t>
      </w:r>
      <w:r>
        <w:rPr>
          <w:b/>
        </w:rPr>
        <w:t>well</w:t>
      </w:r>
      <w:r>
        <w:t xml:space="preserve">. </w:t>
      </w:r>
      <w:r w:rsidR="00A034B4">
        <w:t>The service components of r</w:t>
      </w:r>
      <w:r w:rsidR="00A034B4" w:rsidRPr="0063106E">
        <w:t xml:space="preserve">ural professional development and remote collaboration </w:t>
      </w:r>
      <w:r w:rsidR="00A034B4">
        <w:t>appear to naturally fit together</w:t>
      </w:r>
      <w:r w:rsidR="00337FFD">
        <w:t xml:space="preserve"> </w:t>
      </w:r>
      <w:r w:rsidR="00A034B4">
        <w:t>in that both services tend to use the same telepresence capability, infrastructure and networks of people.</w:t>
      </w:r>
      <w:r w:rsidR="00337FFD">
        <w:t xml:space="preserve"> </w:t>
      </w:r>
    </w:p>
    <w:p w:rsidR="00577AC7" w:rsidRDefault="00577AC7" w:rsidP="00A034B4">
      <w:pPr>
        <w:pStyle w:val="UnnumtextBodytext"/>
      </w:pPr>
      <w:r w:rsidRPr="00577AC7">
        <w:rPr>
          <w:b/>
        </w:rPr>
        <w:t>The mobile surgical service could be seen as separate.</w:t>
      </w:r>
      <w:r>
        <w:t xml:space="preserve"> </w:t>
      </w:r>
      <w:r w:rsidR="00A034B4">
        <w:t xml:space="preserve">As for any inherent relationship between those services and the </w:t>
      </w:r>
      <w:r w:rsidR="00726D12">
        <w:t xml:space="preserve">mobile </w:t>
      </w:r>
      <w:r w:rsidR="00A034B4">
        <w:t xml:space="preserve">surgical service, </w:t>
      </w:r>
      <w:r w:rsidR="00337FFD">
        <w:t>it is not clear that it is necessary in an operational sense.</w:t>
      </w:r>
      <w:r w:rsidR="00785586">
        <w:t xml:space="preserve"> </w:t>
      </w:r>
      <w:r w:rsidR="00A034B4">
        <w:t xml:space="preserve">The telepresence function </w:t>
      </w:r>
      <w:r w:rsidR="00337FFD">
        <w:t xml:space="preserve">does </w:t>
      </w:r>
      <w:r w:rsidR="00A034B4">
        <w:t xml:space="preserve">not </w:t>
      </w:r>
      <w:r w:rsidR="00337FFD">
        <w:t xml:space="preserve">appear to be </w:t>
      </w:r>
      <w:r w:rsidR="00A034B4">
        <w:t xml:space="preserve">used in relation to </w:t>
      </w:r>
      <w:r w:rsidR="00337FFD">
        <w:t xml:space="preserve">mobile surgery, other than for demonstrations </w:t>
      </w:r>
      <w:r w:rsidR="00A034B4">
        <w:t xml:space="preserve">– </w:t>
      </w:r>
      <w:r w:rsidR="00076001">
        <w:t>which could</w:t>
      </w:r>
      <w:r w:rsidR="00A034B4">
        <w:t xml:space="preserve"> happen at a</w:t>
      </w:r>
      <w:r>
        <w:t>ny</w:t>
      </w:r>
      <w:r w:rsidR="00A034B4">
        <w:t xml:space="preserve"> base hospital</w:t>
      </w:r>
      <w:r w:rsidR="00785586">
        <w:t xml:space="preserve">. </w:t>
      </w:r>
      <w:r w:rsidR="00831B8A">
        <w:t xml:space="preserve">Nevertheless, there may be some efficiency to be gained from having the surgical and telepresence components delivered by same provider (e.g. shared corporate overheads). </w:t>
      </w:r>
      <w:r>
        <w:t xml:space="preserve"> </w:t>
      </w:r>
    </w:p>
    <w:p w:rsidR="00A71EEE" w:rsidRPr="00D902B5" w:rsidRDefault="00A71EEE" w:rsidP="0022135D">
      <w:pPr>
        <w:pStyle w:val="Heading1"/>
        <w:numPr>
          <w:ilvl w:val="0"/>
          <w:numId w:val="0"/>
        </w:numPr>
        <w:ind w:left="851" w:hanging="851"/>
      </w:pPr>
      <w:bookmarkStart w:id="178" w:name="_Toc251154218"/>
      <w:bookmarkStart w:id="179" w:name="_Toc251154266"/>
      <w:bookmarkStart w:id="180" w:name="_Toc251154801"/>
      <w:bookmarkStart w:id="181" w:name="_Toc251232264"/>
      <w:bookmarkStart w:id="182" w:name="_Toc251232928"/>
      <w:bookmarkStart w:id="183" w:name="_Toc251233493"/>
      <w:bookmarkStart w:id="184" w:name="_Toc251233519"/>
      <w:bookmarkStart w:id="185" w:name="_Toc251233607"/>
      <w:bookmarkStart w:id="186" w:name="_Toc251927812"/>
      <w:bookmarkStart w:id="187" w:name="_Toc251927932"/>
      <w:bookmarkStart w:id="188" w:name="_Toc251927974"/>
      <w:bookmarkStart w:id="189" w:name="_Toc251928031"/>
      <w:bookmarkStart w:id="190" w:name="_Toc423945965"/>
      <w:r w:rsidRPr="00D902B5">
        <w:lastRenderedPageBreak/>
        <w:t>References</w:t>
      </w:r>
      <w:bookmarkEnd w:id="178"/>
      <w:bookmarkEnd w:id="179"/>
      <w:bookmarkEnd w:id="180"/>
      <w:bookmarkEnd w:id="181"/>
      <w:bookmarkEnd w:id="182"/>
      <w:bookmarkEnd w:id="183"/>
      <w:bookmarkEnd w:id="184"/>
      <w:bookmarkEnd w:id="185"/>
      <w:bookmarkEnd w:id="186"/>
      <w:bookmarkEnd w:id="187"/>
      <w:bookmarkEnd w:id="188"/>
      <w:bookmarkEnd w:id="189"/>
      <w:bookmarkEnd w:id="190"/>
    </w:p>
    <w:tbl>
      <w:tblPr>
        <w:tblStyle w:val="TableSapereGrid"/>
        <w:tblW w:w="0" w:type="auto"/>
        <w:tblLook w:val="01C0" w:firstRow="0" w:lastRow="1" w:firstColumn="1" w:lastColumn="1" w:noHBand="0" w:noVBand="0"/>
      </w:tblPr>
      <w:tblGrid>
        <w:gridCol w:w="8153"/>
      </w:tblGrid>
      <w:tr w:rsidR="0064666F" w:rsidRPr="00D902B5" w:rsidTr="005353C2">
        <w:tc>
          <w:tcPr>
            <w:tcW w:w="8153" w:type="dxa"/>
            <w:tcBorders>
              <w:top w:val="nil"/>
              <w:left w:val="nil"/>
              <w:bottom w:val="nil"/>
              <w:right w:val="nil"/>
            </w:tcBorders>
          </w:tcPr>
          <w:p w:rsidR="0064666F" w:rsidRPr="0051000D" w:rsidRDefault="0064666F" w:rsidP="009531BB">
            <w:pPr>
              <w:pStyle w:val="Singlespacedparagraph"/>
              <w:spacing w:after="20"/>
            </w:pPr>
            <w:r>
              <w:t>Agreement between Her Majesty the Queen in Right of Her Government in New Zealand (acting by and through the Ministry of Health) and Mobile Surgical Services Limited. (488412/308410/00)</w:t>
            </w:r>
          </w:p>
        </w:tc>
      </w:tr>
      <w:tr w:rsidR="0051000D" w:rsidRPr="00D902B5" w:rsidTr="005353C2">
        <w:tc>
          <w:tcPr>
            <w:tcW w:w="8153" w:type="dxa"/>
            <w:tcBorders>
              <w:top w:val="nil"/>
              <w:left w:val="nil"/>
              <w:bottom w:val="nil"/>
              <w:right w:val="nil"/>
            </w:tcBorders>
          </w:tcPr>
          <w:p w:rsidR="0051000D" w:rsidRDefault="0051000D" w:rsidP="009531BB">
            <w:pPr>
              <w:pStyle w:val="Singlespacedparagraph"/>
              <w:spacing w:after="20"/>
            </w:pPr>
            <w:proofErr w:type="spellStart"/>
            <w:r w:rsidRPr="0051000D">
              <w:t>Bax</w:t>
            </w:r>
            <w:proofErr w:type="spellEnd"/>
            <w:r w:rsidRPr="0051000D">
              <w:t>,</w:t>
            </w:r>
            <w:r w:rsidR="0064666F">
              <w:t xml:space="preserve"> K.,</w:t>
            </w:r>
            <w:r w:rsidRPr="0051000D">
              <w:t xml:space="preserve"> S</w:t>
            </w:r>
            <w:r w:rsidR="0064666F">
              <w:t xml:space="preserve">. </w:t>
            </w:r>
            <w:proofErr w:type="spellStart"/>
            <w:r w:rsidRPr="0051000D">
              <w:t>Shedda</w:t>
            </w:r>
            <w:proofErr w:type="spellEnd"/>
            <w:r w:rsidRPr="0051000D">
              <w:t xml:space="preserve">, </w:t>
            </w:r>
            <w:r w:rsidR="0064666F">
              <w:t xml:space="preserve">and </w:t>
            </w:r>
            <w:r w:rsidRPr="0051000D">
              <w:t>F</w:t>
            </w:r>
            <w:r w:rsidR="0064666F">
              <w:t xml:space="preserve">. </w:t>
            </w:r>
            <w:proofErr w:type="spellStart"/>
            <w:r w:rsidRPr="0051000D">
              <w:t>Frizelle</w:t>
            </w:r>
            <w:proofErr w:type="spellEnd"/>
            <w:r w:rsidRPr="0051000D">
              <w:t xml:space="preserve"> (2006) “The New Zealand Mobile Surgical Bus Service: What is it achieving?” in </w:t>
            </w:r>
            <w:r w:rsidRPr="0051000D">
              <w:rPr>
                <w:i/>
              </w:rPr>
              <w:t>New Zealand Medical Journal</w:t>
            </w:r>
            <w:r w:rsidRPr="0051000D">
              <w:t xml:space="preserve">, </w:t>
            </w:r>
            <w:proofErr w:type="spellStart"/>
            <w:r w:rsidRPr="0051000D">
              <w:t>Vol</w:t>
            </w:r>
            <w:proofErr w:type="spellEnd"/>
            <w:r w:rsidRPr="0051000D">
              <w:t xml:space="preserve"> 119, No 1236</w:t>
            </w:r>
          </w:p>
        </w:tc>
      </w:tr>
      <w:tr w:rsidR="005D7999" w:rsidRPr="00D902B5" w:rsidTr="005353C2">
        <w:tc>
          <w:tcPr>
            <w:tcW w:w="8153" w:type="dxa"/>
            <w:tcBorders>
              <w:top w:val="nil"/>
              <w:left w:val="nil"/>
              <w:bottom w:val="nil"/>
              <w:right w:val="nil"/>
            </w:tcBorders>
          </w:tcPr>
          <w:p w:rsidR="005D7999" w:rsidRPr="00D902B5" w:rsidRDefault="0051000D" w:rsidP="009531BB">
            <w:pPr>
              <w:pStyle w:val="Singlespacedparagraph"/>
              <w:spacing w:after="20"/>
            </w:pPr>
            <w:r>
              <w:t xml:space="preserve">Central Region’s Technical Advisory Services (2006) </w:t>
            </w:r>
            <w:r w:rsidRPr="0051000D">
              <w:rPr>
                <w:i/>
              </w:rPr>
              <w:t>Review of the Mobile Surgical Service</w:t>
            </w:r>
            <w:r>
              <w:t xml:space="preserve">. Prepared for the Ministry of Health. May 2006. </w:t>
            </w:r>
            <w:r w:rsidRPr="00F96380">
              <w:t>Wellington:</w:t>
            </w:r>
            <w:r>
              <w:t xml:space="preserve"> Central Region’s Technical Advisory Services</w:t>
            </w:r>
          </w:p>
        </w:tc>
      </w:tr>
      <w:tr w:rsidR="001D3413" w:rsidRPr="00D902B5" w:rsidTr="005353C2">
        <w:tc>
          <w:tcPr>
            <w:tcW w:w="8153" w:type="dxa"/>
            <w:tcBorders>
              <w:top w:val="nil"/>
              <w:left w:val="nil"/>
              <w:bottom w:val="nil"/>
              <w:right w:val="nil"/>
            </w:tcBorders>
          </w:tcPr>
          <w:p w:rsidR="001D3413" w:rsidRDefault="001D3413" w:rsidP="009531BB">
            <w:pPr>
              <w:pStyle w:val="Singlespacedparagraph"/>
              <w:spacing w:after="20"/>
            </w:pPr>
            <w:r w:rsidRPr="00D86B5C">
              <w:rPr>
                <w:lang w:val="en-NZ"/>
              </w:rPr>
              <w:t>Lethbridge, L.  RN</w:t>
            </w:r>
            <w:r>
              <w:rPr>
                <w:lang w:val="en-NZ"/>
              </w:rPr>
              <w:t xml:space="preserve">, Bachelor of Nursing Honours. </w:t>
            </w:r>
            <w:r w:rsidRPr="00D86B5C">
              <w:rPr>
                <w:i/>
                <w:lang w:val="en-NZ"/>
              </w:rPr>
              <w:t>A Literature Review: Nursing Assessment in a Post Anaesthetic Care Unit</w:t>
            </w:r>
            <w:r w:rsidRPr="00D86B5C">
              <w:rPr>
                <w:lang w:val="en-NZ"/>
              </w:rPr>
              <w:t xml:space="preserve">.  Belmont Hospital. Undated.  </w:t>
            </w:r>
          </w:p>
        </w:tc>
      </w:tr>
      <w:tr w:rsidR="009531BB" w:rsidRPr="00D902B5" w:rsidTr="005353C2">
        <w:tc>
          <w:tcPr>
            <w:tcW w:w="8153" w:type="dxa"/>
            <w:tcBorders>
              <w:top w:val="nil"/>
              <w:left w:val="nil"/>
              <w:bottom w:val="nil"/>
              <w:right w:val="nil"/>
            </w:tcBorders>
          </w:tcPr>
          <w:p w:rsidR="009531BB" w:rsidRDefault="009531BB" w:rsidP="009531BB">
            <w:pPr>
              <w:pStyle w:val="Singlespacedparagraph"/>
              <w:spacing w:after="20"/>
            </w:pPr>
            <w:r>
              <w:t xml:space="preserve">Ministry of Health (2010) </w:t>
            </w:r>
            <w:r w:rsidRPr="009531BB">
              <w:rPr>
                <w:i/>
              </w:rPr>
              <w:t>DHB Hospital Benchmark Information. Report for the Quarter January - March 2010</w:t>
            </w:r>
            <w:r>
              <w:t xml:space="preserve">. </w:t>
            </w:r>
            <w:r w:rsidRPr="009531BB">
              <w:t>Wellington: Ministry of Health</w:t>
            </w:r>
          </w:p>
        </w:tc>
      </w:tr>
      <w:tr w:rsidR="007878B8" w:rsidRPr="00D902B5" w:rsidTr="005353C2">
        <w:tc>
          <w:tcPr>
            <w:tcW w:w="8153" w:type="dxa"/>
            <w:tcBorders>
              <w:top w:val="nil"/>
              <w:left w:val="nil"/>
              <w:bottom w:val="nil"/>
              <w:right w:val="nil"/>
            </w:tcBorders>
          </w:tcPr>
          <w:p w:rsidR="007878B8" w:rsidRPr="007878B8" w:rsidRDefault="007878B8" w:rsidP="007878B8">
            <w:pPr>
              <w:pStyle w:val="Singlespacedparagraph"/>
              <w:spacing w:after="20"/>
            </w:pPr>
            <w:r>
              <w:t xml:space="preserve">Ministry of Health (2011) </w:t>
            </w:r>
            <w:r w:rsidRPr="007878B8">
              <w:rPr>
                <w:i/>
              </w:rPr>
              <w:t xml:space="preserve">New Zealand </w:t>
            </w:r>
            <w:proofErr w:type="spellStart"/>
            <w:r w:rsidRPr="007878B8">
              <w:rPr>
                <w:i/>
              </w:rPr>
              <w:t>Casemix</w:t>
            </w:r>
            <w:proofErr w:type="spellEnd"/>
            <w:r w:rsidRPr="007878B8">
              <w:rPr>
                <w:i/>
              </w:rPr>
              <w:t xml:space="preserve"> Framework For Publicly Funded Hospitals </w:t>
            </w:r>
            <w:r>
              <w:rPr>
                <w:i/>
              </w:rPr>
              <w:t xml:space="preserve">including </w:t>
            </w:r>
            <w:r w:rsidRPr="007878B8">
              <w:rPr>
                <w:i/>
              </w:rPr>
              <w:t xml:space="preserve">WIESNZ12 Methodology and </w:t>
            </w:r>
            <w:proofErr w:type="spellStart"/>
            <w:r w:rsidRPr="007878B8">
              <w:rPr>
                <w:i/>
              </w:rPr>
              <w:t>Casemix</w:t>
            </w:r>
            <w:proofErr w:type="spellEnd"/>
            <w:r w:rsidRPr="007878B8">
              <w:rPr>
                <w:i/>
              </w:rPr>
              <w:t xml:space="preserve"> Purchase Unit Allocation</w:t>
            </w:r>
            <w:r>
              <w:rPr>
                <w:i/>
              </w:rPr>
              <w:t>.</w:t>
            </w:r>
            <w:r w:rsidRPr="007878B8">
              <w:t xml:space="preserve"> </w:t>
            </w:r>
            <w:r>
              <w:t xml:space="preserve">Available from </w:t>
            </w:r>
            <w:hyperlink r:id="rId35" w:history="1">
              <w:r w:rsidRPr="007878B8">
                <w:rPr>
                  <w:rStyle w:val="Hyperlink"/>
                  <w:sz w:val="20"/>
                </w:rPr>
                <w:t>http://www.health.govt.nz/system/files/documents/pages/wiesnz12-final-v1-1-25112011_0.pdf</w:t>
              </w:r>
            </w:hyperlink>
          </w:p>
        </w:tc>
      </w:tr>
      <w:tr w:rsidR="00225944" w:rsidRPr="00D902B5" w:rsidTr="005353C2">
        <w:tc>
          <w:tcPr>
            <w:tcW w:w="8153" w:type="dxa"/>
            <w:tcBorders>
              <w:top w:val="nil"/>
              <w:left w:val="nil"/>
              <w:bottom w:val="nil"/>
              <w:right w:val="nil"/>
            </w:tcBorders>
          </w:tcPr>
          <w:p w:rsidR="00F96380" w:rsidRPr="00D902B5" w:rsidRDefault="00225944" w:rsidP="009531BB">
            <w:pPr>
              <w:pStyle w:val="Singlespacedparagraph"/>
              <w:spacing w:after="20"/>
            </w:pPr>
            <w:bookmarkStart w:id="191" w:name="Bibliography"/>
            <w:bookmarkEnd w:id="191"/>
            <w:r>
              <w:t>National Health and Disability Ethics Committee</w:t>
            </w:r>
            <w:r w:rsidR="00F96380">
              <w:t xml:space="preserve"> (2012)</w:t>
            </w:r>
            <w:r>
              <w:t xml:space="preserve"> </w:t>
            </w:r>
            <w:r w:rsidRPr="00F96380">
              <w:rPr>
                <w:i/>
              </w:rPr>
              <w:t>Ethical Guidel</w:t>
            </w:r>
            <w:r w:rsidR="00F96380" w:rsidRPr="00F96380">
              <w:rPr>
                <w:i/>
              </w:rPr>
              <w:t>ines for Observational Studies: Observational research, audits and related activities</w:t>
            </w:r>
            <w:r w:rsidR="00F96380" w:rsidRPr="00F96380">
              <w:t>. Revised edition. Wellington: Ministry of Health.</w:t>
            </w:r>
            <w:r w:rsidR="00475FB5">
              <w:t xml:space="preserve"> </w:t>
            </w:r>
            <w:r w:rsidR="00475FB5" w:rsidRPr="00475FB5">
              <w:t>Available</w:t>
            </w:r>
            <w:r w:rsidR="00475FB5">
              <w:t xml:space="preserve"> from</w:t>
            </w:r>
            <w:r w:rsidR="00F96380">
              <w:t xml:space="preserve"> </w:t>
            </w:r>
            <w:hyperlink r:id="rId36" w:history="1">
              <w:r w:rsidR="00F96380" w:rsidRPr="007878B8">
                <w:rPr>
                  <w:rStyle w:val="Hyperlink"/>
                  <w:sz w:val="20"/>
                </w:rPr>
                <w:t>www.neac.health.govt.nz</w:t>
              </w:r>
            </w:hyperlink>
          </w:p>
        </w:tc>
      </w:tr>
      <w:tr w:rsidR="00F96380" w:rsidRPr="00D902B5" w:rsidTr="005353C2">
        <w:tc>
          <w:tcPr>
            <w:tcW w:w="8153" w:type="dxa"/>
            <w:tcBorders>
              <w:top w:val="nil"/>
              <w:left w:val="nil"/>
              <w:bottom w:val="nil"/>
              <w:right w:val="nil"/>
            </w:tcBorders>
          </w:tcPr>
          <w:p w:rsidR="00F96380" w:rsidRDefault="007C4ACC" w:rsidP="009531BB">
            <w:pPr>
              <w:pStyle w:val="Singlespacedparagraph"/>
              <w:spacing w:after="20"/>
            </w:pPr>
            <w:r>
              <w:t xml:space="preserve">National Health and Disability Ethics Committee (2012) </w:t>
            </w:r>
            <w:r w:rsidRPr="005D7999">
              <w:rPr>
                <w:i/>
              </w:rPr>
              <w:t>Standard Operating Procedures for Health and Disability Ethics Committees</w:t>
            </w:r>
            <w:r w:rsidR="005D7999" w:rsidRPr="00F96380">
              <w:t xml:space="preserve"> Wellington: Ministry of Health.</w:t>
            </w:r>
            <w:r w:rsidR="005D7999">
              <w:t xml:space="preserve"> </w:t>
            </w:r>
            <w:r w:rsidR="00475FB5" w:rsidRPr="00475FB5">
              <w:t xml:space="preserve">Available </w:t>
            </w:r>
            <w:r w:rsidR="00475FB5">
              <w:t xml:space="preserve">from </w:t>
            </w:r>
            <w:hyperlink r:id="rId37" w:history="1">
              <w:r w:rsidR="005D7999" w:rsidRPr="007878B8">
                <w:rPr>
                  <w:rStyle w:val="Hyperlink"/>
                  <w:sz w:val="20"/>
                </w:rPr>
                <w:t>www.neac.health.govt.nz</w:t>
              </w:r>
            </w:hyperlink>
          </w:p>
        </w:tc>
      </w:tr>
      <w:tr w:rsidR="005D7999" w:rsidRPr="00D902B5" w:rsidTr="005353C2">
        <w:tc>
          <w:tcPr>
            <w:tcW w:w="8153" w:type="dxa"/>
            <w:tcBorders>
              <w:top w:val="nil"/>
              <w:left w:val="nil"/>
              <w:bottom w:val="nil"/>
              <w:right w:val="nil"/>
            </w:tcBorders>
          </w:tcPr>
          <w:p w:rsidR="005D7999" w:rsidRDefault="0051000D" w:rsidP="009531BB">
            <w:pPr>
              <w:pStyle w:val="Singlespacedparagraph"/>
              <w:spacing w:after="20"/>
            </w:pPr>
            <w:r w:rsidRPr="0051000D">
              <w:t xml:space="preserve">NZQA (2010) </w:t>
            </w:r>
            <w:r w:rsidRPr="0051000D">
              <w:rPr>
                <w:i/>
              </w:rPr>
              <w:t>Report of External Evaluation and Review - Mobile Surgical Services</w:t>
            </w:r>
            <w:r w:rsidRPr="0051000D">
              <w:t xml:space="preserve">  11 May 2010</w:t>
            </w:r>
          </w:p>
        </w:tc>
      </w:tr>
      <w:tr w:rsidR="00475FB5" w:rsidRPr="00D902B5" w:rsidTr="005353C2">
        <w:tc>
          <w:tcPr>
            <w:tcW w:w="8153" w:type="dxa"/>
            <w:tcBorders>
              <w:top w:val="nil"/>
              <w:left w:val="nil"/>
              <w:bottom w:val="nil"/>
              <w:right w:val="nil"/>
            </w:tcBorders>
          </w:tcPr>
          <w:p w:rsidR="00475FB5" w:rsidRDefault="00475FB5" w:rsidP="007878B8">
            <w:pPr>
              <w:pStyle w:val="Singlespacedparagraph"/>
              <w:spacing w:after="20"/>
            </w:pPr>
            <w:r w:rsidRPr="00475FB5">
              <w:t xml:space="preserve">Statistics New Zealand (2013). </w:t>
            </w:r>
            <w:r>
              <w:rPr>
                <w:i/>
              </w:rPr>
              <w:t xml:space="preserve">2013 Census </w:t>
            </w:r>
            <w:proofErr w:type="spellStart"/>
            <w:r>
              <w:rPr>
                <w:i/>
              </w:rPr>
              <w:t>QuickStats</w:t>
            </w:r>
            <w:proofErr w:type="spellEnd"/>
            <w:r>
              <w:rPr>
                <w:i/>
              </w:rPr>
              <w:t xml:space="preserve"> A</w:t>
            </w:r>
            <w:r w:rsidRPr="00475FB5">
              <w:rPr>
                <w:i/>
              </w:rPr>
              <w:t xml:space="preserve">bout </w:t>
            </w:r>
            <w:r>
              <w:rPr>
                <w:i/>
              </w:rPr>
              <w:t>N</w:t>
            </w:r>
            <w:r w:rsidRPr="00475FB5">
              <w:rPr>
                <w:i/>
              </w:rPr>
              <w:t xml:space="preserve">ational </w:t>
            </w:r>
            <w:r>
              <w:rPr>
                <w:i/>
              </w:rPr>
              <w:t>H</w:t>
            </w:r>
            <w:r w:rsidRPr="00475FB5">
              <w:rPr>
                <w:i/>
              </w:rPr>
              <w:t>ighlights</w:t>
            </w:r>
            <w:r w:rsidRPr="00475FB5">
              <w:t xml:space="preserve">. Available from </w:t>
            </w:r>
            <w:hyperlink r:id="rId38" w:history="1">
              <w:r w:rsidRPr="007878B8">
                <w:rPr>
                  <w:rStyle w:val="Hyperlink"/>
                  <w:sz w:val="20"/>
                </w:rPr>
                <w:t>www.stats.govt.nz</w:t>
              </w:r>
            </w:hyperlink>
          </w:p>
        </w:tc>
      </w:tr>
      <w:tr w:rsidR="005D7999" w:rsidRPr="00D902B5" w:rsidTr="005353C2">
        <w:tc>
          <w:tcPr>
            <w:tcW w:w="8153" w:type="dxa"/>
            <w:tcBorders>
              <w:top w:val="nil"/>
              <w:left w:val="nil"/>
              <w:bottom w:val="nil"/>
              <w:right w:val="nil"/>
            </w:tcBorders>
          </w:tcPr>
          <w:p w:rsidR="005D7999" w:rsidRDefault="00E30739" w:rsidP="009531BB">
            <w:pPr>
              <w:pStyle w:val="Singlespacedparagraph"/>
              <w:spacing w:after="20"/>
            </w:pPr>
            <w:r>
              <w:t>Variation</w:t>
            </w:r>
            <w:r w:rsidR="0064666F">
              <w:t>s</w:t>
            </w:r>
            <w:r>
              <w:t xml:space="preserve"> to Agreement</w:t>
            </w:r>
            <w:r w:rsidR="0064666F">
              <w:t xml:space="preserve"> </w:t>
            </w:r>
            <w:r>
              <w:t xml:space="preserve">between Her Majesty the Queen in Right of Her Government in New Zealand (acting by and through the Ministry of Health) and Mobile Surgical Services Limited. </w:t>
            </w:r>
            <w:r w:rsidR="0064666F">
              <w:t>(488412/308410/01, 488412/308410/02, 488412/308410/03)</w:t>
            </w:r>
          </w:p>
        </w:tc>
      </w:tr>
    </w:tbl>
    <w:p w:rsidR="003929B2" w:rsidRDefault="003929B2" w:rsidP="00B50C06">
      <w:pPr>
        <w:pStyle w:val="UnnumtextBodytext"/>
      </w:pPr>
    </w:p>
    <w:p w:rsidR="002B7023" w:rsidRDefault="002B7023" w:rsidP="002B7023">
      <w:pPr>
        <w:pStyle w:val="ApxHeading1"/>
      </w:pPr>
      <w:bookmarkStart w:id="192" w:name="_Toc380597825"/>
      <w:bookmarkStart w:id="193" w:name="_Toc380605808"/>
      <w:bookmarkStart w:id="194" w:name="_Toc423945966"/>
      <w:r>
        <w:lastRenderedPageBreak/>
        <w:t>: Stakeholder interview list</w:t>
      </w:r>
      <w:bookmarkEnd w:id="192"/>
      <w:bookmarkEnd w:id="193"/>
      <w:bookmarkEnd w:id="194"/>
    </w:p>
    <w:p w:rsidR="002B7023" w:rsidRDefault="002B7023" w:rsidP="002B7023">
      <w:pPr>
        <w:pStyle w:val="UnnumtextBodytext"/>
      </w:pPr>
      <w:r>
        <w:t xml:space="preserve">Interviews with </w:t>
      </w:r>
      <w:r w:rsidR="00635DB6">
        <w:t>3</w:t>
      </w:r>
      <w:r w:rsidR="00B749E6">
        <w:t>4</w:t>
      </w:r>
      <w:r w:rsidR="00311550">
        <w:t xml:space="preserve"> </w:t>
      </w:r>
      <w:r>
        <w:t>selected stakeholders were carried out during the period December 2013 to February 2014.</w:t>
      </w:r>
      <w:r w:rsidR="00311550">
        <w:t xml:space="preserve"> </w:t>
      </w:r>
      <w:r w:rsidR="00921ECC">
        <w:t xml:space="preserve">Table </w:t>
      </w:r>
      <w:r w:rsidR="00921ECC">
        <w:rPr>
          <w:noProof/>
        </w:rPr>
        <w:t>8</w:t>
      </w:r>
      <w:r w:rsidR="00311550">
        <w:t xml:space="preserve"> summaries the interviews by their role. Further details have been withheld to maintain anonymity and ensure interviewees were able to speak freely.</w:t>
      </w:r>
    </w:p>
    <w:p w:rsidR="002B7023" w:rsidRDefault="002B7023" w:rsidP="002B7023">
      <w:pPr>
        <w:pStyle w:val="Caption"/>
        <w:spacing w:before="100" w:beforeAutospacing="1" w:after="120"/>
      </w:pPr>
      <w:bookmarkStart w:id="195" w:name="_Ref380597622"/>
      <w:bookmarkStart w:id="196" w:name="_Toc380599927"/>
      <w:bookmarkStart w:id="197" w:name="_Toc380605816"/>
      <w:bookmarkStart w:id="198" w:name="_Toc423945979"/>
      <w:r>
        <w:t xml:space="preserve">Table </w:t>
      </w:r>
      <w:fldSimple w:instr=" SEQ Table \* ARABIC ">
        <w:r w:rsidR="00CA314A">
          <w:rPr>
            <w:noProof/>
          </w:rPr>
          <w:t>9</w:t>
        </w:r>
      </w:fldSimple>
      <w:bookmarkEnd w:id="195"/>
      <w:r>
        <w:rPr>
          <w:noProof/>
        </w:rPr>
        <w:t>:</w:t>
      </w:r>
      <w:r>
        <w:t xml:space="preserve"> List of stakeholder interviews</w:t>
      </w:r>
      <w:bookmarkEnd w:id="196"/>
      <w:bookmarkEnd w:id="197"/>
      <w:bookmarkEnd w:id="198"/>
    </w:p>
    <w:tbl>
      <w:tblPr>
        <w:tblStyle w:val="TableSapereGrid"/>
        <w:tblW w:w="7937" w:type="dxa"/>
        <w:tblInd w:w="108" w:type="dxa"/>
        <w:tblLayout w:type="fixed"/>
        <w:tblLook w:val="0620" w:firstRow="1" w:lastRow="0" w:firstColumn="0" w:lastColumn="0" w:noHBand="1" w:noVBand="1"/>
      </w:tblPr>
      <w:tblGrid>
        <w:gridCol w:w="3828"/>
        <w:gridCol w:w="4109"/>
      </w:tblGrid>
      <w:tr w:rsidR="002B7023" w:rsidTr="00F9670F">
        <w:trPr>
          <w:cnfStyle w:val="100000000000" w:firstRow="1" w:lastRow="0" w:firstColumn="0" w:lastColumn="0" w:oddVBand="0" w:evenVBand="0" w:oddHBand="0" w:evenHBand="0" w:firstRowFirstColumn="0" w:firstRowLastColumn="0" w:lastRowFirstColumn="0" w:lastRowLastColumn="0"/>
          <w:cantSplit/>
        </w:trPr>
        <w:tc>
          <w:tcPr>
            <w:tcW w:w="3828" w:type="dxa"/>
            <w:tcMar>
              <w:right w:w="57" w:type="dxa"/>
            </w:tcMar>
          </w:tcPr>
          <w:p w:rsidR="002B7023" w:rsidRPr="002B7023" w:rsidRDefault="002B7023" w:rsidP="002B7023">
            <w:pPr>
              <w:pStyle w:val="Table-headingrow1"/>
              <w:rPr>
                <w:sz w:val="20"/>
              </w:rPr>
            </w:pPr>
            <w:r w:rsidRPr="002B7023">
              <w:rPr>
                <w:sz w:val="20"/>
              </w:rPr>
              <w:t>Category</w:t>
            </w:r>
          </w:p>
        </w:tc>
        <w:tc>
          <w:tcPr>
            <w:tcW w:w="4109" w:type="dxa"/>
            <w:tcMar>
              <w:right w:w="57" w:type="dxa"/>
            </w:tcMar>
          </w:tcPr>
          <w:p w:rsidR="002B7023" w:rsidRPr="002B7023" w:rsidRDefault="002B7023" w:rsidP="002B7023">
            <w:pPr>
              <w:pStyle w:val="Table-headingrow1"/>
              <w:rPr>
                <w:sz w:val="20"/>
              </w:rPr>
            </w:pPr>
            <w:r w:rsidRPr="002B7023">
              <w:rPr>
                <w:sz w:val="20"/>
              </w:rPr>
              <w:t xml:space="preserve">Individuals </w:t>
            </w:r>
          </w:p>
        </w:tc>
      </w:tr>
      <w:tr w:rsidR="002B7023" w:rsidTr="00F9670F">
        <w:trPr>
          <w:cantSplit/>
        </w:trPr>
        <w:tc>
          <w:tcPr>
            <w:tcW w:w="3828" w:type="dxa"/>
            <w:tcMar>
              <w:right w:w="57" w:type="dxa"/>
            </w:tcMar>
          </w:tcPr>
          <w:p w:rsidR="002B7023" w:rsidRPr="002B7023" w:rsidRDefault="002B7023" w:rsidP="008E2AF1">
            <w:pPr>
              <w:pStyle w:val="Table-bodytext"/>
              <w:spacing w:after="40"/>
              <w:rPr>
                <w:sz w:val="20"/>
              </w:rPr>
            </w:pPr>
            <w:r w:rsidRPr="002B7023">
              <w:rPr>
                <w:sz w:val="20"/>
              </w:rPr>
              <w:t>Rural hospital managers &amp; administrators</w:t>
            </w:r>
            <w:r>
              <w:rPr>
                <w:sz w:val="20"/>
              </w:rPr>
              <w:t xml:space="preserve"> (9)</w:t>
            </w:r>
          </w:p>
        </w:tc>
        <w:tc>
          <w:tcPr>
            <w:tcW w:w="4109" w:type="dxa"/>
            <w:tcMar>
              <w:right w:w="57" w:type="dxa"/>
            </w:tcMar>
          </w:tcPr>
          <w:p w:rsidR="002B7023" w:rsidRDefault="00F9670F" w:rsidP="008E2AF1">
            <w:pPr>
              <w:pStyle w:val="Table-bodytext"/>
              <w:spacing w:after="40"/>
              <w:rPr>
                <w:sz w:val="20"/>
              </w:rPr>
            </w:pPr>
            <w:r>
              <w:rPr>
                <w:sz w:val="20"/>
              </w:rPr>
              <w:t>Hospital g</w:t>
            </w:r>
            <w:r w:rsidR="002B7023" w:rsidRPr="002B7023">
              <w:rPr>
                <w:sz w:val="20"/>
              </w:rPr>
              <w:t xml:space="preserve">eneral </w:t>
            </w:r>
            <w:r w:rsidR="002B7023">
              <w:rPr>
                <w:sz w:val="20"/>
              </w:rPr>
              <w:t>m</w:t>
            </w:r>
            <w:r w:rsidR="002B7023" w:rsidRPr="002B7023">
              <w:rPr>
                <w:sz w:val="20"/>
              </w:rPr>
              <w:t>anagers</w:t>
            </w:r>
            <w:r w:rsidR="008E2AF1">
              <w:rPr>
                <w:sz w:val="20"/>
              </w:rPr>
              <w:t xml:space="preserve"> (6)</w:t>
            </w:r>
          </w:p>
          <w:p w:rsidR="008E2AF1" w:rsidRDefault="008E2AF1" w:rsidP="008E2AF1">
            <w:pPr>
              <w:pStyle w:val="Table-bodytext"/>
              <w:spacing w:after="40"/>
              <w:rPr>
                <w:sz w:val="20"/>
              </w:rPr>
            </w:pPr>
            <w:r>
              <w:rPr>
                <w:sz w:val="20"/>
              </w:rPr>
              <w:t>Booking clerks (2)</w:t>
            </w:r>
          </w:p>
          <w:p w:rsidR="002B7023" w:rsidRDefault="002B7023" w:rsidP="008E2AF1">
            <w:pPr>
              <w:pStyle w:val="Table-bodytext"/>
              <w:spacing w:after="40"/>
              <w:rPr>
                <w:sz w:val="20"/>
              </w:rPr>
            </w:pPr>
            <w:r>
              <w:rPr>
                <w:sz w:val="20"/>
              </w:rPr>
              <w:t>Education coordinator</w:t>
            </w:r>
            <w:r w:rsidR="008E2AF1">
              <w:rPr>
                <w:sz w:val="20"/>
              </w:rPr>
              <w:t xml:space="preserve"> (1)</w:t>
            </w:r>
          </w:p>
          <w:p w:rsidR="00F9670F" w:rsidRPr="002B7023" w:rsidRDefault="00F9670F" w:rsidP="00F9670F">
            <w:pPr>
              <w:pStyle w:val="Table-bodytext"/>
              <w:spacing w:after="40"/>
              <w:rPr>
                <w:sz w:val="20"/>
              </w:rPr>
            </w:pPr>
            <w:r w:rsidRPr="00F9670F">
              <w:rPr>
                <w:sz w:val="18"/>
                <w:szCs w:val="18"/>
              </w:rPr>
              <w:t xml:space="preserve">Interviewees </w:t>
            </w:r>
            <w:r>
              <w:rPr>
                <w:sz w:val="18"/>
                <w:szCs w:val="18"/>
              </w:rPr>
              <w:t>were located in six</w:t>
            </w:r>
            <w:r w:rsidRPr="00F9670F">
              <w:rPr>
                <w:sz w:val="18"/>
                <w:szCs w:val="18"/>
              </w:rPr>
              <w:t xml:space="preserve"> rural </w:t>
            </w:r>
            <w:r>
              <w:rPr>
                <w:sz w:val="18"/>
                <w:szCs w:val="18"/>
              </w:rPr>
              <w:t>hospitals.</w:t>
            </w:r>
          </w:p>
        </w:tc>
      </w:tr>
      <w:tr w:rsidR="002B7023" w:rsidTr="00F9670F">
        <w:trPr>
          <w:cantSplit/>
        </w:trPr>
        <w:tc>
          <w:tcPr>
            <w:tcW w:w="3828" w:type="dxa"/>
            <w:tcMar>
              <w:right w:w="57" w:type="dxa"/>
            </w:tcMar>
          </w:tcPr>
          <w:p w:rsidR="002B7023" w:rsidRPr="002B7023" w:rsidRDefault="002B7023" w:rsidP="008E2AF1">
            <w:pPr>
              <w:pStyle w:val="Table-bodytext"/>
              <w:spacing w:after="40"/>
              <w:rPr>
                <w:sz w:val="20"/>
              </w:rPr>
            </w:pPr>
            <w:r w:rsidRPr="002B7023">
              <w:rPr>
                <w:sz w:val="20"/>
              </w:rPr>
              <w:t>DHB service managers &amp; coordinators</w:t>
            </w:r>
            <w:r>
              <w:rPr>
                <w:sz w:val="20"/>
              </w:rPr>
              <w:t xml:space="preserve"> (5)</w:t>
            </w:r>
          </w:p>
        </w:tc>
        <w:tc>
          <w:tcPr>
            <w:tcW w:w="4109" w:type="dxa"/>
            <w:tcMar>
              <w:right w:w="57" w:type="dxa"/>
            </w:tcMar>
          </w:tcPr>
          <w:p w:rsidR="002B7023" w:rsidRDefault="008E2AF1" w:rsidP="008E2AF1">
            <w:pPr>
              <w:pStyle w:val="Table-bodytext"/>
              <w:spacing w:after="40"/>
              <w:rPr>
                <w:sz w:val="20"/>
              </w:rPr>
            </w:pPr>
            <w:r>
              <w:rPr>
                <w:sz w:val="20"/>
              </w:rPr>
              <w:t>General manager of surgery (1)</w:t>
            </w:r>
          </w:p>
          <w:p w:rsidR="008E2AF1" w:rsidRDefault="008E2AF1" w:rsidP="008E2AF1">
            <w:pPr>
              <w:pStyle w:val="Table-bodytext"/>
              <w:spacing w:after="40"/>
              <w:rPr>
                <w:sz w:val="20"/>
              </w:rPr>
            </w:pPr>
            <w:r>
              <w:rPr>
                <w:sz w:val="20"/>
              </w:rPr>
              <w:t>Service managers (3)</w:t>
            </w:r>
          </w:p>
          <w:p w:rsidR="008E2AF1" w:rsidRDefault="008E2AF1" w:rsidP="008E2AF1">
            <w:pPr>
              <w:pStyle w:val="Table-bodytext"/>
              <w:spacing w:after="40"/>
              <w:rPr>
                <w:sz w:val="20"/>
              </w:rPr>
            </w:pPr>
            <w:r>
              <w:rPr>
                <w:sz w:val="20"/>
              </w:rPr>
              <w:t>Clinical nurse coordinator (1)</w:t>
            </w:r>
          </w:p>
          <w:p w:rsidR="00F9670F" w:rsidRPr="002B7023" w:rsidRDefault="00F9670F" w:rsidP="00F9670F">
            <w:pPr>
              <w:pStyle w:val="Table-bodytext"/>
              <w:spacing w:after="40"/>
              <w:rPr>
                <w:sz w:val="20"/>
              </w:rPr>
            </w:pPr>
            <w:r w:rsidRPr="00F9670F">
              <w:rPr>
                <w:sz w:val="18"/>
                <w:szCs w:val="18"/>
              </w:rPr>
              <w:t xml:space="preserve">Interviewees </w:t>
            </w:r>
            <w:r>
              <w:rPr>
                <w:sz w:val="18"/>
                <w:szCs w:val="18"/>
              </w:rPr>
              <w:t>were located in three district health boards.</w:t>
            </w:r>
          </w:p>
        </w:tc>
      </w:tr>
      <w:tr w:rsidR="002B7023" w:rsidTr="00F9670F">
        <w:trPr>
          <w:cantSplit/>
        </w:trPr>
        <w:tc>
          <w:tcPr>
            <w:tcW w:w="3828" w:type="dxa"/>
            <w:tcMar>
              <w:right w:w="57" w:type="dxa"/>
            </w:tcMar>
          </w:tcPr>
          <w:p w:rsidR="002B7023" w:rsidRPr="002B7023" w:rsidRDefault="002B7023" w:rsidP="008E2AF1">
            <w:pPr>
              <w:pStyle w:val="Table-bodytext"/>
              <w:spacing w:after="40"/>
              <w:rPr>
                <w:sz w:val="20"/>
              </w:rPr>
            </w:pPr>
            <w:r w:rsidRPr="002B7023">
              <w:rPr>
                <w:sz w:val="20"/>
              </w:rPr>
              <w:t>Clinical staff working on the surgical bus</w:t>
            </w:r>
            <w:r w:rsidR="008E2AF1">
              <w:rPr>
                <w:sz w:val="20"/>
              </w:rPr>
              <w:t xml:space="preserve"> (5)</w:t>
            </w:r>
          </w:p>
        </w:tc>
        <w:tc>
          <w:tcPr>
            <w:tcW w:w="4109" w:type="dxa"/>
            <w:tcMar>
              <w:right w:w="57" w:type="dxa"/>
            </w:tcMar>
          </w:tcPr>
          <w:p w:rsidR="002B7023" w:rsidRDefault="008E2AF1" w:rsidP="008E2AF1">
            <w:pPr>
              <w:pStyle w:val="Table-bodytext"/>
              <w:spacing w:after="40"/>
              <w:rPr>
                <w:sz w:val="20"/>
              </w:rPr>
            </w:pPr>
            <w:r>
              <w:rPr>
                <w:sz w:val="20"/>
              </w:rPr>
              <w:t>Clinicians (2)</w:t>
            </w:r>
          </w:p>
          <w:p w:rsidR="008E2AF1" w:rsidRDefault="00E12540" w:rsidP="008E2AF1">
            <w:pPr>
              <w:pStyle w:val="Table-bodytext"/>
              <w:spacing w:after="40"/>
              <w:rPr>
                <w:sz w:val="20"/>
              </w:rPr>
            </w:pPr>
            <w:proofErr w:type="spellStart"/>
            <w:r>
              <w:rPr>
                <w:sz w:val="20"/>
              </w:rPr>
              <w:t>Anaesthetist</w:t>
            </w:r>
            <w:proofErr w:type="spellEnd"/>
            <w:r w:rsidR="008E2AF1">
              <w:rPr>
                <w:sz w:val="20"/>
              </w:rPr>
              <w:t xml:space="preserve"> (1)</w:t>
            </w:r>
          </w:p>
          <w:p w:rsidR="008E2AF1" w:rsidRDefault="008E2AF1" w:rsidP="008E2AF1">
            <w:pPr>
              <w:pStyle w:val="Table-bodytext"/>
              <w:spacing w:after="40"/>
              <w:rPr>
                <w:sz w:val="20"/>
              </w:rPr>
            </w:pPr>
            <w:proofErr w:type="spellStart"/>
            <w:r>
              <w:rPr>
                <w:sz w:val="20"/>
              </w:rPr>
              <w:t>Anaesthetic</w:t>
            </w:r>
            <w:proofErr w:type="spellEnd"/>
            <w:r>
              <w:rPr>
                <w:sz w:val="20"/>
              </w:rPr>
              <w:t xml:space="preserve"> technician (1)</w:t>
            </w:r>
          </w:p>
          <w:p w:rsidR="008E2AF1" w:rsidRPr="002B7023" w:rsidRDefault="008E2AF1" w:rsidP="008E2AF1">
            <w:pPr>
              <w:pStyle w:val="Table-bodytext"/>
              <w:spacing w:after="40"/>
              <w:rPr>
                <w:sz w:val="20"/>
              </w:rPr>
            </w:pPr>
            <w:r>
              <w:rPr>
                <w:sz w:val="20"/>
              </w:rPr>
              <w:t>Charge nurse (1)</w:t>
            </w:r>
          </w:p>
        </w:tc>
      </w:tr>
      <w:tr w:rsidR="002B7023" w:rsidTr="00F9670F">
        <w:trPr>
          <w:cantSplit/>
        </w:trPr>
        <w:tc>
          <w:tcPr>
            <w:tcW w:w="3828" w:type="dxa"/>
            <w:tcMar>
              <w:right w:w="57" w:type="dxa"/>
            </w:tcMar>
          </w:tcPr>
          <w:p w:rsidR="002B7023" w:rsidRPr="002B7023" w:rsidRDefault="002B7023" w:rsidP="008E2AF1">
            <w:pPr>
              <w:pStyle w:val="Table-bodytext"/>
              <w:spacing w:after="40"/>
              <w:rPr>
                <w:sz w:val="20"/>
              </w:rPr>
            </w:pPr>
            <w:r w:rsidRPr="002B7023">
              <w:rPr>
                <w:sz w:val="20"/>
              </w:rPr>
              <w:t>Rural nurses</w:t>
            </w:r>
            <w:r w:rsidR="008E2AF1">
              <w:rPr>
                <w:sz w:val="20"/>
              </w:rPr>
              <w:t xml:space="preserve"> (5)</w:t>
            </w:r>
          </w:p>
        </w:tc>
        <w:tc>
          <w:tcPr>
            <w:tcW w:w="4109" w:type="dxa"/>
            <w:tcMar>
              <w:right w:w="57" w:type="dxa"/>
            </w:tcMar>
          </w:tcPr>
          <w:p w:rsidR="008E2AF1" w:rsidRDefault="008E2AF1" w:rsidP="008E2AF1">
            <w:pPr>
              <w:pStyle w:val="Table-bodytext"/>
              <w:spacing w:after="40"/>
              <w:rPr>
                <w:sz w:val="20"/>
              </w:rPr>
            </w:pPr>
            <w:r>
              <w:rPr>
                <w:sz w:val="20"/>
              </w:rPr>
              <w:t>Clinical nurse manager (1)</w:t>
            </w:r>
          </w:p>
          <w:p w:rsidR="008E2AF1" w:rsidRDefault="008E2AF1" w:rsidP="008E2AF1">
            <w:pPr>
              <w:pStyle w:val="Table-bodytext"/>
              <w:spacing w:after="40"/>
              <w:rPr>
                <w:sz w:val="20"/>
              </w:rPr>
            </w:pPr>
            <w:r>
              <w:rPr>
                <w:sz w:val="20"/>
              </w:rPr>
              <w:t>Registered nurses (3)</w:t>
            </w:r>
          </w:p>
          <w:p w:rsidR="008E2AF1" w:rsidRDefault="008E2AF1" w:rsidP="008E2AF1">
            <w:pPr>
              <w:pStyle w:val="Table-bodytext"/>
              <w:spacing w:after="40"/>
              <w:rPr>
                <w:sz w:val="20"/>
              </w:rPr>
            </w:pPr>
            <w:r>
              <w:rPr>
                <w:sz w:val="20"/>
              </w:rPr>
              <w:t>Dental nurse (1)</w:t>
            </w:r>
          </w:p>
          <w:p w:rsidR="00F9670F" w:rsidRPr="002B7023" w:rsidRDefault="00F9670F" w:rsidP="00F9670F">
            <w:pPr>
              <w:pStyle w:val="Table-bodytext"/>
              <w:spacing w:after="40"/>
              <w:rPr>
                <w:sz w:val="20"/>
              </w:rPr>
            </w:pPr>
            <w:r w:rsidRPr="00F9670F">
              <w:rPr>
                <w:sz w:val="18"/>
                <w:szCs w:val="18"/>
              </w:rPr>
              <w:t xml:space="preserve">Interviewees </w:t>
            </w:r>
            <w:r>
              <w:rPr>
                <w:sz w:val="18"/>
                <w:szCs w:val="18"/>
              </w:rPr>
              <w:t xml:space="preserve">were located in four </w:t>
            </w:r>
            <w:r w:rsidRPr="00F9670F">
              <w:rPr>
                <w:sz w:val="18"/>
                <w:szCs w:val="18"/>
              </w:rPr>
              <w:t xml:space="preserve">rural </w:t>
            </w:r>
            <w:r>
              <w:rPr>
                <w:sz w:val="18"/>
                <w:szCs w:val="18"/>
              </w:rPr>
              <w:t>towns.</w:t>
            </w:r>
          </w:p>
        </w:tc>
      </w:tr>
      <w:tr w:rsidR="008E2AF1" w:rsidTr="00F9670F">
        <w:trPr>
          <w:cantSplit/>
        </w:trPr>
        <w:tc>
          <w:tcPr>
            <w:tcW w:w="3828" w:type="dxa"/>
            <w:tcMar>
              <w:right w:w="57" w:type="dxa"/>
            </w:tcMar>
          </w:tcPr>
          <w:p w:rsidR="008E2AF1" w:rsidRPr="008E2AF1" w:rsidRDefault="008E2AF1" w:rsidP="008E2AF1">
            <w:pPr>
              <w:pStyle w:val="Table-bodytext"/>
              <w:spacing w:after="40"/>
              <w:rPr>
                <w:sz w:val="20"/>
              </w:rPr>
            </w:pPr>
            <w:r w:rsidRPr="008E2AF1">
              <w:rPr>
                <w:sz w:val="20"/>
              </w:rPr>
              <w:t>General practice</w:t>
            </w:r>
            <w:r>
              <w:rPr>
                <w:sz w:val="20"/>
              </w:rPr>
              <w:t xml:space="preserve"> (3)</w:t>
            </w:r>
          </w:p>
        </w:tc>
        <w:tc>
          <w:tcPr>
            <w:tcW w:w="4109" w:type="dxa"/>
            <w:tcMar>
              <w:right w:w="57" w:type="dxa"/>
            </w:tcMar>
          </w:tcPr>
          <w:p w:rsidR="008E2AF1" w:rsidRDefault="008E2AF1" w:rsidP="008E2AF1">
            <w:pPr>
              <w:pStyle w:val="Table-bodytext"/>
              <w:spacing w:after="40"/>
              <w:rPr>
                <w:sz w:val="20"/>
              </w:rPr>
            </w:pPr>
            <w:r>
              <w:rPr>
                <w:sz w:val="20"/>
              </w:rPr>
              <w:t>General practitioners (2)</w:t>
            </w:r>
          </w:p>
          <w:p w:rsidR="008E2AF1" w:rsidRDefault="008E2AF1" w:rsidP="008E2AF1">
            <w:pPr>
              <w:pStyle w:val="Table-bodytext"/>
              <w:spacing w:after="40"/>
              <w:rPr>
                <w:sz w:val="20"/>
              </w:rPr>
            </w:pPr>
            <w:r>
              <w:rPr>
                <w:sz w:val="20"/>
              </w:rPr>
              <w:t>Practice manager (1)</w:t>
            </w:r>
          </w:p>
          <w:p w:rsidR="00311550" w:rsidRPr="002B7023" w:rsidRDefault="00311550" w:rsidP="00F9670F">
            <w:pPr>
              <w:pStyle w:val="Table-bodytext"/>
              <w:spacing w:after="40"/>
              <w:rPr>
                <w:sz w:val="20"/>
              </w:rPr>
            </w:pPr>
            <w:r w:rsidRPr="00F9670F">
              <w:rPr>
                <w:sz w:val="18"/>
                <w:szCs w:val="18"/>
              </w:rPr>
              <w:t xml:space="preserve">Interviewees </w:t>
            </w:r>
            <w:r w:rsidR="00F9670F">
              <w:rPr>
                <w:sz w:val="18"/>
                <w:szCs w:val="18"/>
              </w:rPr>
              <w:t xml:space="preserve">were located in </w:t>
            </w:r>
            <w:r w:rsidRPr="00F9670F">
              <w:rPr>
                <w:sz w:val="18"/>
                <w:szCs w:val="18"/>
              </w:rPr>
              <w:t xml:space="preserve">two </w:t>
            </w:r>
            <w:r w:rsidR="00F9670F" w:rsidRPr="00F9670F">
              <w:rPr>
                <w:sz w:val="18"/>
                <w:szCs w:val="18"/>
              </w:rPr>
              <w:t>rural</w:t>
            </w:r>
            <w:r w:rsidRPr="00F9670F">
              <w:rPr>
                <w:sz w:val="18"/>
                <w:szCs w:val="18"/>
              </w:rPr>
              <w:t xml:space="preserve"> medical </w:t>
            </w:r>
            <w:proofErr w:type="spellStart"/>
            <w:r w:rsidRPr="00F9670F">
              <w:rPr>
                <w:sz w:val="18"/>
                <w:szCs w:val="18"/>
              </w:rPr>
              <w:t>centres</w:t>
            </w:r>
            <w:proofErr w:type="spellEnd"/>
            <w:r w:rsidR="00F9670F">
              <w:rPr>
                <w:sz w:val="20"/>
              </w:rPr>
              <w:t>.</w:t>
            </w:r>
          </w:p>
        </w:tc>
      </w:tr>
      <w:tr w:rsidR="00BA4526" w:rsidTr="00F9670F">
        <w:trPr>
          <w:cantSplit/>
        </w:trPr>
        <w:tc>
          <w:tcPr>
            <w:tcW w:w="3828" w:type="dxa"/>
            <w:tcMar>
              <w:right w:w="57" w:type="dxa"/>
            </w:tcMar>
          </w:tcPr>
          <w:p w:rsidR="00BA4526" w:rsidRPr="002B7023" w:rsidRDefault="00BA4526" w:rsidP="00BA4526">
            <w:pPr>
              <w:pStyle w:val="Table-bodytext"/>
              <w:spacing w:after="40"/>
              <w:rPr>
                <w:sz w:val="20"/>
              </w:rPr>
            </w:pPr>
            <w:r w:rsidRPr="002B7023">
              <w:rPr>
                <w:sz w:val="20"/>
              </w:rPr>
              <w:t>Community representatives</w:t>
            </w:r>
            <w:r>
              <w:rPr>
                <w:sz w:val="20"/>
              </w:rPr>
              <w:t xml:space="preserve"> (2)</w:t>
            </w:r>
          </w:p>
        </w:tc>
        <w:tc>
          <w:tcPr>
            <w:tcW w:w="4109" w:type="dxa"/>
            <w:tcMar>
              <w:right w:w="57" w:type="dxa"/>
            </w:tcMar>
          </w:tcPr>
          <w:p w:rsidR="00BA4526" w:rsidRDefault="00BA4526" w:rsidP="003A13FF">
            <w:pPr>
              <w:pStyle w:val="Table-bodytext"/>
              <w:spacing w:after="40"/>
              <w:rPr>
                <w:sz w:val="20"/>
              </w:rPr>
            </w:pPr>
            <w:r>
              <w:rPr>
                <w:sz w:val="20"/>
              </w:rPr>
              <w:t>Community trust chief executive (1)</w:t>
            </w:r>
          </w:p>
          <w:p w:rsidR="00BA4526" w:rsidRDefault="00BA4526" w:rsidP="003A13FF">
            <w:pPr>
              <w:pStyle w:val="Table-bodytext"/>
              <w:spacing w:after="40"/>
              <w:rPr>
                <w:sz w:val="20"/>
              </w:rPr>
            </w:pPr>
            <w:r>
              <w:rPr>
                <w:sz w:val="20"/>
              </w:rPr>
              <w:t>Town mayor (1)</w:t>
            </w:r>
          </w:p>
          <w:p w:rsidR="00BA4526" w:rsidRPr="002B7023" w:rsidRDefault="00BA4526" w:rsidP="00635DB6">
            <w:pPr>
              <w:pStyle w:val="Table-bodytext"/>
              <w:spacing w:after="40"/>
              <w:rPr>
                <w:sz w:val="20"/>
              </w:rPr>
            </w:pPr>
            <w:r w:rsidRPr="00F9670F">
              <w:rPr>
                <w:sz w:val="18"/>
                <w:szCs w:val="18"/>
              </w:rPr>
              <w:t xml:space="preserve">Interviewees </w:t>
            </w:r>
            <w:r>
              <w:rPr>
                <w:sz w:val="18"/>
                <w:szCs w:val="18"/>
              </w:rPr>
              <w:t>were located in t</w:t>
            </w:r>
            <w:r w:rsidR="00635DB6">
              <w:rPr>
                <w:sz w:val="18"/>
                <w:szCs w:val="18"/>
              </w:rPr>
              <w:t>wo</w:t>
            </w:r>
            <w:r>
              <w:rPr>
                <w:sz w:val="18"/>
                <w:szCs w:val="18"/>
              </w:rPr>
              <w:t xml:space="preserve"> </w:t>
            </w:r>
            <w:r w:rsidRPr="00F9670F">
              <w:rPr>
                <w:sz w:val="18"/>
                <w:szCs w:val="18"/>
              </w:rPr>
              <w:t xml:space="preserve">rural </w:t>
            </w:r>
            <w:r>
              <w:rPr>
                <w:sz w:val="18"/>
                <w:szCs w:val="18"/>
              </w:rPr>
              <w:t>towns.</w:t>
            </w:r>
          </w:p>
        </w:tc>
      </w:tr>
      <w:tr w:rsidR="00BA4526" w:rsidTr="00F9670F">
        <w:trPr>
          <w:cantSplit/>
        </w:trPr>
        <w:tc>
          <w:tcPr>
            <w:tcW w:w="3828" w:type="dxa"/>
            <w:tcMar>
              <w:right w:w="57" w:type="dxa"/>
            </w:tcMar>
          </w:tcPr>
          <w:p w:rsidR="00BA4526" w:rsidRPr="008E2AF1" w:rsidRDefault="00BA4526" w:rsidP="008E2AF1">
            <w:pPr>
              <w:pStyle w:val="Table-bodytext"/>
              <w:spacing w:after="40"/>
              <w:rPr>
                <w:sz w:val="20"/>
              </w:rPr>
            </w:pPr>
            <w:r>
              <w:rPr>
                <w:sz w:val="20"/>
              </w:rPr>
              <w:t>Educators (2)</w:t>
            </w:r>
          </w:p>
        </w:tc>
        <w:tc>
          <w:tcPr>
            <w:tcW w:w="4109" w:type="dxa"/>
            <w:tcMar>
              <w:right w:w="57" w:type="dxa"/>
            </w:tcMar>
          </w:tcPr>
          <w:p w:rsidR="00BA4526" w:rsidRDefault="00635DB6" w:rsidP="00BA4526">
            <w:pPr>
              <w:pStyle w:val="Table-bodytext"/>
              <w:spacing w:after="40"/>
              <w:rPr>
                <w:sz w:val="20"/>
              </w:rPr>
            </w:pPr>
            <w:r>
              <w:rPr>
                <w:sz w:val="20"/>
              </w:rPr>
              <w:t>Medical school directors (2</w:t>
            </w:r>
            <w:r w:rsidR="00BA4526">
              <w:rPr>
                <w:sz w:val="20"/>
              </w:rPr>
              <w:t>)</w:t>
            </w:r>
          </w:p>
          <w:p w:rsidR="00BA4526" w:rsidRDefault="00635DB6" w:rsidP="00635DB6">
            <w:pPr>
              <w:pStyle w:val="Table-bodytext"/>
              <w:spacing w:after="40"/>
              <w:rPr>
                <w:sz w:val="20"/>
              </w:rPr>
            </w:pPr>
            <w:r w:rsidRPr="00F9670F">
              <w:rPr>
                <w:sz w:val="18"/>
                <w:szCs w:val="18"/>
              </w:rPr>
              <w:t>Interviewees</w:t>
            </w:r>
            <w:r>
              <w:rPr>
                <w:sz w:val="18"/>
                <w:szCs w:val="18"/>
              </w:rPr>
              <w:t xml:space="preserve"> located in New Zealand and Australia.</w:t>
            </w:r>
          </w:p>
        </w:tc>
      </w:tr>
      <w:tr w:rsidR="00BA4526" w:rsidTr="00F9670F">
        <w:trPr>
          <w:cantSplit/>
        </w:trPr>
        <w:tc>
          <w:tcPr>
            <w:tcW w:w="3828" w:type="dxa"/>
            <w:tcMar>
              <w:right w:w="57" w:type="dxa"/>
            </w:tcMar>
          </w:tcPr>
          <w:p w:rsidR="00BA4526" w:rsidRPr="008E2AF1" w:rsidRDefault="00BA4526" w:rsidP="00637FC0">
            <w:pPr>
              <w:pStyle w:val="Table-bodytext"/>
              <w:spacing w:after="40"/>
              <w:rPr>
                <w:sz w:val="20"/>
              </w:rPr>
            </w:pPr>
            <w:proofErr w:type="spellStart"/>
            <w:r w:rsidRPr="008E2AF1">
              <w:rPr>
                <w:sz w:val="20"/>
              </w:rPr>
              <w:t>Hauora</w:t>
            </w:r>
            <w:proofErr w:type="spellEnd"/>
            <w:r w:rsidRPr="008E2AF1">
              <w:rPr>
                <w:sz w:val="20"/>
              </w:rPr>
              <w:t xml:space="preserve"> provider</w:t>
            </w:r>
            <w:r w:rsidR="00637FC0">
              <w:rPr>
                <w:sz w:val="20"/>
              </w:rPr>
              <w:t>s</w:t>
            </w:r>
            <w:r>
              <w:rPr>
                <w:sz w:val="20"/>
              </w:rPr>
              <w:t xml:space="preserve"> (</w:t>
            </w:r>
            <w:r w:rsidR="00637FC0">
              <w:rPr>
                <w:sz w:val="20"/>
              </w:rPr>
              <w:t>2</w:t>
            </w:r>
            <w:r>
              <w:rPr>
                <w:sz w:val="20"/>
              </w:rPr>
              <w:t>)</w:t>
            </w:r>
          </w:p>
        </w:tc>
        <w:tc>
          <w:tcPr>
            <w:tcW w:w="4109" w:type="dxa"/>
            <w:tcMar>
              <w:right w:w="57" w:type="dxa"/>
            </w:tcMar>
          </w:tcPr>
          <w:p w:rsidR="00B749E6" w:rsidRDefault="00B749E6" w:rsidP="008E2AF1">
            <w:pPr>
              <w:pStyle w:val="Table-bodytext"/>
              <w:spacing w:after="40"/>
              <w:rPr>
                <w:sz w:val="20"/>
              </w:rPr>
            </w:pPr>
            <w:r>
              <w:rPr>
                <w:sz w:val="20"/>
              </w:rPr>
              <w:t>Manager (1)</w:t>
            </w:r>
          </w:p>
          <w:p w:rsidR="00BA4526" w:rsidRDefault="00BA4526" w:rsidP="008E2AF1">
            <w:pPr>
              <w:pStyle w:val="Table-bodytext"/>
              <w:spacing w:after="40"/>
              <w:rPr>
                <w:sz w:val="20"/>
              </w:rPr>
            </w:pPr>
            <w:r>
              <w:rPr>
                <w:sz w:val="20"/>
              </w:rPr>
              <w:t>Clinical manager (1)</w:t>
            </w:r>
          </w:p>
          <w:p w:rsidR="00BA4526" w:rsidRPr="002B7023" w:rsidRDefault="00BA4526" w:rsidP="00031354">
            <w:pPr>
              <w:pStyle w:val="Table-bodytext"/>
              <w:spacing w:after="40"/>
              <w:rPr>
                <w:sz w:val="20"/>
              </w:rPr>
            </w:pPr>
            <w:r w:rsidRPr="00F9670F">
              <w:rPr>
                <w:sz w:val="18"/>
                <w:szCs w:val="18"/>
              </w:rPr>
              <w:t xml:space="preserve">Interviewee </w:t>
            </w:r>
            <w:r>
              <w:rPr>
                <w:sz w:val="18"/>
                <w:szCs w:val="18"/>
              </w:rPr>
              <w:t xml:space="preserve">was located in </w:t>
            </w:r>
            <w:r w:rsidR="00031354">
              <w:rPr>
                <w:sz w:val="18"/>
                <w:szCs w:val="18"/>
              </w:rPr>
              <w:t>two</w:t>
            </w:r>
            <w:r>
              <w:rPr>
                <w:sz w:val="18"/>
                <w:szCs w:val="18"/>
              </w:rPr>
              <w:t xml:space="preserve"> </w:t>
            </w:r>
            <w:r w:rsidRPr="00F9670F">
              <w:rPr>
                <w:sz w:val="18"/>
                <w:szCs w:val="18"/>
              </w:rPr>
              <w:t xml:space="preserve">rural </w:t>
            </w:r>
            <w:r>
              <w:rPr>
                <w:sz w:val="18"/>
                <w:szCs w:val="18"/>
              </w:rPr>
              <w:t>town</w:t>
            </w:r>
            <w:r w:rsidR="00031354">
              <w:rPr>
                <w:sz w:val="18"/>
                <w:szCs w:val="18"/>
              </w:rPr>
              <w:t>s</w:t>
            </w:r>
            <w:r>
              <w:rPr>
                <w:sz w:val="18"/>
                <w:szCs w:val="18"/>
              </w:rPr>
              <w:t>.</w:t>
            </w:r>
          </w:p>
        </w:tc>
      </w:tr>
      <w:tr w:rsidR="00BA4526" w:rsidTr="00F9670F">
        <w:trPr>
          <w:cantSplit/>
        </w:trPr>
        <w:tc>
          <w:tcPr>
            <w:tcW w:w="3828" w:type="dxa"/>
            <w:tcMar>
              <w:right w:w="57" w:type="dxa"/>
            </w:tcMar>
          </w:tcPr>
          <w:p w:rsidR="00BA4526" w:rsidRPr="008E2AF1" w:rsidRDefault="00BA4526" w:rsidP="008E2AF1">
            <w:pPr>
              <w:pStyle w:val="Table-bodytext"/>
              <w:spacing w:after="40"/>
              <w:rPr>
                <w:sz w:val="20"/>
              </w:rPr>
            </w:pPr>
            <w:r w:rsidRPr="008E2AF1">
              <w:rPr>
                <w:sz w:val="20"/>
              </w:rPr>
              <w:t>Ministry of Health</w:t>
            </w:r>
            <w:r>
              <w:rPr>
                <w:sz w:val="20"/>
              </w:rPr>
              <w:t xml:space="preserve"> (1)</w:t>
            </w:r>
          </w:p>
        </w:tc>
        <w:tc>
          <w:tcPr>
            <w:tcW w:w="4109" w:type="dxa"/>
            <w:tcMar>
              <w:right w:w="57" w:type="dxa"/>
            </w:tcMar>
          </w:tcPr>
          <w:p w:rsidR="00BA4526" w:rsidRPr="002B7023" w:rsidRDefault="00BA4526" w:rsidP="008E2AF1">
            <w:pPr>
              <w:pStyle w:val="Table-bodytext"/>
              <w:spacing w:after="40"/>
              <w:rPr>
                <w:sz w:val="20"/>
              </w:rPr>
            </w:pPr>
            <w:r>
              <w:rPr>
                <w:sz w:val="20"/>
              </w:rPr>
              <w:t>Contract manager (1)</w:t>
            </w:r>
          </w:p>
        </w:tc>
      </w:tr>
    </w:tbl>
    <w:p w:rsidR="002B7023" w:rsidRPr="002B7023" w:rsidRDefault="002B7023" w:rsidP="00311550">
      <w:pPr>
        <w:pStyle w:val="Sourceinformation"/>
        <w:spacing w:before="120"/>
        <w:rPr>
          <w:sz w:val="20"/>
        </w:rPr>
      </w:pPr>
      <w:r w:rsidRPr="002B7023">
        <w:rPr>
          <w:b/>
          <w:sz w:val="20"/>
        </w:rPr>
        <w:t>Source:</w:t>
      </w:r>
      <w:r w:rsidRPr="002B7023">
        <w:rPr>
          <w:sz w:val="20"/>
        </w:rPr>
        <w:t xml:space="preserve"> </w:t>
      </w:r>
      <w:proofErr w:type="spellStart"/>
      <w:r w:rsidRPr="002B7023">
        <w:rPr>
          <w:sz w:val="20"/>
        </w:rPr>
        <w:t>Sapere</w:t>
      </w:r>
      <w:proofErr w:type="spellEnd"/>
      <w:r w:rsidRPr="002B7023">
        <w:rPr>
          <w:sz w:val="20"/>
        </w:rPr>
        <w:t xml:space="preserve"> Research Group</w:t>
      </w:r>
    </w:p>
    <w:p w:rsidR="002B7023" w:rsidRPr="002B7023" w:rsidRDefault="002B7023" w:rsidP="002B7023">
      <w:pPr>
        <w:pStyle w:val="Whitespace"/>
        <w:spacing w:after="0"/>
        <w:rPr>
          <w:sz w:val="9"/>
        </w:rPr>
      </w:pPr>
    </w:p>
    <w:p w:rsidR="001333D0" w:rsidRDefault="001333D0" w:rsidP="002B7023">
      <w:pPr>
        <w:pStyle w:val="UnnumtextBodytext"/>
      </w:pPr>
      <w:r>
        <w:br w:type="page"/>
      </w:r>
    </w:p>
    <w:p w:rsidR="001333D0" w:rsidRDefault="00225944" w:rsidP="00225944">
      <w:pPr>
        <w:pStyle w:val="ApxHeading1"/>
      </w:pPr>
      <w:bookmarkStart w:id="199" w:name="_Toc380597826"/>
      <w:bookmarkStart w:id="200" w:name="_Toc380605809"/>
      <w:bookmarkStart w:id="201" w:name="_Toc423945967"/>
      <w:r>
        <w:lastRenderedPageBreak/>
        <w:t>: Assessment of patient research against HDEC criteria</w:t>
      </w:r>
      <w:bookmarkEnd w:id="199"/>
      <w:bookmarkEnd w:id="200"/>
      <w:bookmarkEnd w:id="201"/>
      <w:r>
        <w:t xml:space="preserve">  </w:t>
      </w:r>
    </w:p>
    <w:p w:rsidR="007C4ACC" w:rsidRDefault="007C4ACC" w:rsidP="007C4ACC">
      <w:pPr>
        <w:pStyle w:val="ApxHeading2"/>
      </w:pPr>
      <w:r>
        <w:t>Purpose</w:t>
      </w:r>
    </w:p>
    <w:p w:rsidR="00C17B31" w:rsidRDefault="00225944" w:rsidP="00225944">
      <w:pPr>
        <w:rPr>
          <w:rFonts w:cstheme="minorHAnsi"/>
        </w:rPr>
      </w:pPr>
      <w:r>
        <w:rPr>
          <w:rFonts w:cstheme="minorHAnsi"/>
        </w:rPr>
        <w:t>Th</w:t>
      </w:r>
      <w:r w:rsidR="00F96380">
        <w:rPr>
          <w:rFonts w:cstheme="minorHAnsi"/>
        </w:rPr>
        <w:t xml:space="preserve">is </w:t>
      </w:r>
      <w:r>
        <w:rPr>
          <w:rFonts w:cstheme="minorHAnsi"/>
        </w:rPr>
        <w:t>Appendix outline</w:t>
      </w:r>
      <w:r w:rsidR="00F96380">
        <w:rPr>
          <w:rFonts w:cstheme="minorHAnsi"/>
        </w:rPr>
        <w:t>s</w:t>
      </w:r>
      <w:r>
        <w:rPr>
          <w:rFonts w:cstheme="minorHAnsi"/>
        </w:rPr>
        <w:t xml:space="preserve"> </w:t>
      </w:r>
      <w:r w:rsidR="00F96380">
        <w:rPr>
          <w:rFonts w:cstheme="minorHAnsi"/>
        </w:rPr>
        <w:t xml:space="preserve">our assessment of </w:t>
      </w:r>
      <w:r w:rsidR="007C4ACC">
        <w:rPr>
          <w:rFonts w:cstheme="minorHAnsi"/>
        </w:rPr>
        <w:t xml:space="preserve">our research against the criteria of the </w:t>
      </w:r>
      <w:r>
        <w:rPr>
          <w:rFonts w:cstheme="minorHAnsi"/>
        </w:rPr>
        <w:t>National Health and Disability Ethics Committee (HDEC)</w:t>
      </w:r>
      <w:r w:rsidR="007C4ACC">
        <w:rPr>
          <w:rFonts w:cstheme="minorHAnsi"/>
        </w:rPr>
        <w:t xml:space="preserve">. </w:t>
      </w:r>
    </w:p>
    <w:p w:rsidR="007C4ACC" w:rsidRDefault="007C4ACC" w:rsidP="007C4ACC">
      <w:pPr>
        <w:pStyle w:val="ApxHeading2"/>
      </w:pPr>
      <w:r>
        <w:t xml:space="preserve">Approach </w:t>
      </w:r>
    </w:p>
    <w:p w:rsidR="00225944" w:rsidRDefault="00225944" w:rsidP="00225944">
      <w:pPr>
        <w:rPr>
          <w:rFonts w:cstheme="minorHAnsi"/>
        </w:rPr>
      </w:pPr>
      <w:r>
        <w:rPr>
          <w:rFonts w:cstheme="minorHAnsi"/>
        </w:rPr>
        <w:t>The</w:t>
      </w:r>
      <w:r w:rsidR="00C17B31">
        <w:rPr>
          <w:rFonts w:cstheme="minorHAnsi"/>
        </w:rPr>
        <w:t xml:space="preserve"> HDEC has set out the standard </w:t>
      </w:r>
      <w:r>
        <w:rPr>
          <w:rFonts w:cstheme="minorHAnsi"/>
        </w:rPr>
        <w:t xml:space="preserve">criteria to be considered when </w:t>
      </w:r>
      <w:r w:rsidR="00C17B31">
        <w:rPr>
          <w:rFonts w:cstheme="minorHAnsi"/>
        </w:rPr>
        <w:t xml:space="preserve">determining whether or not </w:t>
      </w:r>
      <w:r>
        <w:rPr>
          <w:rFonts w:cstheme="minorHAnsi"/>
        </w:rPr>
        <w:t xml:space="preserve">an ethics review and </w:t>
      </w:r>
      <w:r w:rsidR="00C17B31">
        <w:rPr>
          <w:rFonts w:cstheme="minorHAnsi"/>
        </w:rPr>
        <w:t xml:space="preserve">ethics </w:t>
      </w:r>
      <w:r>
        <w:rPr>
          <w:rFonts w:cstheme="minorHAnsi"/>
        </w:rPr>
        <w:t xml:space="preserve">approval is </w:t>
      </w:r>
      <w:r w:rsidR="00C17B31">
        <w:rPr>
          <w:rFonts w:cstheme="minorHAnsi"/>
        </w:rPr>
        <w:t>required</w:t>
      </w:r>
      <w:r>
        <w:rPr>
          <w:rFonts w:cstheme="minorHAnsi"/>
        </w:rPr>
        <w:t xml:space="preserve">. </w:t>
      </w:r>
      <w:r w:rsidR="00C17B31">
        <w:rPr>
          <w:rFonts w:cstheme="minorHAnsi"/>
        </w:rPr>
        <w:t>We self-assessed our research methodology against t</w:t>
      </w:r>
      <w:r>
        <w:rPr>
          <w:rFonts w:cstheme="minorHAnsi"/>
        </w:rPr>
        <w:t>he flow chart</w:t>
      </w:r>
      <w:r w:rsidR="00C17B31">
        <w:rPr>
          <w:rFonts w:cstheme="minorHAnsi"/>
        </w:rPr>
        <w:t>,</w:t>
      </w:r>
      <w:r>
        <w:rPr>
          <w:rFonts w:cstheme="minorHAnsi"/>
        </w:rPr>
        <w:t xml:space="preserve"> on the following page</w:t>
      </w:r>
      <w:r w:rsidR="00C17B31">
        <w:rPr>
          <w:rFonts w:cstheme="minorHAnsi"/>
        </w:rPr>
        <w:t>,</w:t>
      </w:r>
      <w:r>
        <w:rPr>
          <w:rFonts w:cstheme="minorHAnsi"/>
        </w:rPr>
        <w:t xml:space="preserve"> from the HDEC Standard Operating Procedures handbook. </w:t>
      </w:r>
      <w:r w:rsidR="005D7999">
        <w:rPr>
          <w:rFonts w:cstheme="minorHAnsi"/>
        </w:rPr>
        <w:t xml:space="preserve">We </w:t>
      </w:r>
      <w:r w:rsidR="00C17B31">
        <w:rPr>
          <w:rFonts w:cstheme="minorHAnsi"/>
        </w:rPr>
        <w:t xml:space="preserve">worked </w:t>
      </w:r>
      <w:r w:rsidR="005D7999">
        <w:rPr>
          <w:rFonts w:cstheme="minorHAnsi"/>
        </w:rPr>
        <w:t>through the relevant questions, n</w:t>
      </w:r>
      <w:r>
        <w:rPr>
          <w:rFonts w:cstheme="minorHAnsi"/>
        </w:rPr>
        <w:t xml:space="preserve">amely: </w:t>
      </w:r>
    </w:p>
    <w:p w:rsidR="00225944" w:rsidRDefault="00225944" w:rsidP="00C17B31">
      <w:pPr>
        <w:pStyle w:val="UnnumtextBullet1"/>
        <w:spacing w:after="80"/>
      </w:pPr>
      <w:r>
        <w:t>1: Main criteria column</w:t>
      </w:r>
    </w:p>
    <w:p w:rsidR="00225944" w:rsidRDefault="00225944" w:rsidP="00C17B31">
      <w:pPr>
        <w:pStyle w:val="UnnumtextBullet2"/>
        <w:spacing w:after="80"/>
      </w:pPr>
      <w:r>
        <w:t>N</w:t>
      </w:r>
      <w:r w:rsidR="007C4ACC">
        <w:t>o</w:t>
      </w:r>
      <w:r>
        <w:t xml:space="preserve">: </w:t>
      </w:r>
      <w:r w:rsidR="004A2AAF">
        <w:t>th</w:t>
      </w:r>
      <w:r w:rsidR="00C17B31">
        <w:t xml:space="preserve">is </w:t>
      </w:r>
      <w:r w:rsidR="004A2AAF">
        <w:t>study d</w:t>
      </w:r>
      <w:r>
        <w:t>oes not involve a human gamete, embryo or hybrid embryo</w:t>
      </w:r>
    </w:p>
    <w:p w:rsidR="00225944" w:rsidRDefault="00225944" w:rsidP="007C4ACC">
      <w:pPr>
        <w:pStyle w:val="UnnumtextBullet2"/>
        <w:spacing w:after="170"/>
      </w:pPr>
      <w:r>
        <w:t>Y</w:t>
      </w:r>
      <w:r w:rsidR="007C4ACC">
        <w:t>es</w:t>
      </w:r>
      <w:r>
        <w:t xml:space="preserve">: </w:t>
      </w:r>
      <w:r w:rsidR="00C17B31">
        <w:t>this study</w:t>
      </w:r>
      <w:r>
        <w:t xml:space="preserve"> does involve consumers of health and disability support services </w:t>
      </w:r>
    </w:p>
    <w:p w:rsidR="00225944" w:rsidRDefault="00225944" w:rsidP="00C17B31">
      <w:pPr>
        <w:pStyle w:val="UnnumtextBullet1"/>
        <w:spacing w:after="80"/>
      </w:pPr>
      <w:r>
        <w:t>2: Exemption column</w:t>
      </w:r>
    </w:p>
    <w:p w:rsidR="00225944" w:rsidRDefault="00225944" w:rsidP="00C17B31">
      <w:pPr>
        <w:pStyle w:val="UnnumtextBullet2"/>
        <w:spacing w:after="80"/>
      </w:pPr>
      <w:r>
        <w:t>N</w:t>
      </w:r>
      <w:r w:rsidR="007C4ACC">
        <w:t>o</w:t>
      </w:r>
      <w:r>
        <w:t xml:space="preserve">: </w:t>
      </w:r>
      <w:r w:rsidR="00C17B31">
        <w:t xml:space="preserve">it </w:t>
      </w:r>
      <w:r w:rsidR="004A2AAF">
        <w:t>d</w:t>
      </w:r>
      <w:r>
        <w:t>oes not involve a medical device as part of the study (we are not inserting or fitting devices as part of the study</w:t>
      </w:r>
      <w:r w:rsidR="00C17B31">
        <w:t xml:space="preserve">, although </w:t>
      </w:r>
      <w:r>
        <w:t>we might be asking about them)</w:t>
      </w:r>
    </w:p>
    <w:p w:rsidR="00225944" w:rsidRDefault="00225944" w:rsidP="007C4ACC">
      <w:pPr>
        <w:pStyle w:val="UnnumtextBullet2"/>
        <w:spacing w:after="170"/>
      </w:pPr>
      <w:r>
        <w:t>Y</w:t>
      </w:r>
      <w:r w:rsidR="007C4ACC">
        <w:t>es</w:t>
      </w:r>
      <w:r>
        <w:t xml:space="preserve">: </w:t>
      </w:r>
      <w:r w:rsidR="004A2AAF">
        <w:t>t</w:t>
      </w:r>
      <w:r>
        <w:t>he study is a minimal</w:t>
      </w:r>
      <w:r w:rsidR="009177D4">
        <w:t>-</w:t>
      </w:r>
      <w:r>
        <w:t>risk observational study</w:t>
      </w:r>
      <w:r w:rsidR="009177D4">
        <w:t xml:space="preserve"> (i.e. we are observing and </w:t>
      </w:r>
      <w:proofErr w:type="spellStart"/>
      <w:r w:rsidR="009177D4">
        <w:t>analysing</w:t>
      </w:r>
      <w:proofErr w:type="spellEnd"/>
      <w:r w:rsidR="009177D4">
        <w:t xml:space="preserve"> information about a health services but are not altering the care or services that people receive as part of this study)</w:t>
      </w:r>
    </w:p>
    <w:p w:rsidR="00225944" w:rsidRDefault="00225944" w:rsidP="00C17B31">
      <w:pPr>
        <w:pStyle w:val="UnnumtextBullet1"/>
        <w:spacing w:after="80"/>
      </w:pPr>
      <w:r>
        <w:t>3: Inclusions row</w:t>
      </w:r>
    </w:p>
    <w:p w:rsidR="00225944" w:rsidRDefault="00225944" w:rsidP="00C17B31">
      <w:pPr>
        <w:pStyle w:val="UnnumtextBullet2"/>
        <w:spacing w:after="80"/>
      </w:pPr>
      <w:r>
        <w:t>N</w:t>
      </w:r>
      <w:r w:rsidR="007C4ACC">
        <w:t>o</w:t>
      </w:r>
      <w:r>
        <w:t xml:space="preserve">: </w:t>
      </w:r>
      <w:r w:rsidR="007C4ACC">
        <w:t>t</w:t>
      </w:r>
      <w:r w:rsidR="00C17B31">
        <w:t>his</w:t>
      </w:r>
      <w:r>
        <w:t xml:space="preserve"> study does not involve the use of Guthrie Cards</w:t>
      </w:r>
    </w:p>
    <w:p w:rsidR="00225944" w:rsidRDefault="00225944" w:rsidP="00C17B31">
      <w:pPr>
        <w:pStyle w:val="UnnumtextBullet2"/>
        <w:spacing w:after="80"/>
      </w:pPr>
      <w:r>
        <w:t>N</w:t>
      </w:r>
      <w:r w:rsidR="007C4ACC">
        <w:t>o</w:t>
      </w:r>
      <w:r>
        <w:t>: th</w:t>
      </w:r>
      <w:r w:rsidR="00C17B31">
        <w:t>is</w:t>
      </w:r>
      <w:r>
        <w:t xml:space="preserve"> study is not funded by the Health Research Council </w:t>
      </w:r>
    </w:p>
    <w:p w:rsidR="00225944" w:rsidRDefault="00225944" w:rsidP="007C4ACC">
      <w:pPr>
        <w:pStyle w:val="UnnumtextBullet2"/>
        <w:spacing w:after="170"/>
      </w:pPr>
      <w:r>
        <w:t>N</w:t>
      </w:r>
      <w:r w:rsidR="007C4ACC">
        <w:t>o</w:t>
      </w:r>
      <w:r>
        <w:t>: th</w:t>
      </w:r>
      <w:r w:rsidR="00C17B31">
        <w:t>is</w:t>
      </w:r>
      <w:r>
        <w:t xml:space="preserve"> study does not involve the establishment of a tissue bank</w:t>
      </w:r>
    </w:p>
    <w:p w:rsidR="009177D4" w:rsidRDefault="009177D4" w:rsidP="009177D4">
      <w:pPr>
        <w:rPr>
          <w:rFonts w:cstheme="minorHAnsi"/>
        </w:rPr>
      </w:pPr>
      <w:r>
        <w:t>We note that</w:t>
      </w:r>
      <w:r w:rsidR="006745DC">
        <w:t>,</w:t>
      </w:r>
      <w:r>
        <w:t xml:space="preserve"> </w:t>
      </w:r>
      <w:r w:rsidR="006745DC">
        <w:t>u</w:t>
      </w:r>
      <w:r>
        <w:rPr>
          <w:rFonts w:cstheme="minorHAnsi"/>
        </w:rPr>
        <w:t xml:space="preserve">nder HDEC guidelines, </w:t>
      </w:r>
      <w:r w:rsidR="006745DC">
        <w:rPr>
          <w:rFonts w:cstheme="minorHAnsi"/>
        </w:rPr>
        <w:t>this project</w:t>
      </w:r>
      <w:r>
        <w:rPr>
          <w:rFonts w:cstheme="minorHAnsi"/>
        </w:rPr>
        <w:t xml:space="preserve"> qualifies as being a minimal</w:t>
      </w:r>
      <w:r w:rsidR="006745DC">
        <w:rPr>
          <w:rFonts w:cstheme="minorHAnsi"/>
        </w:rPr>
        <w:t>-</w:t>
      </w:r>
      <w:r>
        <w:rPr>
          <w:rFonts w:cstheme="minorHAnsi"/>
        </w:rPr>
        <w:t xml:space="preserve">risk </w:t>
      </w:r>
      <w:r>
        <w:t>observational study</w:t>
      </w:r>
      <w:r w:rsidR="006745DC">
        <w:t>, and therefore does not require HDEC review,</w:t>
      </w:r>
      <w:r>
        <w:rPr>
          <w:rFonts w:cstheme="minorHAnsi"/>
        </w:rPr>
        <w:t xml:space="preserve"> because: </w:t>
      </w:r>
    </w:p>
    <w:p w:rsidR="009177D4" w:rsidRDefault="009177D4" w:rsidP="009177D4">
      <w:pPr>
        <w:pStyle w:val="UnnumtextBullet1"/>
      </w:pPr>
      <w:r>
        <w:t xml:space="preserve">we are taking steps to ensure participants </w:t>
      </w:r>
      <w:r w:rsidR="006745DC">
        <w:t xml:space="preserve">are </w:t>
      </w:r>
      <w:r>
        <w:t>giv</w:t>
      </w:r>
      <w:r w:rsidR="006745DC">
        <w:t>ing</w:t>
      </w:r>
      <w:r>
        <w:t xml:space="preserve"> informed consent to participate;</w:t>
      </w:r>
    </w:p>
    <w:p w:rsidR="009177D4" w:rsidRDefault="009177D4" w:rsidP="009177D4">
      <w:pPr>
        <w:pStyle w:val="UnnumtextBullet1"/>
      </w:pPr>
      <w:r>
        <w:t>we are not seeking vulnerable participants (i.e. who have restricted capability to make independent decisions about their participation in the study);</w:t>
      </w:r>
    </w:p>
    <w:p w:rsidR="009177D4" w:rsidRDefault="009177D4" w:rsidP="009177D4">
      <w:pPr>
        <w:pStyle w:val="UnnumtextBullet1"/>
      </w:pPr>
      <w:r>
        <w:t>standard treatments are not being withheld from participants;</w:t>
      </w:r>
    </w:p>
    <w:p w:rsidR="009177D4" w:rsidRDefault="009177D4" w:rsidP="009177D4">
      <w:pPr>
        <w:pStyle w:val="UnnumtextBullet1"/>
      </w:pPr>
      <w:r>
        <w:t xml:space="preserve">there is no storage, preservation or use of human tissue occurring; and </w:t>
      </w:r>
    </w:p>
    <w:p w:rsidR="009177D4" w:rsidRDefault="009177D4" w:rsidP="009177D4">
      <w:pPr>
        <w:pStyle w:val="UnnumtextBullet1"/>
      </w:pPr>
      <w:proofErr w:type="gramStart"/>
      <w:r>
        <w:t>there</w:t>
      </w:r>
      <w:proofErr w:type="gramEnd"/>
      <w:r>
        <w:t xml:space="preserve"> is no disclosure of personal health information without patient </w:t>
      </w:r>
      <w:proofErr w:type="spellStart"/>
      <w:r>
        <w:t>authorisation</w:t>
      </w:r>
      <w:proofErr w:type="spellEnd"/>
      <w:r>
        <w:t>.</w:t>
      </w:r>
    </w:p>
    <w:p w:rsidR="00C17B31" w:rsidRDefault="00C17B31" w:rsidP="00C17B31">
      <w:pPr>
        <w:pStyle w:val="ApxHeading2"/>
      </w:pPr>
      <w:r>
        <w:t xml:space="preserve">Conclusion </w:t>
      </w:r>
    </w:p>
    <w:p w:rsidR="00C17B31" w:rsidRDefault="00C17B31" w:rsidP="00C17B31">
      <w:pPr>
        <w:rPr>
          <w:rFonts w:cstheme="minorHAnsi"/>
        </w:rPr>
      </w:pPr>
      <w:r w:rsidRPr="00C17B31">
        <w:rPr>
          <w:rFonts w:cstheme="minorHAnsi"/>
        </w:rPr>
        <w:t xml:space="preserve">Our conclusion is that </w:t>
      </w:r>
      <w:r>
        <w:rPr>
          <w:rFonts w:cstheme="minorHAnsi"/>
        </w:rPr>
        <w:t xml:space="preserve">an HDEC review </w:t>
      </w:r>
      <w:r w:rsidRPr="00C17B31">
        <w:rPr>
          <w:rFonts w:cstheme="minorHAnsi"/>
        </w:rPr>
        <w:t>is not</w:t>
      </w:r>
      <w:r>
        <w:rPr>
          <w:rFonts w:cstheme="minorHAnsi"/>
        </w:rPr>
        <w:t xml:space="preserve"> required for this project. </w:t>
      </w:r>
    </w:p>
    <w:p w:rsidR="009177D4" w:rsidRDefault="009177D4" w:rsidP="009177D4">
      <w:pPr>
        <w:pStyle w:val="Caption"/>
        <w:spacing w:before="100" w:beforeAutospacing="1" w:after="120"/>
      </w:pPr>
      <w:bookmarkStart w:id="202" w:name="_Toc380597845"/>
      <w:bookmarkStart w:id="203" w:name="_Toc380605805"/>
      <w:bookmarkStart w:id="204" w:name="_Toc423945993"/>
      <w:r>
        <w:lastRenderedPageBreak/>
        <w:t xml:space="preserve">Figure </w:t>
      </w:r>
      <w:fldSimple w:instr=" SEQ Figure \* ARABIC ">
        <w:r w:rsidR="00CA314A">
          <w:rPr>
            <w:noProof/>
          </w:rPr>
          <w:t>14</w:t>
        </w:r>
      </w:fldSimple>
      <w:r>
        <w:rPr>
          <w:noProof/>
        </w:rPr>
        <w:t>:</w:t>
      </w:r>
      <w:r>
        <w:t xml:space="preserve"> </w:t>
      </w:r>
      <w:r w:rsidR="006745DC">
        <w:t>Assessing the need for HDEC review – summary flowchart</w:t>
      </w:r>
      <w:bookmarkEnd w:id="202"/>
      <w:bookmarkEnd w:id="203"/>
      <w:bookmarkEnd w:id="204"/>
    </w:p>
    <w:p w:rsidR="00225944" w:rsidRDefault="00225944" w:rsidP="009177D4">
      <w:pPr>
        <w:ind w:hanging="70"/>
        <w:rPr>
          <w:rFonts w:cstheme="minorHAnsi"/>
        </w:rPr>
      </w:pPr>
      <w:r>
        <w:rPr>
          <w:rFonts w:cstheme="minorHAnsi"/>
          <w:noProof/>
          <w:lang w:val="en-NZ" w:eastAsia="en-NZ"/>
        </w:rPr>
        <w:drawing>
          <wp:inline distT="0" distB="0" distL="0" distR="0" wp14:anchorId="199850DF" wp14:editId="03633323">
            <wp:extent cx="7508187" cy="5223087"/>
            <wp:effectExtent l="0" t="63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16200000">
                      <a:off x="0" y="0"/>
                      <a:ext cx="7513778" cy="5226976"/>
                    </a:xfrm>
                    <a:prstGeom prst="rect">
                      <a:avLst/>
                    </a:prstGeom>
                    <a:noFill/>
                    <a:ln>
                      <a:noFill/>
                    </a:ln>
                  </pic:spPr>
                </pic:pic>
              </a:graphicData>
            </a:graphic>
          </wp:inline>
        </w:drawing>
      </w:r>
    </w:p>
    <w:p w:rsidR="00225944" w:rsidRDefault="009177D4" w:rsidP="006745DC">
      <w:pPr>
        <w:pStyle w:val="Sourceinformation"/>
      </w:pPr>
      <w:r w:rsidRPr="009177D4">
        <w:rPr>
          <w:b/>
          <w:sz w:val="20"/>
        </w:rPr>
        <w:t>Source:</w:t>
      </w:r>
      <w:r w:rsidRPr="009177D4">
        <w:rPr>
          <w:sz w:val="20"/>
        </w:rPr>
        <w:t xml:space="preserve"> </w:t>
      </w:r>
      <w:r w:rsidR="006745DC" w:rsidRPr="006745DC">
        <w:rPr>
          <w:sz w:val="20"/>
        </w:rPr>
        <w:t xml:space="preserve">National Health and Disability Ethics Committee (2012) </w:t>
      </w:r>
      <w:r w:rsidR="006745DC" w:rsidRPr="006745DC">
        <w:rPr>
          <w:i/>
          <w:sz w:val="20"/>
        </w:rPr>
        <w:t>Standard Operating Procedures for Health and Disability Ethics Committees</w:t>
      </w:r>
      <w:r w:rsidR="006745DC">
        <w:rPr>
          <w:i/>
          <w:sz w:val="20"/>
        </w:rPr>
        <w:t>,</w:t>
      </w:r>
      <w:r w:rsidR="006745DC" w:rsidRPr="006745DC">
        <w:rPr>
          <w:sz w:val="20"/>
        </w:rPr>
        <w:t xml:space="preserve"> </w:t>
      </w:r>
      <w:r w:rsidR="006745DC">
        <w:rPr>
          <w:sz w:val="20"/>
        </w:rPr>
        <w:t>p.13</w:t>
      </w:r>
    </w:p>
    <w:p w:rsidR="005D7999" w:rsidRDefault="005D7999" w:rsidP="005D7999">
      <w:pPr>
        <w:pStyle w:val="ApxHeading1"/>
      </w:pPr>
      <w:bookmarkStart w:id="205" w:name="_Toc380597827"/>
      <w:bookmarkStart w:id="206" w:name="_Toc380605810"/>
      <w:bookmarkStart w:id="207" w:name="_Toc423945968"/>
      <w:r>
        <w:lastRenderedPageBreak/>
        <w:t>: Script for securing informed consent from patients</w:t>
      </w:r>
      <w:bookmarkEnd w:id="205"/>
      <w:bookmarkEnd w:id="206"/>
      <w:bookmarkEnd w:id="207"/>
    </w:p>
    <w:p w:rsidR="005D7999" w:rsidRDefault="005D7999" w:rsidP="005D7999">
      <w:pPr>
        <w:pStyle w:val="ApxHeading2"/>
      </w:pPr>
      <w:r>
        <w:t>Brief script</w:t>
      </w:r>
    </w:p>
    <w:p w:rsidR="005D7999" w:rsidRDefault="005D7999" w:rsidP="005D7999">
      <w:pPr>
        <w:pStyle w:val="UnnumtextBodytext"/>
      </w:pPr>
      <w:r>
        <w:t>The Ministry of Health</w:t>
      </w:r>
      <w:r w:rsidR="004A2AAF">
        <w:t>,</w:t>
      </w:r>
      <w:r>
        <w:t xml:space="preserve"> wh</w:t>
      </w:r>
      <w:r w:rsidR="004A2AAF">
        <w:t>ich</w:t>
      </w:r>
      <w:r>
        <w:t xml:space="preserve"> funds the Mobile Surgical Bus</w:t>
      </w:r>
      <w:r w:rsidR="004A2AAF">
        <w:t>,</w:t>
      </w:r>
      <w:r>
        <w:t xml:space="preserve"> </w:t>
      </w:r>
      <w:r w:rsidR="004A2AAF">
        <w:t xml:space="preserve">is </w:t>
      </w:r>
      <w:r>
        <w:t xml:space="preserve">undertaking a review of how things are working with the Bus. They have contracted </w:t>
      </w:r>
      <w:proofErr w:type="spellStart"/>
      <w:r>
        <w:t>Sapere</w:t>
      </w:r>
      <w:proofErr w:type="spellEnd"/>
      <w:r>
        <w:t xml:space="preserve"> Research Group to interview some </w:t>
      </w:r>
      <w:r w:rsidR="004A2AAF">
        <w:t xml:space="preserve">of the </w:t>
      </w:r>
      <w:r>
        <w:t>patients.</w:t>
      </w:r>
    </w:p>
    <w:p w:rsidR="005D7999" w:rsidRDefault="005D7999" w:rsidP="005D7999">
      <w:pPr>
        <w:pStyle w:val="UnnumtextBodytext"/>
      </w:pPr>
      <w:r>
        <w:t xml:space="preserve">As part of the review Jo </w:t>
      </w:r>
      <w:proofErr w:type="spellStart"/>
      <w:r>
        <w:t>Esplin</w:t>
      </w:r>
      <w:proofErr w:type="spellEnd"/>
      <w:r>
        <w:t xml:space="preserve"> from </w:t>
      </w:r>
      <w:proofErr w:type="spellStart"/>
      <w:r>
        <w:t>Sapere</w:t>
      </w:r>
      <w:proofErr w:type="spellEnd"/>
      <w:r>
        <w:t xml:space="preserve"> would like to talk with people who have had an experience using the bus.</w:t>
      </w:r>
    </w:p>
    <w:p w:rsidR="005D7999" w:rsidRDefault="005D7999" w:rsidP="005D7999">
      <w:pPr>
        <w:pStyle w:val="UnnumtextBodytext"/>
      </w:pPr>
      <w:r>
        <w:t xml:space="preserve">They are interested in understanding from you what worked well, what didn’t work well and what could be </w:t>
      </w:r>
      <w:r w:rsidR="004A2AAF">
        <w:t xml:space="preserve">done </w:t>
      </w:r>
      <w:r>
        <w:t>better in future.</w:t>
      </w:r>
    </w:p>
    <w:p w:rsidR="005D7999" w:rsidRDefault="005D7999" w:rsidP="005D7999">
      <w:pPr>
        <w:pStyle w:val="UnnumtextBodytext"/>
      </w:pPr>
      <w:r>
        <w:t xml:space="preserve">The results of the review will help inform how the services might change in the future. This is a normal part of always trying to improve what we do. </w:t>
      </w:r>
    </w:p>
    <w:p w:rsidR="005D7999" w:rsidRDefault="005D7999" w:rsidP="005D7999">
      <w:pPr>
        <w:pStyle w:val="UnnumtextBodytext"/>
      </w:pPr>
      <w:r>
        <w:t xml:space="preserve">Can you help out by agreeing to be interviewed by phone by Jo </w:t>
      </w:r>
      <w:proofErr w:type="spellStart"/>
      <w:r>
        <w:t>Esplin</w:t>
      </w:r>
      <w:proofErr w:type="spellEnd"/>
      <w:r>
        <w:t>?  If you say yes I will give Jo your name and contact details and she will call you to make a time.  Is that OK with you?</w:t>
      </w:r>
    </w:p>
    <w:p w:rsidR="005D7999" w:rsidRDefault="004A2AAF" w:rsidP="005D7999">
      <w:pPr>
        <w:pStyle w:val="UnnumtextBodytext"/>
      </w:pPr>
      <w:r>
        <w:t>[</w:t>
      </w:r>
      <w:r w:rsidR="005D7999">
        <w:t>Thank you and finish</w:t>
      </w:r>
      <w:r>
        <w:t>]</w:t>
      </w:r>
    </w:p>
    <w:p w:rsidR="005D7999" w:rsidRDefault="005D7999" w:rsidP="005D7999">
      <w:pPr>
        <w:pStyle w:val="ApxHeading2"/>
      </w:pPr>
      <w:r>
        <w:t xml:space="preserve">Additional information </w:t>
      </w:r>
    </w:p>
    <w:p w:rsidR="005D7999" w:rsidRDefault="005D7999" w:rsidP="005D7999">
      <w:pPr>
        <w:pStyle w:val="UnnumtextBodytext"/>
      </w:pPr>
      <w:r>
        <w:t>Interviews will be about 15 and 30 minutes in length.</w:t>
      </w:r>
    </w:p>
    <w:p w:rsidR="005D7999" w:rsidRDefault="005D7999" w:rsidP="005D7999">
      <w:pPr>
        <w:pStyle w:val="UnnumtextBodytext"/>
      </w:pPr>
      <w:proofErr w:type="spellStart"/>
      <w:r>
        <w:t>Sapere</w:t>
      </w:r>
      <w:proofErr w:type="spellEnd"/>
      <w:r>
        <w:t xml:space="preserve"> will keep all your contact details confidential to them and they will be stored in a secure place.  The interviews will take place in January or February in 2014.</w:t>
      </w:r>
    </w:p>
    <w:p w:rsidR="005D7999" w:rsidRPr="00792CFB" w:rsidRDefault="005D7999" w:rsidP="005D7999">
      <w:pPr>
        <w:pStyle w:val="UnnumtextBodytext"/>
        <w:rPr>
          <w:b/>
        </w:rPr>
      </w:pPr>
      <w:r w:rsidRPr="00792CFB">
        <w:rPr>
          <w:b/>
        </w:rPr>
        <w:t>What your participation would involve</w:t>
      </w:r>
    </w:p>
    <w:p w:rsidR="005D7999" w:rsidRDefault="005D7999" w:rsidP="005D7999">
      <w:pPr>
        <w:pStyle w:val="UnnumtextBodytext"/>
      </w:pPr>
      <w:r>
        <w:t xml:space="preserve">You may also want to talk about the review with other people, such as family, </w:t>
      </w:r>
      <w:proofErr w:type="spellStart"/>
      <w:r>
        <w:t>whānau</w:t>
      </w:r>
      <w:proofErr w:type="spellEnd"/>
      <w:r>
        <w:t xml:space="preserve">, friends, or healthcare providers.  Feel free to do this. If you agree to be interviewed </w:t>
      </w:r>
      <w:proofErr w:type="spellStart"/>
      <w:r>
        <w:t>Sapere</w:t>
      </w:r>
      <w:proofErr w:type="spellEnd"/>
      <w:r>
        <w:t xml:space="preserve"> will answer any questions you may have when they call you. </w:t>
      </w:r>
    </w:p>
    <w:p w:rsidR="005D7999" w:rsidRDefault="005D7999" w:rsidP="005D7999">
      <w:pPr>
        <w:pStyle w:val="UnnumtextBodytext"/>
      </w:pPr>
      <w:r>
        <w:t xml:space="preserve">If you agree to have an interview, Jo </w:t>
      </w:r>
      <w:proofErr w:type="spellStart"/>
      <w:r>
        <w:t>Esplin</w:t>
      </w:r>
      <w:proofErr w:type="spellEnd"/>
      <w:r>
        <w:t xml:space="preserve"> from </w:t>
      </w:r>
      <w:proofErr w:type="spellStart"/>
      <w:r>
        <w:t>Sapere</w:t>
      </w:r>
      <w:proofErr w:type="spellEnd"/>
      <w:r>
        <w:t xml:space="preserve"> will phone you to make sure you are still keen.  If you are then she will make a time that suits you to call you back for an interview, or you may agree to do it there and then.  Your answers to the questions will be completely confidential (private).  It is the themes they hear about from all the people that they are interested in.</w:t>
      </w:r>
    </w:p>
    <w:p w:rsidR="005D7999" w:rsidRDefault="005D7999" w:rsidP="005D7999">
      <w:pPr>
        <w:pStyle w:val="UnnumtextBodytext"/>
      </w:pPr>
      <w:r w:rsidRPr="005D7999">
        <w:t xml:space="preserve">If you have any questions about this review you can contact Jo on 027 233 4010 or her email at </w:t>
      </w:r>
      <w:hyperlink r:id="rId40" w:history="1">
        <w:r w:rsidRPr="005608DA">
          <w:rPr>
            <w:rStyle w:val="Hyperlink"/>
          </w:rPr>
          <w:t>jesplin@srgexpert.com</w:t>
        </w:r>
      </w:hyperlink>
      <w:r w:rsidRPr="005D7999">
        <w:t xml:space="preserve">  </w:t>
      </w:r>
    </w:p>
    <w:p w:rsidR="00792CFB" w:rsidRDefault="00792CFB">
      <w:pPr>
        <w:spacing w:after="0" w:line="240" w:lineRule="auto"/>
      </w:pPr>
      <w:r>
        <w:br w:type="page"/>
      </w:r>
    </w:p>
    <w:p w:rsidR="004A2AAF" w:rsidRDefault="004A2AAF" w:rsidP="004A2AAF">
      <w:pPr>
        <w:pStyle w:val="UnnumtextBodytext"/>
      </w:pPr>
      <w:r>
        <w:lastRenderedPageBreak/>
        <w:t>ADDITIONAL INFO YOU MAY NEED TO USE</w:t>
      </w:r>
    </w:p>
    <w:p w:rsidR="00792CFB" w:rsidRDefault="00792CFB">
      <w:pPr>
        <w:spacing w:after="0" w:line="240" w:lineRule="auto"/>
        <w:rPr>
          <w:b/>
        </w:rPr>
      </w:pPr>
    </w:p>
    <w:p w:rsidR="004A2AAF" w:rsidRPr="00792CFB" w:rsidRDefault="004A2AAF" w:rsidP="004A2AAF">
      <w:pPr>
        <w:pStyle w:val="UnnumtextBodytext"/>
        <w:rPr>
          <w:b/>
        </w:rPr>
      </w:pPr>
      <w:r w:rsidRPr="00792CFB">
        <w:rPr>
          <w:b/>
        </w:rPr>
        <w:t>Your rights if you take part in the review</w:t>
      </w:r>
    </w:p>
    <w:p w:rsidR="004A2AAF" w:rsidRDefault="004A2AAF" w:rsidP="004A2AAF">
      <w:pPr>
        <w:pStyle w:val="UnnumtextBodytext"/>
      </w:pPr>
      <w:r>
        <w:t xml:space="preserve">Whether or not you take part in the review is entirely your choice.  If you don’t want to take part, you don’t have to give a reason, and it won’t affect any health care you receive.  If you tell us that you do not want to participate, we will not give your details to </w:t>
      </w:r>
      <w:proofErr w:type="spellStart"/>
      <w:r>
        <w:t>Sapere</w:t>
      </w:r>
      <w:proofErr w:type="spellEnd"/>
      <w:r>
        <w:t xml:space="preserve">. If you say yes now, but change your mind later, you can pull out, or stop, at any time.  You do not have to give a reason for saying no or stopping.  </w:t>
      </w:r>
    </w:p>
    <w:p w:rsidR="004A2AAF" w:rsidRPr="00792CFB" w:rsidRDefault="004A2AAF" w:rsidP="004A2AAF">
      <w:pPr>
        <w:pStyle w:val="UnnumtextBodytext"/>
        <w:rPr>
          <w:b/>
        </w:rPr>
      </w:pPr>
      <w:r w:rsidRPr="00792CFB">
        <w:rPr>
          <w:b/>
        </w:rPr>
        <w:t>What will happen after the review ends, or if you pull out?</w:t>
      </w:r>
    </w:p>
    <w:p w:rsidR="004A2AAF" w:rsidRDefault="004A2AAF" w:rsidP="004A2AAF">
      <w:pPr>
        <w:pStyle w:val="UnnumtextBodytext"/>
      </w:pPr>
      <w:r>
        <w:t xml:space="preserve">When </w:t>
      </w:r>
      <w:proofErr w:type="spellStart"/>
      <w:r>
        <w:t>Sapere</w:t>
      </w:r>
      <w:proofErr w:type="spellEnd"/>
      <w:r>
        <w:t xml:space="preserve"> has met and interviewed everybody, </w:t>
      </w:r>
      <w:proofErr w:type="spellStart"/>
      <w:r>
        <w:t>Sapere</w:t>
      </w:r>
      <w:proofErr w:type="spellEnd"/>
      <w:r>
        <w:t xml:space="preserve"> will write a report about the themes and summaries.  The report will go to the Ministry of Health, who are responsible for the Mobile Bus services. The report will include what works well, what doesn’t work so well and things they heard about what might be good ideas for any future changes to the way services are run. It will be up to the Ministry of Health as to how they share the report. </w:t>
      </w:r>
    </w:p>
    <w:p w:rsidR="004A2AAF" w:rsidRDefault="004A2AAF" w:rsidP="004A2AAF">
      <w:pPr>
        <w:pStyle w:val="UnnumtextBodytext"/>
      </w:pPr>
      <w:r>
        <w:t xml:space="preserve">After this all your contact details will be deleted from </w:t>
      </w:r>
      <w:proofErr w:type="spellStart"/>
      <w:r>
        <w:t>Sapere</w:t>
      </w:r>
      <w:proofErr w:type="spellEnd"/>
      <w:r>
        <w:t xml:space="preserve"> Research Group’s system.   </w:t>
      </w:r>
    </w:p>
    <w:p w:rsidR="004A2AAF" w:rsidRPr="00792CFB" w:rsidRDefault="004A2AAF" w:rsidP="004A2AAF">
      <w:pPr>
        <w:pStyle w:val="UnnumtextBodytext"/>
        <w:rPr>
          <w:b/>
        </w:rPr>
      </w:pPr>
      <w:r w:rsidRPr="00792CFB">
        <w:rPr>
          <w:b/>
        </w:rPr>
        <w:t>Where can you go for more information about the study, or to raise concerns or complaints?</w:t>
      </w:r>
    </w:p>
    <w:p w:rsidR="004A2AAF" w:rsidRDefault="004A2AAF" w:rsidP="004A2AAF">
      <w:pPr>
        <w:pStyle w:val="UnnumtextBodytext"/>
      </w:pPr>
      <w:r>
        <w:t xml:space="preserve">If you have any questions, concerns or complaints about the review at any stage, you can contact: </w:t>
      </w:r>
    </w:p>
    <w:p w:rsidR="004A2AAF" w:rsidRDefault="004A2AAF" w:rsidP="004A2AAF">
      <w:pPr>
        <w:pStyle w:val="UnnumtextBodytext"/>
      </w:pPr>
      <w:r>
        <w:tab/>
        <w:t xml:space="preserve">Jo </w:t>
      </w:r>
      <w:proofErr w:type="spellStart"/>
      <w:r>
        <w:t>Esplin</w:t>
      </w:r>
      <w:proofErr w:type="spellEnd"/>
      <w:r>
        <w:t xml:space="preserve">, 027 233 4010, jesplin@srgexpert.com </w:t>
      </w:r>
    </w:p>
    <w:p w:rsidR="004A2AAF" w:rsidRDefault="004A2AAF" w:rsidP="004A2AAF">
      <w:pPr>
        <w:pStyle w:val="UnnumtextBodytext"/>
      </w:pPr>
      <w:r>
        <w:t>If you want to talk to someone who isn’t involved with the review, you can contact an independent health and disability advocate on:</w:t>
      </w:r>
    </w:p>
    <w:p w:rsidR="004A2AAF" w:rsidRDefault="004A2AAF" w:rsidP="004A2AAF">
      <w:pPr>
        <w:pStyle w:val="UnnumtextBodytext"/>
      </w:pPr>
    </w:p>
    <w:p w:rsidR="004A2AAF" w:rsidRDefault="004A2AAF" w:rsidP="004A2AAF">
      <w:pPr>
        <w:pStyle w:val="UnnumtextBodytext"/>
      </w:pPr>
      <w:r>
        <w:t xml:space="preserve">Phone: </w:t>
      </w:r>
      <w:r>
        <w:tab/>
      </w:r>
      <w:r>
        <w:tab/>
        <w:t>0800 555 050</w:t>
      </w:r>
    </w:p>
    <w:p w:rsidR="005D7999" w:rsidRDefault="004A2AAF" w:rsidP="004A2AAF">
      <w:pPr>
        <w:pStyle w:val="UnnumtextBodytext"/>
      </w:pPr>
      <w:r>
        <w:t xml:space="preserve">Email: </w:t>
      </w:r>
      <w:r>
        <w:tab/>
      </w:r>
      <w:r>
        <w:tab/>
        <w:t>advocacy@hdc.org.nz</w:t>
      </w:r>
    </w:p>
    <w:p w:rsidR="005D7999" w:rsidRDefault="005D7999" w:rsidP="005D7999">
      <w:pPr>
        <w:pStyle w:val="UnnumtextBodytext"/>
      </w:pPr>
    </w:p>
    <w:p w:rsidR="00B73B4B" w:rsidRDefault="00B73B4B">
      <w:pPr>
        <w:spacing w:after="0" w:line="240" w:lineRule="auto"/>
      </w:pPr>
      <w:r>
        <w:br w:type="page"/>
      </w:r>
    </w:p>
    <w:p w:rsidR="00B73B4B" w:rsidRDefault="00B73B4B" w:rsidP="00E2562C">
      <w:pPr>
        <w:pStyle w:val="ApxHeading1"/>
        <w:tabs>
          <w:tab w:val="num" w:pos="1080"/>
        </w:tabs>
      </w:pPr>
      <w:bookmarkStart w:id="208" w:name="_Toc380597828"/>
      <w:bookmarkStart w:id="209" w:name="_Toc380605811"/>
      <w:bookmarkStart w:id="210" w:name="_Toc423945969"/>
      <w:r>
        <w:lastRenderedPageBreak/>
        <w:t>: Patient survey questions</w:t>
      </w:r>
      <w:bookmarkEnd w:id="208"/>
      <w:bookmarkEnd w:id="209"/>
      <w:bookmarkEnd w:id="210"/>
    </w:p>
    <w:p w:rsidR="00B73B4B" w:rsidRPr="004C1259" w:rsidRDefault="00B73B4B" w:rsidP="00B73B4B">
      <w:pPr>
        <w:pStyle w:val="ApxHeading2"/>
        <w:rPr>
          <w:sz w:val="28"/>
        </w:rPr>
      </w:pPr>
      <w:r w:rsidRPr="004C1259">
        <w:rPr>
          <w:sz w:val="28"/>
        </w:rPr>
        <w:t>Getting to the Bus</w:t>
      </w:r>
    </w:p>
    <w:p w:rsidR="00B73B4B" w:rsidRPr="004C1259" w:rsidRDefault="00B73B4B" w:rsidP="00BF6B69">
      <w:pPr>
        <w:numPr>
          <w:ilvl w:val="0"/>
          <w:numId w:val="24"/>
        </w:numPr>
        <w:spacing w:after="0" w:line="240" w:lineRule="auto"/>
        <w:rPr>
          <w:rFonts w:cstheme="minorHAnsi"/>
        </w:rPr>
      </w:pPr>
      <w:r w:rsidRPr="004C1259">
        <w:rPr>
          <w:rFonts w:cstheme="minorHAnsi"/>
        </w:rPr>
        <w:t>How did you get referred to the bus? (e.g. GP, hospital specialist, dentist, dental nurse, other) ____________________________________________________________________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 xml:space="preserve">How long did you have to wait from referral to your operation? (Circle the appropriate one)  </w:t>
      </w:r>
      <w:r w:rsidRPr="004C1259">
        <w:rPr>
          <w:rFonts w:cstheme="minorHAnsi"/>
          <w:szCs w:val="22"/>
        </w:rPr>
        <w:t>0 – 6 months</w:t>
      </w:r>
      <w:r w:rsidR="00073A19" w:rsidRPr="004C1259">
        <w:rPr>
          <w:rFonts w:cstheme="minorHAnsi"/>
          <w:szCs w:val="22"/>
        </w:rPr>
        <w:tab/>
      </w:r>
      <w:r w:rsidRPr="004C1259">
        <w:rPr>
          <w:rFonts w:cstheme="minorHAnsi"/>
          <w:szCs w:val="22"/>
        </w:rPr>
        <w:t>7 to 12 months</w:t>
      </w:r>
      <w:r w:rsidR="00073A19" w:rsidRPr="004C1259">
        <w:rPr>
          <w:rFonts w:cstheme="minorHAnsi"/>
          <w:szCs w:val="22"/>
        </w:rPr>
        <w:tab/>
      </w:r>
      <w:r w:rsidRPr="004C1259">
        <w:rPr>
          <w:rFonts w:cstheme="minorHAnsi"/>
          <w:szCs w:val="22"/>
        </w:rPr>
        <w:t>12+ months</w:t>
      </w:r>
      <w:r w:rsidRPr="004C1259">
        <w:rPr>
          <w:rFonts w:cstheme="minorHAnsi"/>
        </w:rPr>
        <w:t xml:space="preserve"> </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Did you get enough information before going to the bus so you knew what to do, when and what to expect?  Yes / No ____________________________________________________________________</w:t>
      </w:r>
    </w:p>
    <w:p w:rsidR="00B73B4B" w:rsidRPr="004C1259" w:rsidRDefault="00B73B4B" w:rsidP="00B73B4B">
      <w:pPr>
        <w:spacing w:after="0" w:line="240" w:lineRule="auto"/>
        <w:ind w:left="360"/>
        <w:rPr>
          <w:rFonts w:cstheme="minorHAnsi"/>
        </w:rPr>
      </w:pPr>
      <w:r w:rsidRPr="004C1259">
        <w:rPr>
          <w:rFonts w:cstheme="minorHAnsi"/>
        </w:rPr>
        <w:t>____________________________________________________________________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Who did you get the information from? (Circle one)</w:t>
      </w:r>
      <w:r w:rsidRPr="004C1259">
        <w:rPr>
          <w:rFonts w:cstheme="minorHAnsi"/>
          <w:sz w:val="20"/>
        </w:rPr>
        <w:t xml:space="preserve"> Hospital, dentist, bus people, other </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60" w:line="240" w:lineRule="auto"/>
        <w:ind w:left="357" w:hanging="357"/>
        <w:rPr>
          <w:rFonts w:cstheme="minorHAnsi"/>
        </w:rPr>
      </w:pPr>
      <w:r w:rsidRPr="004C1259">
        <w:rPr>
          <w:rFonts w:cstheme="minorHAnsi"/>
        </w:rPr>
        <w:t>If you didn’t have this service on the bus, would you have agreed to travel further to get it, e.g. to the next main hospital?  Yes / No</w:t>
      </w:r>
    </w:p>
    <w:p w:rsidR="00B73B4B" w:rsidRPr="004C1259" w:rsidRDefault="00B73B4B" w:rsidP="00B73B4B">
      <w:pPr>
        <w:spacing w:after="0" w:line="240" w:lineRule="auto"/>
        <w:ind w:left="360"/>
        <w:rPr>
          <w:rFonts w:cstheme="minorHAnsi"/>
        </w:rPr>
      </w:pPr>
      <w:proofErr w:type="gramStart"/>
      <w:r w:rsidRPr="004C1259">
        <w:rPr>
          <w:rFonts w:cstheme="minorHAnsi"/>
        </w:rPr>
        <w:t>If no, why not?</w:t>
      </w:r>
      <w:proofErr w:type="gramEnd"/>
      <w:r w:rsidRPr="004C1259">
        <w:rPr>
          <w:rFonts w:cstheme="minorHAnsi"/>
        </w:rPr>
        <w:t xml:space="preserve"> ________________________________________________________________________________________________________________________________________</w:t>
      </w:r>
    </w:p>
    <w:p w:rsidR="00B73B4B" w:rsidRPr="004C1259" w:rsidRDefault="00B73B4B" w:rsidP="00B73B4B">
      <w:pPr>
        <w:pStyle w:val="ApxHeading2"/>
        <w:rPr>
          <w:sz w:val="28"/>
        </w:rPr>
      </w:pPr>
      <w:r w:rsidRPr="004C1259">
        <w:rPr>
          <w:sz w:val="28"/>
        </w:rPr>
        <w:t xml:space="preserve">You, or your child’s, experience of the bus: How was it?  </w:t>
      </w:r>
    </w:p>
    <w:p w:rsidR="00B73B4B" w:rsidRPr="004C1259" w:rsidRDefault="00B73B4B" w:rsidP="00BF6B69">
      <w:pPr>
        <w:pStyle w:val="ListParagraph"/>
        <w:numPr>
          <w:ilvl w:val="0"/>
          <w:numId w:val="24"/>
        </w:numPr>
        <w:spacing w:after="0" w:line="240" w:lineRule="auto"/>
        <w:rPr>
          <w:rFonts w:ascii="Garamond" w:eastAsia="Times New Roman" w:hAnsi="Garamond" w:cstheme="minorHAnsi"/>
        </w:rPr>
      </w:pPr>
      <w:r w:rsidRPr="004C1259">
        <w:rPr>
          <w:rFonts w:ascii="Garamond" w:eastAsia="Times New Roman" w:hAnsi="Garamond" w:cstheme="minorHAnsi"/>
        </w:rPr>
        <w:t>Tell us about your experience with this service?</w:t>
      </w:r>
    </w:p>
    <w:p w:rsidR="00B73B4B" w:rsidRPr="004C1259" w:rsidRDefault="00B73B4B" w:rsidP="00B73B4B">
      <w:pPr>
        <w:pStyle w:val="ListParagraph"/>
        <w:spacing w:after="0" w:line="240" w:lineRule="auto"/>
        <w:ind w:left="360"/>
        <w:rPr>
          <w:rFonts w:ascii="Garamond" w:eastAsia="Times New Roman" w:hAnsi="Garamond" w:cstheme="minorHAnsi"/>
        </w:rPr>
      </w:pPr>
    </w:p>
    <w:p w:rsidR="00B73B4B" w:rsidRPr="004C1259" w:rsidRDefault="00B73B4B" w:rsidP="00BF6B69">
      <w:pPr>
        <w:pStyle w:val="ListParagraph"/>
        <w:numPr>
          <w:ilvl w:val="1"/>
          <w:numId w:val="23"/>
        </w:numPr>
        <w:tabs>
          <w:tab w:val="clear" w:pos="1080"/>
          <w:tab w:val="num" w:pos="851"/>
        </w:tabs>
        <w:spacing w:after="80" w:line="240" w:lineRule="auto"/>
        <w:ind w:left="850" w:hanging="425"/>
        <w:contextualSpacing w:val="0"/>
        <w:rPr>
          <w:rFonts w:ascii="Garamond" w:eastAsia="Times New Roman" w:hAnsi="Garamond" w:cstheme="minorHAnsi"/>
        </w:rPr>
      </w:pPr>
      <w:r w:rsidRPr="004C1259">
        <w:rPr>
          <w:rFonts w:ascii="Garamond" w:eastAsia="Times New Roman" w:hAnsi="Garamond" w:cstheme="minorHAnsi"/>
        </w:rPr>
        <w:t>Was it on time or did you have to wait when you got there? ________________________________________________________________</w:t>
      </w:r>
    </w:p>
    <w:p w:rsidR="00B73B4B" w:rsidRPr="004C1259" w:rsidRDefault="00B73B4B" w:rsidP="00B73B4B">
      <w:pPr>
        <w:pStyle w:val="ListParagraph"/>
        <w:spacing w:after="0" w:line="240" w:lineRule="auto"/>
        <w:ind w:left="851"/>
        <w:rPr>
          <w:rFonts w:ascii="Garamond" w:eastAsia="Times New Roman" w:hAnsi="Garamond" w:cstheme="minorHAnsi"/>
        </w:rPr>
      </w:pPr>
    </w:p>
    <w:p w:rsidR="00B73B4B" w:rsidRPr="004C1259" w:rsidRDefault="00B73B4B" w:rsidP="00BF6B69">
      <w:pPr>
        <w:pStyle w:val="ListParagraph"/>
        <w:numPr>
          <w:ilvl w:val="1"/>
          <w:numId w:val="23"/>
        </w:numPr>
        <w:tabs>
          <w:tab w:val="clear" w:pos="1080"/>
          <w:tab w:val="num" w:pos="851"/>
        </w:tabs>
        <w:spacing w:after="0" w:line="240" w:lineRule="auto"/>
        <w:ind w:left="851" w:hanging="425"/>
        <w:rPr>
          <w:rFonts w:ascii="Garamond" w:eastAsia="Times New Roman" w:hAnsi="Garamond" w:cstheme="minorHAnsi"/>
        </w:rPr>
      </w:pPr>
      <w:r w:rsidRPr="004C1259">
        <w:rPr>
          <w:rFonts w:ascii="Garamond" w:eastAsia="Times New Roman" w:hAnsi="Garamond" w:cstheme="minorHAnsi"/>
        </w:rPr>
        <w:t>How would you describe your experience of the staff?  ________________________________________________________________</w:t>
      </w:r>
    </w:p>
    <w:p w:rsidR="00B73B4B" w:rsidRPr="004C1259" w:rsidRDefault="00B73B4B" w:rsidP="00B73B4B">
      <w:pPr>
        <w:pStyle w:val="ListParagraph"/>
        <w:rPr>
          <w:rFonts w:ascii="Garamond" w:eastAsia="Times New Roman" w:hAnsi="Garamond" w:cstheme="minorHAnsi"/>
        </w:rPr>
      </w:pPr>
    </w:p>
    <w:p w:rsidR="00B73B4B" w:rsidRPr="004C1259" w:rsidRDefault="00B73B4B" w:rsidP="00BF6B69">
      <w:pPr>
        <w:pStyle w:val="ListParagraph"/>
        <w:numPr>
          <w:ilvl w:val="1"/>
          <w:numId w:val="23"/>
        </w:numPr>
        <w:tabs>
          <w:tab w:val="clear" w:pos="1080"/>
          <w:tab w:val="num" w:pos="851"/>
        </w:tabs>
        <w:spacing w:after="0" w:line="240" w:lineRule="auto"/>
        <w:ind w:left="851" w:hanging="425"/>
        <w:rPr>
          <w:rFonts w:ascii="Garamond" w:eastAsia="Times New Roman" w:hAnsi="Garamond" w:cstheme="minorHAnsi"/>
        </w:rPr>
      </w:pPr>
      <w:r w:rsidRPr="004C1259">
        <w:rPr>
          <w:rFonts w:ascii="Garamond" w:eastAsia="Times New Roman" w:hAnsi="Garamond" w:cstheme="minorHAnsi"/>
        </w:rPr>
        <w:t>Did the operation / surgery go as expected? Yes / No (please describe) ________________________________________________________________</w:t>
      </w:r>
    </w:p>
    <w:p w:rsidR="00B73B4B" w:rsidRPr="004C1259" w:rsidRDefault="00B73B4B" w:rsidP="00B73B4B">
      <w:pPr>
        <w:pStyle w:val="ListParagraph"/>
        <w:rPr>
          <w:rFonts w:ascii="Garamond" w:eastAsia="Times New Roman" w:hAnsi="Garamond" w:cstheme="minorHAnsi"/>
        </w:rPr>
      </w:pPr>
    </w:p>
    <w:p w:rsidR="00B73B4B" w:rsidRPr="004C1259" w:rsidRDefault="00B73B4B" w:rsidP="00BF6B69">
      <w:pPr>
        <w:pStyle w:val="ListParagraph"/>
        <w:numPr>
          <w:ilvl w:val="1"/>
          <w:numId w:val="23"/>
        </w:numPr>
        <w:tabs>
          <w:tab w:val="clear" w:pos="1080"/>
          <w:tab w:val="num" w:pos="851"/>
        </w:tabs>
        <w:spacing w:after="0" w:line="240" w:lineRule="auto"/>
        <w:ind w:left="851" w:hanging="425"/>
        <w:rPr>
          <w:rFonts w:ascii="Garamond" w:eastAsia="Times New Roman" w:hAnsi="Garamond" w:cstheme="minorHAnsi"/>
        </w:rPr>
      </w:pPr>
      <w:r w:rsidRPr="004C1259">
        <w:rPr>
          <w:rFonts w:ascii="Garamond" w:eastAsia="Times New Roman" w:hAnsi="Garamond" w:cstheme="minorHAnsi"/>
        </w:rPr>
        <w:t>Did you have enough information about what to expect and do after the operation? ________________________________________________________________</w:t>
      </w:r>
    </w:p>
    <w:p w:rsidR="00B73B4B" w:rsidRPr="004C1259" w:rsidRDefault="00B73B4B" w:rsidP="00B73B4B">
      <w:pPr>
        <w:spacing w:after="0" w:line="240" w:lineRule="auto"/>
        <w:rPr>
          <w:rFonts w:cstheme="minorHAnsi"/>
        </w:rPr>
      </w:pPr>
    </w:p>
    <w:p w:rsidR="00B73B4B" w:rsidRPr="004C1259" w:rsidRDefault="00B73B4B" w:rsidP="00BF6B69">
      <w:pPr>
        <w:pStyle w:val="ListParagraph"/>
        <w:numPr>
          <w:ilvl w:val="1"/>
          <w:numId w:val="23"/>
        </w:numPr>
        <w:tabs>
          <w:tab w:val="clear" w:pos="1080"/>
          <w:tab w:val="num" w:pos="851"/>
        </w:tabs>
        <w:spacing w:after="0" w:line="240" w:lineRule="auto"/>
        <w:ind w:left="851" w:hanging="425"/>
        <w:rPr>
          <w:rFonts w:ascii="Garamond" w:eastAsia="Times New Roman" w:hAnsi="Garamond" w:cstheme="minorHAnsi"/>
        </w:rPr>
      </w:pPr>
      <w:r w:rsidRPr="004C1259">
        <w:rPr>
          <w:rFonts w:ascii="Garamond" w:eastAsia="Times New Roman" w:hAnsi="Garamond" w:cstheme="minorHAnsi"/>
        </w:rPr>
        <w:t>After the operation was your / your child’s health and wellbeing: (circle the relevant one)</w:t>
      </w:r>
    </w:p>
    <w:p w:rsidR="00B73B4B" w:rsidRPr="004C1259" w:rsidRDefault="00B73B4B" w:rsidP="00073A19">
      <w:pPr>
        <w:tabs>
          <w:tab w:val="left" w:pos="2410"/>
          <w:tab w:val="left" w:pos="3828"/>
        </w:tabs>
        <w:spacing w:before="60" w:after="0" w:line="240" w:lineRule="auto"/>
        <w:ind w:left="425" w:firstLine="425"/>
        <w:rPr>
          <w:rFonts w:cstheme="minorHAnsi"/>
        </w:rPr>
      </w:pPr>
      <w:r w:rsidRPr="004C1259">
        <w:rPr>
          <w:rFonts w:cstheme="minorHAnsi"/>
        </w:rPr>
        <w:t>1: Much better</w:t>
      </w:r>
      <w:r w:rsidRPr="004C1259">
        <w:rPr>
          <w:rFonts w:cstheme="minorHAnsi"/>
        </w:rPr>
        <w:tab/>
        <w:t>2: A bit better</w:t>
      </w:r>
      <w:r w:rsidRPr="004C1259">
        <w:rPr>
          <w:rFonts w:cstheme="minorHAnsi"/>
        </w:rPr>
        <w:tab/>
        <w:t xml:space="preserve"> 3: Same</w:t>
      </w:r>
      <w:r w:rsidRPr="004C1259">
        <w:rPr>
          <w:rFonts w:cstheme="minorHAnsi"/>
        </w:rPr>
        <w:tab/>
        <w:t xml:space="preserve">  4: A bit worse   5: Much worse</w:t>
      </w:r>
    </w:p>
    <w:p w:rsidR="00B73B4B" w:rsidRPr="004C1259" w:rsidRDefault="00B73B4B" w:rsidP="00B73B4B">
      <w:pPr>
        <w:pStyle w:val="ListParagraph"/>
        <w:spacing w:after="0" w:line="240" w:lineRule="auto"/>
        <w:ind w:left="2160"/>
        <w:rPr>
          <w:rFonts w:ascii="Garamond" w:eastAsia="Times New Roman" w:hAnsi="Garamond" w:cstheme="minorHAnsi"/>
        </w:rPr>
      </w:pPr>
    </w:p>
    <w:p w:rsidR="00B73B4B" w:rsidRPr="004C1259" w:rsidRDefault="00B73B4B" w:rsidP="004C1259">
      <w:pPr>
        <w:pStyle w:val="ListParagraph"/>
        <w:numPr>
          <w:ilvl w:val="1"/>
          <w:numId w:val="23"/>
        </w:numPr>
        <w:tabs>
          <w:tab w:val="clear" w:pos="1080"/>
          <w:tab w:val="num" w:pos="851"/>
        </w:tabs>
        <w:spacing w:after="0" w:line="240" w:lineRule="auto"/>
        <w:ind w:left="851" w:hanging="654"/>
        <w:rPr>
          <w:rFonts w:ascii="Garamond" w:eastAsia="Times New Roman" w:hAnsi="Garamond" w:cstheme="minorHAnsi"/>
        </w:rPr>
      </w:pPr>
      <w:r w:rsidRPr="004C1259">
        <w:rPr>
          <w:rFonts w:ascii="Garamond" w:eastAsia="Times New Roman" w:hAnsi="Garamond" w:cstheme="minorHAnsi"/>
        </w:rPr>
        <w:t>Anything else you want to say? ____________________________________________________________________________________________________________________________</w:t>
      </w:r>
    </w:p>
    <w:p w:rsidR="00073A19" w:rsidRPr="004C1259" w:rsidRDefault="00073A19" w:rsidP="00073A19">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lastRenderedPageBreak/>
        <w:t xml:space="preserve">What did you </w:t>
      </w:r>
      <w:r w:rsidRPr="004C1259">
        <w:rPr>
          <w:rFonts w:cstheme="minorHAnsi"/>
          <w:b/>
        </w:rPr>
        <w:t>like / value the most</w:t>
      </w:r>
      <w:r w:rsidRPr="004C1259">
        <w:rPr>
          <w:rFonts w:cstheme="minorHAnsi"/>
        </w:rPr>
        <w:t xml:space="preserve"> about being able to use the mobile bus service and why?  ________________________________________________________________________________________________________________________________________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 xml:space="preserve">What did you </w:t>
      </w:r>
      <w:r w:rsidRPr="004C1259">
        <w:rPr>
          <w:rFonts w:cstheme="minorHAnsi"/>
          <w:b/>
        </w:rPr>
        <w:t>like the least</w:t>
      </w:r>
      <w:r w:rsidRPr="004C1259">
        <w:rPr>
          <w:rFonts w:cstheme="minorHAnsi"/>
        </w:rPr>
        <w:t xml:space="preserve"> about using the mobile bus service and why? ________________________________________________________________________________________________________________________________________</w:t>
      </w:r>
    </w:p>
    <w:p w:rsidR="00B73B4B" w:rsidRPr="004C1259" w:rsidRDefault="00B73B4B" w:rsidP="00B73B4B">
      <w:pPr>
        <w:pStyle w:val="ListParagraph"/>
        <w:rPr>
          <w:rFonts w:ascii="Garamond" w:hAnsi="Garamond" w:cstheme="minorHAnsi"/>
        </w:rPr>
      </w:pPr>
    </w:p>
    <w:p w:rsidR="00B73B4B" w:rsidRPr="004C1259" w:rsidRDefault="00B73B4B" w:rsidP="00BF6B69">
      <w:pPr>
        <w:pStyle w:val="ListParagraph"/>
        <w:numPr>
          <w:ilvl w:val="0"/>
          <w:numId w:val="24"/>
        </w:numPr>
        <w:spacing w:after="0" w:line="240" w:lineRule="auto"/>
        <w:rPr>
          <w:rFonts w:ascii="Garamond" w:eastAsia="Times New Roman" w:hAnsi="Garamond" w:cstheme="minorHAnsi"/>
        </w:rPr>
      </w:pPr>
      <w:r w:rsidRPr="004C1259">
        <w:rPr>
          <w:rFonts w:ascii="Garamond" w:hAnsi="Garamond" w:cstheme="minorHAnsi"/>
        </w:rPr>
        <w:t>Were your cultural needs met? If yes, how? If not, why? ________________________________________________________________________________________________________________________________________</w:t>
      </w:r>
    </w:p>
    <w:p w:rsidR="00B73B4B" w:rsidRPr="004C1259" w:rsidRDefault="00B73B4B" w:rsidP="00B73B4B">
      <w:pPr>
        <w:pStyle w:val="ListParagraph"/>
        <w:rPr>
          <w:rFonts w:ascii="Garamond" w:eastAsia="Times New Roman" w:hAnsi="Garamond" w:cstheme="minorHAnsi"/>
        </w:rPr>
      </w:pPr>
    </w:p>
    <w:p w:rsidR="00B73B4B" w:rsidRPr="004C1259" w:rsidRDefault="00B73B4B" w:rsidP="00BF6B69">
      <w:pPr>
        <w:pStyle w:val="ListParagraph"/>
        <w:numPr>
          <w:ilvl w:val="0"/>
          <w:numId w:val="24"/>
        </w:numPr>
        <w:spacing w:after="0" w:line="240" w:lineRule="auto"/>
        <w:rPr>
          <w:rFonts w:ascii="Garamond" w:eastAsia="Times New Roman" w:hAnsi="Garamond" w:cstheme="minorHAnsi"/>
        </w:rPr>
      </w:pPr>
      <w:r w:rsidRPr="004C1259">
        <w:rPr>
          <w:rFonts w:ascii="Garamond" w:eastAsia="Times New Roman" w:hAnsi="Garamond" w:cstheme="minorHAnsi"/>
        </w:rPr>
        <w:t>Were your privacy and emotional needs respected and addressed? (please explain) ________________________________________________________________________________________________________________________________________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If there was anything to be different / changed with the service for the future what would it be? (If you have more than one idea, please rank them with 1 being the most important)  ____________________________________________________________________________________________________________________________________________________________________________________________________________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F6B69">
      <w:pPr>
        <w:numPr>
          <w:ilvl w:val="0"/>
          <w:numId w:val="24"/>
        </w:numPr>
        <w:spacing w:after="0" w:line="240" w:lineRule="auto"/>
        <w:rPr>
          <w:rFonts w:cstheme="minorHAnsi"/>
        </w:rPr>
      </w:pPr>
      <w:r w:rsidRPr="004C1259">
        <w:rPr>
          <w:rFonts w:cstheme="minorHAnsi"/>
        </w:rPr>
        <w:t>Contact afterwards</w:t>
      </w:r>
    </w:p>
    <w:p w:rsidR="00B73B4B" w:rsidRPr="004C1259" w:rsidRDefault="00B73B4B" w:rsidP="00073A19">
      <w:pPr>
        <w:spacing w:after="0" w:line="240" w:lineRule="auto"/>
        <w:ind w:firstLine="360"/>
        <w:rPr>
          <w:rFonts w:cstheme="minorHAnsi"/>
        </w:rPr>
      </w:pPr>
      <w:r w:rsidRPr="004C1259">
        <w:rPr>
          <w:rFonts w:cstheme="minorHAnsi"/>
        </w:rPr>
        <w:t>Did you know who to contact if there were any questions after the service? Yes/no</w:t>
      </w:r>
    </w:p>
    <w:p w:rsidR="00073A19" w:rsidRPr="004C1259" w:rsidRDefault="00073A19" w:rsidP="00073A19">
      <w:pPr>
        <w:spacing w:after="0" w:line="240" w:lineRule="auto"/>
        <w:ind w:left="360"/>
        <w:rPr>
          <w:rFonts w:cstheme="minorHAnsi"/>
        </w:rPr>
      </w:pPr>
    </w:p>
    <w:p w:rsidR="00073A19" w:rsidRPr="004C1259" w:rsidRDefault="00B73B4B" w:rsidP="00073A19">
      <w:pPr>
        <w:spacing w:after="0" w:line="240" w:lineRule="auto"/>
        <w:ind w:left="360"/>
        <w:rPr>
          <w:rFonts w:cstheme="minorHAnsi"/>
        </w:rPr>
      </w:pPr>
      <w:r w:rsidRPr="004C1259">
        <w:rPr>
          <w:rFonts w:cstheme="minorHAnsi"/>
        </w:rPr>
        <w:t>If yes, who was that? (</w:t>
      </w:r>
      <w:proofErr w:type="gramStart"/>
      <w:r w:rsidRPr="004C1259">
        <w:rPr>
          <w:rFonts w:cstheme="minorHAnsi"/>
        </w:rPr>
        <w:t>e.g</w:t>
      </w:r>
      <w:proofErr w:type="gramEnd"/>
      <w:r w:rsidRPr="004C1259">
        <w:rPr>
          <w:rFonts w:cstheme="minorHAnsi"/>
        </w:rPr>
        <w:t xml:space="preserve">. the service, your GP, a hospital specialist, other) </w:t>
      </w:r>
      <w:r w:rsidR="00073A19" w:rsidRPr="004C1259">
        <w:rPr>
          <w:rFonts w:cstheme="minorHAnsi"/>
        </w:rPr>
        <w:t>___________________________________________________________________</w:t>
      </w:r>
    </w:p>
    <w:p w:rsidR="00B73B4B" w:rsidRPr="004C1259" w:rsidRDefault="00B73B4B" w:rsidP="00B73B4B">
      <w:pPr>
        <w:spacing w:after="0" w:line="240" w:lineRule="auto"/>
        <w:ind w:left="360"/>
        <w:rPr>
          <w:rFonts w:cstheme="minorHAnsi"/>
        </w:rPr>
      </w:pPr>
    </w:p>
    <w:p w:rsidR="00B73B4B" w:rsidRPr="004C1259" w:rsidRDefault="00B73B4B" w:rsidP="00B73B4B">
      <w:pPr>
        <w:pStyle w:val="ApxHeading2"/>
        <w:rPr>
          <w:sz w:val="28"/>
        </w:rPr>
      </w:pPr>
      <w:r w:rsidRPr="004C1259">
        <w:rPr>
          <w:sz w:val="28"/>
        </w:rPr>
        <w:t>Other</w:t>
      </w:r>
    </w:p>
    <w:p w:rsidR="00B73B4B" w:rsidRPr="004C1259" w:rsidRDefault="00B73B4B" w:rsidP="00BF6B69">
      <w:pPr>
        <w:pStyle w:val="ListParagraph"/>
        <w:numPr>
          <w:ilvl w:val="0"/>
          <w:numId w:val="24"/>
        </w:numPr>
        <w:ind w:left="0"/>
        <w:rPr>
          <w:rFonts w:ascii="Garamond" w:hAnsi="Garamond" w:cstheme="minorHAnsi"/>
        </w:rPr>
      </w:pPr>
      <w:r w:rsidRPr="004C1259">
        <w:rPr>
          <w:rFonts w:ascii="Garamond" w:hAnsi="Garamond" w:cstheme="minorHAnsi"/>
        </w:rPr>
        <w:t>Is there anything else you want to say about the mobile bus service? ________________________________________________________________________________________________________________________________________________________________________________________________________________________</w:t>
      </w:r>
    </w:p>
    <w:p w:rsidR="00073A19" w:rsidRPr="004C1259" w:rsidRDefault="00073A19">
      <w:pPr>
        <w:spacing w:after="0" w:line="240" w:lineRule="auto"/>
        <w:rPr>
          <w:b/>
          <w:bCs/>
          <w:color w:val="7B5E05"/>
          <w:sz w:val="28"/>
          <w:szCs w:val="28"/>
        </w:rPr>
      </w:pPr>
      <w:r w:rsidRPr="004C1259">
        <w:rPr>
          <w:sz w:val="28"/>
        </w:rPr>
        <w:br w:type="page"/>
      </w:r>
    </w:p>
    <w:p w:rsidR="00B73B4B" w:rsidRPr="004C1259" w:rsidRDefault="00B73B4B" w:rsidP="00B73B4B">
      <w:pPr>
        <w:pStyle w:val="ApxHeading2"/>
        <w:rPr>
          <w:sz w:val="28"/>
        </w:rPr>
      </w:pPr>
      <w:r w:rsidRPr="004C1259">
        <w:rPr>
          <w:sz w:val="28"/>
        </w:rPr>
        <w:lastRenderedPageBreak/>
        <w:t xml:space="preserve">About you, or your child </w:t>
      </w:r>
    </w:p>
    <w:p w:rsidR="00B73B4B" w:rsidRPr="004C1259" w:rsidRDefault="00B73B4B" w:rsidP="00BF6B69">
      <w:pPr>
        <w:pStyle w:val="ListParagraph"/>
        <w:numPr>
          <w:ilvl w:val="0"/>
          <w:numId w:val="24"/>
        </w:numPr>
        <w:rPr>
          <w:rFonts w:ascii="Garamond" w:hAnsi="Garamond" w:cstheme="minorHAnsi"/>
          <w:b/>
          <w:bCs/>
        </w:rPr>
      </w:pPr>
      <w:r w:rsidRPr="004C1259">
        <w:rPr>
          <w:rFonts w:ascii="Garamond" w:hAnsi="Garamond" w:cstheme="minorHAnsi"/>
          <w:b/>
          <w:bCs/>
        </w:rPr>
        <w:t xml:space="preserve">Tell us about yourself or your child: </w:t>
      </w:r>
      <w:r w:rsidRPr="004C1259">
        <w:rPr>
          <w:rFonts w:ascii="Garamond" w:hAnsi="Garamond" w:cstheme="minorHAnsi"/>
          <w:bCs/>
          <w:sz w:val="20"/>
          <w:szCs w:val="20"/>
        </w:rPr>
        <w:t>(the person who received the service on the bus)</w:t>
      </w:r>
    </w:p>
    <w:p w:rsidR="00B73B4B" w:rsidRPr="004C1259" w:rsidRDefault="00B73B4B" w:rsidP="00BF6B69">
      <w:pPr>
        <w:pStyle w:val="ListParagraph"/>
        <w:numPr>
          <w:ilvl w:val="1"/>
          <w:numId w:val="25"/>
        </w:numPr>
        <w:tabs>
          <w:tab w:val="left" w:pos="7655"/>
        </w:tabs>
        <w:rPr>
          <w:rFonts w:ascii="Garamond" w:hAnsi="Garamond" w:cstheme="minorHAnsi"/>
          <w:bCs/>
        </w:rPr>
      </w:pPr>
      <w:r w:rsidRPr="004C1259">
        <w:rPr>
          <w:rFonts w:ascii="Garamond" w:hAnsi="Garamond" w:cstheme="minorHAnsi"/>
          <w:bCs/>
        </w:rPr>
        <w:t xml:space="preserve">How long ago did you use the service? (month and </w:t>
      </w:r>
      <w:r w:rsidR="00073A19" w:rsidRPr="004C1259">
        <w:rPr>
          <w:rFonts w:ascii="Garamond" w:hAnsi="Garamond" w:cstheme="minorHAnsi"/>
          <w:bCs/>
        </w:rPr>
        <w:t xml:space="preserve">year ) </w:t>
      </w:r>
      <w:r w:rsidRPr="004C1259">
        <w:rPr>
          <w:rFonts w:ascii="Garamond" w:hAnsi="Garamond" w:cstheme="minorHAnsi"/>
          <w:bCs/>
        </w:rPr>
        <w:t>_________________________</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 xml:space="preserve">If you have used the bus more than once, how many </w:t>
      </w:r>
      <w:r w:rsidR="00073A19" w:rsidRPr="004C1259">
        <w:rPr>
          <w:rFonts w:ascii="Garamond" w:hAnsi="Garamond" w:cstheme="minorHAnsi"/>
          <w:bCs/>
        </w:rPr>
        <w:t>times? __</w:t>
      </w:r>
      <w:r w:rsidRPr="004C1259">
        <w:rPr>
          <w:rFonts w:ascii="Garamond" w:hAnsi="Garamond" w:cstheme="minorHAnsi"/>
          <w:bCs/>
        </w:rPr>
        <w:t>_______________________</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Age at time of use of the mobile service (circle relevant one):</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0 – 10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11 – 20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21 – 64</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 xml:space="preserve">65 and over </w:t>
      </w: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 xml:space="preserve">Gender: </w:t>
      </w:r>
      <w:r w:rsidRPr="004C1259">
        <w:rPr>
          <w:rFonts w:ascii="Garamond" w:hAnsi="Garamond" w:cstheme="minorHAnsi"/>
          <w:bCs/>
        </w:rPr>
        <w:tab/>
        <w:t>Female / Male (circle relevant one)</w:t>
      </w: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 xml:space="preserve">Ethnicity you most associate with (circle relevant one): </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European</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Maori</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Pacific peoples</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Asian</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Middle Eastern, Latin American, African</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 xml:space="preserve">Other </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What town do you live in (</w:t>
      </w:r>
      <w:proofErr w:type="spellStart"/>
      <w:r w:rsidRPr="004C1259">
        <w:rPr>
          <w:rFonts w:ascii="Garamond" w:hAnsi="Garamond" w:cstheme="minorHAnsi"/>
          <w:bCs/>
        </w:rPr>
        <w:t>incl</w:t>
      </w:r>
      <w:proofErr w:type="spellEnd"/>
      <w:r w:rsidRPr="004C1259">
        <w:rPr>
          <w:rFonts w:ascii="Garamond" w:hAnsi="Garamond" w:cstheme="minorHAnsi"/>
          <w:bCs/>
        </w:rPr>
        <w:t xml:space="preserve"> postcode if known)?  ______________________</w:t>
      </w:r>
      <w:r w:rsidR="00073A19" w:rsidRPr="004C1259">
        <w:rPr>
          <w:rFonts w:ascii="Garamond" w:hAnsi="Garamond" w:cstheme="minorHAnsi"/>
          <w:bCs/>
        </w:rPr>
        <w:t>__</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 xml:space="preserve">How long did you have to travel to get to the bus? (approx. </w:t>
      </w:r>
      <w:r w:rsidR="00073A19" w:rsidRPr="004C1259">
        <w:rPr>
          <w:rFonts w:ascii="Garamond" w:hAnsi="Garamond" w:cstheme="minorHAnsi"/>
          <w:bCs/>
        </w:rPr>
        <w:t>minutes) ________</w:t>
      </w:r>
      <w:r w:rsidRPr="004C1259">
        <w:rPr>
          <w:rFonts w:ascii="Garamond" w:hAnsi="Garamond" w:cstheme="minorHAnsi"/>
          <w:bCs/>
        </w:rPr>
        <w:t>________________</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What is the total annual / yearly income of your household? (circle relevant one)</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$0 to $20,000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$21,000 to $40,000</w:t>
      </w:r>
    </w:p>
    <w:p w:rsidR="00B73B4B" w:rsidRPr="004C1259" w:rsidRDefault="00073A19" w:rsidP="00BF6B69">
      <w:pPr>
        <w:pStyle w:val="ListParagraph"/>
        <w:numPr>
          <w:ilvl w:val="2"/>
          <w:numId w:val="25"/>
        </w:numPr>
        <w:rPr>
          <w:rFonts w:ascii="Garamond" w:hAnsi="Garamond" w:cstheme="minorHAnsi"/>
          <w:bCs/>
        </w:rPr>
      </w:pPr>
      <w:r w:rsidRPr="004C1259">
        <w:rPr>
          <w:rFonts w:ascii="Garamond" w:hAnsi="Garamond" w:cstheme="minorHAnsi"/>
          <w:bCs/>
        </w:rPr>
        <w:t>$41,000 to</w:t>
      </w:r>
      <w:r w:rsidR="00B73B4B" w:rsidRPr="004C1259">
        <w:rPr>
          <w:rFonts w:ascii="Garamond" w:hAnsi="Garamond" w:cstheme="minorHAnsi"/>
          <w:bCs/>
        </w:rPr>
        <w:t xml:space="preserve"> $60,000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$61,000 to $100,000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$101,000 to $150,000</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$151,000 +</w:t>
      </w:r>
    </w:p>
    <w:p w:rsidR="004C1259" w:rsidRDefault="004C1259" w:rsidP="004C1259">
      <w:pPr>
        <w:pStyle w:val="ListParagraph"/>
        <w:ind w:left="1080"/>
        <w:rPr>
          <w:rFonts w:ascii="Garamond" w:hAnsi="Garamond" w:cstheme="minorHAnsi"/>
          <w:bCs/>
        </w:rPr>
      </w:pPr>
    </w:p>
    <w:p w:rsidR="00B73B4B" w:rsidRPr="004C1259" w:rsidRDefault="00B73B4B" w:rsidP="00BF6B69">
      <w:pPr>
        <w:pStyle w:val="ListParagraph"/>
        <w:numPr>
          <w:ilvl w:val="1"/>
          <w:numId w:val="25"/>
        </w:numPr>
        <w:rPr>
          <w:rFonts w:ascii="Garamond" w:hAnsi="Garamond" w:cstheme="minorHAnsi"/>
          <w:bCs/>
        </w:rPr>
      </w:pPr>
      <w:r w:rsidRPr="004C1259">
        <w:rPr>
          <w:rFonts w:ascii="Garamond" w:hAnsi="Garamond" w:cstheme="minorHAnsi"/>
          <w:bCs/>
        </w:rPr>
        <w:t>What operation or condition did you have in the mobile bus? (circle relevant one)</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 xml:space="preserve">Dental </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 xml:space="preserve">Endoscope </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Ear, nose and throat (ENT)</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Minor (general) surgery</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Gynaecology</w:t>
      </w:r>
    </w:p>
    <w:p w:rsidR="00B73B4B" w:rsidRPr="004C1259" w:rsidRDefault="00B73B4B" w:rsidP="00BF6B69">
      <w:pPr>
        <w:pStyle w:val="ListParagraph"/>
        <w:numPr>
          <w:ilvl w:val="2"/>
          <w:numId w:val="25"/>
        </w:numPr>
        <w:rPr>
          <w:rFonts w:ascii="Garamond" w:hAnsi="Garamond" w:cstheme="minorHAnsi"/>
          <w:bCs/>
        </w:rPr>
      </w:pPr>
      <w:r w:rsidRPr="004C1259">
        <w:rPr>
          <w:rFonts w:ascii="Garamond" w:hAnsi="Garamond" w:cstheme="minorHAnsi"/>
          <w:bCs/>
        </w:rPr>
        <w:t>Other</w:t>
      </w:r>
    </w:p>
    <w:p w:rsidR="00B73B4B" w:rsidRPr="00394A1C" w:rsidRDefault="00B73B4B" w:rsidP="00BF6B69">
      <w:pPr>
        <w:pStyle w:val="ListParagraph"/>
        <w:numPr>
          <w:ilvl w:val="2"/>
          <w:numId w:val="25"/>
        </w:numPr>
        <w:rPr>
          <w:rFonts w:cstheme="minorHAnsi"/>
          <w:bCs/>
        </w:rPr>
      </w:pPr>
      <w:r w:rsidRPr="004C1259">
        <w:rPr>
          <w:rFonts w:ascii="Garamond" w:hAnsi="Garamond" w:cstheme="minorHAnsi"/>
          <w:bCs/>
        </w:rPr>
        <w:t>Don’t know the name of it</w:t>
      </w:r>
    </w:p>
    <w:p w:rsidR="00B73B4B" w:rsidRDefault="003E332F" w:rsidP="003E332F">
      <w:pPr>
        <w:pStyle w:val="ApxHeading1"/>
      </w:pPr>
      <w:bookmarkStart w:id="211" w:name="_Toc380597829"/>
      <w:bookmarkStart w:id="212" w:name="_Toc380605812"/>
      <w:bookmarkStart w:id="213" w:name="_Toc423945970"/>
      <w:r>
        <w:lastRenderedPageBreak/>
        <w:t xml:space="preserve">: </w:t>
      </w:r>
      <w:r w:rsidR="0080665E">
        <w:t>Characteristics of p</w:t>
      </w:r>
      <w:r>
        <w:t>atient sample</w:t>
      </w:r>
      <w:r w:rsidR="0080665E">
        <w:t>s</w:t>
      </w:r>
      <w:bookmarkEnd w:id="211"/>
      <w:bookmarkEnd w:id="212"/>
      <w:bookmarkEnd w:id="213"/>
      <w:r w:rsidR="0080665E">
        <w:t xml:space="preserve"> </w:t>
      </w:r>
    </w:p>
    <w:p w:rsidR="00BD0332" w:rsidRDefault="00BD0332" w:rsidP="00BD0332">
      <w:pPr>
        <w:pStyle w:val="UnnumtextBodytext"/>
      </w:pPr>
      <w:r>
        <w:t>This appendix provide</w:t>
      </w:r>
      <w:r w:rsidR="002003EA">
        <w:t xml:space="preserve">s additional information on the </w:t>
      </w:r>
      <w:r>
        <w:t>patient</w:t>
      </w:r>
      <w:r w:rsidR="002003EA">
        <w:t>s</w:t>
      </w:r>
      <w:r>
        <w:t xml:space="preserve"> </w:t>
      </w:r>
      <w:r w:rsidR="002003EA">
        <w:t xml:space="preserve">and caregivers </w:t>
      </w:r>
      <w:r>
        <w:t>sample</w:t>
      </w:r>
      <w:r w:rsidR="002003EA">
        <w:t xml:space="preserve">d by </w:t>
      </w:r>
      <w:proofErr w:type="spellStart"/>
      <w:r w:rsidR="002003EA">
        <w:t>Sapere</w:t>
      </w:r>
      <w:proofErr w:type="spellEnd"/>
      <w:r w:rsidR="002003EA">
        <w:t xml:space="preserve"> Research Group for the </w:t>
      </w:r>
      <w:r>
        <w:t xml:space="preserve">telephone interviews </w:t>
      </w:r>
      <w:r w:rsidR="002003EA">
        <w:t>and postal survey.</w:t>
      </w:r>
    </w:p>
    <w:p w:rsidR="003E332F" w:rsidRDefault="0080665E" w:rsidP="002003EA">
      <w:pPr>
        <w:pStyle w:val="ApxHeading2"/>
      </w:pPr>
      <w:r>
        <w:t>P</w:t>
      </w:r>
      <w:r w:rsidR="003E332F">
        <w:t>atient telephone interviews</w:t>
      </w:r>
    </w:p>
    <w:p w:rsidR="00836067" w:rsidRDefault="00320454" w:rsidP="00320454">
      <w:pPr>
        <w:pStyle w:val="UnnumtextBodytext"/>
      </w:pPr>
      <w:r>
        <w:t xml:space="preserve">The sample </w:t>
      </w:r>
      <w:r w:rsidR="005973A4">
        <w:t xml:space="preserve">of 28 interviews with patients and caregivers </w:t>
      </w:r>
      <w:r>
        <w:t xml:space="preserve">was randomly selected by the provider, from among </w:t>
      </w:r>
      <w:r w:rsidR="005973A4">
        <w:t>those</w:t>
      </w:r>
      <w:r>
        <w:t xml:space="preserve"> who had received day surgery on the mobile surgical unit during November and December 2</w:t>
      </w:r>
      <w:r w:rsidR="005973A4">
        <w:t>0</w:t>
      </w:r>
      <w:r>
        <w:t>13.</w:t>
      </w:r>
      <w:r w:rsidR="00E070B5">
        <w:t xml:space="preserve"> Caregivers were interviewed </w:t>
      </w:r>
      <w:r w:rsidR="002003EA">
        <w:t xml:space="preserve">if </w:t>
      </w:r>
      <w:r w:rsidR="00E070B5">
        <w:t>patient</w:t>
      </w:r>
      <w:r w:rsidR="002003EA">
        <w:t xml:space="preserve">s were </w:t>
      </w:r>
      <w:r w:rsidR="00E070B5">
        <w:t xml:space="preserve">under 16 years. </w:t>
      </w:r>
    </w:p>
    <w:p w:rsidR="00320454" w:rsidRDefault="003E332F" w:rsidP="0080665E">
      <w:pPr>
        <w:pStyle w:val="UnnumtextBodytext"/>
      </w:pPr>
      <w:r>
        <w:t xml:space="preserve">The age of the person having the surgery is </w:t>
      </w:r>
      <w:r w:rsidR="00B06EB4">
        <w:t xml:space="preserve">presented in </w:t>
      </w:r>
      <w:r w:rsidR="00921ECC">
        <w:t xml:space="preserve">Figure </w:t>
      </w:r>
      <w:r w:rsidR="00921ECC">
        <w:rPr>
          <w:noProof/>
        </w:rPr>
        <w:t>13</w:t>
      </w:r>
      <w:r w:rsidR="00B06EB4">
        <w:t>. The sample contains a higher proportion of children aged up to 10 yea</w:t>
      </w:r>
      <w:r w:rsidR="00320454">
        <w:t>rs (64%) than compared with those treated in the 2011/12 and 2012/13 (approximately 36%). Accordingly, caregivers of patients represented 71% of all interviews</w:t>
      </w:r>
      <w:r w:rsidR="002003EA">
        <w:t xml:space="preserve"> with the remaining 29% </w:t>
      </w:r>
      <w:r w:rsidR="00320454">
        <w:t>conducted directly with patients.</w:t>
      </w:r>
    </w:p>
    <w:p w:rsidR="00320454" w:rsidRDefault="00320454" w:rsidP="0080665E">
      <w:pPr>
        <w:pStyle w:val="UnnumtextBodytext"/>
      </w:pPr>
      <w:r>
        <w:t>Nine out of 28 interviewees stated that the patient identified as M</w:t>
      </w:r>
      <w:r w:rsidRPr="00320454">
        <w:t>ā</w:t>
      </w:r>
      <w:r>
        <w:t xml:space="preserve">ori – approximately 28% of the sample. </w:t>
      </w:r>
      <w:r w:rsidR="002003EA">
        <w:t>Unfortunately n</w:t>
      </w:r>
      <w:r>
        <w:t>o interviewees identified as belonging to a Pacific peoples ethnic group</w:t>
      </w:r>
      <w:r w:rsidR="002003EA">
        <w:t xml:space="preserve">, reflecting </w:t>
      </w:r>
      <w:r w:rsidR="00AF1B82">
        <w:t>the low numbers of rural Pacific peoples and the small pool of patients during the interview period</w:t>
      </w:r>
      <w:r>
        <w:t xml:space="preserve">. Sixteen of the remaining 19 interviewees identified as being of European descent, with Asian and Middle Eastern being the other categories. </w:t>
      </w:r>
    </w:p>
    <w:p w:rsidR="0080665E" w:rsidRDefault="0080665E" w:rsidP="00320454">
      <w:pPr>
        <w:pStyle w:val="Caption"/>
        <w:spacing w:before="100" w:beforeAutospacing="1" w:after="60"/>
      </w:pPr>
      <w:bookmarkStart w:id="214" w:name="_Ref380506444"/>
      <w:bookmarkStart w:id="215" w:name="_Toc380597846"/>
      <w:bookmarkStart w:id="216" w:name="_Toc380605806"/>
      <w:bookmarkStart w:id="217" w:name="_Toc423945994"/>
      <w:r>
        <w:t xml:space="preserve">Figure </w:t>
      </w:r>
      <w:fldSimple w:instr=" SEQ Figure \* ARABIC ">
        <w:r w:rsidR="00CA314A">
          <w:rPr>
            <w:noProof/>
          </w:rPr>
          <w:t>15</w:t>
        </w:r>
      </w:fldSimple>
      <w:bookmarkEnd w:id="214"/>
      <w:r>
        <w:rPr>
          <w:noProof/>
        </w:rPr>
        <w:t>:</w:t>
      </w:r>
      <w:r>
        <w:t xml:space="preserve"> Patient </w:t>
      </w:r>
      <w:r w:rsidR="005973A4">
        <w:t xml:space="preserve">telephone </w:t>
      </w:r>
      <w:r>
        <w:t>interview</w:t>
      </w:r>
      <w:r w:rsidR="005973A4">
        <w:t>s</w:t>
      </w:r>
      <w:r>
        <w:t>, distribution by age group</w:t>
      </w:r>
      <w:bookmarkEnd w:id="215"/>
      <w:bookmarkEnd w:id="216"/>
      <w:bookmarkEnd w:id="217"/>
    </w:p>
    <w:p w:rsidR="0080665E" w:rsidRDefault="0080665E" w:rsidP="0080665E">
      <w:pPr>
        <w:pStyle w:val="Sourceinformation"/>
        <w:spacing w:after="0"/>
        <w:ind w:hanging="85"/>
        <w:rPr>
          <w:b/>
          <w:sz w:val="20"/>
        </w:rPr>
      </w:pPr>
      <w:r>
        <w:rPr>
          <w:noProof/>
          <w:lang w:val="en-NZ" w:eastAsia="en-NZ"/>
        </w:rPr>
        <w:drawing>
          <wp:inline distT="0" distB="0" distL="0" distR="0" wp14:anchorId="0FAD7B11" wp14:editId="0D56FB3E">
            <wp:extent cx="3952875" cy="21812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80665E">
        <w:rPr>
          <w:b/>
          <w:sz w:val="20"/>
        </w:rPr>
        <w:t xml:space="preserve"> </w:t>
      </w:r>
    </w:p>
    <w:p w:rsidR="0080665E" w:rsidRPr="0080665E" w:rsidRDefault="0080665E" w:rsidP="00BD0332">
      <w:pPr>
        <w:pStyle w:val="Sourceinformation"/>
        <w:rPr>
          <w:sz w:val="20"/>
        </w:rPr>
      </w:pPr>
      <w:r w:rsidRPr="0080665E">
        <w:rPr>
          <w:b/>
          <w:sz w:val="20"/>
        </w:rPr>
        <w:t>Source:</w:t>
      </w:r>
      <w:r w:rsidRPr="0080665E">
        <w:rPr>
          <w:sz w:val="20"/>
        </w:rPr>
        <w:t xml:space="preserve"> </w:t>
      </w:r>
      <w:proofErr w:type="spellStart"/>
      <w:r w:rsidRPr="0080665E">
        <w:rPr>
          <w:sz w:val="20"/>
        </w:rPr>
        <w:t>Sapere</w:t>
      </w:r>
      <w:proofErr w:type="spellEnd"/>
      <w:r w:rsidRPr="0080665E">
        <w:rPr>
          <w:sz w:val="20"/>
        </w:rPr>
        <w:t xml:space="preserve"> Research Group</w:t>
      </w:r>
    </w:p>
    <w:p w:rsidR="0080665E" w:rsidRPr="0080665E" w:rsidRDefault="0080665E" w:rsidP="0080665E">
      <w:pPr>
        <w:pStyle w:val="Whitespace"/>
        <w:spacing w:after="0"/>
        <w:rPr>
          <w:sz w:val="9"/>
        </w:rPr>
      </w:pPr>
    </w:p>
    <w:p w:rsidR="003E332F" w:rsidRDefault="003E332F" w:rsidP="0080665E">
      <w:pPr>
        <w:pStyle w:val="UnnumtextBodytext"/>
      </w:pPr>
      <w:r>
        <w:t xml:space="preserve">Annual household income was canvassed by income brackets. </w:t>
      </w:r>
      <w:r w:rsidR="002003EA">
        <w:t xml:space="preserve">Sixteen interviewees </w:t>
      </w:r>
      <w:r>
        <w:t>(57%) had less than $40,000 annual household income and four (14%) were between $41,000 and $60,000 with 6 (21%) being over $61,000. Two didn’t know and no one was over $100,000</w:t>
      </w:r>
    </w:p>
    <w:p w:rsidR="00BF6B69" w:rsidRDefault="003E332F" w:rsidP="00BF6B69">
      <w:pPr>
        <w:pStyle w:val="UnnumtextBodytext"/>
      </w:pPr>
      <w:r>
        <w:t>As noted earlier, 20 (71%) of interviewees were parents and 8 (</w:t>
      </w:r>
      <w:r w:rsidR="00BF6B69">
        <w:t xml:space="preserve">29%) were patients themselves. </w:t>
      </w:r>
      <w:r>
        <w:t xml:space="preserve">All had had the surgery in November or December 2013.  The geographic locations they had had the surgery numbers 10 in total and included </w:t>
      </w:r>
      <w:r w:rsidR="00BF6B69">
        <w:t xml:space="preserve">– </w:t>
      </w:r>
      <w:r>
        <w:t xml:space="preserve">in </w:t>
      </w:r>
      <w:r w:rsidR="00BF6B69">
        <w:t>approximate geographic</w:t>
      </w:r>
      <w:r>
        <w:t xml:space="preserve"> order</w:t>
      </w:r>
      <w:r w:rsidR="00BF6B69">
        <w:t xml:space="preserve"> – Kawakawa, </w:t>
      </w:r>
      <w:proofErr w:type="spellStart"/>
      <w:r>
        <w:t>Kaikohe</w:t>
      </w:r>
      <w:proofErr w:type="spellEnd"/>
      <w:r w:rsidR="00BF6B69">
        <w:t xml:space="preserve">, </w:t>
      </w:r>
      <w:proofErr w:type="spellStart"/>
      <w:r w:rsidR="00BF6B69">
        <w:t>Warkworth</w:t>
      </w:r>
      <w:proofErr w:type="spellEnd"/>
      <w:r w:rsidR="00BF6B69">
        <w:t>,</w:t>
      </w:r>
      <w:r w:rsidR="00BF6B69" w:rsidRPr="00BF6B69">
        <w:t xml:space="preserve"> </w:t>
      </w:r>
      <w:proofErr w:type="spellStart"/>
      <w:r w:rsidR="00BF6B69">
        <w:t>Pukekohe</w:t>
      </w:r>
      <w:proofErr w:type="spellEnd"/>
      <w:r w:rsidR="00BF6B69">
        <w:t>,</w:t>
      </w:r>
      <w:r w:rsidR="00BF6B69" w:rsidRPr="00BF6B69">
        <w:t xml:space="preserve"> </w:t>
      </w:r>
      <w:proofErr w:type="spellStart"/>
      <w:r w:rsidR="00BF6B69">
        <w:t>Opotiki</w:t>
      </w:r>
      <w:proofErr w:type="spellEnd"/>
      <w:r w:rsidR="00BF6B69">
        <w:t>,</w:t>
      </w:r>
      <w:r w:rsidR="00BF6B69" w:rsidRPr="00BF6B69">
        <w:t xml:space="preserve"> </w:t>
      </w:r>
      <w:proofErr w:type="spellStart"/>
      <w:r w:rsidR="00BF6B69">
        <w:t>Hawera</w:t>
      </w:r>
      <w:proofErr w:type="spellEnd"/>
      <w:r w:rsidR="00BF6B69">
        <w:t>, Levin,</w:t>
      </w:r>
      <w:r w:rsidR="00BF6B69" w:rsidRPr="00BF6B69">
        <w:t xml:space="preserve"> </w:t>
      </w:r>
      <w:proofErr w:type="spellStart"/>
      <w:r w:rsidR="00BF6B69">
        <w:t>Kapiti</w:t>
      </w:r>
      <w:proofErr w:type="spellEnd"/>
      <w:r w:rsidR="00BF6B69">
        <w:t xml:space="preserve">, </w:t>
      </w:r>
      <w:proofErr w:type="spellStart"/>
      <w:r w:rsidR="00BF6B69">
        <w:t>Featherston</w:t>
      </w:r>
      <w:proofErr w:type="spellEnd"/>
      <w:r w:rsidR="00BF6B69">
        <w:t xml:space="preserve">, and </w:t>
      </w:r>
      <w:proofErr w:type="spellStart"/>
      <w:r w:rsidR="00BF6B69">
        <w:t>Takaka</w:t>
      </w:r>
      <w:proofErr w:type="spellEnd"/>
      <w:r w:rsidR="00BF6B69">
        <w:t xml:space="preserve">.   </w:t>
      </w:r>
    </w:p>
    <w:p w:rsidR="00BD0332" w:rsidRDefault="00BD0332" w:rsidP="002003EA">
      <w:pPr>
        <w:pStyle w:val="ApxHeading2"/>
      </w:pPr>
      <w:r>
        <w:lastRenderedPageBreak/>
        <w:t xml:space="preserve">Patient </w:t>
      </w:r>
      <w:r w:rsidR="009C306F">
        <w:t>postal</w:t>
      </w:r>
      <w:r>
        <w:t xml:space="preserve"> </w:t>
      </w:r>
      <w:r w:rsidR="009C306F">
        <w:t>survey</w:t>
      </w:r>
    </w:p>
    <w:p w:rsidR="005973A4" w:rsidRDefault="005973A4" w:rsidP="005973A4">
      <w:pPr>
        <w:pStyle w:val="UnnumtextBodytext"/>
      </w:pPr>
      <w:r>
        <w:t xml:space="preserve">The sample comprised 43 patients and caregivers who mailed back questionnaires – a response rate of 27% </w:t>
      </w:r>
      <w:r w:rsidR="004E05BC">
        <w:t xml:space="preserve">for </w:t>
      </w:r>
      <w:r>
        <w:t>the 16</w:t>
      </w:r>
      <w:r w:rsidR="004E05BC">
        <w:t>2</w:t>
      </w:r>
      <w:r>
        <w:t xml:space="preserve"> questionnaires sent. The sample was randomly selected by the provider, from among </w:t>
      </w:r>
      <w:r w:rsidR="004E05BC">
        <w:t>patients</w:t>
      </w:r>
      <w:r>
        <w:t xml:space="preserve"> who had received day surgery on the mobile surgical unit during </w:t>
      </w:r>
      <w:r w:rsidR="004E05BC">
        <w:t xml:space="preserve">the calendar year of </w:t>
      </w:r>
      <w:r>
        <w:t>2013</w:t>
      </w:r>
      <w:r w:rsidR="004E05BC">
        <w:t>.</w:t>
      </w:r>
      <w:r w:rsidR="009C306F">
        <w:t xml:space="preserve"> These covered </w:t>
      </w:r>
      <w:r w:rsidR="009C306F" w:rsidRPr="00774660">
        <w:t xml:space="preserve">patients </w:t>
      </w:r>
      <w:r w:rsidR="009C306F">
        <w:t>at</w:t>
      </w:r>
      <w:r w:rsidR="009C306F" w:rsidRPr="00774660">
        <w:t xml:space="preserve"> 21 location</w:t>
      </w:r>
      <w:r w:rsidR="009C306F">
        <w:t>s.</w:t>
      </w:r>
    </w:p>
    <w:p w:rsidR="004E05BC" w:rsidRDefault="005973A4" w:rsidP="005973A4">
      <w:pPr>
        <w:pStyle w:val="UnnumtextBodytext"/>
      </w:pPr>
      <w:r>
        <w:t xml:space="preserve">The age of the person having the surgery is presented in </w:t>
      </w:r>
      <w:r w:rsidR="00921ECC">
        <w:t xml:space="preserve">Figure </w:t>
      </w:r>
      <w:r w:rsidR="00921ECC">
        <w:rPr>
          <w:noProof/>
        </w:rPr>
        <w:t>14</w:t>
      </w:r>
      <w:r>
        <w:t xml:space="preserve">. The sample contains a high proportion of older people, with 45% being aged 65 years and over. This compares with approximately 20% of patients treated in the 2011/12 and 2012/13 being in this age group. </w:t>
      </w:r>
      <w:r w:rsidR="004E05BC">
        <w:t>The majority of responses (38 or 88%) were from patients, with the remainder being from caregivers.</w:t>
      </w:r>
    </w:p>
    <w:p w:rsidR="005973A4" w:rsidRDefault="004E05BC" w:rsidP="005973A4">
      <w:pPr>
        <w:pStyle w:val="UnnumtextBodytext"/>
      </w:pPr>
      <w:r>
        <w:t xml:space="preserve">Of those patients who stated their ethnicity, 5/41 </w:t>
      </w:r>
      <w:r w:rsidR="005973A4">
        <w:t>identified as M</w:t>
      </w:r>
      <w:r w:rsidR="005973A4" w:rsidRPr="00320454">
        <w:t>ā</w:t>
      </w:r>
      <w:r w:rsidR="005973A4">
        <w:t xml:space="preserve">ori – approximately </w:t>
      </w:r>
      <w:r>
        <w:t>1</w:t>
      </w:r>
      <w:r w:rsidR="005973A4">
        <w:t xml:space="preserve">2% of the sample. </w:t>
      </w:r>
      <w:r w:rsidR="002003EA">
        <w:t>Unfortunately, no</w:t>
      </w:r>
      <w:r w:rsidR="005973A4">
        <w:t xml:space="preserve"> interviewees identified as belonging to a Pacific peoples ethnic group</w:t>
      </w:r>
      <w:r w:rsidR="002003EA">
        <w:t xml:space="preserve">. This is partly due to the small numbers of rural Pacific peoples being treated and </w:t>
      </w:r>
      <w:r w:rsidR="00AF1B82">
        <w:t xml:space="preserve">partly due </w:t>
      </w:r>
      <w:r w:rsidR="002003EA">
        <w:t>the response rate of the survey</w:t>
      </w:r>
      <w:r w:rsidR="005973A4">
        <w:t xml:space="preserve">. </w:t>
      </w:r>
      <w:r>
        <w:t xml:space="preserve">The remaining 36 respondents identified as </w:t>
      </w:r>
      <w:r w:rsidR="00AF1B82">
        <w:t xml:space="preserve">of </w:t>
      </w:r>
      <w:r>
        <w:t>European</w:t>
      </w:r>
      <w:r w:rsidR="00AF1B82">
        <w:t xml:space="preserve"> descent</w:t>
      </w:r>
      <w:r>
        <w:t>.</w:t>
      </w:r>
    </w:p>
    <w:p w:rsidR="005973A4" w:rsidRDefault="005973A4" w:rsidP="004E05BC">
      <w:pPr>
        <w:pStyle w:val="Caption"/>
        <w:spacing w:before="100" w:beforeAutospacing="1" w:after="60"/>
      </w:pPr>
      <w:bookmarkStart w:id="218" w:name="_Ref380507556"/>
      <w:bookmarkStart w:id="219" w:name="_Toc380597847"/>
      <w:bookmarkStart w:id="220" w:name="_Toc380605807"/>
      <w:bookmarkStart w:id="221" w:name="_Toc423945995"/>
      <w:r>
        <w:t xml:space="preserve">Figure </w:t>
      </w:r>
      <w:fldSimple w:instr=" SEQ Figure \* ARABIC ">
        <w:r w:rsidR="00CA314A">
          <w:rPr>
            <w:noProof/>
          </w:rPr>
          <w:t>16</w:t>
        </w:r>
      </w:fldSimple>
      <w:bookmarkEnd w:id="218"/>
      <w:r>
        <w:rPr>
          <w:noProof/>
        </w:rPr>
        <w:t>:</w:t>
      </w:r>
      <w:r>
        <w:t xml:space="preserve"> Patient mailed-back questionnaires, distribution by age group</w:t>
      </w:r>
      <w:bookmarkEnd w:id="219"/>
      <w:bookmarkEnd w:id="220"/>
      <w:bookmarkEnd w:id="221"/>
      <w:r>
        <w:t xml:space="preserve"> </w:t>
      </w:r>
    </w:p>
    <w:p w:rsidR="005973A4" w:rsidRDefault="005973A4" w:rsidP="004E05BC">
      <w:pPr>
        <w:pStyle w:val="Objectplaceholderpicture"/>
        <w:spacing w:before="0" w:after="0"/>
        <w:ind w:left="-29" w:hanging="113"/>
      </w:pPr>
      <w:r>
        <w:rPr>
          <w:noProof/>
        </w:rPr>
        <w:drawing>
          <wp:inline distT="0" distB="0" distL="0" distR="0" wp14:anchorId="5CF1389D" wp14:editId="2D15B6A1">
            <wp:extent cx="3905250" cy="22383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973A4" w:rsidRPr="005973A4" w:rsidRDefault="005973A4" w:rsidP="004E05BC">
      <w:pPr>
        <w:pStyle w:val="Sourceinformation"/>
        <w:spacing w:before="80" w:after="100" w:afterAutospacing="1"/>
        <w:rPr>
          <w:sz w:val="20"/>
        </w:rPr>
      </w:pPr>
      <w:r w:rsidRPr="005973A4">
        <w:rPr>
          <w:b/>
          <w:sz w:val="20"/>
        </w:rPr>
        <w:t>Source:</w:t>
      </w:r>
      <w:r w:rsidRPr="005973A4">
        <w:rPr>
          <w:sz w:val="20"/>
        </w:rPr>
        <w:t xml:space="preserve"> </w:t>
      </w:r>
      <w:proofErr w:type="spellStart"/>
      <w:r w:rsidRPr="005973A4">
        <w:rPr>
          <w:sz w:val="20"/>
        </w:rPr>
        <w:t>Sapere</w:t>
      </w:r>
      <w:proofErr w:type="spellEnd"/>
      <w:r w:rsidRPr="005973A4">
        <w:rPr>
          <w:sz w:val="20"/>
        </w:rPr>
        <w:t xml:space="preserve"> Research Group</w:t>
      </w:r>
    </w:p>
    <w:p w:rsidR="005973A4" w:rsidRPr="005973A4" w:rsidRDefault="005973A4" w:rsidP="005973A4">
      <w:pPr>
        <w:pStyle w:val="Whitespace"/>
        <w:spacing w:after="0"/>
        <w:rPr>
          <w:sz w:val="9"/>
        </w:rPr>
      </w:pPr>
    </w:p>
    <w:p w:rsidR="003E332F" w:rsidRPr="003E332F" w:rsidRDefault="003E332F" w:rsidP="003E332F">
      <w:pPr>
        <w:pStyle w:val="UnnumtextBodytext"/>
      </w:pPr>
    </w:p>
    <w:sectPr w:rsidR="003E332F" w:rsidRPr="003E332F" w:rsidSect="0098340D">
      <w:footerReference w:type="even" r:id="rId43"/>
      <w:footerReference w:type="default" r:id="rId44"/>
      <w:headerReference w:type="first" r:id="rId45"/>
      <w:footerReference w:type="first" r:id="rId46"/>
      <w:endnotePr>
        <w:numFmt w:val="decimal"/>
      </w:endnotePr>
      <w:type w:val="oddPage"/>
      <w:pgSz w:w="11907" w:h="16840" w:code="9"/>
      <w:pgMar w:top="2268" w:right="1842" w:bottom="1418" w:left="1985" w:header="73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0C" w:rsidRDefault="00880D0C">
      <w:r>
        <w:separator/>
      </w:r>
    </w:p>
  </w:endnote>
  <w:endnote w:type="continuationSeparator" w:id="0">
    <w:p w:rsidR="00880D0C" w:rsidRDefault="0088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457CEB">
    <w:pPr>
      <w:pStyle w:val="Footerevenportrait"/>
    </w:pPr>
    <w:r>
      <w:t xml:space="preserve">Page </w:t>
    </w:r>
    <w:r>
      <w:fldChar w:fldCharType="begin"/>
    </w:r>
    <w:r>
      <w:instrText xml:space="preserve"> page </w:instrText>
    </w:r>
    <w:r>
      <w:fldChar w:fldCharType="separate"/>
    </w:r>
    <w:r w:rsidR="00142DDC">
      <w:rPr>
        <w:noProof/>
      </w:rPr>
      <w:t>4</w:t>
    </w:r>
    <w:r>
      <w:rPr>
        <w:noProof/>
      </w:rPr>
      <w:fldChar w:fldCharType="end"/>
    </w:r>
    <w:r>
      <w:tab/>
    </w:r>
    <w:r w:rsidR="00364E31">
      <w:fldChar w:fldCharType="begin"/>
    </w:r>
    <w:r w:rsidR="00364E31">
      <w:instrText xml:space="preserve"> DOCVARIABLE  ftrFootertext  \* MERGEFORMAT </w:instrText>
    </w:r>
    <w:r w:rsidR="00364E31">
      <w:fldChar w:fldCharType="separate"/>
    </w:r>
    <w:r w:rsidR="00CA314A">
      <w:t xml:space="preserve"> </w:t>
    </w:r>
    <w:r w:rsidR="00364E31">
      <w:fldChar w:fldCharType="end"/>
    </w:r>
  </w:p>
  <w:p w:rsidR="00880D0C" w:rsidRPr="008F648C" w:rsidRDefault="00880D0C" w:rsidP="005069CC">
    <w:pPr>
      <w:pStyle w:val="Footerevenportrait"/>
      <w:jc w:val="center"/>
      <w:rPr>
        <w:rStyle w:val="FooterLastsavedate"/>
      </w:rPr>
    </w:pPr>
    <w:r>
      <w:rPr>
        <w:i/>
      </w:rPr>
      <w:fldChar w:fldCharType="begin"/>
    </w:r>
    <w:r>
      <w:rPr>
        <w:i/>
      </w:rPr>
      <w:instrText xml:space="preserve"> DOCVARIABLE  rptPrivilegedText </w:instrText>
    </w:r>
    <w:r>
      <w:rPr>
        <w:i/>
      </w:rPr>
      <w:fldChar w:fldCharType="separate"/>
    </w:r>
    <w:r w:rsidR="00CA314A">
      <w:rPr>
        <w:i/>
      </w:rPr>
      <w:t xml:space="preserve"> </w:t>
    </w:r>
    <w:r>
      <w:rPr>
        <w:i/>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364E31" w:rsidP="003C3AF4">
    <w:pPr>
      <w:pStyle w:val="Footeroddportrait"/>
    </w:pPr>
    <w:r>
      <w:fldChar w:fldCharType="begin"/>
    </w:r>
    <w:r>
      <w:instrText xml:space="preserve"> DOCVARIABLE  ftrFootertext  \* MERGEFORMAT </w:instrText>
    </w:r>
    <w:r>
      <w:fldChar w:fldCharType="separate"/>
    </w:r>
    <w:r w:rsidR="00CA314A">
      <w:t xml:space="preserve"> </w:t>
    </w:r>
    <w:r>
      <w:fldChar w:fldCharType="end"/>
    </w:r>
    <w:r w:rsidR="00880D0C">
      <w:tab/>
      <w:t xml:space="preserve">Page </w:t>
    </w:r>
    <w:r w:rsidR="00880D0C">
      <w:fldChar w:fldCharType="begin"/>
    </w:r>
    <w:r w:rsidR="00880D0C">
      <w:instrText xml:space="preserve"> page </w:instrText>
    </w:r>
    <w:r w:rsidR="00880D0C">
      <w:fldChar w:fldCharType="separate"/>
    </w:r>
    <w:r w:rsidR="00142DDC">
      <w:rPr>
        <w:noProof/>
      </w:rPr>
      <w:t>3</w:t>
    </w:r>
    <w:r w:rsidR="00880D0C">
      <w:rPr>
        <w:noProof/>
      </w:rPr>
      <w:fldChar w:fldCharType="end"/>
    </w:r>
  </w:p>
  <w:p w:rsidR="00880D0C" w:rsidRPr="003911B9" w:rsidRDefault="00880D0C" w:rsidP="003911B9">
    <w:pPr>
      <w:pStyle w:val="Footeroddportrait"/>
      <w:rPr>
        <w:i/>
      </w:rPr>
    </w:pPr>
    <w:r w:rsidRPr="006B7C08">
      <w:rPr>
        <w:i/>
      </w:rPr>
      <w:tab/>
    </w:r>
    <w:r>
      <w:rPr>
        <w:i/>
      </w:rPr>
      <w:fldChar w:fldCharType="begin"/>
    </w:r>
    <w:r>
      <w:rPr>
        <w:i/>
      </w:rPr>
      <w:instrText xml:space="preserve"> DOCVARIABLE  rptPrivilegedText </w:instrText>
    </w:r>
    <w:r>
      <w:rPr>
        <w:i/>
      </w:rPr>
      <w:fldChar w:fldCharType="separate"/>
    </w:r>
    <w:r w:rsidR="00CA314A">
      <w:rPr>
        <w:i/>
      </w:rPr>
      <w:t xml:space="preserve"> </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CB0D8E">
    <w:pPr>
      <w:pStyle w:val="Footerevenlandscape"/>
    </w:pPr>
    <w:r>
      <w:t xml:space="preserve">Page </w:t>
    </w:r>
    <w:r>
      <w:fldChar w:fldCharType="begin"/>
    </w:r>
    <w:r>
      <w:instrText xml:space="preserve"> page </w:instrText>
    </w:r>
    <w:r>
      <w:fldChar w:fldCharType="separate"/>
    </w:r>
    <w:r w:rsidR="00CA314A">
      <w:rPr>
        <w:noProof/>
      </w:rPr>
      <w:t>5</w:t>
    </w:r>
    <w:r>
      <w:rPr>
        <w:noProof/>
      </w:rPr>
      <w:fldChar w:fldCharType="end"/>
    </w:r>
    <w:r>
      <w:tab/>
    </w:r>
    <w:r w:rsidR="00364E31">
      <w:fldChar w:fldCharType="begin"/>
    </w:r>
    <w:r w:rsidR="00364E31">
      <w:instrText xml:space="preserve"> DOCVARIABLE  ftrFootertext  \* MERGEFORMAT </w:instrText>
    </w:r>
    <w:r w:rsidR="00364E31">
      <w:fldChar w:fldCharType="separate"/>
    </w:r>
    <w:r w:rsidR="00CA314A">
      <w:t xml:space="preserve"> </w:t>
    </w:r>
    <w:r w:rsidR="00364E31">
      <w:fldChar w:fldCharType="end"/>
    </w:r>
  </w:p>
  <w:p w:rsidR="00880D0C" w:rsidRPr="008F648C" w:rsidRDefault="00880D0C" w:rsidP="00CB0D8E">
    <w:pPr>
      <w:pStyle w:val="Footerevenlandscape"/>
      <w:rPr>
        <w:rStyle w:val="FooterLastsavedate"/>
      </w:rPr>
    </w:pPr>
    <w:r>
      <w:rPr>
        <w:i/>
      </w:rPr>
      <w:fldChar w:fldCharType="begin"/>
    </w:r>
    <w:r>
      <w:rPr>
        <w:i/>
      </w:rPr>
      <w:instrText xml:space="preserve"> DOCVARIABLE  rptPrivilegedText </w:instrText>
    </w:r>
    <w:r>
      <w:rPr>
        <w:i/>
      </w:rPr>
      <w:fldChar w:fldCharType="separate"/>
    </w:r>
    <w:r w:rsidR="00CA314A">
      <w:rPr>
        <w:i/>
      </w:rPr>
      <w:t xml:space="preserve"> </w:t>
    </w:r>
    <w:r>
      <w:rPr>
        <w:i/>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364E31" w:rsidP="00CB0D8E">
    <w:pPr>
      <w:pStyle w:val="Footeroddlandscape"/>
    </w:pPr>
    <w:r>
      <w:fldChar w:fldCharType="begin"/>
    </w:r>
    <w:r>
      <w:instrText xml:space="preserve"> DOCVARIABLE  ftrFootertext  \* MERGEFORMAT </w:instrText>
    </w:r>
    <w:r>
      <w:fldChar w:fldCharType="separate"/>
    </w:r>
    <w:r w:rsidR="00CA314A">
      <w:t xml:space="preserve"> </w:t>
    </w:r>
    <w:r>
      <w:fldChar w:fldCharType="end"/>
    </w:r>
    <w:r w:rsidR="00880D0C">
      <w:tab/>
      <w:t xml:space="preserve">Page </w:t>
    </w:r>
    <w:r w:rsidR="00880D0C">
      <w:fldChar w:fldCharType="begin"/>
    </w:r>
    <w:r w:rsidR="00880D0C">
      <w:instrText xml:space="preserve"> page </w:instrText>
    </w:r>
    <w:r w:rsidR="00880D0C">
      <w:fldChar w:fldCharType="separate"/>
    </w:r>
    <w:r w:rsidR="00142DDC">
      <w:rPr>
        <w:noProof/>
      </w:rPr>
      <w:t>5</w:t>
    </w:r>
    <w:r w:rsidR="00880D0C">
      <w:rPr>
        <w:noProof/>
      </w:rPr>
      <w:fldChar w:fldCharType="end"/>
    </w:r>
  </w:p>
  <w:p w:rsidR="00880D0C" w:rsidRPr="003911B9" w:rsidRDefault="00880D0C" w:rsidP="00CB0D8E">
    <w:pPr>
      <w:pStyle w:val="Footeroddlandscape"/>
      <w:rPr>
        <w:i/>
      </w:rPr>
    </w:pPr>
    <w:r w:rsidRPr="006B7C08">
      <w:rPr>
        <w:i/>
      </w:rPr>
      <w:tab/>
    </w:r>
    <w:r>
      <w:rPr>
        <w:i/>
      </w:rPr>
      <w:fldChar w:fldCharType="begin"/>
    </w:r>
    <w:r>
      <w:rPr>
        <w:i/>
      </w:rPr>
      <w:instrText xml:space="preserve"> DOCVARIABLE  rptPrivilegedText </w:instrText>
    </w:r>
    <w:r>
      <w:rPr>
        <w:i/>
      </w:rPr>
      <w:fldChar w:fldCharType="separate"/>
    </w:r>
    <w:r w:rsidR="00CA314A">
      <w:rPr>
        <w:i/>
      </w:rPr>
      <w:t xml:space="preserve"> </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CB0D8E">
    <w:pPr>
      <w:pStyle w:val="Footerodd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253DE9">
    <w:pPr>
      <w:pStyle w:val="Footerevenportrait"/>
    </w:pPr>
    <w:r>
      <w:t xml:space="preserve">Page </w:t>
    </w:r>
    <w:r>
      <w:fldChar w:fldCharType="begin"/>
    </w:r>
    <w:r>
      <w:instrText xml:space="preserve"> page </w:instrText>
    </w:r>
    <w:r>
      <w:fldChar w:fldCharType="separate"/>
    </w:r>
    <w:r w:rsidR="00142DDC">
      <w:rPr>
        <w:noProof/>
      </w:rPr>
      <w:t>60</w:t>
    </w:r>
    <w:r>
      <w:rPr>
        <w:noProof/>
      </w:rPr>
      <w:fldChar w:fldCharType="end"/>
    </w:r>
    <w:r>
      <w:tab/>
    </w:r>
    <w:r w:rsidR="00364E31">
      <w:fldChar w:fldCharType="begin"/>
    </w:r>
    <w:r w:rsidR="00364E31">
      <w:instrText xml:space="preserve"> DOCVARIABLE  ftrFootertext  \* MERGEFORMAT </w:instrText>
    </w:r>
    <w:r w:rsidR="00364E31">
      <w:fldChar w:fldCharType="separate"/>
    </w:r>
    <w:r w:rsidR="00CA314A">
      <w:t xml:space="preserve"> </w:t>
    </w:r>
    <w:r w:rsidR="00364E31">
      <w:fldChar w:fldCharType="end"/>
    </w:r>
  </w:p>
  <w:p w:rsidR="00880D0C" w:rsidRPr="008F648C" w:rsidRDefault="00880D0C" w:rsidP="00253DE9">
    <w:pPr>
      <w:pStyle w:val="Footerevenportrait"/>
      <w:rPr>
        <w:rStyle w:val="FooterLastsavedate"/>
      </w:rPr>
    </w:pPr>
    <w:r w:rsidRPr="009609A8">
      <w:rPr>
        <w:i/>
      </w:rPr>
      <w:t>Privileged and Confidential</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364E31" w:rsidP="003C3AF4">
    <w:pPr>
      <w:pStyle w:val="Footeroddportrait"/>
    </w:pPr>
    <w:r>
      <w:fldChar w:fldCharType="begin"/>
    </w:r>
    <w:r>
      <w:instrText xml:space="preserve"> DOCVARIABLE  ftrF</w:instrText>
    </w:r>
    <w:r>
      <w:instrText xml:space="preserve">ootertext  \* MERGEFORMAT </w:instrText>
    </w:r>
    <w:r>
      <w:fldChar w:fldCharType="separate"/>
    </w:r>
    <w:r w:rsidR="00CA314A">
      <w:t xml:space="preserve"> </w:t>
    </w:r>
    <w:r>
      <w:fldChar w:fldCharType="end"/>
    </w:r>
    <w:r w:rsidR="00880D0C">
      <w:tab/>
      <w:t xml:space="preserve">Page </w:t>
    </w:r>
    <w:r w:rsidR="00880D0C">
      <w:fldChar w:fldCharType="begin"/>
    </w:r>
    <w:r w:rsidR="00880D0C">
      <w:instrText xml:space="preserve"> page </w:instrText>
    </w:r>
    <w:r w:rsidR="00880D0C">
      <w:fldChar w:fldCharType="separate"/>
    </w:r>
    <w:r w:rsidR="00142DDC">
      <w:rPr>
        <w:noProof/>
      </w:rPr>
      <w:t>59</w:t>
    </w:r>
    <w:r w:rsidR="00880D0C">
      <w:rPr>
        <w:noProof/>
      </w:rPr>
      <w:fldChar w:fldCharType="end"/>
    </w:r>
  </w:p>
  <w:p w:rsidR="00880D0C" w:rsidRPr="003911B9" w:rsidRDefault="00880D0C" w:rsidP="003911B9">
    <w:pPr>
      <w:pStyle w:val="Footeroddportrait"/>
      <w:rPr>
        <w:i/>
      </w:rPr>
    </w:pPr>
    <w:r w:rsidRPr="006B7C08">
      <w:rPr>
        <w:i/>
      </w:rPr>
      <w:tab/>
    </w:r>
    <w:r>
      <w:rPr>
        <w:i/>
      </w:rPr>
      <w:fldChar w:fldCharType="begin"/>
    </w:r>
    <w:r>
      <w:rPr>
        <w:i/>
      </w:rPr>
      <w:instrText xml:space="preserve"> DOCVARIABLE  rptPrivilegedText </w:instrText>
    </w:r>
    <w:r>
      <w:rPr>
        <w:i/>
      </w:rPr>
      <w:fldChar w:fldCharType="separate"/>
    </w:r>
    <w:r w:rsidR="00CA314A">
      <w:rPr>
        <w:i/>
      </w:rPr>
      <w:t xml:space="preserve"> </w:t>
    </w:r>
    <w:r>
      <w:rPr>
        <w:i/>
      </w:rPr>
      <w:fldChar w:fldCharType="end"/>
    </w:r>
    <w:r w:rsidRPr="003911B9">
      <w:rPr>
        <w: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0C" w:rsidRPr="00E12EB8" w:rsidRDefault="00880D0C">
      <w:pPr>
        <w:rPr>
          <w:color w:val="7B5E05"/>
        </w:rPr>
      </w:pPr>
      <w:r w:rsidRPr="00E12EB8">
        <w:rPr>
          <w:color w:val="7B5E05"/>
        </w:rPr>
        <w:separator/>
      </w:r>
    </w:p>
  </w:footnote>
  <w:footnote w:type="continuationSeparator" w:id="0">
    <w:p w:rsidR="00880D0C" w:rsidRPr="00E12EB8" w:rsidRDefault="00880D0C">
      <w:pPr>
        <w:rPr>
          <w:color w:val="7B5E05"/>
        </w:rPr>
      </w:pPr>
      <w:r w:rsidRPr="00E12EB8">
        <w:rPr>
          <w:color w:val="7B5E05"/>
        </w:rPr>
        <w:continuationSeparator/>
      </w:r>
    </w:p>
  </w:footnote>
  <w:footnote w:type="continuationNotice" w:id="1">
    <w:p w:rsidR="00880D0C" w:rsidRDefault="00880D0C"/>
  </w:footnote>
  <w:footnote w:id="2">
    <w:p w:rsidR="00880D0C" w:rsidRPr="00A56681" w:rsidRDefault="00880D0C" w:rsidP="008A1EBB">
      <w:pPr>
        <w:pStyle w:val="FootnoteText"/>
        <w:spacing w:after="0"/>
        <w:rPr>
          <w:lang w:val="en-NZ"/>
        </w:rPr>
      </w:pPr>
      <w:r>
        <w:rPr>
          <w:rStyle w:val="FootnoteReference"/>
        </w:rPr>
        <w:footnoteRef/>
      </w:r>
      <w:r>
        <w:t xml:space="preserve"> </w:t>
      </w:r>
      <w:r>
        <w:rPr>
          <w:lang w:val="en-NZ"/>
        </w:rPr>
        <w:tab/>
        <w:t xml:space="preserve">Ministry of Health (2013) </w:t>
      </w:r>
      <w:r w:rsidRPr="00A56681">
        <w:rPr>
          <w:i/>
          <w:lang w:val="en-NZ"/>
        </w:rPr>
        <w:t>Request for Tender (RFT)</w:t>
      </w:r>
      <w:r>
        <w:rPr>
          <w:i/>
          <w:lang w:val="en-NZ"/>
        </w:rPr>
        <w:t xml:space="preserve"> </w:t>
      </w:r>
      <w:r w:rsidRPr="009E5A99">
        <w:rPr>
          <w:lang w:val="en-NZ"/>
        </w:rPr>
        <w:t>4 April 2013</w:t>
      </w:r>
    </w:p>
  </w:footnote>
  <w:footnote w:id="3">
    <w:p w:rsidR="00880D0C" w:rsidRPr="001B1955" w:rsidRDefault="00880D0C" w:rsidP="0087199A">
      <w:pPr>
        <w:pStyle w:val="FootnoteText"/>
        <w:spacing w:after="0"/>
        <w:rPr>
          <w:lang w:val="en-NZ"/>
        </w:rPr>
      </w:pPr>
      <w:r>
        <w:rPr>
          <w:rStyle w:val="FootnoteReference"/>
        </w:rPr>
        <w:footnoteRef/>
      </w:r>
      <w:r>
        <w:t xml:space="preserve"> </w:t>
      </w:r>
      <w:r>
        <w:rPr>
          <w:lang w:val="en-NZ"/>
        </w:rPr>
        <w:tab/>
      </w:r>
      <w:r w:rsidRPr="001B1955">
        <w:rPr>
          <w:lang w:val="en-NZ"/>
        </w:rPr>
        <w:t>Service contract 488412 / 308410-00</w:t>
      </w:r>
      <w:r>
        <w:rPr>
          <w:lang w:val="en-NZ"/>
        </w:rPr>
        <w:t>, p.3</w:t>
      </w:r>
    </w:p>
  </w:footnote>
  <w:footnote w:id="4">
    <w:p w:rsidR="00880D0C" w:rsidRPr="00F65706" w:rsidRDefault="00880D0C" w:rsidP="00F65706">
      <w:pPr>
        <w:pStyle w:val="FootnoteText"/>
        <w:spacing w:after="0"/>
        <w:rPr>
          <w:lang w:val="en-NZ"/>
        </w:rPr>
      </w:pPr>
      <w:r>
        <w:rPr>
          <w:rStyle w:val="FootnoteReference"/>
        </w:rPr>
        <w:footnoteRef/>
      </w:r>
      <w:r>
        <w:t xml:space="preserve"> </w:t>
      </w:r>
      <w:r>
        <w:rPr>
          <w:lang w:val="en-NZ"/>
        </w:rPr>
        <w:tab/>
      </w:r>
      <w:r w:rsidRPr="00F65706">
        <w:rPr>
          <w:lang w:val="en-NZ"/>
        </w:rPr>
        <w:t>We assessed our research against the criteria of the National Health and Disability Ethics Committee and concluded that an HDEC review was not required for this project. Our analysis is attached as Appendix 1.</w:t>
      </w:r>
    </w:p>
  </w:footnote>
  <w:footnote w:id="5">
    <w:p w:rsidR="00880D0C" w:rsidRPr="00475FB5" w:rsidRDefault="00880D0C" w:rsidP="003A4258">
      <w:pPr>
        <w:pStyle w:val="FootnoteText"/>
        <w:rPr>
          <w:lang w:val="en-NZ"/>
        </w:rPr>
      </w:pPr>
      <w:r>
        <w:rPr>
          <w:rStyle w:val="FootnoteReference"/>
        </w:rPr>
        <w:footnoteRef/>
      </w:r>
      <w:r>
        <w:t xml:space="preserve"> </w:t>
      </w:r>
      <w:r>
        <w:rPr>
          <w:lang w:val="en-NZ"/>
        </w:rPr>
        <w:tab/>
      </w:r>
      <w:r w:rsidRPr="00475FB5">
        <w:rPr>
          <w:lang w:val="en-NZ"/>
        </w:rPr>
        <w:t xml:space="preserve">Statistics New Zealand (2013) </w:t>
      </w:r>
      <w:r>
        <w:rPr>
          <w:i/>
          <w:lang w:val="en-NZ"/>
        </w:rPr>
        <w:t xml:space="preserve">2013 Census </w:t>
      </w:r>
      <w:proofErr w:type="spellStart"/>
      <w:r>
        <w:rPr>
          <w:i/>
          <w:lang w:val="en-NZ"/>
        </w:rPr>
        <w:t>QuickStats</w:t>
      </w:r>
      <w:proofErr w:type="spellEnd"/>
      <w:r>
        <w:rPr>
          <w:i/>
          <w:lang w:val="en-NZ"/>
        </w:rPr>
        <w:t xml:space="preserve"> A</w:t>
      </w:r>
      <w:r w:rsidRPr="00475FB5">
        <w:rPr>
          <w:i/>
          <w:lang w:val="en-NZ"/>
        </w:rPr>
        <w:t>bout National Highlights</w:t>
      </w:r>
      <w:r>
        <w:rPr>
          <w:lang w:val="en-NZ"/>
        </w:rPr>
        <w:t>.</w:t>
      </w:r>
    </w:p>
  </w:footnote>
  <w:footnote w:id="6">
    <w:p w:rsidR="00880D0C" w:rsidRPr="00C84AF0" w:rsidRDefault="00880D0C" w:rsidP="003A4258">
      <w:pPr>
        <w:pStyle w:val="FootnoteText"/>
        <w:spacing w:after="0"/>
        <w:rPr>
          <w:lang w:val="en-NZ"/>
        </w:rPr>
      </w:pPr>
      <w:r>
        <w:rPr>
          <w:rStyle w:val="FootnoteReference"/>
        </w:rPr>
        <w:footnoteRef/>
      </w:r>
      <w:r>
        <w:t xml:space="preserve"> </w:t>
      </w:r>
      <w:r>
        <w:rPr>
          <w:lang w:val="en-NZ"/>
        </w:rPr>
        <w:tab/>
        <w:t xml:space="preserve">Statistics New Zealand (2006) data tables from </w:t>
      </w:r>
      <w:r w:rsidRPr="00B70693">
        <w:rPr>
          <w:i/>
          <w:lang w:val="en-NZ"/>
        </w:rPr>
        <w:t>New Zealand: An Urban/Rural Profile Update</w:t>
      </w:r>
      <w:r>
        <w:rPr>
          <w:lang w:val="en-NZ"/>
        </w:rPr>
        <w:t xml:space="preserve">; </w:t>
      </w:r>
      <w:hyperlink r:id="rId1" w:history="1">
        <w:r w:rsidRPr="003346C4">
          <w:rPr>
            <w:rStyle w:val="Hyperlink"/>
            <w:lang w:val="en-NZ"/>
          </w:rPr>
          <w:t>http://www.stats.govt.nz</w:t>
        </w:r>
      </w:hyperlink>
      <w:r>
        <w:rPr>
          <w:lang w:val="en-NZ"/>
        </w:rPr>
        <w:t>;</w:t>
      </w:r>
      <w:r w:rsidRPr="00B70693">
        <w:rPr>
          <w:lang w:val="en-NZ"/>
        </w:rPr>
        <w:t xml:space="preserve"> </w:t>
      </w:r>
      <w:proofErr w:type="spellStart"/>
      <w:r>
        <w:rPr>
          <w:lang w:val="en-NZ"/>
        </w:rPr>
        <w:t>Sapere</w:t>
      </w:r>
      <w:proofErr w:type="spellEnd"/>
      <w:r>
        <w:rPr>
          <w:lang w:val="en-NZ"/>
        </w:rPr>
        <w:t xml:space="preserve"> calculations </w:t>
      </w:r>
    </w:p>
  </w:footnote>
  <w:footnote w:id="7">
    <w:p w:rsidR="00880D0C" w:rsidRPr="00D86B5C" w:rsidRDefault="00880D0C" w:rsidP="00B45C09">
      <w:pPr>
        <w:pStyle w:val="FootnoteText"/>
        <w:rPr>
          <w:lang w:val="en-NZ"/>
        </w:rPr>
      </w:pPr>
      <w:r>
        <w:rPr>
          <w:rStyle w:val="FootnoteReference"/>
        </w:rPr>
        <w:footnoteRef/>
      </w:r>
      <w:r>
        <w:t xml:space="preserve"> </w:t>
      </w:r>
      <w:r>
        <w:rPr>
          <w:lang w:val="en-NZ"/>
        </w:rPr>
        <w:tab/>
      </w:r>
      <w:r w:rsidRPr="00D86B5C">
        <w:rPr>
          <w:lang w:val="en-NZ"/>
        </w:rPr>
        <w:t>Lethbridge, L.  RN</w:t>
      </w:r>
      <w:r>
        <w:rPr>
          <w:lang w:val="en-NZ"/>
        </w:rPr>
        <w:t xml:space="preserve">, Bachelor of Nursing Honours. </w:t>
      </w:r>
      <w:r w:rsidRPr="00D86B5C">
        <w:rPr>
          <w:i/>
          <w:lang w:val="en-NZ"/>
        </w:rPr>
        <w:t>A Literature Review: Nursing Assessment in a Post Anaesthetic Care Unit</w:t>
      </w:r>
      <w:r w:rsidRPr="00D86B5C">
        <w:rPr>
          <w:lang w:val="en-NZ"/>
        </w:rPr>
        <w:t xml:space="preserve">.  </w:t>
      </w:r>
      <w:proofErr w:type="gramStart"/>
      <w:r w:rsidRPr="00D86B5C">
        <w:rPr>
          <w:lang w:val="en-NZ"/>
        </w:rPr>
        <w:t>Belmont Hospital.</w:t>
      </w:r>
      <w:proofErr w:type="gramEnd"/>
      <w:r w:rsidRPr="00D86B5C">
        <w:rPr>
          <w:lang w:val="en-NZ"/>
        </w:rPr>
        <w:t xml:space="preserve"> </w:t>
      </w:r>
      <w:proofErr w:type="gramStart"/>
      <w:r w:rsidRPr="00D86B5C">
        <w:rPr>
          <w:lang w:val="en-NZ"/>
        </w:rPr>
        <w:t>Undated.</w:t>
      </w:r>
      <w:proofErr w:type="gramEnd"/>
      <w:r w:rsidRPr="00D86B5C">
        <w:rPr>
          <w:lang w:val="en-NZ"/>
        </w:rPr>
        <w:t xml:space="preserve">  </w:t>
      </w:r>
    </w:p>
  </w:footnote>
  <w:footnote w:id="8">
    <w:p w:rsidR="00880D0C" w:rsidRPr="00D86B5C" w:rsidRDefault="00880D0C" w:rsidP="00B45C09">
      <w:pPr>
        <w:pStyle w:val="FootnoteText"/>
        <w:rPr>
          <w:lang w:val="en-NZ"/>
        </w:rPr>
      </w:pPr>
      <w:r>
        <w:rPr>
          <w:rStyle w:val="FootnoteReference"/>
        </w:rPr>
        <w:footnoteRef/>
      </w:r>
      <w:r>
        <w:t xml:space="preserve"> </w:t>
      </w:r>
      <w:r>
        <w:rPr>
          <w:lang w:val="en-NZ"/>
        </w:rPr>
        <w:tab/>
        <w:t>ACORN Stanm</w:t>
      </w:r>
      <w:hyperlink r:id="rId2" w:history="1">
        <w:r w:rsidRPr="003346C4">
          <w:rPr>
            <w:rStyle w:val="Hyperlink"/>
            <w:lang w:val="en-NZ"/>
          </w:rPr>
          <w:t>http://www.acorn.org.au/standards</w:t>
        </w:r>
      </w:hyperlink>
    </w:p>
  </w:footnote>
  <w:footnote w:id="9">
    <w:p w:rsidR="00880D0C" w:rsidRPr="00706207" w:rsidRDefault="00880D0C" w:rsidP="00450FD9">
      <w:pPr>
        <w:pStyle w:val="FootnoteText"/>
        <w:rPr>
          <w:lang w:val="en-NZ"/>
        </w:rPr>
      </w:pPr>
      <w:r>
        <w:rPr>
          <w:rStyle w:val="FootnoteReference"/>
        </w:rPr>
        <w:footnoteRef/>
      </w:r>
      <w:r>
        <w:t xml:space="preserve"> </w:t>
      </w:r>
      <w:r>
        <w:rPr>
          <w:lang w:val="en-NZ"/>
        </w:rPr>
        <w:tab/>
      </w:r>
      <w:proofErr w:type="gramStart"/>
      <w:r w:rsidRPr="00706207">
        <w:rPr>
          <w:lang w:val="en-NZ"/>
        </w:rPr>
        <w:t xml:space="preserve">Ministry of Health (2010) </w:t>
      </w:r>
      <w:r w:rsidRPr="007B37AF">
        <w:rPr>
          <w:i/>
          <w:lang w:val="en-NZ"/>
        </w:rPr>
        <w:t>DHB Hospital Benchmark Information.</w:t>
      </w:r>
      <w:proofErr w:type="gramEnd"/>
      <w:r w:rsidRPr="007B37AF">
        <w:rPr>
          <w:i/>
          <w:lang w:val="en-NZ"/>
        </w:rPr>
        <w:t xml:space="preserve"> Report for the Quarter January - March 2010.</w:t>
      </w:r>
      <w:r w:rsidRPr="00706207">
        <w:rPr>
          <w:lang w:val="en-NZ"/>
        </w:rPr>
        <w:t xml:space="preserve"> Wellington: Ministry of Health</w:t>
      </w:r>
      <w:r>
        <w:rPr>
          <w:lang w:val="en-NZ"/>
        </w:rPr>
        <w:t xml:space="preserve">. The rates reported among district health boards were </w:t>
      </w:r>
      <w:r>
        <w:t>typically 8.5-9.5% during the period 2007-10.</w:t>
      </w:r>
    </w:p>
  </w:footnote>
  <w:footnote w:id="10">
    <w:p w:rsidR="00880D0C" w:rsidRPr="008C23D7" w:rsidRDefault="00880D0C" w:rsidP="005619E9">
      <w:pPr>
        <w:pStyle w:val="FootnoteText"/>
        <w:rPr>
          <w:lang w:val="en-NZ"/>
        </w:rPr>
      </w:pPr>
      <w:r>
        <w:rPr>
          <w:rStyle w:val="FootnoteReference"/>
        </w:rPr>
        <w:footnoteRef/>
      </w:r>
      <w:r>
        <w:t xml:space="preserve"> </w:t>
      </w:r>
      <w:r>
        <w:rPr>
          <w:lang w:val="en-NZ"/>
        </w:rPr>
        <w:tab/>
      </w:r>
      <w:r>
        <w:t>We have not examined nor sighted the business case</w:t>
      </w:r>
    </w:p>
  </w:footnote>
  <w:footnote w:id="11">
    <w:p w:rsidR="00880D0C" w:rsidRPr="00172379" w:rsidRDefault="00880D0C" w:rsidP="005619E9">
      <w:pPr>
        <w:pStyle w:val="FootnoteText"/>
        <w:rPr>
          <w:lang w:val="en-NZ"/>
        </w:rPr>
      </w:pPr>
      <w:r>
        <w:rPr>
          <w:rStyle w:val="FootnoteReference"/>
        </w:rPr>
        <w:footnoteRef/>
      </w:r>
      <w:r>
        <w:t xml:space="preserve"> </w:t>
      </w:r>
      <w:r>
        <w:rPr>
          <w:lang w:val="en-NZ"/>
        </w:rPr>
        <w:tab/>
        <w:t>Telephone communication with previous contract manager at the Ministry of Health</w:t>
      </w:r>
    </w:p>
  </w:footnote>
  <w:footnote w:id="12">
    <w:p w:rsidR="00880D0C" w:rsidRPr="00713F12" w:rsidRDefault="00880D0C" w:rsidP="00FA18DB">
      <w:pPr>
        <w:pStyle w:val="FootnoteText"/>
        <w:spacing w:after="40"/>
        <w:rPr>
          <w:lang w:val="en-NZ"/>
        </w:rPr>
      </w:pPr>
      <w:r>
        <w:rPr>
          <w:rStyle w:val="FootnoteReference"/>
        </w:rPr>
        <w:footnoteRef/>
      </w:r>
      <w:r>
        <w:t xml:space="preserve"> </w:t>
      </w:r>
      <w:r>
        <w:rPr>
          <w:lang w:val="en-NZ"/>
        </w:rPr>
        <w:tab/>
      </w:r>
      <w:r>
        <w:t>The desired 1,500 procedures was equivalent to 705 case-weight discharges per annum, using an average day surgery case weight of 0.47.</w:t>
      </w:r>
    </w:p>
  </w:footnote>
  <w:footnote w:id="13">
    <w:p w:rsidR="00880D0C" w:rsidRPr="003B57E8" w:rsidRDefault="00880D0C" w:rsidP="00FA18DB">
      <w:pPr>
        <w:pStyle w:val="FootnoteText"/>
        <w:spacing w:after="40"/>
        <w:rPr>
          <w:lang w:val="en-NZ"/>
        </w:rPr>
      </w:pPr>
      <w:r>
        <w:rPr>
          <w:rStyle w:val="FootnoteReference"/>
        </w:rPr>
        <w:footnoteRef/>
      </w:r>
      <w:r>
        <w:t xml:space="preserve"> </w:t>
      </w:r>
      <w:r>
        <w:rPr>
          <w:lang w:val="en-NZ"/>
        </w:rPr>
        <w:tab/>
        <w:t>Clause 10.1.1 of the Service Specification</w:t>
      </w:r>
    </w:p>
  </w:footnote>
  <w:footnote w:id="14">
    <w:p w:rsidR="00880D0C" w:rsidRPr="0008418F" w:rsidRDefault="00880D0C" w:rsidP="008250C8">
      <w:pPr>
        <w:pStyle w:val="FootnoteText"/>
        <w:spacing w:after="0"/>
        <w:rPr>
          <w:lang w:val="en-NZ"/>
        </w:rPr>
      </w:pPr>
      <w:r>
        <w:rPr>
          <w:rStyle w:val="FootnoteReference"/>
        </w:rPr>
        <w:footnoteRef/>
      </w:r>
      <w:r>
        <w:t xml:space="preserve"> </w:t>
      </w:r>
      <w:r>
        <w:rPr>
          <w:lang w:val="en-NZ"/>
        </w:rPr>
        <w:tab/>
        <w:t>Clause 10.1.2 (g) of the Service Specification states that the price for each case-weight includes provision for all general cost growth over the term of the agreement, without indicating any specifics.</w:t>
      </w:r>
    </w:p>
  </w:footnote>
  <w:footnote w:id="15">
    <w:p w:rsidR="00880D0C" w:rsidRPr="002E40B0" w:rsidRDefault="00880D0C" w:rsidP="00D52070">
      <w:pPr>
        <w:pStyle w:val="FootnoteText"/>
        <w:spacing w:after="20"/>
        <w:rPr>
          <w:lang w:val="en-NZ"/>
        </w:rPr>
      </w:pPr>
      <w:r>
        <w:rPr>
          <w:rStyle w:val="FootnoteReference"/>
        </w:rPr>
        <w:footnoteRef/>
      </w:r>
      <w:r>
        <w:t xml:space="preserve"> </w:t>
      </w:r>
      <w:r>
        <w:rPr>
          <w:lang w:val="en-NZ"/>
        </w:rPr>
        <w:tab/>
        <w:t xml:space="preserve">Such an observation is of course, predicated on the “gap” at the start of the contract being “right” (i.e. is cost-reflective). As mentioned, it was not possible for us to verify this. </w:t>
      </w:r>
    </w:p>
  </w:footnote>
  <w:footnote w:id="16">
    <w:p w:rsidR="00880D0C" w:rsidRPr="00D57C8D" w:rsidRDefault="00880D0C" w:rsidP="00D52070">
      <w:pPr>
        <w:pStyle w:val="FootnoteText"/>
        <w:spacing w:after="0"/>
        <w:rPr>
          <w:lang w:val="en-NZ"/>
        </w:rPr>
      </w:pPr>
      <w:r>
        <w:rPr>
          <w:rStyle w:val="FootnoteReference"/>
        </w:rPr>
        <w:footnoteRef/>
      </w:r>
      <w:r>
        <w:t xml:space="preserve"> </w:t>
      </w:r>
      <w:r>
        <w:rPr>
          <w:lang w:val="en-NZ"/>
        </w:rPr>
        <w:tab/>
      </w:r>
      <w:proofErr w:type="gramStart"/>
      <w:r>
        <w:rPr>
          <w:lang w:val="en-NZ"/>
        </w:rPr>
        <w:t>Based on an average of 10 visits to each site per annum.</w:t>
      </w:r>
      <w:proofErr w:type="gramEnd"/>
      <w:r>
        <w:rPr>
          <w:lang w:val="en-NZ"/>
        </w:rPr>
        <w:t xml:space="preserve"> </w:t>
      </w:r>
      <w:proofErr w:type="gramStart"/>
      <w:r>
        <w:t xml:space="preserve">Central Region’s TASs (2006) </w:t>
      </w:r>
      <w:r w:rsidRPr="0051000D">
        <w:rPr>
          <w:i/>
        </w:rPr>
        <w:t>Review of the Mobile Surgical Service</w:t>
      </w:r>
      <w:r>
        <w:t>.</w:t>
      </w:r>
      <w:proofErr w:type="gramEnd"/>
      <w:r>
        <w:t xml:space="preserve"> Prepared for the Ministry of Health</w:t>
      </w:r>
      <w:r>
        <w:rPr>
          <w:lang w:val="en-NZ"/>
        </w:rPr>
        <w:t xml:space="preserve"> p.40 </w:t>
      </w:r>
    </w:p>
  </w:footnote>
  <w:footnote w:id="17">
    <w:p w:rsidR="00880D0C" w:rsidRPr="000A2EFE" w:rsidRDefault="00880D0C" w:rsidP="005B735B">
      <w:pPr>
        <w:pStyle w:val="FootnoteText"/>
        <w:spacing w:after="20"/>
        <w:rPr>
          <w:lang w:val="en-NZ"/>
        </w:rPr>
      </w:pPr>
      <w:r>
        <w:rPr>
          <w:rStyle w:val="FootnoteReference"/>
        </w:rPr>
        <w:footnoteRef/>
      </w:r>
      <w:r>
        <w:t xml:space="preserve"> </w:t>
      </w:r>
      <w:r>
        <w:rPr>
          <w:lang w:val="en-NZ"/>
        </w:rPr>
        <w:tab/>
      </w:r>
      <w:proofErr w:type="gramStart"/>
      <w:r w:rsidRPr="00AF1B82">
        <w:rPr>
          <w:lang w:val="en-NZ"/>
        </w:rPr>
        <w:t xml:space="preserve">Central Region’s Technical Advisory Services (2006) </w:t>
      </w:r>
      <w:r w:rsidRPr="00AF1B82">
        <w:rPr>
          <w:i/>
          <w:lang w:val="en-NZ"/>
        </w:rPr>
        <w:t>Review of the Mobile Surgical Service.</w:t>
      </w:r>
      <w:proofErr w:type="gramEnd"/>
      <w:r w:rsidRPr="00AF1B82">
        <w:rPr>
          <w:i/>
          <w:lang w:val="en-NZ"/>
        </w:rPr>
        <w:t xml:space="preserve"> </w:t>
      </w:r>
      <w:r w:rsidRPr="00AF1B82">
        <w:rPr>
          <w:lang w:val="en-NZ"/>
        </w:rPr>
        <w:t>May 2006</w:t>
      </w:r>
    </w:p>
  </w:footnote>
  <w:footnote w:id="18">
    <w:p w:rsidR="00880D0C" w:rsidRPr="009A359C" w:rsidRDefault="00880D0C" w:rsidP="005619E9">
      <w:pPr>
        <w:pStyle w:val="FootnoteText"/>
        <w:rPr>
          <w:lang w:val="en-NZ"/>
        </w:rPr>
      </w:pPr>
      <w:r>
        <w:rPr>
          <w:rStyle w:val="FootnoteReference"/>
        </w:rPr>
        <w:footnoteRef/>
      </w:r>
      <w:r>
        <w:t xml:space="preserve"> </w:t>
      </w:r>
      <w:r>
        <w:rPr>
          <w:lang w:val="en-NZ"/>
        </w:rPr>
        <w:tab/>
        <w:t>We understand, anecdotally, that no approaches have been made to date.</w:t>
      </w:r>
    </w:p>
  </w:footnote>
  <w:footnote w:id="19">
    <w:p w:rsidR="00880D0C" w:rsidRPr="00CC7A0F" w:rsidRDefault="00880D0C" w:rsidP="005619E9">
      <w:pPr>
        <w:pStyle w:val="FootnoteText"/>
        <w:rPr>
          <w:lang w:val="en-NZ"/>
        </w:rPr>
      </w:pPr>
      <w:r>
        <w:rPr>
          <w:rStyle w:val="FootnoteReference"/>
        </w:rPr>
        <w:footnoteRef/>
      </w:r>
      <w:r>
        <w:t xml:space="preserve"> </w:t>
      </w:r>
      <w:r>
        <w:rPr>
          <w:lang w:val="en-NZ"/>
        </w:rPr>
        <w:tab/>
        <w:t>MSS Ltd informed us that they do not separately cost the three components of the contract.</w:t>
      </w:r>
    </w:p>
  </w:footnote>
  <w:footnote w:id="20">
    <w:p w:rsidR="00880D0C" w:rsidRPr="00D554C9" w:rsidRDefault="00880D0C" w:rsidP="00BB79B3">
      <w:pPr>
        <w:pStyle w:val="FootnoteText"/>
        <w:rPr>
          <w:lang w:val="en-NZ"/>
        </w:rPr>
      </w:pPr>
      <w:r>
        <w:rPr>
          <w:rStyle w:val="FootnoteReference"/>
        </w:rPr>
        <w:footnoteRef/>
      </w:r>
      <w:r>
        <w:t xml:space="preserve"> </w:t>
      </w:r>
      <w:r>
        <w:rPr>
          <w:lang w:val="en-NZ"/>
        </w:rPr>
        <w:tab/>
        <w:t>We examined annual reports from Southern DHB and West Coast DHB for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F20E48">
    <w:pPr>
      <w:pStyle w:val="Headereven"/>
    </w:pPr>
    <w:r>
      <w:rPr>
        <w:noProof/>
        <w:lang w:val="en-NZ" w:eastAsia="en-NZ"/>
      </w:rPr>
      <w:drawing>
        <wp:anchor distT="0" distB="0" distL="114300" distR="114300" simplePos="0" relativeHeight="251659264" behindDoc="0" locked="0" layoutInCell="1" allowOverlap="1" wp14:anchorId="2DFBD9BD" wp14:editId="31DCF031">
          <wp:simplePos x="0" y="0"/>
          <wp:positionH relativeFrom="page">
            <wp:posOffset>1260475</wp:posOffset>
          </wp:positionH>
          <wp:positionV relativeFrom="page">
            <wp:posOffset>543560</wp:posOffset>
          </wp:positionV>
          <wp:extent cx="1562100" cy="476250"/>
          <wp:effectExtent l="19050" t="0" r="0" b="0"/>
          <wp:wrapNone/>
          <wp:docPr id="7" name="Picture 6" descr="Sapere_RGB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_RGB_lge.jpg"/>
                  <pic:cNvPicPr/>
                </pic:nvPicPr>
                <pic:blipFill>
                  <a:blip r:embed="rId1"/>
                  <a:stretch>
                    <a:fillRect/>
                  </a:stretch>
                </pic:blipFill>
                <pic:spPr>
                  <a:xfrm>
                    <a:off x="0" y="0"/>
                    <a:ext cx="1562100" cy="4762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Pr="00F20E48" w:rsidRDefault="00880D0C" w:rsidP="00F20E48">
    <w:pPr>
      <w:pStyle w:val="Headerodd"/>
    </w:pPr>
    <w:r>
      <w:rPr>
        <w:noProof/>
        <w:lang w:val="en-NZ" w:eastAsia="en-NZ"/>
      </w:rPr>
      <w:drawing>
        <wp:anchor distT="0" distB="0" distL="114300" distR="114300" simplePos="0" relativeHeight="251658240" behindDoc="0" locked="0" layoutInCell="1" allowOverlap="1" wp14:anchorId="03F75B0D" wp14:editId="436CADA1">
          <wp:simplePos x="0" y="0"/>
          <wp:positionH relativeFrom="page">
            <wp:posOffset>4770755</wp:posOffset>
          </wp:positionH>
          <wp:positionV relativeFrom="page">
            <wp:posOffset>543560</wp:posOffset>
          </wp:positionV>
          <wp:extent cx="1562100" cy="476250"/>
          <wp:effectExtent l="0" t="0" r="0" b="0"/>
          <wp:wrapNone/>
          <wp:docPr id="6" name="Picture 5" descr="Sapere_RGB_lge.jpg" title="Sape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_RGB_lge.jpg"/>
                  <pic:cNvPicPr/>
                </pic:nvPicPr>
                <pic:blipFill>
                  <a:blip r:embed="rId1"/>
                  <a:stretch>
                    <a:fillRect/>
                  </a:stretch>
                </pic:blipFill>
                <pic:spPr>
                  <a:xfrm>
                    <a:off x="0" y="0"/>
                    <a:ext cx="1562100" cy="4762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1515D7">
    <w:pPr>
      <w:pStyle w:val="Headereven"/>
    </w:pPr>
    <w:r>
      <w:rPr>
        <w:noProof/>
        <w:lang w:val="en-NZ" w:eastAsia="en-NZ"/>
      </w:rPr>
      <w:drawing>
        <wp:anchor distT="0" distB="0" distL="114300" distR="114300" simplePos="0" relativeHeight="251667456" behindDoc="0" locked="0" layoutInCell="1" allowOverlap="1" wp14:anchorId="3B4DE443" wp14:editId="363AB1F6">
          <wp:simplePos x="0" y="0"/>
          <wp:positionH relativeFrom="page">
            <wp:posOffset>1260475</wp:posOffset>
          </wp:positionH>
          <wp:positionV relativeFrom="page">
            <wp:posOffset>543560</wp:posOffset>
          </wp:positionV>
          <wp:extent cx="1562100" cy="476250"/>
          <wp:effectExtent l="19050" t="0" r="0" b="0"/>
          <wp:wrapNone/>
          <wp:docPr id="29" name="Picture 6" descr="Sapere_RGB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_RGB_lge.jpg"/>
                  <pic:cNvPicPr/>
                </pic:nvPicPr>
                <pic:blipFill>
                  <a:blip r:embed="rId1"/>
                  <a:stretch>
                    <a:fillRect/>
                  </a:stretch>
                </pic:blipFill>
                <pic:spPr>
                  <a:xfrm>
                    <a:off x="0" y="0"/>
                    <a:ext cx="1562100" cy="476250"/>
                  </a:xfrm>
                  <a:prstGeom prst="rect">
                    <a:avLst/>
                  </a:prstGeom>
                </pic:spPr>
              </pic:pic>
            </a:graphicData>
          </a:graphic>
        </wp:anchor>
      </w:drawing>
    </w:r>
  </w:p>
  <w:p w:rsidR="00880D0C" w:rsidRDefault="00880D0C" w:rsidP="00CB0D8E">
    <w:pPr>
      <w:pStyle w:val="Headereve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Pr="00F20E48" w:rsidRDefault="00880D0C" w:rsidP="001515D7">
    <w:pPr>
      <w:pStyle w:val="Headerodd"/>
    </w:pPr>
    <w:r>
      <w:rPr>
        <w:noProof/>
        <w:lang w:val="en-NZ" w:eastAsia="en-NZ"/>
      </w:rPr>
      <w:drawing>
        <wp:anchor distT="0" distB="0" distL="114300" distR="114300" simplePos="0" relativeHeight="251665408" behindDoc="0" locked="0" layoutInCell="1" allowOverlap="1" wp14:anchorId="04C9F91F" wp14:editId="5366CA11">
          <wp:simplePos x="0" y="0"/>
          <wp:positionH relativeFrom="page">
            <wp:posOffset>7906385</wp:posOffset>
          </wp:positionH>
          <wp:positionV relativeFrom="page">
            <wp:posOffset>542925</wp:posOffset>
          </wp:positionV>
          <wp:extent cx="1562100" cy="476250"/>
          <wp:effectExtent l="19050" t="0" r="0" b="0"/>
          <wp:wrapNone/>
          <wp:docPr id="30" name="Picture 5" descr="Sapere_RGB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_RGB_lge.jpg"/>
                  <pic:cNvPicPr/>
                </pic:nvPicPr>
                <pic:blipFill>
                  <a:blip r:embed="rId1"/>
                  <a:stretch>
                    <a:fillRect/>
                  </a:stretch>
                </pic:blipFill>
                <pic:spPr>
                  <a:xfrm>
                    <a:off x="0" y="0"/>
                    <a:ext cx="1562100" cy="4762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rsidP="00CB0D8E">
    <w:pPr>
      <w:pStyle w:val="Headerod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0C" w:rsidRDefault="00880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9B4"/>
    <w:multiLevelType w:val="multilevel"/>
    <w:tmpl w:val="BA12C4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FB24580"/>
    <w:multiLevelType w:val="multilevel"/>
    <w:tmpl w:val="D8C4747E"/>
    <w:lvl w:ilvl="0">
      <w:start w:val="1"/>
      <w:numFmt w:val="none"/>
      <w:pStyle w:val="Indent1"/>
      <w:suff w:val="nothing"/>
      <w:lvlText w:val="%1"/>
      <w:lvlJc w:val="left"/>
      <w:pPr>
        <w:ind w:left="425" w:firstLine="0"/>
      </w:pPr>
      <w:rPr>
        <w:rFonts w:hint="default"/>
      </w:rPr>
    </w:lvl>
    <w:lvl w:ilvl="1">
      <w:start w:val="1"/>
      <w:numFmt w:val="none"/>
      <w:pStyle w:val="Indent2"/>
      <w:suff w:val="nothing"/>
      <w:lvlText w:val=""/>
      <w:lvlJc w:val="left"/>
      <w:pPr>
        <w:ind w:left="851" w:firstLine="0"/>
      </w:pPr>
      <w:rPr>
        <w:rFonts w:hint="default"/>
      </w:rPr>
    </w:lvl>
    <w:lvl w:ilvl="2">
      <w:start w:val="1"/>
      <w:numFmt w:val="none"/>
      <w:pStyle w:val="Indent3"/>
      <w:suff w:val="nothing"/>
      <w:lvlText w:val=""/>
      <w:lvlJc w:val="left"/>
      <w:pPr>
        <w:ind w:left="1276" w:firstLine="0"/>
      </w:pPr>
      <w:rPr>
        <w:rFonts w:hint="default"/>
      </w:rPr>
    </w:lvl>
    <w:lvl w:ilvl="3">
      <w:start w:val="1"/>
      <w:numFmt w:val="none"/>
      <w:suff w:val="nothing"/>
      <w:lvlText w:val=""/>
      <w:lvlJc w:val="left"/>
      <w:pPr>
        <w:ind w:left="1701" w:hanging="425"/>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
    <w:nsid w:val="116B5689"/>
    <w:multiLevelType w:val="hybridMultilevel"/>
    <w:tmpl w:val="7AA0E4A6"/>
    <w:lvl w:ilvl="0" w:tplc="DC6842D6">
      <w:start w:val="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1994ECF"/>
    <w:multiLevelType w:val="hybridMultilevel"/>
    <w:tmpl w:val="CE82D0A2"/>
    <w:lvl w:ilvl="0" w:tplc="C45EDFE4">
      <w:start w:val="27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3F01D7B"/>
    <w:multiLevelType w:val="hybridMultilevel"/>
    <w:tmpl w:val="6F720B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5FF086A"/>
    <w:multiLevelType w:val="multilevel"/>
    <w:tmpl w:val="97E84DEC"/>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b w:val="0"/>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
    <w:nsid w:val="16CA0434"/>
    <w:multiLevelType w:val="multilevel"/>
    <w:tmpl w:val="98C6852C"/>
    <w:name w:val="ListNumberedParagraphs"/>
    <w:lvl w:ilvl="0">
      <w:start w:val="1"/>
      <w:numFmt w:val="none"/>
      <w:lvlText w:val="%1"/>
      <w:lvlJc w:val="left"/>
      <w:pPr>
        <w:tabs>
          <w:tab w:val="num" w:pos="0"/>
        </w:tabs>
        <w:ind w:left="-284" w:firstLine="284"/>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7">
    <w:nsid w:val="17E60900"/>
    <w:multiLevelType w:val="hybridMultilevel"/>
    <w:tmpl w:val="8F481FBC"/>
    <w:lvl w:ilvl="0" w:tplc="9C96C566">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A475977"/>
    <w:multiLevelType w:val="multilevel"/>
    <w:tmpl w:val="103E692A"/>
    <w:lvl w:ilvl="0">
      <w:start w:val="1"/>
      <w:numFmt w:val="decimal"/>
      <w:pStyle w:val="UnnumtextFigurecaption"/>
      <w:suff w:val="nothing"/>
      <w:lvlText w:val="Figure %1  "/>
      <w:lvlJc w:val="left"/>
      <w:pPr>
        <w:ind w:left="0" w:firstLine="0"/>
      </w:pPr>
      <w:rPr>
        <w:rFonts w:hint="default"/>
        <w:b/>
        <w:i w:val="0"/>
      </w:rPr>
    </w:lvl>
    <w:lvl w:ilvl="1">
      <w:start w:val="1"/>
      <w:numFmt w:val="bullet"/>
      <w:lvlText w:val=""/>
      <w:lvlJc w:val="left"/>
      <w:pPr>
        <w:tabs>
          <w:tab w:val="num" w:pos="851"/>
        </w:tabs>
        <w:ind w:left="851" w:hanging="426"/>
      </w:pPr>
      <w:rPr>
        <w:rFonts w:ascii="Symbol" w:hAnsi="Symbol"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9">
    <w:nsid w:val="1AEE556C"/>
    <w:multiLevelType w:val="hybridMultilevel"/>
    <w:tmpl w:val="74880344"/>
    <w:lvl w:ilvl="0" w:tplc="14090001">
      <w:start w:val="1"/>
      <w:numFmt w:val="bullet"/>
      <w:lvlText w:val=""/>
      <w:lvlJc w:val="left"/>
      <w:pPr>
        <w:ind w:left="720" w:hanging="360"/>
      </w:pPr>
      <w:rPr>
        <w:rFonts w:ascii="Symbol" w:hAnsi="Symbol" w:hint="default"/>
      </w:rPr>
    </w:lvl>
    <w:lvl w:ilvl="1" w:tplc="58063CFC">
      <w:start w:val="20"/>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B7871F3"/>
    <w:multiLevelType w:val="multilevel"/>
    <w:tmpl w:val="A3989984"/>
    <w:lvl w:ilvl="0">
      <w:start w:val="1"/>
      <w:numFmt w:val="none"/>
      <w:pStyle w:val="ListStartNumtextBodytext"/>
      <w:suff w:val="nothing"/>
      <w:lvlText w:val=""/>
      <w:lvlJc w:val="left"/>
      <w:pPr>
        <w:ind w:left="-284" w:firstLine="284"/>
      </w:pPr>
      <w:rPr>
        <w:rFonts w:hint="default"/>
      </w:rPr>
    </w:lvl>
    <w:lvl w:ilvl="1">
      <w:start w:val="1"/>
      <w:numFmt w:val="decimal"/>
      <w:pStyle w:val="Numtext1-Bodytextlevel1"/>
      <w:lvlText w:val="%2."/>
      <w:lvlJc w:val="left"/>
      <w:pPr>
        <w:tabs>
          <w:tab w:val="num" w:pos="680"/>
        </w:tabs>
        <w:ind w:left="425" w:hanging="425"/>
      </w:pPr>
      <w:rPr>
        <w:rFonts w:hint="default"/>
      </w:rPr>
    </w:lvl>
    <w:lvl w:ilvl="2">
      <w:start w:val="1"/>
      <w:numFmt w:val="lowerLetter"/>
      <w:pStyle w:val="Numtexta-Bodytextlevel2"/>
      <w:lvlText w:val="(%3)"/>
      <w:lvlJc w:val="left"/>
      <w:pPr>
        <w:tabs>
          <w:tab w:val="num" w:pos="1134"/>
        </w:tabs>
        <w:ind w:left="851" w:hanging="426"/>
      </w:pPr>
      <w:rPr>
        <w:rFonts w:hint="default"/>
      </w:rPr>
    </w:lvl>
    <w:lvl w:ilvl="3">
      <w:start w:val="1"/>
      <w:numFmt w:val="lowerRoman"/>
      <w:pStyle w:val="Numtexti-Bodytextlevel3"/>
      <w:lvlText w:val="(%4)"/>
      <w:lvlJc w:val="left"/>
      <w:pPr>
        <w:tabs>
          <w:tab w:val="num" w:pos="1588"/>
        </w:tabs>
        <w:ind w:left="1276" w:hanging="425"/>
      </w:pPr>
      <w:rPr>
        <w:rFonts w:hint="default"/>
      </w:rPr>
    </w:lvl>
    <w:lvl w:ilvl="4">
      <w:start w:val="1"/>
      <w:numFmt w:val="none"/>
      <w:suff w:val="nothing"/>
      <w:lvlText w:val=""/>
      <w:lvlJc w:val="left"/>
      <w:pPr>
        <w:ind w:left="1276" w:firstLine="0"/>
      </w:pPr>
      <w:rPr>
        <w:rFonts w:hint="default"/>
      </w:rPr>
    </w:lvl>
    <w:lvl w:ilvl="5">
      <w:start w:val="1"/>
      <w:numFmt w:val="none"/>
      <w:suff w:val="nothing"/>
      <w:lvlText w:val="%6"/>
      <w:lvlJc w:val="left"/>
      <w:pPr>
        <w:ind w:left="-32766" w:hanging="31182"/>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11">
    <w:nsid w:val="1BB36942"/>
    <w:multiLevelType w:val="hybridMultilevel"/>
    <w:tmpl w:val="9F724932"/>
    <w:lvl w:ilvl="0" w:tplc="304678C2">
      <w:start w:val="1"/>
      <w:numFmt w:val="decimal"/>
      <w:pStyle w:val="Notes"/>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366885"/>
    <w:multiLevelType w:val="multilevel"/>
    <w:tmpl w:val="F1420996"/>
    <w:lvl w:ilvl="0">
      <w:start w:val="1"/>
      <w:numFmt w:val="none"/>
      <w:pStyle w:val="NumtextIndent1"/>
      <w:suff w:val="nothing"/>
      <w:lvlText w:val="%1"/>
      <w:lvlJc w:val="left"/>
      <w:pPr>
        <w:ind w:left="992" w:firstLine="0"/>
      </w:pPr>
      <w:rPr>
        <w:rFonts w:hint="default"/>
      </w:rPr>
    </w:lvl>
    <w:lvl w:ilvl="1">
      <w:start w:val="1"/>
      <w:numFmt w:val="none"/>
      <w:suff w:val="nothing"/>
      <w:lvlText w:val="%2"/>
      <w:lvlJc w:val="left"/>
      <w:pPr>
        <w:ind w:left="1418" w:hanging="1"/>
      </w:pPr>
      <w:rPr>
        <w:rFonts w:hint="default"/>
      </w:rPr>
    </w:lvl>
    <w:lvl w:ilvl="2">
      <w:start w:val="1"/>
      <w:numFmt w:val="none"/>
      <w:suff w:val="nothing"/>
      <w:lvlText w:val=""/>
      <w:lvlJc w:val="left"/>
      <w:pPr>
        <w:ind w:left="1843"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1275"/>
        </w:tabs>
        <w:ind w:left="1275" w:firstLine="0"/>
      </w:pPr>
      <w:rPr>
        <w:rFonts w:hint="default"/>
      </w:rPr>
    </w:lvl>
    <w:lvl w:ilvl="6">
      <w:start w:val="1"/>
      <w:numFmt w:val="none"/>
      <w:lvlText w:val=""/>
      <w:lvlJc w:val="left"/>
      <w:pPr>
        <w:tabs>
          <w:tab w:val="num" w:pos="1275"/>
        </w:tabs>
        <w:ind w:left="1275" w:firstLine="0"/>
      </w:pPr>
      <w:rPr>
        <w:rFonts w:hint="default"/>
      </w:rPr>
    </w:lvl>
    <w:lvl w:ilvl="7">
      <w:start w:val="1"/>
      <w:numFmt w:val="none"/>
      <w:lvlText w:val=""/>
      <w:lvlJc w:val="left"/>
      <w:pPr>
        <w:tabs>
          <w:tab w:val="num" w:pos="1275"/>
        </w:tabs>
        <w:ind w:left="1275" w:firstLine="2520"/>
      </w:pPr>
      <w:rPr>
        <w:rFonts w:hint="default"/>
      </w:rPr>
    </w:lvl>
    <w:lvl w:ilvl="8">
      <w:start w:val="1"/>
      <w:numFmt w:val="none"/>
      <w:lvlText w:val=""/>
      <w:lvlJc w:val="left"/>
      <w:pPr>
        <w:tabs>
          <w:tab w:val="num" w:pos="1275"/>
        </w:tabs>
        <w:ind w:left="1275" w:firstLine="0"/>
      </w:pPr>
      <w:rPr>
        <w:rFonts w:hint="default"/>
      </w:rPr>
    </w:lvl>
  </w:abstractNum>
  <w:abstractNum w:abstractNumId="13">
    <w:nsid w:val="22652F7F"/>
    <w:multiLevelType w:val="multilevel"/>
    <w:tmpl w:val="0409001D"/>
    <w:name w:val="Liststartnumtextbodytex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9B2E1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nsid w:val="29C073FB"/>
    <w:multiLevelType w:val="multilevel"/>
    <w:tmpl w:val="37F62CBC"/>
    <w:lvl w:ilvl="0">
      <w:start w:val="1"/>
      <w:numFmt w:val="bullet"/>
      <w:lvlText w:val=""/>
      <w:lvlJc w:val="left"/>
      <w:pPr>
        <w:tabs>
          <w:tab w:val="num" w:pos="425"/>
        </w:tabs>
        <w:ind w:left="425" w:hanging="425"/>
      </w:pPr>
      <w:rPr>
        <w:rFonts w:ascii="Symbol" w:hAnsi="Symbol" w:hint="default"/>
      </w:rPr>
    </w:lvl>
    <w:lvl w:ilvl="1">
      <w:start w:val="1"/>
      <w:numFmt w:val="none"/>
      <w:lvlText w:val=""/>
      <w:lvlJc w:val="left"/>
      <w:pPr>
        <w:tabs>
          <w:tab w:val="num" w:pos="851"/>
        </w:tabs>
        <w:ind w:left="851" w:hanging="426"/>
      </w:pPr>
      <w:rPr>
        <w:rFonts w:hint="default"/>
        <w:b/>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nsid w:val="2E286831"/>
    <w:multiLevelType w:val="multilevel"/>
    <w:tmpl w:val="BF1E69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3643CEC"/>
    <w:multiLevelType w:val="multilevel"/>
    <w:tmpl w:val="2BD4E3FC"/>
    <w:lvl w:ilvl="0">
      <w:start w:val="1"/>
      <w:numFmt w:val="decimal"/>
      <w:pStyle w:val="Question"/>
      <w:suff w:val="nothing"/>
      <w:lvlText w:val="Question %1:  "/>
      <w:lvlJc w:val="left"/>
      <w:pPr>
        <w:ind w:left="0" w:firstLine="0"/>
      </w:pPr>
      <w:rPr>
        <w:rFonts w:hint="default"/>
        <w:b/>
        <w:i w:val="0"/>
      </w:rPr>
    </w:lvl>
    <w:lvl w:ilvl="1">
      <w:start w:val="1"/>
      <w:numFmt w:val="none"/>
      <w:pStyle w:val="BodyText"/>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4B001C8"/>
    <w:multiLevelType w:val="hybridMultilevel"/>
    <w:tmpl w:val="EB407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8444EB2"/>
    <w:multiLevelType w:val="hybridMultilevel"/>
    <w:tmpl w:val="9238F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E4178AB"/>
    <w:multiLevelType w:val="multilevel"/>
    <w:tmpl w:val="0916F22A"/>
    <w:lvl w:ilvl="0">
      <w:start w:val="1"/>
      <w:numFmt w:val="bullet"/>
      <w:pStyle w:val="Tablebullet1atmargin"/>
      <w:lvlText w:val="•"/>
      <w:lvlJc w:val="left"/>
      <w:pPr>
        <w:tabs>
          <w:tab w:val="num" w:pos="425"/>
        </w:tabs>
        <w:ind w:left="851" w:hanging="426"/>
      </w:pPr>
      <w:rPr>
        <w:rFonts w:ascii="Garamond" w:hAnsi="Garamond" w:hint="default"/>
        <w:color w:val="7B5E05"/>
      </w:rPr>
    </w:lvl>
    <w:lvl w:ilvl="1">
      <w:start w:val="1"/>
      <w:numFmt w:val="bullet"/>
      <w:pStyle w:val="Tablebullet2atmargin"/>
      <w:lvlText w:val=""/>
      <w:lvlJc w:val="left"/>
      <w:pPr>
        <w:tabs>
          <w:tab w:val="num" w:pos="851"/>
        </w:tabs>
        <w:ind w:left="1276" w:hanging="425"/>
      </w:pPr>
      <w:rPr>
        <w:rFonts w:ascii="Symbol" w:hAnsi="Symbol" w:hint="default"/>
      </w:rPr>
    </w:lvl>
    <w:lvl w:ilvl="2">
      <w:start w:val="1"/>
      <w:numFmt w:val="none"/>
      <w:suff w:val="nothing"/>
      <w:lvlText w:val=""/>
      <w:lvlJc w:val="left"/>
      <w:pPr>
        <w:ind w:left="851" w:firstLine="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31844E8"/>
    <w:multiLevelType w:val="multilevel"/>
    <w:tmpl w:val="C6369AE2"/>
    <w:lvl w:ilvl="0">
      <w:start w:val="1"/>
      <w:numFmt w:val="none"/>
      <w:lvlText w:val=""/>
      <w:lvlJc w:val="left"/>
      <w:pPr>
        <w:tabs>
          <w:tab w:val="num" w:pos="0"/>
        </w:tabs>
        <w:ind w:left="-283" w:firstLine="283"/>
      </w:pPr>
      <w:rPr>
        <w:rFonts w:hint="default"/>
      </w:rPr>
    </w:lvl>
    <w:lvl w:ilvl="1">
      <w:start w:val="1"/>
      <w:numFmt w:val="decimal"/>
      <w:pStyle w:val="ListNumber"/>
      <w:lvlText w:val="%2"/>
      <w:lvlJc w:val="left"/>
      <w:pPr>
        <w:tabs>
          <w:tab w:val="num" w:pos="283"/>
        </w:tabs>
        <w:ind w:left="283" w:hanging="283"/>
      </w:pPr>
      <w:rPr>
        <w:rFonts w:hint="default"/>
        <w:b/>
      </w:rPr>
    </w:lvl>
    <w:lvl w:ilvl="2">
      <w:start w:val="1"/>
      <w:numFmt w:val="lowerLetter"/>
      <w:lvlText w:val="%3"/>
      <w:lvlJc w:val="left"/>
      <w:pPr>
        <w:tabs>
          <w:tab w:val="num" w:pos="567"/>
        </w:tabs>
        <w:ind w:left="567" w:hanging="284"/>
      </w:pPr>
      <w:rPr>
        <w:rFonts w:hint="default"/>
        <w:b/>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nsid w:val="43E900E6"/>
    <w:multiLevelType w:val="hybridMultilevel"/>
    <w:tmpl w:val="3198F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4CD3286"/>
    <w:multiLevelType w:val="multilevel"/>
    <w:tmpl w:val="68A84EAA"/>
    <w:lvl w:ilvl="0">
      <w:start w:val="1"/>
      <w:numFmt w:val="none"/>
      <w:pStyle w:val="ListStartNumberedheadings"/>
      <w:suff w:val="nothing"/>
      <w:lvlText w:val=""/>
      <w:lvlJc w:val="left"/>
      <w:pPr>
        <w:ind w:left="0" w:firstLine="0"/>
      </w:pPr>
      <w:rPr>
        <w:rFonts w:hint="default"/>
      </w:rPr>
    </w:lvl>
    <w:lvl w:ilvl="1">
      <w:start w:val="1"/>
      <w:numFmt w:val="decimal"/>
      <w:pStyle w:val="Heading1"/>
      <w:lvlText w:val="%2."/>
      <w:lvlJc w:val="left"/>
      <w:pPr>
        <w:tabs>
          <w:tab w:val="num" w:pos="851"/>
        </w:tabs>
        <w:ind w:left="851" w:hanging="851"/>
      </w:pPr>
      <w:rPr>
        <w:rFonts w:hint="default"/>
      </w:rPr>
    </w:lvl>
    <w:lvl w:ilvl="2">
      <w:start w:val="1"/>
      <w:numFmt w:val="decimal"/>
      <w:pStyle w:val="Heading2"/>
      <w:lvlText w:val="%2.%3"/>
      <w:lvlJc w:val="left"/>
      <w:pPr>
        <w:tabs>
          <w:tab w:val="num" w:pos="851"/>
        </w:tabs>
        <w:ind w:left="851" w:hanging="851"/>
      </w:pPr>
      <w:rPr>
        <w:rFonts w:hint="default"/>
      </w:rPr>
    </w:lvl>
    <w:lvl w:ilvl="3">
      <w:start w:val="1"/>
      <w:numFmt w:val="decimal"/>
      <w:pStyle w:val="Heading3"/>
      <w:lvlText w:val="%2.%3.%4"/>
      <w:lvlJc w:val="left"/>
      <w:pPr>
        <w:tabs>
          <w:tab w:val="num" w:pos="851"/>
        </w:tabs>
        <w:ind w:left="851" w:hanging="851"/>
      </w:pPr>
      <w:rPr>
        <w:rFonts w:hint="default"/>
      </w:rPr>
    </w:lvl>
    <w:lvl w:ilvl="4">
      <w:start w:val="1"/>
      <w:numFmt w:val="none"/>
      <w:lvlRestart w:val="0"/>
      <w:pStyle w:val="Heading4"/>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tabs>
          <w:tab w:val="num" w:pos="360"/>
        </w:tabs>
        <w:ind w:left="851" w:hanging="851"/>
      </w:pPr>
      <w:rPr>
        <w:rFonts w:hint="default"/>
      </w:rPr>
    </w:lvl>
    <w:lvl w:ilvl="7">
      <w:start w:val="1"/>
      <w:numFmt w:val="lowerLetter"/>
      <w:lvlText w:val="%8."/>
      <w:lvlJc w:val="left"/>
      <w:pPr>
        <w:tabs>
          <w:tab w:val="num" w:pos="360"/>
        </w:tabs>
        <w:ind w:left="851" w:hanging="851"/>
      </w:pPr>
      <w:rPr>
        <w:rFonts w:hint="default"/>
      </w:rPr>
    </w:lvl>
    <w:lvl w:ilvl="8">
      <w:start w:val="1"/>
      <w:numFmt w:val="lowerRoman"/>
      <w:lvlText w:val="%9."/>
      <w:lvlJc w:val="left"/>
      <w:pPr>
        <w:tabs>
          <w:tab w:val="num" w:pos="360"/>
        </w:tabs>
        <w:ind w:left="851" w:hanging="851"/>
      </w:pPr>
      <w:rPr>
        <w:rFonts w:hint="default"/>
      </w:rPr>
    </w:lvl>
  </w:abstractNum>
  <w:abstractNum w:abstractNumId="24">
    <w:nsid w:val="46EE52DA"/>
    <w:multiLevelType w:val="hybridMultilevel"/>
    <w:tmpl w:val="9B0240C8"/>
    <w:lvl w:ilvl="0" w:tplc="172067A2">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755" w:hanging="360"/>
      </w:pPr>
      <w:rPr>
        <w:rFonts w:ascii="Courier New" w:hAnsi="Courier New" w:cs="Courier New" w:hint="default"/>
      </w:rPr>
    </w:lvl>
    <w:lvl w:ilvl="2" w:tplc="14090005">
      <w:start w:val="1"/>
      <w:numFmt w:val="bullet"/>
      <w:lvlText w:val=""/>
      <w:lvlJc w:val="left"/>
      <w:pPr>
        <w:ind w:left="2475" w:hanging="360"/>
      </w:pPr>
      <w:rPr>
        <w:rFonts w:ascii="Wingdings" w:hAnsi="Wingdings" w:hint="default"/>
      </w:rPr>
    </w:lvl>
    <w:lvl w:ilvl="3" w:tplc="14090001">
      <w:start w:val="1"/>
      <w:numFmt w:val="bullet"/>
      <w:lvlText w:val=""/>
      <w:lvlJc w:val="left"/>
      <w:pPr>
        <w:ind w:left="3195" w:hanging="360"/>
      </w:pPr>
      <w:rPr>
        <w:rFonts w:ascii="Symbol" w:hAnsi="Symbol" w:hint="default"/>
      </w:rPr>
    </w:lvl>
    <w:lvl w:ilvl="4" w:tplc="14090003">
      <w:start w:val="1"/>
      <w:numFmt w:val="bullet"/>
      <w:lvlText w:val="o"/>
      <w:lvlJc w:val="left"/>
      <w:pPr>
        <w:ind w:left="3915" w:hanging="360"/>
      </w:pPr>
      <w:rPr>
        <w:rFonts w:ascii="Courier New" w:hAnsi="Courier New" w:cs="Courier New" w:hint="default"/>
      </w:rPr>
    </w:lvl>
    <w:lvl w:ilvl="5" w:tplc="14090005">
      <w:start w:val="1"/>
      <w:numFmt w:val="bullet"/>
      <w:lvlText w:val=""/>
      <w:lvlJc w:val="left"/>
      <w:pPr>
        <w:ind w:left="4635" w:hanging="360"/>
      </w:pPr>
      <w:rPr>
        <w:rFonts w:ascii="Wingdings" w:hAnsi="Wingdings" w:hint="default"/>
      </w:rPr>
    </w:lvl>
    <w:lvl w:ilvl="6" w:tplc="14090001">
      <w:start w:val="1"/>
      <w:numFmt w:val="bullet"/>
      <w:lvlText w:val=""/>
      <w:lvlJc w:val="left"/>
      <w:pPr>
        <w:ind w:left="5355" w:hanging="360"/>
      </w:pPr>
      <w:rPr>
        <w:rFonts w:ascii="Symbol" w:hAnsi="Symbol" w:hint="default"/>
      </w:rPr>
    </w:lvl>
    <w:lvl w:ilvl="7" w:tplc="14090003">
      <w:start w:val="1"/>
      <w:numFmt w:val="bullet"/>
      <w:lvlText w:val="o"/>
      <w:lvlJc w:val="left"/>
      <w:pPr>
        <w:ind w:left="6075" w:hanging="360"/>
      </w:pPr>
      <w:rPr>
        <w:rFonts w:ascii="Courier New" w:hAnsi="Courier New" w:cs="Courier New" w:hint="default"/>
      </w:rPr>
    </w:lvl>
    <w:lvl w:ilvl="8" w:tplc="14090005">
      <w:start w:val="1"/>
      <w:numFmt w:val="bullet"/>
      <w:lvlText w:val=""/>
      <w:lvlJc w:val="left"/>
      <w:pPr>
        <w:ind w:left="6795" w:hanging="360"/>
      </w:pPr>
      <w:rPr>
        <w:rFonts w:ascii="Wingdings" w:hAnsi="Wingdings" w:hint="default"/>
      </w:rPr>
    </w:lvl>
  </w:abstractNum>
  <w:abstractNum w:abstractNumId="25">
    <w:nsid w:val="4D0A2B3C"/>
    <w:multiLevelType w:val="hybridMultilevel"/>
    <w:tmpl w:val="A06CD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E1B162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F7034D9"/>
    <w:multiLevelType w:val="hybridMultilevel"/>
    <w:tmpl w:val="90D02834"/>
    <w:lvl w:ilvl="0" w:tplc="9C96C566">
      <w:start w:val="1"/>
      <w:numFmt w:val="decimal"/>
      <w:lvlText w:val="%1."/>
      <w:lvlJc w:val="left"/>
      <w:pPr>
        <w:ind w:left="360" w:hanging="360"/>
      </w:pPr>
      <w:rPr>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507135D4"/>
    <w:multiLevelType w:val="multilevel"/>
    <w:tmpl w:val="07C0A988"/>
    <w:lvl w:ilvl="0">
      <w:start w:val="1"/>
      <w:numFmt w:val="decimal"/>
      <w:pStyle w:val="ApxHeading1"/>
      <w:suff w:val="nothing"/>
      <w:lvlText w:val="Appendix %1"/>
      <w:lvlJc w:val="left"/>
      <w:pPr>
        <w:ind w:left="993" w:firstLine="0"/>
      </w:pPr>
      <w:rPr>
        <w:rFonts w:hint="default"/>
      </w:rPr>
    </w:lvl>
    <w:lvl w:ilvl="1">
      <w:start w:val="1"/>
      <w:numFmt w:val="decimalZero"/>
      <w:isLgl/>
      <w:lvlText w:val="Section %1.%2"/>
      <w:lvlJc w:val="left"/>
      <w:pPr>
        <w:tabs>
          <w:tab w:val="num" w:pos="2073"/>
        </w:tabs>
        <w:ind w:left="993" w:firstLine="0"/>
      </w:pPr>
      <w:rPr>
        <w:rFonts w:hint="default"/>
      </w:rPr>
    </w:lvl>
    <w:lvl w:ilvl="2">
      <w:start w:val="1"/>
      <w:numFmt w:val="lowerLetter"/>
      <w:lvlText w:val="(%3)"/>
      <w:lvlJc w:val="left"/>
      <w:pPr>
        <w:tabs>
          <w:tab w:val="num" w:pos="1713"/>
        </w:tabs>
        <w:ind w:left="1713" w:hanging="432"/>
      </w:pPr>
      <w:rPr>
        <w:rFonts w:hint="default"/>
      </w:rPr>
    </w:lvl>
    <w:lvl w:ilvl="3">
      <w:start w:val="1"/>
      <w:numFmt w:val="lowerRoman"/>
      <w:lvlText w:val="(%4)"/>
      <w:lvlJc w:val="right"/>
      <w:pPr>
        <w:tabs>
          <w:tab w:val="num" w:pos="1857"/>
        </w:tabs>
        <w:ind w:left="1857" w:hanging="144"/>
      </w:pPr>
      <w:rPr>
        <w:rFonts w:hint="default"/>
      </w:rPr>
    </w:lvl>
    <w:lvl w:ilvl="4">
      <w:start w:val="1"/>
      <w:numFmt w:val="decimal"/>
      <w:lvlText w:val="%5)"/>
      <w:lvlJc w:val="left"/>
      <w:pPr>
        <w:tabs>
          <w:tab w:val="num" w:pos="2001"/>
        </w:tabs>
        <w:ind w:left="2001" w:hanging="432"/>
      </w:pPr>
      <w:rPr>
        <w:rFonts w:hint="default"/>
      </w:rPr>
    </w:lvl>
    <w:lvl w:ilvl="5">
      <w:start w:val="1"/>
      <w:numFmt w:val="lowerLetter"/>
      <w:lvlText w:val="%6)"/>
      <w:lvlJc w:val="left"/>
      <w:pPr>
        <w:tabs>
          <w:tab w:val="num" w:pos="2145"/>
        </w:tabs>
        <w:ind w:left="2145" w:hanging="432"/>
      </w:pPr>
      <w:rPr>
        <w:rFonts w:hint="default"/>
      </w:rPr>
    </w:lvl>
    <w:lvl w:ilvl="6">
      <w:start w:val="1"/>
      <w:numFmt w:val="lowerRoman"/>
      <w:lvlText w:val="%7)"/>
      <w:lvlJc w:val="right"/>
      <w:pPr>
        <w:tabs>
          <w:tab w:val="num" w:pos="2289"/>
        </w:tabs>
        <w:ind w:left="2289" w:hanging="288"/>
      </w:pPr>
      <w:rPr>
        <w:rFonts w:hint="default"/>
      </w:rPr>
    </w:lvl>
    <w:lvl w:ilvl="7">
      <w:start w:val="1"/>
      <w:numFmt w:val="lowerLetter"/>
      <w:lvlText w:val="%8."/>
      <w:lvlJc w:val="left"/>
      <w:pPr>
        <w:tabs>
          <w:tab w:val="num" w:pos="2433"/>
        </w:tabs>
        <w:ind w:left="2433" w:hanging="432"/>
      </w:pPr>
      <w:rPr>
        <w:rFonts w:hint="default"/>
      </w:rPr>
    </w:lvl>
    <w:lvl w:ilvl="8">
      <w:start w:val="1"/>
      <w:numFmt w:val="lowerRoman"/>
      <w:lvlText w:val="%9."/>
      <w:lvlJc w:val="right"/>
      <w:pPr>
        <w:tabs>
          <w:tab w:val="num" w:pos="2577"/>
        </w:tabs>
        <w:ind w:left="2577" w:hanging="144"/>
      </w:pPr>
      <w:rPr>
        <w:rFonts w:hint="default"/>
      </w:rPr>
    </w:lvl>
  </w:abstractNum>
  <w:abstractNum w:abstractNumId="29">
    <w:nsid w:val="51DB1489"/>
    <w:multiLevelType w:val="multilevel"/>
    <w:tmpl w:val="BBA2E8B4"/>
    <w:name w:val="Liststartnumtextbodytext"/>
    <w:lvl w:ilvl="0">
      <w:start w:val="1"/>
      <w:numFmt w:val="none"/>
      <w:suff w:val="nothing"/>
      <w:lvlText w:val=""/>
      <w:lvlJc w:val="left"/>
      <w:pPr>
        <w:ind w:left="-284" w:firstLine="284"/>
      </w:pPr>
      <w:rPr>
        <w:rFonts w:hint="default"/>
      </w:rPr>
    </w:lvl>
    <w:lvl w:ilvl="1">
      <w:start w:val="1"/>
      <w:numFmt w:val="decimal"/>
      <w:lvlText w:val="%2"/>
      <w:lvlJc w:val="left"/>
      <w:pPr>
        <w:tabs>
          <w:tab w:val="num" w:pos="992"/>
        </w:tabs>
        <w:ind w:left="992" w:hanging="992"/>
      </w:pPr>
      <w:rPr>
        <w:rFonts w:hint="default"/>
      </w:rPr>
    </w:lvl>
    <w:lvl w:ilvl="2">
      <w:start w:val="1"/>
      <w:numFmt w:val="decimal"/>
      <w:lvlText w:val="%2.%3"/>
      <w:lvlJc w:val="left"/>
      <w:pPr>
        <w:tabs>
          <w:tab w:val="num" w:pos="992"/>
        </w:tabs>
        <w:ind w:left="992" w:hanging="992"/>
      </w:pPr>
      <w:rPr>
        <w:rFonts w:hint="default"/>
      </w:rPr>
    </w:lvl>
    <w:lvl w:ilvl="3">
      <w:start w:val="1"/>
      <w:numFmt w:val="decimal"/>
      <w:lvlText w:val="%2.%3.%4"/>
      <w:lvlJc w:val="left"/>
      <w:pPr>
        <w:tabs>
          <w:tab w:val="num" w:pos="992"/>
        </w:tabs>
        <w:ind w:left="992" w:hanging="992"/>
      </w:pPr>
      <w:rPr>
        <w:rFonts w:hint="default"/>
      </w:rPr>
    </w:lvl>
    <w:lvl w:ilvl="4">
      <w:start w:val="1"/>
      <w:numFmt w:val="lowerLetter"/>
      <w:lvlText w:val="%5)"/>
      <w:lvlJc w:val="left"/>
      <w:pPr>
        <w:tabs>
          <w:tab w:val="num" w:pos="1418"/>
        </w:tabs>
        <w:ind w:left="1418" w:hanging="426"/>
      </w:pPr>
      <w:rPr>
        <w:rFonts w:hint="default"/>
      </w:rPr>
    </w:lvl>
    <w:lvl w:ilvl="5">
      <w:start w:val="1"/>
      <w:numFmt w:val="lowerRoman"/>
      <w:lvlText w:val="%6)"/>
      <w:lvlJc w:val="left"/>
      <w:pPr>
        <w:tabs>
          <w:tab w:val="num" w:pos="1843"/>
        </w:tabs>
        <w:ind w:left="1843" w:hanging="425"/>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30">
    <w:nsid w:val="564B4E8E"/>
    <w:multiLevelType w:val="multilevel"/>
    <w:tmpl w:val="D0DE62F0"/>
    <w:lvl w:ilvl="0">
      <w:start w:val="1"/>
      <w:numFmt w:val="bullet"/>
      <w:pStyle w:val="NumtextBullet1"/>
      <w:lvlText w:val="•"/>
      <w:lvlJc w:val="left"/>
      <w:pPr>
        <w:tabs>
          <w:tab w:val="num" w:pos="1134"/>
        </w:tabs>
        <w:ind w:left="1134" w:hanging="454"/>
      </w:pPr>
      <w:rPr>
        <w:rFonts w:ascii="Garamond" w:hAnsi="Garamond" w:hint="default"/>
        <w:color w:val="7B5E05"/>
      </w:rPr>
    </w:lvl>
    <w:lvl w:ilvl="1">
      <w:start w:val="1"/>
      <w:numFmt w:val="bullet"/>
      <w:pStyle w:val="NumtextBullet2"/>
      <w:lvlText w:val=""/>
      <w:lvlJc w:val="left"/>
      <w:pPr>
        <w:tabs>
          <w:tab w:val="num" w:pos="1588"/>
        </w:tabs>
        <w:ind w:left="1588" w:hanging="454"/>
      </w:pPr>
      <w:rPr>
        <w:rFonts w:ascii="Symbol" w:hAnsi="Symbol" w:hint="default"/>
      </w:rPr>
    </w:lvl>
    <w:lvl w:ilvl="2">
      <w:start w:val="1"/>
      <w:numFmt w:val="none"/>
      <w:pStyle w:val="NumtextBullet3"/>
      <w:suff w:val="nothing"/>
      <w:lvlText w:val=""/>
      <w:lvlJc w:val="left"/>
      <w:pPr>
        <w:ind w:left="1588" w:firstLine="0"/>
      </w:pPr>
      <w:rPr>
        <w:rFonts w:hint="default"/>
      </w:rPr>
    </w:lvl>
    <w:lvl w:ilvl="3">
      <w:start w:val="1"/>
      <w:numFmt w:val="none"/>
      <w:lvlText w:val="%4"/>
      <w:lvlJc w:val="left"/>
      <w:pPr>
        <w:tabs>
          <w:tab w:val="num" w:pos="3119"/>
        </w:tabs>
        <w:ind w:left="3119" w:hanging="567"/>
      </w:pPr>
      <w:rPr>
        <w:rFonts w:hint="default"/>
      </w:rPr>
    </w:lvl>
    <w:lvl w:ilvl="4">
      <w:start w:val="1"/>
      <w:numFmt w:val="none"/>
      <w:lvlText w:val="%5"/>
      <w:lvlJc w:val="left"/>
      <w:pPr>
        <w:tabs>
          <w:tab w:val="num" w:pos="3544"/>
        </w:tabs>
        <w:ind w:left="3544" w:hanging="567"/>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31">
    <w:nsid w:val="57285BD8"/>
    <w:multiLevelType w:val="multilevel"/>
    <w:tmpl w:val="55145A5C"/>
    <w:lvl w:ilvl="0">
      <w:start w:val="1"/>
      <w:numFmt w:val="decimal"/>
      <w:pStyle w:val="UnnumtextTablecaption"/>
      <w:suff w:val="nothing"/>
      <w:lvlText w:val="Table %1  "/>
      <w:lvlJc w:val="left"/>
      <w:pPr>
        <w:ind w:left="0" w:firstLine="0"/>
      </w:pPr>
      <w:rPr>
        <w:rFonts w:hint="default"/>
        <w:b/>
        <w:i w:val="0"/>
      </w:rPr>
    </w:lvl>
    <w:lvl w:ilvl="1">
      <w:start w:val="1"/>
      <w:numFmt w:val="bullet"/>
      <w:lvlText w:val=""/>
      <w:lvlJc w:val="left"/>
      <w:pPr>
        <w:tabs>
          <w:tab w:val="num" w:pos="1276"/>
        </w:tabs>
        <w:ind w:left="1276" w:hanging="426"/>
      </w:pPr>
      <w:rPr>
        <w:rFonts w:ascii="Symbol" w:hAnsi="Symbol"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32">
    <w:nsid w:val="57E1183A"/>
    <w:multiLevelType w:val="multilevel"/>
    <w:tmpl w:val="144C26CC"/>
    <w:lvl w:ilvl="0">
      <w:start w:val="1"/>
      <w:numFmt w:val="none"/>
      <w:pStyle w:val="ListStartNumberedparagraphs"/>
      <w:suff w:val="nothing"/>
      <w:lvlText w:val="%1"/>
      <w:lvlJc w:val="left"/>
      <w:pPr>
        <w:ind w:left="-284" w:firstLine="284"/>
      </w:pPr>
      <w:rPr>
        <w:rFonts w:hint="default"/>
      </w:rPr>
    </w:lvl>
    <w:lvl w:ilvl="1">
      <w:start w:val="1"/>
      <w:numFmt w:val="decimal"/>
      <w:pStyle w:val="Numberedparagraphs-1"/>
      <w:lvlText w:val="%2."/>
      <w:lvlJc w:val="left"/>
      <w:pPr>
        <w:tabs>
          <w:tab w:val="num" w:pos="425"/>
        </w:tabs>
        <w:ind w:left="425" w:hanging="425"/>
      </w:pPr>
      <w:rPr>
        <w:rFonts w:hint="default"/>
      </w:rPr>
    </w:lvl>
    <w:lvl w:ilvl="2">
      <w:start w:val="1"/>
      <w:numFmt w:val="lowerLetter"/>
      <w:pStyle w:val="Numberedparagraphs-a"/>
      <w:lvlText w:val="(%3)"/>
      <w:lvlJc w:val="left"/>
      <w:pPr>
        <w:tabs>
          <w:tab w:val="num" w:pos="851"/>
        </w:tabs>
        <w:ind w:left="851" w:hanging="426"/>
      </w:pPr>
      <w:rPr>
        <w:rFonts w:hint="default"/>
      </w:rPr>
    </w:lvl>
    <w:lvl w:ilvl="3">
      <w:start w:val="1"/>
      <w:numFmt w:val="lowerRoman"/>
      <w:pStyle w:val="Numberedparagraphs-i"/>
      <w:lvlText w:val="(%4)"/>
      <w:lvlJc w:val="left"/>
      <w:pPr>
        <w:tabs>
          <w:tab w:val="num" w:pos="1276"/>
        </w:tabs>
        <w:ind w:left="1276" w:hanging="425"/>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33">
    <w:nsid w:val="613E53B2"/>
    <w:multiLevelType w:val="multilevel"/>
    <w:tmpl w:val="5C58F86E"/>
    <w:lvl w:ilvl="0">
      <w:start w:val="1"/>
      <w:numFmt w:val="decimal"/>
      <w:pStyle w:val="NumtextTablecaption"/>
      <w:suff w:val="nothing"/>
      <w:lvlText w:val="Table %1  "/>
      <w:lvlJc w:val="left"/>
      <w:pPr>
        <w:ind w:left="425" w:firstLine="0"/>
      </w:pPr>
      <w:rPr>
        <w:rFonts w:hint="default"/>
        <w:b/>
        <w:i w:val="0"/>
      </w:rPr>
    </w:lvl>
    <w:lvl w:ilvl="1">
      <w:start w:val="1"/>
      <w:numFmt w:val="bullet"/>
      <w:lvlText w:val=""/>
      <w:lvlJc w:val="left"/>
      <w:pPr>
        <w:tabs>
          <w:tab w:val="num" w:pos="1276"/>
        </w:tabs>
        <w:ind w:left="1276" w:hanging="426"/>
      </w:pPr>
      <w:rPr>
        <w:rFonts w:ascii="Symbol" w:hAnsi="Symbol"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34">
    <w:nsid w:val="63C137F7"/>
    <w:multiLevelType w:val="multilevel"/>
    <w:tmpl w:val="10DACB8E"/>
    <w:name w:val="ListNumberedParas"/>
    <w:lvl w:ilvl="0">
      <w:start w:val="1"/>
      <w:numFmt w:val="none"/>
      <w:lvlText w:val="%1"/>
      <w:lvlJc w:val="left"/>
      <w:pPr>
        <w:tabs>
          <w:tab w:val="num" w:pos="0"/>
        </w:tabs>
        <w:ind w:left="-284" w:firstLine="284"/>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0"/>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35">
    <w:nsid w:val="6465464A"/>
    <w:multiLevelType w:val="multilevel"/>
    <w:tmpl w:val="6F8249EC"/>
    <w:lvl w:ilvl="0">
      <w:start w:val="1"/>
      <w:numFmt w:val="bullet"/>
      <w:pStyle w:val="Tablebullet1afternumbering"/>
      <w:lvlText w:val="•"/>
      <w:lvlJc w:val="left"/>
      <w:pPr>
        <w:tabs>
          <w:tab w:val="num" w:pos="425"/>
        </w:tabs>
        <w:ind w:left="851" w:hanging="426"/>
      </w:pPr>
      <w:rPr>
        <w:rFonts w:ascii="Garamond" w:hAnsi="Garamond" w:hint="default"/>
        <w:color w:val="7B5E05"/>
      </w:rPr>
    </w:lvl>
    <w:lvl w:ilvl="1">
      <w:start w:val="1"/>
      <w:numFmt w:val="bullet"/>
      <w:pStyle w:val="Tablebullet2afternumbering"/>
      <w:lvlText w:val=""/>
      <w:lvlJc w:val="left"/>
      <w:pPr>
        <w:tabs>
          <w:tab w:val="num" w:pos="851"/>
        </w:tabs>
        <w:ind w:left="1276" w:hanging="425"/>
      </w:pPr>
      <w:rPr>
        <w:rFonts w:ascii="Symbol" w:hAnsi="Symbol" w:hint="default"/>
      </w:rPr>
    </w:lvl>
    <w:lvl w:ilvl="2">
      <w:start w:val="1"/>
      <w:numFmt w:val="none"/>
      <w:suff w:val="nothing"/>
      <w:lvlText w:val=""/>
      <w:lvlJc w:val="left"/>
      <w:pPr>
        <w:ind w:left="1276" w:firstLine="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8072419"/>
    <w:multiLevelType w:val="multilevel"/>
    <w:tmpl w:val="BA12C4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71022EFA"/>
    <w:multiLevelType w:val="hybridMultilevel"/>
    <w:tmpl w:val="B040328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8">
    <w:nsid w:val="71DB219F"/>
    <w:multiLevelType w:val="hybridMultilevel"/>
    <w:tmpl w:val="16AAD9F6"/>
    <w:lvl w:ilvl="0" w:tplc="1409000F">
      <w:start w:val="1"/>
      <w:numFmt w:val="decimal"/>
      <w:lvlText w:val="%1."/>
      <w:lvlJc w:val="left"/>
      <w:pPr>
        <w:ind w:left="1491" w:hanging="360"/>
      </w:pPr>
    </w:lvl>
    <w:lvl w:ilvl="1" w:tplc="14090019" w:tentative="1">
      <w:start w:val="1"/>
      <w:numFmt w:val="lowerLetter"/>
      <w:lvlText w:val="%2."/>
      <w:lvlJc w:val="left"/>
      <w:pPr>
        <w:ind w:left="2211" w:hanging="360"/>
      </w:pPr>
    </w:lvl>
    <w:lvl w:ilvl="2" w:tplc="1409001B" w:tentative="1">
      <w:start w:val="1"/>
      <w:numFmt w:val="lowerRoman"/>
      <w:lvlText w:val="%3."/>
      <w:lvlJc w:val="right"/>
      <w:pPr>
        <w:ind w:left="2931" w:hanging="180"/>
      </w:pPr>
    </w:lvl>
    <w:lvl w:ilvl="3" w:tplc="1409000F" w:tentative="1">
      <w:start w:val="1"/>
      <w:numFmt w:val="decimal"/>
      <w:lvlText w:val="%4."/>
      <w:lvlJc w:val="left"/>
      <w:pPr>
        <w:ind w:left="3651" w:hanging="360"/>
      </w:pPr>
    </w:lvl>
    <w:lvl w:ilvl="4" w:tplc="14090019" w:tentative="1">
      <w:start w:val="1"/>
      <w:numFmt w:val="lowerLetter"/>
      <w:lvlText w:val="%5."/>
      <w:lvlJc w:val="left"/>
      <w:pPr>
        <w:ind w:left="4371" w:hanging="360"/>
      </w:pPr>
    </w:lvl>
    <w:lvl w:ilvl="5" w:tplc="1409001B" w:tentative="1">
      <w:start w:val="1"/>
      <w:numFmt w:val="lowerRoman"/>
      <w:lvlText w:val="%6."/>
      <w:lvlJc w:val="right"/>
      <w:pPr>
        <w:ind w:left="5091" w:hanging="180"/>
      </w:pPr>
    </w:lvl>
    <w:lvl w:ilvl="6" w:tplc="1409000F" w:tentative="1">
      <w:start w:val="1"/>
      <w:numFmt w:val="decimal"/>
      <w:lvlText w:val="%7."/>
      <w:lvlJc w:val="left"/>
      <w:pPr>
        <w:ind w:left="5811" w:hanging="360"/>
      </w:pPr>
    </w:lvl>
    <w:lvl w:ilvl="7" w:tplc="14090019" w:tentative="1">
      <w:start w:val="1"/>
      <w:numFmt w:val="lowerLetter"/>
      <w:lvlText w:val="%8."/>
      <w:lvlJc w:val="left"/>
      <w:pPr>
        <w:ind w:left="6531" w:hanging="360"/>
      </w:pPr>
    </w:lvl>
    <w:lvl w:ilvl="8" w:tplc="1409001B" w:tentative="1">
      <w:start w:val="1"/>
      <w:numFmt w:val="lowerRoman"/>
      <w:lvlText w:val="%9."/>
      <w:lvlJc w:val="right"/>
      <w:pPr>
        <w:ind w:left="7251" w:hanging="180"/>
      </w:pPr>
    </w:lvl>
  </w:abstractNum>
  <w:abstractNum w:abstractNumId="39">
    <w:nsid w:val="72BD7E5C"/>
    <w:multiLevelType w:val="multilevel"/>
    <w:tmpl w:val="54584F52"/>
    <w:name w:val="NumTextList"/>
    <w:lvl w:ilvl="0">
      <w:start w:val="1"/>
      <w:numFmt w:val="none"/>
      <w:suff w:val="nothing"/>
      <w:lvlText w:val=""/>
      <w:lvlJc w:val="left"/>
      <w:pPr>
        <w:ind w:left="-284" w:firstLine="284"/>
      </w:pPr>
      <w:rPr>
        <w:rFonts w:hint="default"/>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134"/>
        </w:tabs>
        <w:ind w:left="1134" w:hanging="454"/>
      </w:pPr>
      <w:rPr>
        <w:rFonts w:hint="default"/>
      </w:rPr>
    </w:lvl>
    <w:lvl w:ilvl="3">
      <w:start w:val="1"/>
      <w:numFmt w:val="lowerRoman"/>
      <w:lvlText w:val="(%4)"/>
      <w:lvlJc w:val="left"/>
      <w:pPr>
        <w:tabs>
          <w:tab w:val="num" w:pos="1588"/>
        </w:tabs>
        <w:ind w:left="1588" w:hanging="454"/>
      </w:pPr>
      <w:rPr>
        <w:rFonts w:hint="default"/>
      </w:rPr>
    </w:lvl>
    <w:lvl w:ilvl="4">
      <w:start w:val="1"/>
      <w:numFmt w:val="none"/>
      <w:suff w:val="nothing"/>
      <w:lvlText w:val=""/>
      <w:lvlJc w:val="left"/>
      <w:pPr>
        <w:ind w:left="1588" w:firstLine="0"/>
      </w:pPr>
      <w:rPr>
        <w:rFonts w:hint="default"/>
      </w:rPr>
    </w:lvl>
    <w:lvl w:ilvl="5">
      <w:start w:val="1"/>
      <w:numFmt w:val="none"/>
      <w:suff w:val="nothing"/>
      <w:lvlText w:val="%6"/>
      <w:lvlJc w:val="left"/>
      <w:pPr>
        <w:ind w:left="-32766" w:hanging="31182"/>
      </w:pPr>
      <w:rPr>
        <w:rFonts w:hint="default"/>
      </w:rPr>
    </w:lvl>
    <w:lvl w:ilvl="6">
      <w:start w:val="1"/>
      <w:numFmt w:val="none"/>
      <w:suff w:val="nothing"/>
      <w:lvlText w:val=""/>
      <w:lvlJc w:val="left"/>
      <w:pPr>
        <w:ind w:left="184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40">
    <w:nsid w:val="759F2F29"/>
    <w:multiLevelType w:val="multilevel"/>
    <w:tmpl w:val="8D28CE5A"/>
    <w:lvl w:ilvl="0">
      <w:start w:val="1"/>
      <w:numFmt w:val="bullet"/>
      <w:pStyle w:val="UnnumtextBullet1"/>
      <w:lvlText w:val="•"/>
      <w:lvlJc w:val="left"/>
      <w:pPr>
        <w:tabs>
          <w:tab w:val="num" w:pos="425"/>
        </w:tabs>
        <w:ind w:left="425" w:hanging="425"/>
      </w:pPr>
      <w:rPr>
        <w:rFonts w:ascii="Garamond" w:hAnsi="Garamond" w:hint="default"/>
        <w:color w:val="7B5E05"/>
      </w:rPr>
    </w:lvl>
    <w:lvl w:ilvl="1">
      <w:start w:val="1"/>
      <w:numFmt w:val="bullet"/>
      <w:pStyle w:val="UnnumtextBullet2"/>
      <w:lvlText w:val=""/>
      <w:lvlJc w:val="left"/>
      <w:pPr>
        <w:tabs>
          <w:tab w:val="num" w:pos="851"/>
        </w:tabs>
        <w:ind w:left="851" w:hanging="426"/>
      </w:pPr>
      <w:rPr>
        <w:rFonts w:ascii="Symbol" w:hAnsi="Symbol" w:hint="default"/>
      </w:rPr>
    </w:lvl>
    <w:lvl w:ilvl="2">
      <w:start w:val="1"/>
      <w:numFmt w:val="none"/>
      <w:pStyle w:val="UnnumtextBullet3"/>
      <w:suff w:val="nothing"/>
      <w:lvlText w:val=""/>
      <w:lvlJc w:val="left"/>
      <w:pPr>
        <w:ind w:left="851"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7C215C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B1E72A1"/>
    <w:multiLevelType w:val="multilevel"/>
    <w:tmpl w:val="5D04F5B8"/>
    <w:lvl w:ilvl="0">
      <w:start w:val="1"/>
      <w:numFmt w:val="decimal"/>
      <w:pStyle w:val="NumtextFigurecaption"/>
      <w:suff w:val="nothing"/>
      <w:lvlText w:val="Figure %1  "/>
      <w:lvlJc w:val="left"/>
      <w:pPr>
        <w:ind w:left="425" w:firstLine="0"/>
      </w:pPr>
      <w:rPr>
        <w:rFonts w:hint="default"/>
        <w:b/>
        <w:i w:val="0"/>
      </w:rPr>
    </w:lvl>
    <w:lvl w:ilvl="1">
      <w:start w:val="1"/>
      <w:numFmt w:val="lowerLetter"/>
      <w:lvlText w:val="%2)"/>
      <w:lvlJc w:val="left"/>
      <w:pPr>
        <w:tabs>
          <w:tab w:val="num" w:pos="1145"/>
        </w:tabs>
        <w:ind w:left="1145" w:hanging="360"/>
      </w:pPr>
      <w:rPr>
        <w:rFonts w:hint="default"/>
      </w:rPr>
    </w:lvl>
    <w:lvl w:ilvl="2">
      <w:start w:val="1"/>
      <w:numFmt w:val="lowerRoman"/>
      <w:lvlText w:val="%3)"/>
      <w:lvlJc w:val="left"/>
      <w:pPr>
        <w:tabs>
          <w:tab w:val="num" w:pos="1505"/>
        </w:tabs>
        <w:ind w:left="1505" w:hanging="360"/>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start w:val="1"/>
      <w:numFmt w:val="lowerRoman"/>
      <w:lvlText w:val="(%6)"/>
      <w:lvlJc w:val="left"/>
      <w:pPr>
        <w:tabs>
          <w:tab w:val="num" w:pos="2585"/>
        </w:tabs>
        <w:ind w:left="2585" w:hanging="360"/>
      </w:pPr>
      <w:rPr>
        <w:rFonts w:hint="default"/>
      </w:rPr>
    </w:lvl>
    <w:lvl w:ilvl="6">
      <w:start w:val="1"/>
      <w:numFmt w:val="decimal"/>
      <w:lvlText w:val="%7."/>
      <w:lvlJc w:val="left"/>
      <w:pPr>
        <w:tabs>
          <w:tab w:val="num" w:pos="2945"/>
        </w:tabs>
        <w:ind w:left="2945" w:hanging="360"/>
      </w:pPr>
      <w:rPr>
        <w:rFonts w:hint="default"/>
      </w:rPr>
    </w:lvl>
    <w:lvl w:ilvl="7">
      <w:start w:val="1"/>
      <w:numFmt w:val="lowerLetter"/>
      <w:lvlText w:val="%8."/>
      <w:lvlJc w:val="left"/>
      <w:pPr>
        <w:tabs>
          <w:tab w:val="num" w:pos="3305"/>
        </w:tabs>
        <w:ind w:left="3305" w:hanging="360"/>
      </w:pPr>
      <w:rPr>
        <w:rFonts w:hint="default"/>
      </w:rPr>
    </w:lvl>
    <w:lvl w:ilvl="8">
      <w:start w:val="1"/>
      <w:numFmt w:val="lowerRoman"/>
      <w:lvlText w:val="%9."/>
      <w:lvlJc w:val="left"/>
      <w:pPr>
        <w:tabs>
          <w:tab w:val="num" w:pos="3665"/>
        </w:tabs>
        <w:ind w:left="3665" w:hanging="360"/>
      </w:pPr>
      <w:rPr>
        <w:rFonts w:hint="default"/>
      </w:rPr>
    </w:lvl>
  </w:abstractNum>
  <w:num w:numId="1">
    <w:abstractNumId w:val="14"/>
  </w:num>
  <w:num w:numId="2">
    <w:abstractNumId w:val="41"/>
  </w:num>
  <w:num w:numId="3">
    <w:abstractNumId w:val="26"/>
  </w:num>
  <w:num w:numId="4">
    <w:abstractNumId w:val="5"/>
  </w:num>
  <w:num w:numId="5">
    <w:abstractNumId w:val="15"/>
  </w:num>
  <w:num w:numId="6">
    <w:abstractNumId w:val="1"/>
  </w:num>
  <w:num w:numId="7">
    <w:abstractNumId w:val="21"/>
  </w:num>
  <w:num w:numId="8">
    <w:abstractNumId w:val="10"/>
  </w:num>
  <w:num w:numId="9">
    <w:abstractNumId w:val="30"/>
  </w:num>
  <w:num w:numId="10">
    <w:abstractNumId w:val="42"/>
  </w:num>
  <w:num w:numId="11">
    <w:abstractNumId w:val="12"/>
  </w:num>
  <w:num w:numId="12">
    <w:abstractNumId w:val="33"/>
  </w:num>
  <w:num w:numId="13">
    <w:abstractNumId w:val="40"/>
  </w:num>
  <w:num w:numId="14">
    <w:abstractNumId w:val="8"/>
  </w:num>
  <w:num w:numId="15">
    <w:abstractNumId w:val="31"/>
  </w:num>
  <w:num w:numId="16">
    <w:abstractNumId w:val="11"/>
  </w:num>
  <w:num w:numId="17">
    <w:abstractNumId w:val="17"/>
  </w:num>
  <w:num w:numId="18">
    <w:abstractNumId w:val="32"/>
  </w:num>
  <w:num w:numId="19">
    <w:abstractNumId w:val="23"/>
  </w:num>
  <w:num w:numId="20">
    <w:abstractNumId w:val="35"/>
  </w:num>
  <w:num w:numId="21">
    <w:abstractNumId w:val="20"/>
  </w:num>
  <w:num w:numId="22">
    <w:abstractNumId w:val="28"/>
  </w:num>
  <w:num w:numId="23">
    <w:abstractNumId w:val="0"/>
  </w:num>
  <w:num w:numId="24">
    <w:abstractNumId w:val="27"/>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6"/>
  </w:num>
  <w:num w:numId="29">
    <w:abstractNumId w:val="1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8"/>
  </w:num>
  <w:num w:numId="33">
    <w:abstractNumId w:val="23"/>
  </w:num>
  <w:num w:numId="34">
    <w:abstractNumId w:val="23"/>
  </w:num>
  <w:num w:numId="35">
    <w:abstractNumId w:val="19"/>
  </w:num>
  <w:num w:numId="36">
    <w:abstractNumId w:val="18"/>
  </w:num>
  <w:num w:numId="37">
    <w:abstractNumId w:val="22"/>
  </w:num>
  <w:num w:numId="38">
    <w:abstractNumId w:val="9"/>
  </w:num>
  <w:num w:numId="39">
    <w:abstractNumId w:val="25"/>
  </w:num>
  <w:num w:numId="40">
    <w:abstractNumId w:val="37"/>
  </w:num>
  <w:num w:numId="41">
    <w:abstractNumId w:val="24"/>
  </w:num>
  <w:num w:numId="42">
    <w:abstractNumId w:val="37"/>
  </w:num>
  <w:num w:numId="43">
    <w:abstractNumId w:val="24"/>
  </w:num>
  <w:num w:numId="44">
    <w:abstractNumId w:val="4"/>
  </w:num>
  <w:num w:numId="45">
    <w:abstractNumId w:val="3"/>
  </w:num>
  <w:num w:numId="46">
    <w:abstractNumId w:val="40"/>
  </w:num>
  <w:num w:numId="47">
    <w:abstractNumId w:val="40"/>
  </w:num>
  <w:num w:numId="48">
    <w:abstractNumId w:val="40"/>
  </w:num>
  <w:num w:numId="49">
    <w:abstractNumId w:val="23"/>
  </w:num>
  <w:num w:numId="50">
    <w:abstractNumId w:val="23"/>
  </w:num>
  <w:num w:numId="51">
    <w:abstractNumId w:val="23"/>
  </w:num>
  <w:num w:numId="52">
    <w:abstractNumId w:val="23"/>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en-NZ" w:vendorID="8" w:dllVersion="513" w:checkStyle="1"/>
  <w:activeWritingStyle w:appName="MSWord" w:lang="en-GB"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inkAnnotations="0"/>
  <w:defaultTabStop w:val="425"/>
  <w:evenAndOddHeaders/>
  <w:drawingGridHorizontalSpacing w:val="110"/>
  <w:drawingGridVerticalSpacing w:val="6"/>
  <w:displayHorizontalDrawingGridEvery w:val="0"/>
  <w:displayVerticalDrawingGridEvery w:val="0"/>
  <w:noPunctuationKerning/>
  <w:characterSpacingControl w:val="doNotCompress"/>
  <w:hdrShapeDefaults>
    <o:shapedefaults v:ext="edit" spidmax="52225">
      <o:colormru v:ext="edit" colors="#006270,#7b5e05"/>
    </o:shapedefaults>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DateAndTime" w:val="-1"/>
    <w:docVar w:name="chkPrivileged" w:val="-1"/>
    <w:docVar w:name="chkShowFooterText" w:val="-1"/>
    <w:docVar w:name="chkShowSaveDate" w:val="-1"/>
    <w:docVar w:name="ContentsAppendix" w:val="1"/>
    <w:docVar w:name="ContentsAppendixLevel" w:val="1"/>
    <w:docVar w:name="ContentsCreated" w:val="1"/>
    <w:docVar w:name="ContentsFigure" w:val="1"/>
    <w:docVar w:name="ContentsMain" w:val="1"/>
    <w:docVar w:name="ContentsMainLevel" w:val="3"/>
    <w:docVar w:name="ContentsTable" w:val="1"/>
    <w:docVar w:name="DocumentStatus" w:val="CHANGED"/>
    <w:docVar w:name="ftrFootertext" w:val=" "/>
    <w:docVar w:name="IsfirstTb" w:val="True"/>
    <w:docVar w:name="IsInTable" w:val="False"/>
    <w:docVar w:name="rptAuthors" w:val="Gary Blick, Preston Davies and Jo Esplin"/>
    <w:docVar w:name="rptContact" w:val="Gary Blick"/>
    <w:docVar w:name="rptDate" w:val="14 July 2014"/>
    <w:docVar w:name="rptDateAndTime" w:val="-1"/>
    <w:docVar w:name="rptEmail" w:val="gblick@srgexpert.com"/>
    <w:docVar w:name="rptFootertext" w:val=" "/>
    <w:docVar w:name="rptImage" w:val="None"/>
    <w:docVar w:name="rptMobile" w:val="021 107 1141"/>
    <w:docVar w:name="rptPresentedTo" w:val="Report prepared for the Ministry of Health"/>
    <w:docVar w:name="rptPrivileged" w:val="False"/>
    <w:docVar w:name="rptPrivilegedText" w:val=" "/>
    <w:docVar w:name="rptShowFooterText" w:val="True"/>
    <w:docVar w:name="rptShowSaveDate" w:val="False"/>
    <w:docVar w:name="rptTele" w:val="09 281 2130"/>
    <w:docVar w:name="rptTitle" w:val="Review of Mobile Surgical Services and related services"/>
  </w:docVars>
  <w:rsids>
    <w:rsidRoot w:val="006428C2"/>
    <w:rsid w:val="0000085D"/>
    <w:rsid w:val="00004C61"/>
    <w:rsid w:val="00006285"/>
    <w:rsid w:val="00006333"/>
    <w:rsid w:val="000068D4"/>
    <w:rsid w:val="00006B58"/>
    <w:rsid w:val="00010139"/>
    <w:rsid w:val="000103DE"/>
    <w:rsid w:val="000116E9"/>
    <w:rsid w:val="000121F8"/>
    <w:rsid w:val="00012E58"/>
    <w:rsid w:val="00014A46"/>
    <w:rsid w:val="00014E10"/>
    <w:rsid w:val="000151EE"/>
    <w:rsid w:val="00016B28"/>
    <w:rsid w:val="00021382"/>
    <w:rsid w:val="00021843"/>
    <w:rsid w:val="00021C80"/>
    <w:rsid w:val="00022D26"/>
    <w:rsid w:val="00023D1E"/>
    <w:rsid w:val="000253C5"/>
    <w:rsid w:val="00027700"/>
    <w:rsid w:val="000307A0"/>
    <w:rsid w:val="00031354"/>
    <w:rsid w:val="0003173E"/>
    <w:rsid w:val="0003251F"/>
    <w:rsid w:val="000355DE"/>
    <w:rsid w:val="00036492"/>
    <w:rsid w:val="000368E7"/>
    <w:rsid w:val="00037C32"/>
    <w:rsid w:val="000418E7"/>
    <w:rsid w:val="00041B88"/>
    <w:rsid w:val="00042583"/>
    <w:rsid w:val="000428E7"/>
    <w:rsid w:val="00042D39"/>
    <w:rsid w:val="00042F7F"/>
    <w:rsid w:val="00043D16"/>
    <w:rsid w:val="00045050"/>
    <w:rsid w:val="00045533"/>
    <w:rsid w:val="0004705F"/>
    <w:rsid w:val="00047366"/>
    <w:rsid w:val="00050001"/>
    <w:rsid w:val="0005095A"/>
    <w:rsid w:val="00052527"/>
    <w:rsid w:val="00052652"/>
    <w:rsid w:val="000526F3"/>
    <w:rsid w:val="00054015"/>
    <w:rsid w:val="00054686"/>
    <w:rsid w:val="00054DCA"/>
    <w:rsid w:val="00056BF5"/>
    <w:rsid w:val="00057998"/>
    <w:rsid w:val="00057BD6"/>
    <w:rsid w:val="00060864"/>
    <w:rsid w:val="00061942"/>
    <w:rsid w:val="00062D85"/>
    <w:rsid w:val="0006327B"/>
    <w:rsid w:val="00064030"/>
    <w:rsid w:val="00064AD8"/>
    <w:rsid w:val="00067B27"/>
    <w:rsid w:val="000713FA"/>
    <w:rsid w:val="000724DA"/>
    <w:rsid w:val="00073A19"/>
    <w:rsid w:val="00074C48"/>
    <w:rsid w:val="00074C5F"/>
    <w:rsid w:val="00074CF2"/>
    <w:rsid w:val="0007543B"/>
    <w:rsid w:val="00076001"/>
    <w:rsid w:val="000767EF"/>
    <w:rsid w:val="00077663"/>
    <w:rsid w:val="000778E1"/>
    <w:rsid w:val="00077978"/>
    <w:rsid w:val="000806B0"/>
    <w:rsid w:val="0008284D"/>
    <w:rsid w:val="00082DDC"/>
    <w:rsid w:val="00084170"/>
    <w:rsid w:val="0008470A"/>
    <w:rsid w:val="00085B2F"/>
    <w:rsid w:val="00091316"/>
    <w:rsid w:val="000920BC"/>
    <w:rsid w:val="0009296E"/>
    <w:rsid w:val="000A0FA0"/>
    <w:rsid w:val="000A1B3C"/>
    <w:rsid w:val="000A2B5A"/>
    <w:rsid w:val="000A41C3"/>
    <w:rsid w:val="000A4543"/>
    <w:rsid w:val="000A45ED"/>
    <w:rsid w:val="000A6A69"/>
    <w:rsid w:val="000A79D7"/>
    <w:rsid w:val="000B0573"/>
    <w:rsid w:val="000B1104"/>
    <w:rsid w:val="000B14AA"/>
    <w:rsid w:val="000B2127"/>
    <w:rsid w:val="000B31AF"/>
    <w:rsid w:val="000B3DAB"/>
    <w:rsid w:val="000B4628"/>
    <w:rsid w:val="000B4891"/>
    <w:rsid w:val="000B499B"/>
    <w:rsid w:val="000C02E8"/>
    <w:rsid w:val="000C122C"/>
    <w:rsid w:val="000C1B74"/>
    <w:rsid w:val="000C26EE"/>
    <w:rsid w:val="000C44A7"/>
    <w:rsid w:val="000C44A8"/>
    <w:rsid w:val="000C647E"/>
    <w:rsid w:val="000D127E"/>
    <w:rsid w:val="000D3213"/>
    <w:rsid w:val="000D4E1D"/>
    <w:rsid w:val="000D518C"/>
    <w:rsid w:val="000E0436"/>
    <w:rsid w:val="000E08E6"/>
    <w:rsid w:val="000E0B58"/>
    <w:rsid w:val="000E0BFB"/>
    <w:rsid w:val="000E15A6"/>
    <w:rsid w:val="000E1EAF"/>
    <w:rsid w:val="000E4059"/>
    <w:rsid w:val="000E41F7"/>
    <w:rsid w:val="000E6672"/>
    <w:rsid w:val="000E6A73"/>
    <w:rsid w:val="000E7578"/>
    <w:rsid w:val="000F1181"/>
    <w:rsid w:val="000F11A1"/>
    <w:rsid w:val="000F1228"/>
    <w:rsid w:val="000F2213"/>
    <w:rsid w:val="000F2A56"/>
    <w:rsid w:val="000F2FF6"/>
    <w:rsid w:val="000F441F"/>
    <w:rsid w:val="000F46D2"/>
    <w:rsid w:val="000F4737"/>
    <w:rsid w:val="000F4CBB"/>
    <w:rsid w:val="000F6674"/>
    <w:rsid w:val="000F7BF5"/>
    <w:rsid w:val="000F7D3A"/>
    <w:rsid w:val="00100563"/>
    <w:rsid w:val="00100780"/>
    <w:rsid w:val="00100C5A"/>
    <w:rsid w:val="00101236"/>
    <w:rsid w:val="00101964"/>
    <w:rsid w:val="0010256A"/>
    <w:rsid w:val="00102F79"/>
    <w:rsid w:val="00104B9F"/>
    <w:rsid w:val="00104DE2"/>
    <w:rsid w:val="0010689B"/>
    <w:rsid w:val="00107A67"/>
    <w:rsid w:val="00107B5F"/>
    <w:rsid w:val="0011485F"/>
    <w:rsid w:val="00114F00"/>
    <w:rsid w:val="0012094E"/>
    <w:rsid w:val="00120CD5"/>
    <w:rsid w:val="0012154D"/>
    <w:rsid w:val="001235DA"/>
    <w:rsid w:val="001254BE"/>
    <w:rsid w:val="00125760"/>
    <w:rsid w:val="00125AAF"/>
    <w:rsid w:val="0012707E"/>
    <w:rsid w:val="00127271"/>
    <w:rsid w:val="001303DB"/>
    <w:rsid w:val="001305BB"/>
    <w:rsid w:val="001307DE"/>
    <w:rsid w:val="001324F6"/>
    <w:rsid w:val="001333D0"/>
    <w:rsid w:val="001337C0"/>
    <w:rsid w:val="00133E2C"/>
    <w:rsid w:val="00135DEF"/>
    <w:rsid w:val="00136D76"/>
    <w:rsid w:val="0014008F"/>
    <w:rsid w:val="00141A9B"/>
    <w:rsid w:val="00141BC0"/>
    <w:rsid w:val="00142DDC"/>
    <w:rsid w:val="00143A6E"/>
    <w:rsid w:val="001442F7"/>
    <w:rsid w:val="00144D75"/>
    <w:rsid w:val="0014537B"/>
    <w:rsid w:val="001458C0"/>
    <w:rsid w:val="001458F9"/>
    <w:rsid w:val="0014753A"/>
    <w:rsid w:val="00150AFE"/>
    <w:rsid w:val="00150D86"/>
    <w:rsid w:val="00151251"/>
    <w:rsid w:val="001515D7"/>
    <w:rsid w:val="00151DD7"/>
    <w:rsid w:val="0015298D"/>
    <w:rsid w:val="00153246"/>
    <w:rsid w:val="00153F74"/>
    <w:rsid w:val="00154CF4"/>
    <w:rsid w:val="0015636A"/>
    <w:rsid w:val="00156A7B"/>
    <w:rsid w:val="001570B4"/>
    <w:rsid w:val="00161AB2"/>
    <w:rsid w:val="00161F40"/>
    <w:rsid w:val="001629D3"/>
    <w:rsid w:val="00163076"/>
    <w:rsid w:val="0016574B"/>
    <w:rsid w:val="00165E64"/>
    <w:rsid w:val="00165F62"/>
    <w:rsid w:val="00170B36"/>
    <w:rsid w:val="00171189"/>
    <w:rsid w:val="00172B21"/>
    <w:rsid w:val="00172E41"/>
    <w:rsid w:val="00172FCC"/>
    <w:rsid w:val="001732F3"/>
    <w:rsid w:val="0017455F"/>
    <w:rsid w:val="00174DD6"/>
    <w:rsid w:val="00175213"/>
    <w:rsid w:val="0017797C"/>
    <w:rsid w:val="00180468"/>
    <w:rsid w:val="0018071B"/>
    <w:rsid w:val="00180E41"/>
    <w:rsid w:val="00182DCC"/>
    <w:rsid w:val="00182E51"/>
    <w:rsid w:val="00182EFA"/>
    <w:rsid w:val="00183A09"/>
    <w:rsid w:val="00183A61"/>
    <w:rsid w:val="00185C91"/>
    <w:rsid w:val="0018685E"/>
    <w:rsid w:val="00190798"/>
    <w:rsid w:val="0019118E"/>
    <w:rsid w:val="00193080"/>
    <w:rsid w:val="001933FC"/>
    <w:rsid w:val="001943CA"/>
    <w:rsid w:val="00194465"/>
    <w:rsid w:val="00197C55"/>
    <w:rsid w:val="001A00C4"/>
    <w:rsid w:val="001A0C1D"/>
    <w:rsid w:val="001A157B"/>
    <w:rsid w:val="001A1C20"/>
    <w:rsid w:val="001A2022"/>
    <w:rsid w:val="001A2D46"/>
    <w:rsid w:val="001A3819"/>
    <w:rsid w:val="001A4683"/>
    <w:rsid w:val="001A53B7"/>
    <w:rsid w:val="001A53CA"/>
    <w:rsid w:val="001A5BA5"/>
    <w:rsid w:val="001A5CB9"/>
    <w:rsid w:val="001A6DB1"/>
    <w:rsid w:val="001A7069"/>
    <w:rsid w:val="001A7C6E"/>
    <w:rsid w:val="001B00C7"/>
    <w:rsid w:val="001B0BB4"/>
    <w:rsid w:val="001B1581"/>
    <w:rsid w:val="001B1955"/>
    <w:rsid w:val="001B19BA"/>
    <w:rsid w:val="001B1A25"/>
    <w:rsid w:val="001B3A7F"/>
    <w:rsid w:val="001B4167"/>
    <w:rsid w:val="001B51CF"/>
    <w:rsid w:val="001B7C2A"/>
    <w:rsid w:val="001C0919"/>
    <w:rsid w:val="001C0F0A"/>
    <w:rsid w:val="001C2C46"/>
    <w:rsid w:val="001C3866"/>
    <w:rsid w:val="001C5B40"/>
    <w:rsid w:val="001C5FAB"/>
    <w:rsid w:val="001C7C5E"/>
    <w:rsid w:val="001C7CEE"/>
    <w:rsid w:val="001D3413"/>
    <w:rsid w:val="001D3944"/>
    <w:rsid w:val="001D3B8A"/>
    <w:rsid w:val="001D4EAA"/>
    <w:rsid w:val="001D6F50"/>
    <w:rsid w:val="001D755B"/>
    <w:rsid w:val="001D79DA"/>
    <w:rsid w:val="001E0A44"/>
    <w:rsid w:val="001E1D7D"/>
    <w:rsid w:val="001E2C63"/>
    <w:rsid w:val="001E3AB9"/>
    <w:rsid w:val="001E42E4"/>
    <w:rsid w:val="001E5DF5"/>
    <w:rsid w:val="001F09FC"/>
    <w:rsid w:val="001F1056"/>
    <w:rsid w:val="001F1DF6"/>
    <w:rsid w:val="001F2313"/>
    <w:rsid w:val="001F2D3A"/>
    <w:rsid w:val="001F493F"/>
    <w:rsid w:val="001F5635"/>
    <w:rsid w:val="001F62C6"/>
    <w:rsid w:val="001F71B6"/>
    <w:rsid w:val="002003EA"/>
    <w:rsid w:val="00203BB5"/>
    <w:rsid w:val="00204238"/>
    <w:rsid w:val="00204BC2"/>
    <w:rsid w:val="00204CFE"/>
    <w:rsid w:val="00206440"/>
    <w:rsid w:val="00206D80"/>
    <w:rsid w:val="002076DD"/>
    <w:rsid w:val="00207E34"/>
    <w:rsid w:val="002106B6"/>
    <w:rsid w:val="0021163B"/>
    <w:rsid w:val="0021308B"/>
    <w:rsid w:val="00213466"/>
    <w:rsid w:val="002137A9"/>
    <w:rsid w:val="00215CA9"/>
    <w:rsid w:val="002166B0"/>
    <w:rsid w:val="00216E60"/>
    <w:rsid w:val="002170ED"/>
    <w:rsid w:val="00220061"/>
    <w:rsid w:val="00220345"/>
    <w:rsid w:val="002203B8"/>
    <w:rsid w:val="0022135D"/>
    <w:rsid w:val="002215A2"/>
    <w:rsid w:val="00221A5E"/>
    <w:rsid w:val="00221FC1"/>
    <w:rsid w:val="00223ED0"/>
    <w:rsid w:val="00225944"/>
    <w:rsid w:val="00225B3C"/>
    <w:rsid w:val="00225BEE"/>
    <w:rsid w:val="00231C6B"/>
    <w:rsid w:val="00232189"/>
    <w:rsid w:val="00234AA3"/>
    <w:rsid w:val="00235FAE"/>
    <w:rsid w:val="00242EA5"/>
    <w:rsid w:val="00244AF6"/>
    <w:rsid w:val="00245F2D"/>
    <w:rsid w:val="00250FC9"/>
    <w:rsid w:val="002512C2"/>
    <w:rsid w:val="00251506"/>
    <w:rsid w:val="00252402"/>
    <w:rsid w:val="00253DE9"/>
    <w:rsid w:val="00253E28"/>
    <w:rsid w:val="00254A72"/>
    <w:rsid w:val="00256390"/>
    <w:rsid w:val="002571AF"/>
    <w:rsid w:val="00260CB8"/>
    <w:rsid w:val="00261CDA"/>
    <w:rsid w:val="002629BE"/>
    <w:rsid w:val="00265A89"/>
    <w:rsid w:val="00267EE6"/>
    <w:rsid w:val="00270CC2"/>
    <w:rsid w:val="00270FAF"/>
    <w:rsid w:val="00271E45"/>
    <w:rsid w:val="002725E8"/>
    <w:rsid w:val="00272B42"/>
    <w:rsid w:val="00273B04"/>
    <w:rsid w:val="00273CAE"/>
    <w:rsid w:val="00275653"/>
    <w:rsid w:val="00275917"/>
    <w:rsid w:val="0028029C"/>
    <w:rsid w:val="00280615"/>
    <w:rsid w:val="0028145A"/>
    <w:rsid w:val="0028365A"/>
    <w:rsid w:val="00283880"/>
    <w:rsid w:val="002857AC"/>
    <w:rsid w:val="00285CF1"/>
    <w:rsid w:val="0028719F"/>
    <w:rsid w:val="00290375"/>
    <w:rsid w:val="00290D87"/>
    <w:rsid w:val="00291FDC"/>
    <w:rsid w:val="0029275A"/>
    <w:rsid w:val="00292A90"/>
    <w:rsid w:val="00292C25"/>
    <w:rsid w:val="00292EBB"/>
    <w:rsid w:val="00295845"/>
    <w:rsid w:val="0029665B"/>
    <w:rsid w:val="002969B7"/>
    <w:rsid w:val="00296D54"/>
    <w:rsid w:val="00297124"/>
    <w:rsid w:val="00297DB5"/>
    <w:rsid w:val="002A050A"/>
    <w:rsid w:val="002A1376"/>
    <w:rsid w:val="002A15A3"/>
    <w:rsid w:val="002A609B"/>
    <w:rsid w:val="002A6BEB"/>
    <w:rsid w:val="002A75A6"/>
    <w:rsid w:val="002B01BB"/>
    <w:rsid w:val="002B0460"/>
    <w:rsid w:val="002B19B1"/>
    <w:rsid w:val="002B2354"/>
    <w:rsid w:val="002B242D"/>
    <w:rsid w:val="002B34D0"/>
    <w:rsid w:val="002B4090"/>
    <w:rsid w:val="002B40E3"/>
    <w:rsid w:val="002B452A"/>
    <w:rsid w:val="002B4944"/>
    <w:rsid w:val="002B5F5D"/>
    <w:rsid w:val="002B64BB"/>
    <w:rsid w:val="002B6E19"/>
    <w:rsid w:val="002B7023"/>
    <w:rsid w:val="002C0689"/>
    <w:rsid w:val="002C0E69"/>
    <w:rsid w:val="002C191B"/>
    <w:rsid w:val="002C2F6F"/>
    <w:rsid w:val="002C3762"/>
    <w:rsid w:val="002C3781"/>
    <w:rsid w:val="002C486C"/>
    <w:rsid w:val="002C4ACC"/>
    <w:rsid w:val="002C7377"/>
    <w:rsid w:val="002D0D53"/>
    <w:rsid w:val="002D166E"/>
    <w:rsid w:val="002D1E2F"/>
    <w:rsid w:val="002D283E"/>
    <w:rsid w:val="002D2FF4"/>
    <w:rsid w:val="002D3817"/>
    <w:rsid w:val="002D531C"/>
    <w:rsid w:val="002D749A"/>
    <w:rsid w:val="002D75AB"/>
    <w:rsid w:val="002D76C5"/>
    <w:rsid w:val="002E0B91"/>
    <w:rsid w:val="002E1945"/>
    <w:rsid w:val="002E2704"/>
    <w:rsid w:val="002E3130"/>
    <w:rsid w:val="002E3BB0"/>
    <w:rsid w:val="002E3E32"/>
    <w:rsid w:val="002E41BB"/>
    <w:rsid w:val="002E4B02"/>
    <w:rsid w:val="002E5EA6"/>
    <w:rsid w:val="002E6163"/>
    <w:rsid w:val="002E766F"/>
    <w:rsid w:val="002E7A76"/>
    <w:rsid w:val="002F01E2"/>
    <w:rsid w:val="002F0575"/>
    <w:rsid w:val="002F0731"/>
    <w:rsid w:val="002F0C3B"/>
    <w:rsid w:val="002F2091"/>
    <w:rsid w:val="002F2F61"/>
    <w:rsid w:val="002F60A7"/>
    <w:rsid w:val="002F6A07"/>
    <w:rsid w:val="0030089A"/>
    <w:rsid w:val="003045E8"/>
    <w:rsid w:val="00304BF0"/>
    <w:rsid w:val="0030505A"/>
    <w:rsid w:val="00305DD3"/>
    <w:rsid w:val="00307FF8"/>
    <w:rsid w:val="003101CB"/>
    <w:rsid w:val="0031044A"/>
    <w:rsid w:val="00310B49"/>
    <w:rsid w:val="00310C20"/>
    <w:rsid w:val="00310E6D"/>
    <w:rsid w:val="00311363"/>
    <w:rsid w:val="00311550"/>
    <w:rsid w:val="003120B3"/>
    <w:rsid w:val="00313155"/>
    <w:rsid w:val="0031350D"/>
    <w:rsid w:val="00316C97"/>
    <w:rsid w:val="00317AA6"/>
    <w:rsid w:val="00320313"/>
    <w:rsid w:val="00320454"/>
    <w:rsid w:val="00321A2C"/>
    <w:rsid w:val="00321B0E"/>
    <w:rsid w:val="00321C34"/>
    <w:rsid w:val="00322A55"/>
    <w:rsid w:val="00324AB1"/>
    <w:rsid w:val="00326C53"/>
    <w:rsid w:val="00331556"/>
    <w:rsid w:val="0033176C"/>
    <w:rsid w:val="0033195E"/>
    <w:rsid w:val="00331FFD"/>
    <w:rsid w:val="003332A3"/>
    <w:rsid w:val="0033381C"/>
    <w:rsid w:val="00333BF5"/>
    <w:rsid w:val="0033617C"/>
    <w:rsid w:val="0033704E"/>
    <w:rsid w:val="00337FFD"/>
    <w:rsid w:val="003406E7"/>
    <w:rsid w:val="00340A02"/>
    <w:rsid w:val="00342749"/>
    <w:rsid w:val="003433CD"/>
    <w:rsid w:val="00343683"/>
    <w:rsid w:val="00343B1D"/>
    <w:rsid w:val="00345EFB"/>
    <w:rsid w:val="003466F8"/>
    <w:rsid w:val="00346933"/>
    <w:rsid w:val="003477FF"/>
    <w:rsid w:val="003501D3"/>
    <w:rsid w:val="00350CCA"/>
    <w:rsid w:val="003519E8"/>
    <w:rsid w:val="00353BFD"/>
    <w:rsid w:val="003541C4"/>
    <w:rsid w:val="003555D5"/>
    <w:rsid w:val="00355FA8"/>
    <w:rsid w:val="00356732"/>
    <w:rsid w:val="00356A26"/>
    <w:rsid w:val="00357C84"/>
    <w:rsid w:val="00360379"/>
    <w:rsid w:val="00360957"/>
    <w:rsid w:val="00360BB9"/>
    <w:rsid w:val="00360C2E"/>
    <w:rsid w:val="00360E18"/>
    <w:rsid w:val="00360E9B"/>
    <w:rsid w:val="00361152"/>
    <w:rsid w:val="00361D9A"/>
    <w:rsid w:val="0036251C"/>
    <w:rsid w:val="0036330C"/>
    <w:rsid w:val="0036710E"/>
    <w:rsid w:val="0036717C"/>
    <w:rsid w:val="003675CC"/>
    <w:rsid w:val="0037002A"/>
    <w:rsid w:val="00375278"/>
    <w:rsid w:val="00375E6B"/>
    <w:rsid w:val="00376555"/>
    <w:rsid w:val="003769AF"/>
    <w:rsid w:val="00381312"/>
    <w:rsid w:val="00381584"/>
    <w:rsid w:val="00384098"/>
    <w:rsid w:val="00384462"/>
    <w:rsid w:val="00385CC7"/>
    <w:rsid w:val="003864EA"/>
    <w:rsid w:val="00386E13"/>
    <w:rsid w:val="00387138"/>
    <w:rsid w:val="0038792E"/>
    <w:rsid w:val="00387E32"/>
    <w:rsid w:val="003911B9"/>
    <w:rsid w:val="003929B2"/>
    <w:rsid w:val="00392C80"/>
    <w:rsid w:val="00396570"/>
    <w:rsid w:val="003A13FF"/>
    <w:rsid w:val="003A2106"/>
    <w:rsid w:val="003A27A1"/>
    <w:rsid w:val="003A2C67"/>
    <w:rsid w:val="003A3079"/>
    <w:rsid w:val="003A3096"/>
    <w:rsid w:val="003A4258"/>
    <w:rsid w:val="003A45E1"/>
    <w:rsid w:val="003A4967"/>
    <w:rsid w:val="003A4C5B"/>
    <w:rsid w:val="003A5621"/>
    <w:rsid w:val="003A5A47"/>
    <w:rsid w:val="003A6869"/>
    <w:rsid w:val="003B3131"/>
    <w:rsid w:val="003B388C"/>
    <w:rsid w:val="003B40E3"/>
    <w:rsid w:val="003B44AF"/>
    <w:rsid w:val="003B59E2"/>
    <w:rsid w:val="003B638C"/>
    <w:rsid w:val="003B703F"/>
    <w:rsid w:val="003B70F6"/>
    <w:rsid w:val="003B772C"/>
    <w:rsid w:val="003B7926"/>
    <w:rsid w:val="003B7B6D"/>
    <w:rsid w:val="003C0507"/>
    <w:rsid w:val="003C0897"/>
    <w:rsid w:val="003C1DA8"/>
    <w:rsid w:val="003C3AF4"/>
    <w:rsid w:val="003C3AFD"/>
    <w:rsid w:val="003C452E"/>
    <w:rsid w:val="003C604F"/>
    <w:rsid w:val="003C6593"/>
    <w:rsid w:val="003D03DF"/>
    <w:rsid w:val="003D0772"/>
    <w:rsid w:val="003D164D"/>
    <w:rsid w:val="003D3CE8"/>
    <w:rsid w:val="003D4521"/>
    <w:rsid w:val="003E20F9"/>
    <w:rsid w:val="003E236F"/>
    <w:rsid w:val="003E332F"/>
    <w:rsid w:val="003E3E63"/>
    <w:rsid w:val="003E4DAE"/>
    <w:rsid w:val="003E6730"/>
    <w:rsid w:val="003E72BD"/>
    <w:rsid w:val="003F02F5"/>
    <w:rsid w:val="003F0EF5"/>
    <w:rsid w:val="003F1234"/>
    <w:rsid w:val="003F144C"/>
    <w:rsid w:val="003F340B"/>
    <w:rsid w:val="003F3CBD"/>
    <w:rsid w:val="003F466A"/>
    <w:rsid w:val="003F468F"/>
    <w:rsid w:val="003F5346"/>
    <w:rsid w:val="003F5936"/>
    <w:rsid w:val="003F6748"/>
    <w:rsid w:val="003F6AAA"/>
    <w:rsid w:val="004002A8"/>
    <w:rsid w:val="00400FFD"/>
    <w:rsid w:val="004021F0"/>
    <w:rsid w:val="00402F19"/>
    <w:rsid w:val="00403C4E"/>
    <w:rsid w:val="00404242"/>
    <w:rsid w:val="0040449C"/>
    <w:rsid w:val="004044F6"/>
    <w:rsid w:val="004049AD"/>
    <w:rsid w:val="004050AB"/>
    <w:rsid w:val="004106E3"/>
    <w:rsid w:val="004107C5"/>
    <w:rsid w:val="00410EF4"/>
    <w:rsid w:val="00411DFA"/>
    <w:rsid w:val="004127D0"/>
    <w:rsid w:val="00412E08"/>
    <w:rsid w:val="00413784"/>
    <w:rsid w:val="004169F9"/>
    <w:rsid w:val="00416D0A"/>
    <w:rsid w:val="00416DA7"/>
    <w:rsid w:val="0041717E"/>
    <w:rsid w:val="0042001F"/>
    <w:rsid w:val="0042046D"/>
    <w:rsid w:val="00420616"/>
    <w:rsid w:val="00420947"/>
    <w:rsid w:val="00420F57"/>
    <w:rsid w:val="0042104E"/>
    <w:rsid w:val="004213A0"/>
    <w:rsid w:val="00421852"/>
    <w:rsid w:val="00422BA8"/>
    <w:rsid w:val="004233C1"/>
    <w:rsid w:val="00424264"/>
    <w:rsid w:val="00424938"/>
    <w:rsid w:val="00424941"/>
    <w:rsid w:val="0042623D"/>
    <w:rsid w:val="00426887"/>
    <w:rsid w:val="00426AC8"/>
    <w:rsid w:val="00426EAB"/>
    <w:rsid w:val="00427406"/>
    <w:rsid w:val="00427825"/>
    <w:rsid w:val="0043034A"/>
    <w:rsid w:val="00430CF3"/>
    <w:rsid w:val="0043155C"/>
    <w:rsid w:val="00433A53"/>
    <w:rsid w:val="00435F7F"/>
    <w:rsid w:val="004407C2"/>
    <w:rsid w:val="0044102A"/>
    <w:rsid w:val="00441F1A"/>
    <w:rsid w:val="00441F89"/>
    <w:rsid w:val="00442796"/>
    <w:rsid w:val="004427F0"/>
    <w:rsid w:val="00444473"/>
    <w:rsid w:val="004444E2"/>
    <w:rsid w:val="004464E8"/>
    <w:rsid w:val="00447416"/>
    <w:rsid w:val="00447953"/>
    <w:rsid w:val="004507DC"/>
    <w:rsid w:val="00450FD9"/>
    <w:rsid w:val="0045134E"/>
    <w:rsid w:val="00453104"/>
    <w:rsid w:val="00453239"/>
    <w:rsid w:val="00453891"/>
    <w:rsid w:val="00453B20"/>
    <w:rsid w:val="004549A5"/>
    <w:rsid w:val="004552EF"/>
    <w:rsid w:val="00455E6D"/>
    <w:rsid w:val="00457CEB"/>
    <w:rsid w:val="00457D29"/>
    <w:rsid w:val="00461126"/>
    <w:rsid w:val="00462C60"/>
    <w:rsid w:val="004641CF"/>
    <w:rsid w:val="00464B84"/>
    <w:rsid w:val="004653ED"/>
    <w:rsid w:val="004653F7"/>
    <w:rsid w:val="004664CC"/>
    <w:rsid w:val="00467B4E"/>
    <w:rsid w:val="00470717"/>
    <w:rsid w:val="00470AF1"/>
    <w:rsid w:val="00470B6F"/>
    <w:rsid w:val="00472244"/>
    <w:rsid w:val="004722E2"/>
    <w:rsid w:val="004727B6"/>
    <w:rsid w:val="00473AED"/>
    <w:rsid w:val="0047578C"/>
    <w:rsid w:val="00475C2B"/>
    <w:rsid w:val="00475FB5"/>
    <w:rsid w:val="00482BE2"/>
    <w:rsid w:val="00482F4B"/>
    <w:rsid w:val="00483079"/>
    <w:rsid w:val="004833BD"/>
    <w:rsid w:val="00483890"/>
    <w:rsid w:val="00483E34"/>
    <w:rsid w:val="00484671"/>
    <w:rsid w:val="004846BA"/>
    <w:rsid w:val="00485DE6"/>
    <w:rsid w:val="0048674D"/>
    <w:rsid w:val="0048726C"/>
    <w:rsid w:val="00487511"/>
    <w:rsid w:val="004877D0"/>
    <w:rsid w:val="004903A3"/>
    <w:rsid w:val="00490C91"/>
    <w:rsid w:val="004910D1"/>
    <w:rsid w:val="004910DB"/>
    <w:rsid w:val="0049110B"/>
    <w:rsid w:val="00492C91"/>
    <w:rsid w:val="00492F51"/>
    <w:rsid w:val="00493218"/>
    <w:rsid w:val="004944CE"/>
    <w:rsid w:val="00495E2A"/>
    <w:rsid w:val="00496C3F"/>
    <w:rsid w:val="00497293"/>
    <w:rsid w:val="00497C2B"/>
    <w:rsid w:val="004A06CE"/>
    <w:rsid w:val="004A074E"/>
    <w:rsid w:val="004A11ED"/>
    <w:rsid w:val="004A12B4"/>
    <w:rsid w:val="004A2814"/>
    <w:rsid w:val="004A2AAF"/>
    <w:rsid w:val="004A3FD6"/>
    <w:rsid w:val="004A5178"/>
    <w:rsid w:val="004A52E8"/>
    <w:rsid w:val="004A57CD"/>
    <w:rsid w:val="004A66C4"/>
    <w:rsid w:val="004A71E7"/>
    <w:rsid w:val="004A7754"/>
    <w:rsid w:val="004B08B6"/>
    <w:rsid w:val="004B1F93"/>
    <w:rsid w:val="004B3A45"/>
    <w:rsid w:val="004B4973"/>
    <w:rsid w:val="004B4B48"/>
    <w:rsid w:val="004B4E74"/>
    <w:rsid w:val="004B55C8"/>
    <w:rsid w:val="004B6FB5"/>
    <w:rsid w:val="004C0568"/>
    <w:rsid w:val="004C11F8"/>
    <w:rsid w:val="004C1259"/>
    <w:rsid w:val="004C13AC"/>
    <w:rsid w:val="004C1412"/>
    <w:rsid w:val="004C155F"/>
    <w:rsid w:val="004C2984"/>
    <w:rsid w:val="004C41EC"/>
    <w:rsid w:val="004C69E0"/>
    <w:rsid w:val="004C7001"/>
    <w:rsid w:val="004C7AD2"/>
    <w:rsid w:val="004D13E7"/>
    <w:rsid w:val="004D2F70"/>
    <w:rsid w:val="004D39A9"/>
    <w:rsid w:val="004D4CE3"/>
    <w:rsid w:val="004D5B11"/>
    <w:rsid w:val="004D7E1E"/>
    <w:rsid w:val="004E05BC"/>
    <w:rsid w:val="004E0B4C"/>
    <w:rsid w:val="004E0EC9"/>
    <w:rsid w:val="004E0F8E"/>
    <w:rsid w:val="004E33B8"/>
    <w:rsid w:val="004E380D"/>
    <w:rsid w:val="004E3E92"/>
    <w:rsid w:val="004E3EE4"/>
    <w:rsid w:val="004E4CAB"/>
    <w:rsid w:val="004E5341"/>
    <w:rsid w:val="004E6E85"/>
    <w:rsid w:val="004E767D"/>
    <w:rsid w:val="004E799D"/>
    <w:rsid w:val="004F0213"/>
    <w:rsid w:val="004F1425"/>
    <w:rsid w:val="004F1A87"/>
    <w:rsid w:val="004F1D6E"/>
    <w:rsid w:val="004F2D72"/>
    <w:rsid w:val="004F326A"/>
    <w:rsid w:val="004F422C"/>
    <w:rsid w:val="004F6345"/>
    <w:rsid w:val="004F6D7D"/>
    <w:rsid w:val="004F75E3"/>
    <w:rsid w:val="004F7614"/>
    <w:rsid w:val="00503011"/>
    <w:rsid w:val="005032E0"/>
    <w:rsid w:val="005036EB"/>
    <w:rsid w:val="00503D1F"/>
    <w:rsid w:val="00504090"/>
    <w:rsid w:val="00504614"/>
    <w:rsid w:val="00504A9E"/>
    <w:rsid w:val="00505D08"/>
    <w:rsid w:val="005069CC"/>
    <w:rsid w:val="00507173"/>
    <w:rsid w:val="0051000D"/>
    <w:rsid w:val="005125AD"/>
    <w:rsid w:val="00514498"/>
    <w:rsid w:val="00516200"/>
    <w:rsid w:val="00516C69"/>
    <w:rsid w:val="0052208B"/>
    <w:rsid w:val="00523015"/>
    <w:rsid w:val="005230BB"/>
    <w:rsid w:val="00524C30"/>
    <w:rsid w:val="005255D1"/>
    <w:rsid w:val="005276B7"/>
    <w:rsid w:val="00530878"/>
    <w:rsid w:val="00531545"/>
    <w:rsid w:val="005323C9"/>
    <w:rsid w:val="00532FAF"/>
    <w:rsid w:val="00533010"/>
    <w:rsid w:val="005332CB"/>
    <w:rsid w:val="00533E7E"/>
    <w:rsid w:val="005353C2"/>
    <w:rsid w:val="0053570C"/>
    <w:rsid w:val="0053622E"/>
    <w:rsid w:val="0053630C"/>
    <w:rsid w:val="005375EF"/>
    <w:rsid w:val="00537792"/>
    <w:rsid w:val="0054266A"/>
    <w:rsid w:val="0054487D"/>
    <w:rsid w:val="00545FAE"/>
    <w:rsid w:val="0054624A"/>
    <w:rsid w:val="00546798"/>
    <w:rsid w:val="00546DD7"/>
    <w:rsid w:val="00547095"/>
    <w:rsid w:val="00547121"/>
    <w:rsid w:val="00547EDB"/>
    <w:rsid w:val="005504C1"/>
    <w:rsid w:val="00550C47"/>
    <w:rsid w:val="00550FC6"/>
    <w:rsid w:val="005535EA"/>
    <w:rsid w:val="00555EBC"/>
    <w:rsid w:val="005566A2"/>
    <w:rsid w:val="00556E96"/>
    <w:rsid w:val="00557D92"/>
    <w:rsid w:val="005612B2"/>
    <w:rsid w:val="005619E9"/>
    <w:rsid w:val="00561D18"/>
    <w:rsid w:val="00561F9D"/>
    <w:rsid w:val="005635E0"/>
    <w:rsid w:val="00565286"/>
    <w:rsid w:val="00567123"/>
    <w:rsid w:val="005675F8"/>
    <w:rsid w:val="00571EF8"/>
    <w:rsid w:val="00572EAF"/>
    <w:rsid w:val="00573DD3"/>
    <w:rsid w:val="00575536"/>
    <w:rsid w:val="0057578D"/>
    <w:rsid w:val="005766CE"/>
    <w:rsid w:val="00577AC7"/>
    <w:rsid w:val="00577E2C"/>
    <w:rsid w:val="00580143"/>
    <w:rsid w:val="00580149"/>
    <w:rsid w:val="00580F8D"/>
    <w:rsid w:val="0058326F"/>
    <w:rsid w:val="005856CA"/>
    <w:rsid w:val="00585C7B"/>
    <w:rsid w:val="00590BDF"/>
    <w:rsid w:val="00591B47"/>
    <w:rsid w:val="005923E0"/>
    <w:rsid w:val="00592AB0"/>
    <w:rsid w:val="005935B7"/>
    <w:rsid w:val="00593C01"/>
    <w:rsid w:val="00594498"/>
    <w:rsid w:val="005970E6"/>
    <w:rsid w:val="005973A4"/>
    <w:rsid w:val="005976E3"/>
    <w:rsid w:val="005A1059"/>
    <w:rsid w:val="005A1C28"/>
    <w:rsid w:val="005A2750"/>
    <w:rsid w:val="005A4A61"/>
    <w:rsid w:val="005A543A"/>
    <w:rsid w:val="005A6A0B"/>
    <w:rsid w:val="005A7E55"/>
    <w:rsid w:val="005B0C61"/>
    <w:rsid w:val="005B360E"/>
    <w:rsid w:val="005B363A"/>
    <w:rsid w:val="005B3820"/>
    <w:rsid w:val="005B58E3"/>
    <w:rsid w:val="005B5ADA"/>
    <w:rsid w:val="005B735B"/>
    <w:rsid w:val="005B7B8E"/>
    <w:rsid w:val="005C1AE8"/>
    <w:rsid w:val="005C3955"/>
    <w:rsid w:val="005C417B"/>
    <w:rsid w:val="005C6184"/>
    <w:rsid w:val="005C743D"/>
    <w:rsid w:val="005C7B39"/>
    <w:rsid w:val="005D29CC"/>
    <w:rsid w:val="005D2C06"/>
    <w:rsid w:val="005D2D3E"/>
    <w:rsid w:val="005D339C"/>
    <w:rsid w:val="005D3D02"/>
    <w:rsid w:val="005D7999"/>
    <w:rsid w:val="005E147D"/>
    <w:rsid w:val="005E3FBF"/>
    <w:rsid w:val="005E4C68"/>
    <w:rsid w:val="005E5209"/>
    <w:rsid w:val="005E5F12"/>
    <w:rsid w:val="005E60A5"/>
    <w:rsid w:val="005E65F1"/>
    <w:rsid w:val="005F0609"/>
    <w:rsid w:val="005F0A82"/>
    <w:rsid w:val="005F1CAC"/>
    <w:rsid w:val="005F245A"/>
    <w:rsid w:val="005F3752"/>
    <w:rsid w:val="005F518E"/>
    <w:rsid w:val="0060225D"/>
    <w:rsid w:val="006036FE"/>
    <w:rsid w:val="00604DE8"/>
    <w:rsid w:val="00605D28"/>
    <w:rsid w:val="006064B7"/>
    <w:rsid w:val="006070A9"/>
    <w:rsid w:val="0061131D"/>
    <w:rsid w:val="00611BFC"/>
    <w:rsid w:val="00613835"/>
    <w:rsid w:val="00614368"/>
    <w:rsid w:val="00614978"/>
    <w:rsid w:val="00614E87"/>
    <w:rsid w:val="00615214"/>
    <w:rsid w:val="0061594B"/>
    <w:rsid w:val="0061641A"/>
    <w:rsid w:val="00617EBB"/>
    <w:rsid w:val="006234D0"/>
    <w:rsid w:val="00624529"/>
    <w:rsid w:val="006245B6"/>
    <w:rsid w:val="006256D8"/>
    <w:rsid w:val="00625F4F"/>
    <w:rsid w:val="00627051"/>
    <w:rsid w:val="0063106E"/>
    <w:rsid w:val="006312F7"/>
    <w:rsid w:val="006313E6"/>
    <w:rsid w:val="00631DC1"/>
    <w:rsid w:val="00632E67"/>
    <w:rsid w:val="006336D2"/>
    <w:rsid w:val="00635CAF"/>
    <w:rsid w:val="00635DB6"/>
    <w:rsid w:val="00636511"/>
    <w:rsid w:val="00637239"/>
    <w:rsid w:val="0063745D"/>
    <w:rsid w:val="00637FC0"/>
    <w:rsid w:val="006405D3"/>
    <w:rsid w:val="00642294"/>
    <w:rsid w:val="006422CD"/>
    <w:rsid w:val="006428C2"/>
    <w:rsid w:val="0064341D"/>
    <w:rsid w:val="00643447"/>
    <w:rsid w:val="0064387A"/>
    <w:rsid w:val="00643FF2"/>
    <w:rsid w:val="0064564D"/>
    <w:rsid w:val="006458FF"/>
    <w:rsid w:val="0064666F"/>
    <w:rsid w:val="006501CE"/>
    <w:rsid w:val="00650693"/>
    <w:rsid w:val="00650D77"/>
    <w:rsid w:val="00650E14"/>
    <w:rsid w:val="00652ACC"/>
    <w:rsid w:val="00652D69"/>
    <w:rsid w:val="00653FEB"/>
    <w:rsid w:val="00661BA5"/>
    <w:rsid w:val="00662AD4"/>
    <w:rsid w:val="00662F07"/>
    <w:rsid w:val="00663736"/>
    <w:rsid w:val="006637CE"/>
    <w:rsid w:val="00664072"/>
    <w:rsid w:val="00665272"/>
    <w:rsid w:val="00665BBF"/>
    <w:rsid w:val="0067024D"/>
    <w:rsid w:val="00671074"/>
    <w:rsid w:val="006711E2"/>
    <w:rsid w:val="00672226"/>
    <w:rsid w:val="006733D2"/>
    <w:rsid w:val="006745DC"/>
    <w:rsid w:val="00674632"/>
    <w:rsid w:val="006760E4"/>
    <w:rsid w:val="00680146"/>
    <w:rsid w:val="0068036E"/>
    <w:rsid w:val="00680D74"/>
    <w:rsid w:val="0068235B"/>
    <w:rsid w:val="006827EC"/>
    <w:rsid w:val="00682E6B"/>
    <w:rsid w:val="006842AC"/>
    <w:rsid w:val="006843D9"/>
    <w:rsid w:val="006859E0"/>
    <w:rsid w:val="00687135"/>
    <w:rsid w:val="0068761D"/>
    <w:rsid w:val="006878B7"/>
    <w:rsid w:val="006907B1"/>
    <w:rsid w:val="00690AB2"/>
    <w:rsid w:val="006924BE"/>
    <w:rsid w:val="006924D7"/>
    <w:rsid w:val="006938BF"/>
    <w:rsid w:val="00696281"/>
    <w:rsid w:val="0069774B"/>
    <w:rsid w:val="006A02C9"/>
    <w:rsid w:val="006A1C37"/>
    <w:rsid w:val="006A21CB"/>
    <w:rsid w:val="006A3F4C"/>
    <w:rsid w:val="006A497F"/>
    <w:rsid w:val="006A4FD5"/>
    <w:rsid w:val="006A5CC8"/>
    <w:rsid w:val="006A6098"/>
    <w:rsid w:val="006A6B01"/>
    <w:rsid w:val="006B02A5"/>
    <w:rsid w:val="006B05A1"/>
    <w:rsid w:val="006B2AFA"/>
    <w:rsid w:val="006B2E3E"/>
    <w:rsid w:val="006B2EE4"/>
    <w:rsid w:val="006B490A"/>
    <w:rsid w:val="006B4CC2"/>
    <w:rsid w:val="006B77EC"/>
    <w:rsid w:val="006B7C08"/>
    <w:rsid w:val="006C2831"/>
    <w:rsid w:val="006C5192"/>
    <w:rsid w:val="006C725C"/>
    <w:rsid w:val="006C7DD0"/>
    <w:rsid w:val="006D1799"/>
    <w:rsid w:val="006D1F0E"/>
    <w:rsid w:val="006D2FE8"/>
    <w:rsid w:val="006D3014"/>
    <w:rsid w:val="006D3C11"/>
    <w:rsid w:val="006D3F7E"/>
    <w:rsid w:val="006D5436"/>
    <w:rsid w:val="006D554F"/>
    <w:rsid w:val="006D5DB6"/>
    <w:rsid w:val="006E063F"/>
    <w:rsid w:val="006E20CD"/>
    <w:rsid w:val="006E2479"/>
    <w:rsid w:val="006E49CA"/>
    <w:rsid w:val="006E551D"/>
    <w:rsid w:val="006E5D46"/>
    <w:rsid w:val="006E6879"/>
    <w:rsid w:val="006E6973"/>
    <w:rsid w:val="006F01E2"/>
    <w:rsid w:val="006F0641"/>
    <w:rsid w:val="006F10EF"/>
    <w:rsid w:val="006F25EB"/>
    <w:rsid w:val="006F3916"/>
    <w:rsid w:val="006F4B6C"/>
    <w:rsid w:val="006F776F"/>
    <w:rsid w:val="006F79E0"/>
    <w:rsid w:val="007001B7"/>
    <w:rsid w:val="00701112"/>
    <w:rsid w:val="007045BE"/>
    <w:rsid w:val="007046BA"/>
    <w:rsid w:val="00706207"/>
    <w:rsid w:val="00707D88"/>
    <w:rsid w:val="0071074A"/>
    <w:rsid w:val="00713611"/>
    <w:rsid w:val="00713820"/>
    <w:rsid w:val="00714813"/>
    <w:rsid w:val="007174CD"/>
    <w:rsid w:val="007220E5"/>
    <w:rsid w:val="0072325E"/>
    <w:rsid w:val="00723850"/>
    <w:rsid w:val="00726AFF"/>
    <w:rsid w:val="00726D12"/>
    <w:rsid w:val="00730558"/>
    <w:rsid w:val="00731A87"/>
    <w:rsid w:val="007325CA"/>
    <w:rsid w:val="00732809"/>
    <w:rsid w:val="007338D7"/>
    <w:rsid w:val="007353CB"/>
    <w:rsid w:val="0073645D"/>
    <w:rsid w:val="00736461"/>
    <w:rsid w:val="007368CD"/>
    <w:rsid w:val="00740116"/>
    <w:rsid w:val="007401D2"/>
    <w:rsid w:val="00741C15"/>
    <w:rsid w:val="00742D3D"/>
    <w:rsid w:val="00743258"/>
    <w:rsid w:val="0074326D"/>
    <w:rsid w:val="00743BD7"/>
    <w:rsid w:val="007442A7"/>
    <w:rsid w:val="00744BCE"/>
    <w:rsid w:val="00745452"/>
    <w:rsid w:val="00745D74"/>
    <w:rsid w:val="00750426"/>
    <w:rsid w:val="00752220"/>
    <w:rsid w:val="00752A86"/>
    <w:rsid w:val="00754B0C"/>
    <w:rsid w:val="0075501F"/>
    <w:rsid w:val="00755342"/>
    <w:rsid w:val="007557D3"/>
    <w:rsid w:val="00756745"/>
    <w:rsid w:val="007569BA"/>
    <w:rsid w:val="00756BC2"/>
    <w:rsid w:val="007572A2"/>
    <w:rsid w:val="00757505"/>
    <w:rsid w:val="00760893"/>
    <w:rsid w:val="007612E5"/>
    <w:rsid w:val="0076183F"/>
    <w:rsid w:val="00761A1F"/>
    <w:rsid w:val="00762030"/>
    <w:rsid w:val="00764CC4"/>
    <w:rsid w:val="00765EFD"/>
    <w:rsid w:val="00766428"/>
    <w:rsid w:val="007669EE"/>
    <w:rsid w:val="007673DE"/>
    <w:rsid w:val="00767CB6"/>
    <w:rsid w:val="007704DF"/>
    <w:rsid w:val="0077070B"/>
    <w:rsid w:val="00771655"/>
    <w:rsid w:val="00771AFF"/>
    <w:rsid w:val="00772227"/>
    <w:rsid w:val="00772793"/>
    <w:rsid w:val="007738DB"/>
    <w:rsid w:val="00774229"/>
    <w:rsid w:val="00774660"/>
    <w:rsid w:val="00774ABD"/>
    <w:rsid w:val="007760D3"/>
    <w:rsid w:val="00776A64"/>
    <w:rsid w:val="00776F11"/>
    <w:rsid w:val="00780329"/>
    <w:rsid w:val="007803FC"/>
    <w:rsid w:val="0078051E"/>
    <w:rsid w:val="00780953"/>
    <w:rsid w:val="007812BE"/>
    <w:rsid w:val="0078151E"/>
    <w:rsid w:val="00781D96"/>
    <w:rsid w:val="007823AC"/>
    <w:rsid w:val="0078342A"/>
    <w:rsid w:val="00783839"/>
    <w:rsid w:val="007839CF"/>
    <w:rsid w:val="00783DD4"/>
    <w:rsid w:val="00784633"/>
    <w:rsid w:val="00784BA4"/>
    <w:rsid w:val="00784D79"/>
    <w:rsid w:val="007853B4"/>
    <w:rsid w:val="00785586"/>
    <w:rsid w:val="007862AB"/>
    <w:rsid w:val="007869A3"/>
    <w:rsid w:val="007878B8"/>
    <w:rsid w:val="007901EE"/>
    <w:rsid w:val="007905DC"/>
    <w:rsid w:val="00790D83"/>
    <w:rsid w:val="00792CFB"/>
    <w:rsid w:val="007973F2"/>
    <w:rsid w:val="00797779"/>
    <w:rsid w:val="00797EB0"/>
    <w:rsid w:val="007A248C"/>
    <w:rsid w:val="007A32E4"/>
    <w:rsid w:val="007A3FCD"/>
    <w:rsid w:val="007A4458"/>
    <w:rsid w:val="007A5A0C"/>
    <w:rsid w:val="007A5EB0"/>
    <w:rsid w:val="007A69CD"/>
    <w:rsid w:val="007A6EBA"/>
    <w:rsid w:val="007B01DE"/>
    <w:rsid w:val="007B1ACD"/>
    <w:rsid w:val="007B22E1"/>
    <w:rsid w:val="007B377A"/>
    <w:rsid w:val="007B37AF"/>
    <w:rsid w:val="007B54FA"/>
    <w:rsid w:val="007B5A41"/>
    <w:rsid w:val="007B5E42"/>
    <w:rsid w:val="007B6C6B"/>
    <w:rsid w:val="007B6D20"/>
    <w:rsid w:val="007C098F"/>
    <w:rsid w:val="007C0B44"/>
    <w:rsid w:val="007C0F9D"/>
    <w:rsid w:val="007C1594"/>
    <w:rsid w:val="007C259F"/>
    <w:rsid w:val="007C33D2"/>
    <w:rsid w:val="007C3A80"/>
    <w:rsid w:val="007C3E56"/>
    <w:rsid w:val="007C45F1"/>
    <w:rsid w:val="007C4ACC"/>
    <w:rsid w:val="007C5453"/>
    <w:rsid w:val="007C57BA"/>
    <w:rsid w:val="007C7C9E"/>
    <w:rsid w:val="007D0BC0"/>
    <w:rsid w:val="007D0C9A"/>
    <w:rsid w:val="007D0EA6"/>
    <w:rsid w:val="007D1801"/>
    <w:rsid w:val="007D2386"/>
    <w:rsid w:val="007D3615"/>
    <w:rsid w:val="007D3D08"/>
    <w:rsid w:val="007D5376"/>
    <w:rsid w:val="007D62EC"/>
    <w:rsid w:val="007D683C"/>
    <w:rsid w:val="007D6BDE"/>
    <w:rsid w:val="007D7391"/>
    <w:rsid w:val="007D7928"/>
    <w:rsid w:val="007D79BF"/>
    <w:rsid w:val="007E0499"/>
    <w:rsid w:val="007E0D63"/>
    <w:rsid w:val="007E46AF"/>
    <w:rsid w:val="007E5686"/>
    <w:rsid w:val="007E6465"/>
    <w:rsid w:val="007E7589"/>
    <w:rsid w:val="007F121E"/>
    <w:rsid w:val="007F1ACE"/>
    <w:rsid w:val="007F2CB9"/>
    <w:rsid w:val="007F4592"/>
    <w:rsid w:val="007F5281"/>
    <w:rsid w:val="007F6469"/>
    <w:rsid w:val="007F6B48"/>
    <w:rsid w:val="007F7264"/>
    <w:rsid w:val="008008A5"/>
    <w:rsid w:val="00800C64"/>
    <w:rsid w:val="008013CD"/>
    <w:rsid w:val="00801549"/>
    <w:rsid w:val="00803207"/>
    <w:rsid w:val="0080353D"/>
    <w:rsid w:val="00804AA1"/>
    <w:rsid w:val="00804B9D"/>
    <w:rsid w:val="00804EBA"/>
    <w:rsid w:val="00805E7A"/>
    <w:rsid w:val="0080665E"/>
    <w:rsid w:val="00806BD3"/>
    <w:rsid w:val="008075D3"/>
    <w:rsid w:val="0080761D"/>
    <w:rsid w:val="00810522"/>
    <w:rsid w:val="00812597"/>
    <w:rsid w:val="008172D5"/>
    <w:rsid w:val="008178E8"/>
    <w:rsid w:val="00817F4B"/>
    <w:rsid w:val="00820033"/>
    <w:rsid w:val="008217F3"/>
    <w:rsid w:val="00823491"/>
    <w:rsid w:val="008250C8"/>
    <w:rsid w:val="0082571D"/>
    <w:rsid w:val="00826FC2"/>
    <w:rsid w:val="0082712E"/>
    <w:rsid w:val="008303D8"/>
    <w:rsid w:val="0083052E"/>
    <w:rsid w:val="00830A9F"/>
    <w:rsid w:val="00831B8A"/>
    <w:rsid w:val="0083258B"/>
    <w:rsid w:val="008325EA"/>
    <w:rsid w:val="00834573"/>
    <w:rsid w:val="00836067"/>
    <w:rsid w:val="00836148"/>
    <w:rsid w:val="008408FA"/>
    <w:rsid w:val="008412E4"/>
    <w:rsid w:val="00841F00"/>
    <w:rsid w:val="00843325"/>
    <w:rsid w:val="00843A47"/>
    <w:rsid w:val="008449BB"/>
    <w:rsid w:val="00844F93"/>
    <w:rsid w:val="0084518C"/>
    <w:rsid w:val="00845392"/>
    <w:rsid w:val="00845EDF"/>
    <w:rsid w:val="00846483"/>
    <w:rsid w:val="00846E92"/>
    <w:rsid w:val="00847055"/>
    <w:rsid w:val="00847228"/>
    <w:rsid w:val="0084799A"/>
    <w:rsid w:val="00847B09"/>
    <w:rsid w:val="00847C26"/>
    <w:rsid w:val="00850113"/>
    <w:rsid w:val="00850174"/>
    <w:rsid w:val="00850614"/>
    <w:rsid w:val="00850D3E"/>
    <w:rsid w:val="008510BC"/>
    <w:rsid w:val="00851BCC"/>
    <w:rsid w:val="00854F50"/>
    <w:rsid w:val="0085557F"/>
    <w:rsid w:val="00856AA3"/>
    <w:rsid w:val="00860522"/>
    <w:rsid w:val="008613AF"/>
    <w:rsid w:val="00862204"/>
    <w:rsid w:val="008633B1"/>
    <w:rsid w:val="00863DC9"/>
    <w:rsid w:val="00863E37"/>
    <w:rsid w:val="00864867"/>
    <w:rsid w:val="00865B45"/>
    <w:rsid w:val="00866994"/>
    <w:rsid w:val="00866B92"/>
    <w:rsid w:val="00867B99"/>
    <w:rsid w:val="00867ED9"/>
    <w:rsid w:val="00870812"/>
    <w:rsid w:val="00871466"/>
    <w:rsid w:val="00871518"/>
    <w:rsid w:val="0087199A"/>
    <w:rsid w:val="00871F64"/>
    <w:rsid w:val="00872AB2"/>
    <w:rsid w:val="008731F3"/>
    <w:rsid w:val="0087390A"/>
    <w:rsid w:val="00873BF9"/>
    <w:rsid w:val="0087526F"/>
    <w:rsid w:val="008759A3"/>
    <w:rsid w:val="00875DA1"/>
    <w:rsid w:val="00877029"/>
    <w:rsid w:val="00877362"/>
    <w:rsid w:val="00877FE7"/>
    <w:rsid w:val="00880D0C"/>
    <w:rsid w:val="00881513"/>
    <w:rsid w:val="008819D9"/>
    <w:rsid w:val="00882B1A"/>
    <w:rsid w:val="00883714"/>
    <w:rsid w:val="00886157"/>
    <w:rsid w:val="00887289"/>
    <w:rsid w:val="00887A64"/>
    <w:rsid w:val="00887E35"/>
    <w:rsid w:val="00890297"/>
    <w:rsid w:val="00894CF0"/>
    <w:rsid w:val="008950A8"/>
    <w:rsid w:val="008955AF"/>
    <w:rsid w:val="008A11B6"/>
    <w:rsid w:val="008A1EBB"/>
    <w:rsid w:val="008A3D5A"/>
    <w:rsid w:val="008A4B8D"/>
    <w:rsid w:val="008A6293"/>
    <w:rsid w:val="008A68D0"/>
    <w:rsid w:val="008A7C61"/>
    <w:rsid w:val="008B22AF"/>
    <w:rsid w:val="008B2546"/>
    <w:rsid w:val="008B382E"/>
    <w:rsid w:val="008B38FC"/>
    <w:rsid w:val="008B4D86"/>
    <w:rsid w:val="008B598F"/>
    <w:rsid w:val="008B6438"/>
    <w:rsid w:val="008B7203"/>
    <w:rsid w:val="008B77B7"/>
    <w:rsid w:val="008C1165"/>
    <w:rsid w:val="008C2521"/>
    <w:rsid w:val="008C2A59"/>
    <w:rsid w:val="008C2A87"/>
    <w:rsid w:val="008C2FC8"/>
    <w:rsid w:val="008C4CC8"/>
    <w:rsid w:val="008C5F3E"/>
    <w:rsid w:val="008C5FDB"/>
    <w:rsid w:val="008C6243"/>
    <w:rsid w:val="008C6D09"/>
    <w:rsid w:val="008C713B"/>
    <w:rsid w:val="008D2C6A"/>
    <w:rsid w:val="008D3CA3"/>
    <w:rsid w:val="008D4084"/>
    <w:rsid w:val="008E0269"/>
    <w:rsid w:val="008E02C2"/>
    <w:rsid w:val="008E1953"/>
    <w:rsid w:val="008E206E"/>
    <w:rsid w:val="008E27B3"/>
    <w:rsid w:val="008E2AF1"/>
    <w:rsid w:val="008E3803"/>
    <w:rsid w:val="008E39C5"/>
    <w:rsid w:val="008E5D31"/>
    <w:rsid w:val="008E68F5"/>
    <w:rsid w:val="008E6E26"/>
    <w:rsid w:val="008F1229"/>
    <w:rsid w:val="008F12C1"/>
    <w:rsid w:val="008F33FC"/>
    <w:rsid w:val="008F3B5B"/>
    <w:rsid w:val="008F3CAD"/>
    <w:rsid w:val="008F4FCF"/>
    <w:rsid w:val="008F4FF9"/>
    <w:rsid w:val="008F57DC"/>
    <w:rsid w:val="008F648C"/>
    <w:rsid w:val="008F7CA5"/>
    <w:rsid w:val="00900368"/>
    <w:rsid w:val="0090176D"/>
    <w:rsid w:val="00901C9A"/>
    <w:rsid w:val="00902D8F"/>
    <w:rsid w:val="00903E36"/>
    <w:rsid w:val="00904903"/>
    <w:rsid w:val="00904941"/>
    <w:rsid w:val="00905A8A"/>
    <w:rsid w:val="0090677B"/>
    <w:rsid w:val="00906C4F"/>
    <w:rsid w:val="009073A8"/>
    <w:rsid w:val="009105DF"/>
    <w:rsid w:val="009124B5"/>
    <w:rsid w:val="009137D2"/>
    <w:rsid w:val="009141BF"/>
    <w:rsid w:val="009169E0"/>
    <w:rsid w:val="00917010"/>
    <w:rsid w:val="009177D4"/>
    <w:rsid w:val="00917FA5"/>
    <w:rsid w:val="0092068D"/>
    <w:rsid w:val="009207C8"/>
    <w:rsid w:val="00921075"/>
    <w:rsid w:val="00921ECC"/>
    <w:rsid w:val="00925A4B"/>
    <w:rsid w:val="0092707F"/>
    <w:rsid w:val="00927345"/>
    <w:rsid w:val="00932862"/>
    <w:rsid w:val="009328A4"/>
    <w:rsid w:val="00932C73"/>
    <w:rsid w:val="00933A50"/>
    <w:rsid w:val="009341EC"/>
    <w:rsid w:val="009348C9"/>
    <w:rsid w:val="00935051"/>
    <w:rsid w:val="00935D2F"/>
    <w:rsid w:val="00936EDB"/>
    <w:rsid w:val="00936F6F"/>
    <w:rsid w:val="009405C2"/>
    <w:rsid w:val="0094087E"/>
    <w:rsid w:val="0094154E"/>
    <w:rsid w:val="0094428B"/>
    <w:rsid w:val="00944A23"/>
    <w:rsid w:val="00945073"/>
    <w:rsid w:val="00945A84"/>
    <w:rsid w:val="00945BE9"/>
    <w:rsid w:val="00947477"/>
    <w:rsid w:val="00947EC7"/>
    <w:rsid w:val="0095005F"/>
    <w:rsid w:val="00950129"/>
    <w:rsid w:val="009506C3"/>
    <w:rsid w:val="00950ADC"/>
    <w:rsid w:val="009526DE"/>
    <w:rsid w:val="009528C1"/>
    <w:rsid w:val="0095292D"/>
    <w:rsid w:val="009529D3"/>
    <w:rsid w:val="00952A1D"/>
    <w:rsid w:val="009531BB"/>
    <w:rsid w:val="0095339F"/>
    <w:rsid w:val="0095443D"/>
    <w:rsid w:val="00954C88"/>
    <w:rsid w:val="00955344"/>
    <w:rsid w:val="00957D1F"/>
    <w:rsid w:val="009602BE"/>
    <w:rsid w:val="00960323"/>
    <w:rsid w:val="009609A8"/>
    <w:rsid w:val="00960D20"/>
    <w:rsid w:val="00962423"/>
    <w:rsid w:val="009633EF"/>
    <w:rsid w:val="00963B10"/>
    <w:rsid w:val="009649F3"/>
    <w:rsid w:val="00965250"/>
    <w:rsid w:val="00966522"/>
    <w:rsid w:val="00966D2F"/>
    <w:rsid w:val="009672BB"/>
    <w:rsid w:val="00967991"/>
    <w:rsid w:val="009679B9"/>
    <w:rsid w:val="0097019A"/>
    <w:rsid w:val="00970827"/>
    <w:rsid w:val="00970FB9"/>
    <w:rsid w:val="0097128F"/>
    <w:rsid w:val="00972A32"/>
    <w:rsid w:val="00974809"/>
    <w:rsid w:val="0097563F"/>
    <w:rsid w:val="00976501"/>
    <w:rsid w:val="00981FA2"/>
    <w:rsid w:val="00982D2C"/>
    <w:rsid w:val="00982E73"/>
    <w:rsid w:val="0098340D"/>
    <w:rsid w:val="0098417F"/>
    <w:rsid w:val="00984D5C"/>
    <w:rsid w:val="00984E28"/>
    <w:rsid w:val="0098584B"/>
    <w:rsid w:val="00986947"/>
    <w:rsid w:val="0098714A"/>
    <w:rsid w:val="009918F2"/>
    <w:rsid w:val="00992B36"/>
    <w:rsid w:val="00992B39"/>
    <w:rsid w:val="009958E2"/>
    <w:rsid w:val="00995A3F"/>
    <w:rsid w:val="00995BB8"/>
    <w:rsid w:val="00996731"/>
    <w:rsid w:val="00996EA7"/>
    <w:rsid w:val="00997A58"/>
    <w:rsid w:val="00997F21"/>
    <w:rsid w:val="009A0105"/>
    <w:rsid w:val="009A1682"/>
    <w:rsid w:val="009A21E6"/>
    <w:rsid w:val="009A27E4"/>
    <w:rsid w:val="009A58D3"/>
    <w:rsid w:val="009A5A40"/>
    <w:rsid w:val="009A6DC7"/>
    <w:rsid w:val="009A775C"/>
    <w:rsid w:val="009B086C"/>
    <w:rsid w:val="009B19E3"/>
    <w:rsid w:val="009B1C60"/>
    <w:rsid w:val="009B2329"/>
    <w:rsid w:val="009B2656"/>
    <w:rsid w:val="009B6A24"/>
    <w:rsid w:val="009B7D19"/>
    <w:rsid w:val="009C1415"/>
    <w:rsid w:val="009C306F"/>
    <w:rsid w:val="009C4BA5"/>
    <w:rsid w:val="009C595F"/>
    <w:rsid w:val="009C67B8"/>
    <w:rsid w:val="009C70EA"/>
    <w:rsid w:val="009C7527"/>
    <w:rsid w:val="009D0C6D"/>
    <w:rsid w:val="009D0F2C"/>
    <w:rsid w:val="009D1623"/>
    <w:rsid w:val="009D1833"/>
    <w:rsid w:val="009D27DB"/>
    <w:rsid w:val="009D4207"/>
    <w:rsid w:val="009D4C48"/>
    <w:rsid w:val="009D57D4"/>
    <w:rsid w:val="009D78AE"/>
    <w:rsid w:val="009E29BF"/>
    <w:rsid w:val="009E357A"/>
    <w:rsid w:val="009E3CC0"/>
    <w:rsid w:val="009E6B27"/>
    <w:rsid w:val="009E7FE8"/>
    <w:rsid w:val="009F146C"/>
    <w:rsid w:val="009F17B3"/>
    <w:rsid w:val="009F1E73"/>
    <w:rsid w:val="009F25B3"/>
    <w:rsid w:val="009F2E8D"/>
    <w:rsid w:val="009F2FB7"/>
    <w:rsid w:val="009F3D74"/>
    <w:rsid w:val="009F5B19"/>
    <w:rsid w:val="00A00F69"/>
    <w:rsid w:val="00A02D5D"/>
    <w:rsid w:val="00A034B4"/>
    <w:rsid w:val="00A059AC"/>
    <w:rsid w:val="00A06764"/>
    <w:rsid w:val="00A07B65"/>
    <w:rsid w:val="00A10754"/>
    <w:rsid w:val="00A12D81"/>
    <w:rsid w:val="00A12E51"/>
    <w:rsid w:val="00A12FCC"/>
    <w:rsid w:val="00A136B8"/>
    <w:rsid w:val="00A13A14"/>
    <w:rsid w:val="00A14D6B"/>
    <w:rsid w:val="00A17E00"/>
    <w:rsid w:val="00A2061A"/>
    <w:rsid w:val="00A22AAD"/>
    <w:rsid w:val="00A23057"/>
    <w:rsid w:val="00A24EC6"/>
    <w:rsid w:val="00A25CA6"/>
    <w:rsid w:val="00A30CD9"/>
    <w:rsid w:val="00A31DCD"/>
    <w:rsid w:val="00A32F01"/>
    <w:rsid w:val="00A338FF"/>
    <w:rsid w:val="00A34281"/>
    <w:rsid w:val="00A34603"/>
    <w:rsid w:val="00A351BE"/>
    <w:rsid w:val="00A4088F"/>
    <w:rsid w:val="00A41B7B"/>
    <w:rsid w:val="00A42EF8"/>
    <w:rsid w:val="00A4332C"/>
    <w:rsid w:val="00A43CDB"/>
    <w:rsid w:val="00A44303"/>
    <w:rsid w:val="00A451A9"/>
    <w:rsid w:val="00A46035"/>
    <w:rsid w:val="00A477C0"/>
    <w:rsid w:val="00A47937"/>
    <w:rsid w:val="00A5001E"/>
    <w:rsid w:val="00A534A7"/>
    <w:rsid w:val="00A53630"/>
    <w:rsid w:val="00A53C56"/>
    <w:rsid w:val="00A55936"/>
    <w:rsid w:val="00A5650F"/>
    <w:rsid w:val="00A62D15"/>
    <w:rsid w:val="00A636F5"/>
    <w:rsid w:val="00A63CB9"/>
    <w:rsid w:val="00A6472D"/>
    <w:rsid w:val="00A6528A"/>
    <w:rsid w:val="00A65DAD"/>
    <w:rsid w:val="00A67695"/>
    <w:rsid w:val="00A678C4"/>
    <w:rsid w:val="00A67E6D"/>
    <w:rsid w:val="00A715AA"/>
    <w:rsid w:val="00A71EEE"/>
    <w:rsid w:val="00A72001"/>
    <w:rsid w:val="00A725D8"/>
    <w:rsid w:val="00A72A19"/>
    <w:rsid w:val="00A74917"/>
    <w:rsid w:val="00A74F13"/>
    <w:rsid w:val="00A750ED"/>
    <w:rsid w:val="00A75C35"/>
    <w:rsid w:val="00A81481"/>
    <w:rsid w:val="00A829AD"/>
    <w:rsid w:val="00A82F35"/>
    <w:rsid w:val="00A84CB7"/>
    <w:rsid w:val="00A84D4F"/>
    <w:rsid w:val="00A86942"/>
    <w:rsid w:val="00A9239E"/>
    <w:rsid w:val="00A9269D"/>
    <w:rsid w:val="00A92E6F"/>
    <w:rsid w:val="00A935AB"/>
    <w:rsid w:val="00A95CC2"/>
    <w:rsid w:val="00A9682C"/>
    <w:rsid w:val="00A96E79"/>
    <w:rsid w:val="00A9786E"/>
    <w:rsid w:val="00A97D98"/>
    <w:rsid w:val="00AA1856"/>
    <w:rsid w:val="00AA30A5"/>
    <w:rsid w:val="00AA520B"/>
    <w:rsid w:val="00AA58F4"/>
    <w:rsid w:val="00AA5FF3"/>
    <w:rsid w:val="00AB1362"/>
    <w:rsid w:val="00AB1920"/>
    <w:rsid w:val="00AB1B63"/>
    <w:rsid w:val="00AB3477"/>
    <w:rsid w:val="00AB3943"/>
    <w:rsid w:val="00AB46EA"/>
    <w:rsid w:val="00AB5A32"/>
    <w:rsid w:val="00AB5B66"/>
    <w:rsid w:val="00AB5FEC"/>
    <w:rsid w:val="00AB7923"/>
    <w:rsid w:val="00AC2FEE"/>
    <w:rsid w:val="00AC387A"/>
    <w:rsid w:val="00AC54F9"/>
    <w:rsid w:val="00AC7587"/>
    <w:rsid w:val="00AD0D4E"/>
    <w:rsid w:val="00AD221D"/>
    <w:rsid w:val="00AD284C"/>
    <w:rsid w:val="00AD373C"/>
    <w:rsid w:val="00AD43D7"/>
    <w:rsid w:val="00AD50E5"/>
    <w:rsid w:val="00AD6447"/>
    <w:rsid w:val="00AD6672"/>
    <w:rsid w:val="00AE2EEE"/>
    <w:rsid w:val="00AE5B04"/>
    <w:rsid w:val="00AE66A1"/>
    <w:rsid w:val="00AE6A81"/>
    <w:rsid w:val="00AF04AB"/>
    <w:rsid w:val="00AF096E"/>
    <w:rsid w:val="00AF125D"/>
    <w:rsid w:val="00AF1A26"/>
    <w:rsid w:val="00AF1AA5"/>
    <w:rsid w:val="00AF1B82"/>
    <w:rsid w:val="00AF20DC"/>
    <w:rsid w:val="00AF36E8"/>
    <w:rsid w:val="00AF389C"/>
    <w:rsid w:val="00AF4E83"/>
    <w:rsid w:val="00AF5138"/>
    <w:rsid w:val="00AF51CC"/>
    <w:rsid w:val="00AF52C3"/>
    <w:rsid w:val="00AF5796"/>
    <w:rsid w:val="00AF616F"/>
    <w:rsid w:val="00AF75DF"/>
    <w:rsid w:val="00B004C4"/>
    <w:rsid w:val="00B010E5"/>
    <w:rsid w:val="00B01BE3"/>
    <w:rsid w:val="00B0267E"/>
    <w:rsid w:val="00B04475"/>
    <w:rsid w:val="00B04D92"/>
    <w:rsid w:val="00B0619F"/>
    <w:rsid w:val="00B06709"/>
    <w:rsid w:val="00B06EB4"/>
    <w:rsid w:val="00B0741D"/>
    <w:rsid w:val="00B07B6B"/>
    <w:rsid w:val="00B1099D"/>
    <w:rsid w:val="00B121A2"/>
    <w:rsid w:val="00B1312B"/>
    <w:rsid w:val="00B15251"/>
    <w:rsid w:val="00B15E02"/>
    <w:rsid w:val="00B2041E"/>
    <w:rsid w:val="00B20F36"/>
    <w:rsid w:val="00B21EAA"/>
    <w:rsid w:val="00B23291"/>
    <w:rsid w:val="00B235A4"/>
    <w:rsid w:val="00B2415A"/>
    <w:rsid w:val="00B2463F"/>
    <w:rsid w:val="00B25199"/>
    <w:rsid w:val="00B26149"/>
    <w:rsid w:val="00B27E11"/>
    <w:rsid w:val="00B31675"/>
    <w:rsid w:val="00B320F5"/>
    <w:rsid w:val="00B333B5"/>
    <w:rsid w:val="00B34634"/>
    <w:rsid w:val="00B34BC8"/>
    <w:rsid w:val="00B35943"/>
    <w:rsid w:val="00B365B5"/>
    <w:rsid w:val="00B37673"/>
    <w:rsid w:val="00B3791F"/>
    <w:rsid w:val="00B37C51"/>
    <w:rsid w:val="00B4244A"/>
    <w:rsid w:val="00B427B1"/>
    <w:rsid w:val="00B428C5"/>
    <w:rsid w:val="00B44018"/>
    <w:rsid w:val="00B445BA"/>
    <w:rsid w:val="00B45B49"/>
    <w:rsid w:val="00B45C09"/>
    <w:rsid w:val="00B47AF7"/>
    <w:rsid w:val="00B50C06"/>
    <w:rsid w:val="00B51952"/>
    <w:rsid w:val="00B51CFA"/>
    <w:rsid w:val="00B52865"/>
    <w:rsid w:val="00B52E60"/>
    <w:rsid w:val="00B533FE"/>
    <w:rsid w:val="00B539DD"/>
    <w:rsid w:val="00B542F1"/>
    <w:rsid w:val="00B550DA"/>
    <w:rsid w:val="00B55A86"/>
    <w:rsid w:val="00B569F5"/>
    <w:rsid w:val="00B6042F"/>
    <w:rsid w:val="00B6124A"/>
    <w:rsid w:val="00B62F93"/>
    <w:rsid w:val="00B6519C"/>
    <w:rsid w:val="00B6548B"/>
    <w:rsid w:val="00B6610C"/>
    <w:rsid w:val="00B6631C"/>
    <w:rsid w:val="00B67AC0"/>
    <w:rsid w:val="00B701AB"/>
    <w:rsid w:val="00B705B2"/>
    <w:rsid w:val="00B70693"/>
    <w:rsid w:val="00B70CAE"/>
    <w:rsid w:val="00B71581"/>
    <w:rsid w:val="00B71871"/>
    <w:rsid w:val="00B725AA"/>
    <w:rsid w:val="00B72ECE"/>
    <w:rsid w:val="00B731E6"/>
    <w:rsid w:val="00B7380E"/>
    <w:rsid w:val="00B73B4B"/>
    <w:rsid w:val="00B73CDC"/>
    <w:rsid w:val="00B7410C"/>
    <w:rsid w:val="00B749E6"/>
    <w:rsid w:val="00B74D53"/>
    <w:rsid w:val="00B775ED"/>
    <w:rsid w:val="00B8074D"/>
    <w:rsid w:val="00B808C3"/>
    <w:rsid w:val="00B80FC0"/>
    <w:rsid w:val="00B8121D"/>
    <w:rsid w:val="00B81D6D"/>
    <w:rsid w:val="00B8311F"/>
    <w:rsid w:val="00B85407"/>
    <w:rsid w:val="00B8648D"/>
    <w:rsid w:val="00B86B6B"/>
    <w:rsid w:val="00B90DE8"/>
    <w:rsid w:val="00B90ECB"/>
    <w:rsid w:val="00B910B0"/>
    <w:rsid w:val="00B9240E"/>
    <w:rsid w:val="00B9264A"/>
    <w:rsid w:val="00B93596"/>
    <w:rsid w:val="00B93BB2"/>
    <w:rsid w:val="00B950CA"/>
    <w:rsid w:val="00B97CFF"/>
    <w:rsid w:val="00BA0007"/>
    <w:rsid w:val="00BA0A02"/>
    <w:rsid w:val="00BA1072"/>
    <w:rsid w:val="00BA34AB"/>
    <w:rsid w:val="00BA3B4B"/>
    <w:rsid w:val="00BA3DC1"/>
    <w:rsid w:val="00BA4526"/>
    <w:rsid w:val="00BA4AB6"/>
    <w:rsid w:val="00BA53A1"/>
    <w:rsid w:val="00BA7E75"/>
    <w:rsid w:val="00BB069C"/>
    <w:rsid w:val="00BB081B"/>
    <w:rsid w:val="00BB1A5E"/>
    <w:rsid w:val="00BB2016"/>
    <w:rsid w:val="00BB26D5"/>
    <w:rsid w:val="00BB2763"/>
    <w:rsid w:val="00BB3135"/>
    <w:rsid w:val="00BB355A"/>
    <w:rsid w:val="00BB3655"/>
    <w:rsid w:val="00BB69DD"/>
    <w:rsid w:val="00BB6C18"/>
    <w:rsid w:val="00BB6C6B"/>
    <w:rsid w:val="00BB79B3"/>
    <w:rsid w:val="00BC048A"/>
    <w:rsid w:val="00BC15EA"/>
    <w:rsid w:val="00BC463C"/>
    <w:rsid w:val="00BC6023"/>
    <w:rsid w:val="00BC63E4"/>
    <w:rsid w:val="00BC663B"/>
    <w:rsid w:val="00BC74C9"/>
    <w:rsid w:val="00BD0332"/>
    <w:rsid w:val="00BD0B32"/>
    <w:rsid w:val="00BD0FFE"/>
    <w:rsid w:val="00BD2168"/>
    <w:rsid w:val="00BD26EE"/>
    <w:rsid w:val="00BD4BCA"/>
    <w:rsid w:val="00BD4CA2"/>
    <w:rsid w:val="00BD582A"/>
    <w:rsid w:val="00BD67B1"/>
    <w:rsid w:val="00BD6A14"/>
    <w:rsid w:val="00BD6D10"/>
    <w:rsid w:val="00BD703D"/>
    <w:rsid w:val="00BE1856"/>
    <w:rsid w:val="00BE2107"/>
    <w:rsid w:val="00BE2F23"/>
    <w:rsid w:val="00BE3ECA"/>
    <w:rsid w:val="00BE40F3"/>
    <w:rsid w:val="00BE45A6"/>
    <w:rsid w:val="00BE4840"/>
    <w:rsid w:val="00BE5D6D"/>
    <w:rsid w:val="00BE5EB9"/>
    <w:rsid w:val="00BE74CB"/>
    <w:rsid w:val="00BF0A9D"/>
    <w:rsid w:val="00BF3EC9"/>
    <w:rsid w:val="00BF4036"/>
    <w:rsid w:val="00BF4747"/>
    <w:rsid w:val="00BF4947"/>
    <w:rsid w:val="00BF6B16"/>
    <w:rsid w:val="00BF6B69"/>
    <w:rsid w:val="00BF7B0C"/>
    <w:rsid w:val="00BF7C63"/>
    <w:rsid w:val="00C007C8"/>
    <w:rsid w:val="00C02B4C"/>
    <w:rsid w:val="00C0374D"/>
    <w:rsid w:val="00C04FE0"/>
    <w:rsid w:val="00C05891"/>
    <w:rsid w:val="00C0790A"/>
    <w:rsid w:val="00C11CF8"/>
    <w:rsid w:val="00C11D22"/>
    <w:rsid w:val="00C11DFD"/>
    <w:rsid w:val="00C1233E"/>
    <w:rsid w:val="00C141C3"/>
    <w:rsid w:val="00C1525B"/>
    <w:rsid w:val="00C158BA"/>
    <w:rsid w:val="00C15A4F"/>
    <w:rsid w:val="00C17B31"/>
    <w:rsid w:val="00C214C4"/>
    <w:rsid w:val="00C23055"/>
    <w:rsid w:val="00C2357B"/>
    <w:rsid w:val="00C26173"/>
    <w:rsid w:val="00C27839"/>
    <w:rsid w:val="00C31A22"/>
    <w:rsid w:val="00C31EB5"/>
    <w:rsid w:val="00C33349"/>
    <w:rsid w:val="00C3341F"/>
    <w:rsid w:val="00C3356E"/>
    <w:rsid w:val="00C3404F"/>
    <w:rsid w:val="00C35976"/>
    <w:rsid w:val="00C36607"/>
    <w:rsid w:val="00C3771A"/>
    <w:rsid w:val="00C41745"/>
    <w:rsid w:val="00C4422E"/>
    <w:rsid w:val="00C442DB"/>
    <w:rsid w:val="00C44962"/>
    <w:rsid w:val="00C4644D"/>
    <w:rsid w:val="00C51C01"/>
    <w:rsid w:val="00C52A3F"/>
    <w:rsid w:val="00C5332A"/>
    <w:rsid w:val="00C536BA"/>
    <w:rsid w:val="00C537F4"/>
    <w:rsid w:val="00C54140"/>
    <w:rsid w:val="00C54FFA"/>
    <w:rsid w:val="00C5505A"/>
    <w:rsid w:val="00C55F80"/>
    <w:rsid w:val="00C570CE"/>
    <w:rsid w:val="00C57EAD"/>
    <w:rsid w:val="00C57FE3"/>
    <w:rsid w:val="00C60219"/>
    <w:rsid w:val="00C606E7"/>
    <w:rsid w:val="00C61899"/>
    <w:rsid w:val="00C64415"/>
    <w:rsid w:val="00C64FE6"/>
    <w:rsid w:val="00C65C4B"/>
    <w:rsid w:val="00C65E48"/>
    <w:rsid w:val="00C66F78"/>
    <w:rsid w:val="00C67409"/>
    <w:rsid w:val="00C71063"/>
    <w:rsid w:val="00C71B7B"/>
    <w:rsid w:val="00C73A3C"/>
    <w:rsid w:val="00C73ACB"/>
    <w:rsid w:val="00C77AA7"/>
    <w:rsid w:val="00C8017E"/>
    <w:rsid w:val="00C8156A"/>
    <w:rsid w:val="00C8269F"/>
    <w:rsid w:val="00C83835"/>
    <w:rsid w:val="00C83AFB"/>
    <w:rsid w:val="00C845D0"/>
    <w:rsid w:val="00C84AF0"/>
    <w:rsid w:val="00C85658"/>
    <w:rsid w:val="00C85831"/>
    <w:rsid w:val="00C86108"/>
    <w:rsid w:val="00C869A5"/>
    <w:rsid w:val="00C87D9D"/>
    <w:rsid w:val="00C901EF"/>
    <w:rsid w:val="00C911BE"/>
    <w:rsid w:val="00C91F6D"/>
    <w:rsid w:val="00C92330"/>
    <w:rsid w:val="00C92662"/>
    <w:rsid w:val="00C94111"/>
    <w:rsid w:val="00C9526D"/>
    <w:rsid w:val="00C95F10"/>
    <w:rsid w:val="00C962AC"/>
    <w:rsid w:val="00C9654A"/>
    <w:rsid w:val="00C96646"/>
    <w:rsid w:val="00C97B7A"/>
    <w:rsid w:val="00CA044D"/>
    <w:rsid w:val="00CA1018"/>
    <w:rsid w:val="00CA314A"/>
    <w:rsid w:val="00CA4AED"/>
    <w:rsid w:val="00CA4BA4"/>
    <w:rsid w:val="00CA6581"/>
    <w:rsid w:val="00CA7E08"/>
    <w:rsid w:val="00CB07A3"/>
    <w:rsid w:val="00CB0B5C"/>
    <w:rsid w:val="00CB0D8E"/>
    <w:rsid w:val="00CB21BC"/>
    <w:rsid w:val="00CB2502"/>
    <w:rsid w:val="00CB2B79"/>
    <w:rsid w:val="00CB7E7E"/>
    <w:rsid w:val="00CC137C"/>
    <w:rsid w:val="00CC17A1"/>
    <w:rsid w:val="00CC2112"/>
    <w:rsid w:val="00CC2535"/>
    <w:rsid w:val="00CC2C22"/>
    <w:rsid w:val="00CC2D78"/>
    <w:rsid w:val="00CC327C"/>
    <w:rsid w:val="00CC4D03"/>
    <w:rsid w:val="00CC5E7D"/>
    <w:rsid w:val="00CC6FF2"/>
    <w:rsid w:val="00CC7FEA"/>
    <w:rsid w:val="00CD0717"/>
    <w:rsid w:val="00CD0CA7"/>
    <w:rsid w:val="00CD0E00"/>
    <w:rsid w:val="00CD1F67"/>
    <w:rsid w:val="00CD22A5"/>
    <w:rsid w:val="00CD3428"/>
    <w:rsid w:val="00CD4AF9"/>
    <w:rsid w:val="00CD5A4C"/>
    <w:rsid w:val="00CD5DCD"/>
    <w:rsid w:val="00CD75AB"/>
    <w:rsid w:val="00CD76CF"/>
    <w:rsid w:val="00CE0FD8"/>
    <w:rsid w:val="00CE2268"/>
    <w:rsid w:val="00CE42B0"/>
    <w:rsid w:val="00CE53B2"/>
    <w:rsid w:val="00CE70F7"/>
    <w:rsid w:val="00CE7BDE"/>
    <w:rsid w:val="00CE7D32"/>
    <w:rsid w:val="00CF065B"/>
    <w:rsid w:val="00CF317A"/>
    <w:rsid w:val="00CF501C"/>
    <w:rsid w:val="00D0036E"/>
    <w:rsid w:val="00D01BE2"/>
    <w:rsid w:val="00D02CEA"/>
    <w:rsid w:val="00D037D1"/>
    <w:rsid w:val="00D0410B"/>
    <w:rsid w:val="00D04483"/>
    <w:rsid w:val="00D045FD"/>
    <w:rsid w:val="00D06668"/>
    <w:rsid w:val="00D06FC8"/>
    <w:rsid w:val="00D07144"/>
    <w:rsid w:val="00D10185"/>
    <w:rsid w:val="00D105D6"/>
    <w:rsid w:val="00D12225"/>
    <w:rsid w:val="00D123B7"/>
    <w:rsid w:val="00D1245C"/>
    <w:rsid w:val="00D13AFD"/>
    <w:rsid w:val="00D155DE"/>
    <w:rsid w:val="00D16331"/>
    <w:rsid w:val="00D17695"/>
    <w:rsid w:val="00D20D15"/>
    <w:rsid w:val="00D21F82"/>
    <w:rsid w:val="00D22221"/>
    <w:rsid w:val="00D232CD"/>
    <w:rsid w:val="00D23A44"/>
    <w:rsid w:val="00D24982"/>
    <w:rsid w:val="00D24B8D"/>
    <w:rsid w:val="00D260D3"/>
    <w:rsid w:val="00D26175"/>
    <w:rsid w:val="00D26974"/>
    <w:rsid w:val="00D26D43"/>
    <w:rsid w:val="00D2708B"/>
    <w:rsid w:val="00D31C79"/>
    <w:rsid w:val="00D33C9E"/>
    <w:rsid w:val="00D36894"/>
    <w:rsid w:val="00D36C65"/>
    <w:rsid w:val="00D36ED0"/>
    <w:rsid w:val="00D371A0"/>
    <w:rsid w:val="00D377F1"/>
    <w:rsid w:val="00D37FD4"/>
    <w:rsid w:val="00D40A46"/>
    <w:rsid w:val="00D43D45"/>
    <w:rsid w:val="00D44C88"/>
    <w:rsid w:val="00D44F0A"/>
    <w:rsid w:val="00D45964"/>
    <w:rsid w:val="00D45970"/>
    <w:rsid w:val="00D50202"/>
    <w:rsid w:val="00D52070"/>
    <w:rsid w:val="00D532C4"/>
    <w:rsid w:val="00D546FD"/>
    <w:rsid w:val="00D54F04"/>
    <w:rsid w:val="00D55213"/>
    <w:rsid w:val="00D55B3C"/>
    <w:rsid w:val="00D56B53"/>
    <w:rsid w:val="00D57170"/>
    <w:rsid w:val="00D57D2C"/>
    <w:rsid w:val="00D60707"/>
    <w:rsid w:val="00D6083D"/>
    <w:rsid w:val="00D62256"/>
    <w:rsid w:val="00D624D7"/>
    <w:rsid w:val="00D662A4"/>
    <w:rsid w:val="00D6719F"/>
    <w:rsid w:val="00D6773E"/>
    <w:rsid w:val="00D67C50"/>
    <w:rsid w:val="00D67E74"/>
    <w:rsid w:val="00D67FBA"/>
    <w:rsid w:val="00D70FAF"/>
    <w:rsid w:val="00D70FB8"/>
    <w:rsid w:val="00D7189E"/>
    <w:rsid w:val="00D720A7"/>
    <w:rsid w:val="00D73339"/>
    <w:rsid w:val="00D754CC"/>
    <w:rsid w:val="00D757EA"/>
    <w:rsid w:val="00D75839"/>
    <w:rsid w:val="00D75B79"/>
    <w:rsid w:val="00D76A77"/>
    <w:rsid w:val="00D76C69"/>
    <w:rsid w:val="00D77A06"/>
    <w:rsid w:val="00D8123E"/>
    <w:rsid w:val="00D81E06"/>
    <w:rsid w:val="00D825C9"/>
    <w:rsid w:val="00D8516A"/>
    <w:rsid w:val="00D860C3"/>
    <w:rsid w:val="00D86B5C"/>
    <w:rsid w:val="00D87AB5"/>
    <w:rsid w:val="00D87E36"/>
    <w:rsid w:val="00D902B5"/>
    <w:rsid w:val="00D90B67"/>
    <w:rsid w:val="00D9134F"/>
    <w:rsid w:val="00D921B0"/>
    <w:rsid w:val="00D925B1"/>
    <w:rsid w:val="00D935DE"/>
    <w:rsid w:val="00D94098"/>
    <w:rsid w:val="00D9444F"/>
    <w:rsid w:val="00D953C1"/>
    <w:rsid w:val="00D956F4"/>
    <w:rsid w:val="00D95B37"/>
    <w:rsid w:val="00D95B8D"/>
    <w:rsid w:val="00D97A42"/>
    <w:rsid w:val="00D97AFF"/>
    <w:rsid w:val="00D97D49"/>
    <w:rsid w:val="00D97F80"/>
    <w:rsid w:val="00DA0AC3"/>
    <w:rsid w:val="00DA0D8B"/>
    <w:rsid w:val="00DA16F4"/>
    <w:rsid w:val="00DA2164"/>
    <w:rsid w:val="00DA216D"/>
    <w:rsid w:val="00DA26A7"/>
    <w:rsid w:val="00DA38EB"/>
    <w:rsid w:val="00DA42A4"/>
    <w:rsid w:val="00DA4A99"/>
    <w:rsid w:val="00DA5ACF"/>
    <w:rsid w:val="00DA6FA6"/>
    <w:rsid w:val="00DA7940"/>
    <w:rsid w:val="00DB0238"/>
    <w:rsid w:val="00DB04EF"/>
    <w:rsid w:val="00DB07EF"/>
    <w:rsid w:val="00DB0F0D"/>
    <w:rsid w:val="00DB129F"/>
    <w:rsid w:val="00DB27C1"/>
    <w:rsid w:val="00DB381B"/>
    <w:rsid w:val="00DB437E"/>
    <w:rsid w:val="00DB4EA5"/>
    <w:rsid w:val="00DB5D2E"/>
    <w:rsid w:val="00DB6508"/>
    <w:rsid w:val="00DB6C01"/>
    <w:rsid w:val="00DC0BE3"/>
    <w:rsid w:val="00DC19D1"/>
    <w:rsid w:val="00DC2B42"/>
    <w:rsid w:val="00DC3DBF"/>
    <w:rsid w:val="00DC48C0"/>
    <w:rsid w:val="00DC50B5"/>
    <w:rsid w:val="00DC5294"/>
    <w:rsid w:val="00DC67DA"/>
    <w:rsid w:val="00DD1F4E"/>
    <w:rsid w:val="00DD26C6"/>
    <w:rsid w:val="00DD2C33"/>
    <w:rsid w:val="00DD4BC5"/>
    <w:rsid w:val="00DD4E50"/>
    <w:rsid w:val="00DD5565"/>
    <w:rsid w:val="00DD5A39"/>
    <w:rsid w:val="00DD6241"/>
    <w:rsid w:val="00DD6B96"/>
    <w:rsid w:val="00DD6C53"/>
    <w:rsid w:val="00DD7603"/>
    <w:rsid w:val="00DD7DE7"/>
    <w:rsid w:val="00DE06AB"/>
    <w:rsid w:val="00DE0A88"/>
    <w:rsid w:val="00DE134C"/>
    <w:rsid w:val="00DE1824"/>
    <w:rsid w:val="00DE2D99"/>
    <w:rsid w:val="00DE39E2"/>
    <w:rsid w:val="00DE42C8"/>
    <w:rsid w:val="00DE53CE"/>
    <w:rsid w:val="00DE6ED9"/>
    <w:rsid w:val="00DE70D9"/>
    <w:rsid w:val="00DF0F18"/>
    <w:rsid w:val="00DF13A7"/>
    <w:rsid w:val="00DF56C2"/>
    <w:rsid w:val="00DF5C3F"/>
    <w:rsid w:val="00DF5FB4"/>
    <w:rsid w:val="00DF68CA"/>
    <w:rsid w:val="00DF78A3"/>
    <w:rsid w:val="00E00D91"/>
    <w:rsid w:val="00E015E8"/>
    <w:rsid w:val="00E01642"/>
    <w:rsid w:val="00E01A23"/>
    <w:rsid w:val="00E03D5C"/>
    <w:rsid w:val="00E05052"/>
    <w:rsid w:val="00E056CF"/>
    <w:rsid w:val="00E05D68"/>
    <w:rsid w:val="00E070B5"/>
    <w:rsid w:val="00E0739B"/>
    <w:rsid w:val="00E077EF"/>
    <w:rsid w:val="00E11586"/>
    <w:rsid w:val="00E11F81"/>
    <w:rsid w:val="00E124CC"/>
    <w:rsid w:val="00E12540"/>
    <w:rsid w:val="00E12EB8"/>
    <w:rsid w:val="00E12F38"/>
    <w:rsid w:val="00E1344C"/>
    <w:rsid w:val="00E1677D"/>
    <w:rsid w:val="00E16B1E"/>
    <w:rsid w:val="00E173BB"/>
    <w:rsid w:val="00E176FD"/>
    <w:rsid w:val="00E22F1C"/>
    <w:rsid w:val="00E23287"/>
    <w:rsid w:val="00E2364A"/>
    <w:rsid w:val="00E2562C"/>
    <w:rsid w:val="00E25EB1"/>
    <w:rsid w:val="00E30739"/>
    <w:rsid w:val="00E3191F"/>
    <w:rsid w:val="00E32F14"/>
    <w:rsid w:val="00E330CD"/>
    <w:rsid w:val="00E332D1"/>
    <w:rsid w:val="00E34651"/>
    <w:rsid w:val="00E346E9"/>
    <w:rsid w:val="00E35EC5"/>
    <w:rsid w:val="00E3695A"/>
    <w:rsid w:val="00E36FED"/>
    <w:rsid w:val="00E37216"/>
    <w:rsid w:val="00E377F0"/>
    <w:rsid w:val="00E4009B"/>
    <w:rsid w:val="00E4096D"/>
    <w:rsid w:val="00E411FF"/>
    <w:rsid w:val="00E4165A"/>
    <w:rsid w:val="00E4184A"/>
    <w:rsid w:val="00E426BD"/>
    <w:rsid w:val="00E43C68"/>
    <w:rsid w:val="00E46F36"/>
    <w:rsid w:val="00E50AC4"/>
    <w:rsid w:val="00E51D90"/>
    <w:rsid w:val="00E52E45"/>
    <w:rsid w:val="00E53039"/>
    <w:rsid w:val="00E54AED"/>
    <w:rsid w:val="00E54CC0"/>
    <w:rsid w:val="00E56F0B"/>
    <w:rsid w:val="00E572A4"/>
    <w:rsid w:val="00E57D76"/>
    <w:rsid w:val="00E57F83"/>
    <w:rsid w:val="00E60AA6"/>
    <w:rsid w:val="00E614D1"/>
    <w:rsid w:val="00E6183D"/>
    <w:rsid w:val="00E65C88"/>
    <w:rsid w:val="00E66DDC"/>
    <w:rsid w:val="00E67B82"/>
    <w:rsid w:val="00E71493"/>
    <w:rsid w:val="00E725DD"/>
    <w:rsid w:val="00E72B3C"/>
    <w:rsid w:val="00E750C7"/>
    <w:rsid w:val="00E759F9"/>
    <w:rsid w:val="00E76B1E"/>
    <w:rsid w:val="00E77E97"/>
    <w:rsid w:val="00E80557"/>
    <w:rsid w:val="00E80821"/>
    <w:rsid w:val="00E8088C"/>
    <w:rsid w:val="00E81159"/>
    <w:rsid w:val="00E81CA9"/>
    <w:rsid w:val="00E81D14"/>
    <w:rsid w:val="00E82435"/>
    <w:rsid w:val="00E829F5"/>
    <w:rsid w:val="00E82EFD"/>
    <w:rsid w:val="00E85EA6"/>
    <w:rsid w:val="00E865BF"/>
    <w:rsid w:val="00E87346"/>
    <w:rsid w:val="00E90328"/>
    <w:rsid w:val="00E90CE2"/>
    <w:rsid w:val="00E90E9C"/>
    <w:rsid w:val="00E91B7F"/>
    <w:rsid w:val="00E96442"/>
    <w:rsid w:val="00E97902"/>
    <w:rsid w:val="00E979E2"/>
    <w:rsid w:val="00EA450B"/>
    <w:rsid w:val="00EA4E46"/>
    <w:rsid w:val="00EA56DC"/>
    <w:rsid w:val="00EA56ED"/>
    <w:rsid w:val="00EA648C"/>
    <w:rsid w:val="00EB2380"/>
    <w:rsid w:val="00EB24B8"/>
    <w:rsid w:val="00EB3150"/>
    <w:rsid w:val="00EB6351"/>
    <w:rsid w:val="00EB668F"/>
    <w:rsid w:val="00EC0327"/>
    <w:rsid w:val="00EC0E01"/>
    <w:rsid w:val="00EC179B"/>
    <w:rsid w:val="00EC18AC"/>
    <w:rsid w:val="00EC2E5C"/>
    <w:rsid w:val="00EC46BF"/>
    <w:rsid w:val="00EC505B"/>
    <w:rsid w:val="00EC5801"/>
    <w:rsid w:val="00EC59B4"/>
    <w:rsid w:val="00EC5D0E"/>
    <w:rsid w:val="00EC6728"/>
    <w:rsid w:val="00EC753A"/>
    <w:rsid w:val="00EC782D"/>
    <w:rsid w:val="00ED0A32"/>
    <w:rsid w:val="00ED0E92"/>
    <w:rsid w:val="00ED1087"/>
    <w:rsid w:val="00ED1B6F"/>
    <w:rsid w:val="00ED217B"/>
    <w:rsid w:val="00ED27CA"/>
    <w:rsid w:val="00ED60E6"/>
    <w:rsid w:val="00ED64DB"/>
    <w:rsid w:val="00ED72D5"/>
    <w:rsid w:val="00ED79F2"/>
    <w:rsid w:val="00ED7CF5"/>
    <w:rsid w:val="00ED7E75"/>
    <w:rsid w:val="00EE192B"/>
    <w:rsid w:val="00EE2F01"/>
    <w:rsid w:val="00EE3241"/>
    <w:rsid w:val="00EE4843"/>
    <w:rsid w:val="00EE60B7"/>
    <w:rsid w:val="00EE6401"/>
    <w:rsid w:val="00EE693B"/>
    <w:rsid w:val="00EE6D7E"/>
    <w:rsid w:val="00EF0BA3"/>
    <w:rsid w:val="00EF0EA0"/>
    <w:rsid w:val="00EF1856"/>
    <w:rsid w:val="00EF186D"/>
    <w:rsid w:val="00EF1B69"/>
    <w:rsid w:val="00EF1BD2"/>
    <w:rsid w:val="00EF25F6"/>
    <w:rsid w:val="00EF27A8"/>
    <w:rsid w:val="00EF500A"/>
    <w:rsid w:val="00EF725E"/>
    <w:rsid w:val="00F00839"/>
    <w:rsid w:val="00F01090"/>
    <w:rsid w:val="00F01C50"/>
    <w:rsid w:val="00F0322F"/>
    <w:rsid w:val="00F046AB"/>
    <w:rsid w:val="00F05AD4"/>
    <w:rsid w:val="00F07A4F"/>
    <w:rsid w:val="00F07B95"/>
    <w:rsid w:val="00F112A9"/>
    <w:rsid w:val="00F11BF5"/>
    <w:rsid w:val="00F13025"/>
    <w:rsid w:val="00F13255"/>
    <w:rsid w:val="00F13671"/>
    <w:rsid w:val="00F1380E"/>
    <w:rsid w:val="00F16377"/>
    <w:rsid w:val="00F17A5B"/>
    <w:rsid w:val="00F205FD"/>
    <w:rsid w:val="00F20E48"/>
    <w:rsid w:val="00F21B2E"/>
    <w:rsid w:val="00F22125"/>
    <w:rsid w:val="00F22B04"/>
    <w:rsid w:val="00F234B4"/>
    <w:rsid w:val="00F23D62"/>
    <w:rsid w:val="00F23DDB"/>
    <w:rsid w:val="00F2698E"/>
    <w:rsid w:val="00F26F39"/>
    <w:rsid w:val="00F274C1"/>
    <w:rsid w:val="00F3040B"/>
    <w:rsid w:val="00F3072F"/>
    <w:rsid w:val="00F31139"/>
    <w:rsid w:val="00F312CD"/>
    <w:rsid w:val="00F32553"/>
    <w:rsid w:val="00F33192"/>
    <w:rsid w:val="00F333C9"/>
    <w:rsid w:val="00F33FD7"/>
    <w:rsid w:val="00F34A33"/>
    <w:rsid w:val="00F34B39"/>
    <w:rsid w:val="00F34CD5"/>
    <w:rsid w:val="00F351EF"/>
    <w:rsid w:val="00F40631"/>
    <w:rsid w:val="00F40923"/>
    <w:rsid w:val="00F4143D"/>
    <w:rsid w:val="00F41717"/>
    <w:rsid w:val="00F42D01"/>
    <w:rsid w:val="00F43AA6"/>
    <w:rsid w:val="00F45C0F"/>
    <w:rsid w:val="00F46CB8"/>
    <w:rsid w:val="00F46E48"/>
    <w:rsid w:val="00F479FE"/>
    <w:rsid w:val="00F5013E"/>
    <w:rsid w:val="00F51C21"/>
    <w:rsid w:val="00F52ABE"/>
    <w:rsid w:val="00F52ED2"/>
    <w:rsid w:val="00F571F0"/>
    <w:rsid w:val="00F60A9F"/>
    <w:rsid w:val="00F62D3E"/>
    <w:rsid w:val="00F62FAE"/>
    <w:rsid w:val="00F6393A"/>
    <w:rsid w:val="00F64518"/>
    <w:rsid w:val="00F65706"/>
    <w:rsid w:val="00F65C6A"/>
    <w:rsid w:val="00F66A53"/>
    <w:rsid w:val="00F672E0"/>
    <w:rsid w:val="00F7080D"/>
    <w:rsid w:val="00F70FB2"/>
    <w:rsid w:val="00F710CB"/>
    <w:rsid w:val="00F72183"/>
    <w:rsid w:val="00F7219E"/>
    <w:rsid w:val="00F74C8D"/>
    <w:rsid w:val="00F758DF"/>
    <w:rsid w:val="00F77F10"/>
    <w:rsid w:val="00F80D75"/>
    <w:rsid w:val="00F80F05"/>
    <w:rsid w:val="00F8153B"/>
    <w:rsid w:val="00F81A8F"/>
    <w:rsid w:val="00F825BB"/>
    <w:rsid w:val="00F83CAD"/>
    <w:rsid w:val="00F851E6"/>
    <w:rsid w:val="00F85FC7"/>
    <w:rsid w:val="00F8734F"/>
    <w:rsid w:val="00F91F86"/>
    <w:rsid w:val="00F92397"/>
    <w:rsid w:val="00F93592"/>
    <w:rsid w:val="00F935F0"/>
    <w:rsid w:val="00F94098"/>
    <w:rsid w:val="00F95291"/>
    <w:rsid w:val="00F95E33"/>
    <w:rsid w:val="00F95FE7"/>
    <w:rsid w:val="00F9631B"/>
    <w:rsid w:val="00F96380"/>
    <w:rsid w:val="00F9670F"/>
    <w:rsid w:val="00F96A86"/>
    <w:rsid w:val="00F97040"/>
    <w:rsid w:val="00F9737E"/>
    <w:rsid w:val="00FA132B"/>
    <w:rsid w:val="00FA18DB"/>
    <w:rsid w:val="00FA2599"/>
    <w:rsid w:val="00FA37BA"/>
    <w:rsid w:val="00FA434F"/>
    <w:rsid w:val="00FA4503"/>
    <w:rsid w:val="00FA5D1C"/>
    <w:rsid w:val="00FA5E93"/>
    <w:rsid w:val="00FA63BD"/>
    <w:rsid w:val="00FB0867"/>
    <w:rsid w:val="00FB1822"/>
    <w:rsid w:val="00FB1DF1"/>
    <w:rsid w:val="00FB46FE"/>
    <w:rsid w:val="00FB66A7"/>
    <w:rsid w:val="00FB72FB"/>
    <w:rsid w:val="00FB7D09"/>
    <w:rsid w:val="00FC096D"/>
    <w:rsid w:val="00FC2E04"/>
    <w:rsid w:val="00FC3875"/>
    <w:rsid w:val="00FC745B"/>
    <w:rsid w:val="00FC7ADA"/>
    <w:rsid w:val="00FD0CE1"/>
    <w:rsid w:val="00FD0EA7"/>
    <w:rsid w:val="00FD1AA9"/>
    <w:rsid w:val="00FD2645"/>
    <w:rsid w:val="00FD27BC"/>
    <w:rsid w:val="00FD2E05"/>
    <w:rsid w:val="00FD37E5"/>
    <w:rsid w:val="00FD5BAB"/>
    <w:rsid w:val="00FD606B"/>
    <w:rsid w:val="00FE0449"/>
    <w:rsid w:val="00FE051A"/>
    <w:rsid w:val="00FE0F6C"/>
    <w:rsid w:val="00FE1681"/>
    <w:rsid w:val="00FE172D"/>
    <w:rsid w:val="00FE1E05"/>
    <w:rsid w:val="00FE462B"/>
    <w:rsid w:val="00FE4B7C"/>
    <w:rsid w:val="00FE5CA5"/>
    <w:rsid w:val="00FE7DA7"/>
    <w:rsid w:val="00FF0596"/>
    <w:rsid w:val="00FF0C71"/>
    <w:rsid w:val="00FF2CB0"/>
    <w:rsid w:val="00FF3AF8"/>
    <w:rsid w:val="00FF3FF5"/>
    <w:rsid w:val="00FF4F35"/>
    <w:rsid w:val="00FF6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006270,#7b5e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2"/>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index 5" w:semiHidden="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index heading" w:semiHidden="1"/>
    <w:lsdException w:name="table of figures" w:uiPriority="99"/>
    <w:lsdException w:name="line number"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4" w:semiHidden="1"/>
    <w:lsdException w:name="List Number 5" w:semiHidden="1"/>
    <w:lsdException w:name="Titl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7B6C6B"/>
    <w:pPr>
      <w:spacing w:after="170" w:line="260" w:lineRule="atLeast"/>
    </w:pPr>
  </w:style>
  <w:style w:type="paragraph" w:styleId="Heading1">
    <w:name w:val="heading 1"/>
    <w:basedOn w:val="Normalcolour"/>
    <w:next w:val="UnnumtextBodytext"/>
    <w:qFormat/>
    <w:rsid w:val="000A41C3"/>
    <w:pPr>
      <w:keepNext/>
      <w:pageBreakBefore/>
      <w:numPr>
        <w:ilvl w:val="1"/>
        <w:numId w:val="19"/>
      </w:numPr>
      <w:pBdr>
        <w:bottom w:val="single" w:sz="4" w:space="7" w:color="7B5E05"/>
      </w:pBdr>
      <w:spacing w:after="280" w:line="480" w:lineRule="atLeast"/>
      <w:outlineLvl w:val="0"/>
    </w:pPr>
    <w:rPr>
      <w:rFonts w:cs="Arial"/>
      <w:b/>
      <w:bCs/>
      <w:kern w:val="32"/>
      <w:sz w:val="48"/>
      <w:szCs w:val="32"/>
    </w:rPr>
  </w:style>
  <w:style w:type="paragraph" w:styleId="Heading2">
    <w:name w:val="heading 2"/>
    <w:basedOn w:val="Normalcolour"/>
    <w:next w:val="UnnumtextBodytext"/>
    <w:qFormat/>
    <w:rsid w:val="00E91B7F"/>
    <w:pPr>
      <w:keepNext/>
      <w:numPr>
        <w:ilvl w:val="2"/>
        <w:numId w:val="19"/>
      </w:numPr>
      <w:spacing w:before="360" w:after="100"/>
      <w:outlineLvl w:val="1"/>
    </w:pPr>
    <w:rPr>
      <w:rFonts w:cs="Arial"/>
      <w:b/>
      <w:bCs/>
      <w:iCs/>
      <w:sz w:val="40"/>
      <w:szCs w:val="28"/>
    </w:rPr>
  </w:style>
  <w:style w:type="paragraph" w:styleId="Heading3">
    <w:name w:val="heading 3"/>
    <w:basedOn w:val="Normalcolour"/>
    <w:next w:val="UnnumtextBodytext"/>
    <w:qFormat/>
    <w:rsid w:val="00E91B7F"/>
    <w:pPr>
      <w:keepNext/>
      <w:numPr>
        <w:ilvl w:val="3"/>
        <w:numId w:val="19"/>
      </w:numPr>
      <w:spacing w:before="300" w:after="80"/>
      <w:outlineLvl w:val="2"/>
    </w:pPr>
    <w:rPr>
      <w:rFonts w:cs="Arial"/>
      <w:b/>
      <w:bCs/>
      <w:color w:val="000000"/>
      <w:sz w:val="32"/>
      <w:szCs w:val="24"/>
    </w:rPr>
  </w:style>
  <w:style w:type="paragraph" w:styleId="Heading4">
    <w:name w:val="heading 4"/>
    <w:basedOn w:val="Normalcolour"/>
    <w:next w:val="UnnumtextBodytext"/>
    <w:qFormat/>
    <w:rsid w:val="00A715AA"/>
    <w:pPr>
      <w:keepNext/>
      <w:numPr>
        <w:ilvl w:val="4"/>
        <w:numId w:val="19"/>
      </w:numPr>
      <w:spacing w:before="280" w:after="40"/>
      <w:outlineLvl w:val="3"/>
    </w:pPr>
    <w:rPr>
      <w:b/>
      <w:bCs/>
      <w:color w:val="auto"/>
      <w:sz w:val="28"/>
    </w:rPr>
  </w:style>
  <w:style w:type="paragraph" w:styleId="Heading5">
    <w:name w:val="heading 5"/>
    <w:basedOn w:val="Normal"/>
    <w:next w:val="UnnumtextBodytext"/>
    <w:rsid w:val="006907B1"/>
    <w:pPr>
      <w:keepNext/>
      <w:spacing w:before="280" w:after="40"/>
      <w:outlineLvl w:val="4"/>
    </w:pPr>
    <w:rPr>
      <w:b/>
      <w:bCs/>
      <w:iCs/>
      <w:sz w:val="24"/>
    </w:rPr>
  </w:style>
  <w:style w:type="paragraph" w:styleId="Heading6">
    <w:name w:val="heading 6"/>
    <w:basedOn w:val="Normal"/>
    <w:next w:val="Normal"/>
    <w:semiHidden/>
    <w:rsid w:val="00492F51"/>
    <w:pPr>
      <w:numPr>
        <w:ilvl w:val="5"/>
        <w:numId w:val="5"/>
      </w:numPr>
      <w:outlineLvl w:val="5"/>
    </w:pPr>
  </w:style>
  <w:style w:type="paragraph" w:styleId="Heading7">
    <w:name w:val="heading 7"/>
    <w:basedOn w:val="Heading6"/>
    <w:next w:val="Normal"/>
    <w:semiHidden/>
    <w:rsid w:val="00492F51"/>
    <w:pPr>
      <w:numPr>
        <w:ilvl w:val="6"/>
      </w:numPr>
      <w:outlineLvl w:val="6"/>
    </w:pPr>
  </w:style>
  <w:style w:type="paragraph" w:styleId="Heading8">
    <w:name w:val="heading 8"/>
    <w:basedOn w:val="Heading7"/>
    <w:next w:val="Normal"/>
    <w:semiHidden/>
    <w:rsid w:val="00492F51"/>
    <w:pPr>
      <w:numPr>
        <w:ilvl w:val="7"/>
      </w:numPr>
      <w:outlineLvl w:val="7"/>
    </w:pPr>
  </w:style>
  <w:style w:type="paragraph" w:styleId="Heading9">
    <w:name w:val="heading 9"/>
    <w:basedOn w:val="Heading8"/>
    <w:next w:val="Normal"/>
    <w:semiHidden/>
    <w:rsid w:val="00492F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92F51"/>
    <w:pPr>
      <w:tabs>
        <w:tab w:val="center" w:pos="4320"/>
        <w:tab w:val="right" w:pos="8640"/>
      </w:tabs>
    </w:pPr>
  </w:style>
  <w:style w:type="paragraph" w:customStyle="1" w:styleId="Indent1">
    <w:name w:val="Indent 1"/>
    <w:basedOn w:val="Normal"/>
    <w:semiHidden/>
    <w:rsid w:val="00E12F38"/>
    <w:pPr>
      <w:numPr>
        <w:numId w:val="6"/>
      </w:numPr>
      <w:spacing w:before="60" w:after="180" w:line="240" w:lineRule="auto"/>
    </w:pPr>
    <w:rPr>
      <w:rFonts w:ascii="Arial" w:hAnsi="Arial" w:cs="Arial"/>
      <w:kern w:val="28"/>
      <w:szCs w:val="36"/>
    </w:rPr>
  </w:style>
  <w:style w:type="paragraph" w:styleId="Header">
    <w:name w:val="header"/>
    <w:basedOn w:val="Normal"/>
    <w:semiHidden/>
    <w:rsid w:val="00492F51"/>
    <w:rPr>
      <w:sz w:val="18"/>
    </w:rPr>
  </w:style>
  <w:style w:type="paragraph" w:customStyle="1" w:styleId="Numtext11-Bodytextlevel2">
    <w:name w:val="Num text: 1.1 - Body text level 2"/>
    <w:basedOn w:val="Normal"/>
    <w:rsid w:val="00492F51"/>
  </w:style>
  <w:style w:type="paragraph" w:customStyle="1" w:styleId="NumtextIndent2">
    <w:name w:val="Num text: Indent 2"/>
    <w:basedOn w:val="NumtextIndent1"/>
    <w:rsid w:val="00A5001E"/>
    <w:pPr>
      <w:numPr>
        <w:numId w:val="0"/>
      </w:numPr>
      <w:ind w:left="851"/>
    </w:pPr>
  </w:style>
  <w:style w:type="paragraph" w:customStyle="1" w:styleId="Headereven">
    <w:name w:val="Header even"/>
    <w:basedOn w:val="Header"/>
    <w:rsid w:val="00492F51"/>
  </w:style>
  <w:style w:type="paragraph" w:customStyle="1" w:styleId="Headerodd">
    <w:name w:val="Header odd"/>
    <w:basedOn w:val="Header"/>
    <w:rsid w:val="00492F51"/>
    <w:pPr>
      <w:jc w:val="right"/>
    </w:pPr>
  </w:style>
  <w:style w:type="paragraph" w:customStyle="1" w:styleId="NumtextIndent3">
    <w:name w:val="Num text: Indent 3"/>
    <w:basedOn w:val="NumtextIndent2"/>
    <w:rsid w:val="00A5001E"/>
    <w:pPr>
      <w:spacing w:before="56"/>
      <w:ind w:left="1276"/>
    </w:pPr>
  </w:style>
  <w:style w:type="paragraph" w:customStyle="1" w:styleId="Footeroddlandscape">
    <w:name w:val="Footer odd landscape"/>
    <w:basedOn w:val="Normal"/>
    <w:rsid w:val="005A543A"/>
    <w:pPr>
      <w:tabs>
        <w:tab w:val="right" w:pos="12871"/>
      </w:tabs>
      <w:spacing w:after="0"/>
      <w:jc w:val="right"/>
    </w:pPr>
  </w:style>
  <w:style w:type="paragraph" w:customStyle="1" w:styleId="Footerevenlandscape">
    <w:name w:val="Footer even landscape"/>
    <w:basedOn w:val="Normal"/>
    <w:rsid w:val="005A543A"/>
    <w:pPr>
      <w:tabs>
        <w:tab w:val="right" w:pos="12871"/>
      </w:tabs>
      <w:spacing w:after="0"/>
      <w:jc w:val="right"/>
    </w:pPr>
  </w:style>
  <w:style w:type="character" w:styleId="PageNumber">
    <w:name w:val="page number"/>
    <w:basedOn w:val="DefaultParagraphFont"/>
    <w:rsid w:val="00492F51"/>
    <w:rPr>
      <w:rFonts w:ascii="Arial" w:hAnsi="Arial"/>
      <w:sz w:val="20"/>
      <w:szCs w:val="18"/>
    </w:rPr>
  </w:style>
  <w:style w:type="paragraph" w:styleId="TOC1">
    <w:name w:val="toc 1"/>
    <w:next w:val="Normal"/>
    <w:uiPriority w:val="39"/>
    <w:rsid w:val="00D36ED0"/>
    <w:pPr>
      <w:tabs>
        <w:tab w:val="left" w:pos="709"/>
        <w:tab w:val="right" w:leader="dot" w:pos="7938"/>
      </w:tabs>
      <w:spacing w:before="227" w:after="57" w:line="260" w:lineRule="atLeast"/>
      <w:ind w:left="709" w:right="567" w:hanging="709"/>
    </w:pPr>
    <w:rPr>
      <w:b/>
      <w:szCs w:val="24"/>
      <w:lang w:val="en-NZ" w:eastAsia="en-NZ"/>
    </w:rPr>
  </w:style>
  <w:style w:type="paragraph" w:customStyle="1" w:styleId="Indent2">
    <w:name w:val="Indent 2"/>
    <w:basedOn w:val="Indent1"/>
    <w:semiHidden/>
    <w:rsid w:val="00492F51"/>
    <w:pPr>
      <w:numPr>
        <w:ilvl w:val="1"/>
      </w:numPr>
    </w:pPr>
  </w:style>
  <w:style w:type="paragraph" w:customStyle="1" w:styleId="Indent3">
    <w:name w:val="Indent 3"/>
    <w:basedOn w:val="Indent2"/>
    <w:semiHidden/>
    <w:rsid w:val="00492F51"/>
    <w:pPr>
      <w:numPr>
        <w:ilvl w:val="2"/>
      </w:numPr>
    </w:pPr>
  </w:style>
  <w:style w:type="character" w:customStyle="1" w:styleId="UnnumtextBullet2CharChar">
    <w:name w:val="Unnum text: Bullet 2 Char Char"/>
    <w:basedOn w:val="DefaultParagraphFont"/>
    <w:link w:val="UnnumtextBullet2"/>
    <w:rsid w:val="00723850"/>
  </w:style>
  <w:style w:type="paragraph" w:customStyle="1" w:styleId="UnnumtextBodytext">
    <w:name w:val="Unnum text: Body text"/>
    <w:basedOn w:val="Normal"/>
    <w:qFormat/>
    <w:rsid w:val="007A32E4"/>
  </w:style>
  <w:style w:type="character" w:customStyle="1" w:styleId="FooterLastsavedate">
    <w:name w:val="Footer Last save date"/>
    <w:basedOn w:val="DefaultParagraphFont"/>
    <w:rsid w:val="00492F51"/>
  </w:style>
  <w:style w:type="paragraph" w:styleId="ListNumber">
    <w:name w:val="List Number"/>
    <w:basedOn w:val="Normal"/>
    <w:semiHidden/>
    <w:rsid w:val="00492F51"/>
    <w:pPr>
      <w:numPr>
        <w:ilvl w:val="1"/>
        <w:numId w:val="7"/>
      </w:numPr>
    </w:pPr>
  </w:style>
  <w:style w:type="paragraph" w:styleId="ListNumber2">
    <w:name w:val="List Number 2"/>
    <w:basedOn w:val="Normal"/>
    <w:semiHidden/>
    <w:rsid w:val="00492F51"/>
  </w:style>
  <w:style w:type="paragraph" w:styleId="ListNumber3">
    <w:name w:val="List Number 3"/>
    <w:basedOn w:val="Normal"/>
    <w:semiHidden/>
    <w:rsid w:val="00492F51"/>
  </w:style>
  <w:style w:type="paragraph" w:styleId="TOC2">
    <w:name w:val="toc 2"/>
    <w:next w:val="Normal"/>
    <w:uiPriority w:val="39"/>
    <w:rsid w:val="007B54FA"/>
    <w:pPr>
      <w:tabs>
        <w:tab w:val="left" w:pos="1418"/>
        <w:tab w:val="right" w:leader="dot" w:pos="7938"/>
      </w:tabs>
      <w:spacing w:line="260" w:lineRule="atLeast"/>
      <w:ind w:left="1418" w:right="567" w:hanging="709"/>
    </w:pPr>
    <w:rPr>
      <w:szCs w:val="24"/>
      <w:lang w:val="en-NZ" w:eastAsia="en-NZ"/>
    </w:rPr>
  </w:style>
  <w:style w:type="paragraph" w:styleId="TOC3">
    <w:name w:val="toc 3"/>
    <w:basedOn w:val="Normal"/>
    <w:next w:val="Normal"/>
    <w:uiPriority w:val="39"/>
    <w:rsid w:val="007B54FA"/>
    <w:pPr>
      <w:tabs>
        <w:tab w:val="left" w:pos="2126"/>
        <w:tab w:val="right" w:leader="dot" w:pos="7938"/>
      </w:tabs>
      <w:spacing w:after="0"/>
      <w:ind w:left="2127" w:right="567" w:hanging="709"/>
    </w:pPr>
  </w:style>
  <w:style w:type="paragraph" w:styleId="TOC4">
    <w:name w:val="toc 4"/>
    <w:basedOn w:val="Normal"/>
    <w:next w:val="Normal"/>
    <w:uiPriority w:val="39"/>
    <w:rsid w:val="007B54FA"/>
    <w:pPr>
      <w:tabs>
        <w:tab w:val="right" w:leader="dot" w:pos="7938"/>
      </w:tabs>
      <w:spacing w:after="0"/>
      <w:ind w:left="2126" w:right="567"/>
    </w:pPr>
  </w:style>
  <w:style w:type="paragraph" w:styleId="TOC5">
    <w:name w:val="toc 5"/>
    <w:basedOn w:val="Normal"/>
    <w:next w:val="Normal"/>
    <w:rsid w:val="00DE6ED9"/>
    <w:pPr>
      <w:tabs>
        <w:tab w:val="right" w:leader="dot" w:pos="7938"/>
      </w:tabs>
      <w:spacing w:after="0"/>
      <w:ind w:left="2410" w:right="425"/>
    </w:pPr>
  </w:style>
  <w:style w:type="paragraph" w:styleId="TOC6">
    <w:name w:val="toc 6"/>
    <w:basedOn w:val="Normal"/>
    <w:next w:val="Normal"/>
    <w:uiPriority w:val="39"/>
    <w:rsid w:val="008613AF"/>
    <w:pPr>
      <w:tabs>
        <w:tab w:val="right" w:leader="dot" w:pos="7938"/>
      </w:tabs>
      <w:spacing w:after="120"/>
      <w:ind w:right="567"/>
    </w:pPr>
  </w:style>
  <w:style w:type="paragraph" w:styleId="TOC7">
    <w:name w:val="toc 7"/>
    <w:basedOn w:val="Normal"/>
    <w:next w:val="Normal"/>
    <w:uiPriority w:val="39"/>
    <w:rsid w:val="00D36ED0"/>
    <w:pPr>
      <w:tabs>
        <w:tab w:val="right" w:pos="7927"/>
      </w:tabs>
      <w:spacing w:after="0"/>
      <w:ind w:left="709" w:right="567"/>
    </w:pPr>
  </w:style>
  <w:style w:type="paragraph" w:styleId="TOC8">
    <w:name w:val="toc 8"/>
    <w:basedOn w:val="Normal"/>
    <w:next w:val="Normal"/>
    <w:uiPriority w:val="39"/>
    <w:rsid w:val="00D36ED0"/>
    <w:pPr>
      <w:tabs>
        <w:tab w:val="right" w:pos="7938"/>
      </w:tabs>
      <w:spacing w:after="0"/>
      <w:ind w:left="1418" w:right="567"/>
    </w:pPr>
  </w:style>
  <w:style w:type="paragraph" w:styleId="TOC9">
    <w:name w:val="toc 9"/>
    <w:basedOn w:val="Normal"/>
    <w:next w:val="Normal"/>
    <w:rsid w:val="00D36ED0"/>
    <w:pPr>
      <w:tabs>
        <w:tab w:val="right" w:pos="7927"/>
      </w:tabs>
      <w:spacing w:after="0"/>
      <w:ind w:left="2126" w:right="567"/>
    </w:pPr>
  </w:style>
  <w:style w:type="paragraph" w:customStyle="1" w:styleId="Footeroddportrait">
    <w:name w:val="Footer odd portrait"/>
    <w:basedOn w:val="Normal"/>
    <w:rsid w:val="00492F51"/>
    <w:pPr>
      <w:tabs>
        <w:tab w:val="right" w:pos="7938"/>
      </w:tabs>
      <w:spacing w:after="0"/>
      <w:jc w:val="right"/>
    </w:pPr>
  </w:style>
  <w:style w:type="paragraph" w:customStyle="1" w:styleId="Footerevenportrait">
    <w:name w:val="Footer even portrait"/>
    <w:basedOn w:val="Normal"/>
    <w:rsid w:val="00492F51"/>
    <w:pPr>
      <w:tabs>
        <w:tab w:val="right" w:pos="7938"/>
      </w:tabs>
      <w:spacing w:after="0"/>
      <w:jc w:val="right"/>
    </w:pPr>
  </w:style>
  <w:style w:type="paragraph" w:styleId="FootnoteText">
    <w:name w:val="footnote text"/>
    <w:basedOn w:val="Normal"/>
    <w:link w:val="FootnoteTextChar"/>
    <w:rsid w:val="00492F51"/>
    <w:pPr>
      <w:tabs>
        <w:tab w:val="left" w:pos="340"/>
      </w:tabs>
      <w:spacing w:after="60" w:line="160" w:lineRule="atLeast"/>
      <w:ind w:left="340" w:hanging="340"/>
    </w:pPr>
    <w:rPr>
      <w:sz w:val="18"/>
    </w:rPr>
  </w:style>
  <w:style w:type="paragraph" w:customStyle="1" w:styleId="ListStartNumberedparagraphs">
    <w:name w:val="ListStart Numbered paragraphs"/>
    <w:next w:val="Numberedparagraphs-1"/>
    <w:rsid w:val="00355FA8"/>
    <w:pPr>
      <w:keepNext/>
      <w:keepLines/>
      <w:framePr w:wrap="around" w:vAnchor="text" w:hAnchor="text" w:x="-565" w:y="1"/>
      <w:widowControl w:val="0"/>
      <w:numPr>
        <w:numId w:val="18"/>
      </w:numPr>
    </w:pPr>
    <w:rPr>
      <w:color w:val="800080"/>
      <w:sz w:val="18"/>
      <w:szCs w:val="22"/>
      <w:lang w:val="en-NZ" w:eastAsia="en-NZ"/>
    </w:rPr>
  </w:style>
  <w:style w:type="paragraph" w:customStyle="1" w:styleId="Bullet">
    <w:name w:val="Bullet"/>
    <w:basedOn w:val="Normal"/>
    <w:semiHidden/>
    <w:rsid w:val="00492F51"/>
    <w:pPr>
      <w:numPr>
        <w:numId w:val="4"/>
      </w:numPr>
      <w:spacing w:after="120"/>
    </w:pPr>
  </w:style>
  <w:style w:type="table" w:styleId="TableGrid">
    <w:name w:val="Table Grid"/>
    <w:basedOn w:val="TableNormal"/>
    <w:semiHidden/>
    <w:rsid w:val="0049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semiHidden/>
    <w:rsid w:val="00492F51"/>
    <w:pPr>
      <w:spacing w:before="40" w:after="40"/>
    </w:pPr>
    <w:rPr>
      <w:rFonts w:ascii="Arial" w:hAnsi="Arial"/>
      <w:b/>
      <w:sz w:val="18"/>
    </w:rPr>
  </w:style>
  <w:style w:type="numbering" w:styleId="111111">
    <w:name w:val="Outline List 2"/>
    <w:basedOn w:val="NoList"/>
    <w:semiHidden/>
    <w:rsid w:val="00492F51"/>
    <w:pPr>
      <w:numPr>
        <w:numId w:val="1"/>
      </w:numPr>
    </w:pPr>
  </w:style>
  <w:style w:type="paragraph" w:customStyle="1" w:styleId="Quotation">
    <w:name w:val="Quotation"/>
    <w:basedOn w:val="Normal"/>
    <w:rsid w:val="00A678C4"/>
    <w:pPr>
      <w:ind w:left="227"/>
    </w:pPr>
    <w:rPr>
      <w:i/>
      <w:spacing w:val="15"/>
      <w:sz w:val="21"/>
    </w:rPr>
  </w:style>
  <w:style w:type="paragraph" w:styleId="Date">
    <w:name w:val="Date"/>
    <w:basedOn w:val="Normal"/>
    <w:next w:val="Normal"/>
    <w:semiHidden/>
    <w:rsid w:val="00492F51"/>
    <w:pPr>
      <w:spacing w:after="454"/>
    </w:pPr>
  </w:style>
  <w:style w:type="character" w:styleId="Hyperlink">
    <w:name w:val="Hyperlink"/>
    <w:basedOn w:val="DefaultParagraphFont"/>
    <w:uiPriority w:val="99"/>
    <w:rsid w:val="00492F51"/>
    <w:rPr>
      <w:color w:val="0000FF"/>
      <w:u w:val="single"/>
    </w:rPr>
  </w:style>
  <w:style w:type="paragraph" w:styleId="EnvelopeAddress">
    <w:name w:val="envelope address"/>
    <w:basedOn w:val="Normal"/>
    <w:semiHidden/>
    <w:rsid w:val="00492F51"/>
    <w:pPr>
      <w:framePr w:w="7920" w:h="1980" w:hRule="exact" w:hSpace="180" w:wrap="auto" w:hAnchor="page" w:xAlign="center" w:yAlign="bottom"/>
      <w:ind w:left="2880"/>
    </w:pPr>
    <w:rPr>
      <w:rFonts w:cs="Arial"/>
      <w:sz w:val="24"/>
    </w:rPr>
  </w:style>
  <w:style w:type="paragraph" w:customStyle="1" w:styleId="ListStartNumtextBodytext">
    <w:name w:val="ListStart Numtext: Body text"/>
    <w:next w:val="Numtext1-Bodytextlevel1"/>
    <w:rsid w:val="00492F51"/>
    <w:pPr>
      <w:keepNext/>
      <w:keepLines/>
      <w:framePr w:wrap="around" w:vAnchor="text" w:hAnchor="text" w:x="-565" w:y="1"/>
      <w:widowControl w:val="0"/>
      <w:numPr>
        <w:numId w:val="8"/>
      </w:numPr>
    </w:pPr>
    <w:rPr>
      <w:color w:val="800080"/>
      <w:sz w:val="18"/>
      <w:szCs w:val="22"/>
      <w:lang w:val="en-NZ" w:eastAsia="en-NZ"/>
    </w:rPr>
  </w:style>
  <w:style w:type="paragraph" w:customStyle="1" w:styleId="Numtext111-Bodytextlevel3">
    <w:name w:val="Num text: 1.1.1 - Body text level 3"/>
    <w:basedOn w:val="Normal"/>
    <w:rsid w:val="00492F51"/>
  </w:style>
  <w:style w:type="paragraph" w:customStyle="1" w:styleId="FooterEvenPage">
    <w:name w:val="Footer Even Page"/>
    <w:basedOn w:val="Normal"/>
    <w:semiHidden/>
    <w:rsid w:val="00492F51"/>
    <w:pPr>
      <w:tabs>
        <w:tab w:val="right" w:pos="8505"/>
      </w:tabs>
      <w:spacing w:after="0"/>
    </w:pPr>
  </w:style>
  <w:style w:type="paragraph" w:styleId="TableofAuthorities">
    <w:name w:val="table of authorities"/>
    <w:basedOn w:val="Normal"/>
    <w:next w:val="Normal"/>
    <w:semiHidden/>
    <w:rsid w:val="00492F51"/>
    <w:pPr>
      <w:ind w:left="220" w:hanging="220"/>
    </w:pPr>
  </w:style>
  <w:style w:type="paragraph" w:customStyle="1" w:styleId="Biblio">
    <w:name w:val="Biblio"/>
    <w:basedOn w:val="Normal"/>
    <w:semiHidden/>
    <w:rsid w:val="00492F51"/>
    <w:pPr>
      <w:spacing w:after="240"/>
    </w:pPr>
    <w:rPr>
      <w:rFonts w:ascii="Times New Roman" w:hAnsi="Times New Roman"/>
      <w:sz w:val="24"/>
      <w:szCs w:val="24"/>
      <w:lang w:eastAsia="en-GB"/>
    </w:rPr>
  </w:style>
  <w:style w:type="numbering" w:styleId="1ai">
    <w:name w:val="Outline List 1"/>
    <w:basedOn w:val="NoList"/>
    <w:semiHidden/>
    <w:rsid w:val="00492F51"/>
    <w:pPr>
      <w:numPr>
        <w:numId w:val="2"/>
      </w:numPr>
    </w:pPr>
  </w:style>
  <w:style w:type="paragraph" w:customStyle="1" w:styleId="Footerlandscape">
    <w:name w:val="Footer landscape"/>
    <w:basedOn w:val="Normal"/>
    <w:semiHidden/>
    <w:rsid w:val="00492F51"/>
    <w:pPr>
      <w:tabs>
        <w:tab w:val="right" w:pos="12871"/>
      </w:tabs>
      <w:spacing w:after="0"/>
      <w:jc w:val="right"/>
    </w:pPr>
  </w:style>
  <w:style w:type="paragraph" w:styleId="Caption">
    <w:name w:val="caption"/>
    <w:basedOn w:val="Normal"/>
    <w:rsid w:val="000C02E8"/>
    <w:pPr>
      <w:keepNext/>
    </w:pPr>
    <w:rPr>
      <w:b/>
      <w:bCs/>
    </w:rPr>
  </w:style>
  <w:style w:type="paragraph" w:customStyle="1" w:styleId="Heading-tableofappendices">
    <w:name w:val="Heading - table of appendices"/>
    <w:basedOn w:val="Normalcolour"/>
    <w:next w:val="UnnumtextBodytext"/>
    <w:rsid w:val="008613AF"/>
    <w:pPr>
      <w:spacing w:before="260" w:after="40" w:line="240" w:lineRule="auto"/>
    </w:pPr>
    <w:rPr>
      <w:b/>
      <w:color w:val="000000"/>
      <w:sz w:val="28"/>
    </w:rPr>
  </w:style>
  <w:style w:type="paragraph" w:customStyle="1" w:styleId="Tablesource">
    <w:name w:val="Table source"/>
    <w:basedOn w:val="Normal"/>
    <w:next w:val="Normal"/>
    <w:semiHidden/>
    <w:rsid w:val="00492F51"/>
    <w:pPr>
      <w:spacing w:before="120" w:after="120"/>
    </w:pPr>
    <w:rPr>
      <w:sz w:val="19"/>
      <w:szCs w:val="19"/>
    </w:rPr>
  </w:style>
  <w:style w:type="paragraph" w:customStyle="1" w:styleId="Normalcolour">
    <w:name w:val="Normal colour"/>
    <w:basedOn w:val="Normal"/>
    <w:link w:val="NormalcolourChar"/>
    <w:rsid w:val="00333BF5"/>
    <w:rPr>
      <w:color w:val="7B5E05"/>
    </w:rPr>
  </w:style>
  <w:style w:type="paragraph" w:customStyle="1" w:styleId="Heading-nonumber">
    <w:name w:val="Heading - no number"/>
    <w:basedOn w:val="Normalcolour"/>
    <w:next w:val="UnnumtextBodytext"/>
    <w:rsid w:val="006842AC"/>
    <w:pPr>
      <w:keepNext/>
      <w:pageBreakBefore/>
      <w:pBdr>
        <w:bottom w:val="single" w:sz="4" w:space="7" w:color="7B5E05"/>
      </w:pBdr>
      <w:spacing w:after="280" w:line="480" w:lineRule="atLeast"/>
      <w:outlineLvl w:val="0"/>
    </w:pPr>
    <w:rPr>
      <w:b/>
      <w:sz w:val="48"/>
    </w:rPr>
  </w:style>
  <w:style w:type="paragraph" w:customStyle="1" w:styleId="Coverline">
    <w:name w:val="Cover line"/>
    <w:basedOn w:val="Normal"/>
    <w:rsid w:val="00492F51"/>
    <w:pPr>
      <w:spacing w:after="0" w:line="240" w:lineRule="auto"/>
    </w:pPr>
  </w:style>
  <w:style w:type="paragraph" w:styleId="BodyText">
    <w:name w:val="Body Text"/>
    <w:basedOn w:val="Normal"/>
    <w:link w:val="BodyTextChar"/>
    <w:rsid w:val="00492F51"/>
    <w:pPr>
      <w:numPr>
        <w:ilvl w:val="1"/>
        <w:numId w:val="17"/>
      </w:numPr>
      <w:spacing w:after="120"/>
    </w:pPr>
  </w:style>
  <w:style w:type="paragraph" w:customStyle="1" w:styleId="Coverprivilegedandconfidential">
    <w:name w:val="Cover privileged and confidential"/>
    <w:basedOn w:val="Normal"/>
    <w:rsid w:val="00492F51"/>
    <w:pPr>
      <w:spacing w:after="0" w:line="240" w:lineRule="auto"/>
      <w:jc w:val="right"/>
    </w:pPr>
  </w:style>
  <w:style w:type="paragraph" w:customStyle="1" w:styleId="Glossary">
    <w:name w:val="Glossary"/>
    <w:basedOn w:val="Normal"/>
    <w:semiHidden/>
    <w:rsid w:val="00492F51"/>
    <w:pPr>
      <w:spacing w:before="60" w:after="60"/>
    </w:pPr>
    <w:rPr>
      <w:b/>
    </w:rPr>
  </w:style>
  <w:style w:type="paragraph" w:customStyle="1" w:styleId="ApxHeading1">
    <w:name w:val="Apx Heading 1"/>
    <w:basedOn w:val="Heading1"/>
    <w:next w:val="UnnumtextBodytext"/>
    <w:rsid w:val="00107A67"/>
    <w:pPr>
      <w:numPr>
        <w:ilvl w:val="0"/>
        <w:numId w:val="22"/>
      </w:numPr>
      <w:ind w:left="0"/>
      <w:outlineLvl w:val="5"/>
    </w:pPr>
    <w:rPr>
      <w:bCs w:val="0"/>
    </w:rPr>
  </w:style>
  <w:style w:type="paragraph" w:customStyle="1" w:styleId="ApxHeading2">
    <w:name w:val="Apx Heading 2"/>
    <w:basedOn w:val="Normalcolour"/>
    <w:next w:val="UnnumtextBodytext"/>
    <w:rsid w:val="00492F51"/>
    <w:pPr>
      <w:keepNext/>
      <w:spacing w:before="360" w:after="100"/>
      <w:outlineLvl w:val="6"/>
    </w:pPr>
    <w:rPr>
      <w:b/>
      <w:bCs/>
      <w:sz w:val="36"/>
      <w:szCs w:val="28"/>
    </w:rPr>
  </w:style>
  <w:style w:type="paragraph" w:customStyle="1" w:styleId="ApxHeading3">
    <w:name w:val="Apx Heading 3"/>
    <w:basedOn w:val="Normal"/>
    <w:next w:val="UnnumtextBodytext"/>
    <w:rsid w:val="00492F51"/>
    <w:pPr>
      <w:keepNext/>
      <w:spacing w:before="260" w:after="40"/>
      <w:outlineLvl w:val="7"/>
    </w:pPr>
    <w:rPr>
      <w:b/>
      <w:bCs/>
      <w:sz w:val="28"/>
      <w:szCs w:val="24"/>
    </w:rPr>
  </w:style>
  <w:style w:type="paragraph" w:customStyle="1" w:styleId="ApxHeading4">
    <w:name w:val="Apx Heading 4"/>
    <w:basedOn w:val="Normal"/>
    <w:next w:val="UnnumtextBodytext"/>
    <w:rsid w:val="00492F51"/>
    <w:pPr>
      <w:keepNext/>
      <w:spacing w:before="120" w:after="0"/>
      <w:outlineLvl w:val="8"/>
    </w:pPr>
    <w:rPr>
      <w:b/>
      <w:bCs/>
      <w:szCs w:val="24"/>
    </w:rPr>
  </w:style>
  <w:style w:type="paragraph" w:customStyle="1" w:styleId="Numtext1-Bodytextlevel1">
    <w:name w:val="Num text: 1. - Body text level 1"/>
    <w:basedOn w:val="Normal"/>
    <w:qFormat/>
    <w:rsid w:val="00B97CFF"/>
    <w:pPr>
      <w:numPr>
        <w:ilvl w:val="1"/>
        <w:numId w:val="8"/>
      </w:numPr>
    </w:pPr>
    <w:rPr>
      <w:szCs w:val="24"/>
    </w:rPr>
  </w:style>
  <w:style w:type="numbering" w:styleId="ArticleSection">
    <w:name w:val="Outline List 3"/>
    <w:basedOn w:val="NoList"/>
    <w:semiHidden/>
    <w:rsid w:val="00492F51"/>
    <w:pPr>
      <w:numPr>
        <w:numId w:val="3"/>
      </w:numPr>
    </w:pPr>
  </w:style>
  <w:style w:type="paragraph" w:styleId="BalloonText">
    <w:name w:val="Balloon Text"/>
    <w:basedOn w:val="Normal"/>
    <w:semiHidden/>
    <w:rsid w:val="00492F51"/>
    <w:rPr>
      <w:rFonts w:ascii="Tahoma" w:hAnsi="Tahoma" w:cs="Tahoma"/>
      <w:sz w:val="16"/>
      <w:szCs w:val="16"/>
    </w:rPr>
  </w:style>
  <w:style w:type="paragraph" w:customStyle="1" w:styleId="Bibliographicreferences">
    <w:name w:val="Bibliographic references"/>
    <w:semiHidden/>
    <w:rsid w:val="00492F51"/>
    <w:pPr>
      <w:ind w:left="170" w:hanging="170"/>
    </w:pPr>
    <w:rPr>
      <w:rFonts w:ascii="Arial" w:hAnsi="Arial"/>
      <w:szCs w:val="22"/>
      <w:lang w:val="en-NZ" w:eastAsia="en-NZ"/>
    </w:rPr>
  </w:style>
  <w:style w:type="paragraph" w:customStyle="1" w:styleId="Coversubhead">
    <w:name w:val="Cover subhead"/>
    <w:basedOn w:val="Normal"/>
    <w:rsid w:val="00492F51"/>
    <w:pPr>
      <w:spacing w:after="0"/>
    </w:pPr>
    <w:rPr>
      <w:b/>
      <w:sz w:val="28"/>
    </w:rPr>
  </w:style>
  <w:style w:type="paragraph" w:customStyle="1" w:styleId="Coverheading">
    <w:name w:val="Cover heading"/>
    <w:basedOn w:val="Normalcolour"/>
    <w:rsid w:val="00492F51"/>
    <w:pPr>
      <w:spacing w:after="0" w:line="580" w:lineRule="atLeast"/>
    </w:pPr>
    <w:rPr>
      <w:b/>
      <w:sz w:val="50"/>
    </w:rPr>
  </w:style>
  <w:style w:type="paragraph" w:customStyle="1" w:styleId="Coverauthor">
    <w:name w:val="Cover author"/>
    <w:basedOn w:val="Normal"/>
    <w:rsid w:val="00492F51"/>
    <w:pPr>
      <w:spacing w:after="0" w:line="290" w:lineRule="atLeast"/>
    </w:pPr>
    <w:rPr>
      <w:b/>
      <w:i/>
      <w:sz w:val="24"/>
    </w:rPr>
  </w:style>
  <w:style w:type="paragraph" w:customStyle="1" w:styleId="Heading-contents">
    <w:name w:val="Heading - contents"/>
    <w:basedOn w:val="Heading1"/>
    <w:next w:val="UnnumtextBodytext"/>
    <w:rsid w:val="00BE4840"/>
    <w:pPr>
      <w:numPr>
        <w:ilvl w:val="0"/>
        <w:numId w:val="0"/>
      </w:numPr>
      <w:outlineLvl w:val="9"/>
    </w:pPr>
    <w:rPr>
      <w:bCs w:val="0"/>
    </w:rPr>
  </w:style>
  <w:style w:type="paragraph" w:styleId="DocumentMap">
    <w:name w:val="Document Map"/>
    <w:basedOn w:val="Normal"/>
    <w:semiHidden/>
    <w:rsid w:val="00492F51"/>
    <w:pPr>
      <w:shd w:val="clear" w:color="auto" w:fill="000080"/>
    </w:pPr>
    <w:rPr>
      <w:rFonts w:ascii="Tahoma" w:hAnsi="Tahoma" w:cs="Tahoma"/>
    </w:rPr>
  </w:style>
  <w:style w:type="paragraph" w:customStyle="1" w:styleId="Endnotenumberonly">
    <w:name w:val="Endnote (number only)"/>
    <w:next w:val="Normal"/>
    <w:semiHidden/>
    <w:rsid w:val="00492F51"/>
    <w:pPr>
      <w:spacing w:after="40"/>
    </w:pPr>
    <w:rPr>
      <w:rFonts w:ascii="Arial" w:hAnsi="Arial"/>
      <w:vertAlign w:val="superscript"/>
      <w:lang w:val="en-NZ" w:eastAsia="en-NZ"/>
    </w:rPr>
  </w:style>
  <w:style w:type="character" w:styleId="EndnoteReference">
    <w:name w:val="endnote reference"/>
    <w:basedOn w:val="DefaultParagraphFont"/>
    <w:semiHidden/>
    <w:rsid w:val="00492F51"/>
    <w:rPr>
      <w:rFonts w:ascii="Arial" w:hAnsi="Arial"/>
      <w:sz w:val="20"/>
      <w:szCs w:val="20"/>
      <w:vertAlign w:val="superscript"/>
    </w:rPr>
  </w:style>
  <w:style w:type="paragraph" w:customStyle="1" w:styleId="EndnoteText1">
    <w:name w:val="Endnote Text1"/>
    <w:next w:val="Normal"/>
    <w:semiHidden/>
    <w:rsid w:val="00492F51"/>
    <w:pPr>
      <w:spacing w:after="40"/>
      <w:ind w:left="142" w:hanging="142"/>
    </w:pPr>
    <w:rPr>
      <w:rFonts w:ascii="Arial" w:hAnsi="Arial"/>
      <w:szCs w:val="24"/>
      <w:lang w:val="en-NZ" w:eastAsia="en-NZ"/>
    </w:rPr>
  </w:style>
  <w:style w:type="paragraph" w:styleId="EndnoteText">
    <w:name w:val="endnote text"/>
    <w:semiHidden/>
    <w:rsid w:val="00492F51"/>
    <w:pPr>
      <w:spacing w:after="40"/>
      <w:ind w:left="142" w:hanging="142"/>
    </w:pPr>
    <w:rPr>
      <w:rFonts w:ascii="Arial" w:hAnsi="Arial"/>
      <w:lang w:val="en-NZ" w:eastAsia="en-NZ"/>
    </w:rPr>
  </w:style>
  <w:style w:type="paragraph" w:styleId="EnvelopeReturn">
    <w:name w:val="envelope return"/>
    <w:basedOn w:val="Normal"/>
    <w:semiHidden/>
    <w:rsid w:val="00492F51"/>
    <w:rPr>
      <w:rFonts w:cs="Arial"/>
    </w:rPr>
  </w:style>
  <w:style w:type="paragraph" w:customStyle="1" w:styleId="Coverdate">
    <w:name w:val="Cover date"/>
    <w:basedOn w:val="Normal"/>
    <w:rsid w:val="00333BF5"/>
    <w:pPr>
      <w:spacing w:before="440" w:after="0" w:line="240" w:lineRule="auto"/>
    </w:pPr>
    <w:rPr>
      <w:sz w:val="28"/>
    </w:rPr>
  </w:style>
  <w:style w:type="character" w:styleId="FollowedHyperlink">
    <w:name w:val="FollowedHyperlink"/>
    <w:basedOn w:val="DefaultParagraphFont"/>
    <w:semiHidden/>
    <w:rsid w:val="00492F51"/>
    <w:rPr>
      <w:color w:val="800080"/>
      <w:u w:val="single"/>
    </w:rPr>
  </w:style>
  <w:style w:type="character" w:customStyle="1" w:styleId="NormalcolourChar">
    <w:name w:val="Normal colour Char"/>
    <w:basedOn w:val="DefaultParagraphFont"/>
    <w:link w:val="Normalcolour"/>
    <w:rsid w:val="00333BF5"/>
    <w:rPr>
      <w:rFonts w:ascii="Garamond" w:hAnsi="Garamond"/>
      <w:color w:val="7B5E05"/>
      <w:sz w:val="22"/>
      <w:szCs w:val="22"/>
      <w:lang w:val="en-NZ" w:eastAsia="en-NZ"/>
    </w:rPr>
  </w:style>
  <w:style w:type="character" w:styleId="FootnoteReference">
    <w:name w:val="footnote reference"/>
    <w:basedOn w:val="DefaultParagraphFont"/>
    <w:rsid w:val="00492F51"/>
    <w:rPr>
      <w:rFonts w:ascii="Garamond" w:hAnsi="Garamond"/>
      <w:sz w:val="20"/>
      <w:szCs w:val="20"/>
      <w:vertAlign w:val="superscript"/>
    </w:rPr>
  </w:style>
  <w:style w:type="paragraph" w:customStyle="1" w:styleId="Singlespacedparagraph">
    <w:name w:val="Single spaced paragraph"/>
    <w:basedOn w:val="Normal"/>
    <w:rsid w:val="00492F51"/>
    <w:pPr>
      <w:spacing w:after="0"/>
    </w:pPr>
  </w:style>
  <w:style w:type="paragraph" w:styleId="Index1">
    <w:name w:val="index 1"/>
    <w:basedOn w:val="Normal"/>
    <w:next w:val="Normal"/>
    <w:autoRedefine/>
    <w:semiHidden/>
    <w:rsid w:val="00492F51"/>
    <w:pPr>
      <w:ind w:left="220" w:hanging="220"/>
    </w:pPr>
  </w:style>
  <w:style w:type="paragraph" w:styleId="Index2">
    <w:name w:val="index 2"/>
    <w:basedOn w:val="Normal"/>
    <w:next w:val="Normal"/>
    <w:autoRedefine/>
    <w:semiHidden/>
    <w:rsid w:val="00492F51"/>
    <w:pPr>
      <w:ind w:left="440" w:hanging="220"/>
    </w:pPr>
  </w:style>
  <w:style w:type="paragraph" w:styleId="Index3">
    <w:name w:val="index 3"/>
    <w:basedOn w:val="Normal"/>
    <w:next w:val="Normal"/>
    <w:autoRedefine/>
    <w:semiHidden/>
    <w:rsid w:val="00492F51"/>
    <w:pPr>
      <w:ind w:left="660" w:hanging="220"/>
    </w:pPr>
  </w:style>
  <w:style w:type="paragraph" w:styleId="Index4">
    <w:name w:val="index 4"/>
    <w:basedOn w:val="Normal"/>
    <w:next w:val="Normal"/>
    <w:autoRedefine/>
    <w:semiHidden/>
    <w:rsid w:val="00492F51"/>
    <w:pPr>
      <w:ind w:left="880" w:hanging="220"/>
    </w:pPr>
  </w:style>
  <w:style w:type="paragraph" w:customStyle="1" w:styleId="Notes">
    <w:name w:val="Notes"/>
    <w:basedOn w:val="Normal"/>
    <w:rsid w:val="00A67E6D"/>
    <w:pPr>
      <w:numPr>
        <w:numId w:val="16"/>
      </w:numPr>
      <w:spacing w:after="60" w:line="240" w:lineRule="auto"/>
    </w:pPr>
    <w:rPr>
      <w:sz w:val="18"/>
    </w:rPr>
  </w:style>
  <w:style w:type="paragraph" w:styleId="Index6">
    <w:name w:val="index 6"/>
    <w:basedOn w:val="Normal"/>
    <w:next w:val="Normal"/>
    <w:autoRedefine/>
    <w:semiHidden/>
    <w:rsid w:val="00492F51"/>
    <w:pPr>
      <w:ind w:left="1320" w:hanging="220"/>
    </w:pPr>
  </w:style>
  <w:style w:type="paragraph" w:styleId="Index7">
    <w:name w:val="index 7"/>
    <w:basedOn w:val="Normal"/>
    <w:next w:val="Normal"/>
    <w:autoRedefine/>
    <w:semiHidden/>
    <w:rsid w:val="00492F51"/>
    <w:pPr>
      <w:ind w:left="1540" w:hanging="220"/>
    </w:pPr>
  </w:style>
  <w:style w:type="paragraph" w:styleId="Index8">
    <w:name w:val="index 8"/>
    <w:basedOn w:val="Normal"/>
    <w:next w:val="Normal"/>
    <w:autoRedefine/>
    <w:semiHidden/>
    <w:rsid w:val="00492F51"/>
    <w:pPr>
      <w:ind w:left="1760" w:hanging="220"/>
    </w:pPr>
  </w:style>
  <w:style w:type="paragraph" w:styleId="Index9">
    <w:name w:val="index 9"/>
    <w:basedOn w:val="Normal"/>
    <w:next w:val="Normal"/>
    <w:autoRedefine/>
    <w:semiHidden/>
    <w:rsid w:val="00492F51"/>
    <w:pPr>
      <w:ind w:left="1980" w:hanging="220"/>
    </w:pPr>
  </w:style>
  <w:style w:type="paragraph" w:customStyle="1" w:styleId="Captionsubheading">
    <w:name w:val="Caption sub heading"/>
    <w:basedOn w:val="Normal"/>
    <w:rsid w:val="00756BC2"/>
    <w:pPr>
      <w:keepNext/>
      <w:spacing w:before="60" w:after="80"/>
    </w:pPr>
  </w:style>
  <w:style w:type="character" w:styleId="CommentReference">
    <w:name w:val="annotation reference"/>
    <w:basedOn w:val="DefaultParagraphFont"/>
    <w:semiHidden/>
    <w:rsid w:val="00492F51"/>
    <w:rPr>
      <w:sz w:val="16"/>
      <w:szCs w:val="16"/>
    </w:rPr>
  </w:style>
  <w:style w:type="paragraph" w:styleId="CommentText">
    <w:name w:val="annotation text"/>
    <w:basedOn w:val="Normal"/>
    <w:semiHidden/>
    <w:rsid w:val="00492F51"/>
  </w:style>
  <w:style w:type="paragraph" w:styleId="MacroText">
    <w:name w:val="macro"/>
    <w:semiHidden/>
    <w:rsid w:val="00492F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NZ" w:eastAsia="en-NZ"/>
    </w:rPr>
  </w:style>
  <w:style w:type="paragraph" w:styleId="CommentSubject">
    <w:name w:val="annotation subject"/>
    <w:basedOn w:val="CommentText"/>
    <w:next w:val="CommentText"/>
    <w:semiHidden/>
    <w:rsid w:val="00492F51"/>
    <w:rPr>
      <w:b/>
      <w:bCs/>
    </w:rPr>
  </w:style>
  <w:style w:type="paragraph" w:styleId="NormalWeb">
    <w:name w:val="Normal (Web)"/>
    <w:basedOn w:val="Normal"/>
    <w:semiHidden/>
    <w:rsid w:val="00492F51"/>
    <w:rPr>
      <w:rFonts w:ascii="Times New Roman" w:hAnsi="Times New Roman"/>
      <w:sz w:val="24"/>
    </w:rPr>
  </w:style>
  <w:style w:type="paragraph" w:styleId="NormalIndent">
    <w:name w:val="Normal Indent"/>
    <w:basedOn w:val="Normal"/>
    <w:semiHidden/>
    <w:rsid w:val="00492F51"/>
    <w:pPr>
      <w:ind w:left="720"/>
    </w:pPr>
  </w:style>
  <w:style w:type="paragraph" w:customStyle="1" w:styleId="Coverheadingsingleline">
    <w:name w:val="Cover heading single line"/>
    <w:basedOn w:val="Coverheading"/>
    <w:rsid w:val="00492F51"/>
    <w:rPr>
      <w:sz w:val="76"/>
    </w:rPr>
  </w:style>
  <w:style w:type="paragraph" w:customStyle="1" w:styleId="NumtextFigurecaption">
    <w:name w:val="Num text: Figure caption"/>
    <w:basedOn w:val="Normal"/>
    <w:next w:val="Numtext1-Bodytextlevel1"/>
    <w:rsid w:val="00492F51"/>
    <w:pPr>
      <w:numPr>
        <w:numId w:val="10"/>
      </w:numPr>
      <w:spacing w:before="80" w:after="180"/>
    </w:pPr>
  </w:style>
  <w:style w:type="paragraph" w:customStyle="1" w:styleId="Numtexta-Bodytextlevel2">
    <w:name w:val="Num text: (a) - Body text level 2"/>
    <w:basedOn w:val="Normal"/>
    <w:rsid w:val="00492F51"/>
    <w:pPr>
      <w:numPr>
        <w:ilvl w:val="2"/>
        <w:numId w:val="8"/>
      </w:numPr>
    </w:pPr>
  </w:style>
  <w:style w:type="paragraph" w:customStyle="1" w:styleId="NumtextBullet1">
    <w:name w:val="Num text: Bullet 1"/>
    <w:basedOn w:val="Normal"/>
    <w:rsid w:val="00492F51"/>
    <w:pPr>
      <w:numPr>
        <w:numId w:val="9"/>
      </w:numPr>
      <w:spacing w:after="80"/>
    </w:pPr>
  </w:style>
  <w:style w:type="paragraph" w:customStyle="1" w:styleId="NumtextBullet2">
    <w:name w:val="Num text: Bullet 2"/>
    <w:basedOn w:val="Normal"/>
    <w:rsid w:val="00492F51"/>
    <w:pPr>
      <w:numPr>
        <w:ilvl w:val="1"/>
        <w:numId w:val="9"/>
      </w:numPr>
      <w:spacing w:after="80"/>
    </w:pPr>
    <w:rPr>
      <w:szCs w:val="24"/>
    </w:rPr>
  </w:style>
  <w:style w:type="paragraph" w:customStyle="1" w:styleId="Question">
    <w:name w:val="Question"/>
    <w:basedOn w:val="Normal"/>
    <w:rsid w:val="00270FAF"/>
    <w:pPr>
      <w:numPr>
        <w:numId w:val="17"/>
      </w:numPr>
    </w:pPr>
  </w:style>
  <w:style w:type="paragraph" w:customStyle="1" w:styleId="NumtextSourceinformation">
    <w:name w:val="Num text: Source information"/>
    <w:rsid w:val="00492F51"/>
    <w:pPr>
      <w:spacing w:before="80"/>
      <w:ind w:left="1162" w:hanging="170"/>
    </w:pPr>
    <w:rPr>
      <w:rFonts w:ascii="Arial" w:hAnsi="Arial"/>
      <w:sz w:val="18"/>
      <w:szCs w:val="22"/>
      <w:lang w:val="en-NZ"/>
    </w:rPr>
  </w:style>
  <w:style w:type="paragraph" w:customStyle="1" w:styleId="NumtextTablenotes">
    <w:name w:val="Num text: Table notes"/>
    <w:basedOn w:val="Normal"/>
    <w:rsid w:val="00492F51"/>
    <w:pPr>
      <w:spacing w:before="80"/>
      <w:ind w:left="992"/>
    </w:pPr>
    <w:rPr>
      <w:rFonts w:ascii="Arial" w:hAnsi="Arial"/>
      <w:bCs/>
      <w:sz w:val="18"/>
    </w:rPr>
  </w:style>
  <w:style w:type="paragraph" w:customStyle="1" w:styleId="Numtext1-Bodytext">
    <w:name w:val="Num text: 1. - Body text"/>
    <w:basedOn w:val="Normal"/>
    <w:rsid w:val="00B55A86"/>
    <w:rPr>
      <w:szCs w:val="24"/>
    </w:rPr>
  </w:style>
  <w:style w:type="paragraph" w:customStyle="1" w:styleId="Whitespace">
    <w:name w:val="White space"/>
    <w:basedOn w:val="Normal"/>
    <w:rsid w:val="00492F51"/>
    <w:pPr>
      <w:spacing w:after="60" w:line="240" w:lineRule="auto"/>
    </w:pPr>
    <w:rPr>
      <w:sz w:val="12"/>
      <w:szCs w:val="12"/>
    </w:rPr>
  </w:style>
  <w:style w:type="paragraph" w:styleId="PlainText">
    <w:name w:val="Plain Text"/>
    <w:basedOn w:val="Normal"/>
    <w:semiHidden/>
    <w:rsid w:val="00492F51"/>
    <w:rPr>
      <w:rFonts w:ascii="Courier New" w:hAnsi="Courier New" w:cs="Courier New"/>
    </w:rPr>
  </w:style>
  <w:style w:type="paragraph" w:styleId="Salutation">
    <w:name w:val="Salutation"/>
    <w:basedOn w:val="Normal"/>
    <w:next w:val="Normal"/>
    <w:semiHidden/>
    <w:rsid w:val="00492F51"/>
  </w:style>
  <w:style w:type="table" w:styleId="Table3Deffects1">
    <w:name w:val="Table 3D effects 1"/>
    <w:basedOn w:val="TableNormal"/>
    <w:semiHidden/>
    <w:rsid w:val="00492F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F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F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F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F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F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F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F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F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F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bodyheading">
    <w:name w:val="Table - body heading"/>
    <w:basedOn w:val="Normal"/>
    <w:next w:val="Table-bodytext"/>
    <w:rsid w:val="00492F51"/>
    <w:pPr>
      <w:spacing w:before="170" w:after="80" w:line="190" w:lineRule="atLeast"/>
    </w:pPr>
    <w:rPr>
      <w:b/>
      <w:szCs w:val="24"/>
    </w:rPr>
  </w:style>
  <w:style w:type="table" w:styleId="TableColumns1">
    <w:name w:val="Table Columns 1"/>
    <w:basedOn w:val="TableNormal"/>
    <w:semiHidden/>
    <w:rsid w:val="00492F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F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F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F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F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F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F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F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F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F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F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F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F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F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F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F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F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F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F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F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F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uiPriority w:val="99"/>
    <w:rsid w:val="008613AF"/>
    <w:pPr>
      <w:tabs>
        <w:tab w:val="right" w:pos="7938"/>
      </w:tabs>
      <w:spacing w:after="120"/>
      <w:ind w:right="425"/>
    </w:pPr>
  </w:style>
  <w:style w:type="table" w:styleId="TableProfessional">
    <w:name w:val="Table Professional"/>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F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F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F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F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F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F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F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F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92F51"/>
    <w:pPr>
      <w:spacing w:before="120"/>
    </w:pPr>
    <w:rPr>
      <w:rFonts w:cs="Arial"/>
      <w:b/>
      <w:bCs/>
      <w:sz w:val="24"/>
    </w:rPr>
  </w:style>
  <w:style w:type="paragraph" w:customStyle="1" w:styleId="NumtextTablecaption">
    <w:name w:val="Num text: Table caption"/>
    <w:basedOn w:val="Normal"/>
    <w:next w:val="Numtext1-Bodytextlevel1"/>
    <w:rsid w:val="00492F51"/>
    <w:pPr>
      <w:numPr>
        <w:numId w:val="12"/>
      </w:numPr>
      <w:spacing w:before="80" w:after="180"/>
    </w:pPr>
  </w:style>
  <w:style w:type="paragraph" w:customStyle="1" w:styleId="UnnumtextFigurecaption">
    <w:name w:val="Unnum text: Figure caption"/>
    <w:basedOn w:val="Normal"/>
    <w:next w:val="UnnumtextBodytext"/>
    <w:rsid w:val="00492F51"/>
    <w:pPr>
      <w:numPr>
        <w:numId w:val="14"/>
      </w:numPr>
      <w:spacing w:before="80" w:after="180"/>
    </w:pPr>
  </w:style>
  <w:style w:type="paragraph" w:customStyle="1" w:styleId="UnnumtextBullet1">
    <w:name w:val="Unnum text: Bullet 1"/>
    <w:basedOn w:val="Normal"/>
    <w:rsid w:val="00492F51"/>
    <w:pPr>
      <w:numPr>
        <w:numId w:val="13"/>
      </w:numPr>
      <w:spacing w:before="80" w:after="0"/>
    </w:pPr>
  </w:style>
  <w:style w:type="paragraph" w:customStyle="1" w:styleId="UnnumtextBullet2">
    <w:name w:val="Unnum text: Bullet 2"/>
    <w:basedOn w:val="Normal"/>
    <w:link w:val="UnnumtextBullet2CharChar"/>
    <w:rsid w:val="00723850"/>
    <w:pPr>
      <w:numPr>
        <w:ilvl w:val="1"/>
        <w:numId w:val="13"/>
      </w:numPr>
      <w:spacing w:before="80" w:after="0"/>
      <w:ind w:left="850" w:hanging="425"/>
    </w:pPr>
  </w:style>
  <w:style w:type="paragraph" w:customStyle="1" w:styleId="Sourceinformation">
    <w:name w:val="Source information"/>
    <w:basedOn w:val="Normal"/>
    <w:rsid w:val="00756BC2"/>
    <w:pPr>
      <w:spacing w:after="80" w:line="240" w:lineRule="auto"/>
    </w:pPr>
  </w:style>
  <w:style w:type="paragraph" w:styleId="BodyTextIndent">
    <w:name w:val="Body Text Indent"/>
    <w:basedOn w:val="Normal"/>
    <w:link w:val="BodyTextIndentChar"/>
    <w:semiHidden/>
    <w:rsid w:val="00492F51"/>
    <w:pPr>
      <w:spacing w:after="120"/>
      <w:ind w:left="283"/>
    </w:pPr>
  </w:style>
  <w:style w:type="paragraph" w:styleId="E-mailSignature">
    <w:name w:val="E-mail Signature"/>
    <w:basedOn w:val="Normal"/>
    <w:semiHidden/>
    <w:rsid w:val="00492F51"/>
  </w:style>
  <w:style w:type="character" w:styleId="Emphasis">
    <w:name w:val="Emphasis"/>
    <w:basedOn w:val="DefaultParagraphFont"/>
    <w:semiHidden/>
    <w:rsid w:val="00492F51"/>
    <w:rPr>
      <w:i/>
      <w:iCs/>
    </w:rPr>
  </w:style>
  <w:style w:type="character" w:styleId="HTMLAcronym">
    <w:name w:val="HTML Acronym"/>
    <w:basedOn w:val="DefaultParagraphFont"/>
    <w:semiHidden/>
    <w:rsid w:val="00492F51"/>
  </w:style>
  <w:style w:type="paragraph" w:styleId="HTMLAddress">
    <w:name w:val="HTML Address"/>
    <w:basedOn w:val="Normal"/>
    <w:semiHidden/>
    <w:rsid w:val="00492F51"/>
    <w:rPr>
      <w:i/>
      <w:iCs/>
    </w:rPr>
  </w:style>
  <w:style w:type="character" w:styleId="HTMLCite">
    <w:name w:val="HTML Cite"/>
    <w:basedOn w:val="DefaultParagraphFont"/>
    <w:semiHidden/>
    <w:rsid w:val="00492F51"/>
    <w:rPr>
      <w:i/>
      <w:iCs/>
    </w:rPr>
  </w:style>
  <w:style w:type="character" w:styleId="HTMLCode">
    <w:name w:val="HTML Code"/>
    <w:basedOn w:val="DefaultParagraphFont"/>
    <w:semiHidden/>
    <w:rsid w:val="00492F51"/>
    <w:rPr>
      <w:rFonts w:ascii="Courier New" w:hAnsi="Courier New" w:cs="Courier New"/>
      <w:sz w:val="20"/>
      <w:szCs w:val="20"/>
    </w:rPr>
  </w:style>
  <w:style w:type="character" w:styleId="HTMLDefinition">
    <w:name w:val="HTML Definition"/>
    <w:basedOn w:val="DefaultParagraphFont"/>
    <w:semiHidden/>
    <w:rsid w:val="00492F51"/>
    <w:rPr>
      <w:i/>
      <w:iCs/>
    </w:rPr>
  </w:style>
  <w:style w:type="character" w:styleId="HTMLKeyboard">
    <w:name w:val="HTML Keyboard"/>
    <w:basedOn w:val="DefaultParagraphFont"/>
    <w:semiHidden/>
    <w:rsid w:val="00492F51"/>
    <w:rPr>
      <w:rFonts w:ascii="Courier New" w:hAnsi="Courier New" w:cs="Courier New"/>
      <w:sz w:val="20"/>
      <w:szCs w:val="20"/>
    </w:rPr>
  </w:style>
  <w:style w:type="paragraph" w:styleId="HTMLPreformatted">
    <w:name w:val="HTML Preformatted"/>
    <w:basedOn w:val="Normal"/>
    <w:semiHidden/>
    <w:rsid w:val="00492F51"/>
    <w:rPr>
      <w:rFonts w:ascii="Courier New" w:hAnsi="Courier New" w:cs="Courier New"/>
    </w:rPr>
  </w:style>
  <w:style w:type="character" w:styleId="HTMLSample">
    <w:name w:val="HTML Sample"/>
    <w:basedOn w:val="DefaultParagraphFont"/>
    <w:semiHidden/>
    <w:rsid w:val="00492F51"/>
    <w:rPr>
      <w:rFonts w:ascii="Courier New" w:hAnsi="Courier New" w:cs="Courier New"/>
    </w:rPr>
  </w:style>
  <w:style w:type="character" w:styleId="HTMLTypewriter">
    <w:name w:val="HTML Typewriter"/>
    <w:basedOn w:val="DefaultParagraphFont"/>
    <w:semiHidden/>
    <w:rsid w:val="00492F51"/>
    <w:rPr>
      <w:rFonts w:ascii="Courier New" w:hAnsi="Courier New" w:cs="Courier New"/>
      <w:sz w:val="20"/>
      <w:szCs w:val="20"/>
    </w:rPr>
  </w:style>
  <w:style w:type="character" w:styleId="HTMLVariable">
    <w:name w:val="HTML Variable"/>
    <w:basedOn w:val="DefaultParagraphFont"/>
    <w:semiHidden/>
    <w:rsid w:val="00492F51"/>
    <w:rPr>
      <w:i/>
      <w:iCs/>
    </w:rPr>
  </w:style>
  <w:style w:type="paragraph" w:customStyle="1" w:styleId="Instructions">
    <w:name w:val="Instructions"/>
    <w:basedOn w:val="Normal"/>
    <w:next w:val="UnnumtextBodytext"/>
    <w:rsid w:val="003A5A47"/>
    <w:pPr>
      <w:spacing w:after="240" w:line="255" w:lineRule="atLeast"/>
    </w:pPr>
    <w:rPr>
      <w:color w:val="0000FF"/>
      <w:szCs w:val="24"/>
    </w:rPr>
  </w:style>
  <w:style w:type="paragraph" w:customStyle="1" w:styleId="NumtextIndent1">
    <w:name w:val="Num text:  Indent 1"/>
    <w:basedOn w:val="Normal"/>
    <w:rsid w:val="00A5001E"/>
    <w:pPr>
      <w:numPr>
        <w:numId w:val="11"/>
      </w:numPr>
      <w:ind w:left="425"/>
    </w:pPr>
  </w:style>
  <w:style w:type="paragraph" w:customStyle="1" w:styleId="Numtexti-Bodytextlevel3">
    <w:name w:val="Num text: (i) - Body text level 3"/>
    <w:basedOn w:val="Normal"/>
    <w:rsid w:val="00492F51"/>
    <w:pPr>
      <w:numPr>
        <w:ilvl w:val="3"/>
        <w:numId w:val="8"/>
      </w:numPr>
    </w:pPr>
  </w:style>
  <w:style w:type="paragraph" w:customStyle="1" w:styleId="Numtexta-Bodytextlevel4">
    <w:name w:val="Num text: a) - Body text level 4"/>
    <w:basedOn w:val="Numtexti-Bodytextlevel3"/>
    <w:rsid w:val="00492F51"/>
    <w:pPr>
      <w:numPr>
        <w:ilvl w:val="0"/>
        <w:numId w:val="0"/>
      </w:numPr>
    </w:pPr>
  </w:style>
  <w:style w:type="paragraph" w:customStyle="1" w:styleId="Numtexti-Bodytextlevel5">
    <w:name w:val="Num text: i) - Body text level 5"/>
    <w:basedOn w:val="Normal"/>
    <w:rsid w:val="00492F51"/>
    <w:pPr>
      <w:spacing w:before="60" w:after="180"/>
    </w:pPr>
  </w:style>
  <w:style w:type="paragraph" w:customStyle="1" w:styleId="Headingtext">
    <w:name w:val="Heading text"/>
    <w:basedOn w:val="Normal"/>
    <w:next w:val="Normal"/>
    <w:semiHidden/>
    <w:rsid w:val="00492F51"/>
    <w:pPr>
      <w:keepNext/>
      <w:spacing w:before="160"/>
    </w:pPr>
    <w:rPr>
      <w:b/>
      <w:sz w:val="21"/>
    </w:rPr>
  </w:style>
  <w:style w:type="paragraph" w:customStyle="1" w:styleId="Heading-nontableofcontents">
    <w:name w:val="Heading - non table of contents"/>
    <w:basedOn w:val="Normalcolour"/>
    <w:next w:val="UnnumtextBodytext"/>
    <w:rsid w:val="000A41C3"/>
    <w:pPr>
      <w:keepNext/>
      <w:pageBreakBefore/>
      <w:pBdr>
        <w:bottom w:val="single" w:sz="4" w:space="7" w:color="auto"/>
      </w:pBdr>
      <w:spacing w:after="280" w:line="480" w:lineRule="atLeast"/>
    </w:pPr>
    <w:rPr>
      <w:b/>
      <w:sz w:val="48"/>
    </w:rPr>
  </w:style>
  <w:style w:type="paragraph" w:customStyle="1" w:styleId="ListStartNumberedheadings">
    <w:name w:val="ListStart Numbered headings"/>
    <w:next w:val="Normal"/>
    <w:rsid w:val="00713611"/>
    <w:pPr>
      <w:keepNext/>
      <w:keepLines/>
      <w:framePr w:wrap="around" w:vAnchor="text" w:hAnchor="text" w:x="-565" w:y="1"/>
      <w:widowControl w:val="0"/>
      <w:numPr>
        <w:numId w:val="19"/>
      </w:numPr>
    </w:pPr>
    <w:rPr>
      <w:color w:val="800080"/>
      <w:sz w:val="18"/>
      <w:szCs w:val="22"/>
      <w:lang w:val="en-NZ" w:eastAsia="en-NZ"/>
    </w:rPr>
  </w:style>
  <w:style w:type="paragraph" w:customStyle="1" w:styleId="Table-headingrow1">
    <w:name w:val="Table - heading (row 1)"/>
    <w:basedOn w:val="Normal"/>
    <w:rsid w:val="00492F51"/>
    <w:pPr>
      <w:spacing w:after="0"/>
    </w:pPr>
    <w:rPr>
      <w:b/>
      <w:color w:val="FFFFFF"/>
    </w:rPr>
  </w:style>
  <w:style w:type="paragraph" w:customStyle="1" w:styleId="UnnumtextBullet3">
    <w:name w:val="Unnum text: Bullet 3"/>
    <w:basedOn w:val="Normal"/>
    <w:rsid w:val="00492F51"/>
    <w:pPr>
      <w:numPr>
        <w:ilvl w:val="2"/>
        <w:numId w:val="13"/>
      </w:numPr>
      <w:spacing w:before="60" w:after="60"/>
    </w:pPr>
  </w:style>
  <w:style w:type="paragraph" w:customStyle="1" w:styleId="NumtextBullet3">
    <w:name w:val="Num text: Bullet 3"/>
    <w:basedOn w:val="Normal"/>
    <w:rsid w:val="00492F51"/>
    <w:pPr>
      <w:numPr>
        <w:ilvl w:val="2"/>
        <w:numId w:val="9"/>
      </w:numPr>
      <w:spacing w:before="60" w:after="60"/>
    </w:pPr>
  </w:style>
  <w:style w:type="table" w:customStyle="1" w:styleId="TableSapereGrid">
    <w:name w:val="Table Sapere Grid"/>
    <w:basedOn w:val="TableGrid"/>
    <w:rsid w:val="007D2386"/>
    <w:tblPr>
      <w:tblBorders>
        <w:top w:val="single" w:sz="4" w:space="0" w:color="7B5E05"/>
        <w:left w:val="none" w:sz="0" w:space="0" w:color="auto"/>
        <w:bottom w:val="single" w:sz="4" w:space="0" w:color="7B5E05"/>
        <w:right w:val="none" w:sz="0" w:space="0" w:color="auto"/>
        <w:insideH w:val="single" w:sz="4" w:space="0" w:color="7B5E05"/>
        <w:insideV w:val="single" w:sz="4" w:space="0" w:color="7B5E05"/>
      </w:tblBorders>
      <w:tblCellMar>
        <w:top w:w="113" w:type="dxa"/>
        <w:bottom w:w="113" w:type="dxa"/>
      </w:tblCellMar>
    </w:tblPr>
    <w:tblStylePr w:type="firstRow">
      <w:tblPr/>
      <w:trPr>
        <w:tblHeader/>
      </w:trPr>
      <w:tcPr>
        <w:tcBorders>
          <w:top w:val="single" w:sz="4" w:space="0" w:color="7B5E05"/>
          <w:left w:val="single" w:sz="4" w:space="0" w:color="7B5E05"/>
          <w:bottom w:val="nil"/>
          <w:right w:val="single" w:sz="4" w:space="0" w:color="7B5E05"/>
          <w:insideH w:val="nil"/>
          <w:insideV w:val="single" w:sz="4" w:space="0" w:color="FFFFFF"/>
          <w:tl2br w:val="nil"/>
          <w:tr2bl w:val="nil"/>
        </w:tcBorders>
        <w:shd w:val="clear" w:color="auto" w:fill="7B5E05"/>
        <w:tcMar>
          <w:top w:w="113" w:type="dxa"/>
          <w:left w:w="0" w:type="nil"/>
          <w:bottom w:w="142" w:type="dxa"/>
          <w:right w:w="0" w:type="nil"/>
        </w:tcMar>
        <w:vAlign w:val="center"/>
      </w:tcPr>
    </w:tblStylePr>
  </w:style>
  <w:style w:type="paragraph" w:customStyle="1" w:styleId="Heading-tableoftables">
    <w:name w:val="Heading - table of tables"/>
    <w:basedOn w:val="Normalcolour"/>
    <w:next w:val="UnnumtextBodytext"/>
    <w:rsid w:val="008613AF"/>
    <w:pPr>
      <w:keepNext/>
      <w:spacing w:before="260" w:after="40" w:line="240" w:lineRule="auto"/>
    </w:pPr>
    <w:rPr>
      <w:b/>
      <w:color w:val="000000"/>
      <w:sz w:val="28"/>
    </w:rPr>
  </w:style>
  <w:style w:type="paragraph" w:customStyle="1" w:styleId="Heading-tableoffigures">
    <w:name w:val="Heading - table of figures"/>
    <w:basedOn w:val="Normalcolour"/>
    <w:next w:val="UnnumtextBodytext"/>
    <w:rsid w:val="008613AF"/>
    <w:pPr>
      <w:keepNext/>
      <w:spacing w:before="260" w:after="40" w:line="240" w:lineRule="auto"/>
    </w:pPr>
    <w:rPr>
      <w:b/>
      <w:color w:val="000000"/>
      <w:sz w:val="28"/>
    </w:rPr>
  </w:style>
  <w:style w:type="paragraph" w:customStyle="1" w:styleId="UnnumtextTablecaption">
    <w:name w:val="Unnum text: Table caption"/>
    <w:basedOn w:val="Normal"/>
    <w:next w:val="UnnumtextBodytext"/>
    <w:rsid w:val="00492F51"/>
    <w:pPr>
      <w:numPr>
        <w:numId w:val="15"/>
      </w:numPr>
      <w:spacing w:before="80" w:after="180"/>
    </w:pPr>
  </w:style>
  <w:style w:type="paragraph" w:customStyle="1" w:styleId="Table-bodytext">
    <w:name w:val="Table - body text"/>
    <w:basedOn w:val="Normal"/>
    <w:rsid w:val="00492F51"/>
    <w:pPr>
      <w:spacing w:after="120" w:line="190" w:lineRule="atLeast"/>
    </w:pPr>
  </w:style>
  <w:style w:type="paragraph" w:customStyle="1" w:styleId="NumtextFigurenotes">
    <w:name w:val="Num text: Figure notes"/>
    <w:basedOn w:val="Normal"/>
    <w:rsid w:val="00492F51"/>
    <w:pPr>
      <w:spacing w:before="80" w:after="0"/>
      <w:ind w:left="992"/>
    </w:pPr>
    <w:rPr>
      <w:sz w:val="18"/>
    </w:rPr>
  </w:style>
  <w:style w:type="paragraph" w:customStyle="1" w:styleId="Numberedparagraphs-1">
    <w:name w:val="Numbered paragraphs - 1."/>
    <w:basedOn w:val="Normal"/>
    <w:rsid w:val="00B121A2"/>
    <w:pPr>
      <w:numPr>
        <w:ilvl w:val="1"/>
        <w:numId w:val="18"/>
      </w:numPr>
      <w:spacing w:before="60" w:after="120" w:line="190" w:lineRule="atLeast"/>
    </w:pPr>
  </w:style>
  <w:style w:type="paragraph" w:customStyle="1" w:styleId="Numberedparagraphs-a">
    <w:name w:val="Numbered paragraphs - a)"/>
    <w:basedOn w:val="Normal"/>
    <w:rsid w:val="00B121A2"/>
    <w:pPr>
      <w:numPr>
        <w:ilvl w:val="2"/>
        <w:numId w:val="18"/>
      </w:numPr>
      <w:spacing w:before="60" w:after="120" w:line="190" w:lineRule="atLeast"/>
      <w:ind w:left="850" w:hanging="425"/>
    </w:pPr>
  </w:style>
  <w:style w:type="paragraph" w:customStyle="1" w:styleId="Numberedparagraphs-i">
    <w:name w:val="Numbered paragraphs - i)"/>
    <w:basedOn w:val="Normal"/>
    <w:rsid w:val="00B121A2"/>
    <w:pPr>
      <w:numPr>
        <w:ilvl w:val="3"/>
        <w:numId w:val="18"/>
      </w:numPr>
      <w:spacing w:before="60" w:after="120" w:line="190" w:lineRule="atLeast"/>
    </w:pPr>
  </w:style>
  <w:style w:type="paragraph" w:customStyle="1" w:styleId="Objectplaceholder">
    <w:name w:val="Object placeholder"/>
    <w:basedOn w:val="Normal"/>
    <w:rsid w:val="00756BC2"/>
    <w:pPr>
      <w:spacing w:before="80" w:after="80" w:line="240" w:lineRule="auto"/>
    </w:pPr>
  </w:style>
  <w:style w:type="character" w:styleId="PlaceholderText">
    <w:name w:val="Placeholder Text"/>
    <w:basedOn w:val="DefaultParagraphFont"/>
    <w:uiPriority w:val="99"/>
    <w:semiHidden/>
    <w:rsid w:val="001E3AB9"/>
    <w:rPr>
      <w:color w:val="808080"/>
    </w:rPr>
  </w:style>
  <w:style w:type="paragraph" w:customStyle="1" w:styleId="ApxHeading5">
    <w:name w:val="Apx Heading 5"/>
    <w:basedOn w:val="Normal"/>
    <w:next w:val="UnnumtextBodytext"/>
    <w:rsid w:val="00682E6B"/>
    <w:pPr>
      <w:keepNext/>
      <w:spacing w:before="120" w:after="0"/>
      <w:outlineLvl w:val="8"/>
    </w:pPr>
    <w:rPr>
      <w:b/>
      <w:bCs/>
      <w:szCs w:val="24"/>
    </w:rPr>
  </w:style>
  <w:style w:type="paragraph" w:customStyle="1" w:styleId="DraftWatermark">
    <w:name w:val="DraftWatermark"/>
    <w:rsid w:val="00954C88"/>
    <w:pPr>
      <w:jc w:val="right"/>
    </w:pPr>
    <w:rPr>
      <w:rFonts w:ascii="Arial" w:hAnsi="Arial"/>
      <w:i/>
      <w:sz w:val="18"/>
      <w:szCs w:val="22"/>
      <w:lang w:val="en-NZ" w:eastAsia="en-NZ"/>
    </w:rPr>
  </w:style>
  <w:style w:type="paragraph" w:customStyle="1" w:styleId="Tablebullet1atmargin">
    <w:name w:val="Table bullet 1 (at margin)"/>
    <w:basedOn w:val="Table-bodytext"/>
    <w:rsid w:val="009A5A40"/>
    <w:pPr>
      <w:numPr>
        <w:numId w:val="21"/>
      </w:numPr>
    </w:pPr>
  </w:style>
  <w:style w:type="paragraph" w:customStyle="1" w:styleId="Tablebullet2atmargin">
    <w:name w:val="Table bullet 2 (at margin)"/>
    <w:basedOn w:val="Table-bodytext"/>
    <w:rsid w:val="009A5A40"/>
    <w:pPr>
      <w:numPr>
        <w:ilvl w:val="1"/>
        <w:numId w:val="21"/>
      </w:numPr>
      <w:ind w:left="850"/>
    </w:pPr>
  </w:style>
  <w:style w:type="paragraph" w:customStyle="1" w:styleId="Tablebullet1afternumbering">
    <w:name w:val="Table bullet 1 (after numbering)"/>
    <w:basedOn w:val="Table-bodytext"/>
    <w:rsid w:val="009A5A40"/>
    <w:pPr>
      <w:numPr>
        <w:numId w:val="20"/>
      </w:numPr>
      <w:ind w:left="850" w:hanging="425"/>
    </w:pPr>
  </w:style>
  <w:style w:type="paragraph" w:customStyle="1" w:styleId="Tablebullet2afternumbering">
    <w:name w:val="Table bullet 2 (after numbering)"/>
    <w:basedOn w:val="Tablebullet1afternumbering"/>
    <w:rsid w:val="009A5A40"/>
    <w:pPr>
      <w:numPr>
        <w:ilvl w:val="1"/>
      </w:numPr>
    </w:pPr>
  </w:style>
  <w:style w:type="character" w:customStyle="1" w:styleId="BodyTextChar">
    <w:name w:val="Body Text Char"/>
    <w:basedOn w:val="DefaultParagraphFont"/>
    <w:link w:val="BodyText"/>
    <w:rsid w:val="007B6C6B"/>
  </w:style>
  <w:style w:type="character" w:customStyle="1" w:styleId="BodyTextIndentChar">
    <w:name w:val="Body Text Indent Char"/>
    <w:basedOn w:val="DefaultParagraphFont"/>
    <w:link w:val="BodyTextIndent"/>
    <w:semiHidden/>
    <w:rsid w:val="002969B7"/>
  </w:style>
  <w:style w:type="paragraph" w:customStyle="1" w:styleId="Listtextunformatted">
    <w:name w:val="List text (unformatted)"/>
    <w:basedOn w:val="Normal"/>
    <w:rsid w:val="007B54FA"/>
    <w:pPr>
      <w:spacing w:after="0" w:line="240" w:lineRule="auto"/>
    </w:pPr>
    <w:rPr>
      <w:rFonts w:ascii="Arial" w:hAnsi="Arial"/>
      <w:szCs w:val="22"/>
      <w:lang w:val="en-NZ" w:eastAsia="en-NZ"/>
    </w:rPr>
  </w:style>
  <w:style w:type="paragraph" w:customStyle="1" w:styleId="Default">
    <w:name w:val="Default"/>
    <w:rsid w:val="001333D0"/>
    <w:pPr>
      <w:autoSpaceDE w:val="0"/>
      <w:autoSpaceDN w:val="0"/>
      <w:adjustRightInd w:val="0"/>
    </w:pPr>
    <w:rPr>
      <w:rFonts w:cs="Garamond"/>
      <w:color w:val="000000"/>
      <w:sz w:val="24"/>
      <w:szCs w:val="24"/>
      <w:lang w:val="en-NZ"/>
    </w:rPr>
  </w:style>
  <w:style w:type="character" w:customStyle="1" w:styleId="FootnoteTextChar">
    <w:name w:val="Footnote Text Char"/>
    <w:basedOn w:val="DefaultParagraphFont"/>
    <w:link w:val="FootnoteText"/>
    <w:uiPriority w:val="99"/>
    <w:rsid w:val="00225944"/>
    <w:rPr>
      <w:sz w:val="18"/>
    </w:rPr>
  </w:style>
  <w:style w:type="paragraph" w:customStyle="1" w:styleId="StyleNumbered">
    <w:name w:val="Style Numbered"/>
    <w:basedOn w:val="Normal"/>
    <w:autoRedefine/>
    <w:rsid w:val="00225944"/>
    <w:pPr>
      <w:spacing w:before="120" w:after="120" w:line="280" w:lineRule="atLeast"/>
      <w:ind w:left="900"/>
    </w:pPr>
    <w:rPr>
      <w:rFonts w:asciiTheme="minorHAnsi" w:hAnsiTheme="minorHAnsi" w:cstheme="minorHAnsi"/>
      <w:szCs w:val="22"/>
      <w:lang w:val="en-NZ"/>
    </w:rPr>
  </w:style>
  <w:style w:type="paragraph" w:customStyle="1" w:styleId="Objectplaceholderpicture">
    <w:name w:val="Object placeholder picture"/>
    <w:basedOn w:val="Normal"/>
    <w:rsid w:val="009177D4"/>
    <w:pPr>
      <w:keepNext/>
      <w:spacing w:before="80" w:after="80" w:line="240" w:lineRule="auto"/>
      <w:ind w:left="-28"/>
    </w:pPr>
    <w:rPr>
      <w:szCs w:val="22"/>
      <w:lang w:val="en-NZ" w:eastAsia="en-NZ"/>
    </w:rPr>
  </w:style>
  <w:style w:type="paragraph" w:styleId="ListParagraph">
    <w:name w:val="List Paragraph"/>
    <w:basedOn w:val="Normal"/>
    <w:uiPriority w:val="34"/>
    <w:qFormat/>
    <w:rsid w:val="000418E7"/>
    <w:pPr>
      <w:spacing w:after="200" w:line="276" w:lineRule="auto"/>
      <w:ind w:left="720"/>
      <w:contextualSpacing/>
    </w:pPr>
    <w:rPr>
      <w:rFonts w:asciiTheme="minorHAnsi" w:eastAsiaTheme="minorHAnsi" w:hAnsiTheme="minorHAnsi" w:cstheme="minorBidi"/>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2"/>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index 5" w:semiHidden="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index heading" w:semiHidden="1"/>
    <w:lsdException w:name="table of figures" w:uiPriority="99"/>
    <w:lsdException w:name="line number"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4" w:semiHidden="1"/>
    <w:lsdException w:name="List Number 5" w:semiHidden="1"/>
    <w:lsdException w:name="Titl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Strong"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7B6C6B"/>
    <w:pPr>
      <w:spacing w:after="170" w:line="260" w:lineRule="atLeast"/>
    </w:pPr>
  </w:style>
  <w:style w:type="paragraph" w:styleId="Heading1">
    <w:name w:val="heading 1"/>
    <w:basedOn w:val="Normalcolour"/>
    <w:next w:val="UnnumtextBodytext"/>
    <w:qFormat/>
    <w:rsid w:val="000A41C3"/>
    <w:pPr>
      <w:keepNext/>
      <w:pageBreakBefore/>
      <w:numPr>
        <w:ilvl w:val="1"/>
        <w:numId w:val="19"/>
      </w:numPr>
      <w:pBdr>
        <w:bottom w:val="single" w:sz="4" w:space="7" w:color="7B5E05"/>
      </w:pBdr>
      <w:spacing w:after="280" w:line="480" w:lineRule="atLeast"/>
      <w:outlineLvl w:val="0"/>
    </w:pPr>
    <w:rPr>
      <w:rFonts w:cs="Arial"/>
      <w:b/>
      <w:bCs/>
      <w:kern w:val="32"/>
      <w:sz w:val="48"/>
      <w:szCs w:val="32"/>
    </w:rPr>
  </w:style>
  <w:style w:type="paragraph" w:styleId="Heading2">
    <w:name w:val="heading 2"/>
    <w:basedOn w:val="Normalcolour"/>
    <w:next w:val="UnnumtextBodytext"/>
    <w:qFormat/>
    <w:rsid w:val="00E91B7F"/>
    <w:pPr>
      <w:keepNext/>
      <w:numPr>
        <w:ilvl w:val="2"/>
        <w:numId w:val="19"/>
      </w:numPr>
      <w:spacing w:before="360" w:after="100"/>
      <w:outlineLvl w:val="1"/>
    </w:pPr>
    <w:rPr>
      <w:rFonts w:cs="Arial"/>
      <w:b/>
      <w:bCs/>
      <w:iCs/>
      <w:sz w:val="40"/>
      <w:szCs w:val="28"/>
    </w:rPr>
  </w:style>
  <w:style w:type="paragraph" w:styleId="Heading3">
    <w:name w:val="heading 3"/>
    <w:basedOn w:val="Normalcolour"/>
    <w:next w:val="UnnumtextBodytext"/>
    <w:qFormat/>
    <w:rsid w:val="00E91B7F"/>
    <w:pPr>
      <w:keepNext/>
      <w:numPr>
        <w:ilvl w:val="3"/>
        <w:numId w:val="19"/>
      </w:numPr>
      <w:spacing w:before="300" w:after="80"/>
      <w:outlineLvl w:val="2"/>
    </w:pPr>
    <w:rPr>
      <w:rFonts w:cs="Arial"/>
      <w:b/>
      <w:bCs/>
      <w:color w:val="000000"/>
      <w:sz w:val="32"/>
      <w:szCs w:val="24"/>
    </w:rPr>
  </w:style>
  <w:style w:type="paragraph" w:styleId="Heading4">
    <w:name w:val="heading 4"/>
    <w:basedOn w:val="Normalcolour"/>
    <w:next w:val="UnnumtextBodytext"/>
    <w:qFormat/>
    <w:rsid w:val="00A715AA"/>
    <w:pPr>
      <w:keepNext/>
      <w:numPr>
        <w:ilvl w:val="4"/>
        <w:numId w:val="19"/>
      </w:numPr>
      <w:spacing w:before="280" w:after="40"/>
      <w:outlineLvl w:val="3"/>
    </w:pPr>
    <w:rPr>
      <w:b/>
      <w:bCs/>
      <w:color w:val="auto"/>
      <w:sz w:val="28"/>
    </w:rPr>
  </w:style>
  <w:style w:type="paragraph" w:styleId="Heading5">
    <w:name w:val="heading 5"/>
    <w:basedOn w:val="Normal"/>
    <w:next w:val="UnnumtextBodytext"/>
    <w:rsid w:val="006907B1"/>
    <w:pPr>
      <w:keepNext/>
      <w:spacing w:before="280" w:after="40"/>
      <w:outlineLvl w:val="4"/>
    </w:pPr>
    <w:rPr>
      <w:b/>
      <w:bCs/>
      <w:iCs/>
      <w:sz w:val="24"/>
    </w:rPr>
  </w:style>
  <w:style w:type="paragraph" w:styleId="Heading6">
    <w:name w:val="heading 6"/>
    <w:basedOn w:val="Normal"/>
    <w:next w:val="Normal"/>
    <w:semiHidden/>
    <w:rsid w:val="00492F51"/>
    <w:pPr>
      <w:numPr>
        <w:ilvl w:val="5"/>
        <w:numId w:val="5"/>
      </w:numPr>
      <w:outlineLvl w:val="5"/>
    </w:pPr>
  </w:style>
  <w:style w:type="paragraph" w:styleId="Heading7">
    <w:name w:val="heading 7"/>
    <w:basedOn w:val="Heading6"/>
    <w:next w:val="Normal"/>
    <w:semiHidden/>
    <w:rsid w:val="00492F51"/>
    <w:pPr>
      <w:numPr>
        <w:ilvl w:val="6"/>
      </w:numPr>
      <w:outlineLvl w:val="6"/>
    </w:pPr>
  </w:style>
  <w:style w:type="paragraph" w:styleId="Heading8">
    <w:name w:val="heading 8"/>
    <w:basedOn w:val="Heading7"/>
    <w:next w:val="Normal"/>
    <w:semiHidden/>
    <w:rsid w:val="00492F51"/>
    <w:pPr>
      <w:numPr>
        <w:ilvl w:val="7"/>
      </w:numPr>
      <w:outlineLvl w:val="7"/>
    </w:pPr>
  </w:style>
  <w:style w:type="paragraph" w:styleId="Heading9">
    <w:name w:val="heading 9"/>
    <w:basedOn w:val="Heading8"/>
    <w:next w:val="Normal"/>
    <w:semiHidden/>
    <w:rsid w:val="00492F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92F51"/>
    <w:pPr>
      <w:tabs>
        <w:tab w:val="center" w:pos="4320"/>
        <w:tab w:val="right" w:pos="8640"/>
      </w:tabs>
    </w:pPr>
  </w:style>
  <w:style w:type="paragraph" w:customStyle="1" w:styleId="Indent1">
    <w:name w:val="Indent 1"/>
    <w:basedOn w:val="Normal"/>
    <w:semiHidden/>
    <w:rsid w:val="00E12F38"/>
    <w:pPr>
      <w:numPr>
        <w:numId w:val="6"/>
      </w:numPr>
      <w:spacing w:before="60" w:after="180" w:line="240" w:lineRule="auto"/>
    </w:pPr>
    <w:rPr>
      <w:rFonts w:ascii="Arial" w:hAnsi="Arial" w:cs="Arial"/>
      <w:kern w:val="28"/>
      <w:szCs w:val="36"/>
    </w:rPr>
  </w:style>
  <w:style w:type="paragraph" w:styleId="Header">
    <w:name w:val="header"/>
    <w:basedOn w:val="Normal"/>
    <w:semiHidden/>
    <w:rsid w:val="00492F51"/>
    <w:rPr>
      <w:sz w:val="18"/>
    </w:rPr>
  </w:style>
  <w:style w:type="paragraph" w:customStyle="1" w:styleId="Numtext11-Bodytextlevel2">
    <w:name w:val="Num text: 1.1 - Body text level 2"/>
    <w:basedOn w:val="Normal"/>
    <w:rsid w:val="00492F51"/>
  </w:style>
  <w:style w:type="paragraph" w:customStyle="1" w:styleId="NumtextIndent2">
    <w:name w:val="Num text: Indent 2"/>
    <w:basedOn w:val="NumtextIndent1"/>
    <w:rsid w:val="00A5001E"/>
    <w:pPr>
      <w:numPr>
        <w:numId w:val="0"/>
      </w:numPr>
      <w:ind w:left="851"/>
    </w:pPr>
  </w:style>
  <w:style w:type="paragraph" w:customStyle="1" w:styleId="Headereven">
    <w:name w:val="Header even"/>
    <w:basedOn w:val="Header"/>
    <w:rsid w:val="00492F51"/>
  </w:style>
  <w:style w:type="paragraph" w:customStyle="1" w:styleId="Headerodd">
    <w:name w:val="Header odd"/>
    <w:basedOn w:val="Header"/>
    <w:rsid w:val="00492F51"/>
    <w:pPr>
      <w:jc w:val="right"/>
    </w:pPr>
  </w:style>
  <w:style w:type="paragraph" w:customStyle="1" w:styleId="NumtextIndent3">
    <w:name w:val="Num text: Indent 3"/>
    <w:basedOn w:val="NumtextIndent2"/>
    <w:rsid w:val="00A5001E"/>
    <w:pPr>
      <w:spacing w:before="56"/>
      <w:ind w:left="1276"/>
    </w:pPr>
  </w:style>
  <w:style w:type="paragraph" w:customStyle="1" w:styleId="Footeroddlandscape">
    <w:name w:val="Footer odd landscape"/>
    <w:basedOn w:val="Normal"/>
    <w:rsid w:val="005A543A"/>
    <w:pPr>
      <w:tabs>
        <w:tab w:val="right" w:pos="12871"/>
      </w:tabs>
      <w:spacing w:after="0"/>
      <w:jc w:val="right"/>
    </w:pPr>
  </w:style>
  <w:style w:type="paragraph" w:customStyle="1" w:styleId="Footerevenlandscape">
    <w:name w:val="Footer even landscape"/>
    <w:basedOn w:val="Normal"/>
    <w:rsid w:val="005A543A"/>
    <w:pPr>
      <w:tabs>
        <w:tab w:val="right" w:pos="12871"/>
      </w:tabs>
      <w:spacing w:after="0"/>
      <w:jc w:val="right"/>
    </w:pPr>
  </w:style>
  <w:style w:type="character" w:styleId="PageNumber">
    <w:name w:val="page number"/>
    <w:basedOn w:val="DefaultParagraphFont"/>
    <w:rsid w:val="00492F51"/>
    <w:rPr>
      <w:rFonts w:ascii="Arial" w:hAnsi="Arial"/>
      <w:sz w:val="20"/>
      <w:szCs w:val="18"/>
    </w:rPr>
  </w:style>
  <w:style w:type="paragraph" w:styleId="TOC1">
    <w:name w:val="toc 1"/>
    <w:next w:val="Normal"/>
    <w:uiPriority w:val="39"/>
    <w:rsid w:val="00D36ED0"/>
    <w:pPr>
      <w:tabs>
        <w:tab w:val="left" w:pos="709"/>
        <w:tab w:val="right" w:leader="dot" w:pos="7938"/>
      </w:tabs>
      <w:spacing w:before="227" w:after="57" w:line="260" w:lineRule="atLeast"/>
      <w:ind w:left="709" w:right="567" w:hanging="709"/>
    </w:pPr>
    <w:rPr>
      <w:b/>
      <w:szCs w:val="24"/>
      <w:lang w:val="en-NZ" w:eastAsia="en-NZ"/>
    </w:rPr>
  </w:style>
  <w:style w:type="paragraph" w:customStyle="1" w:styleId="Indent2">
    <w:name w:val="Indent 2"/>
    <w:basedOn w:val="Indent1"/>
    <w:semiHidden/>
    <w:rsid w:val="00492F51"/>
    <w:pPr>
      <w:numPr>
        <w:ilvl w:val="1"/>
      </w:numPr>
    </w:pPr>
  </w:style>
  <w:style w:type="paragraph" w:customStyle="1" w:styleId="Indent3">
    <w:name w:val="Indent 3"/>
    <w:basedOn w:val="Indent2"/>
    <w:semiHidden/>
    <w:rsid w:val="00492F51"/>
    <w:pPr>
      <w:numPr>
        <w:ilvl w:val="2"/>
      </w:numPr>
    </w:pPr>
  </w:style>
  <w:style w:type="character" w:customStyle="1" w:styleId="UnnumtextBullet2CharChar">
    <w:name w:val="Unnum text: Bullet 2 Char Char"/>
    <w:basedOn w:val="DefaultParagraphFont"/>
    <w:link w:val="UnnumtextBullet2"/>
    <w:rsid w:val="00723850"/>
  </w:style>
  <w:style w:type="paragraph" w:customStyle="1" w:styleId="UnnumtextBodytext">
    <w:name w:val="Unnum text: Body text"/>
    <w:basedOn w:val="Normal"/>
    <w:qFormat/>
    <w:rsid w:val="007A32E4"/>
  </w:style>
  <w:style w:type="character" w:customStyle="1" w:styleId="FooterLastsavedate">
    <w:name w:val="Footer Last save date"/>
    <w:basedOn w:val="DefaultParagraphFont"/>
    <w:rsid w:val="00492F51"/>
  </w:style>
  <w:style w:type="paragraph" w:styleId="ListNumber">
    <w:name w:val="List Number"/>
    <w:basedOn w:val="Normal"/>
    <w:semiHidden/>
    <w:rsid w:val="00492F51"/>
    <w:pPr>
      <w:numPr>
        <w:ilvl w:val="1"/>
        <w:numId w:val="7"/>
      </w:numPr>
    </w:pPr>
  </w:style>
  <w:style w:type="paragraph" w:styleId="ListNumber2">
    <w:name w:val="List Number 2"/>
    <w:basedOn w:val="Normal"/>
    <w:semiHidden/>
    <w:rsid w:val="00492F51"/>
  </w:style>
  <w:style w:type="paragraph" w:styleId="ListNumber3">
    <w:name w:val="List Number 3"/>
    <w:basedOn w:val="Normal"/>
    <w:semiHidden/>
    <w:rsid w:val="00492F51"/>
  </w:style>
  <w:style w:type="paragraph" w:styleId="TOC2">
    <w:name w:val="toc 2"/>
    <w:next w:val="Normal"/>
    <w:uiPriority w:val="39"/>
    <w:rsid w:val="007B54FA"/>
    <w:pPr>
      <w:tabs>
        <w:tab w:val="left" w:pos="1418"/>
        <w:tab w:val="right" w:leader="dot" w:pos="7938"/>
      </w:tabs>
      <w:spacing w:line="260" w:lineRule="atLeast"/>
      <w:ind w:left="1418" w:right="567" w:hanging="709"/>
    </w:pPr>
    <w:rPr>
      <w:szCs w:val="24"/>
      <w:lang w:val="en-NZ" w:eastAsia="en-NZ"/>
    </w:rPr>
  </w:style>
  <w:style w:type="paragraph" w:styleId="TOC3">
    <w:name w:val="toc 3"/>
    <w:basedOn w:val="Normal"/>
    <w:next w:val="Normal"/>
    <w:uiPriority w:val="39"/>
    <w:rsid w:val="007B54FA"/>
    <w:pPr>
      <w:tabs>
        <w:tab w:val="left" w:pos="2126"/>
        <w:tab w:val="right" w:leader="dot" w:pos="7938"/>
      </w:tabs>
      <w:spacing w:after="0"/>
      <w:ind w:left="2127" w:right="567" w:hanging="709"/>
    </w:pPr>
  </w:style>
  <w:style w:type="paragraph" w:styleId="TOC4">
    <w:name w:val="toc 4"/>
    <w:basedOn w:val="Normal"/>
    <w:next w:val="Normal"/>
    <w:uiPriority w:val="39"/>
    <w:rsid w:val="007B54FA"/>
    <w:pPr>
      <w:tabs>
        <w:tab w:val="right" w:leader="dot" w:pos="7938"/>
      </w:tabs>
      <w:spacing w:after="0"/>
      <w:ind w:left="2126" w:right="567"/>
    </w:pPr>
  </w:style>
  <w:style w:type="paragraph" w:styleId="TOC5">
    <w:name w:val="toc 5"/>
    <w:basedOn w:val="Normal"/>
    <w:next w:val="Normal"/>
    <w:rsid w:val="00DE6ED9"/>
    <w:pPr>
      <w:tabs>
        <w:tab w:val="right" w:leader="dot" w:pos="7938"/>
      </w:tabs>
      <w:spacing w:after="0"/>
      <w:ind w:left="2410" w:right="425"/>
    </w:pPr>
  </w:style>
  <w:style w:type="paragraph" w:styleId="TOC6">
    <w:name w:val="toc 6"/>
    <w:basedOn w:val="Normal"/>
    <w:next w:val="Normal"/>
    <w:uiPriority w:val="39"/>
    <w:rsid w:val="008613AF"/>
    <w:pPr>
      <w:tabs>
        <w:tab w:val="right" w:leader="dot" w:pos="7938"/>
      </w:tabs>
      <w:spacing w:after="120"/>
      <w:ind w:right="567"/>
    </w:pPr>
  </w:style>
  <w:style w:type="paragraph" w:styleId="TOC7">
    <w:name w:val="toc 7"/>
    <w:basedOn w:val="Normal"/>
    <w:next w:val="Normal"/>
    <w:uiPriority w:val="39"/>
    <w:rsid w:val="00D36ED0"/>
    <w:pPr>
      <w:tabs>
        <w:tab w:val="right" w:pos="7927"/>
      </w:tabs>
      <w:spacing w:after="0"/>
      <w:ind w:left="709" w:right="567"/>
    </w:pPr>
  </w:style>
  <w:style w:type="paragraph" w:styleId="TOC8">
    <w:name w:val="toc 8"/>
    <w:basedOn w:val="Normal"/>
    <w:next w:val="Normal"/>
    <w:uiPriority w:val="39"/>
    <w:rsid w:val="00D36ED0"/>
    <w:pPr>
      <w:tabs>
        <w:tab w:val="right" w:pos="7938"/>
      </w:tabs>
      <w:spacing w:after="0"/>
      <w:ind w:left="1418" w:right="567"/>
    </w:pPr>
  </w:style>
  <w:style w:type="paragraph" w:styleId="TOC9">
    <w:name w:val="toc 9"/>
    <w:basedOn w:val="Normal"/>
    <w:next w:val="Normal"/>
    <w:rsid w:val="00D36ED0"/>
    <w:pPr>
      <w:tabs>
        <w:tab w:val="right" w:pos="7927"/>
      </w:tabs>
      <w:spacing w:after="0"/>
      <w:ind w:left="2126" w:right="567"/>
    </w:pPr>
  </w:style>
  <w:style w:type="paragraph" w:customStyle="1" w:styleId="Footeroddportrait">
    <w:name w:val="Footer odd portrait"/>
    <w:basedOn w:val="Normal"/>
    <w:rsid w:val="00492F51"/>
    <w:pPr>
      <w:tabs>
        <w:tab w:val="right" w:pos="7938"/>
      </w:tabs>
      <w:spacing w:after="0"/>
      <w:jc w:val="right"/>
    </w:pPr>
  </w:style>
  <w:style w:type="paragraph" w:customStyle="1" w:styleId="Footerevenportrait">
    <w:name w:val="Footer even portrait"/>
    <w:basedOn w:val="Normal"/>
    <w:rsid w:val="00492F51"/>
    <w:pPr>
      <w:tabs>
        <w:tab w:val="right" w:pos="7938"/>
      </w:tabs>
      <w:spacing w:after="0"/>
      <w:jc w:val="right"/>
    </w:pPr>
  </w:style>
  <w:style w:type="paragraph" w:styleId="FootnoteText">
    <w:name w:val="footnote text"/>
    <w:basedOn w:val="Normal"/>
    <w:link w:val="FootnoteTextChar"/>
    <w:rsid w:val="00492F51"/>
    <w:pPr>
      <w:tabs>
        <w:tab w:val="left" w:pos="340"/>
      </w:tabs>
      <w:spacing w:after="60" w:line="160" w:lineRule="atLeast"/>
      <w:ind w:left="340" w:hanging="340"/>
    </w:pPr>
    <w:rPr>
      <w:sz w:val="18"/>
    </w:rPr>
  </w:style>
  <w:style w:type="paragraph" w:customStyle="1" w:styleId="ListStartNumberedparagraphs">
    <w:name w:val="ListStart Numbered paragraphs"/>
    <w:next w:val="Numberedparagraphs-1"/>
    <w:rsid w:val="00355FA8"/>
    <w:pPr>
      <w:keepNext/>
      <w:keepLines/>
      <w:framePr w:wrap="around" w:vAnchor="text" w:hAnchor="text" w:x="-565" w:y="1"/>
      <w:widowControl w:val="0"/>
      <w:numPr>
        <w:numId w:val="18"/>
      </w:numPr>
    </w:pPr>
    <w:rPr>
      <w:color w:val="800080"/>
      <w:sz w:val="18"/>
      <w:szCs w:val="22"/>
      <w:lang w:val="en-NZ" w:eastAsia="en-NZ"/>
    </w:rPr>
  </w:style>
  <w:style w:type="paragraph" w:customStyle="1" w:styleId="Bullet">
    <w:name w:val="Bullet"/>
    <w:basedOn w:val="Normal"/>
    <w:semiHidden/>
    <w:rsid w:val="00492F51"/>
    <w:pPr>
      <w:numPr>
        <w:numId w:val="4"/>
      </w:numPr>
      <w:spacing w:after="120"/>
    </w:pPr>
  </w:style>
  <w:style w:type="table" w:styleId="TableGrid">
    <w:name w:val="Table Grid"/>
    <w:basedOn w:val="TableNormal"/>
    <w:semiHidden/>
    <w:rsid w:val="0049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semiHidden/>
    <w:rsid w:val="00492F51"/>
    <w:pPr>
      <w:spacing w:before="40" w:after="40"/>
    </w:pPr>
    <w:rPr>
      <w:rFonts w:ascii="Arial" w:hAnsi="Arial"/>
      <w:b/>
      <w:sz w:val="18"/>
    </w:rPr>
  </w:style>
  <w:style w:type="numbering" w:styleId="111111">
    <w:name w:val="Outline List 2"/>
    <w:basedOn w:val="NoList"/>
    <w:semiHidden/>
    <w:rsid w:val="00492F51"/>
    <w:pPr>
      <w:numPr>
        <w:numId w:val="1"/>
      </w:numPr>
    </w:pPr>
  </w:style>
  <w:style w:type="paragraph" w:customStyle="1" w:styleId="Quotation">
    <w:name w:val="Quotation"/>
    <w:basedOn w:val="Normal"/>
    <w:rsid w:val="00A678C4"/>
    <w:pPr>
      <w:ind w:left="227"/>
    </w:pPr>
    <w:rPr>
      <w:i/>
      <w:spacing w:val="15"/>
      <w:sz w:val="21"/>
    </w:rPr>
  </w:style>
  <w:style w:type="paragraph" w:styleId="Date">
    <w:name w:val="Date"/>
    <w:basedOn w:val="Normal"/>
    <w:next w:val="Normal"/>
    <w:semiHidden/>
    <w:rsid w:val="00492F51"/>
    <w:pPr>
      <w:spacing w:after="454"/>
    </w:pPr>
  </w:style>
  <w:style w:type="character" w:styleId="Hyperlink">
    <w:name w:val="Hyperlink"/>
    <w:basedOn w:val="DefaultParagraphFont"/>
    <w:uiPriority w:val="99"/>
    <w:rsid w:val="00492F51"/>
    <w:rPr>
      <w:color w:val="0000FF"/>
      <w:u w:val="single"/>
    </w:rPr>
  </w:style>
  <w:style w:type="paragraph" w:styleId="EnvelopeAddress">
    <w:name w:val="envelope address"/>
    <w:basedOn w:val="Normal"/>
    <w:semiHidden/>
    <w:rsid w:val="00492F51"/>
    <w:pPr>
      <w:framePr w:w="7920" w:h="1980" w:hRule="exact" w:hSpace="180" w:wrap="auto" w:hAnchor="page" w:xAlign="center" w:yAlign="bottom"/>
      <w:ind w:left="2880"/>
    </w:pPr>
    <w:rPr>
      <w:rFonts w:cs="Arial"/>
      <w:sz w:val="24"/>
    </w:rPr>
  </w:style>
  <w:style w:type="paragraph" w:customStyle="1" w:styleId="ListStartNumtextBodytext">
    <w:name w:val="ListStart Numtext: Body text"/>
    <w:next w:val="Numtext1-Bodytextlevel1"/>
    <w:rsid w:val="00492F51"/>
    <w:pPr>
      <w:keepNext/>
      <w:keepLines/>
      <w:framePr w:wrap="around" w:vAnchor="text" w:hAnchor="text" w:x="-565" w:y="1"/>
      <w:widowControl w:val="0"/>
      <w:numPr>
        <w:numId w:val="8"/>
      </w:numPr>
    </w:pPr>
    <w:rPr>
      <w:color w:val="800080"/>
      <w:sz w:val="18"/>
      <w:szCs w:val="22"/>
      <w:lang w:val="en-NZ" w:eastAsia="en-NZ"/>
    </w:rPr>
  </w:style>
  <w:style w:type="paragraph" w:customStyle="1" w:styleId="Numtext111-Bodytextlevel3">
    <w:name w:val="Num text: 1.1.1 - Body text level 3"/>
    <w:basedOn w:val="Normal"/>
    <w:rsid w:val="00492F51"/>
  </w:style>
  <w:style w:type="paragraph" w:customStyle="1" w:styleId="FooterEvenPage">
    <w:name w:val="Footer Even Page"/>
    <w:basedOn w:val="Normal"/>
    <w:semiHidden/>
    <w:rsid w:val="00492F51"/>
    <w:pPr>
      <w:tabs>
        <w:tab w:val="right" w:pos="8505"/>
      </w:tabs>
      <w:spacing w:after="0"/>
    </w:pPr>
  </w:style>
  <w:style w:type="paragraph" w:styleId="TableofAuthorities">
    <w:name w:val="table of authorities"/>
    <w:basedOn w:val="Normal"/>
    <w:next w:val="Normal"/>
    <w:semiHidden/>
    <w:rsid w:val="00492F51"/>
    <w:pPr>
      <w:ind w:left="220" w:hanging="220"/>
    </w:pPr>
  </w:style>
  <w:style w:type="paragraph" w:customStyle="1" w:styleId="Biblio">
    <w:name w:val="Biblio"/>
    <w:basedOn w:val="Normal"/>
    <w:semiHidden/>
    <w:rsid w:val="00492F51"/>
    <w:pPr>
      <w:spacing w:after="240"/>
    </w:pPr>
    <w:rPr>
      <w:rFonts w:ascii="Times New Roman" w:hAnsi="Times New Roman"/>
      <w:sz w:val="24"/>
      <w:szCs w:val="24"/>
      <w:lang w:eastAsia="en-GB"/>
    </w:rPr>
  </w:style>
  <w:style w:type="numbering" w:styleId="1ai">
    <w:name w:val="Outline List 1"/>
    <w:basedOn w:val="NoList"/>
    <w:semiHidden/>
    <w:rsid w:val="00492F51"/>
    <w:pPr>
      <w:numPr>
        <w:numId w:val="2"/>
      </w:numPr>
    </w:pPr>
  </w:style>
  <w:style w:type="paragraph" w:customStyle="1" w:styleId="Footerlandscape">
    <w:name w:val="Footer landscape"/>
    <w:basedOn w:val="Normal"/>
    <w:semiHidden/>
    <w:rsid w:val="00492F51"/>
    <w:pPr>
      <w:tabs>
        <w:tab w:val="right" w:pos="12871"/>
      </w:tabs>
      <w:spacing w:after="0"/>
      <w:jc w:val="right"/>
    </w:pPr>
  </w:style>
  <w:style w:type="paragraph" w:styleId="Caption">
    <w:name w:val="caption"/>
    <w:basedOn w:val="Normal"/>
    <w:rsid w:val="000C02E8"/>
    <w:pPr>
      <w:keepNext/>
    </w:pPr>
    <w:rPr>
      <w:b/>
      <w:bCs/>
    </w:rPr>
  </w:style>
  <w:style w:type="paragraph" w:customStyle="1" w:styleId="Heading-tableofappendices">
    <w:name w:val="Heading - table of appendices"/>
    <w:basedOn w:val="Normalcolour"/>
    <w:next w:val="UnnumtextBodytext"/>
    <w:rsid w:val="008613AF"/>
    <w:pPr>
      <w:spacing w:before="260" w:after="40" w:line="240" w:lineRule="auto"/>
    </w:pPr>
    <w:rPr>
      <w:b/>
      <w:color w:val="000000"/>
      <w:sz w:val="28"/>
    </w:rPr>
  </w:style>
  <w:style w:type="paragraph" w:customStyle="1" w:styleId="Tablesource">
    <w:name w:val="Table source"/>
    <w:basedOn w:val="Normal"/>
    <w:next w:val="Normal"/>
    <w:semiHidden/>
    <w:rsid w:val="00492F51"/>
    <w:pPr>
      <w:spacing w:before="120" w:after="120"/>
    </w:pPr>
    <w:rPr>
      <w:sz w:val="19"/>
      <w:szCs w:val="19"/>
    </w:rPr>
  </w:style>
  <w:style w:type="paragraph" w:customStyle="1" w:styleId="Normalcolour">
    <w:name w:val="Normal colour"/>
    <w:basedOn w:val="Normal"/>
    <w:link w:val="NormalcolourChar"/>
    <w:rsid w:val="00333BF5"/>
    <w:rPr>
      <w:color w:val="7B5E05"/>
    </w:rPr>
  </w:style>
  <w:style w:type="paragraph" w:customStyle="1" w:styleId="Heading-nonumber">
    <w:name w:val="Heading - no number"/>
    <w:basedOn w:val="Normalcolour"/>
    <w:next w:val="UnnumtextBodytext"/>
    <w:rsid w:val="006842AC"/>
    <w:pPr>
      <w:keepNext/>
      <w:pageBreakBefore/>
      <w:pBdr>
        <w:bottom w:val="single" w:sz="4" w:space="7" w:color="7B5E05"/>
      </w:pBdr>
      <w:spacing w:after="280" w:line="480" w:lineRule="atLeast"/>
      <w:outlineLvl w:val="0"/>
    </w:pPr>
    <w:rPr>
      <w:b/>
      <w:sz w:val="48"/>
    </w:rPr>
  </w:style>
  <w:style w:type="paragraph" w:customStyle="1" w:styleId="Coverline">
    <w:name w:val="Cover line"/>
    <w:basedOn w:val="Normal"/>
    <w:rsid w:val="00492F51"/>
    <w:pPr>
      <w:spacing w:after="0" w:line="240" w:lineRule="auto"/>
    </w:pPr>
  </w:style>
  <w:style w:type="paragraph" w:styleId="BodyText">
    <w:name w:val="Body Text"/>
    <w:basedOn w:val="Normal"/>
    <w:link w:val="BodyTextChar"/>
    <w:rsid w:val="00492F51"/>
    <w:pPr>
      <w:numPr>
        <w:ilvl w:val="1"/>
        <w:numId w:val="17"/>
      </w:numPr>
      <w:spacing w:after="120"/>
    </w:pPr>
  </w:style>
  <w:style w:type="paragraph" w:customStyle="1" w:styleId="Coverprivilegedandconfidential">
    <w:name w:val="Cover privileged and confidential"/>
    <w:basedOn w:val="Normal"/>
    <w:rsid w:val="00492F51"/>
    <w:pPr>
      <w:spacing w:after="0" w:line="240" w:lineRule="auto"/>
      <w:jc w:val="right"/>
    </w:pPr>
  </w:style>
  <w:style w:type="paragraph" w:customStyle="1" w:styleId="Glossary">
    <w:name w:val="Glossary"/>
    <w:basedOn w:val="Normal"/>
    <w:semiHidden/>
    <w:rsid w:val="00492F51"/>
    <w:pPr>
      <w:spacing w:before="60" w:after="60"/>
    </w:pPr>
    <w:rPr>
      <w:b/>
    </w:rPr>
  </w:style>
  <w:style w:type="paragraph" w:customStyle="1" w:styleId="ApxHeading1">
    <w:name w:val="Apx Heading 1"/>
    <w:basedOn w:val="Heading1"/>
    <w:next w:val="UnnumtextBodytext"/>
    <w:rsid w:val="00107A67"/>
    <w:pPr>
      <w:numPr>
        <w:ilvl w:val="0"/>
        <w:numId w:val="22"/>
      </w:numPr>
      <w:ind w:left="0"/>
      <w:outlineLvl w:val="5"/>
    </w:pPr>
    <w:rPr>
      <w:bCs w:val="0"/>
    </w:rPr>
  </w:style>
  <w:style w:type="paragraph" w:customStyle="1" w:styleId="ApxHeading2">
    <w:name w:val="Apx Heading 2"/>
    <w:basedOn w:val="Normalcolour"/>
    <w:next w:val="UnnumtextBodytext"/>
    <w:rsid w:val="00492F51"/>
    <w:pPr>
      <w:keepNext/>
      <w:spacing w:before="360" w:after="100"/>
      <w:outlineLvl w:val="6"/>
    </w:pPr>
    <w:rPr>
      <w:b/>
      <w:bCs/>
      <w:sz w:val="36"/>
      <w:szCs w:val="28"/>
    </w:rPr>
  </w:style>
  <w:style w:type="paragraph" w:customStyle="1" w:styleId="ApxHeading3">
    <w:name w:val="Apx Heading 3"/>
    <w:basedOn w:val="Normal"/>
    <w:next w:val="UnnumtextBodytext"/>
    <w:rsid w:val="00492F51"/>
    <w:pPr>
      <w:keepNext/>
      <w:spacing w:before="260" w:after="40"/>
      <w:outlineLvl w:val="7"/>
    </w:pPr>
    <w:rPr>
      <w:b/>
      <w:bCs/>
      <w:sz w:val="28"/>
      <w:szCs w:val="24"/>
    </w:rPr>
  </w:style>
  <w:style w:type="paragraph" w:customStyle="1" w:styleId="ApxHeading4">
    <w:name w:val="Apx Heading 4"/>
    <w:basedOn w:val="Normal"/>
    <w:next w:val="UnnumtextBodytext"/>
    <w:rsid w:val="00492F51"/>
    <w:pPr>
      <w:keepNext/>
      <w:spacing w:before="120" w:after="0"/>
      <w:outlineLvl w:val="8"/>
    </w:pPr>
    <w:rPr>
      <w:b/>
      <w:bCs/>
      <w:szCs w:val="24"/>
    </w:rPr>
  </w:style>
  <w:style w:type="paragraph" w:customStyle="1" w:styleId="Numtext1-Bodytextlevel1">
    <w:name w:val="Num text: 1. - Body text level 1"/>
    <w:basedOn w:val="Normal"/>
    <w:qFormat/>
    <w:rsid w:val="00B97CFF"/>
    <w:pPr>
      <w:numPr>
        <w:ilvl w:val="1"/>
        <w:numId w:val="8"/>
      </w:numPr>
    </w:pPr>
    <w:rPr>
      <w:szCs w:val="24"/>
    </w:rPr>
  </w:style>
  <w:style w:type="numbering" w:styleId="ArticleSection">
    <w:name w:val="Outline List 3"/>
    <w:basedOn w:val="NoList"/>
    <w:semiHidden/>
    <w:rsid w:val="00492F51"/>
    <w:pPr>
      <w:numPr>
        <w:numId w:val="3"/>
      </w:numPr>
    </w:pPr>
  </w:style>
  <w:style w:type="paragraph" w:styleId="BalloonText">
    <w:name w:val="Balloon Text"/>
    <w:basedOn w:val="Normal"/>
    <w:semiHidden/>
    <w:rsid w:val="00492F51"/>
    <w:rPr>
      <w:rFonts w:ascii="Tahoma" w:hAnsi="Tahoma" w:cs="Tahoma"/>
      <w:sz w:val="16"/>
      <w:szCs w:val="16"/>
    </w:rPr>
  </w:style>
  <w:style w:type="paragraph" w:customStyle="1" w:styleId="Bibliographicreferences">
    <w:name w:val="Bibliographic references"/>
    <w:semiHidden/>
    <w:rsid w:val="00492F51"/>
    <w:pPr>
      <w:ind w:left="170" w:hanging="170"/>
    </w:pPr>
    <w:rPr>
      <w:rFonts w:ascii="Arial" w:hAnsi="Arial"/>
      <w:szCs w:val="22"/>
      <w:lang w:val="en-NZ" w:eastAsia="en-NZ"/>
    </w:rPr>
  </w:style>
  <w:style w:type="paragraph" w:customStyle="1" w:styleId="Coversubhead">
    <w:name w:val="Cover subhead"/>
    <w:basedOn w:val="Normal"/>
    <w:rsid w:val="00492F51"/>
    <w:pPr>
      <w:spacing w:after="0"/>
    </w:pPr>
    <w:rPr>
      <w:b/>
      <w:sz w:val="28"/>
    </w:rPr>
  </w:style>
  <w:style w:type="paragraph" w:customStyle="1" w:styleId="Coverheading">
    <w:name w:val="Cover heading"/>
    <w:basedOn w:val="Normalcolour"/>
    <w:rsid w:val="00492F51"/>
    <w:pPr>
      <w:spacing w:after="0" w:line="580" w:lineRule="atLeast"/>
    </w:pPr>
    <w:rPr>
      <w:b/>
      <w:sz w:val="50"/>
    </w:rPr>
  </w:style>
  <w:style w:type="paragraph" w:customStyle="1" w:styleId="Coverauthor">
    <w:name w:val="Cover author"/>
    <w:basedOn w:val="Normal"/>
    <w:rsid w:val="00492F51"/>
    <w:pPr>
      <w:spacing w:after="0" w:line="290" w:lineRule="atLeast"/>
    </w:pPr>
    <w:rPr>
      <w:b/>
      <w:i/>
      <w:sz w:val="24"/>
    </w:rPr>
  </w:style>
  <w:style w:type="paragraph" w:customStyle="1" w:styleId="Heading-contents">
    <w:name w:val="Heading - contents"/>
    <w:basedOn w:val="Heading1"/>
    <w:next w:val="UnnumtextBodytext"/>
    <w:rsid w:val="00BE4840"/>
    <w:pPr>
      <w:numPr>
        <w:ilvl w:val="0"/>
        <w:numId w:val="0"/>
      </w:numPr>
      <w:outlineLvl w:val="9"/>
    </w:pPr>
    <w:rPr>
      <w:bCs w:val="0"/>
    </w:rPr>
  </w:style>
  <w:style w:type="paragraph" w:styleId="DocumentMap">
    <w:name w:val="Document Map"/>
    <w:basedOn w:val="Normal"/>
    <w:semiHidden/>
    <w:rsid w:val="00492F51"/>
    <w:pPr>
      <w:shd w:val="clear" w:color="auto" w:fill="000080"/>
    </w:pPr>
    <w:rPr>
      <w:rFonts w:ascii="Tahoma" w:hAnsi="Tahoma" w:cs="Tahoma"/>
    </w:rPr>
  </w:style>
  <w:style w:type="paragraph" w:customStyle="1" w:styleId="Endnotenumberonly">
    <w:name w:val="Endnote (number only)"/>
    <w:next w:val="Normal"/>
    <w:semiHidden/>
    <w:rsid w:val="00492F51"/>
    <w:pPr>
      <w:spacing w:after="40"/>
    </w:pPr>
    <w:rPr>
      <w:rFonts w:ascii="Arial" w:hAnsi="Arial"/>
      <w:vertAlign w:val="superscript"/>
      <w:lang w:val="en-NZ" w:eastAsia="en-NZ"/>
    </w:rPr>
  </w:style>
  <w:style w:type="character" w:styleId="EndnoteReference">
    <w:name w:val="endnote reference"/>
    <w:basedOn w:val="DefaultParagraphFont"/>
    <w:semiHidden/>
    <w:rsid w:val="00492F51"/>
    <w:rPr>
      <w:rFonts w:ascii="Arial" w:hAnsi="Arial"/>
      <w:sz w:val="20"/>
      <w:szCs w:val="20"/>
      <w:vertAlign w:val="superscript"/>
    </w:rPr>
  </w:style>
  <w:style w:type="paragraph" w:customStyle="1" w:styleId="EndnoteText1">
    <w:name w:val="Endnote Text1"/>
    <w:next w:val="Normal"/>
    <w:semiHidden/>
    <w:rsid w:val="00492F51"/>
    <w:pPr>
      <w:spacing w:after="40"/>
      <w:ind w:left="142" w:hanging="142"/>
    </w:pPr>
    <w:rPr>
      <w:rFonts w:ascii="Arial" w:hAnsi="Arial"/>
      <w:szCs w:val="24"/>
      <w:lang w:val="en-NZ" w:eastAsia="en-NZ"/>
    </w:rPr>
  </w:style>
  <w:style w:type="paragraph" w:styleId="EndnoteText">
    <w:name w:val="endnote text"/>
    <w:semiHidden/>
    <w:rsid w:val="00492F51"/>
    <w:pPr>
      <w:spacing w:after="40"/>
      <w:ind w:left="142" w:hanging="142"/>
    </w:pPr>
    <w:rPr>
      <w:rFonts w:ascii="Arial" w:hAnsi="Arial"/>
      <w:lang w:val="en-NZ" w:eastAsia="en-NZ"/>
    </w:rPr>
  </w:style>
  <w:style w:type="paragraph" w:styleId="EnvelopeReturn">
    <w:name w:val="envelope return"/>
    <w:basedOn w:val="Normal"/>
    <w:semiHidden/>
    <w:rsid w:val="00492F51"/>
    <w:rPr>
      <w:rFonts w:cs="Arial"/>
    </w:rPr>
  </w:style>
  <w:style w:type="paragraph" w:customStyle="1" w:styleId="Coverdate">
    <w:name w:val="Cover date"/>
    <w:basedOn w:val="Normal"/>
    <w:rsid w:val="00333BF5"/>
    <w:pPr>
      <w:spacing w:before="440" w:after="0" w:line="240" w:lineRule="auto"/>
    </w:pPr>
    <w:rPr>
      <w:sz w:val="28"/>
    </w:rPr>
  </w:style>
  <w:style w:type="character" w:styleId="FollowedHyperlink">
    <w:name w:val="FollowedHyperlink"/>
    <w:basedOn w:val="DefaultParagraphFont"/>
    <w:semiHidden/>
    <w:rsid w:val="00492F51"/>
    <w:rPr>
      <w:color w:val="800080"/>
      <w:u w:val="single"/>
    </w:rPr>
  </w:style>
  <w:style w:type="character" w:customStyle="1" w:styleId="NormalcolourChar">
    <w:name w:val="Normal colour Char"/>
    <w:basedOn w:val="DefaultParagraphFont"/>
    <w:link w:val="Normalcolour"/>
    <w:rsid w:val="00333BF5"/>
    <w:rPr>
      <w:rFonts w:ascii="Garamond" w:hAnsi="Garamond"/>
      <w:color w:val="7B5E05"/>
      <w:sz w:val="22"/>
      <w:szCs w:val="22"/>
      <w:lang w:val="en-NZ" w:eastAsia="en-NZ"/>
    </w:rPr>
  </w:style>
  <w:style w:type="character" w:styleId="FootnoteReference">
    <w:name w:val="footnote reference"/>
    <w:basedOn w:val="DefaultParagraphFont"/>
    <w:rsid w:val="00492F51"/>
    <w:rPr>
      <w:rFonts w:ascii="Garamond" w:hAnsi="Garamond"/>
      <w:sz w:val="20"/>
      <w:szCs w:val="20"/>
      <w:vertAlign w:val="superscript"/>
    </w:rPr>
  </w:style>
  <w:style w:type="paragraph" w:customStyle="1" w:styleId="Singlespacedparagraph">
    <w:name w:val="Single spaced paragraph"/>
    <w:basedOn w:val="Normal"/>
    <w:rsid w:val="00492F51"/>
    <w:pPr>
      <w:spacing w:after="0"/>
    </w:pPr>
  </w:style>
  <w:style w:type="paragraph" w:styleId="Index1">
    <w:name w:val="index 1"/>
    <w:basedOn w:val="Normal"/>
    <w:next w:val="Normal"/>
    <w:autoRedefine/>
    <w:semiHidden/>
    <w:rsid w:val="00492F51"/>
    <w:pPr>
      <w:ind w:left="220" w:hanging="220"/>
    </w:pPr>
  </w:style>
  <w:style w:type="paragraph" w:styleId="Index2">
    <w:name w:val="index 2"/>
    <w:basedOn w:val="Normal"/>
    <w:next w:val="Normal"/>
    <w:autoRedefine/>
    <w:semiHidden/>
    <w:rsid w:val="00492F51"/>
    <w:pPr>
      <w:ind w:left="440" w:hanging="220"/>
    </w:pPr>
  </w:style>
  <w:style w:type="paragraph" w:styleId="Index3">
    <w:name w:val="index 3"/>
    <w:basedOn w:val="Normal"/>
    <w:next w:val="Normal"/>
    <w:autoRedefine/>
    <w:semiHidden/>
    <w:rsid w:val="00492F51"/>
    <w:pPr>
      <w:ind w:left="660" w:hanging="220"/>
    </w:pPr>
  </w:style>
  <w:style w:type="paragraph" w:styleId="Index4">
    <w:name w:val="index 4"/>
    <w:basedOn w:val="Normal"/>
    <w:next w:val="Normal"/>
    <w:autoRedefine/>
    <w:semiHidden/>
    <w:rsid w:val="00492F51"/>
    <w:pPr>
      <w:ind w:left="880" w:hanging="220"/>
    </w:pPr>
  </w:style>
  <w:style w:type="paragraph" w:customStyle="1" w:styleId="Notes">
    <w:name w:val="Notes"/>
    <w:basedOn w:val="Normal"/>
    <w:rsid w:val="00A67E6D"/>
    <w:pPr>
      <w:numPr>
        <w:numId w:val="16"/>
      </w:numPr>
      <w:spacing w:after="60" w:line="240" w:lineRule="auto"/>
    </w:pPr>
    <w:rPr>
      <w:sz w:val="18"/>
    </w:rPr>
  </w:style>
  <w:style w:type="paragraph" w:styleId="Index6">
    <w:name w:val="index 6"/>
    <w:basedOn w:val="Normal"/>
    <w:next w:val="Normal"/>
    <w:autoRedefine/>
    <w:semiHidden/>
    <w:rsid w:val="00492F51"/>
    <w:pPr>
      <w:ind w:left="1320" w:hanging="220"/>
    </w:pPr>
  </w:style>
  <w:style w:type="paragraph" w:styleId="Index7">
    <w:name w:val="index 7"/>
    <w:basedOn w:val="Normal"/>
    <w:next w:val="Normal"/>
    <w:autoRedefine/>
    <w:semiHidden/>
    <w:rsid w:val="00492F51"/>
    <w:pPr>
      <w:ind w:left="1540" w:hanging="220"/>
    </w:pPr>
  </w:style>
  <w:style w:type="paragraph" w:styleId="Index8">
    <w:name w:val="index 8"/>
    <w:basedOn w:val="Normal"/>
    <w:next w:val="Normal"/>
    <w:autoRedefine/>
    <w:semiHidden/>
    <w:rsid w:val="00492F51"/>
    <w:pPr>
      <w:ind w:left="1760" w:hanging="220"/>
    </w:pPr>
  </w:style>
  <w:style w:type="paragraph" w:styleId="Index9">
    <w:name w:val="index 9"/>
    <w:basedOn w:val="Normal"/>
    <w:next w:val="Normal"/>
    <w:autoRedefine/>
    <w:semiHidden/>
    <w:rsid w:val="00492F51"/>
    <w:pPr>
      <w:ind w:left="1980" w:hanging="220"/>
    </w:pPr>
  </w:style>
  <w:style w:type="paragraph" w:customStyle="1" w:styleId="Captionsubheading">
    <w:name w:val="Caption sub heading"/>
    <w:basedOn w:val="Normal"/>
    <w:rsid w:val="00756BC2"/>
    <w:pPr>
      <w:keepNext/>
      <w:spacing w:before="60" w:after="80"/>
    </w:pPr>
  </w:style>
  <w:style w:type="character" w:styleId="CommentReference">
    <w:name w:val="annotation reference"/>
    <w:basedOn w:val="DefaultParagraphFont"/>
    <w:semiHidden/>
    <w:rsid w:val="00492F51"/>
    <w:rPr>
      <w:sz w:val="16"/>
      <w:szCs w:val="16"/>
    </w:rPr>
  </w:style>
  <w:style w:type="paragraph" w:styleId="CommentText">
    <w:name w:val="annotation text"/>
    <w:basedOn w:val="Normal"/>
    <w:semiHidden/>
    <w:rsid w:val="00492F51"/>
  </w:style>
  <w:style w:type="paragraph" w:styleId="MacroText">
    <w:name w:val="macro"/>
    <w:semiHidden/>
    <w:rsid w:val="00492F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NZ" w:eastAsia="en-NZ"/>
    </w:rPr>
  </w:style>
  <w:style w:type="paragraph" w:styleId="CommentSubject">
    <w:name w:val="annotation subject"/>
    <w:basedOn w:val="CommentText"/>
    <w:next w:val="CommentText"/>
    <w:semiHidden/>
    <w:rsid w:val="00492F51"/>
    <w:rPr>
      <w:b/>
      <w:bCs/>
    </w:rPr>
  </w:style>
  <w:style w:type="paragraph" w:styleId="NormalWeb">
    <w:name w:val="Normal (Web)"/>
    <w:basedOn w:val="Normal"/>
    <w:semiHidden/>
    <w:rsid w:val="00492F51"/>
    <w:rPr>
      <w:rFonts w:ascii="Times New Roman" w:hAnsi="Times New Roman"/>
      <w:sz w:val="24"/>
    </w:rPr>
  </w:style>
  <w:style w:type="paragraph" w:styleId="NormalIndent">
    <w:name w:val="Normal Indent"/>
    <w:basedOn w:val="Normal"/>
    <w:semiHidden/>
    <w:rsid w:val="00492F51"/>
    <w:pPr>
      <w:ind w:left="720"/>
    </w:pPr>
  </w:style>
  <w:style w:type="paragraph" w:customStyle="1" w:styleId="Coverheadingsingleline">
    <w:name w:val="Cover heading single line"/>
    <w:basedOn w:val="Coverheading"/>
    <w:rsid w:val="00492F51"/>
    <w:rPr>
      <w:sz w:val="76"/>
    </w:rPr>
  </w:style>
  <w:style w:type="paragraph" w:customStyle="1" w:styleId="NumtextFigurecaption">
    <w:name w:val="Num text: Figure caption"/>
    <w:basedOn w:val="Normal"/>
    <w:next w:val="Numtext1-Bodytextlevel1"/>
    <w:rsid w:val="00492F51"/>
    <w:pPr>
      <w:numPr>
        <w:numId w:val="10"/>
      </w:numPr>
      <w:spacing w:before="80" w:after="180"/>
    </w:pPr>
  </w:style>
  <w:style w:type="paragraph" w:customStyle="1" w:styleId="Numtexta-Bodytextlevel2">
    <w:name w:val="Num text: (a) - Body text level 2"/>
    <w:basedOn w:val="Normal"/>
    <w:rsid w:val="00492F51"/>
    <w:pPr>
      <w:numPr>
        <w:ilvl w:val="2"/>
        <w:numId w:val="8"/>
      </w:numPr>
    </w:pPr>
  </w:style>
  <w:style w:type="paragraph" w:customStyle="1" w:styleId="NumtextBullet1">
    <w:name w:val="Num text: Bullet 1"/>
    <w:basedOn w:val="Normal"/>
    <w:rsid w:val="00492F51"/>
    <w:pPr>
      <w:numPr>
        <w:numId w:val="9"/>
      </w:numPr>
      <w:spacing w:after="80"/>
    </w:pPr>
  </w:style>
  <w:style w:type="paragraph" w:customStyle="1" w:styleId="NumtextBullet2">
    <w:name w:val="Num text: Bullet 2"/>
    <w:basedOn w:val="Normal"/>
    <w:rsid w:val="00492F51"/>
    <w:pPr>
      <w:numPr>
        <w:ilvl w:val="1"/>
        <w:numId w:val="9"/>
      </w:numPr>
      <w:spacing w:after="80"/>
    </w:pPr>
    <w:rPr>
      <w:szCs w:val="24"/>
    </w:rPr>
  </w:style>
  <w:style w:type="paragraph" w:customStyle="1" w:styleId="Question">
    <w:name w:val="Question"/>
    <w:basedOn w:val="Normal"/>
    <w:rsid w:val="00270FAF"/>
    <w:pPr>
      <w:numPr>
        <w:numId w:val="17"/>
      </w:numPr>
    </w:pPr>
  </w:style>
  <w:style w:type="paragraph" w:customStyle="1" w:styleId="NumtextSourceinformation">
    <w:name w:val="Num text: Source information"/>
    <w:rsid w:val="00492F51"/>
    <w:pPr>
      <w:spacing w:before="80"/>
      <w:ind w:left="1162" w:hanging="170"/>
    </w:pPr>
    <w:rPr>
      <w:rFonts w:ascii="Arial" w:hAnsi="Arial"/>
      <w:sz w:val="18"/>
      <w:szCs w:val="22"/>
      <w:lang w:val="en-NZ"/>
    </w:rPr>
  </w:style>
  <w:style w:type="paragraph" w:customStyle="1" w:styleId="NumtextTablenotes">
    <w:name w:val="Num text: Table notes"/>
    <w:basedOn w:val="Normal"/>
    <w:rsid w:val="00492F51"/>
    <w:pPr>
      <w:spacing w:before="80"/>
      <w:ind w:left="992"/>
    </w:pPr>
    <w:rPr>
      <w:rFonts w:ascii="Arial" w:hAnsi="Arial"/>
      <w:bCs/>
      <w:sz w:val="18"/>
    </w:rPr>
  </w:style>
  <w:style w:type="paragraph" w:customStyle="1" w:styleId="Numtext1-Bodytext">
    <w:name w:val="Num text: 1. - Body text"/>
    <w:basedOn w:val="Normal"/>
    <w:rsid w:val="00B55A86"/>
    <w:rPr>
      <w:szCs w:val="24"/>
    </w:rPr>
  </w:style>
  <w:style w:type="paragraph" w:customStyle="1" w:styleId="Whitespace">
    <w:name w:val="White space"/>
    <w:basedOn w:val="Normal"/>
    <w:rsid w:val="00492F51"/>
    <w:pPr>
      <w:spacing w:after="60" w:line="240" w:lineRule="auto"/>
    </w:pPr>
    <w:rPr>
      <w:sz w:val="12"/>
      <w:szCs w:val="12"/>
    </w:rPr>
  </w:style>
  <w:style w:type="paragraph" w:styleId="PlainText">
    <w:name w:val="Plain Text"/>
    <w:basedOn w:val="Normal"/>
    <w:semiHidden/>
    <w:rsid w:val="00492F51"/>
    <w:rPr>
      <w:rFonts w:ascii="Courier New" w:hAnsi="Courier New" w:cs="Courier New"/>
    </w:rPr>
  </w:style>
  <w:style w:type="paragraph" w:styleId="Salutation">
    <w:name w:val="Salutation"/>
    <w:basedOn w:val="Normal"/>
    <w:next w:val="Normal"/>
    <w:semiHidden/>
    <w:rsid w:val="00492F51"/>
  </w:style>
  <w:style w:type="table" w:styleId="Table3Deffects1">
    <w:name w:val="Table 3D effects 1"/>
    <w:basedOn w:val="TableNormal"/>
    <w:semiHidden/>
    <w:rsid w:val="00492F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F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F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F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F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F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F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F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F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F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bodyheading">
    <w:name w:val="Table - body heading"/>
    <w:basedOn w:val="Normal"/>
    <w:next w:val="Table-bodytext"/>
    <w:rsid w:val="00492F51"/>
    <w:pPr>
      <w:spacing w:before="170" w:after="80" w:line="190" w:lineRule="atLeast"/>
    </w:pPr>
    <w:rPr>
      <w:b/>
      <w:szCs w:val="24"/>
    </w:rPr>
  </w:style>
  <w:style w:type="table" w:styleId="TableColumns1">
    <w:name w:val="Table Columns 1"/>
    <w:basedOn w:val="TableNormal"/>
    <w:semiHidden/>
    <w:rsid w:val="00492F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F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F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F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F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F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F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F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F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F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F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F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F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F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F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F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F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F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F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F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F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uiPriority w:val="99"/>
    <w:rsid w:val="008613AF"/>
    <w:pPr>
      <w:tabs>
        <w:tab w:val="right" w:pos="7938"/>
      </w:tabs>
      <w:spacing w:after="120"/>
      <w:ind w:right="425"/>
    </w:pPr>
  </w:style>
  <w:style w:type="table" w:styleId="TableProfessional">
    <w:name w:val="Table Professional"/>
    <w:basedOn w:val="TableNormal"/>
    <w:semiHidden/>
    <w:rsid w:val="00492F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F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F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F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F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F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F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F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F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92F51"/>
    <w:pPr>
      <w:spacing w:before="120"/>
    </w:pPr>
    <w:rPr>
      <w:rFonts w:cs="Arial"/>
      <w:b/>
      <w:bCs/>
      <w:sz w:val="24"/>
    </w:rPr>
  </w:style>
  <w:style w:type="paragraph" w:customStyle="1" w:styleId="NumtextTablecaption">
    <w:name w:val="Num text: Table caption"/>
    <w:basedOn w:val="Normal"/>
    <w:next w:val="Numtext1-Bodytextlevel1"/>
    <w:rsid w:val="00492F51"/>
    <w:pPr>
      <w:numPr>
        <w:numId w:val="12"/>
      </w:numPr>
      <w:spacing w:before="80" w:after="180"/>
    </w:pPr>
  </w:style>
  <w:style w:type="paragraph" w:customStyle="1" w:styleId="UnnumtextFigurecaption">
    <w:name w:val="Unnum text: Figure caption"/>
    <w:basedOn w:val="Normal"/>
    <w:next w:val="UnnumtextBodytext"/>
    <w:rsid w:val="00492F51"/>
    <w:pPr>
      <w:numPr>
        <w:numId w:val="14"/>
      </w:numPr>
      <w:spacing w:before="80" w:after="180"/>
    </w:pPr>
  </w:style>
  <w:style w:type="paragraph" w:customStyle="1" w:styleId="UnnumtextBullet1">
    <w:name w:val="Unnum text: Bullet 1"/>
    <w:basedOn w:val="Normal"/>
    <w:rsid w:val="00492F51"/>
    <w:pPr>
      <w:numPr>
        <w:numId w:val="13"/>
      </w:numPr>
      <w:spacing w:before="80" w:after="0"/>
    </w:pPr>
  </w:style>
  <w:style w:type="paragraph" w:customStyle="1" w:styleId="UnnumtextBullet2">
    <w:name w:val="Unnum text: Bullet 2"/>
    <w:basedOn w:val="Normal"/>
    <w:link w:val="UnnumtextBullet2CharChar"/>
    <w:rsid w:val="00723850"/>
    <w:pPr>
      <w:numPr>
        <w:ilvl w:val="1"/>
        <w:numId w:val="13"/>
      </w:numPr>
      <w:spacing w:before="80" w:after="0"/>
      <w:ind w:left="850" w:hanging="425"/>
    </w:pPr>
  </w:style>
  <w:style w:type="paragraph" w:customStyle="1" w:styleId="Sourceinformation">
    <w:name w:val="Source information"/>
    <w:basedOn w:val="Normal"/>
    <w:rsid w:val="00756BC2"/>
    <w:pPr>
      <w:spacing w:after="80" w:line="240" w:lineRule="auto"/>
    </w:pPr>
  </w:style>
  <w:style w:type="paragraph" w:styleId="BodyTextIndent">
    <w:name w:val="Body Text Indent"/>
    <w:basedOn w:val="Normal"/>
    <w:link w:val="BodyTextIndentChar"/>
    <w:semiHidden/>
    <w:rsid w:val="00492F51"/>
    <w:pPr>
      <w:spacing w:after="120"/>
      <w:ind w:left="283"/>
    </w:pPr>
  </w:style>
  <w:style w:type="paragraph" w:styleId="E-mailSignature">
    <w:name w:val="E-mail Signature"/>
    <w:basedOn w:val="Normal"/>
    <w:semiHidden/>
    <w:rsid w:val="00492F51"/>
  </w:style>
  <w:style w:type="character" w:styleId="Emphasis">
    <w:name w:val="Emphasis"/>
    <w:basedOn w:val="DefaultParagraphFont"/>
    <w:semiHidden/>
    <w:rsid w:val="00492F51"/>
    <w:rPr>
      <w:i/>
      <w:iCs/>
    </w:rPr>
  </w:style>
  <w:style w:type="character" w:styleId="HTMLAcronym">
    <w:name w:val="HTML Acronym"/>
    <w:basedOn w:val="DefaultParagraphFont"/>
    <w:semiHidden/>
    <w:rsid w:val="00492F51"/>
  </w:style>
  <w:style w:type="paragraph" w:styleId="HTMLAddress">
    <w:name w:val="HTML Address"/>
    <w:basedOn w:val="Normal"/>
    <w:semiHidden/>
    <w:rsid w:val="00492F51"/>
    <w:rPr>
      <w:i/>
      <w:iCs/>
    </w:rPr>
  </w:style>
  <w:style w:type="character" w:styleId="HTMLCite">
    <w:name w:val="HTML Cite"/>
    <w:basedOn w:val="DefaultParagraphFont"/>
    <w:semiHidden/>
    <w:rsid w:val="00492F51"/>
    <w:rPr>
      <w:i/>
      <w:iCs/>
    </w:rPr>
  </w:style>
  <w:style w:type="character" w:styleId="HTMLCode">
    <w:name w:val="HTML Code"/>
    <w:basedOn w:val="DefaultParagraphFont"/>
    <w:semiHidden/>
    <w:rsid w:val="00492F51"/>
    <w:rPr>
      <w:rFonts w:ascii="Courier New" w:hAnsi="Courier New" w:cs="Courier New"/>
      <w:sz w:val="20"/>
      <w:szCs w:val="20"/>
    </w:rPr>
  </w:style>
  <w:style w:type="character" w:styleId="HTMLDefinition">
    <w:name w:val="HTML Definition"/>
    <w:basedOn w:val="DefaultParagraphFont"/>
    <w:semiHidden/>
    <w:rsid w:val="00492F51"/>
    <w:rPr>
      <w:i/>
      <w:iCs/>
    </w:rPr>
  </w:style>
  <w:style w:type="character" w:styleId="HTMLKeyboard">
    <w:name w:val="HTML Keyboard"/>
    <w:basedOn w:val="DefaultParagraphFont"/>
    <w:semiHidden/>
    <w:rsid w:val="00492F51"/>
    <w:rPr>
      <w:rFonts w:ascii="Courier New" w:hAnsi="Courier New" w:cs="Courier New"/>
      <w:sz w:val="20"/>
      <w:szCs w:val="20"/>
    </w:rPr>
  </w:style>
  <w:style w:type="paragraph" w:styleId="HTMLPreformatted">
    <w:name w:val="HTML Preformatted"/>
    <w:basedOn w:val="Normal"/>
    <w:semiHidden/>
    <w:rsid w:val="00492F51"/>
    <w:rPr>
      <w:rFonts w:ascii="Courier New" w:hAnsi="Courier New" w:cs="Courier New"/>
    </w:rPr>
  </w:style>
  <w:style w:type="character" w:styleId="HTMLSample">
    <w:name w:val="HTML Sample"/>
    <w:basedOn w:val="DefaultParagraphFont"/>
    <w:semiHidden/>
    <w:rsid w:val="00492F51"/>
    <w:rPr>
      <w:rFonts w:ascii="Courier New" w:hAnsi="Courier New" w:cs="Courier New"/>
    </w:rPr>
  </w:style>
  <w:style w:type="character" w:styleId="HTMLTypewriter">
    <w:name w:val="HTML Typewriter"/>
    <w:basedOn w:val="DefaultParagraphFont"/>
    <w:semiHidden/>
    <w:rsid w:val="00492F51"/>
    <w:rPr>
      <w:rFonts w:ascii="Courier New" w:hAnsi="Courier New" w:cs="Courier New"/>
      <w:sz w:val="20"/>
      <w:szCs w:val="20"/>
    </w:rPr>
  </w:style>
  <w:style w:type="character" w:styleId="HTMLVariable">
    <w:name w:val="HTML Variable"/>
    <w:basedOn w:val="DefaultParagraphFont"/>
    <w:semiHidden/>
    <w:rsid w:val="00492F51"/>
    <w:rPr>
      <w:i/>
      <w:iCs/>
    </w:rPr>
  </w:style>
  <w:style w:type="paragraph" w:customStyle="1" w:styleId="Instructions">
    <w:name w:val="Instructions"/>
    <w:basedOn w:val="Normal"/>
    <w:next w:val="UnnumtextBodytext"/>
    <w:rsid w:val="003A5A47"/>
    <w:pPr>
      <w:spacing w:after="240" w:line="255" w:lineRule="atLeast"/>
    </w:pPr>
    <w:rPr>
      <w:color w:val="0000FF"/>
      <w:szCs w:val="24"/>
    </w:rPr>
  </w:style>
  <w:style w:type="paragraph" w:customStyle="1" w:styleId="NumtextIndent1">
    <w:name w:val="Num text:  Indent 1"/>
    <w:basedOn w:val="Normal"/>
    <w:rsid w:val="00A5001E"/>
    <w:pPr>
      <w:numPr>
        <w:numId w:val="11"/>
      </w:numPr>
      <w:ind w:left="425"/>
    </w:pPr>
  </w:style>
  <w:style w:type="paragraph" w:customStyle="1" w:styleId="Numtexti-Bodytextlevel3">
    <w:name w:val="Num text: (i) - Body text level 3"/>
    <w:basedOn w:val="Normal"/>
    <w:rsid w:val="00492F51"/>
    <w:pPr>
      <w:numPr>
        <w:ilvl w:val="3"/>
        <w:numId w:val="8"/>
      </w:numPr>
    </w:pPr>
  </w:style>
  <w:style w:type="paragraph" w:customStyle="1" w:styleId="Numtexta-Bodytextlevel4">
    <w:name w:val="Num text: a) - Body text level 4"/>
    <w:basedOn w:val="Numtexti-Bodytextlevel3"/>
    <w:rsid w:val="00492F51"/>
    <w:pPr>
      <w:numPr>
        <w:ilvl w:val="0"/>
        <w:numId w:val="0"/>
      </w:numPr>
    </w:pPr>
  </w:style>
  <w:style w:type="paragraph" w:customStyle="1" w:styleId="Numtexti-Bodytextlevel5">
    <w:name w:val="Num text: i) - Body text level 5"/>
    <w:basedOn w:val="Normal"/>
    <w:rsid w:val="00492F51"/>
    <w:pPr>
      <w:spacing w:before="60" w:after="180"/>
    </w:pPr>
  </w:style>
  <w:style w:type="paragraph" w:customStyle="1" w:styleId="Headingtext">
    <w:name w:val="Heading text"/>
    <w:basedOn w:val="Normal"/>
    <w:next w:val="Normal"/>
    <w:semiHidden/>
    <w:rsid w:val="00492F51"/>
    <w:pPr>
      <w:keepNext/>
      <w:spacing w:before="160"/>
    </w:pPr>
    <w:rPr>
      <w:b/>
      <w:sz w:val="21"/>
    </w:rPr>
  </w:style>
  <w:style w:type="paragraph" w:customStyle="1" w:styleId="Heading-nontableofcontents">
    <w:name w:val="Heading - non table of contents"/>
    <w:basedOn w:val="Normalcolour"/>
    <w:next w:val="UnnumtextBodytext"/>
    <w:rsid w:val="000A41C3"/>
    <w:pPr>
      <w:keepNext/>
      <w:pageBreakBefore/>
      <w:pBdr>
        <w:bottom w:val="single" w:sz="4" w:space="7" w:color="auto"/>
      </w:pBdr>
      <w:spacing w:after="280" w:line="480" w:lineRule="atLeast"/>
    </w:pPr>
    <w:rPr>
      <w:b/>
      <w:sz w:val="48"/>
    </w:rPr>
  </w:style>
  <w:style w:type="paragraph" w:customStyle="1" w:styleId="ListStartNumberedheadings">
    <w:name w:val="ListStart Numbered headings"/>
    <w:next w:val="Normal"/>
    <w:rsid w:val="00713611"/>
    <w:pPr>
      <w:keepNext/>
      <w:keepLines/>
      <w:framePr w:wrap="around" w:vAnchor="text" w:hAnchor="text" w:x="-565" w:y="1"/>
      <w:widowControl w:val="0"/>
      <w:numPr>
        <w:numId w:val="19"/>
      </w:numPr>
    </w:pPr>
    <w:rPr>
      <w:color w:val="800080"/>
      <w:sz w:val="18"/>
      <w:szCs w:val="22"/>
      <w:lang w:val="en-NZ" w:eastAsia="en-NZ"/>
    </w:rPr>
  </w:style>
  <w:style w:type="paragraph" w:customStyle="1" w:styleId="Table-headingrow1">
    <w:name w:val="Table - heading (row 1)"/>
    <w:basedOn w:val="Normal"/>
    <w:rsid w:val="00492F51"/>
    <w:pPr>
      <w:spacing w:after="0"/>
    </w:pPr>
    <w:rPr>
      <w:b/>
      <w:color w:val="FFFFFF"/>
    </w:rPr>
  </w:style>
  <w:style w:type="paragraph" w:customStyle="1" w:styleId="UnnumtextBullet3">
    <w:name w:val="Unnum text: Bullet 3"/>
    <w:basedOn w:val="Normal"/>
    <w:rsid w:val="00492F51"/>
    <w:pPr>
      <w:numPr>
        <w:ilvl w:val="2"/>
        <w:numId w:val="13"/>
      </w:numPr>
      <w:spacing w:before="60" w:after="60"/>
    </w:pPr>
  </w:style>
  <w:style w:type="paragraph" w:customStyle="1" w:styleId="NumtextBullet3">
    <w:name w:val="Num text: Bullet 3"/>
    <w:basedOn w:val="Normal"/>
    <w:rsid w:val="00492F51"/>
    <w:pPr>
      <w:numPr>
        <w:ilvl w:val="2"/>
        <w:numId w:val="9"/>
      </w:numPr>
      <w:spacing w:before="60" w:after="60"/>
    </w:pPr>
  </w:style>
  <w:style w:type="table" w:customStyle="1" w:styleId="TableSapereGrid">
    <w:name w:val="Table Sapere Grid"/>
    <w:basedOn w:val="TableGrid"/>
    <w:rsid w:val="007D2386"/>
    <w:tblPr>
      <w:tblBorders>
        <w:top w:val="single" w:sz="4" w:space="0" w:color="7B5E05"/>
        <w:left w:val="none" w:sz="0" w:space="0" w:color="auto"/>
        <w:bottom w:val="single" w:sz="4" w:space="0" w:color="7B5E05"/>
        <w:right w:val="none" w:sz="0" w:space="0" w:color="auto"/>
        <w:insideH w:val="single" w:sz="4" w:space="0" w:color="7B5E05"/>
        <w:insideV w:val="single" w:sz="4" w:space="0" w:color="7B5E05"/>
      </w:tblBorders>
      <w:tblCellMar>
        <w:top w:w="113" w:type="dxa"/>
        <w:bottom w:w="113" w:type="dxa"/>
      </w:tblCellMar>
    </w:tblPr>
    <w:tblStylePr w:type="firstRow">
      <w:tblPr/>
      <w:trPr>
        <w:tblHeader/>
      </w:trPr>
      <w:tcPr>
        <w:tcBorders>
          <w:top w:val="single" w:sz="4" w:space="0" w:color="7B5E05"/>
          <w:left w:val="single" w:sz="4" w:space="0" w:color="7B5E05"/>
          <w:bottom w:val="nil"/>
          <w:right w:val="single" w:sz="4" w:space="0" w:color="7B5E05"/>
          <w:insideH w:val="nil"/>
          <w:insideV w:val="single" w:sz="4" w:space="0" w:color="FFFFFF"/>
          <w:tl2br w:val="nil"/>
          <w:tr2bl w:val="nil"/>
        </w:tcBorders>
        <w:shd w:val="clear" w:color="auto" w:fill="7B5E05"/>
        <w:tcMar>
          <w:top w:w="113" w:type="dxa"/>
          <w:left w:w="0" w:type="nil"/>
          <w:bottom w:w="142" w:type="dxa"/>
          <w:right w:w="0" w:type="nil"/>
        </w:tcMar>
        <w:vAlign w:val="center"/>
      </w:tcPr>
    </w:tblStylePr>
  </w:style>
  <w:style w:type="paragraph" w:customStyle="1" w:styleId="Heading-tableoftables">
    <w:name w:val="Heading - table of tables"/>
    <w:basedOn w:val="Normalcolour"/>
    <w:next w:val="UnnumtextBodytext"/>
    <w:rsid w:val="008613AF"/>
    <w:pPr>
      <w:keepNext/>
      <w:spacing w:before="260" w:after="40" w:line="240" w:lineRule="auto"/>
    </w:pPr>
    <w:rPr>
      <w:b/>
      <w:color w:val="000000"/>
      <w:sz w:val="28"/>
    </w:rPr>
  </w:style>
  <w:style w:type="paragraph" w:customStyle="1" w:styleId="Heading-tableoffigures">
    <w:name w:val="Heading - table of figures"/>
    <w:basedOn w:val="Normalcolour"/>
    <w:next w:val="UnnumtextBodytext"/>
    <w:rsid w:val="008613AF"/>
    <w:pPr>
      <w:keepNext/>
      <w:spacing w:before="260" w:after="40" w:line="240" w:lineRule="auto"/>
    </w:pPr>
    <w:rPr>
      <w:b/>
      <w:color w:val="000000"/>
      <w:sz w:val="28"/>
    </w:rPr>
  </w:style>
  <w:style w:type="paragraph" w:customStyle="1" w:styleId="UnnumtextTablecaption">
    <w:name w:val="Unnum text: Table caption"/>
    <w:basedOn w:val="Normal"/>
    <w:next w:val="UnnumtextBodytext"/>
    <w:rsid w:val="00492F51"/>
    <w:pPr>
      <w:numPr>
        <w:numId w:val="15"/>
      </w:numPr>
      <w:spacing w:before="80" w:after="180"/>
    </w:pPr>
  </w:style>
  <w:style w:type="paragraph" w:customStyle="1" w:styleId="Table-bodytext">
    <w:name w:val="Table - body text"/>
    <w:basedOn w:val="Normal"/>
    <w:rsid w:val="00492F51"/>
    <w:pPr>
      <w:spacing w:after="120" w:line="190" w:lineRule="atLeast"/>
    </w:pPr>
  </w:style>
  <w:style w:type="paragraph" w:customStyle="1" w:styleId="NumtextFigurenotes">
    <w:name w:val="Num text: Figure notes"/>
    <w:basedOn w:val="Normal"/>
    <w:rsid w:val="00492F51"/>
    <w:pPr>
      <w:spacing w:before="80" w:after="0"/>
      <w:ind w:left="992"/>
    </w:pPr>
    <w:rPr>
      <w:sz w:val="18"/>
    </w:rPr>
  </w:style>
  <w:style w:type="paragraph" w:customStyle="1" w:styleId="Numberedparagraphs-1">
    <w:name w:val="Numbered paragraphs - 1."/>
    <w:basedOn w:val="Normal"/>
    <w:rsid w:val="00B121A2"/>
    <w:pPr>
      <w:numPr>
        <w:ilvl w:val="1"/>
        <w:numId w:val="18"/>
      </w:numPr>
      <w:spacing w:before="60" w:after="120" w:line="190" w:lineRule="atLeast"/>
    </w:pPr>
  </w:style>
  <w:style w:type="paragraph" w:customStyle="1" w:styleId="Numberedparagraphs-a">
    <w:name w:val="Numbered paragraphs - a)"/>
    <w:basedOn w:val="Normal"/>
    <w:rsid w:val="00B121A2"/>
    <w:pPr>
      <w:numPr>
        <w:ilvl w:val="2"/>
        <w:numId w:val="18"/>
      </w:numPr>
      <w:spacing w:before="60" w:after="120" w:line="190" w:lineRule="atLeast"/>
      <w:ind w:left="850" w:hanging="425"/>
    </w:pPr>
  </w:style>
  <w:style w:type="paragraph" w:customStyle="1" w:styleId="Numberedparagraphs-i">
    <w:name w:val="Numbered paragraphs - i)"/>
    <w:basedOn w:val="Normal"/>
    <w:rsid w:val="00B121A2"/>
    <w:pPr>
      <w:numPr>
        <w:ilvl w:val="3"/>
        <w:numId w:val="18"/>
      </w:numPr>
      <w:spacing w:before="60" w:after="120" w:line="190" w:lineRule="atLeast"/>
    </w:pPr>
  </w:style>
  <w:style w:type="paragraph" w:customStyle="1" w:styleId="Objectplaceholder">
    <w:name w:val="Object placeholder"/>
    <w:basedOn w:val="Normal"/>
    <w:rsid w:val="00756BC2"/>
    <w:pPr>
      <w:spacing w:before="80" w:after="80" w:line="240" w:lineRule="auto"/>
    </w:pPr>
  </w:style>
  <w:style w:type="character" w:styleId="PlaceholderText">
    <w:name w:val="Placeholder Text"/>
    <w:basedOn w:val="DefaultParagraphFont"/>
    <w:uiPriority w:val="99"/>
    <w:semiHidden/>
    <w:rsid w:val="001E3AB9"/>
    <w:rPr>
      <w:color w:val="808080"/>
    </w:rPr>
  </w:style>
  <w:style w:type="paragraph" w:customStyle="1" w:styleId="ApxHeading5">
    <w:name w:val="Apx Heading 5"/>
    <w:basedOn w:val="Normal"/>
    <w:next w:val="UnnumtextBodytext"/>
    <w:rsid w:val="00682E6B"/>
    <w:pPr>
      <w:keepNext/>
      <w:spacing w:before="120" w:after="0"/>
      <w:outlineLvl w:val="8"/>
    </w:pPr>
    <w:rPr>
      <w:b/>
      <w:bCs/>
      <w:szCs w:val="24"/>
    </w:rPr>
  </w:style>
  <w:style w:type="paragraph" w:customStyle="1" w:styleId="DraftWatermark">
    <w:name w:val="DraftWatermark"/>
    <w:rsid w:val="00954C88"/>
    <w:pPr>
      <w:jc w:val="right"/>
    </w:pPr>
    <w:rPr>
      <w:rFonts w:ascii="Arial" w:hAnsi="Arial"/>
      <w:i/>
      <w:sz w:val="18"/>
      <w:szCs w:val="22"/>
      <w:lang w:val="en-NZ" w:eastAsia="en-NZ"/>
    </w:rPr>
  </w:style>
  <w:style w:type="paragraph" w:customStyle="1" w:styleId="Tablebullet1atmargin">
    <w:name w:val="Table bullet 1 (at margin)"/>
    <w:basedOn w:val="Table-bodytext"/>
    <w:rsid w:val="009A5A40"/>
    <w:pPr>
      <w:numPr>
        <w:numId w:val="21"/>
      </w:numPr>
    </w:pPr>
  </w:style>
  <w:style w:type="paragraph" w:customStyle="1" w:styleId="Tablebullet2atmargin">
    <w:name w:val="Table bullet 2 (at margin)"/>
    <w:basedOn w:val="Table-bodytext"/>
    <w:rsid w:val="009A5A40"/>
    <w:pPr>
      <w:numPr>
        <w:ilvl w:val="1"/>
        <w:numId w:val="21"/>
      </w:numPr>
      <w:ind w:left="850"/>
    </w:pPr>
  </w:style>
  <w:style w:type="paragraph" w:customStyle="1" w:styleId="Tablebullet1afternumbering">
    <w:name w:val="Table bullet 1 (after numbering)"/>
    <w:basedOn w:val="Table-bodytext"/>
    <w:rsid w:val="009A5A40"/>
    <w:pPr>
      <w:numPr>
        <w:numId w:val="20"/>
      </w:numPr>
      <w:ind w:left="850" w:hanging="425"/>
    </w:pPr>
  </w:style>
  <w:style w:type="paragraph" w:customStyle="1" w:styleId="Tablebullet2afternumbering">
    <w:name w:val="Table bullet 2 (after numbering)"/>
    <w:basedOn w:val="Tablebullet1afternumbering"/>
    <w:rsid w:val="009A5A40"/>
    <w:pPr>
      <w:numPr>
        <w:ilvl w:val="1"/>
      </w:numPr>
    </w:pPr>
  </w:style>
  <w:style w:type="character" w:customStyle="1" w:styleId="BodyTextChar">
    <w:name w:val="Body Text Char"/>
    <w:basedOn w:val="DefaultParagraphFont"/>
    <w:link w:val="BodyText"/>
    <w:rsid w:val="007B6C6B"/>
  </w:style>
  <w:style w:type="character" w:customStyle="1" w:styleId="BodyTextIndentChar">
    <w:name w:val="Body Text Indent Char"/>
    <w:basedOn w:val="DefaultParagraphFont"/>
    <w:link w:val="BodyTextIndent"/>
    <w:semiHidden/>
    <w:rsid w:val="002969B7"/>
  </w:style>
  <w:style w:type="paragraph" w:customStyle="1" w:styleId="Listtextunformatted">
    <w:name w:val="List text (unformatted)"/>
    <w:basedOn w:val="Normal"/>
    <w:rsid w:val="007B54FA"/>
    <w:pPr>
      <w:spacing w:after="0" w:line="240" w:lineRule="auto"/>
    </w:pPr>
    <w:rPr>
      <w:rFonts w:ascii="Arial" w:hAnsi="Arial"/>
      <w:szCs w:val="22"/>
      <w:lang w:val="en-NZ" w:eastAsia="en-NZ"/>
    </w:rPr>
  </w:style>
  <w:style w:type="paragraph" w:customStyle="1" w:styleId="Default">
    <w:name w:val="Default"/>
    <w:rsid w:val="001333D0"/>
    <w:pPr>
      <w:autoSpaceDE w:val="0"/>
      <w:autoSpaceDN w:val="0"/>
      <w:adjustRightInd w:val="0"/>
    </w:pPr>
    <w:rPr>
      <w:rFonts w:cs="Garamond"/>
      <w:color w:val="000000"/>
      <w:sz w:val="24"/>
      <w:szCs w:val="24"/>
      <w:lang w:val="en-NZ"/>
    </w:rPr>
  </w:style>
  <w:style w:type="character" w:customStyle="1" w:styleId="FootnoteTextChar">
    <w:name w:val="Footnote Text Char"/>
    <w:basedOn w:val="DefaultParagraphFont"/>
    <w:link w:val="FootnoteText"/>
    <w:uiPriority w:val="99"/>
    <w:rsid w:val="00225944"/>
    <w:rPr>
      <w:sz w:val="18"/>
    </w:rPr>
  </w:style>
  <w:style w:type="paragraph" w:customStyle="1" w:styleId="StyleNumbered">
    <w:name w:val="Style Numbered"/>
    <w:basedOn w:val="Normal"/>
    <w:autoRedefine/>
    <w:rsid w:val="00225944"/>
    <w:pPr>
      <w:spacing w:before="120" w:after="120" w:line="280" w:lineRule="atLeast"/>
      <w:ind w:left="900"/>
    </w:pPr>
    <w:rPr>
      <w:rFonts w:asciiTheme="minorHAnsi" w:hAnsiTheme="minorHAnsi" w:cstheme="minorHAnsi"/>
      <w:szCs w:val="22"/>
      <w:lang w:val="en-NZ"/>
    </w:rPr>
  </w:style>
  <w:style w:type="paragraph" w:customStyle="1" w:styleId="Objectplaceholderpicture">
    <w:name w:val="Object placeholder picture"/>
    <w:basedOn w:val="Normal"/>
    <w:rsid w:val="009177D4"/>
    <w:pPr>
      <w:keepNext/>
      <w:spacing w:before="80" w:after="80" w:line="240" w:lineRule="auto"/>
      <w:ind w:left="-28"/>
    </w:pPr>
    <w:rPr>
      <w:szCs w:val="22"/>
      <w:lang w:val="en-NZ" w:eastAsia="en-NZ"/>
    </w:rPr>
  </w:style>
  <w:style w:type="paragraph" w:styleId="ListParagraph">
    <w:name w:val="List Paragraph"/>
    <w:basedOn w:val="Normal"/>
    <w:uiPriority w:val="34"/>
    <w:qFormat/>
    <w:rsid w:val="000418E7"/>
    <w:pPr>
      <w:spacing w:after="200" w:line="276" w:lineRule="auto"/>
      <w:ind w:left="720"/>
      <w:contextualSpacing/>
    </w:pPr>
    <w:rPr>
      <w:rFonts w:asciiTheme="minorHAnsi" w:eastAsiaTheme="minorHAnsi" w:hAnsiTheme="minorHAnsi" w:cstheme="minorBidi"/>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8">
      <w:bodyDiv w:val="1"/>
      <w:marLeft w:val="0"/>
      <w:marRight w:val="0"/>
      <w:marTop w:val="0"/>
      <w:marBottom w:val="0"/>
      <w:divBdr>
        <w:top w:val="none" w:sz="0" w:space="0" w:color="auto"/>
        <w:left w:val="none" w:sz="0" w:space="0" w:color="auto"/>
        <w:bottom w:val="none" w:sz="0" w:space="0" w:color="auto"/>
        <w:right w:val="none" w:sz="0" w:space="0" w:color="auto"/>
      </w:divBdr>
    </w:div>
    <w:div w:id="648704560">
      <w:bodyDiv w:val="1"/>
      <w:marLeft w:val="0"/>
      <w:marRight w:val="0"/>
      <w:marTop w:val="0"/>
      <w:marBottom w:val="0"/>
      <w:divBdr>
        <w:top w:val="none" w:sz="0" w:space="0" w:color="auto"/>
        <w:left w:val="none" w:sz="0" w:space="0" w:color="auto"/>
        <w:bottom w:val="none" w:sz="0" w:space="0" w:color="auto"/>
        <w:right w:val="none" w:sz="0" w:space="0" w:color="auto"/>
      </w:divBdr>
    </w:div>
    <w:div w:id="896892708">
      <w:bodyDiv w:val="1"/>
      <w:marLeft w:val="0"/>
      <w:marRight w:val="0"/>
      <w:marTop w:val="0"/>
      <w:marBottom w:val="0"/>
      <w:divBdr>
        <w:top w:val="none" w:sz="0" w:space="0" w:color="auto"/>
        <w:left w:val="none" w:sz="0" w:space="0" w:color="auto"/>
        <w:bottom w:val="none" w:sz="0" w:space="0" w:color="auto"/>
        <w:right w:val="none" w:sz="0" w:space="0" w:color="auto"/>
      </w:divBdr>
    </w:div>
    <w:div w:id="899561232">
      <w:bodyDiv w:val="1"/>
      <w:marLeft w:val="0"/>
      <w:marRight w:val="0"/>
      <w:marTop w:val="0"/>
      <w:marBottom w:val="0"/>
      <w:divBdr>
        <w:top w:val="none" w:sz="0" w:space="0" w:color="auto"/>
        <w:left w:val="none" w:sz="0" w:space="0" w:color="auto"/>
        <w:bottom w:val="none" w:sz="0" w:space="0" w:color="auto"/>
        <w:right w:val="none" w:sz="0" w:space="0" w:color="auto"/>
      </w:divBdr>
    </w:div>
    <w:div w:id="992106694">
      <w:bodyDiv w:val="1"/>
      <w:marLeft w:val="0"/>
      <w:marRight w:val="0"/>
      <w:marTop w:val="0"/>
      <w:marBottom w:val="0"/>
      <w:divBdr>
        <w:top w:val="none" w:sz="0" w:space="0" w:color="auto"/>
        <w:left w:val="none" w:sz="0" w:space="0" w:color="auto"/>
        <w:bottom w:val="none" w:sz="0" w:space="0" w:color="auto"/>
        <w:right w:val="none" w:sz="0" w:space="0" w:color="auto"/>
      </w:divBdr>
    </w:div>
    <w:div w:id="1523936263">
      <w:bodyDiv w:val="1"/>
      <w:marLeft w:val="0"/>
      <w:marRight w:val="0"/>
      <w:marTop w:val="0"/>
      <w:marBottom w:val="0"/>
      <w:divBdr>
        <w:top w:val="none" w:sz="0" w:space="0" w:color="auto"/>
        <w:left w:val="none" w:sz="0" w:space="0" w:color="auto"/>
        <w:bottom w:val="none" w:sz="0" w:space="0" w:color="auto"/>
        <w:right w:val="none" w:sz="0" w:space="0" w:color="auto"/>
      </w:divBdr>
    </w:div>
    <w:div w:id="17582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hart" Target="charts/chart5.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hart" Target="charts/chart13.xml"/><Relationship Id="rId42" Type="http://schemas.openxmlformats.org/officeDocument/2006/relationships/chart" Target="charts/chart1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hyperlink" Target="http://www.stats.govt.nz"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8.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hyperlink" Target="http://www.neac.health.govt.nz" TargetMode="External"/><Relationship Id="rId40" Type="http://schemas.openxmlformats.org/officeDocument/2006/relationships/hyperlink" Target="mailto:jesplin@srgexpert.com"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www.neac.health.govt.nz" TargetMode="Externa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chart" Target="charts/chart10.xm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http://www.health.govt.nz/system/files/documents/pages/wiesnz12-final-v1-1-25112011_0.pdf" TargetMode="External"/><Relationship Id="rId43" Type="http://schemas.openxmlformats.org/officeDocument/2006/relationships/footer" Target="footer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orn.org.au/standards" TargetMode="External"/><Relationship Id="rId1" Type="http://schemas.openxmlformats.org/officeDocument/2006/relationships/hyperlink" Target="http://www.stats.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Report%20Double-sided%20-%20Unnumbered%20paragraph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blick\Documents\temp%20Mobile%20Surgical%20Services\Service%20volumes%20-%20from%20provider%20databas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blick\Documents\temp%20Mobile%20Surgical%20Services\Interview%20notes\Mobile%20Health%20Review%20Conta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blick\Documents\temp%20Mobile%20Surgical%20Services\Service%20volumes%20-%20from%20provider%20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228346456692915E-2"/>
          <c:y val="8.1364076802227681E-2"/>
          <c:w val="0.88654359871682709"/>
          <c:h val="0.82813761183077916"/>
        </c:manualLayout>
      </c:layout>
      <c:barChart>
        <c:barDir val="col"/>
        <c:grouping val="clustered"/>
        <c:varyColors val="0"/>
        <c:ser>
          <c:idx val="0"/>
          <c:order val="0"/>
          <c:tx>
            <c:strRef>
              <c:f>'total funding'!$G$60</c:f>
              <c:strCache>
                <c:ptCount val="1"/>
                <c:pt idx="0">
                  <c:v>Mobile Surgical Services</c:v>
                </c:pt>
              </c:strCache>
            </c:strRef>
          </c:tx>
          <c:spPr>
            <a:solidFill>
              <a:schemeClr val="tx2">
                <a:lumMod val="40000"/>
                <a:lumOff val="60000"/>
              </a:schemeClr>
            </a:solidFill>
          </c:spPr>
          <c:invertIfNegative val="0"/>
          <c:cat>
            <c:strRef>
              <c:f>'total funding'!$F$61:$F$69</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'total funding'!$G$61:$G$69</c:f>
              <c:numCache>
                <c:formatCode>0.0</c:formatCode>
                <c:ptCount val="9"/>
                <c:pt idx="0">
                  <c:v>2.3333333299999999</c:v>
                </c:pt>
                <c:pt idx="1">
                  <c:v>3.5</c:v>
                </c:pt>
                <c:pt idx="2">
                  <c:v>3.5</c:v>
                </c:pt>
                <c:pt idx="3">
                  <c:v>3.5</c:v>
                </c:pt>
                <c:pt idx="4">
                  <c:v>3.5</c:v>
                </c:pt>
                <c:pt idx="5">
                  <c:v>3.8750005999999999</c:v>
                </c:pt>
                <c:pt idx="6">
                  <c:v>4</c:v>
                </c:pt>
                <c:pt idx="7">
                  <c:v>4</c:v>
                </c:pt>
                <c:pt idx="8">
                  <c:v>4</c:v>
                </c:pt>
              </c:numCache>
            </c:numRef>
          </c:val>
        </c:ser>
        <c:ser>
          <c:idx val="1"/>
          <c:order val="1"/>
          <c:tx>
            <c:strRef>
              <c:f>'total funding'!$H$60</c:f>
              <c:strCache>
                <c:ptCount val="1"/>
                <c:pt idx="0">
                  <c:v>Professional Development</c:v>
                </c:pt>
              </c:strCache>
            </c:strRef>
          </c:tx>
          <c:invertIfNegative val="0"/>
          <c:cat>
            <c:strRef>
              <c:f>'total funding'!$F$61:$F$69</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'total funding'!$H$61:$H$69</c:f>
              <c:numCache>
                <c:formatCode>0.0</c:formatCode>
                <c:ptCount val="9"/>
                <c:pt idx="0">
                  <c:v>1</c:v>
                </c:pt>
                <c:pt idx="1">
                  <c:v>1.5</c:v>
                </c:pt>
                <c:pt idx="2">
                  <c:v>1.5</c:v>
                </c:pt>
                <c:pt idx="3">
                  <c:v>1.5</c:v>
                </c:pt>
                <c:pt idx="4">
                  <c:v>1.5</c:v>
                </c:pt>
                <c:pt idx="5">
                  <c:v>1.45441373</c:v>
                </c:pt>
                <c:pt idx="6">
                  <c:v>1.4392180000000001</c:v>
                </c:pt>
                <c:pt idx="7">
                  <c:v>1.4392180000000001</c:v>
                </c:pt>
                <c:pt idx="8">
                  <c:v>1.4392180000000001</c:v>
                </c:pt>
              </c:numCache>
            </c:numRef>
          </c:val>
        </c:ser>
        <c:ser>
          <c:idx val="2"/>
          <c:order val="2"/>
          <c:tx>
            <c:strRef>
              <c:f>'total funding'!$I$60</c:f>
              <c:strCache>
                <c:ptCount val="1"/>
                <c:pt idx="0">
                  <c:v>Remote Collaboration</c:v>
                </c:pt>
              </c:strCache>
            </c:strRef>
          </c:tx>
          <c:invertIfNegative val="0"/>
          <c:cat>
            <c:strRef>
              <c:f>'total funding'!$F$61:$F$69</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'total funding'!$I$61:$I$69</c:f>
              <c:numCache>
                <c:formatCode>0.0</c:formatCode>
                <c:ptCount val="9"/>
                <c:pt idx="0">
                  <c:v>0.4</c:v>
                </c:pt>
                <c:pt idx="1">
                  <c:v>0.6</c:v>
                </c:pt>
                <c:pt idx="2">
                  <c:v>0.6</c:v>
                </c:pt>
                <c:pt idx="3">
                  <c:v>0.64597499999999997</c:v>
                </c:pt>
                <c:pt idx="4">
                  <c:v>0.6613</c:v>
                </c:pt>
                <c:pt idx="5">
                  <c:v>0.33188627000000004</c:v>
                </c:pt>
                <c:pt idx="6">
                  <c:v>0.222082</c:v>
                </c:pt>
                <c:pt idx="7">
                  <c:v>0.222082</c:v>
                </c:pt>
                <c:pt idx="8">
                  <c:v>0.222082</c:v>
                </c:pt>
              </c:numCache>
            </c:numRef>
          </c:val>
        </c:ser>
        <c:dLbls>
          <c:showLegendKey val="0"/>
          <c:showVal val="0"/>
          <c:showCatName val="0"/>
          <c:showSerName val="0"/>
          <c:showPercent val="0"/>
          <c:showBubbleSize val="0"/>
        </c:dLbls>
        <c:gapWidth val="118"/>
        <c:axId val="97781248"/>
        <c:axId val="98263424"/>
      </c:barChart>
      <c:catAx>
        <c:axId val="97781248"/>
        <c:scaling>
          <c:orientation val="minMax"/>
        </c:scaling>
        <c:delete val="0"/>
        <c:axPos val="b"/>
        <c:majorTickMark val="out"/>
        <c:minorTickMark val="none"/>
        <c:tickLblPos val="nextTo"/>
        <c:crossAx val="98263424"/>
        <c:crosses val="autoZero"/>
        <c:auto val="1"/>
        <c:lblAlgn val="ctr"/>
        <c:lblOffset val="100"/>
        <c:noMultiLvlLbl val="0"/>
      </c:catAx>
      <c:valAx>
        <c:axId val="98263424"/>
        <c:scaling>
          <c:orientation val="minMax"/>
          <c:max val="4.5"/>
        </c:scaling>
        <c:delete val="0"/>
        <c:axPos val="l"/>
        <c:majorGridlines/>
        <c:title>
          <c:tx>
            <c:rich>
              <a:bodyPr rot="0" vert="horz"/>
              <a:lstStyle/>
              <a:p>
                <a:pPr>
                  <a:defRPr b="0"/>
                </a:pPr>
                <a:r>
                  <a:rPr lang="en-NZ" b="0"/>
                  <a:t>$ million</a:t>
                </a:r>
              </a:p>
            </c:rich>
          </c:tx>
          <c:layout>
            <c:manualLayout>
              <c:xMode val="edge"/>
              <c:yMode val="edge"/>
              <c:x val="1.0553125303781471E-3"/>
              <c:y val="1.057560112678223E-3"/>
            </c:manualLayout>
          </c:layout>
          <c:overlay val="0"/>
        </c:title>
        <c:numFmt formatCode="0.0" sourceLinked="1"/>
        <c:majorTickMark val="out"/>
        <c:minorTickMark val="none"/>
        <c:tickLblPos val="nextTo"/>
        <c:crossAx val="97781248"/>
        <c:crosses val="autoZero"/>
        <c:crossBetween val="between"/>
      </c:valAx>
    </c:plotArea>
    <c:legend>
      <c:legendPos val="r"/>
      <c:layout>
        <c:manualLayout>
          <c:xMode val="edge"/>
          <c:yMode val="edge"/>
          <c:x val="3.9379410906969961E-2"/>
          <c:y val="7.1775275402402666E-2"/>
          <c:w val="0.91887897346165059"/>
          <c:h val="0.10948400267170905"/>
        </c:manualLayout>
      </c:layout>
      <c:overlay val="0"/>
    </c:legend>
    <c:plotVisOnly val="1"/>
    <c:dispBlanksAs val="gap"/>
    <c:showDLblsOverMax val="0"/>
  </c:chart>
  <c:spPr>
    <a:ln>
      <a:noFill/>
    </a:ln>
  </c:spPr>
  <c:txPr>
    <a:bodyPr/>
    <a:lstStyle/>
    <a:p>
      <a:pPr>
        <a:defRPr sz="900">
          <a:latin typeface="Garamond" panose="020204040303010108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27655753557125E-2"/>
          <c:y val="0.13843821526978964"/>
          <c:w val="0.89957802643090667"/>
          <c:h val="0.6479448056646302"/>
        </c:manualLayout>
      </c:layout>
      <c:barChart>
        <c:barDir val="col"/>
        <c:grouping val="clustered"/>
        <c:varyColors val="0"/>
        <c:ser>
          <c:idx val="0"/>
          <c:order val="0"/>
          <c:tx>
            <c:strRef>
              <c:f>'No shows'!$AX$4</c:f>
              <c:strCache>
                <c:ptCount val="1"/>
                <c:pt idx="0">
                  <c:v>No show rate</c:v>
                </c:pt>
              </c:strCache>
            </c:strRef>
          </c:tx>
          <c:invertIfNegative val="0"/>
          <c:cat>
            <c:strRef>
              <c:f>'No shows'!$AW$5:$AW$29</c:f>
              <c:strCache>
                <c:ptCount val="25"/>
                <c:pt idx="0">
                  <c:v>Te Puia</c:v>
                </c:pt>
                <c:pt idx="1">
                  <c:v>Featherston</c:v>
                </c:pt>
                <c:pt idx="2">
                  <c:v>Kaikohe</c:v>
                </c:pt>
                <c:pt idx="3">
                  <c:v>Gore</c:v>
                </c:pt>
                <c:pt idx="4">
                  <c:v>Invercargill</c:v>
                </c:pt>
                <c:pt idx="5">
                  <c:v>Wairoa</c:v>
                </c:pt>
                <c:pt idx="6">
                  <c:v>Dargaville</c:v>
                </c:pt>
                <c:pt idx="7">
                  <c:v>Pukekohe</c:v>
                </c:pt>
                <c:pt idx="8">
                  <c:v>Taihape</c:v>
                </c:pt>
                <c:pt idx="9">
                  <c:v>Buller</c:v>
                </c:pt>
                <c:pt idx="10">
                  <c:v>Oamaru</c:v>
                </c:pt>
                <c:pt idx="11">
                  <c:v>Dunstan</c:v>
                </c:pt>
                <c:pt idx="12">
                  <c:v>Queenstown</c:v>
                </c:pt>
                <c:pt idx="13">
                  <c:v>Hawera</c:v>
                </c:pt>
                <c:pt idx="14">
                  <c:v>Waikari</c:v>
                </c:pt>
                <c:pt idx="15">
                  <c:v>Ashburton</c:v>
                </c:pt>
                <c:pt idx="16">
                  <c:v>Levin</c:v>
                </c:pt>
                <c:pt idx="17">
                  <c:v>Taumarunui</c:v>
                </c:pt>
                <c:pt idx="18">
                  <c:v>Dannevirke</c:v>
                </c:pt>
                <c:pt idx="19">
                  <c:v>Waipukurau</c:v>
                </c:pt>
                <c:pt idx="20">
                  <c:v>Kapiti</c:v>
                </c:pt>
                <c:pt idx="21">
                  <c:v>Takaka</c:v>
                </c:pt>
                <c:pt idx="22">
                  <c:v>Warkworth</c:v>
                </c:pt>
                <c:pt idx="23">
                  <c:v>Balclutha</c:v>
                </c:pt>
                <c:pt idx="24">
                  <c:v>Motueka</c:v>
                </c:pt>
              </c:strCache>
            </c:strRef>
          </c:cat>
          <c:val>
            <c:numRef>
              <c:f>'No shows'!$AX$5:$AX$29</c:f>
              <c:numCache>
                <c:formatCode>0.0</c:formatCode>
                <c:ptCount val="25"/>
                <c:pt idx="0">
                  <c:v>13.26530612244898</c:v>
                </c:pt>
                <c:pt idx="1">
                  <c:v>9.5541401273885356</c:v>
                </c:pt>
                <c:pt idx="2">
                  <c:v>8.0924855491329488</c:v>
                </c:pt>
                <c:pt idx="3">
                  <c:v>7.9136690647482011</c:v>
                </c:pt>
                <c:pt idx="4">
                  <c:v>6.8965517241379306</c:v>
                </c:pt>
                <c:pt idx="5">
                  <c:v>6.5420560747663545</c:v>
                </c:pt>
                <c:pt idx="6">
                  <c:v>5.4545454545454541</c:v>
                </c:pt>
                <c:pt idx="7">
                  <c:v>5.3571428571428568</c:v>
                </c:pt>
                <c:pt idx="8">
                  <c:v>5.1470588235294112</c:v>
                </c:pt>
                <c:pt idx="9">
                  <c:v>5.0847457627118651</c:v>
                </c:pt>
                <c:pt idx="10">
                  <c:v>4.8</c:v>
                </c:pt>
                <c:pt idx="11">
                  <c:v>4.6153846153846159</c:v>
                </c:pt>
                <c:pt idx="12">
                  <c:v>4.5801526717557248</c:v>
                </c:pt>
                <c:pt idx="13">
                  <c:v>3.867403314917127</c:v>
                </c:pt>
                <c:pt idx="14">
                  <c:v>3.75</c:v>
                </c:pt>
                <c:pt idx="15">
                  <c:v>3.6363636363636362</c:v>
                </c:pt>
                <c:pt idx="16">
                  <c:v>3.5211267605633805</c:v>
                </c:pt>
                <c:pt idx="17">
                  <c:v>2.9629629629629632</c:v>
                </c:pt>
                <c:pt idx="18">
                  <c:v>2.3076923076923079</c:v>
                </c:pt>
                <c:pt idx="19">
                  <c:v>2.197802197802198</c:v>
                </c:pt>
                <c:pt idx="20">
                  <c:v>1.3986013986013985</c:v>
                </c:pt>
                <c:pt idx="21">
                  <c:v>1.2345679012345678</c:v>
                </c:pt>
                <c:pt idx="22">
                  <c:v>0.95238095238095244</c:v>
                </c:pt>
                <c:pt idx="23">
                  <c:v>0</c:v>
                </c:pt>
                <c:pt idx="24">
                  <c:v>0</c:v>
                </c:pt>
              </c:numCache>
            </c:numRef>
          </c:val>
        </c:ser>
        <c:dLbls>
          <c:showLegendKey val="0"/>
          <c:showVal val="0"/>
          <c:showCatName val="0"/>
          <c:showSerName val="0"/>
          <c:showPercent val="0"/>
          <c:showBubbleSize val="0"/>
        </c:dLbls>
        <c:gapWidth val="150"/>
        <c:axId val="91000832"/>
        <c:axId val="91002368"/>
      </c:barChart>
      <c:catAx>
        <c:axId val="91000832"/>
        <c:scaling>
          <c:orientation val="minMax"/>
        </c:scaling>
        <c:delete val="0"/>
        <c:axPos val="b"/>
        <c:majorTickMark val="out"/>
        <c:minorTickMark val="none"/>
        <c:tickLblPos val="nextTo"/>
        <c:txPr>
          <a:bodyPr/>
          <a:lstStyle/>
          <a:p>
            <a:pPr>
              <a:defRPr sz="900"/>
            </a:pPr>
            <a:endParaRPr lang="en-US"/>
          </a:p>
        </c:txPr>
        <c:crossAx val="91002368"/>
        <c:crosses val="autoZero"/>
        <c:auto val="1"/>
        <c:lblAlgn val="ctr"/>
        <c:lblOffset val="100"/>
        <c:noMultiLvlLbl val="0"/>
      </c:catAx>
      <c:valAx>
        <c:axId val="91002368"/>
        <c:scaling>
          <c:orientation val="minMax"/>
        </c:scaling>
        <c:delete val="0"/>
        <c:axPos val="l"/>
        <c:majorGridlines/>
        <c:title>
          <c:tx>
            <c:rich>
              <a:bodyPr rot="0" vert="horz"/>
              <a:lstStyle/>
              <a:p>
                <a:pPr algn="l">
                  <a:defRPr/>
                </a:pPr>
                <a:r>
                  <a:rPr lang="en-NZ"/>
                  <a:t>Percent of appointments</a:t>
                </a:r>
              </a:p>
            </c:rich>
          </c:tx>
          <c:layout>
            <c:manualLayout>
              <c:xMode val="edge"/>
              <c:yMode val="edge"/>
              <c:x val="1.0355565828934352E-2"/>
              <c:y val="1.9731539463078928E-3"/>
            </c:manualLayout>
          </c:layout>
          <c:overlay val="0"/>
        </c:title>
        <c:numFmt formatCode="0.0" sourceLinked="1"/>
        <c:majorTickMark val="out"/>
        <c:minorTickMark val="none"/>
        <c:tickLblPos val="nextTo"/>
        <c:crossAx val="91000832"/>
        <c:crosses val="autoZero"/>
        <c:crossBetween val="between"/>
      </c:valAx>
    </c:plotArea>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70663912912534E-2"/>
          <c:y val="9.8983597924045902E-2"/>
          <c:w val="0.88406178735854735"/>
          <c:h val="0.77010762004264033"/>
        </c:manualLayout>
      </c:layout>
      <c:barChart>
        <c:barDir val="col"/>
        <c:grouping val="clustered"/>
        <c:varyColors val="0"/>
        <c:ser>
          <c:idx val="0"/>
          <c:order val="0"/>
          <c:tx>
            <c:strRef>
              <c:f>'heath outcomes'!$F$3</c:f>
              <c:strCache>
                <c:ptCount val="1"/>
                <c:pt idx="0">
                  <c:v>Patient telephone interviews</c:v>
                </c:pt>
              </c:strCache>
            </c:strRef>
          </c:tx>
          <c:spPr>
            <a:solidFill>
              <a:schemeClr val="tx2">
                <a:lumMod val="40000"/>
                <a:lumOff val="60000"/>
              </a:schemeClr>
            </a:solidFill>
          </c:spPr>
          <c:invertIfNegative val="0"/>
          <c:dLbls>
            <c:dLbl>
              <c:idx val="0"/>
              <c:layout>
                <c:manualLayout>
                  <c:x val="-1.2522624007888517E-17"/>
                  <c:y val="1.3333333333333334E-2"/>
                </c:manualLayout>
              </c:layout>
              <c:showLegendKey val="0"/>
              <c:showVal val="1"/>
              <c:showCatName val="0"/>
              <c:showSerName val="0"/>
              <c:showPercent val="0"/>
              <c:showBubbleSize val="0"/>
            </c:dLbl>
            <c:dLbl>
              <c:idx val="4"/>
              <c:layout>
                <c:manualLayout>
                  <c:x val="-2.2744288111527042E-3"/>
                  <c:y val="1.4596675415573053E-2"/>
                </c:manualLayout>
              </c:layout>
              <c:spPr>
                <a:noFill/>
              </c:spPr>
              <c:txPr>
                <a:bodyPr/>
                <a:lstStyle/>
                <a:p>
                  <a:pPr>
                    <a:defRPr sz="800"/>
                  </a:pPr>
                  <a:endParaRPr lang="en-US"/>
                </a:p>
              </c:txPr>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'heath outcomes'!$C$4:$C$8</c:f>
              <c:strCache>
                <c:ptCount val="5"/>
                <c:pt idx="0">
                  <c:v>Much better</c:v>
                </c:pt>
                <c:pt idx="1">
                  <c:v>A bit better</c:v>
                </c:pt>
                <c:pt idx="2">
                  <c:v>The same</c:v>
                </c:pt>
                <c:pt idx="3">
                  <c:v>A little worse</c:v>
                </c:pt>
                <c:pt idx="4">
                  <c:v>Much worse</c:v>
                </c:pt>
              </c:strCache>
            </c:strRef>
          </c:cat>
          <c:val>
            <c:numRef>
              <c:f>'heath outcomes'!$F$4:$F$8</c:f>
              <c:numCache>
                <c:formatCode>0</c:formatCode>
                <c:ptCount val="5"/>
                <c:pt idx="0">
                  <c:v>73.076923076923066</c:v>
                </c:pt>
                <c:pt idx="1">
                  <c:v>15.384615384615385</c:v>
                </c:pt>
                <c:pt idx="2">
                  <c:v>7.6923076923076925</c:v>
                </c:pt>
                <c:pt idx="3">
                  <c:v>0</c:v>
                </c:pt>
                <c:pt idx="4">
                  <c:v>3.8461538461538463</c:v>
                </c:pt>
              </c:numCache>
            </c:numRef>
          </c:val>
        </c:ser>
        <c:ser>
          <c:idx val="1"/>
          <c:order val="1"/>
          <c:tx>
            <c:strRef>
              <c:f>'heath outcomes'!$G$3</c:f>
              <c:strCache>
                <c:ptCount val="1"/>
                <c:pt idx="0">
                  <c:v>Patient postal survey</c:v>
                </c:pt>
              </c:strCache>
            </c:strRef>
          </c:tx>
          <c:invertIfNegative val="0"/>
          <c:dLbls>
            <c:dLbl>
              <c:idx val="2"/>
              <c:layout>
                <c:manualLayout>
                  <c:x val="0"/>
                  <c:y val="0"/>
                </c:manualLayout>
              </c:layout>
              <c:spPr>
                <a:noFill/>
              </c:spPr>
              <c:txPr>
                <a:bodyPr/>
                <a:lstStyle/>
                <a:p>
                  <a:pPr>
                    <a:defRPr sz="800"/>
                  </a:pPr>
                  <a:endParaRPr lang="en-US"/>
                </a:p>
              </c:txPr>
              <c:showLegendKey val="0"/>
              <c:showVal val="1"/>
              <c:showCatName val="0"/>
              <c:showSerName val="0"/>
              <c:showPercent val="0"/>
              <c:showBubbleSize val="0"/>
            </c:dLbl>
            <c:dLbl>
              <c:idx val="4"/>
              <c:layout>
                <c:manualLayout>
                  <c:x val="0"/>
                  <c:y val="8.8888888888888889E-3"/>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'heath outcomes'!$C$4:$C$8</c:f>
              <c:strCache>
                <c:ptCount val="5"/>
                <c:pt idx="0">
                  <c:v>Much better</c:v>
                </c:pt>
                <c:pt idx="1">
                  <c:v>A bit better</c:v>
                </c:pt>
                <c:pt idx="2">
                  <c:v>The same</c:v>
                </c:pt>
                <c:pt idx="3">
                  <c:v>A little worse</c:v>
                </c:pt>
                <c:pt idx="4">
                  <c:v>Much worse</c:v>
                </c:pt>
              </c:strCache>
            </c:strRef>
          </c:cat>
          <c:val>
            <c:numRef>
              <c:f>'heath outcomes'!$G$4:$G$8</c:f>
              <c:numCache>
                <c:formatCode>0</c:formatCode>
                <c:ptCount val="5"/>
                <c:pt idx="0">
                  <c:v>70.270270270270274</c:v>
                </c:pt>
                <c:pt idx="1">
                  <c:v>8.1081081081081088</c:v>
                </c:pt>
                <c:pt idx="2">
                  <c:v>18.918918918918919</c:v>
                </c:pt>
                <c:pt idx="3">
                  <c:v>0</c:v>
                </c:pt>
                <c:pt idx="4">
                  <c:v>2.7027027027027026</c:v>
                </c:pt>
              </c:numCache>
            </c:numRef>
          </c:val>
        </c:ser>
        <c:dLbls>
          <c:showLegendKey val="0"/>
          <c:showVal val="0"/>
          <c:showCatName val="0"/>
          <c:showSerName val="0"/>
          <c:showPercent val="0"/>
          <c:showBubbleSize val="0"/>
        </c:dLbls>
        <c:gapWidth val="106"/>
        <c:axId val="91045248"/>
        <c:axId val="91051136"/>
      </c:barChart>
      <c:catAx>
        <c:axId val="91045248"/>
        <c:scaling>
          <c:orientation val="minMax"/>
        </c:scaling>
        <c:delete val="0"/>
        <c:axPos val="b"/>
        <c:majorTickMark val="out"/>
        <c:minorTickMark val="none"/>
        <c:tickLblPos val="nextTo"/>
        <c:crossAx val="91051136"/>
        <c:crosses val="autoZero"/>
        <c:auto val="1"/>
        <c:lblAlgn val="ctr"/>
        <c:lblOffset val="100"/>
        <c:noMultiLvlLbl val="0"/>
      </c:catAx>
      <c:valAx>
        <c:axId val="91051136"/>
        <c:scaling>
          <c:orientation val="minMax"/>
        </c:scaling>
        <c:delete val="0"/>
        <c:axPos val="l"/>
        <c:majorGridlines/>
        <c:title>
          <c:tx>
            <c:rich>
              <a:bodyPr rot="0" vert="horz"/>
              <a:lstStyle/>
              <a:p>
                <a:pPr>
                  <a:defRPr b="0"/>
                </a:pPr>
                <a:r>
                  <a:rPr lang="en-NZ" b="0"/>
                  <a:t>Percent</a:t>
                </a:r>
              </a:p>
            </c:rich>
          </c:tx>
          <c:layout>
            <c:manualLayout>
              <c:xMode val="edge"/>
              <c:yMode val="edge"/>
              <c:x val="3.8810722430188029E-4"/>
              <c:y val="2.3156605424321961E-3"/>
            </c:manualLayout>
          </c:layout>
          <c:overlay val="0"/>
        </c:title>
        <c:numFmt formatCode="0" sourceLinked="1"/>
        <c:majorTickMark val="out"/>
        <c:minorTickMark val="none"/>
        <c:tickLblPos val="nextTo"/>
        <c:crossAx val="91045248"/>
        <c:crosses val="autoZero"/>
        <c:crossBetween val="between"/>
      </c:valAx>
    </c:plotArea>
    <c:legend>
      <c:legendPos val="r"/>
      <c:layout>
        <c:manualLayout>
          <c:xMode val="edge"/>
          <c:yMode val="edge"/>
          <c:x val="0.26730390258594727"/>
          <c:y val="9.7459251094344876E-2"/>
          <c:w val="0.6747482896605137"/>
          <c:h val="0.10447377478772982"/>
        </c:manualLayout>
      </c:layout>
      <c:overlay val="0"/>
    </c:legend>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279495021799966E-2"/>
          <c:y val="0.10761374746342153"/>
          <c:w val="0.86370729485260622"/>
          <c:h val="0.76181760785056507"/>
        </c:manualLayout>
      </c:layout>
      <c:barChart>
        <c:barDir val="col"/>
        <c:grouping val="clustered"/>
        <c:varyColors val="0"/>
        <c:ser>
          <c:idx val="0"/>
          <c:order val="0"/>
          <c:tx>
            <c:strRef>
              <c:f>'travel further'!$C$4</c:f>
              <c:strCache>
                <c:ptCount val="1"/>
                <c:pt idx="0">
                  <c:v>Yes</c:v>
                </c:pt>
              </c:strCache>
            </c:strRef>
          </c:tx>
          <c:spPr>
            <a:solidFill>
              <a:schemeClr val="tx2">
                <a:lumMod val="40000"/>
                <a:lumOff val="60000"/>
              </a:schemeClr>
            </a:solidFill>
          </c:spPr>
          <c:invertIfNegative val="0"/>
          <c:dLbls>
            <c:dLbl>
              <c:idx val="0"/>
              <c:layout>
                <c:manualLayout>
                  <c:x val="0"/>
                  <c:y val="1.0884353741496598E-2"/>
                </c:manualLayout>
              </c:layout>
              <c:spPr>
                <a:noFill/>
              </c:spPr>
              <c:txPr>
                <a:bodyPr/>
                <a:lstStyle/>
                <a:p>
                  <a:pPr>
                    <a:defRPr sz="800"/>
                  </a:pPr>
                  <a:endParaRPr lang="en-US"/>
                </a:p>
              </c:txPr>
              <c:showLegendKey val="0"/>
              <c:showVal val="1"/>
              <c:showCatName val="0"/>
              <c:showSerName val="0"/>
              <c:showPercent val="0"/>
              <c:showBubbleSize val="0"/>
            </c:dLbl>
            <c:dLbl>
              <c:idx val="1"/>
              <c:layout>
                <c:manualLayout>
                  <c:x val="0"/>
                  <c:y val="1.0884353741496598E-2"/>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'travel further'!$F$3:$G$3</c:f>
              <c:strCache>
                <c:ptCount val="2"/>
                <c:pt idx="0">
                  <c:v>Patient telephone interviews</c:v>
                </c:pt>
                <c:pt idx="1">
                  <c:v>Patient postal survey</c:v>
                </c:pt>
              </c:strCache>
            </c:strRef>
          </c:cat>
          <c:val>
            <c:numRef>
              <c:f>'travel further'!$F$4:$G$4</c:f>
              <c:numCache>
                <c:formatCode>0</c:formatCode>
                <c:ptCount val="2"/>
                <c:pt idx="0">
                  <c:v>78.571428571428569</c:v>
                </c:pt>
                <c:pt idx="1">
                  <c:v>85.714285714285708</c:v>
                </c:pt>
              </c:numCache>
            </c:numRef>
          </c:val>
        </c:ser>
        <c:ser>
          <c:idx val="1"/>
          <c:order val="1"/>
          <c:tx>
            <c:strRef>
              <c:f>'travel further'!$C$5</c:f>
              <c:strCache>
                <c:ptCount val="1"/>
                <c:pt idx="0">
                  <c:v>No</c:v>
                </c:pt>
              </c:strCache>
            </c:strRef>
          </c:tx>
          <c:invertIfNegative val="0"/>
          <c:dLbls>
            <c:dLbl>
              <c:idx val="0"/>
              <c:layout>
                <c:manualLayout>
                  <c:x val="6.1728395061728392E-3"/>
                  <c:y val="1.6326530612244899E-2"/>
                </c:manualLayout>
              </c:layout>
              <c:spPr>
                <a:noFill/>
              </c:spPr>
              <c:txPr>
                <a:bodyPr/>
                <a:lstStyle/>
                <a:p>
                  <a:pPr>
                    <a:defRPr sz="800"/>
                  </a:pPr>
                  <a:endParaRPr lang="en-US"/>
                </a:p>
              </c:txPr>
              <c:showLegendKey val="0"/>
              <c:showVal val="1"/>
              <c:showCatName val="0"/>
              <c:showSerName val="0"/>
              <c:showPercent val="0"/>
              <c:showBubbleSize val="0"/>
            </c:dLbl>
            <c:dLbl>
              <c:idx val="1"/>
              <c:layout>
                <c:manualLayout>
                  <c:x val="0"/>
                  <c:y val="1.0884353741496598E-2"/>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'travel further'!$F$3:$G$3</c:f>
              <c:strCache>
                <c:ptCount val="2"/>
                <c:pt idx="0">
                  <c:v>Patient telephone interviews</c:v>
                </c:pt>
                <c:pt idx="1">
                  <c:v>Patient postal survey</c:v>
                </c:pt>
              </c:strCache>
            </c:strRef>
          </c:cat>
          <c:val>
            <c:numRef>
              <c:f>'travel further'!$F$5:$G$5</c:f>
              <c:numCache>
                <c:formatCode>0</c:formatCode>
                <c:ptCount val="2"/>
                <c:pt idx="0">
                  <c:v>21.428571428571427</c:v>
                </c:pt>
                <c:pt idx="1">
                  <c:v>14.285714285714285</c:v>
                </c:pt>
              </c:numCache>
            </c:numRef>
          </c:val>
        </c:ser>
        <c:dLbls>
          <c:showLegendKey val="0"/>
          <c:showVal val="0"/>
          <c:showCatName val="0"/>
          <c:showSerName val="0"/>
          <c:showPercent val="0"/>
          <c:showBubbleSize val="0"/>
        </c:dLbls>
        <c:gapWidth val="238"/>
        <c:axId val="91098112"/>
        <c:axId val="91104000"/>
      </c:barChart>
      <c:catAx>
        <c:axId val="91098112"/>
        <c:scaling>
          <c:orientation val="minMax"/>
        </c:scaling>
        <c:delete val="0"/>
        <c:axPos val="b"/>
        <c:majorTickMark val="out"/>
        <c:minorTickMark val="none"/>
        <c:tickLblPos val="nextTo"/>
        <c:crossAx val="91104000"/>
        <c:crosses val="autoZero"/>
        <c:auto val="1"/>
        <c:lblAlgn val="ctr"/>
        <c:lblOffset val="100"/>
        <c:noMultiLvlLbl val="0"/>
      </c:catAx>
      <c:valAx>
        <c:axId val="91104000"/>
        <c:scaling>
          <c:orientation val="minMax"/>
          <c:max val="100"/>
        </c:scaling>
        <c:delete val="0"/>
        <c:axPos val="l"/>
        <c:majorGridlines/>
        <c:title>
          <c:tx>
            <c:rich>
              <a:bodyPr rot="0" vert="horz"/>
              <a:lstStyle/>
              <a:p>
                <a:pPr>
                  <a:defRPr b="0"/>
                </a:pPr>
                <a:r>
                  <a:rPr lang="en-NZ" b="0"/>
                  <a:t>Percent</a:t>
                </a:r>
              </a:p>
            </c:rich>
          </c:tx>
          <c:layout>
            <c:manualLayout>
              <c:xMode val="edge"/>
              <c:yMode val="edge"/>
              <c:x val="1.5978905414600953E-3"/>
              <c:y val="3.7671005410038032E-3"/>
            </c:manualLayout>
          </c:layout>
          <c:overlay val="0"/>
        </c:title>
        <c:numFmt formatCode="0" sourceLinked="1"/>
        <c:majorTickMark val="out"/>
        <c:minorTickMark val="none"/>
        <c:tickLblPos val="nextTo"/>
        <c:crossAx val="91098112"/>
        <c:crosses val="autoZero"/>
        <c:crossBetween val="between"/>
      </c:valAx>
    </c:plotArea>
    <c:legend>
      <c:legendPos val="r"/>
      <c:layout>
        <c:manualLayout>
          <c:xMode val="edge"/>
          <c:yMode val="edge"/>
          <c:x val="0.2601510670894645"/>
          <c:y val="9.7459112875514523E-2"/>
          <c:w val="0.37095521430861866"/>
          <c:h val="0.10447377478772982"/>
        </c:manualLayout>
      </c:layout>
      <c:overlay val="0"/>
    </c:legend>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678120723956664E-2"/>
          <c:y val="0.13251538940661778"/>
          <c:w val="0.84869111480586834"/>
          <c:h val="0.76850591789233891"/>
        </c:manualLayout>
      </c:layout>
      <c:barChart>
        <c:barDir val="col"/>
        <c:grouping val="clustered"/>
        <c:varyColors val="0"/>
        <c:ser>
          <c:idx val="0"/>
          <c:order val="0"/>
          <c:tx>
            <c:strRef>
              <c:f>'actual against contract'!$C$16</c:f>
              <c:strCache>
                <c:ptCount val="1"/>
                <c:pt idx="0">
                  <c:v>Contractual target</c:v>
                </c:pt>
              </c:strCache>
            </c:strRef>
          </c:tx>
          <c:spPr>
            <a:solidFill>
              <a:schemeClr val="tx2">
                <a:lumMod val="40000"/>
                <a:lumOff val="60000"/>
              </a:schemeClr>
            </a:solidFill>
          </c:spPr>
          <c:invertIfNegative val="0"/>
          <c:cat>
            <c:strRef>
              <c:f>'actual against contract'!$B$17:$B$23</c:f>
              <c:strCache>
                <c:ptCount val="7"/>
                <c:pt idx="0">
                  <c:v>2006/07</c:v>
                </c:pt>
                <c:pt idx="1">
                  <c:v>2007/08</c:v>
                </c:pt>
                <c:pt idx="2">
                  <c:v>2008/09</c:v>
                </c:pt>
                <c:pt idx="3">
                  <c:v>2009/10</c:v>
                </c:pt>
                <c:pt idx="4">
                  <c:v>2010/11</c:v>
                </c:pt>
                <c:pt idx="5">
                  <c:v>2011/12</c:v>
                </c:pt>
                <c:pt idx="6">
                  <c:v>2012/13</c:v>
                </c:pt>
              </c:strCache>
            </c:strRef>
          </c:cat>
          <c:val>
            <c:numRef>
              <c:f>'actual against contract'!$C$17:$C$23</c:f>
              <c:numCache>
                <c:formatCode>#,##0</c:formatCode>
                <c:ptCount val="7"/>
                <c:pt idx="0">
                  <c:v>470</c:v>
                </c:pt>
                <c:pt idx="1">
                  <c:v>705</c:v>
                </c:pt>
                <c:pt idx="2">
                  <c:v>705</c:v>
                </c:pt>
                <c:pt idx="3">
                  <c:v>705</c:v>
                </c:pt>
                <c:pt idx="4">
                  <c:v>705</c:v>
                </c:pt>
                <c:pt idx="5">
                  <c:v>705</c:v>
                </c:pt>
                <c:pt idx="6">
                  <c:v>650</c:v>
                </c:pt>
              </c:numCache>
            </c:numRef>
          </c:val>
        </c:ser>
        <c:ser>
          <c:idx val="1"/>
          <c:order val="1"/>
          <c:tx>
            <c:strRef>
              <c:f>'actual against contract'!$D$16</c:f>
              <c:strCache>
                <c:ptCount val="1"/>
                <c:pt idx="0">
                  <c:v>Actual delivered</c:v>
                </c:pt>
              </c:strCache>
            </c:strRef>
          </c:tx>
          <c:invertIfNegative val="0"/>
          <c:cat>
            <c:strRef>
              <c:f>'actual against contract'!$B$17:$B$23</c:f>
              <c:strCache>
                <c:ptCount val="7"/>
                <c:pt idx="0">
                  <c:v>2006/07</c:v>
                </c:pt>
                <c:pt idx="1">
                  <c:v>2007/08</c:v>
                </c:pt>
                <c:pt idx="2">
                  <c:v>2008/09</c:v>
                </c:pt>
                <c:pt idx="3">
                  <c:v>2009/10</c:v>
                </c:pt>
                <c:pt idx="4">
                  <c:v>2010/11</c:v>
                </c:pt>
                <c:pt idx="5">
                  <c:v>2011/12</c:v>
                </c:pt>
                <c:pt idx="6">
                  <c:v>2012/13</c:v>
                </c:pt>
              </c:strCache>
            </c:strRef>
          </c:cat>
          <c:val>
            <c:numRef>
              <c:f>'actual against contract'!$D$17:$D$23</c:f>
              <c:numCache>
                <c:formatCode>#,##0</c:formatCode>
                <c:ptCount val="7"/>
                <c:pt idx="0">
                  <c:v>481.8</c:v>
                </c:pt>
                <c:pt idx="1">
                  <c:v>818</c:v>
                </c:pt>
                <c:pt idx="2">
                  <c:v>745.2</c:v>
                </c:pt>
                <c:pt idx="3">
                  <c:v>726.1</c:v>
                </c:pt>
                <c:pt idx="4">
                  <c:v>701</c:v>
                </c:pt>
                <c:pt idx="5">
                  <c:v>733.4</c:v>
                </c:pt>
                <c:pt idx="6">
                  <c:v>719.6</c:v>
                </c:pt>
              </c:numCache>
            </c:numRef>
          </c:val>
        </c:ser>
        <c:dLbls>
          <c:showLegendKey val="0"/>
          <c:showVal val="0"/>
          <c:showCatName val="0"/>
          <c:showSerName val="0"/>
          <c:showPercent val="0"/>
          <c:showBubbleSize val="0"/>
        </c:dLbls>
        <c:gapWidth val="150"/>
        <c:axId val="91137920"/>
        <c:axId val="91139456"/>
      </c:barChart>
      <c:catAx>
        <c:axId val="91137920"/>
        <c:scaling>
          <c:orientation val="minMax"/>
        </c:scaling>
        <c:delete val="0"/>
        <c:axPos val="b"/>
        <c:majorTickMark val="out"/>
        <c:minorTickMark val="none"/>
        <c:tickLblPos val="nextTo"/>
        <c:crossAx val="91139456"/>
        <c:crosses val="autoZero"/>
        <c:auto val="1"/>
        <c:lblAlgn val="ctr"/>
        <c:lblOffset val="100"/>
        <c:noMultiLvlLbl val="0"/>
      </c:catAx>
      <c:valAx>
        <c:axId val="91139456"/>
        <c:scaling>
          <c:orientation val="minMax"/>
          <c:max val="1000"/>
        </c:scaling>
        <c:delete val="0"/>
        <c:axPos val="l"/>
        <c:majorGridlines/>
        <c:title>
          <c:tx>
            <c:rich>
              <a:bodyPr rot="0" vert="horz"/>
              <a:lstStyle/>
              <a:p>
                <a:pPr algn="l">
                  <a:defRPr b="0"/>
                </a:pPr>
                <a:r>
                  <a:rPr lang="en-NZ" b="0"/>
                  <a:t>Case weighted discharges</a:t>
                </a:r>
              </a:p>
            </c:rich>
          </c:tx>
          <c:layout>
            <c:manualLayout>
              <c:xMode val="edge"/>
              <c:yMode val="edge"/>
              <c:x val="6.4100809024524464E-4"/>
              <c:y val="1.110438118312134E-3"/>
            </c:manualLayout>
          </c:layout>
          <c:overlay val="0"/>
        </c:title>
        <c:numFmt formatCode="#,##0" sourceLinked="1"/>
        <c:majorTickMark val="out"/>
        <c:minorTickMark val="none"/>
        <c:tickLblPos val="nextTo"/>
        <c:crossAx val="91137920"/>
        <c:crosses val="autoZero"/>
        <c:crossBetween val="between"/>
      </c:valAx>
    </c:plotArea>
    <c:legend>
      <c:legendPos val="r"/>
      <c:layout>
        <c:manualLayout>
          <c:xMode val="edge"/>
          <c:yMode val="edge"/>
          <c:x val="0.42905905992520166"/>
          <c:y val="0.13111771405932748"/>
          <c:w val="0.4838586294607532"/>
          <c:h val="8.2262652810130676E-2"/>
        </c:manualLayout>
      </c:layout>
      <c:overlay val="0"/>
      <c:txPr>
        <a:bodyPr/>
        <a:lstStyle/>
        <a:p>
          <a:pPr>
            <a:defRPr sz="1000"/>
          </a:pPr>
          <a:endParaRPr lang="en-US"/>
        </a:p>
      </c:txPr>
    </c:legend>
    <c:plotVisOnly val="1"/>
    <c:dispBlanksAs val="gap"/>
    <c:showDLblsOverMax val="0"/>
  </c:chart>
  <c:spPr>
    <a:ln>
      <a:noFill/>
    </a:ln>
  </c:spPr>
  <c:txPr>
    <a:bodyPr/>
    <a:lstStyle/>
    <a:p>
      <a:pPr>
        <a:defRPr sz="900">
          <a:latin typeface="Garamond" panose="020204040303010108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24203902223065"/>
          <c:y val="0.10108280191211839"/>
          <c:w val="0.86634335768269932"/>
          <c:h val="0.78631298464117849"/>
        </c:manualLayout>
      </c:layout>
      <c:barChart>
        <c:barDir val="col"/>
        <c:grouping val="clustered"/>
        <c:varyColors val="0"/>
        <c:ser>
          <c:idx val="0"/>
          <c:order val="0"/>
          <c:tx>
            <c:strRef>
              <c:f>'Interview survey results'!$I$45</c:f>
              <c:strCache>
                <c:ptCount val="1"/>
                <c:pt idx="0">
                  <c:v>Age (Years)</c:v>
                </c:pt>
              </c:strCache>
            </c:strRef>
          </c:tx>
          <c:spPr>
            <a:solidFill>
              <a:schemeClr val="accent1"/>
            </a:solidFill>
          </c:spPr>
          <c:invertIfNegative val="0"/>
          <c:dLbls>
            <c:dLbl>
              <c:idx val="0"/>
              <c:layout>
                <c:manualLayout>
                  <c:x val="0"/>
                  <c:y val="2.2618035871136324E-2"/>
                </c:manualLayout>
              </c:layout>
              <c:showLegendKey val="0"/>
              <c:showVal val="1"/>
              <c:showCatName val="0"/>
              <c:showSerName val="0"/>
              <c:showPercent val="0"/>
              <c:showBubbleSize val="0"/>
            </c:dLbl>
            <c:dLbl>
              <c:idx val="3"/>
              <c:layout>
                <c:manualLayout>
                  <c:x val="0"/>
                  <c:y val="2.44881889763779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'Interview survey results'!$H$46:$H$49</c:f>
              <c:strCache>
                <c:ptCount val="4"/>
                <c:pt idx="0">
                  <c:v>0-10</c:v>
                </c:pt>
                <c:pt idx="1">
                  <c:v>11 to 20</c:v>
                </c:pt>
                <c:pt idx="2">
                  <c:v>21 to 64</c:v>
                </c:pt>
                <c:pt idx="3">
                  <c:v>65 +</c:v>
                </c:pt>
              </c:strCache>
            </c:strRef>
          </c:cat>
          <c:val>
            <c:numRef>
              <c:f>'Interview survey results'!$I$46:$I$49</c:f>
              <c:numCache>
                <c:formatCode>0%</c:formatCode>
                <c:ptCount val="4"/>
                <c:pt idx="0">
                  <c:v>0.6428571428571429</c:v>
                </c:pt>
                <c:pt idx="1">
                  <c:v>0.10714285714285714</c:v>
                </c:pt>
                <c:pt idx="2">
                  <c:v>0.10714285714285714</c:v>
                </c:pt>
                <c:pt idx="3">
                  <c:v>0.14285714285714285</c:v>
                </c:pt>
              </c:numCache>
            </c:numRef>
          </c:val>
        </c:ser>
        <c:dLbls>
          <c:showLegendKey val="0"/>
          <c:showVal val="0"/>
          <c:showCatName val="0"/>
          <c:showSerName val="0"/>
          <c:showPercent val="0"/>
          <c:showBubbleSize val="0"/>
        </c:dLbls>
        <c:gapWidth val="150"/>
        <c:axId val="97825152"/>
        <c:axId val="97826688"/>
      </c:barChart>
      <c:catAx>
        <c:axId val="97825152"/>
        <c:scaling>
          <c:orientation val="minMax"/>
        </c:scaling>
        <c:delete val="0"/>
        <c:axPos val="b"/>
        <c:majorTickMark val="out"/>
        <c:minorTickMark val="none"/>
        <c:tickLblPos val="nextTo"/>
        <c:crossAx val="97826688"/>
        <c:crosses val="autoZero"/>
        <c:auto val="1"/>
        <c:lblAlgn val="ctr"/>
        <c:lblOffset val="100"/>
        <c:noMultiLvlLbl val="0"/>
      </c:catAx>
      <c:valAx>
        <c:axId val="97826688"/>
        <c:scaling>
          <c:orientation val="minMax"/>
        </c:scaling>
        <c:delete val="0"/>
        <c:axPos val="l"/>
        <c:majorGridlines/>
        <c:title>
          <c:tx>
            <c:rich>
              <a:bodyPr rot="0" vert="horz"/>
              <a:lstStyle/>
              <a:p>
                <a:pPr>
                  <a:defRPr b="0"/>
                </a:pPr>
                <a:r>
                  <a:rPr lang="en-NZ" b="0"/>
                  <a:t>Percent</a:t>
                </a:r>
              </a:p>
            </c:rich>
          </c:tx>
          <c:layout>
            <c:manualLayout>
              <c:xMode val="edge"/>
              <c:yMode val="edge"/>
              <c:x val="0"/>
              <c:y val="1.0937796273564664E-4"/>
            </c:manualLayout>
          </c:layout>
          <c:overlay val="0"/>
        </c:title>
        <c:numFmt formatCode="0%" sourceLinked="1"/>
        <c:majorTickMark val="out"/>
        <c:minorTickMark val="none"/>
        <c:tickLblPos val="nextTo"/>
        <c:crossAx val="97825152"/>
        <c:crosses val="autoZero"/>
        <c:crossBetween val="between"/>
      </c:valAx>
    </c:plotArea>
    <c:plotVisOnly val="1"/>
    <c:dispBlanksAs val="gap"/>
    <c:showDLblsOverMax val="0"/>
  </c:chart>
  <c:spPr>
    <a:ln>
      <a:noFill/>
    </a:ln>
  </c:spPr>
  <c:txPr>
    <a:bodyPr/>
    <a:lstStyle/>
    <a:p>
      <a:pPr>
        <a:defRPr>
          <a:latin typeface="Garamond" panose="020204040303010108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4581012739261"/>
          <c:y val="0.12835204110124532"/>
          <c:w val="0.86088675500928247"/>
          <c:h val="0.75832423074775224"/>
        </c:manualLayout>
      </c:layout>
      <c:barChart>
        <c:barDir val="col"/>
        <c:grouping val="clustered"/>
        <c:varyColors val="0"/>
        <c:ser>
          <c:idx val="0"/>
          <c:order val="0"/>
          <c:spPr>
            <a:solidFill>
              <a:schemeClr val="accent1"/>
            </a:solidFill>
          </c:spPr>
          <c:invertIfNegative val="0"/>
          <c:dLbls>
            <c:dLbl>
              <c:idx val="0"/>
              <c:layout>
                <c:manualLayout>
                  <c:x val="0"/>
                  <c:y val="2.2618035871136324E-2"/>
                </c:manualLayout>
              </c:layout>
              <c:showLegendKey val="0"/>
              <c:showVal val="1"/>
              <c:showCatName val="0"/>
              <c:showSerName val="0"/>
              <c:showPercent val="0"/>
              <c:showBubbleSize val="0"/>
            </c:dLbl>
            <c:dLbl>
              <c:idx val="1"/>
              <c:layout>
                <c:manualLayout>
                  <c:x val="0"/>
                  <c:y val="1.7021276595744577E-2"/>
                </c:manualLayout>
              </c:layout>
              <c:showLegendKey val="0"/>
              <c:showVal val="1"/>
              <c:showCatName val="0"/>
              <c:showSerName val="0"/>
              <c:showPercent val="0"/>
              <c:showBubbleSize val="0"/>
            </c:dLbl>
            <c:dLbl>
              <c:idx val="3"/>
              <c:layout>
                <c:manualLayout>
                  <c:x val="3.2520325203252032E-3"/>
                  <c:y val="1.7021276595744681E-2"/>
                </c:manualLayout>
              </c:layout>
              <c:spPr>
                <a:solidFill>
                  <a:schemeClr val="bg1"/>
                </a:solidFill>
              </c:spPr>
              <c:txPr>
                <a:bodyPr/>
                <a:lstStyle/>
                <a:p>
                  <a:pPr>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'Hard survey results'!$I$4:$L$4</c:f>
              <c:strCache>
                <c:ptCount val="4"/>
                <c:pt idx="0">
                  <c:v>0-10</c:v>
                </c:pt>
                <c:pt idx="1">
                  <c:v>11 to 20</c:v>
                </c:pt>
                <c:pt idx="2">
                  <c:v>21 to 64</c:v>
                </c:pt>
                <c:pt idx="3">
                  <c:v>65 +</c:v>
                </c:pt>
              </c:strCache>
            </c:strRef>
          </c:cat>
          <c:val>
            <c:numRef>
              <c:f>'Hard survey results'!$I$5:$L$5</c:f>
              <c:numCache>
                <c:formatCode>0%</c:formatCode>
                <c:ptCount val="4"/>
                <c:pt idx="0">
                  <c:v>0.11904761904761904</c:v>
                </c:pt>
                <c:pt idx="1">
                  <c:v>2.3809523809523808E-2</c:v>
                </c:pt>
                <c:pt idx="2">
                  <c:v>0.40476190476190477</c:v>
                </c:pt>
                <c:pt idx="3">
                  <c:v>0.45238095238095238</c:v>
                </c:pt>
              </c:numCache>
            </c:numRef>
          </c:val>
        </c:ser>
        <c:dLbls>
          <c:showLegendKey val="0"/>
          <c:showVal val="0"/>
          <c:showCatName val="0"/>
          <c:showSerName val="0"/>
          <c:showPercent val="0"/>
          <c:showBubbleSize val="0"/>
        </c:dLbls>
        <c:gapWidth val="150"/>
        <c:axId val="97847552"/>
        <c:axId val="97853440"/>
      </c:barChart>
      <c:catAx>
        <c:axId val="97847552"/>
        <c:scaling>
          <c:orientation val="minMax"/>
        </c:scaling>
        <c:delete val="0"/>
        <c:axPos val="b"/>
        <c:majorTickMark val="out"/>
        <c:minorTickMark val="none"/>
        <c:tickLblPos val="nextTo"/>
        <c:crossAx val="97853440"/>
        <c:crosses val="autoZero"/>
        <c:auto val="1"/>
        <c:lblAlgn val="ctr"/>
        <c:lblOffset val="100"/>
        <c:noMultiLvlLbl val="0"/>
      </c:catAx>
      <c:valAx>
        <c:axId val="97853440"/>
        <c:scaling>
          <c:orientation val="minMax"/>
          <c:max val="0.70000000000000007"/>
        </c:scaling>
        <c:delete val="0"/>
        <c:axPos val="l"/>
        <c:majorGridlines/>
        <c:title>
          <c:tx>
            <c:rich>
              <a:bodyPr rot="0" vert="horz"/>
              <a:lstStyle/>
              <a:p>
                <a:pPr>
                  <a:defRPr b="0"/>
                </a:pPr>
                <a:r>
                  <a:rPr lang="en-NZ" b="0"/>
                  <a:t>Percent</a:t>
                </a:r>
              </a:p>
            </c:rich>
          </c:tx>
          <c:layout>
            <c:manualLayout>
              <c:xMode val="edge"/>
              <c:yMode val="edge"/>
              <c:x val="8.363825073562146E-3"/>
              <c:y val="1.1269320501603947E-2"/>
            </c:manualLayout>
          </c:layout>
          <c:overlay val="0"/>
        </c:title>
        <c:numFmt formatCode="0%" sourceLinked="1"/>
        <c:majorTickMark val="out"/>
        <c:minorTickMark val="none"/>
        <c:tickLblPos val="nextTo"/>
        <c:crossAx val="97847552"/>
        <c:crosses val="autoZero"/>
        <c:crossBetween val="between"/>
      </c:valAx>
    </c:plotArea>
    <c:plotVisOnly val="1"/>
    <c:dispBlanksAs val="gap"/>
    <c:showDLblsOverMax val="0"/>
  </c:chart>
  <c:spPr>
    <a:ln>
      <a:noFill/>
    </a:ln>
  </c:spPr>
  <c:txPr>
    <a:bodyPr/>
    <a:lstStyle/>
    <a:p>
      <a:pPr>
        <a:defRPr>
          <a:latin typeface="Garamond" panose="020204040303010108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2267973631248"/>
          <c:y val="0.15493116134475851"/>
          <c:w val="0.61097854858554257"/>
          <c:h val="0.84284267455929951"/>
        </c:manualLayout>
      </c:layout>
      <c:pieChart>
        <c:varyColors val="1"/>
        <c:ser>
          <c:idx val="0"/>
          <c:order val="0"/>
          <c:tx>
            <c:strRef>
              <c:f>'record of interviews'!$O$9</c:f>
              <c:strCache>
                <c:ptCount val="1"/>
                <c:pt idx="0">
                  <c:v>Count</c:v>
                </c:pt>
              </c:strCache>
            </c:strRef>
          </c:tx>
          <c:dPt>
            <c:idx val="0"/>
            <c:bubble3D val="0"/>
            <c:spPr>
              <a:solidFill>
                <a:schemeClr val="tx2">
                  <a:lumMod val="40000"/>
                  <a:lumOff val="60000"/>
                </a:schemeClr>
              </a:solidFill>
            </c:spPr>
          </c:dPt>
          <c:dPt>
            <c:idx val="3"/>
            <c:bubble3D val="0"/>
            <c:spPr>
              <a:solidFill>
                <a:schemeClr val="accent4">
                  <a:lumMod val="60000"/>
                  <a:lumOff val="40000"/>
                </a:schemeClr>
              </a:solidFill>
            </c:spPr>
          </c:dPt>
          <c:dPt>
            <c:idx val="6"/>
            <c:bubble3D val="0"/>
            <c:spPr>
              <a:solidFill>
                <a:schemeClr val="accent3">
                  <a:lumMod val="60000"/>
                  <a:lumOff val="40000"/>
                </a:schemeClr>
              </a:solidFill>
            </c:spPr>
          </c:dPt>
          <c:dPt>
            <c:idx val="8"/>
            <c:bubble3D val="0"/>
            <c:spPr>
              <a:solidFill>
                <a:schemeClr val="bg2">
                  <a:lumMod val="50000"/>
                </a:schemeClr>
              </a:solidFill>
            </c:spPr>
          </c:dPt>
          <c:dLbls>
            <c:dLbl>
              <c:idx val="0"/>
              <c:layout>
                <c:manualLayout>
                  <c:x val="-0.16781517229701126"/>
                  <c:y val="0.21108162405625228"/>
                </c:manualLayout>
              </c:layout>
              <c:showLegendKey val="0"/>
              <c:showVal val="1"/>
              <c:showCatName val="1"/>
              <c:showSerName val="0"/>
              <c:showPercent val="0"/>
              <c:showBubbleSize val="0"/>
              <c:separator>
</c:separator>
            </c:dLbl>
            <c:dLbl>
              <c:idx val="1"/>
              <c:layout>
                <c:manualLayout>
                  <c:x val="-0.15900198967064602"/>
                  <c:y val="-0.14678234665111306"/>
                </c:manualLayout>
              </c:layout>
              <c:showLegendKey val="0"/>
              <c:showVal val="1"/>
              <c:showCatName val="1"/>
              <c:showSerName val="0"/>
              <c:showPercent val="0"/>
              <c:showBubbleSize val="0"/>
              <c:separator>
</c:separator>
            </c:dLbl>
            <c:dLbl>
              <c:idx val="2"/>
              <c:layout>
                <c:manualLayout>
                  <c:x val="-3.1013885361104054E-2"/>
                  <c:y val="-4.1152263374485596E-4"/>
                </c:manualLayout>
              </c:layout>
              <c:showLegendKey val="0"/>
              <c:showVal val="1"/>
              <c:showCatName val="1"/>
              <c:showSerName val="0"/>
              <c:showPercent val="0"/>
              <c:showBubbleSize val="0"/>
              <c:separator>
</c:separator>
            </c:dLbl>
            <c:dLbl>
              <c:idx val="3"/>
              <c:layout>
                <c:manualLayout>
                  <c:x val="0.14371814410295486"/>
                  <c:y val="-0.14613330741064776"/>
                </c:manualLayout>
              </c:layout>
              <c:showLegendKey val="0"/>
              <c:showVal val="1"/>
              <c:showCatName val="1"/>
              <c:showSerName val="0"/>
              <c:showPercent val="0"/>
              <c:showBubbleSize val="0"/>
              <c:separator>
</c:separator>
            </c:dLbl>
            <c:dLbl>
              <c:idx val="4"/>
              <c:layout>
                <c:manualLayout>
                  <c:x val="0.20446342392684788"/>
                  <c:y val="1.4486244774958686E-2"/>
                </c:manualLayout>
              </c:layout>
              <c:showLegendKey val="0"/>
              <c:showVal val="1"/>
              <c:showCatName val="1"/>
              <c:showSerName val="0"/>
              <c:showPercent val="0"/>
              <c:showBubbleSize val="0"/>
              <c:separator>
</c:separator>
            </c:dLbl>
            <c:dLbl>
              <c:idx val="5"/>
              <c:layout>
                <c:manualLayout>
                  <c:x val="-1.9366477319233223E-2"/>
                  <c:y val="8.0874601418624657E-3"/>
                </c:manualLayout>
              </c:layout>
              <c:spPr>
                <a:noFill/>
              </c:spPr>
              <c:txPr>
                <a:bodyPr/>
                <a:lstStyle/>
                <a:p>
                  <a:pPr>
                    <a:defRPr/>
                  </a:pPr>
                  <a:endParaRPr lang="en-US"/>
                </a:p>
              </c:txPr>
              <c:showLegendKey val="0"/>
              <c:showVal val="1"/>
              <c:showCatName val="1"/>
              <c:showSerName val="0"/>
              <c:showPercent val="0"/>
              <c:showBubbleSize val="0"/>
              <c:separator>
</c:separator>
            </c:dLbl>
            <c:dLbl>
              <c:idx val="6"/>
              <c:layout>
                <c:manualLayout>
                  <c:x val="-8.6723743731617745E-2"/>
                  <c:y val="4.3611490712421276E-3"/>
                </c:manualLayout>
              </c:layout>
              <c:spPr>
                <a:solidFill>
                  <a:schemeClr val="bg1"/>
                </a:solidFill>
              </c:spPr>
              <c:txPr>
                <a:bodyPr/>
                <a:lstStyle/>
                <a:p>
                  <a:pPr>
                    <a:defRPr/>
                  </a:pPr>
                  <a:endParaRPr lang="en-US"/>
                </a:p>
              </c:txPr>
              <c:showLegendKey val="0"/>
              <c:showVal val="1"/>
              <c:showCatName val="1"/>
              <c:showSerName val="0"/>
              <c:showPercent val="0"/>
              <c:showBubbleSize val="0"/>
              <c:separator>
</c:separator>
            </c:dLbl>
            <c:dLbl>
              <c:idx val="7"/>
              <c:layout>
                <c:manualLayout>
                  <c:x val="-6.4287381136318766E-2"/>
                  <c:y val="9.7077907857942014E-3"/>
                </c:manualLayout>
              </c:layout>
              <c:spPr>
                <a:solidFill>
                  <a:schemeClr val="bg1"/>
                </a:solidFill>
              </c:spPr>
              <c:txPr>
                <a:bodyPr/>
                <a:lstStyle/>
                <a:p>
                  <a:pPr>
                    <a:defRPr/>
                  </a:pPr>
                  <a:endParaRPr lang="en-US"/>
                </a:p>
              </c:txPr>
              <c:showLegendKey val="0"/>
              <c:showVal val="1"/>
              <c:showCatName val="1"/>
              <c:showSerName val="0"/>
              <c:showPercent val="0"/>
              <c:showBubbleSize val="0"/>
              <c:separator>
</c:separator>
            </c:dLbl>
            <c:dLbl>
              <c:idx val="8"/>
              <c:layout>
                <c:manualLayout>
                  <c:x val="-5.6003219597550308E-2"/>
                  <c:y val="-1.8719965567038265E-2"/>
                </c:manualLayout>
              </c:layout>
              <c:showLegendKey val="0"/>
              <c:showVal val="1"/>
              <c:showCatName val="1"/>
              <c:showSerName val="0"/>
              <c:showPercent val="0"/>
              <c:showBubbleSize val="0"/>
              <c:separator>
</c:separator>
            </c:dLbl>
            <c:dLbl>
              <c:idx val="9"/>
              <c:layout>
                <c:manualLayout>
                  <c:x val="-8.4073490813648289E-4"/>
                  <c:y val="-0.13415637878805803"/>
                </c:manualLayout>
              </c:layout>
              <c:showLegendKey val="0"/>
              <c:showVal val="1"/>
              <c:showCatName val="1"/>
              <c:showSerName val="0"/>
              <c:showPercent val="0"/>
              <c:showBubbleSize val="0"/>
              <c:separator>
</c:separator>
            </c:dLbl>
            <c:dLbl>
              <c:idx val="10"/>
              <c:layout>
                <c:manualLayout>
                  <c:x val="0.11347807524059493"/>
                  <c:y val="0.16100844717716142"/>
                </c:manualLayout>
              </c:layout>
              <c:showLegendKey val="0"/>
              <c:showVal val="1"/>
              <c:showCatName val="1"/>
              <c:showSerName val="0"/>
              <c:showPercent val="0"/>
              <c:showBubbleSize val="0"/>
              <c:separator>
</c:separator>
            </c:dLbl>
            <c:spPr>
              <a:noFill/>
            </c:spPr>
            <c:showLegendKey val="0"/>
            <c:showVal val="1"/>
            <c:showCatName val="1"/>
            <c:showSerName val="0"/>
            <c:showPercent val="0"/>
            <c:showBubbleSize val="0"/>
            <c:separator>
</c:separator>
            <c:showLeaderLines val="1"/>
          </c:dLbls>
          <c:cat>
            <c:strRef>
              <c:f>'record of interviews'!$N$10:$N$18</c:f>
              <c:strCache>
                <c:ptCount val="9"/>
                <c:pt idx="0">
                  <c:v>Rural hospital managers &amp; administrators</c:v>
                </c:pt>
                <c:pt idx="1">
                  <c:v>DHB service managers &amp; coordinators</c:v>
                </c:pt>
                <c:pt idx="2">
                  <c:v>Clinical staff working on the surgical bus</c:v>
                </c:pt>
                <c:pt idx="3">
                  <c:v>Rural nurses</c:v>
                </c:pt>
                <c:pt idx="4">
                  <c:v>General practice</c:v>
                </c:pt>
                <c:pt idx="5">
                  <c:v>Community representatives</c:v>
                </c:pt>
                <c:pt idx="6">
                  <c:v>Educators</c:v>
                </c:pt>
                <c:pt idx="7">
                  <c:v>Hauora providers</c:v>
                </c:pt>
                <c:pt idx="8">
                  <c:v>Ministry of Health</c:v>
                </c:pt>
              </c:strCache>
            </c:strRef>
          </c:cat>
          <c:val>
            <c:numRef>
              <c:f>'record of interviews'!$O$10:$O$18</c:f>
              <c:numCache>
                <c:formatCode>General</c:formatCode>
                <c:ptCount val="9"/>
                <c:pt idx="0">
                  <c:v>9</c:v>
                </c:pt>
                <c:pt idx="1">
                  <c:v>5</c:v>
                </c:pt>
                <c:pt idx="2">
                  <c:v>5</c:v>
                </c:pt>
                <c:pt idx="3">
                  <c:v>5</c:v>
                </c:pt>
                <c:pt idx="4">
                  <c:v>3</c:v>
                </c:pt>
                <c:pt idx="5">
                  <c:v>2</c:v>
                </c:pt>
                <c:pt idx="6">
                  <c:v>2</c:v>
                </c:pt>
                <c:pt idx="7">
                  <c:v>2</c:v>
                </c:pt>
                <c:pt idx="8">
                  <c:v>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00743657042871E-2"/>
          <c:y val="9.4450077301981086E-2"/>
          <c:w val="0.81894510061242343"/>
          <c:h val="0.81078164886923376"/>
        </c:manualLayout>
      </c:layout>
      <c:barChart>
        <c:barDir val="col"/>
        <c:grouping val="clustered"/>
        <c:varyColors val="0"/>
        <c:ser>
          <c:idx val="0"/>
          <c:order val="0"/>
          <c:tx>
            <c:strRef>
              <c:f>'discharges v cwd'!$B$15</c:f>
              <c:strCache>
                <c:ptCount val="1"/>
                <c:pt idx="0">
                  <c:v>Sum of Treated patients</c:v>
                </c:pt>
              </c:strCache>
            </c:strRef>
          </c:tx>
          <c:spPr>
            <a:solidFill>
              <a:schemeClr val="tx2">
                <a:lumMod val="40000"/>
                <a:lumOff val="60000"/>
              </a:schemeClr>
            </a:solidFill>
          </c:spPr>
          <c:invertIfNegative val="0"/>
          <c:cat>
            <c:strRef>
              <c:f>'discharges v cwd'!$A$16:$A$22</c:f>
              <c:strCache>
                <c:ptCount val="7"/>
                <c:pt idx="0">
                  <c:v>2006/07</c:v>
                </c:pt>
                <c:pt idx="1">
                  <c:v>2007/08</c:v>
                </c:pt>
                <c:pt idx="2">
                  <c:v>2008/09</c:v>
                </c:pt>
                <c:pt idx="3">
                  <c:v>2009/10</c:v>
                </c:pt>
                <c:pt idx="4">
                  <c:v>2010/11</c:v>
                </c:pt>
                <c:pt idx="5">
                  <c:v>2011/12</c:v>
                </c:pt>
                <c:pt idx="6">
                  <c:v>2012/13</c:v>
                </c:pt>
              </c:strCache>
            </c:strRef>
          </c:cat>
          <c:val>
            <c:numRef>
              <c:f>'discharges v cwd'!$B$16:$B$22</c:f>
              <c:numCache>
                <c:formatCode>#,##0</c:formatCode>
                <c:ptCount val="7"/>
                <c:pt idx="0">
                  <c:v>1546</c:v>
                </c:pt>
                <c:pt idx="1">
                  <c:v>1686</c:v>
                </c:pt>
                <c:pt idx="2">
                  <c:v>1490</c:v>
                </c:pt>
                <c:pt idx="3">
                  <c:v>1454</c:v>
                </c:pt>
                <c:pt idx="4">
                  <c:v>1420</c:v>
                </c:pt>
                <c:pt idx="5">
                  <c:v>1473</c:v>
                </c:pt>
                <c:pt idx="6">
                  <c:v>1515</c:v>
                </c:pt>
              </c:numCache>
            </c:numRef>
          </c:val>
        </c:ser>
        <c:dLbls>
          <c:showLegendKey val="0"/>
          <c:showVal val="0"/>
          <c:showCatName val="0"/>
          <c:showSerName val="0"/>
          <c:showPercent val="0"/>
          <c:showBubbleSize val="0"/>
        </c:dLbls>
        <c:gapWidth val="150"/>
        <c:axId val="33551104"/>
        <c:axId val="33552640"/>
      </c:barChart>
      <c:catAx>
        <c:axId val="33551104"/>
        <c:scaling>
          <c:orientation val="minMax"/>
        </c:scaling>
        <c:delete val="0"/>
        <c:axPos val="b"/>
        <c:majorTickMark val="out"/>
        <c:minorTickMark val="none"/>
        <c:tickLblPos val="nextTo"/>
        <c:crossAx val="33552640"/>
        <c:crosses val="autoZero"/>
        <c:auto val="1"/>
        <c:lblAlgn val="ctr"/>
        <c:lblOffset val="100"/>
        <c:noMultiLvlLbl val="0"/>
      </c:catAx>
      <c:valAx>
        <c:axId val="33552640"/>
        <c:scaling>
          <c:orientation val="minMax"/>
          <c:min val="0"/>
        </c:scaling>
        <c:delete val="0"/>
        <c:axPos val="l"/>
        <c:majorGridlines/>
        <c:title>
          <c:tx>
            <c:rich>
              <a:bodyPr rot="0" vert="horz"/>
              <a:lstStyle/>
              <a:p>
                <a:pPr>
                  <a:defRPr b="0"/>
                </a:pPr>
                <a:r>
                  <a:rPr lang="en-NZ" b="0"/>
                  <a:t>Discharges</a:t>
                </a:r>
              </a:p>
            </c:rich>
          </c:tx>
          <c:layout>
            <c:manualLayout>
              <c:xMode val="edge"/>
              <c:yMode val="edge"/>
              <c:x val="1.5223097112860894E-3"/>
              <c:y val="5.0515945780750006E-4"/>
            </c:manualLayout>
          </c:layout>
          <c:overlay val="0"/>
        </c:title>
        <c:numFmt formatCode="#,##0" sourceLinked="1"/>
        <c:majorTickMark val="out"/>
        <c:minorTickMark val="none"/>
        <c:tickLblPos val="nextTo"/>
        <c:crossAx val="33551104"/>
        <c:crosses val="autoZero"/>
        <c:crossBetween val="between"/>
      </c:valAx>
    </c:plotArea>
    <c:plotVisOnly val="1"/>
    <c:dispBlanksAs val="gap"/>
    <c:showDLblsOverMax val="0"/>
  </c:chart>
  <c:spPr>
    <a:ln>
      <a:noFill/>
    </a:ln>
  </c:spPr>
  <c:txPr>
    <a:bodyPr/>
    <a:lstStyle/>
    <a:p>
      <a:pPr>
        <a:defRPr>
          <a:latin typeface="Garamond" panose="020204040303010108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03451537531556"/>
          <c:y val="0.14552755905511811"/>
          <c:w val="0.6620664022836561"/>
          <c:h val="0.79564120274439376"/>
        </c:manualLayout>
      </c:layout>
      <c:pieChart>
        <c:varyColors val="1"/>
        <c:ser>
          <c:idx val="0"/>
          <c:order val="0"/>
          <c:tx>
            <c:strRef>
              <c:f>'pivot Spec'!$X$4</c:f>
              <c:strCache>
                <c:ptCount val="1"/>
                <c:pt idx="0">
                  <c:v>2011/12 - 2012/13</c:v>
                </c:pt>
              </c:strCache>
            </c:strRef>
          </c:tx>
          <c:dPt>
            <c:idx val="0"/>
            <c:bubble3D val="0"/>
            <c:spPr>
              <a:solidFill>
                <a:schemeClr val="tx2">
                  <a:lumMod val="40000"/>
                  <a:lumOff val="60000"/>
                </a:schemeClr>
              </a:solidFill>
            </c:spPr>
          </c:dPt>
          <c:dPt>
            <c:idx val="3"/>
            <c:bubble3D val="0"/>
            <c:spPr>
              <a:solidFill>
                <a:schemeClr val="accent4">
                  <a:lumMod val="60000"/>
                  <a:lumOff val="40000"/>
                </a:schemeClr>
              </a:solidFill>
            </c:spPr>
          </c:dPt>
          <c:dLbls>
            <c:dLbl>
              <c:idx val="0"/>
              <c:layout>
                <c:manualLayout>
                  <c:x val="-0.174934864793277"/>
                  <c:y val="9.5192759995909607E-2"/>
                </c:manualLayout>
              </c:layout>
              <c:showLegendKey val="0"/>
              <c:showVal val="0"/>
              <c:showCatName val="1"/>
              <c:showSerName val="0"/>
              <c:showPercent val="1"/>
              <c:showBubbleSize val="0"/>
              <c:separator>
</c:separator>
            </c:dLbl>
            <c:dLbl>
              <c:idx val="1"/>
              <c:layout>
                <c:manualLayout>
                  <c:x val="6.5488999746935936E-3"/>
                  <c:y val="-9.8104021316919435E-2"/>
                </c:manualLayout>
              </c:layout>
              <c:showLegendKey val="0"/>
              <c:showVal val="0"/>
              <c:showCatName val="1"/>
              <c:showSerName val="0"/>
              <c:showPercent val="1"/>
              <c:showBubbleSize val="0"/>
              <c:separator>
</c:separator>
            </c:dLbl>
            <c:dLbl>
              <c:idx val="2"/>
              <c:layout>
                <c:manualLayout>
                  <c:x val="0.15536234720754941"/>
                  <c:y val="-3.1602272772069104E-2"/>
                </c:manualLayout>
              </c:layout>
              <c:spPr>
                <a:noFill/>
              </c:spPr>
              <c:txPr>
                <a:bodyPr/>
                <a:lstStyle/>
                <a:p>
                  <a:pPr>
                    <a:defRPr/>
                  </a:pPr>
                  <a:endParaRPr lang="en-US"/>
                </a:p>
              </c:txPr>
              <c:showLegendKey val="0"/>
              <c:showVal val="0"/>
              <c:showCatName val="1"/>
              <c:showSerName val="0"/>
              <c:showPercent val="1"/>
              <c:showBubbleSize val="0"/>
              <c:separator>
</c:separator>
            </c:dLbl>
            <c:dLbl>
              <c:idx val="3"/>
              <c:layout>
                <c:manualLayout>
                  <c:x val="-3.6593313663954304E-2"/>
                  <c:y val="9.2807345570098052E-2"/>
                </c:manualLayout>
              </c:layout>
              <c:spPr/>
              <c:txPr>
                <a:bodyPr/>
                <a:lstStyle/>
                <a:p>
                  <a:pPr>
                    <a:defRPr sz="900"/>
                  </a:pPr>
                  <a:endParaRPr lang="en-US"/>
                </a:p>
              </c:txPr>
              <c:showLegendKey val="0"/>
              <c:showVal val="0"/>
              <c:showCatName val="1"/>
              <c:showSerName val="0"/>
              <c:showPercent val="1"/>
              <c:showBubbleSize val="0"/>
              <c:separator>
</c:separator>
            </c:dLbl>
            <c:dLbl>
              <c:idx val="4"/>
              <c:layout>
                <c:manualLayout>
                  <c:x val="-5.5176000032135117E-2"/>
                  <c:y val="8.96072133591099E-2"/>
                </c:manualLayout>
              </c:layout>
              <c:spPr/>
              <c:txPr>
                <a:bodyPr/>
                <a:lstStyle/>
                <a:p>
                  <a:pPr>
                    <a:defRPr sz="900"/>
                  </a:pPr>
                  <a:endParaRPr lang="en-US"/>
                </a:p>
              </c:txPr>
              <c:showLegendKey val="0"/>
              <c:showVal val="0"/>
              <c:showCatName val="1"/>
              <c:showSerName val="0"/>
              <c:showPercent val="1"/>
              <c:showBubbleSize val="0"/>
              <c:separator>
</c:separator>
            </c:dLbl>
            <c:dLbl>
              <c:idx val="5"/>
              <c:layout>
                <c:manualLayout>
                  <c:x val="-6.9704177967212677E-2"/>
                  <c:y val="7.1202100526314205E-2"/>
                </c:manualLayout>
              </c:layout>
              <c:spPr>
                <a:noFill/>
              </c:spPr>
              <c:txPr>
                <a:bodyPr/>
                <a:lstStyle/>
                <a:p>
                  <a:pPr>
                    <a:defRPr sz="900"/>
                  </a:pPr>
                  <a:endParaRPr lang="en-US"/>
                </a:p>
              </c:txPr>
              <c:showLegendKey val="0"/>
              <c:showVal val="0"/>
              <c:showCatName val="1"/>
              <c:showSerName val="0"/>
              <c:showPercent val="1"/>
              <c:showBubbleSize val="0"/>
              <c:separator>
</c:separator>
            </c:dLbl>
            <c:dLbl>
              <c:idx val="6"/>
              <c:layout>
                <c:manualLayout>
                  <c:x val="-6.9483938621147531E-2"/>
                  <c:y val="-1.9183614318148884E-2"/>
                </c:manualLayout>
              </c:layout>
              <c:spPr/>
              <c:txPr>
                <a:bodyPr/>
                <a:lstStyle/>
                <a:p>
                  <a:pPr>
                    <a:defRPr sz="900"/>
                  </a:pPr>
                  <a:endParaRPr lang="en-US"/>
                </a:p>
              </c:txPr>
              <c:showLegendKey val="0"/>
              <c:showVal val="0"/>
              <c:showCatName val="1"/>
              <c:showSerName val="0"/>
              <c:showPercent val="1"/>
              <c:showBubbleSize val="0"/>
              <c:separator>
</c:separator>
            </c:dLbl>
            <c:dLbl>
              <c:idx val="7"/>
              <c:layout>
                <c:manualLayout>
                  <c:x val="7.8628784540618613E-2"/>
                  <c:y val="-3.1954382895120564E-2"/>
                </c:manualLayout>
              </c:layout>
              <c:tx>
                <c:rich>
                  <a:bodyPr/>
                  <a:lstStyle/>
                  <a:p>
                    <a:pPr>
                      <a:defRPr sz="900"/>
                    </a:pPr>
                    <a:r>
                      <a:rPr lang="en-US" sz="900"/>
                      <a:t>Ophthalmology
1%</a:t>
                    </a:r>
                  </a:p>
                </c:rich>
              </c:tx>
              <c:spPr>
                <a:noFill/>
              </c:spPr>
              <c:showLegendKey val="0"/>
              <c:showVal val="0"/>
              <c:showCatName val="1"/>
              <c:showSerName val="0"/>
              <c:showPercent val="1"/>
              <c:showBubbleSize val="0"/>
              <c:separator>
</c:separator>
            </c:dLbl>
            <c:dLbl>
              <c:idx val="8"/>
              <c:layout>
                <c:manualLayout>
                  <c:x val="0.14632743899713266"/>
                  <c:y val="3.0907583920430998E-2"/>
                </c:manualLayout>
              </c:layout>
              <c:showLegendKey val="0"/>
              <c:showVal val="0"/>
              <c:showCatName val="1"/>
              <c:showSerName val="0"/>
              <c:showPercent val="1"/>
              <c:showBubbleSize val="0"/>
              <c:separator>
</c:separator>
            </c:dLbl>
            <c:dLbl>
              <c:idx val="9"/>
              <c:layout>
                <c:manualLayout>
                  <c:x val="-8.4073490813648289E-4"/>
                  <c:y val="-0.13415637878805803"/>
                </c:manualLayout>
              </c:layout>
              <c:showLegendKey val="0"/>
              <c:showVal val="0"/>
              <c:showCatName val="1"/>
              <c:showSerName val="0"/>
              <c:showPercent val="1"/>
              <c:showBubbleSize val="0"/>
              <c:separator>
</c:separator>
            </c:dLbl>
            <c:dLbl>
              <c:idx val="10"/>
              <c:layout>
                <c:manualLayout>
                  <c:x val="0.11347807524059493"/>
                  <c:y val="0.16100844717716142"/>
                </c:manualLayout>
              </c:layout>
              <c:showLegendKey val="0"/>
              <c:showVal val="0"/>
              <c:showCatName val="1"/>
              <c:showSerName val="0"/>
              <c:showPercent val="1"/>
              <c:showBubbleSize val="0"/>
              <c:separator>
</c:separator>
            </c:dLbl>
            <c:showLegendKey val="0"/>
            <c:showVal val="0"/>
            <c:showCatName val="1"/>
            <c:showSerName val="0"/>
            <c:showPercent val="1"/>
            <c:showBubbleSize val="0"/>
            <c:separator>
</c:separator>
            <c:showLeaderLines val="1"/>
          </c:dLbls>
          <c:cat>
            <c:strRef>
              <c:f>'pivot Spec'!$W$5:$W$13</c:f>
              <c:strCache>
                <c:ptCount val="9"/>
                <c:pt idx="0">
                  <c:v>Dental</c:v>
                </c:pt>
                <c:pt idx="1">
                  <c:v>Endoscopy</c:v>
                </c:pt>
                <c:pt idx="2">
                  <c:v>General surgery</c:v>
                </c:pt>
                <c:pt idx="3">
                  <c:v>Orthpaedics</c:v>
                </c:pt>
                <c:pt idx="4">
                  <c:v>Gynaecology</c:v>
                </c:pt>
                <c:pt idx="5">
                  <c:v>Ear, nose and throat</c:v>
                </c:pt>
                <c:pt idx="6">
                  <c:v>Urology</c:v>
                </c:pt>
                <c:pt idx="7">
                  <c:v>Ophthalmology</c:v>
                </c:pt>
                <c:pt idx="8">
                  <c:v>Plastics</c:v>
                </c:pt>
              </c:strCache>
            </c:strRef>
          </c:cat>
          <c:val>
            <c:numRef>
              <c:f>'pivot Spec'!$X$5:$X$13</c:f>
              <c:numCache>
                <c:formatCode>General</c:formatCode>
                <c:ptCount val="9"/>
                <c:pt idx="0">
                  <c:v>1072</c:v>
                </c:pt>
                <c:pt idx="1">
                  <c:v>879</c:v>
                </c:pt>
                <c:pt idx="2">
                  <c:v>447</c:v>
                </c:pt>
                <c:pt idx="3">
                  <c:v>196</c:v>
                </c:pt>
                <c:pt idx="4">
                  <c:v>191</c:v>
                </c:pt>
                <c:pt idx="5">
                  <c:v>106</c:v>
                </c:pt>
                <c:pt idx="6">
                  <c:v>36</c:v>
                </c:pt>
                <c:pt idx="7">
                  <c:v>31</c:v>
                </c:pt>
                <c:pt idx="8">
                  <c:v>30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92025975954335"/>
          <c:y val="6.766947235043895E-2"/>
          <c:w val="0.84388875243805539"/>
          <c:h val="0.50546209310043144"/>
        </c:manualLayout>
      </c:layout>
      <c:barChart>
        <c:barDir val="col"/>
        <c:grouping val="clustered"/>
        <c:varyColors val="0"/>
        <c:ser>
          <c:idx val="0"/>
          <c:order val="0"/>
          <c:tx>
            <c:strRef>
              <c:f>'DRG Top 10'!$J$2</c:f>
              <c:strCache>
                <c:ptCount val="1"/>
                <c:pt idx="0">
                  <c:v>2011/12</c:v>
                </c:pt>
              </c:strCache>
            </c:strRef>
          </c:tx>
          <c:spPr>
            <a:solidFill>
              <a:schemeClr val="tx2">
                <a:lumMod val="40000"/>
                <a:lumOff val="60000"/>
              </a:schemeClr>
            </a:solidFill>
          </c:spPr>
          <c:invertIfNegative val="0"/>
          <c:cat>
            <c:strRef>
              <c:f>'DRG Top 10'!$I$3:$I$13</c:f>
              <c:strCache>
                <c:ptCount val="11"/>
                <c:pt idx="0">
                  <c:v>Dental Extractions &amp; Restorations</c:v>
                </c:pt>
                <c:pt idx="1">
                  <c:v>Colonoscopy</c:v>
                </c:pt>
                <c:pt idx="2">
                  <c:v>Gastroscopy</c:v>
                </c:pt>
                <c:pt idx="3">
                  <c:v>Hernia Procedures </c:v>
                </c:pt>
                <c:pt idx="4">
                  <c:v>Follow Up W Endoscopy</c:v>
                </c:pt>
                <c:pt idx="5">
                  <c:v>Other Skin, Subcutaneous Tissue and Breast Procedures</c:v>
                </c:pt>
                <c:pt idx="6">
                  <c:v>Carpal Tunnel Release</c:v>
                </c:pt>
                <c:pt idx="7">
                  <c:v>Hand Procedures</c:v>
                </c:pt>
                <c:pt idx="8">
                  <c:v>Diagnostic Curettage or Diagnostic Hysteroscopy</c:v>
                </c:pt>
                <c:pt idx="9">
                  <c:v>Endoscopic Procedures for Female Reproductive System</c:v>
                </c:pt>
                <c:pt idx="10">
                  <c:v>Other procedures</c:v>
                </c:pt>
              </c:strCache>
            </c:strRef>
          </c:cat>
          <c:val>
            <c:numRef>
              <c:f>'DRG Top 10'!$J$3:$J$13</c:f>
              <c:numCache>
                <c:formatCode>General</c:formatCode>
                <c:ptCount val="11"/>
                <c:pt idx="0">
                  <c:v>576</c:v>
                </c:pt>
                <c:pt idx="1">
                  <c:v>150</c:v>
                </c:pt>
                <c:pt idx="2">
                  <c:v>107</c:v>
                </c:pt>
                <c:pt idx="3">
                  <c:v>112</c:v>
                </c:pt>
                <c:pt idx="4">
                  <c:v>112</c:v>
                </c:pt>
                <c:pt idx="5">
                  <c:v>67</c:v>
                </c:pt>
                <c:pt idx="6">
                  <c:v>35</c:v>
                </c:pt>
                <c:pt idx="7">
                  <c:v>32</c:v>
                </c:pt>
                <c:pt idx="8">
                  <c:v>24</c:v>
                </c:pt>
                <c:pt idx="9">
                  <c:v>17</c:v>
                </c:pt>
                <c:pt idx="10">
                  <c:v>16</c:v>
                </c:pt>
              </c:numCache>
            </c:numRef>
          </c:val>
        </c:ser>
        <c:ser>
          <c:idx val="1"/>
          <c:order val="1"/>
          <c:tx>
            <c:strRef>
              <c:f>'DRG Top 10'!$K$2</c:f>
              <c:strCache>
                <c:ptCount val="1"/>
                <c:pt idx="0">
                  <c:v>2012/13</c:v>
                </c:pt>
              </c:strCache>
            </c:strRef>
          </c:tx>
          <c:invertIfNegative val="0"/>
          <c:cat>
            <c:strRef>
              <c:f>'DRG Top 10'!$I$3:$I$13</c:f>
              <c:strCache>
                <c:ptCount val="11"/>
                <c:pt idx="0">
                  <c:v>Dental Extractions &amp; Restorations</c:v>
                </c:pt>
                <c:pt idx="1">
                  <c:v>Colonoscopy</c:v>
                </c:pt>
                <c:pt idx="2">
                  <c:v>Gastroscopy</c:v>
                </c:pt>
                <c:pt idx="3">
                  <c:v>Hernia Procedures </c:v>
                </c:pt>
                <c:pt idx="4">
                  <c:v>Follow Up W Endoscopy</c:v>
                </c:pt>
                <c:pt idx="5">
                  <c:v>Other Skin, Subcutaneous Tissue and Breast Procedures</c:v>
                </c:pt>
                <c:pt idx="6">
                  <c:v>Carpal Tunnel Release</c:v>
                </c:pt>
                <c:pt idx="7">
                  <c:v>Hand Procedures</c:v>
                </c:pt>
                <c:pt idx="8">
                  <c:v>Diagnostic Curettage or Diagnostic Hysteroscopy</c:v>
                </c:pt>
                <c:pt idx="9">
                  <c:v>Endoscopic Procedures for Female Reproductive System</c:v>
                </c:pt>
                <c:pt idx="10">
                  <c:v>Other procedures</c:v>
                </c:pt>
              </c:strCache>
            </c:strRef>
          </c:cat>
          <c:val>
            <c:numRef>
              <c:f>'DRG Top 10'!$K$3:$K$13</c:f>
              <c:numCache>
                <c:formatCode>General</c:formatCode>
                <c:ptCount val="11"/>
                <c:pt idx="0">
                  <c:v>494</c:v>
                </c:pt>
                <c:pt idx="1">
                  <c:v>153</c:v>
                </c:pt>
                <c:pt idx="2">
                  <c:v>139</c:v>
                </c:pt>
                <c:pt idx="3">
                  <c:v>122</c:v>
                </c:pt>
                <c:pt idx="4">
                  <c:v>110</c:v>
                </c:pt>
                <c:pt idx="5">
                  <c:v>50</c:v>
                </c:pt>
                <c:pt idx="6">
                  <c:v>56</c:v>
                </c:pt>
                <c:pt idx="7">
                  <c:v>34</c:v>
                </c:pt>
                <c:pt idx="8">
                  <c:v>31</c:v>
                </c:pt>
                <c:pt idx="9">
                  <c:v>29</c:v>
                </c:pt>
                <c:pt idx="10">
                  <c:v>19</c:v>
                </c:pt>
              </c:numCache>
            </c:numRef>
          </c:val>
        </c:ser>
        <c:dLbls>
          <c:showLegendKey val="0"/>
          <c:showVal val="0"/>
          <c:showCatName val="0"/>
          <c:showSerName val="0"/>
          <c:showPercent val="0"/>
          <c:showBubbleSize val="0"/>
        </c:dLbls>
        <c:gapWidth val="150"/>
        <c:axId val="38035456"/>
        <c:axId val="38036992"/>
      </c:barChart>
      <c:catAx>
        <c:axId val="38035456"/>
        <c:scaling>
          <c:orientation val="minMax"/>
        </c:scaling>
        <c:delete val="0"/>
        <c:axPos val="b"/>
        <c:majorTickMark val="out"/>
        <c:minorTickMark val="none"/>
        <c:tickLblPos val="nextTo"/>
        <c:txPr>
          <a:bodyPr/>
          <a:lstStyle/>
          <a:p>
            <a:pPr>
              <a:defRPr sz="800"/>
            </a:pPr>
            <a:endParaRPr lang="en-US"/>
          </a:p>
        </c:txPr>
        <c:crossAx val="38036992"/>
        <c:crosses val="autoZero"/>
        <c:auto val="1"/>
        <c:lblAlgn val="ctr"/>
        <c:lblOffset val="100"/>
        <c:noMultiLvlLbl val="0"/>
      </c:catAx>
      <c:valAx>
        <c:axId val="38036992"/>
        <c:scaling>
          <c:orientation val="minMax"/>
          <c:max val="600"/>
        </c:scaling>
        <c:delete val="0"/>
        <c:axPos val="l"/>
        <c:majorGridlines/>
        <c:title>
          <c:tx>
            <c:rich>
              <a:bodyPr rot="0" vert="horz"/>
              <a:lstStyle/>
              <a:p>
                <a:pPr>
                  <a:defRPr b="0"/>
                </a:pPr>
                <a:r>
                  <a:rPr lang="en-NZ" b="0"/>
                  <a:t>Number of procedures</a:t>
                </a:r>
              </a:p>
            </c:rich>
          </c:tx>
          <c:layout>
            <c:manualLayout>
              <c:xMode val="edge"/>
              <c:yMode val="edge"/>
              <c:x val="0.10540367978129189"/>
              <c:y val="2.0022324795607445E-3"/>
            </c:manualLayout>
          </c:layout>
          <c:overlay val="0"/>
        </c:title>
        <c:numFmt formatCode="General" sourceLinked="1"/>
        <c:majorTickMark val="out"/>
        <c:minorTickMark val="none"/>
        <c:tickLblPos val="nextTo"/>
        <c:crossAx val="38035456"/>
        <c:crosses val="autoZero"/>
        <c:crossBetween val="between"/>
      </c:valAx>
    </c:plotArea>
    <c:legend>
      <c:legendPos val="r"/>
      <c:layout>
        <c:manualLayout>
          <c:xMode val="edge"/>
          <c:yMode val="edge"/>
          <c:x val="0.42706835558598655"/>
          <c:y val="0.10275515560554929"/>
          <c:w val="0.33647182570987705"/>
          <c:h val="5.5998084464919155E-2"/>
        </c:manualLayout>
      </c:layout>
      <c:overlay val="0"/>
    </c:legend>
    <c:plotVisOnly val="1"/>
    <c:dispBlanksAs val="gap"/>
    <c:showDLblsOverMax val="0"/>
  </c:chart>
  <c:spPr>
    <a:ln>
      <a:noFill/>
    </a:ln>
  </c:spPr>
  <c:txPr>
    <a:bodyPr/>
    <a:lstStyle/>
    <a:p>
      <a:pPr>
        <a:defRPr sz="900">
          <a:latin typeface="Garamond" panose="020204040303010108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982147033601E-2"/>
          <c:y val="0.10345921854107859"/>
          <c:w val="0.9186834269034756"/>
          <c:h val="0.74609339870252067"/>
        </c:manualLayout>
      </c:layout>
      <c:barChart>
        <c:barDir val="col"/>
        <c:grouping val="clustered"/>
        <c:varyColors val="0"/>
        <c:ser>
          <c:idx val="0"/>
          <c:order val="0"/>
          <c:tx>
            <c:strRef>
              <c:f>'Oct 2006 - Feb 2014'!$G$8</c:f>
              <c:strCache>
                <c:ptCount val="1"/>
                <c:pt idx="0">
                  <c:v>Patients (%)</c:v>
                </c:pt>
              </c:strCache>
            </c:strRef>
          </c:tx>
          <c:spPr>
            <a:solidFill>
              <a:schemeClr val="tx2">
                <a:lumMod val="40000"/>
                <a:lumOff val="60000"/>
              </a:schemeClr>
            </a:solidFill>
          </c:spPr>
          <c:invertIfNegative val="0"/>
          <c:dLbls>
            <c:dLbl>
              <c:idx val="3"/>
              <c:layout>
                <c:manualLayout>
                  <c:x val="0"/>
                  <c:y val="1.4285714285714199E-2"/>
                </c:manualLayout>
              </c:layout>
              <c:showLegendKey val="0"/>
              <c:showVal val="1"/>
              <c:showCatName val="0"/>
              <c:showSerName val="0"/>
              <c:showPercent val="0"/>
              <c:showBubbleSize val="0"/>
            </c:dLbl>
            <c:dLbl>
              <c:idx val="5"/>
              <c:layout>
                <c:manualLayout>
                  <c:x val="0"/>
                  <c:y val="1.4285714285714285E-2"/>
                </c:manualLayout>
              </c:layout>
              <c:showLegendKey val="0"/>
              <c:showVal val="1"/>
              <c:showCatName val="0"/>
              <c:showSerName val="0"/>
              <c:showPercent val="0"/>
              <c:showBubbleSize val="0"/>
            </c:dLbl>
            <c:dLbl>
              <c:idx val="6"/>
              <c:layout>
                <c:manualLayout>
                  <c:x val="0"/>
                  <c:y val="1.4285714285714285E-2"/>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'Oct 2006 - Feb 2014'!$E$9:$E$18</c:f>
              <c:strCache>
                <c:ptCount val="10"/>
                <c:pt idx="0">
                  <c:v>00-09</c:v>
                </c:pt>
                <c:pt idx="1">
                  <c:v>10-19</c:v>
                </c:pt>
                <c:pt idx="2">
                  <c:v>20-29</c:v>
                </c:pt>
                <c:pt idx="3">
                  <c:v>30-39</c:v>
                </c:pt>
                <c:pt idx="4">
                  <c:v>40-49</c:v>
                </c:pt>
                <c:pt idx="5">
                  <c:v>50-59</c:v>
                </c:pt>
                <c:pt idx="6">
                  <c:v>60-69</c:v>
                </c:pt>
                <c:pt idx="7">
                  <c:v>70-79</c:v>
                </c:pt>
                <c:pt idx="8">
                  <c:v>80-89</c:v>
                </c:pt>
                <c:pt idx="9">
                  <c:v>90+</c:v>
                </c:pt>
              </c:strCache>
            </c:strRef>
          </c:cat>
          <c:val>
            <c:numRef>
              <c:f>'Oct 2006 - Feb 2014'!$G$9:$G$18</c:f>
              <c:numCache>
                <c:formatCode>#,##0</c:formatCode>
                <c:ptCount val="10"/>
                <c:pt idx="0">
                  <c:v>36.035791757049893</c:v>
                </c:pt>
                <c:pt idx="1">
                  <c:v>4.8083875632682567</c:v>
                </c:pt>
                <c:pt idx="2">
                  <c:v>3.4707158351409979</c:v>
                </c:pt>
                <c:pt idx="3">
                  <c:v>6.2725958062183658</c:v>
                </c:pt>
                <c:pt idx="4">
                  <c:v>10.104844540853218</c:v>
                </c:pt>
                <c:pt idx="5">
                  <c:v>11.903470715835141</c:v>
                </c:pt>
                <c:pt idx="6">
                  <c:v>11.903470715835141</c:v>
                </c:pt>
                <c:pt idx="7">
                  <c:v>10.493492407809111</c:v>
                </c:pt>
                <c:pt idx="8">
                  <c:v>4.5553145336225596</c:v>
                </c:pt>
                <c:pt idx="9">
                  <c:v>0.45191612436731743</c:v>
                </c:pt>
              </c:numCache>
            </c:numRef>
          </c:val>
        </c:ser>
        <c:dLbls>
          <c:showLegendKey val="0"/>
          <c:showVal val="0"/>
          <c:showCatName val="0"/>
          <c:showSerName val="0"/>
          <c:showPercent val="0"/>
          <c:showBubbleSize val="0"/>
        </c:dLbls>
        <c:gapWidth val="78"/>
        <c:overlap val="-19"/>
        <c:axId val="38742656"/>
        <c:axId val="58868480"/>
      </c:barChart>
      <c:catAx>
        <c:axId val="38742656"/>
        <c:scaling>
          <c:orientation val="minMax"/>
        </c:scaling>
        <c:delete val="0"/>
        <c:axPos val="b"/>
        <c:title>
          <c:tx>
            <c:rich>
              <a:bodyPr/>
              <a:lstStyle/>
              <a:p>
                <a:pPr>
                  <a:defRPr b="0"/>
                </a:pPr>
                <a:r>
                  <a:rPr lang="en-US" b="0"/>
                  <a:t>Age group</a:t>
                </a:r>
              </a:p>
            </c:rich>
          </c:tx>
          <c:overlay val="0"/>
        </c:title>
        <c:majorTickMark val="out"/>
        <c:minorTickMark val="none"/>
        <c:tickLblPos val="nextTo"/>
        <c:crossAx val="58868480"/>
        <c:crosses val="autoZero"/>
        <c:auto val="1"/>
        <c:lblAlgn val="ctr"/>
        <c:lblOffset val="100"/>
        <c:noMultiLvlLbl val="0"/>
      </c:catAx>
      <c:valAx>
        <c:axId val="58868480"/>
        <c:scaling>
          <c:orientation val="minMax"/>
        </c:scaling>
        <c:delete val="0"/>
        <c:axPos val="l"/>
        <c:majorGridlines/>
        <c:title>
          <c:tx>
            <c:rich>
              <a:bodyPr rot="0" vert="horz"/>
              <a:lstStyle/>
              <a:p>
                <a:pPr>
                  <a:defRPr b="0"/>
                </a:pPr>
                <a:r>
                  <a:rPr lang="en-NZ" b="0"/>
                  <a:t>Percent</a:t>
                </a:r>
              </a:p>
            </c:rich>
          </c:tx>
          <c:layout>
            <c:manualLayout>
              <c:xMode val="edge"/>
              <c:yMode val="edge"/>
              <c:x val="0"/>
              <c:y val="2.9012033873124345E-3"/>
            </c:manualLayout>
          </c:layout>
          <c:overlay val="0"/>
        </c:title>
        <c:numFmt formatCode="#,##0" sourceLinked="1"/>
        <c:majorTickMark val="out"/>
        <c:minorTickMark val="none"/>
        <c:tickLblPos val="nextTo"/>
        <c:crossAx val="38742656"/>
        <c:crosses val="autoZero"/>
        <c:crossBetween val="between"/>
      </c:valAx>
    </c:plotArea>
    <c:plotVisOnly val="1"/>
    <c:dispBlanksAs val="gap"/>
    <c:showDLblsOverMax val="0"/>
  </c:chart>
  <c:spPr>
    <a:ln>
      <a:noFill/>
    </a:ln>
  </c:spPr>
  <c:txPr>
    <a:bodyPr/>
    <a:lstStyle/>
    <a:p>
      <a:pPr>
        <a:defRPr>
          <a:latin typeface="Garamond" panose="020204040303010108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54215301009452E-2"/>
          <c:y val="9.9983116615743439E-2"/>
          <c:w val="0.87544466032655011"/>
          <c:h val="0.69703792198388992"/>
        </c:manualLayout>
      </c:layout>
      <c:barChart>
        <c:barDir val="col"/>
        <c:grouping val="clustered"/>
        <c:varyColors val="0"/>
        <c:ser>
          <c:idx val="0"/>
          <c:order val="0"/>
          <c:tx>
            <c:strRef>
              <c:f>'Interview survey results'!$BP$37</c:f>
              <c:strCache>
                <c:ptCount val="1"/>
                <c:pt idx="0">
                  <c:v>Liked most</c:v>
                </c:pt>
              </c:strCache>
            </c:strRef>
          </c:tx>
          <c:spPr>
            <a:solidFill>
              <a:schemeClr val="tx2">
                <a:lumMod val="40000"/>
                <a:lumOff val="60000"/>
              </a:schemeClr>
            </a:solidFill>
          </c:spPr>
          <c:invertIfNegative val="0"/>
          <c:dLbls>
            <c:dLbl>
              <c:idx val="0"/>
              <c:layout>
                <c:manualLayout>
                  <c:x val="0"/>
                  <c:y val="2.2618035871136324E-2"/>
                </c:manualLayout>
              </c:layout>
              <c:spPr>
                <a:noFill/>
              </c:spPr>
              <c:txPr>
                <a:bodyPr/>
                <a:lstStyle/>
                <a:p>
                  <a:pPr>
                    <a:defRPr sz="800"/>
                  </a:pPr>
                  <a:endParaRPr lang="en-US"/>
                </a:p>
              </c:txPr>
              <c:showLegendKey val="0"/>
              <c:showVal val="1"/>
              <c:showCatName val="0"/>
              <c:showSerName val="0"/>
              <c:showPercent val="0"/>
              <c:showBubbleSize val="0"/>
            </c:dLbl>
            <c:dLbl>
              <c:idx val="2"/>
              <c:layout>
                <c:manualLayout>
                  <c:x val="0"/>
                  <c:y val="8.918617614269788E-3"/>
                </c:manualLayout>
              </c:layout>
              <c:spPr>
                <a:noFill/>
              </c:spPr>
              <c:txPr>
                <a:bodyPr/>
                <a:lstStyle/>
                <a:p>
                  <a:pPr>
                    <a:defRPr sz="800"/>
                  </a:pPr>
                  <a:endParaRPr lang="en-US"/>
                </a:p>
              </c:txPr>
              <c:showLegendKey val="0"/>
              <c:showVal val="1"/>
              <c:showCatName val="0"/>
              <c:showSerName val="0"/>
              <c:showPercent val="0"/>
              <c:showBubbleSize val="0"/>
            </c:dLbl>
            <c:dLbl>
              <c:idx val="4"/>
              <c:layout>
                <c:manualLayout>
                  <c:x val="0"/>
                  <c:y val="8.918617614269788E-3"/>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'Interview survey results'!$BO$38:$BO$42</c:f>
              <c:strCache>
                <c:ptCount val="5"/>
                <c:pt idx="0">
                  <c:v>Convenience / close to home</c:v>
                </c:pt>
                <c:pt idx="1">
                  <c:v>Pain relief / getting off medications</c:v>
                </c:pt>
                <c:pt idx="2">
                  <c:v>Not having time off work</c:v>
                </c:pt>
                <c:pt idx="3">
                  <c:v>Kids liked the bus / not scary</c:v>
                </c:pt>
                <c:pt idx="4">
                  <c:v>Not having to travel with a sick child</c:v>
                </c:pt>
              </c:strCache>
            </c:strRef>
          </c:cat>
          <c:val>
            <c:numRef>
              <c:f>'Interview survey results'!$BP$38:$BP$42</c:f>
              <c:numCache>
                <c:formatCode>0</c:formatCode>
                <c:ptCount val="5"/>
                <c:pt idx="0">
                  <c:v>64</c:v>
                </c:pt>
                <c:pt idx="1">
                  <c:v>28</c:v>
                </c:pt>
                <c:pt idx="2">
                  <c:v>25</c:v>
                </c:pt>
                <c:pt idx="3">
                  <c:v>18</c:v>
                </c:pt>
                <c:pt idx="4">
                  <c:v>14</c:v>
                </c:pt>
              </c:numCache>
            </c:numRef>
          </c:val>
        </c:ser>
        <c:dLbls>
          <c:showLegendKey val="0"/>
          <c:showVal val="0"/>
          <c:showCatName val="0"/>
          <c:showSerName val="0"/>
          <c:showPercent val="0"/>
          <c:showBubbleSize val="0"/>
        </c:dLbls>
        <c:gapWidth val="244"/>
        <c:axId val="79357056"/>
        <c:axId val="79358592"/>
      </c:barChart>
      <c:catAx>
        <c:axId val="79357056"/>
        <c:scaling>
          <c:orientation val="minMax"/>
        </c:scaling>
        <c:delete val="0"/>
        <c:axPos val="b"/>
        <c:majorTickMark val="out"/>
        <c:minorTickMark val="none"/>
        <c:tickLblPos val="nextTo"/>
        <c:crossAx val="79358592"/>
        <c:crosses val="autoZero"/>
        <c:auto val="1"/>
        <c:lblAlgn val="ctr"/>
        <c:lblOffset val="100"/>
        <c:noMultiLvlLbl val="0"/>
      </c:catAx>
      <c:valAx>
        <c:axId val="79358592"/>
        <c:scaling>
          <c:orientation val="minMax"/>
        </c:scaling>
        <c:delete val="0"/>
        <c:axPos val="l"/>
        <c:majorGridlines/>
        <c:title>
          <c:tx>
            <c:rich>
              <a:bodyPr rot="0" vert="horz"/>
              <a:lstStyle/>
              <a:p>
                <a:pPr>
                  <a:defRPr b="0"/>
                </a:pPr>
                <a:r>
                  <a:rPr lang="en-NZ" b="0"/>
                  <a:t>Percent</a:t>
                </a:r>
              </a:p>
            </c:rich>
          </c:tx>
          <c:layout>
            <c:manualLayout>
              <c:xMode val="edge"/>
              <c:yMode val="edge"/>
              <c:x val="0"/>
              <c:y val="4.2491663631014096E-3"/>
            </c:manualLayout>
          </c:layout>
          <c:overlay val="0"/>
        </c:title>
        <c:numFmt formatCode="0" sourceLinked="1"/>
        <c:majorTickMark val="out"/>
        <c:minorTickMark val="none"/>
        <c:tickLblPos val="nextTo"/>
        <c:crossAx val="79357056"/>
        <c:crosses val="autoZero"/>
        <c:crossBetween val="between"/>
      </c:valAx>
    </c:plotArea>
    <c:plotVisOnly val="1"/>
    <c:dispBlanksAs val="gap"/>
    <c:showDLblsOverMax val="0"/>
  </c:chart>
  <c:spPr>
    <a:ln>
      <a:noFill/>
    </a:ln>
  </c:spPr>
  <c:txPr>
    <a:bodyPr/>
    <a:lstStyle/>
    <a:p>
      <a:pPr>
        <a:defRPr>
          <a:latin typeface="Garamond" panose="020204040303010108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235177373328778E-2"/>
          <c:y val="0.10761374746342153"/>
          <c:w val="0.87859731105149785"/>
          <c:h val="0.76147768761178369"/>
        </c:manualLayout>
      </c:layout>
      <c:barChart>
        <c:barDir val="col"/>
        <c:grouping val="clustered"/>
        <c:varyColors val="0"/>
        <c:ser>
          <c:idx val="0"/>
          <c:order val="0"/>
          <c:tx>
            <c:strRef>
              <c:f>'travel time'!$F$3</c:f>
              <c:strCache>
                <c:ptCount val="1"/>
                <c:pt idx="0">
                  <c:v>Patient telephone interviews</c:v>
                </c:pt>
              </c:strCache>
            </c:strRef>
          </c:tx>
          <c:spPr>
            <a:solidFill>
              <a:schemeClr val="tx2">
                <a:lumMod val="40000"/>
                <a:lumOff val="6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'travel time'!$C$4:$C$6</c:f>
              <c:strCache>
                <c:ptCount val="3"/>
                <c:pt idx="0">
                  <c:v>10 minutes or less</c:v>
                </c:pt>
                <c:pt idx="1">
                  <c:v>11 to 20 minutes</c:v>
                </c:pt>
                <c:pt idx="2">
                  <c:v>Over 20 minutes</c:v>
                </c:pt>
              </c:strCache>
            </c:strRef>
          </c:cat>
          <c:val>
            <c:numRef>
              <c:f>'travel time'!$F$4:$F$6</c:f>
              <c:numCache>
                <c:formatCode>0</c:formatCode>
                <c:ptCount val="3"/>
                <c:pt idx="0">
                  <c:v>53.571428571428569</c:v>
                </c:pt>
                <c:pt idx="1">
                  <c:v>25</c:v>
                </c:pt>
                <c:pt idx="2">
                  <c:v>21.428571428571427</c:v>
                </c:pt>
              </c:numCache>
            </c:numRef>
          </c:val>
        </c:ser>
        <c:ser>
          <c:idx val="1"/>
          <c:order val="1"/>
          <c:tx>
            <c:strRef>
              <c:f>'travel time'!$G$3</c:f>
              <c:strCache>
                <c:ptCount val="1"/>
                <c:pt idx="0">
                  <c:v>Patient postal survey</c:v>
                </c:pt>
              </c:strCache>
            </c:strRef>
          </c:tx>
          <c:invertIfNegative val="0"/>
          <c:dLbls>
            <c:dLbl>
              <c:idx val="0"/>
              <c:layout>
                <c:manualLayout>
                  <c:x val="0"/>
                  <c:y val="8.918617614269788E-3"/>
                </c:manualLayout>
              </c:layout>
              <c:showLegendKey val="0"/>
              <c:showVal val="1"/>
              <c:showCatName val="0"/>
              <c:showSerName val="0"/>
              <c:showPercent val="0"/>
              <c:showBubbleSize val="0"/>
            </c:dLbl>
            <c:spPr>
              <a:solidFill>
                <a:schemeClr val="bg1"/>
              </a:solidFill>
            </c:spPr>
            <c:txPr>
              <a:bodyPr/>
              <a:lstStyle/>
              <a:p>
                <a:pPr>
                  <a:defRPr sz="800"/>
                </a:pPr>
                <a:endParaRPr lang="en-US"/>
              </a:p>
            </c:txPr>
            <c:showLegendKey val="0"/>
            <c:showVal val="1"/>
            <c:showCatName val="0"/>
            <c:showSerName val="0"/>
            <c:showPercent val="0"/>
            <c:showBubbleSize val="0"/>
            <c:showLeaderLines val="0"/>
          </c:dLbls>
          <c:cat>
            <c:strRef>
              <c:f>'travel time'!$C$4:$C$6</c:f>
              <c:strCache>
                <c:ptCount val="3"/>
                <c:pt idx="0">
                  <c:v>10 minutes or less</c:v>
                </c:pt>
                <c:pt idx="1">
                  <c:v>11 to 20 minutes</c:v>
                </c:pt>
                <c:pt idx="2">
                  <c:v>Over 20 minutes</c:v>
                </c:pt>
              </c:strCache>
            </c:strRef>
          </c:cat>
          <c:val>
            <c:numRef>
              <c:f>'travel time'!$G$4:$G$6</c:f>
              <c:numCache>
                <c:formatCode>0</c:formatCode>
                <c:ptCount val="3"/>
                <c:pt idx="0">
                  <c:v>44.186046511627907</c:v>
                </c:pt>
                <c:pt idx="1">
                  <c:v>23.255813953488371</c:v>
                </c:pt>
                <c:pt idx="2">
                  <c:v>32.558139534883722</c:v>
                </c:pt>
              </c:numCache>
            </c:numRef>
          </c:val>
        </c:ser>
        <c:dLbls>
          <c:showLegendKey val="0"/>
          <c:showVal val="0"/>
          <c:showCatName val="0"/>
          <c:showSerName val="0"/>
          <c:showPercent val="0"/>
          <c:showBubbleSize val="0"/>
        </c:dLbls>
        <c:gapWidth val="180"/>
        <c:axId val="81993728"/>
        <c:axId val="81995264"/>
      </c:barChart>
      <c:catAx>
        <c:axId val="81993728"/>
        <c:scaling>
          <c:orientation val="minMax"/>
        </c:scaling>
        <c:delete val="0"/>
        <c:axPos val="b"/>
        <c:majorTickMark val="out"/>
        <c:minorTickMark val="none"/>
        <c:tickLblPos val="nextTo"/>
        <c:crossAx val="81995264"/>
        <c:crosses val="autoZero"/>
        <c:auto val="1"/>
        <c:lblAlgn val="ctr"/>
        <c:lblOffset val="100"/>
        <c:noMultiLvlLbl val="0"/>
      </c:catAx>
      <c:valAx>
        <c:axId val="81995264"/>
        <c:scaling>
          <c:orientation val="minMax"/>
        </c:scaling>
        <c:delete val="0"/>
        <c:axPos val="l"/>
        <c:majorGridlines/>
        <c:title>
          <c:tx>
            <c:rich>
              <a:bodyPr rot="0" vert="horz"/>
              <a:lstStyle/>
              <a:p>
                <a:pPr>
                  <a:defRPr/>
                </a:pPr>
                <a:r>
                  <a:rPr lang="en-NZ"/>
                  <a:t>Percent</a:t>
                </a:r>
              </a:p>
            </c:rich>
          </c:tx>
          <c:layout>
            <c:manualLayout>
              <c:xMode val="edge"/>
              <c:yMode val="edge"/>
              <c:x val="3.1496062992125931E-5"/>
              <c:y val="1.702597520137569E-3"/>
            </c:manualLayout>
          </c:layout>
          <c:overlay val="0"/>
        </c:title>
        <c:numFmt formatCode="0" sourceLinked="1"/>
        <c:majorTickMark val="out"/>
        <c:minorTickMark val="none"/>
        <c:tickLblPos val="nextTo"/>
        <c:crossAx val="81993728"/>
        <c:crosses val="autoZero"/>
        <c:crossBetween val="between"/>
      </c:valAx>
    </c:plotArea>
    <c:legend>
      <c:legendPos val="r"/>
      <c:layout>
        <c:manualLayout>
          <c:xMode val="edge"/>
          <c:yMode val="edge"/>
          <c:x val="0.30527147682698602"/>
          <c:y val="9.7459251094344876E-2"/>
          <c:w val="0.63678063420880338"/>
          <c:h val="0.15045090053398497"/>
        </c:manualLayout>
      </c:layout>
      <c:overlay val="0"/>
    </c:legend>
    <c:plotVisOnly val="1"/>
    <c:dispBlanksAs val="gap"/>
    <c:showDLblsOverMax val="0"/>
  </c:chart>
  <c:spPr>
    <a:ln>
      <a:noFill/>
    </a:ln>
  </c:spPr>
  <c:txPr>
    <a:bodyPr/>
    <a:lstStyle/>
    <a:p>
      <a:pPr>
        <a:defRPr sz="1000" b="0">
          <a:latin typeface="Garamond" panose="020204040303010108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017556628950799E-2"/>
          <c:y val="0.13314974665599957"/>
          <c:w val="0.91932486380378919"/>
          <c:h val="0.76825887405785509"/>
        </c:manualLayout>
      </c:layout>
      <c:lineChart>
        <c:grouping val="standard"/>
        <c:varyColors val="0"/>
        <c:ser>
          <c:idx val="0"/>
          <c:order val="0"/>
          <c:tx>
            <c:strRef>
              <c:f>'No shows'!$W$41</c:f>
              <c:strCache>
                <c:ptCount val="1"/>
                <c:pt idx="0">
                  <c:v>Annual rate</c:v>
                </c:pt>
              </c:strCache>
            </c:strRef>
          </c:tx>
          <c:spPr>
            <a:ln w="25400"/>
          </c:spPr>
          <c:marker>
            <c:symbol val="circle"/>
            <c:size val="5"/>
            <c:spPr>
              <a:solidFill>
                <a:schemeClr val="bg1"/>
              </a:solidFill>
            </c:spPr>
          </c:marker>
          <c:cat>
            <c:strRef>
              <c:f>'No shows'!$X$4:$AD$4</c:f>
              <c:strCache>
                <c:ptCount val="7"/>
                <c:pt idx="0">
                  <c:v>2006/07</c:v>
                </c:pt>
                <c:pt idx="1">
                  <c:v>2007/08</c:v>
                </c:pt>
                <c:pt idx="2">
                  <c:v>2008/09</c:v>
                </c:pt>
                <c:pt idx="3">
                  <c:v>2009/10</c:v>
                </c:pt>
                <c:pt idx="4">
                  <c:v>2010/11</c:v>
                </c:pt>
                <c:pt idx="5">
                  <c:v>2011/12</c:v>
                </c:pt>
                <c:pt idx="6">
                  <c:v>2012/13</c:v>
                </c:pt>
              </c:strCache>
            </c:strRef>
          </c:cat>
          <c:val>
            <c:numRef>
              <c:f>'No shows'!$X$41:$AD$41</c:f>
              <c:numCache>
                <c:formatCode>#,##0.0</c:formatCode>
                <c:ptCount val="7"/>
                <c:pt idx="0">
                  <c:v>4.9784880147510755</c:v>
                </c:pt>
                <c:pt idx="1">
                  <c:v>4.5840407470288627</c:v>
                </c:pt>
                <c:pt idx="2">
                  <c:v>4.9138481174218249</c:v>
                </c:pt>
                <c:pt idx="3">
                  <c:v>4.4678055190538766</c:v>
                </c:pt>
                <c:pt idx="4">
                  <c:v>4.1188386225523299</c:v>
                </c:pt>
                <c:pt idx="5">
                  <c:v>4.7834518422753716</c:v>
                </c:pt>
                <c:pt idx="6">
                  <c:v>4.235145385587864</c:v>
                </c:pt>
              </c:numCache>
            </c:numRef>
          </c:val>
          <c:smooth val="0"/>
        </c:ser>
        <c:ser>
          <c:idx val="1"/>
          <c:order val="1"/>
          <c:tx>
            <c:strRef>
              <c:f>'No shows'!$W$43</c:f>
              <c:strCache>
                <c:ptCount val="1"/>
                <c:pt idx="0">
                  <c:v>Rolling average (3 year)</c:v>
                </c:pt>
              </c:strCache>
            </c:strRef>
          </c:tx>
          <c:spPr>
            <a:ln w="15875">
              <a:prstDash val="lgDash"/>
            </a:ln>
          </c:spPr>
          <c:marker>
            <c:symbol val="none"/>
          </c:marker>
          <c:cat>
            <c:strRef>
              <c:f>'No shows'!$X$4:$AD$4</c:f>
              <c:strCache>
                <c:ptCount val="7"/>
                <c:pt idx="0">
                  <c:v>2006/07</c:v>
                </c:pt>
                <c:pt idx="1">
                  <c:v>2007/08</c:v>
                </c:pt>
                <c:pt idx="2">
                  <c:v>2008/09</c:v>
                </c:pt>
                <c:pt idx="3">
                  <c:v>2009/10</c:v>
                </c:pt>
                <c:pt idx="4">
                  <c:v>2010/11</c:v>
                </c:pt>
                <c:pt idx="5">
                  <c:v>2011/12</c:v>
                </c:pt>
                <c:pt idx="6">
                  <c:v>2012/13</c:v>
                </c:pt>
              </c:strCache>
            </c:strRef>
          </c:cat>
          <c:val>
            <c:numRef>
              <c:f>'No shows'!$X$43:$AD$43</c:f>
              <c:numCache>
                <c:formatCode>General</c:formatCode>
                <c:ptCount val="7"/>
                <c:pt idx="2" formatCode="#,##0.0">
                  <c:v>4.825458959733921</c:v>
                </c:pt>
                <c:pt idx="3" formatCode="#,##0.0">
                  <c:v>4.6552314611681878</c:v>
                </c:pt>
                <c:pt idx="4" formatCode="#,##0.0">
                  <c:v>4.5001640863426768</c:v>
                </c:pt>
                <c:pt idx="5" formatCode="#,##0.0">
                  <c:v>4.4566986612938599</c:v>
                </c:pt>
                <c:pt idx="6" formatCode="#,##0.0">
                  <c:v>4.3791452834718543</c:v>
                </c:pt>
              </c:numCache>
            </c:numRef>
          </c:val>
          <c:smooth val="0"/>
        </c:ser>
        <c:dLbls>
          <c:showLegendKey val="0"/>
          <c:showVal val="0"/>
          <c:showCatName val="0"/>
          <c:showSerName val="0"/>
          <c:showPercent val="0"/>
          <c:showBubbleSize val="0"/>
        </c:dLbls>
        <c:marker val="1"/>
        <c:smooth val="0"/>
        <c:axId val="88168704"/>
        <c:axId val="90972160"/>
      </c:lineChart>
      <c:catAx>
        <c:axId val="88168704"/>
        <c:scaling>
          <c:orientation val="minMax"/>
        </c:scaling>
        <c:delete val="0"/>
        <c:axPos val="b"/>
        <c:majorTickMark val="out"/>
        <c:minorTickMark val="none"/>
        <c:tickLblPos val="nextTo"/>
        <c:crossAx val="90972160"/>
        <c:crosses val="autoZero"/>
        <c:auto val="1"/>
        <c:lblAlgn val="ctr"/>
        <c:lblOffset val="100"/>
        <c:noMultiLvlLbl val="0"/>
      </c:catAx>
      <c:valAx>
        <c:axId val="90972160"/>
        <c:scaling>
          <c:orientation val="minMax"/>
        </c:scaling>
        <c:delete val="0"/>
        <c:axPos val="l"/>
        <c:majorGridlines/>
        <c:title>
          <c:tx>
            <c:rich>
              <a:bodyPr rot="0" vert="horz"/>
              <a:lstStyle/>
              <a:p>
                <a:pPr algn="l">
                  <a:defRPr/>
                </a:pPr>
                <a:r>
                  <a:rPr lang="en-NZ"/>
                  <a:t>Percent of appointments</a:t>
                </a:r>
              </a:p>
            </c:rich>
          </c:tx>
          <c:layout>
            <c:manualLayout>
              <c:xMode val="edge"/>
              <c:yMode val="edge"/>
              <c:x val="1.4418050684840865E-3"/>
              <c:y val="6.9783464566929129E-4"/>
            </c:manualLayout>
          </c:layout>
          <c:overlay val="0"/>
        </c:title>
        <c:numFmt formatCode="#,##0.0" sourceLinked="0"/>
        <c:majorTickMark val="out"/>
        <c:minorTickMark val="none"/>
        <c:tickLblPos val="nextTo"/>
        <c:crossAx val="88168704"/>
        <c:crosses val="autoZero"/>
        <c:crossBetween val="between"/>
      </c:valAx>
    </c:plotArea>
    <c:legend>
      <c:legendPos val="r"/>
      <c:layout>
        <c:manualLayout>
          <c:xMode val="edge"/>
          <c:yMode val="edge"/>
          <c:x val="0.46127403261737843"/>
          <c:y val="0.4404798553010959"/>
          <c:w val="0.35929420564901349"/>
          <c:h val="0.18360913441969487"/>
        </c:manualLayout>
      </c:layout>
      <c:overlay val="0"/>
    </c:legend>
    <c:plotVisOnly val="1"/>
    <c:dispBlanksAs val="gap"/>
    <c:showDLblsOverMax val="0"/>
  </c:chart>
  <c:spPr>
    <a:ln>
      <a:noFill/>
    </a:ln>
  </c:spPr>
  <c:txPr>
    <a:bodyPr/>
    <a:lstStyle/>
    <a:p>
      <a:pPr>
        <a:defRPr sz="1000">
          <a:latin typeface="Garamond" panose="020204040303010108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8498-3E80-4340-8F17-12363970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Double-sided - Unnumbered paragraphs</Template>
  <TotalTime>141</TotalTime>
  <Pages>68</Pages>
  <Words>23537</Words>
  <Characters>132604</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Review of Mobile Surgical Services and related services</vt:lpstr>
    </vt:vector>
  </TitlesOfParts>
  <Company>Sapere Forensic Group</Company>
  <LinksUpToDate>false</LinksUpToDate>
  <CharactersWithSpaces>155830</CharactersWithSpaces>
  <SharedDoc>false</SharedDoc>
  <HLinks>
    <vt:vector size="282" baseType="variant">
      <vt:variant>
        <vt:i4>1048635</vt:i4>
      </vt:variant>
      <vt:variant>
        <vt:i4>296</vt:i4>
      </vt:variant>
      <vt:variant>
        <vt:i4>0</vt:i4>
      </vt:variant>
      <vt:variant>
        <vt:i4>5</vt:i4>
      </vt:variant>
      <vt:variant>
        <vt:lpwstr/>
      </vt:variant>
      <vt:variant>
        <vt:lpwstr>_Toc307075825</vt:lpwstr>
      </vt:variant>
      <vt:variant>
        <vt:i4>1048635</vt:i4>
      </vt:variant>
      <vt:variant>
        <vt:i4>290</vt:i4>
      </vt:variant>
      <vt:variant>
        <vt:i4>0</vt:i4>
      </vt:variant>
      <vt:variant>
        <vt:i4>5</vt:i4>
      </vt:variant>
      <vt:variant>
        <vt:lpwstr/>
      </vt:variant>
      <vt:variant>
        <vt:lpwstr>_Toc307075824</vt:lpwstr>
      </vt:variant>
      <vt:variant>
        <vt:i4>1048635</vt:i4>
      </vt:variant>
      <vt:variant>
        <vt:i4>284</vt:i4>
      </vt:variant>
      <vt:variant>
        <vt:i4>0</vt:i4>
      </vt:variant>
      <vt:variant>
        <vt:i4>5</vt:i4>
      </vt:variant>
      <vt:variant>
        <vt:lpwstr/>
      </vt:variant>
      <vt:variant>
        <vt:lpwstr>_Toc307075823</vt:lpwstr>
      </vt:variant>
      <vt:variant>
        <vt:i4>1048635</vt:i4>
      </vt:variant>
      <vt:variant>
        <vt:i4>278</vt:i4>
      </vt:variant>
      <vt:variant>
        <vt:i4>0</vt:i4>
      </vt:variant>
      <vt:variant>
        <vt:i4>5</vt:i4>
      </vt:variant>
      <vt:variant>
        <vt:lpwstr/>
      </vt:variant>
      <vt:variant>
        <vt:lpwstr>_Toc307075822</vt:lpwstr>
      </vt:variant>
      <vt:variant>
        <vt:i4>1048635</vt:i4>
      </vt:variant>
      <vt:variant>
        <vt:i4>269</vt:i4>
      </vt:variant>
      <vt:variant>
        <vt:i4>0</vt:i4>
      </vt:variant>
      <vt:variant>
        <vt:i4>5</vt:i4>
      </vt:variant>
      <vt:variant>
        <vt:lpwstr/>
      </vt:variant>
      <vt:variant>
        <vt:lpwstr>_Toc307075821</vt:lpwstr>
      </vt:variant>
      <vt:variant>
        <vt:i4>1048635</vt:i4>
      </vt:variant>
      <vt:variant>
        <vt:i4>263</vt:i4>
      </vt:variant>
      <vt:variant>
        <vt:i4>0</vt:i4>
      </vt:variant>
      <vt:variant>
        <vt:i4>5</vt:i4>
      </vt:variant>
      <vt:variant>
        <vt:lpwstr/>
      </vt:variant>
      <vt:variant>
        <vt:lpwstr>_Toc307075820</vt:lpwstr>
      </vt:variant>
      <vt:variant>
        <vt:i4>1245243</vt:i4>
      </vt:variant>
      <vt:variant>
        <vt:i4>257</vt:i4>
      </vt:variant>
      <vt:variant>
        <vt:i4>0</vt:i4>
      </vt:variant>
      <vt:variant>
        <vt:i4>5</vt:i4>
      </vt:variant>
      <vt:variant>
        <vt:lpwstr/>
      </vt:variant>
      <vt:variant>
        <vt:lpwstr>_Toc307075819</vt:lpwstr>
      </vt:variant>
      <vt:variant>
        <vt:i4>1245243</vt:i4>
      </vt:variant>
      <vt:variant>
        <vt:i4>251</vt:i4>
      </vt:variant>
      <vt:variant>
        <vt:i4>0</vt:i4>
      </vt:variant>
      <vt:variant>
        <vt:i4>5</vt:i4>
      </vt:variant>
      <vt:variant>
        <vt:lpwstr/>
      </vt:variant>
      <vt:variant>
        <vt:lpwstr>_Toc307075818</vt:lpwstr>
      </vt:variant>
      <vt:variant>
        <vt:i4>1245243</vt:i4>
      </vt:variant>
      <vt:variant>
        <vt:i4>242</vt:i4>
      </vt:variant>
      <vt:variant>
        <vt:i4>0</vt:i4>
      </vt:variant>
      <vt:variant>
        <vt:i4>5</vt:i4>
      </vt:variant>
      <vt:variant>
        <vt:lpwstr/>
      </vt:variant>
      <vt:variant>
        <vt:lpwstr>_Toc307075817</vt:lpwstr>
      </vt:variant>
      <vt:variant>
        <vt:i4>1245243</vt:i4>
      </vt:variant>
      <vt:variant>
        <vt:i4>236</vt:i4>
      </vt:variant>
      <vt:variant>
        <vt:i4>0</vt:i4>
      </vt:variant>
      <vt:variant>
        <vt:i4>5</vt:i4>
      </vt:variant>
      <vt:variant>
        <vt:lpwstr/>
      </vt:variant>
      <vt:variant>
        <vt:lpwstr>_Toc307075816</vt:lpwstr>
      </vt:variant>
      <vt:variant>
        <vt:i4>1245243</vt:i4>
      </vt:variant>
      <vt:variant>
        <vt:i4>230</vt:i4>
      </vt:variant>
      <vt:variant>
        <vt:i4>0</vt:i4>
      </vt:variant>
      <vt:variant>
        <vt:i4>5</vt:i4>
      </vt:variant>
      <vt:variant>
        <vt:lpwstr/>
      </vt:variant>
      <vt:variant>
        <vt:lpwstr>_Toc307075815</vt:lpwstr>
      </vt:variant>
      <vt:variant>
        <vt:i4>1245243</vt:i4>
      </vt:variant>
      <vt:variant>
        <vt:i4>224</vt:i4>
      </vt:variant>
      <vt:variant>
        <vt:i4>0</vt:i4>
      </vt:variant>
      <vt:variant>
        <vt:i4>5</vt:i4>
      </vt:variant>
      <vt:variant>
        <vt:lpwstr/>
      </vt:variant>
      <vt:variant>
        <vt:lpwstr>_Toc307075814</vt:lpwstr>
      </vt:variant>
      <vt:variant>
        <vt:i4>1245243</vt:i4>
      </vt:variant>
      <vt:variant>
        <vt:i4>218</vt:i4>
      </vt:variant>
      <vt:variant>
        <vt:i4>0</vt:i4>
      </vt:variant>
      <vt:variant>
        <vt:i4>5</vt:i4>
      </vt:variant>
      <vt:variant>
        <vt:lpwstr/>
      </vt:variant>
      <vt:variant>
        <vt:lpwstr>_Toc307075813</vt:lpwstr>
      </vt:variant>
      <vt:variant>
        <vt:i4>1245243</vt:i4>
      </vt:variant>
      <vt:variant>
        <vt:i4>212</vt:i4>
      </vt:variant>
      <vt:variant>
        <vt:i4>0</vt:i4>
      </vt:variant>
      <vt:variant>
        <vt:i4>5</vt:i4>
      </vt:variant>
      <vt:variant>
        <vt:lpwstr/>
      </vt:variant>
      <vt:variant>
        <vt:lpwstr>_Toc307075812</vt:lpwstr>
      </vt:variant>
      <vt:variant>
        <vt:i4>1245243</vt:i4>
      </vt:variant>
      <vt:variant>
        <vt:i4>206</vt:i4>
      </vt:variant>
      <vt:variant>
        <vt:i4>0</vt:i4>
      </vt:variant>
      <vt:variant>
        <vt:i4>5</vt:i4>
      </vt:variant>
      <vt:variant>
        <vt:lpwstr/>
      </vt:variant>
      <vt:variant>
        <vt:lpwstr>_Toc307075811</vt:lpwstr>
      </vt:variant>
      <vt:variant>
        <vt:i4>1245243</vt:i4>
      </vt:variant>
      <vt:variant>
        <vt:i4>200</vt:i4>
      </vt:variant>
      <vt:variant>
        <vt:i4>0</vt:i4>
      </vt:variant>
      <vt:variant>
        <vt:i4>5</vt:i4>
      </vt:variant>
      <vt:variant>
        <vt:lpwstr/>
      </vt:variant>
      <vt:variant>
        <vt:lpwstr>_Toc307075810</vt:lpwstr>
      </vt:variant>
      <vt:variant>
        <vt:i4>1179707</vt:i4>
      </vt:variant>
      <vt:variant>
        <vt:i4>194</vt:i4>
      </vt:variant>
      <vt:variant>
        <vt:i4>0</vt:i4>
      </vt:variant>
      <vt:variant>
        <vt:i4>5</vt:i4>
      </vt:variant>
      <vt:variant>
        <vt:lpwstr/>
      </vt:variant>
      <vt:variant>
        <vt:lpwstr>_Toc307075809</vt:lpwstr>
      </vt:variant>
      <vt:variant>
        <vt:i4>1179707</vt:i4>
      </vt:variant>
      <vt:variant>
        <vt:i4>188</vt:i4>
      </vt:variant>
      <vt:variant>
        <vt:i4>0</vt:i4>
      </vt:variant>
      <vt:variant>
        <vt:i4>5</vt:i4>
      </vt:variant>
      <vt:variant>
        <vt:lpwstr/>
      </vt:variant>
      <vt:variant>
        <vt:lpwstr>_Toc307075808</vt:lpwstr>
      </vt:variant>
      <vt:variant>
        <vt:i4>1179707</vt:i4>
      </vt:variant>
      <vt:variant>
        <vt:i4>182</vt:i4>
      </vt:variant>
      <vt:variant>
        <vt:i4>0</vt:i4>
      </vt:variant>
      <vt:variant>
        <vt:i4>5</vt:i4>
      </vt:variant>
      <vt:variant>
        <vt:lpwstr/>
      </vt:variant>
      <vt:variant>
        <vt:lpwstr>_Toc307075807</vt:lpwstr>
      </vt:variant>
      <vt:variant>
        <vt:i4>1179707</vt:i4>
      </vt:variant>
      <vt:variant>
        <vt:i4>176</vt:i4>
      </vt:variant>
      <vt:variant>
        <vt:i4>0</vt:i4>
      </vt:variant>
      <vt:variant>
        <vt:i4>5</vt:i4>
      </vt:variant>
      <vt:variant>
        <vt:lpwstr/>
      </vt:variant>
      <vt:variant>
        <vt:lpwstr>_Toc307075806</vt:lpwstr>
      </vt:variant>
      <vt:variant>
        <vt:i4>1179707</vt:i4>
      </vt:variant>
      <vt:variant>
        <vt:i4>170</vt:i4>
      </vt:variant>
      <vt:variant>
        <vt:i4>0</vt:i4>
      </vt:variant>
      <vt:variant>
        <vt:i4>5</vt:i4>
      </vt:variant>
      <vt:variant>
        <vt:lpwstr/>
      </vt:variant>
      <vt:variant>
        <vt:lpwstr>_Toc307075805</vt:lpwstr>
      </vt:variant>
      <vt:variant>
        <vt:i4>1179707</vt:i4>
      </vt:variant>
      <vt:variant>
        <vt:i4>164</vt:i4>
      </vt:variant>
      <vt:variant>
        <vt:i4>0</vt:i4>
      </vt:variant>
      <vt:variant>
        <vt:i4>5</vt:i4>
      </vt:variant>
      <vt:variant>
        <vt:lpwstr/>
      </vt:variant>
      <vt:variant>
        <vt:lpwstr>_Toc307075804</vt:lpwstr>
      </vt:variant>
      <vt:variant>
        <vt:i4>1179707</vt:i4>
      </vt:variant>
      <vt:variant>
        <vt:i4>158</vt:i4>
      </vt:variant>
      <vt:variant>
        <vt:i4>0</vt:i4>
      </vt:variant>
      <vt:variant>
        <vt:i4>5</vt:i4>
      </vt:variant>
      <vt:variant>
        <vt:lpwstr/>
      </vt:variant>
      <vt:variant>
        <vt:lpwstr>_Toc307075803</vt:lpwstr>
      </vt:variant>
      <vt:variant>
        <vt:i4>1179707</vt:i4>
      </vt:variant>
      <vt:variant>
        <vt:i4>152</vt:i4>
      </vt:variant>
      <vt:variant>
        <vt:i4>0</vt:i4>
      </vt:variant>
      <vt:variant>
        <vt:i4>5</vt:i4>
      </vt:variant>
      <vt:variant>
        <vt:lpwstr/>
      </vt:variant>
      <vt:variant>
        <vt:lpwstr>_Toc307075802</vt:lpwstr>
      </vt:variant>
      <vt:variant>
        <vt:i4>1179707</vt:i4>
      </vt:variant>
      <vt:variant>
        <vt:i4>146</vt:i4>
      </vt:variant>
      <vt:variant>
        <vt:i4>0</vt:i4>
      </vt:variant>
      <vt:variant>
        <vt:i4>5</vt:i4>
      </vt:variant>
      <vt:variant>
        <vt:lpwstr/>
      </vt:variant>
      <vt:variant>
        <vt:lpwstr>_Toc307075801</vt:lpwstr>
      </vt:variant>
      <vt:variant>
        <vt:i4>1179707</vt:i4>
      </vt:variant>
      <vt:variant>
        <vt:i4>140</vt:i4>
      </vt:variant>
      <vt:variant>
        <vt:i4>0</vt:i4>
      </vt:variant>
      <vt:variant>
        <vt:i4>5</vt:i4>
      </vt:variant>
      <vt:variant>
        <vt:lpwstr/>
      </vt:variant>
      <vt:variant>
        <vt:lpwstr>_Toc307075800</vt:lpwstr>
      </vt:variant>
      <vt:variant>
        <vt:i4>1769524</vt:i4>
      </vt:variant>
      <vt:variant>
        <vt:i4>134</vt:i4>
      </vt:variant>
      <vt:variant>
        <vt:i4>0</vt:i4>
      </vt:variant>
      <vt:variant>
        <vt:i4>5</vt:i4>
      </vt:variant>
      <vt:variant>
        <vt:lpwstr/>
      </vt:variant>
      <vt:variant>
        <vt:lpwstr>_Toc307075799</vt:lpwstr>
      </vt:variant>
      <vt:variant>
        <vt:i4>1769524</vt:i4>
      </vt:variant>
      <vt:variant>
        <vt:i4>128</vt:i4>
      </vt:variant>
      <vt:variant>
        <vt:i4>0</vt:i4>
      </vt:variant>
      <vt:variant>
        <vt:i4>5</vt:i4>
      </vt:variant>
      <vt:variant>
        <vt:lpwstr/>
      </vt:variant>
      <vt:variant>
        <vt:lpwstr>_Toc307075798</vt:lpwstr>
      </vt:variant>
      <vt:variant>
        <vt:i4>1769524</vt:i4>
      </vt:variant>
      <vt:variant>
        <vt:i4>122</vt:i4>
      </vt:variant>
      <vt:variant>
        <vt:i4>0</vt:i4>
      </vt:variant>
      <vt:variant>
        <vt:i4>5</vt:i4>
      </vt:variant>
      <vt:variant>
        <vt:lpwstr/>
      </vt:variant>
      <vt:variant>
        <vt:lpwstr>_Toc307075797</vt:lpwstr>
      </vt:variant>
      <vt:variant>
        <vt:i4>1769524</vt:i4>
      </vt:variant>
      <vt:variant>
        <vt:i4>116</vt:i4>
      </vt:variant>
      <vt:variant>
        <vt:i4>0</vt:i4>
      </vt:variant>
      <vt:variant>
        <vt:i4>5</vt:i4>
      </vt:variant>
      <vt:variant>
        <vt:lpwstr/>
      </vt:variant>
      <vt:variant>
        <vt:lpwstr>_Toc307075796</vt:lpwstr>
      </vt:variant>
      <vt:variant>
        <vt:i4>1769524</vt:i4>
      </vt:variant>
      <vt:variant>
        <vt:i4>110</vt:i4>
      </vt:variant>
      <vt:variant>
        <vt:i4>0</vt:i4>
      </vt:variant>
      <vt:variant>
        <vt:i4>5</vt:i4>
      </vt:variant>
      <vt:variant>
        <vt:lpwstr/>
      </vt:variant>
      <vt:variant>
        <vt:lpwstr>_Toc307075795</vt:lpwstr>
      </vt:variant>
      <vt:variant>
        <vt:i4>1769524</vt:i4>
      </vt:variant>
      <vt:variant>
        <vt:i4>104</vt:i4>
      </vt:variant>
      <vt:variant>
        <vt:i4>0</vt:i4>
      </vt:variant>
      <vt:variant>
        <vt:i4>5</vt:i4>
      </vt:variant>
      <vt:variant>
        <vt:lpwstr/>
      </vt:variant>
      <vt:variant>
        <vt:lpwstr>_Toc307075794</vt:lpwstr>
      </vt:variant>
      <vt:variant>
        <vt:i4>1769524</vt:i4>
      </vt:variant>
      <vt:variant>
        <vt:i4>98</vt:i4>
      </vt:variant>
      <vt:variant>
        <vt:i4>0</vt:i4>
      </vt:variant>
      <vt:variant>
        <vt:i4>5</vt:i4>
      </vt:variant>
      <vt:variant>
        <vt:lpwstr/>
      </vt:variant>
      <vt:variant>
        <vt:lpwstr>_Toc307075793</vt:lpwstr>
      </vt:variant>
      <vt:variant>
        <vt:i4>1769524</vt:i4>
      </vt:variant>
      <vt:variant>
        <vt:i4>92</vt:i4>
      </vt:variant>
      <vt:variant>
        <vt:i4>0</vt:i4>
      </vt:variant>
      <vt:variant>
        <vt:i4>5</vt:i4>
      </vt:variant>
      <vt:variant>
        <vt:lpwstr/>
      </vt:variant>
      <vt:variant>
        <vt:lpwstr>_Toc307075792</vt:lpwstr>
      </vt:variant>
      <vt:variant>
        <vt:i4>1769524</vt:i4>
      </vt:variant>
      <vt:variant>
        <vt:i4>86</vt:i4>
      </vt:variant>
      <vt:variant>
        <vt:i4>0</vt:i4>
      </vt:variant>
      <vt:variant>
        <vt:i4>5</vt:i4>
      </vt:variant>
      <vt:variant>
        <vt:lpwstr/>
      </vt:variant>
      <vt:variant>
        <vt:lpwstr>_Toc307075791</vt:lpwstr>
      </vt:variant>
      <vt:variant>
        <vt:i4>1769524</vt:i4>
      </vt:variant>
      <vt:variant>
        <vt:i4>80</vt:i4>
      </vt:variant>
      <vt:variant>
        <vt:i4>0</vt:i4>
      </vt:variant>
      <vt:variant>
        <vt:i4>5</vt:i4>
      </vt:variant>
      <vt:variant>
        <vt:lpwstr/>
      </vt:variant>
      <vt:variant>
        <vt:lpwstr>_Toc307075790</vt:lpwstr>
      </vt:variant>
      <vt:variant>
        <vt:i4>1703988</vt:i4>
      </vt:variant>
      <vt:variant>
        <vt:i4>74</vt:i4>
      </vt:variant>
      <vt:variant>
        <vt:i4>0</vt:i4>
      </vt:variant>
      <vt:variant>
        <vt:i4>5</vt:i4>
      </vt:variant>
      <vt:variant>
        <vt:lpwstr/>
      </vt:variant>
      <vt:variant>
        <vt:lpwstr>_Toc307075789</vt:lpwstr>
      </vt:variant>
      <vt:variant>
        <vt:i4>1703988</vt:i4>
      </vt:variant>
      <vt:variant>
        <vt:i4>68</vt:i4>
      </vt:variant>
      <vt:variant>
        <vt:i4>0</vt:i4>
      </vt:variant>
      <vt:variant>
        <vt:i4>5</vt:i4>
      </vt:variant>
      <vt:variant>
        <vt:lpwstr/>
      </vt:variant>
      <vt:variant>
        <vt:lpwstr>_Toc307075788</vt:lpwstr>
      </vt:variant>
      <vt:variant>
        <vt:i4>1703988</vt:i4>
      </vt:variant>
      <vt:variant>
        <vt:i4>62</vt:i4>
      </vt:variant>
      <vt:variant>
        <vt:i4>0</vt:i4>
      </vt:variant>
      <vt:variant>
        <vt:i4>5</vt:i4>
      </vt:variant>
      <vt:variant>
        <vt:lpwstr/>
      </vt:variant>
      <vt:variant>
        <vt:lpwstr>_Toc307075787</vt:lpwstr>
      </vt:variant>
      <vt:variant>
        <vt:i4>1703988</vt:i4>
      </vt:variant>
      <vt:variant>
        <vt:i4>56</vt:i4>
      </vt:variant>
      <vt:variant>
        <vt:i4>0</vt:i4>
      </vt:variant>
      <vt:variant>
        <vt:i4>5</vt:i4>
      </vt:variant>
      <vt:variant>
        <vt:lpwstr/>
      </vt:variant>
      <vt:variant>
        <vt:lpwstr>_Toc307075786</vt:lpwstr>
      </vt:variant>
      <vt:variant>
        <vt:i4>1703988</vt:i4>
      </vt:variant>
      <vt:variant>
        <vt:i4>50</vt:i4>
      </vt:variant>
      <vt:variant>
        <vt:i4>0</vt:i4>
      </vt:variant>
      <vt:variant>
        <vt:i4>5</vt:i4>
      </vt:variant>
      <vt:variant>
        <vt:lpwstr/>
      </vt:variant>
      <vt:variant>
        <vt:lpwstr>_Toc307075785</vt:lpwstr>
      </vt:variant>
      <vt:variant>
        <vt:i4>1703988</vt:i4>
      </vt:variant>
      <vt:variant>
        <vt:i4>44</vt:i4>
      </vt:variant>
      <vt:variant>
        <vt:i4>0</vt:i4>
      </vt:variant>
      <vt:variant>
        <vt:i4>5</vt:i4>
      </vt:variant>
      <vt:variant>
        <vt:lpwstr/>
      </vt:variant>
      <vt:variant>
        <vt:lpwstr>_Toc307075784</vt:lpwstr>
      </vt:variant>
      <vt:variant>
        <vt:i4>1703988</vt:i4>
      </vt:variant>
      <vt:variant>
        <vt:i4>38</vt:i4>
      </vt:variant>
      <vt:variant>
        <vt:i4>0</vt:i4>
      </vt:variant>
      <vt:variant>
        <vt:i4>5</vt:i4>
      </vt:variant>
      <vt:variant>
        <vt:lpwstr/>
      </vt:variant>
      <vt:variant>
        <vt:lpwstr>_Toc307075783</vt:lpwstr>
      </vt:variant>
      <vt:variant>
        <vt:i4>1703988</vt:i4>
      </vt:variant>
      <vt:variant>
        <vt:i4>32</vt:i4>
      </vt:variant>
      <vt:variant>
        <vt:i4>0</vt:i4>
      </vt:variant>
      <vt:variant>
        <vt:i4>5</vt:i4>
      </vt:variant>
      <vt:variant>
        <vt:lpwstr/>
      </vt:variant>
      <vt:variant>
        <vt:lpwstr>_Toc307075782</vt:lpwstr>
      </vt:variant>
      <vt:variant>
        <vt:i4>1703988</vt:i4>
      </vt:variant>
      <vt:variant>
        <vt:i4>26</vt:i4>
      </vt:variant>
      <vt:variant>
        <vt:i4>0</vt:i4>
      </vt:variant>
      <vt:variant>
        <vt:i4>5</vt:i4>
      </vt:variant>
      <vt:variant>
        <vt:lpwstr/>
      </vt:variant>
      <vt:variant>
        <vt:lpwstr>_Toc307075781</vt:lpwstr>
      </vt:variant>
      <vt:variant>
        <vt:i4>1703988</vt:i4>
      </vt:variant>
      <vt:variant>
        <vt:i4>20</vt:i4>
      </vt:variant>
      <vt:variant>
        <vt:i4>0</vt:i4>
      </vt:variant>
      <vt:variant>
        <vt:i4>5</vt:i4>
      </vt:variant>
      <vt:variant>
        <vt:lpwstr/>
      </vt:variant>
      <vt:variant>
        <vt:lpwstr>_Toc307075780</vt:lpwstr>
      </vt:variant>
      <vt:variant>
        <vt:i4>1376308</vt:i4>
      </vt:variant>
      <vt:variant>
        <vt:i4>14</vt:i4>
      </vt:variant>
      <vt:variant>
        <vt:i4>0</vt:i4>
      </vt:variant>
      <vt:variant>
        <vt:i4>5</vt:i4>
      </vt:variant>
      <vt:variant>
        <vt:lpwstr/>
      </vt:variant>
      <vt:variant>
        <vt:lpwstr>_Toc307075779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Mobile Surgical Services and related services</dc:title>
  <dc:creator>Sapere Research Group</dc:creator>
  <cp:keywords/>
  <cp:lastModifiedBy>Ministry of Health</cp:lastModifiedBy>
  <cp:revision>14</cp:revision>
  <cp:lastPrinted>2011-09-27T10:57:00Z</cp:lastPrinted>
  <dcterms:created xsi:type="dcterms:W3CDTF">2014-07-14T05:09:00Z</dcterms:created>
  <dcterms:modified xsi:type="dcterms:W3CDTF">2015-07-28T00:08:00Z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Date">
    <vt:lpwstr>Date</vt:lpwstr>
  </property>
  <property fmtid="{D5CDD505-2E9C-101B-9397-08002B2CF9AE}" pid="3" name="PreparedBy">
    <vt:lpwstr>PreparedBy</vt:lpwstr>
  </property>
  <property fmtid="{D5CDD505-2E9C-101B-9397-08002B2CF9AE}" pid="4" name="FooterTitle">
    <vt:lpwstr>FooterTitle</vt:lpwstr>
  </property>
</Properties>
</file>