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9E611D" w:rsidRDefault="004639AE" w:rsidP="00D54D50">
      <w:pPr>
        <w:pStyle w:val="Title"/>
      </w:pPr>
      <w:r>
        <w:t>R</w:t>
      </w:r>
      <w:r w:rsidR="00507137">
        <w:t xml:space="preserve">evitalising the </w:t>
      </w:r>
      <w:r w:rsidR="00AC2959" w:rsidRPr="009E611D">
        <w:t>National HPV Immunisation Programme</w:t>
      </w:r>
    </w:p>
    <w:p w:rsidR="00343365" w:rsidRDefault="00DD336F" w:rsidP="009D05D7">
      <w:pPr>
        <w:pStyle w:val="Year"/>
        <w:rPr>
          <w:sz w:val="44"/>
          <w:szCs w:val="44"/>
        </w:rPr>
      </w:pPr>
      <w:proofErr w:type="gramStart"/>
      <w:r w:rsidRPr="004532A5">
        <w:rPr>
          <w:sz w:val="44"/>
          <w:szCs w:val="44"/>
        </w:rPr>
        <w:t>with</w:t>
      </w:r>
      <w:proofErr w:type="gramEnd"/>
      <w:r w:rsidRPr="004532A5">
        <w:rPr>
          <w:sz w:val="44"/>
          <w:szCs w:val="44"/>
        </w:rPr>
        <w:t xml:space="preserve"> a</w:t>
      </w:r>
      <w:r w:rsidR="00A80124" w:rsidRPr="004532A5">
        <w:rPr>
          <w:sz w:val="44"/>
          <w:szCs w:val="44"/>
        </w:rPr>
        <w:t>greed</w:t>
      </w:r>
      <w:r w:rsidR="00CB5BA4" w:rsidRPr="004532A5">
        <w:rPr>
          <w:sz w:val="44"/>
          <w:szCs w:val="44"/>
        </w:rPr>
        <w:t xml:space="preserve"> o</w:t>
      </w:r>
      <w:r w:rsidR="00AC2959" w:rsidRPr="004532A5">
        <w:rPr>
          <w:sz w:val="44"/>
          <w:szCs w:val="44"/>
        </w:rPr>
        <w:t>utcomes from the August 2014 workshop</w:t>
      </w:r>
    </w:p>
    <w:p w:rsidR="00B310F9" w:rsidRPr="004532A5" w:rsidRDefault="00B310F9" w:rsidP="004532A5">
      <w:pPr>
        <w:pStyle w:val="Subhead"/>
        <w:rPr>
          <w:sz w:val="24"/>
          <w:szCs w:val="24"/>
        </w:rPr>
      </w:pPr>
    </w:p>
    <w:p w:rsidR="00C86248" w:rsidRPr="009E611D" w:rsidRDefault="00DB2454" w:rsidP="00343365">
      <w:pPr>
        <w:pStyle w:val="Subhead"/>
      </w:pPr>
      <w:r>
        <w:rPr>
          <w:noProof/>
          <w:lang w:eastAsia="ja-JP"/>
        </w:rPr>
        <w:drawing>
          <wp:anchor distT="0" distB="0" distL="114300" distR="114300" simplePos="0" relativeHeight="251659776" behindDoc="1" locked="0" layoutInCell="1" allowOverlap="1" wp14:anchorId="67CD5F64" wp14:editId="4CD165E8">
            <wp:simplePos x="0" y="0"/>
            <wp:positionH relativeFrom="column">
              <wp:posOffset>-758825</wp:posOffset>
            </wp:positionH>
            <wp:positionV relativeFrom="paragraph">
              <wp:posOffset>24130</wp:posOffset>
            </wp:positionV>
            <wp:extent cx="5862320" cy="3339465"/>
            <wp:effectExtent l="0" t="0" r="5080" b="0"/>
            <wp:wrapTight wrapText="bothSides">
              <wp:wrapPolygon edited="0">
                <wp:start x="0" y="0"/>
                <wp:lineTo x="0" y="21440"/>
                <wp:lineTo x="21549" y="21440"/>
                <wp:lineTo x="21549" y="0"/>
                <wp:lineTo x="0" y="0"/>
              </wp:wrapPolygon>
            </wp:wrapTight>
            <wp:docPr id="1"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motif-generic-final.tif"/>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5862320" cy="3339465"/>
                    </a:xfrm>
                    <a:prstGeom prst="rect">
                      <a:avLst/>
                    </a:prstGeom>
                    <a:gradFill>
                      <a:gsLst>
                        <a:gs pos="0">
                          <a:schemeClr val="accent1">
                            <a:tint val="66000"/>
                            <a:satMod val="160000"/>
                          </a:schemeClr>
                        </a:gs>
                        <a:gs pos="10000">
                          <a:schemeClr val="accent1">
                            <a:tint val="44500"/>
                            <a:satMod val="160000"/>
                          </a:schemeClr>
                        </a:gs>
                        <a:gs pos="100000">
                          <a:schemeClr val="accent1">
                            <a:tint val="23500"/>
                            <a:satMod val="160000"/>
                          </a:schemeClr>
                        </a:gs>
                      </a:gsLst>
                      <a:lin ang="5400000" scaled="0"/>
                    </a:gradFill>
                  </pic:spPr>
                </pic:pic>
              </a:graphicData>
            </a:graphic>
            <wp14:sizeRelH relativeFrom="page">
              <wp14:pctWidth>0</wp14:pctWidth>
            </wp14:sizeRelH>
            <wp14:sizeRelV relativeFrom="page">
              <wp14:pctHeight>0</wp14:pctHeight>
            </wp14:sizeRelV>
          </wp:anchor>
        </w:drawing>
      </w:r>
    </w:p>
    <w:p w:rsidR="00142954" w:rsidRPr="009E611D" w:rsidRDefault="00142954" w:rsidP="00142954">
      <w:pPr>
        <w:sectPr w:rsidR="00142954" w:rsidRPr="009E611D" w:rsidSect="000F2AE2">
          <w:headerReference w:type="default" r:id="rId10"/>
          <w:footerReference w:type="default" r:id="rId11"/>
          <w:pgSz w:w="11907" w:h="16834" w:code="9"/>
          <w:pgMar w:top="3969" w:right="851" w:bottom="851" w:left="2552" w:header="851" w:footer="851" w:gutter="0"/>
          <w:cols w:space="720"/>
        </w:sectPr>
      </w:pPr>
    </w:p>
    <w:p w:rsidR="00A80363" w:rsidRPr="009E611D" w:rsidRDefault="00A80363" w:rsidP="00947D85">
      <w:pPr>
        <w:pStyle w:val="Imprint"/>
      </w:pPr>
      <w:r w:rsidRPr="009E611D">
        <w:lastRenderedPageBreak/>
        <w:t xml:space="preserve">Citation: </w:t>
      </w:r>
      <w:r w:rsidR="00442C1C" w:rsidRPr="009E611D">
        <w:t xml:space="preserve">Ministry of Health. </w:t>
      </w:r>
      <w:r w:rsidR="00AC2959" w:rsidRPr="009E611D">
        <w:t>2015</w:t>
      </w:r>
      <w:r w:rsidR="00442C1C" w:rsidRPr="009E611D">
        <w:t xml:space="preserve">. </w:t>
      </w:r>
      <w:r w:rsidR="00A517A9">
        <w:rPr>
          <w:i/>
        </w:rPr>
        <w:t>R</w:t>
      </w:r>
      <w:r w:rsidR="00507137" w:rsidRPr="004532A5">
        <w:rPr>
          <w:i/>
        </w:rPr>
        <w:t>evitalising the</w:t>
      </w:r>
      <w:r w:rsidR="00507137">
        <w:t xml:space="preserve"> </w:t>
      </w:r>
      <w:r w:rsidR="00AC2959" w:rsidRPr="009E611D">
        <w:rPr>
          <w:i/>
        </w:rPr>
        <w:t>National HPV Immunisation Programme</w:t>
      </w:r>
      <w:r w:rsidR="00EA4325">
        <w:rPr>
          <w:i/>
        </w:rPr>
        <w:t xml:space="preserve"> w</w:t>
      </w:r>
      <w:r w:rsidR="007629C7">
        <w:rPr>
          <w:i/>
        </w:rPr>
        <w:t xml:space="preserve">ith </w:t>
      </w:r>
      <w:r w:rsidR="00EA4325">
        <w:rPr>
          <w:i/>
        </w:rPr>
        <w:t>A</w:t>
      </w:r>
      <w:r w:rsidR="007629C7">
        <w:rPr>
          <w:i/>
        </w:rPr>
        <w:t xml:space="preserve">greed </w:t>
      </w:r>
      <w:r w:rsidR="00EA4325">
        <w:rPr>
          <w:i/>
        </w:rPr>
        <w:t>O</w:t>
      </w:r>
      <w:r w:rsidR="007629C7">
        <w:rPr>
          <w:i/>
        </w:rPr>
        <w:t xml:space="preserve">utcomes from the August 2014 </w:t>
      </w:r>
      <w:r w:rsidR="00EA4325">
        <w:rPr>
          <w:i/>
        </w:rPr>
        <w:t>W</w:t>
      </w:r>
      <w:r w:rsidR="007629C7">
        <w:rPr>
          <w:i/>
        </w:rPr>
        <w:t>orkshop</w:t>
      </w:r>
      <w:r w:rsidR="00442C1C" w:rsidRPr="009E611D">
        <w:t>.</w:t>
      </w:r>
      <w:r w:rsidR="00AC2959" w:rsidRPr="009E611D">
        <w:br/>
      </w:r>
      <w:r w:rsidR="00442C1C" w:rsidRPr="009E611D">
        <w:t>Wellington: Ministry of Health.</w:t>
      </w:r>
    </w:p>
    <w:p w:rsidR="00AC2959" w:rsidRPr="009E611D" w:rsidRDefault="00AC2959">
      <w:pPr>
        <w:pStyle w:val="Imprint"/>
      </w:pPr>
      <w:r w:rsidRPr="009E611D">
        <w:t>Prepared by</w:t>
      </w:r>
      <w:r w:rsidRPr="009E611D">
        <w:br/>
        <w:t xml:space="preserve">Ministry of Health and collective </w:t>
      </w:r>
      <w:r w:rsidR="00507137">
        <w:t>d</w:t>
      </w:r>
      <w:r w:rsidR="00507137" w:rsidRPr="009E611D">
        <w:t xml:space="preserve">istrict </w:t>
      </w:r>
      <w:r w:rsidR="00507137">
        <w:t>h</w:t>
      </w:r>
      <w:r w:rsidR="00507137" w:rsidRPr="009E611D">
        <w:t xml:space="preserve">ealth </w:t>
      </w:r>
      <w:r w:rsidR="00507137">
        <w:t>board</w:t>
      </w:r>
      <w:r w:rsidR="00507137" w:rsidRPr="009E611D">
        <w:t xml:space="preserve"> </w:t>
      </w:r>
      <w:r w:rsidR="00507137">
        <w:t>p</w:t>
      </w:r>
      <w:r w:rsidR="00507137" w:rsidRPr="009E611D">
        <w:t xml:space="preserve">rogramme </w:t>
      </w:r>
      <w:r w:rsidR="00507137">
        <w:t>l</w:t>
      </w:r>
      <w:r w:rsidR="00507137" w:rsidRPr="009E611D">
        <w:t>eads</w:t>
      </w:r>
    </w:p>
    <w:p w:rsidR="00C86248" w:rsidRPr="009E611D" w:rsidRDefault="00C86248">
      <w:pPr>
        <w:pStyle w:val="Imprint"/>
      </w:pPr>
      <w:r w:rsidRPr="009E611D">
        <w:t xml:space="preserve">Published in </w:t>
      </w:r>
      <w:r w:rsidR="007629C7">
        <w:t>September</w:t>
      </w:r>
      <w:r w:rsidR="007629C7" w:rsidRPr="009E611D">
        <w:t xml:space="preserve"> </w:t>
      </w:r>
      <w:r w:rsidR="00AC2959" w:rsidRPr="009E611D">
        <w:t>2015</w:t>
      </w:r>
      <w:r w:rsidR="005019AE" w:rsidRPr="009E611D">
        <w:br/>
      </w:r>
      <w:r w:rsidRPr="009E611D">
        <w:t>by the</w:t>
      </w:r>
      <w:r w:rsidR="00442C1C" w:rsidRPr="009E611D">
        <w:t xml:space="preserve"> </w:t>
      </w:r>
      <w:r w:rsidRPr="009E611D">
        <w:t>Ministry of Health</w:t>
      </w:r>
      <w:r w:rsidRPr="009E611D">
        <w:br/>
        <w:t>PO Box 5013, Wellington</w:t>
      </w:r>
      <w:r w:rsidR="00A80363" w:rsidRPr="009E611D">
        <w:t xml:space="preserve"> 6145</w:t>
      </w:r>
      <w:r w:rsidRPr="009E611D">
        <w:t>, New Zealand</w:t>
      </w:r>
    </w:p>
    <w:p w:rsidR="00082CD6" w:rsidRPr="009E611D" w:rsidRDefault="00D863D0" w:rsidP="00082CD6">
      <w:pPr>
        <w:pStyle w:val="Imprint"/>
      </w:pPr>
      <w:r w:rsidRPr="009E611D">
        <w:t>ISBN</w:t>
      </w:r>
      <w:r w:rsidR="00442C1C" w:rsidRPr="009E611D">
        <w:t xml:space="preserve">: </w:t>
      </w:r>
      <w:r w:rsidR="00D42206">
        <w:t>978-0-478-44851-1</w:t>
      </w:r>
      <w:r w:rsidR="00442C1C" w:rsidRPr="009E611D">
        <w:t xml:space="preserve"> </w:t>
      </w:r>
      <w:r w:rsidRPr="009E611D">
        <w:t>(</w:t>
      </w:r>
      <w:r w:rsidR="00442C1C" w:rsidRPr="009E611D">
        <w:t>online</w:t>
      </w:r>
      <w:proofErr w:type="gramStart"/>
      <w:r w:rsidRPr="009E611D">
        <w:t>)</w:t>
      </w:r>
      <w:proofErr w:type="gramEnd"/>
      <w:r w:rsidR="00082CD6" w:rsidRPr="009E611D">
        <w:br/>
        <w:t xml:space="preserve">HP </w:t>
      </w:r>
      <w:r w:rsidR="00D42206">
        <w:t>6230</w:t>
      </w:r>
    </w:p>
    <w:p w:rsidR="00C86248" w:rsidRPr="009E611D" w:rsidRDefault="00C86248">
      <w:pPr>
        <w:pStyle w:val="Imprint"/>
      </w:pPr>
      <w:r w:rsidRPr="009E611D">
        <w:t xml:space="preserve">This document is available </w:t>
      </w:r>
      <w:r w:rsidR="0071741C" w:rsidRPr="009E611D">
        <w:t xml:space="preserve">at </w:t>
      </w:r>
      <w:r w:rsidRPr="009E611D">
        <w:t>h</w:t>
      </w:r>
      <w:r w:rsidR="00A80363" w:rsidRPr="009E611D">
        <w:t>ealth</w:t>
      </w:r>
      <w:r w:rsidRPr="009E611D">
        <w:t>.govt.nz</w:t>
      </w:r>
    </w:p>
    <w:p w:rsidR="00C86248" w:rsidRDefault="001F5056" w:rsidP="00A2542C">
      <w:pPr>
        <w:jc w:val="center"/>
      </w:pPr>
      <w:r>
        <w:rPr>
          <w:noProof/>
          <w:lang w:eastAsia="ja-JP"/>
        </w:rPr>
        <w:drawing>
          <wp:inline distT="0" distB="0" distL="0" distR="0" wp14:anchorId="3EDDA6F0" wp14:editId="585A0FF7">
            <wp:extent cx="1670685" cy="681355"/>
            <wp:effectExtent l="0" t="0" r="5715" b="4445"/>
            <wp:docPr id="3"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A2542C" w:rsidRDefault="00A2542C" w:rsidP="00A2542C">
      <w:pPr>
        <w:pStyle w:val="Heading3"/>
        <w:keepNext w:val="0"/>
        <w:shd w:val="clear" w:color="auto" w:fill="FFFFFF"/>
        <w:ind w:right="-851"/>
        <w:rPr>
          <w:sz w:val="18"/>
          <w:szCs w:val="18"/>
        </w:rPr>
      </w:pPr>
      <w:r>
        <w:rPr>
          <w:b w:val="0"/>
          <w:noProof/>
          <w:sz w:val="22"/>
          <w:szCs w:val="22"/>
          <w:lang w:eastAsia="ja-JP"/>
        </w:rPr>
        <w:drawing>
          <wp:inline distT="0" distB="0" distL="0" distR="0" wp14:anchorId="322830C7" wp14:editId="4AE41623">
            <wp:extent cx="810895" cy="286385"/>
            <wp:effectExtent l="0" t="0" r="8255"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895" cy="286385"/>
                    </a:xfrm>
                    <a:prstGeom prst="rect">
                      <a:avLst/>
                    </a:prstGeom>
                    <a:noFill/>
                    <a:ln>
                      <a:noFill/>
                    </a:ln>
                  </pic:spPr>
                </pic:pic>
              </a:graphicData>
            </a:graphic>
          </wp:inline>
        </w:drawing>
      </w:r>
      <w:r>
        <w:rPr>
          <w:b w:val="0"/>
          <w:sz w:val="22"/>
          <w:szCs w:val="22"/>
        </w:rPr>
        <w:t xml:space="preserve"> </w:t>
      </w:r>
      <w:r>
        <w:rPr>
          <w:b w:val="0"/>
          <w:sz w:val="18"/>
          <w:szCs w:val="18"/>
        </w:rPr>
        <w:t xml:space="preserve">This work is licensed under the Creative Commons Attribution 4.0 International licence. In essence, </w:t>
      </w:r>
      <w:r>
        <w:rPr>
          <w:rFonts w:cs="Arial"/>
          <w:b w:val="0"/>
          <w:bCs/>
          <w:sz w:val="18"/>
          <w:szCs w:val="18"/>
        </w:rPr>
        <w:t xml:space="preserve">you are free to: </w:t>
      </w:r>
      <w:r>
        <w:rPr>
          <w:rFonts w:cs="Arial"/>
          <w:b w:val="0"/>
          <w:sz w:val="18"/>
          <w:szCs w:val="18"/>
        </w:rPr>
        <w:t xml:space="preserve">share, </w:t>
      </w:r>
      <w:proofErr w:type="spellStart"/>
      <w:r>
        <w:rPr>
          <w:rFonts w:cs="Arial"/>
          <w:b w:val="0"/>
          <w:sz w:val="18"/>
          <w:szCs w:val="18"/>
        </w:rPr>
        <w:t>ie</w:t>
      </w:r>
      <w:proofErr w:type="spellEnd"/>
      <w:r>
        <w:rPr>
          <w:rFonts w:cs="Arial"/>
          <w:b w:val="0"/>
          <w:sz w:val="18"/>
          <w:szCs w:val="18"/>
        </w:rPr>
        <w:t xml:space="preserve">, copy and redistribute the material in any medium or format; adapt, </w:t>
      </w:r>
      <w:proofErr w:type="spellStart"/>
      <w:r>
        <w:rPr>
          <w:rFonts w:cs="Arial"/>
          <w:b w:val="0"/>
          <w:sz w:val="18"/>
          <w:szCs w:val="18"/>
        </w:rPr>
        <w:t>ie</w:t>
      </w:r>
      <w:proofErr w:type="spellEnd"/>
      <w:r>
        <w:rPr>
          <w:rFonts w:cs="Arial"/>
          <w:b w:val="0"/>
          <w:sz w:val="18"/>
          <w:szCs w:val="18"/>
        </w:rPr>
        <w:t xml:space="preserve">, remix, transform and build upon the material. </w:t>
      </w:r>
      <w:r>
        <w:rPr>
          <w:rFonts w:cs="Arial"/>
          <w:b w:val="0"/>
          <w:bCs/>
          <w:sz w:val="18"/>
          <w:szCs w:val="18"/>
        </w:rPr>
        <w:t>You must give appropriate credit, provide a link to the licence and indicate if changes were made.</w:t>
      </w:r>
    </w:p>
    <w:p w:rsidR="00A2542C" w:rsidRPr="009E611D" w:rsidRDefault="00A2542C">
      <w:pPr>
        <w:jc w:val="center"/>
        <w:sectPr w:rsidR="00A2542C" w:rsidRPr="009E611D" w:rsidSect="0016468A">
          <w:footerReference w:type="even" r:id="rId14"/>
          <w:footerReference w:type="default" r:id="rId15"/>
          <w:pgSz w:w="11907" w:h="16834" w:code="9"/>
          <w:pgMar w:top="1701" w:right="1134" w:bottom="1134" w:left="1985" w:header="0" w:footer="0" w:gutter="0"/>
          <w:cols w:space="720"/>
          <w:vAlign w:val="bottom"/>
        </w:sectPr>
      </w:pPr>
    </w:p>
    <w:p w:rsidR="00C232A2" w:rsidRPr="009E611D" w:rsidRDefault="00C232A2" w:rsidP="00C232A2">
      <w:pPr>
        <w:pStyle w:val="IntroHead"/>
      </w:pPr>
      <w:bookmarkStart w:id="0" w:name="_Toc405792991"/>
      <w:bookmarkStart w:id="1" w:name="_Toc405793224"/>
      <w:r w:rsidRPr="009E611D">
        <w:lastRenderedPageBreak/>
        <w:t>Contents</w:t>
      </w:r>
    </w:p>
    <w:p w:rsidR="00C232A2" w:rsidRDefault="00C232A2">
      <w:pPr>
        <w:pStyle w:val="TOC1"/>
        <w:rPr>
          <w:rFonts w:asciiTheme="minorHAnsi" w:eastAsiaTheme="minorEastAsia" w:hAnsiTheme="minorHAnsi" w:cstheme="minorBidi"/>
          <w:b w:val="0"/>
          <w:noProof/>
          <w:szCs w:val="22"/>
          <w:lang w:eastAsia="en-NZ"/>
        </w:rPr>
      </w:pPr>
      <w:r w:rsidRPr="009E611D">
        <w:rPr>
          <w:b w:val="0"/>
        </w:rPr>
        <w:fldChar w:fldCharType="begin"/>
      </w:r>
      <w:r w:rsidRPr="009E611D">
        <w:instrText xml:space="preserve"> TOC \o "1-2" </w:instrText>
      </w:r>
      <w:r w:rsidRPr="009E611D">
        <w:rPr>
          <w:b w:val="0"/>
        </w:rPr>
        <w:fldChar w:fldCharType="separate"/>
      </w:r>
      <w:r>
        <w:rPr>
          <w:noProof/>
        </w:rPr>
        <w:t>Commonly used abbreviations</w:t>
      </w:r>
      <w:r>
        <w:rPr>
          <w:noProof/>
        </w:rPr>
        <w:tab/>
      </w:r>
      <w:r>
        <w:rPr>
          <w:noProof/>
        </w:rPr>
        <w:fldChar w:fldCharType="begin"/>
      </w:r>
      <w:r>
        <w:rPr>
          <w:noProof/>
        </w:rPr>
        <w:instrText xml:space="preserve"> PAGEREF _Toc427227972 \h </w:instrText>
      </w:r>
      <w:r>
        <w:rPr>
          <w:noProof/>
        </w:rPr>
      </w:r>
      <w:r>
        <w:rPr>
          <w:noProof/>
        </w:rPr>
        <w:fldChar w:fldCharType="separate"/>
      </w:r>
      <w:r w:rsidR="0003635C">
        <w:rPr>
          <w:noProof/>
        </w:rPr>
        <w:t>iv</w:t>
      </w:r>
      <w:r>
        <w:rPr>
          <w:noProof/>
        </w:rPr>
        <w:fldChar w:fldCharType="end"/>
      </w:r>
    </w:p>
    <w:p w:rsidR="00C232A2" w:rsidRDefault="00C232A2">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_Toc427227973 \h </w:instrText>
      </w:r>
      <w:r>
        <w:rPr>
          <w:noProof/>
        </w:rPr>
      </w:r>
      <w:r>
        <w:rPr>
          <w:noProof/>
        </w:rPr>
        <w:fldChar w:fldCharType="separate"/>
      </w:r>
      <w:r w:rsidR="0003635C">
        <w:rPr>
          <w:noProof/>
        </w:rPr>
        <w:t>1</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lang w:eastAsia="en-NZ"/>
        </w:rPr>
        <w:t>Background</w:t>
      </w:r>
      <w:r>
        <w:rPr>
          <w:noProof/>
        </w:rPr>
        <w:tab/>
      </w:r>
      <w:r>
        <w:rPr>
          <w:noProof/>
        </w:rPr>
        <w:fldChar w:fldCharType="begin"/>
      </w:r>
      <w:r>
        <w:rPr>
          <w:noProof/>
        </w:rPr>
        <w:instrText xml:space="preserve"> PAGEREF _Toc427227974 \h </w:instrText>
      </w:r>
      <w:r>
        <w:rPr>
          <w:noProof/>
        </w:rPr>
      </w:r>
      <w:r>
        <w:rPr>
          <w:noProof/>
        </w:rPr>
        <w:fldChar w:fldCharType="separate"/>
      </w:r>
      <w:r w:rsidR="0003635C">
        <w:rPr>
          <w:noProof/>
        </w:rPr>
        <w:t>1</w:t>
      </w:r>
      <w:r>
        <w:rPr>
          <w:noProof/>
        </w:rPr>
        <w:fldChar w:fldCharType="end"/>
      </w:r>
    </w:p>
    <w:p w:rsidR="00C232A2" w:rsidRDefault="00C232A2">
      <w:pPr>
        <w:pStyle w:val="TOC1"/>
        <w:rPr>
          <w:rFonts w:asciiTheme="minorHAnsi" w:eastAsiaTheme="minorEastAsia" w:hAnsiTheme="minorHAnsi" w:cstheme="minorBidi"/>
          <w:b w:val="0"/>
          <w:noProof/>
          <w:szCs w:val="22"/>
          <w:lang w:eastAsia="en-NZ"/>
        </w:rPr>
      </w:pPr>
      <w:r>
        <w:rPr>
          <w:noProof/>
          <w:lang w:eastAsia="en-NZ"/>
        </w:rPr>
        <w:t>Implementation to date</w:t>
      </w:r>
      <w:r>
        <w:rPr>
          <w:noProof/>
        </w:rPr>
        <w:tab/>
      </w:r>
      <w:r>
        <w:rPr>
          <w:noProof/>
        </w:rPr>
        <w:fldChar w:fldCharType="begin"/>
      </w:r>
      <w:r>
        <w:rPr>
          <w:noProof/>
        </w:rPr>
        <w:instrText xml:space="preserve"> PAGEREF _Toc427227975 \h </w:instrText>
      </w:r>
      <w:r>
        <w:rPr>
          <w:noProof/>
        </w:rPr>
      </w:r>
      <w:r>
        <w:rPr>
          <w:noProof/>
        </w:rPr>
        <w:fldChar w:fldCharType="separate"/>
      </w:r>
      <w:r w:rsidR="0003635C">
        <w:rPr>
          <w:noProof/>
        </w:rPr>
        <w:t>2</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lang w:eastAsia="en-NZ"/>
        </w:rPr>
        <w:t>Initiation of the Programme</w:t>
      </w:r>
      <w:r>
        <w:rPr>
          <w:noProof/>
        </w:rPr>
        <w:tab/>
      </w:r>
      <w:r>
        <w:rPr>
          <w:noProof/>
        </w:rPr>
        <w:fldChar w:fldCharType="begin"/>
      </w:r>
      <w:r>
        <w:rPr>
          <w:noProof/>
        </w:rPr>
        <w:instrText xml:space="preserve"> PAGEREF _Toc427227976 \h </w:instrText>
      </w:r>
      <w:r>
        <w:rPr>
          <w:noProof/>
        </w:rPr>
      </w:r>
      <w:r>
        <w:rPr>
          <w:noProof/>
        </w:rPr>
        <w:fldChar w:fldCharType="separate"/>
      </w:r>
      <w:r w:rsidR="0003635C">
        <w:rPr>
          <w:noProof/>
        </w:rPr>
        <w:t>2</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lang w:eastAsia="en-NZ"/>
        </w:rPr>
        <w:t>Coverage targets and achievement to date</w:t>
      </w:r>
      <w:r>
        <w:rPr>
          <w:noProof/>
        </w:rPr>
        <w:tab/>
      </w:r>
      <w:r>
        <w:rPr>
          <w:noProof/>
        </w:rPr>
        <w:fldChar w:fldCharType="begin"/>
      </w:r>
      <w:r>
        <w:rPr>
          <w:noProof/>
        </w:rPr>
        <w:instrText xml:space="preserve"> PAGEREF _Toc427227977 \h </w:instrText>
      </w:r>
      <w:r>
        <w:rPr>
          <w:noProof/>
        </w:rPr>
      </w:r>
      <w:r>
        <w:rPr>
          <w:noProof/>
        </w:rPr>
        <w:fldChar w:fldCharType="separate"/>
      </w:r>
      <w:r w:rsidR="0003635C">
        <w:rPr>
          <w:noProof/>
        </w:rPr>
        <w:t>2</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The workshop</w:t>
      </w:r>
      <w:r>
        <w:rPr>
          <w:noProof/>
        </w:rPr>
        <w:tab/>
      </w:r>
      <w:r>
        <w:rPr>
          <w:noProof/>
        </w:rPr>
        <w:fldChar w:fldCharType="begin"/>
      </w:r>
      <w:r>
        <w:rPr>
          <w:noProof/>
        </w:rPr>
        <w:instrText xml:space="preserve"> PAGEREF _Toc427227978 \h </w:instrText>
      </w:r>
      <w:r>
        <w:rPr>
          <w:noProof/>
        </w:rPr>
      </w:r>
      <w:r>
        <w:rPr>
          <w:noProof/>
        </w:rPr>
        <w:fldChar w:fldCharType="separate"/>
      </w:r>
      <w:r w:rsidR="0003635C">
        <w:rPr>
          <w:noProof/>
        </w:rPr>
        <w:t>3</w:t>
      </w:r>
      <w:r>
        <w:rPr>
          <w:noProof/>
        </w:rPr>
        <w:fldChar w:fldCharType="end"/>
      </w:r>
    </w:p>
    <w:p w:rsidR="00C232A2" w:rsidRDefault="00C232A2">
      <w:pPr>
        <w:pStyle w:val="TOC1"/>
        <w:rPr>
          <w:rFonts w:asciiTheme="minorHAnsi" w:eastAsiaTheme="minorEastAsia" w:hAnsiTheme="minorHAnsi" w:cstheme="minorBidi"/>
          <w:b w:val="0"/>
          <w:noProof/>
          <w:szCs w:val="22"/>
          <w:lang w:eastAsia="en-NZ"/>
        </w:rPr>
      </w:pPr>
      <w:r>
        <w:rPr>
          <w:noProof/>
        </w:rPr>
        <w:t>Increasing HPV coverage: discussion</w:t>
      </w:r>
      <w:r>
        <w:rPr>
          <w:noProof/>
        </w:rPr>
        <w:tab/>
      </w:r>
      <w:r>
        <w:rPr>
          <w:noProof/>
        </w:rPr>
        <w:fldChar w:fldCharType="begin"/>
      </w:r>
      <w:r>
        <w:rPr>
          <w:noProof/>
        </w:rPr>
        <w:instrText xml:space="preserve"> PAGEREF _Toc427227979 \h </w:instrText>
      </w:r>
      <w:r>
        <w:rPr>
          <w:noProof/>
        </w:rPr>
      </w:r>
      <w:r>
        <w:rPr>
          <w:noProof/>
        </w:rPr>
        <w:fldChar w:fldCharType="separate"/>
      </w:r>
      <w:r w:rsidR="0003635C">
        <w:rPr>
          <w:noProof/>
        </w:rPr>
        <w:t>5</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The WHO GVAP objectives</w:t>
      </w:r>
      <w:r>
        <w:rPr>
          <w:noProof/>
        </w:rPr>
        <w:tab/>
      </w:r>
      <w:r>
        <w:rPr>
          <w:noProof/>
        </w:rPr>
        <w:fldChar w:fldCharType="begin"/>
      </w:r>
      <w:r>
        <w:rPr>
          <w:noProof/>
        </w:rPr>
        <w:instrText xml:space="preserve"> PAGEREF _Toc427227980 \h </w:instrText>
      </w:r>
      <w:r>
        <w:rPr>
          <w:noProof/>
        </w:rPr>
      </w:r>
      <w:r>
        <w:rPr>
          <w:noProof/>
        </w:rPr>
        <w:fldChar w:fldCharType="separate"/>
      </w:r>
      <w:r w:rsidR="0003635C">
        <w:rPr>
          <w:noProof/>
        </w:rPr>
        <w:t>5</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Increasing HPV coverage: an action plan</w:t>
      </w:r>
      <w:r>
        <w:rPr>
          <w:noProof/>
        </w:rPr>
        <w:tab/>
      </w:r>
      <w:r>
        <w:rPr>
          <w:noProof/>
        </w:rPr>
        <w:fldChar w:fldCharType="begin"/>
      </w:r>
      <w:r>
        <w:rPr>
          <w:noProof/>
        </w:rPr>
        <w:instrText xml:space="preserve"> PAGEREF _Toc427227981 \h </w:instrText>
      </w:r>
      <w:r>
        <w:rPr>
          <w:noProof/>
        </w:rPr>
      </w:r>
      <w:r>
        <w:rPr>
          <w:noProof/>
        </w:rPr>
        <w:fldChar w:fldCharType="separate"/>
      </w:r>
      <w:r w:rsidR="0003635C">
        <w:rPr>
          <w:noProof/>
        </w:rPr>
        <w:t>8</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Timelines</w:t>
      </w:r>
      <w:r>
        <w:rPr>
          <w:noProof/>
        </w:rPr>
        <w:tab/>
      </w:r>
      <w:r>
        <w:rPr>
          <w:noProof/>
        </w:rPr>
        <w:fldChar w:fldCharType="begin"/>
      </w:r>
      <w:r>
        <w:rPr>
          <w:noProof/>
        </w:rPr>
        <w:instrText xml:space="preserve"> PAGEREF _Toc427227982 \h </w:instrText>
      </w:r>
      <w:r>
        <w:rPr>
          <w:noProof/>
        </w:rPr>
      </w:r>
      <w:r>
        <w:rPr>
          <w:noProof/>
        </w:rPr>
        <w:fldChar w:fldCharType="separate"/>
      </w:r>
      <w:r w:rsidR="0003635C">
        <w:rPr>
          <w:noProof/>
        </w:rPr>
        <w:t>10</w:t>
      </w:r>
      <w:r>
        <w:rPr>
          <w:noProof/>
        </w:rPr>
        <w:fldChar w:fldCharType="end"/>
      </w:r>
    </w:p>
    <w:p w:rsidR="00C232A2" w:rsidRDefault="00C232A2">
      <w:pPr>
        <w:pStyle w:val="TOC1"/>
        <w:rPr>
          <w:rFonts w:asciiTheme="minorHAnsi" w:eastAsiaTheme="minorEastAsia" w:hAnsiTheme="minorHAnsi" w:cstheme="minorBidi"/>
          <w:b w:val="0"/>
          <w:noProof/>
          <w:szCs w:val="22"/>
          <w:lang w:eastAsia="en-NZ"/>
        </w:rPr>
      </w:pPr>
      <w:r>
        <w:rPr>
          <w:noProof/>
        </w:rPr>
        <w:t>Appendices</w:t>
      </w:r>
      <w:r>
        <w:rPr>
          <w:noProof/>
        </w:rPr>
        <w:tab/>
      </w:r>
      <w:r>
        <w:rPr>
          <w:noProof/>
        </w:rPr>
        <w:fldChar w:fldCharType="begin"/>
      </w:r>
      <w:r>
        <w:rPr>
          <w:noProof/>
        </w:rPr>
        <w:instrText xml:space="preserve"> PAGEREF _Toc427227983 \h </w:instrText>
      </w:r>
      <w:r>
        <w:rPr>
          <w:noProof/>
        </w:rPr>
      </w:r>
      <w:r>
        <w:rPr>
          <w:noProof/>
        </w:rPr>
        <w:fldChar w:fldCharType="separate"/>
      </w:r>
      <w:r w:rsidR="0003635C">
        <w:rPr>
          <w:noProof/>
        </w:rPr>
        <w:t>11</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Appendix A: WHO GVAP objectives, adapted for New Zealand</w:t>
      </w:r>
      <w:r>
        <w:rPr>
          <w:noProof/>
        </w:rPr>
        <w:tab/>
      </w:r>
      <w:r>
        <w:rPr>
          <w:noProof/>
        </w:rPr>
        <w:fldChar w:fldCharType="begin"/>
      </w:r>
      <w:r>
        <w:rPr>
          <w:noProof/>
        </w:rPr>
        <w:instrText xml:space="preserve"> PAGEREF _Toc427227984 \h </w:instrText>
      </w:r>
      <w:r>
        <w:rPr>
          <w:noProof/>
        </w:rPr>
      </w:r>
      <w:r>
        <w:rPr>
          <w:noProof/>
        </w:rPr>
        <w:fldChar w:fldCharType="separate"/>
      </w:r>
      <w:r w:rsidR="0003635C">
        <w:rPr>
          <w:noProof/>
        </w:rPr>
        <w:t>11</w:t>
      </w:r>
      <w:r>
        <w:rPr>
          <w:noProof/>
        </w:rPr>
        <w:fldChar w:fldCharType="end"/>
      </w:r>
    </w:p>
    <w:p w:rsidR="00C232A2" w:rsidRDefault="00C232A2">
      <w:pPr>
        <w:pStyle w:val="TOC2"/>
        <w:rPr>
          <w:rFonts w:asciiTheme="minorHAnsi" w:eastAsiaTheme="minorEastAsia" w:hAnsiTheme="minorHAnsi" w:cstheme="minorBidi"/>
          <w:noProof/>
          <w:szCs w:val="22"/>
          <w:lang w:eastAsia="en-NZ"/>
        </w:rPr>
      </w:pPr>
      <w:r>
        <w:rPr>
          <w:noProof/>
        </w:rPr>
        <w:t>Appendix B: 2014 HPV coverage for 2001 birth cohort (1 January 2014–30 June 2015)</w:t>
      </w:r>
      <w:r>
        <w:rPr>
          <w:noProof/>
        </w:rPr>
        <w:tab/>
      </w:r>
      <w:r>
        <w:rPr>
          <w:noProof/>
        </w:rPr>
        <w:fldChar w:fldCharType="begin"/>
      </w:r>
      <w:r>
        <w:rPr>
          <w:noProof/>
        </w:rPr>
        <w:instrText xml:space="preserve"> PAGEREF _Toc427227985 \h </w:instrText>
      </w:r>
      <w:r>
        <w:rPr>
          <w:noProof/>
        </w:rPr>
      </w:r>
      <w:r>
        <w:rPr>
          <w:noProof/>
        </w:rPr>
        <w:fldChar w:fldCharType="separate"/>
      </w:r>
      <w:r w:rsidR="0003635C">
        <w:rPr>
          <w:noProof/>
        </w:rPr>
        <w:t>12</w:t>
      </w:r>
      <w:r>
        <w:rPr>
          <w:noProof/>
        </w:rPr>
        <w:fldChar w:fldCharType="end"/>
      </w:r>
    </w:p>
    <w:p w:rsidR="00C232A2" w:rsidRPr="009E611D" w:rsidRDefault="00C232A2" w:rsidP="00C232A2">
      <w:r w:rsidRPr="009E611D">
        <w:rPr>
          <w:b/>
        </w:rPr>
        <w:fldChar w:fldCharType="end"/>
      </w:r>
    </w:p>
    <w:p w:rsidR="00C232A2" w:rsidRPr="009E611D" w:rsidRDefault="00C232A2" w:rsidP="00C232A2"/>
    <w:p w:rsidR="00C232A2" w:rsidRPr="009E611D" w:rsidRDefault="00C232A2" w:rsidP="00C232A2">
      <w:pPr>
        <w:pStyle w:val="TOC1"/>
        <w:keepNext/>
      </w:pPr>
      <w:r w:rsidRPr="009E611D">
        <w:t xml:space="preserve">List of </w:t>
      </w:r>
      <w:r>
        <w:t>t</w:t>
      </w:r>
      <w:r w:rsidRPr="009E611D">
        <w:t>ables</w:t>
      </w:r>
    </w:p>
    <w:p w:rsidR="00C232A2" w:rsidRPr="009E611D" w:rsidRDefault="00C232A2" w:rsidP="00C232A2">
      <w:pPr>
        <w:pStyle w:val="TOC3"/>
        <w:rPr>
          <w:rFonts w:asciiTheme="minorHAnsi" w:eastAsiaTheme="minorEastAsia" w:hAnsiTheme="minorHAnsi" w:cstheme="minorBidi"/>
          <w:noProof/>
          <w:szCs w:val="22"/>
          <w:lang w:eastAsia="en-NZ"/>
        </w:rPr>
      </w:pPr>
      <w:r w:rsidRPr="009E611D">
        <w:rPr>
          <w:sz w:val="20"/>
        </w:rPr>
        <w:fldChar w:fldCharType="begin"/>
      </w:r>
      <w:r w:rsidRPr="009E611D">
        <w:instrText xml:space="preserve"> TOC \t "Table,3" </w:instrText>
      </w:r>
      <w:r w:rsidRPr="009E611D">
        <w:rPr>
          <w:sz w:val="20"/>
        </w:rPr>
        <w:fldChar w:fldCharType="separate"/>
      </w:r>
      <w:r w:rsidRPr="009E611D">
        <w:rPr>
          <w:noProof/>
          <w:lang w:eastAsia="en-NZ"/>
        </w:rPr>
        <w:t>Table 1:</w:t>
      </w:r>
      <w:r w:rsidRPr="009E611D">
        <w:rPr>
          <w:noProof/>
          <w:lang w:eastAsia="en-NZ"/>
        </w:rPr>
        <w:tab/>
        <w:t>Application of the GVAP principles to the Programme</w:t>
      </w:r>
      <w:r w:rsidRPr="009E611D">
        <w:rPr>
          <w:noProof/>
        </w:rPr>
        <w:tab/>
      </w:r>
      <w:r w:rsidRPr="009E611D">
        <w:rPr>
          <w:noProof/>
        </w:rPr>
        <w:fldChar w:fldCharType="begin"/>
      </w:r>
      <w:r w:rsidRPr="009E611D">
        <w:rPr>
          <w:noProof/>
        </w:rPr>
        <w:instrText xml:space="preserve"> PAGEREF _Toc426022132 \h </w:instrText>
      </w:r>
      <w:r w:rsidRPr="009E611D">
        <w:rPr>
          <w:noProof/>
        </w:rPr>
      </w:r>
      <w:r w:rsidRPr="009E611D">
        <w:rPr>
          <w:noProof/>
        </w:rPr>
        <w:fldChar w:fldCharType="separate"/>
      </w:r>
      <w:r w:rsidR="0003635C">
        <w:rPr>
          <w:noProof/>
        </w:rPr>
        <w:t>5</w:t>
      </w:r>
      <w:r w:rsidRPr="009E611D">
        <w:rPr>
          <w:noProof/>
        </w:rPr>
        <w:fldChar w:fldCharType="end"/>
      </w:r>
    </w:p>
    <w:p w:rsidR="00C232A2" w:rsidRPr="009E611D" w:rsidRDefault="00C232A2" w:rsidP="00C232A2">
      <w:pPr>
        <w:pStyle w:val="TOC3"/>
        <w:rPr>
          <w:rFonts w:asciiTheme="minorHAnsi" w:eastAsiaTheme="minorEastAsia" w:hAnsiTheme="minorHAnsi" w:cstheme="minorBidi"/>
          <w:noProof/>
          <w:szCs w:val="22"/>
          <w:lang w:eastAsia="en-NZ"/>
        </w:rPr>
      </w:pPr>
      <w:r w:rsidRPr="009E611D">
        <w:rPr>
          <w:noProof/>
        </w:rPr>
        <w:t>Table 2:</w:t>
      </w:r>
      <w:r w:rsidRPr="009E611D">
        <w:rPr>
          <w:noProof/>
        </w:rPr>
        <w:tab/>
        <w:t>Action plan principles and associated activities</w:t>
      </w:r>
      <w:r w:rsidRPr="009E611D">
        <w:rPr>
          <w:noProof/>
        </w:rPr>
        <w:tab/>
      </w:r>
      <w:r w:rsidRPr="009E611D">
        <w:rPr>
          <w:noProof/>
        </w:rPr>
        <w:fldChar w:fldCharType="begin"/>
      </w:r>
      <w:r w:rsidRPr="009E611D">
        <w:rPr>
          <w:noProof/>
        </w:rPr>
        <w:instrText xml:space="preserve"> PAGEREF _Toc426022133 \h </w:instrText>
      </w:r>
      <w:r w:rsidRPr="009E611D">
        <w:rPr>
          <w:noProof/>
        </w:rPr>
      </w:r>
      <w:r w:rsidRPr="009E611D">
        <w:rPr>
          <w:noProof/>
        </w:rPr>
        <w:fldChar w:fldCharType="separate"/>
      </w:r>
      <w:r w:rsidR="0003635C">
        <w:rPr>
          <w:noProof/>
        </w:rPr>
        <w:t>9</w:t>
      </w:r>
      <w:r w:rsidRPr="009E611D">
        <w:rPr>
          <w:noProof/>
        </w:rPr>
        <w:fldChar w:fldCharType="end"/>
      </w:r>
    </w:p>
    <w:p w:rsidR="00C232A2" w:rsidRPr="009E611D" w:rsidRDefault="00C232A2" w:rsidP="00C232A2">
      <w:pPr>
        <w:pStyle w:val="TOC3"/>
        <w:rPr>
          <w:rFonts w:asciiTheme="minorHAnsi" w:eastAsiaTheme="minorEastAsia" w:hAnsiTheme="minorHAnsi" w:cstheme="minorBidi"/>
          <w:noProof/>
          <w:szCs w:val="22"/>
          <w:lang w:eastAsia="en-NZ"/>
        </w:rPr>
      </w:pPr>
      <w:r w:rsidRPr="009E611D">
        <w:rPr>
          <w:noProof/>
          <w:lang w:eastAsia="en-NZ"/>
        </w:rPr>
        <w:t>Table 3:</w:t>
      </w:r>
      <w:r w:rsidRPr="009E611D">
        <w:rPr>
          <w:noProof/>
          <w:lang w:eastAsia="en-NZ"/>
        </w:rPr>
        <w:tab/>
        <w:t>Timeline for achieving increased coverage in the Programme</w:t>
      </w:r>
      <w:r w:rsidRPr="009E611D">
        <w:rPr>
          <w:noProof/>
        </w:rPr>
        <w:tab/>
      </w:r>
      <w:r w:rsidRPr="009E611D">
        <w:rPr>
          <w:noProof/>
        </w:rPr>
        <w:fldChar w:fldCharType="begin"/>
      </w:r>
      <w:r w:rsidRPr="009E611D">
        <w:rPr>
          <w:noProof/>
        </w:rPr>
        <w:instrText xml:space="preserve"> PAGEREF _Toc426022134 \h </w:instrText>
      </w:r>
      <w:r w:rsidRPr="009E611D">
        <w:rPr>
          <w:noProof/>
        </w:rPr>
      </w:r>
      <w:r w:rsidRPr="009E611D">
        <w:rPr>
          <w:noProof/>
        </w:rPr>
        <w:fldChar w:fldCharType="separate"/>
      </w:r>
      <w:r w:rsidR="0003635C">
        <w:rPr>
          <w:noProof/>
        </w:rPr>
        <w:t>10</w:t>
      </w:r>
      <w:r w:rsidRPr="009E611D">
        <w:rPr>
          <w:noProof/>
        </w:rPr>
        <w:fldChar w:fldCharType="end"/>
      </w:r>
    </w:p>
    <w:p w:rsidR="00C232A2" w:rsidRPr="009E611D" w:rsidRDefault="00C232A2" w:rsidP="00C232A2">
      <w:r w:rsidRPr="009E611D">
        <w:fldChar w:fldCharType="end"/>
      </w:r>
    </w:p>
    <w:p w:rsidR="00C232A2" w:rsidRPr="009E611D" w:rsidRDefault="00C232A2" w:rsidP="00C232A2">
      <w:pPr>
        <w:pStyle w:val="TOC1"/>
      </w:pPr>
      <w:r w:rsidRPr="009E611D">
        <w:t xml:space="preserve">List of </w:t>
      </w:r>
      <w:r>
        <w:t>f</w:t>
      </w:r>
      <w:r w:rsidRPr="009E611D">
        <w:t>igures</w:t>
      </w:r>
    </w:p>
    <w:p w:rsidR="00C232A2" w:rsidRPr="009E611D" w:rsidRDefault="00C232A2" w:rsidP="00C232A2">
      <w:pPr>
        <w:pStyle w:val="TOC3"/>
        <w:rPr>
          <w:rFonts w:asciiTheme="minorHAnsi" w:eastAsiaTheme="minorEastAsia" w:hAnsiTheme="minorHAnsi" w:cstheme="minorBidi"/>
          <w:noProof/>
          <w:szCs w:val="22"/>
          <w:lang w:eastAsia="en-NZ"/>
        </w:rPr>
      </w:pPr>
      <w:r w:rsidRPr="009E611D">
        <w:fldChar w:fldCharType="begin"/>
      </w:r>
      <w:r w:rsidRPr="009E611D">
        <w:instrText xml:space="preserve"> TOC \t "Figure,3" </w:instrText>
      </w:r>
      <w:r w:rsidRPr="009E611D">
        <w:fldChar w:fldCharType="separate"/>
      </w:r>
      <w:r w:rsidRPr="009E611D">
        <w:rPr>
          <w:noProof/>
          <w:lang w:eastAsia="en-NZ"/>
        </w:rPr>
        <w:t>Figure 1:</w:t>
      </w:r>
      <w:r w:rsidRPr="009E611D">
        <w:rPr>
          <w:noProof/>
          <w:lang w:eastAsia="en-NZ"/>
        </w:rPr>
        <w:tab/>
        <w:t>HPV immunisation dose three coverage by ethnicity, vaccination and eligible birth cohort, 1 January 2010–31 December 2014</w:t>
      </w:r>
      <w:r w:rsidRPr="009E611D">
        <w:rPr>
          <w:noProof/>
        </w:rPr>
        <w:tab/>
      </w:r>
      <w:r w:rsidRPr="009E611D">
        <w:rPr>
          <w:noProof/>
        </w:rPr>
        <w:fldChar w:fldCharType="begin"/>
      </w:r>
      <w:r w:rsidRPr="009E611D">
        <w:rPr>
          <w:noProof/>
        </w:rPr>
        <w:instrText xml:space="preserve"> PAGEREF _Toc426022064 \h </w:instrText>
      </w:r>
      <w:r w:rsidRPr="009E611D">
        <w:rPr>
          <w:noProof/>
        </w:rPr>
      </w:r>
      <w:r w:rsidRPr="009E611D">
        <w:rPr>
          <w:noProof/>
        </w:rPr>
        <w:fldChar w:fldCharType="separate"/>
      </w:r>
      <w:r w:rsidR="0003635C">
        <w:rPr>
          <w:noProof/>
        </w:rPr>
        <w:t>3</w:t>
      </w:r>
      <w:r w:rsidRPr="009E611D">
        <w:rPr>
          <w:noProof/>
        </w:rPr>
        <w:fldChar w:fldCharType="end"/>
      </w:r>
    </w:p>
    <w:p w:rsidR="00C232A2" w:rsidRPr="009E611D" w:rsidRDefault="00C232A2" w:rsidP="00C232A2">
      <w:pPr>
        <w:pStyle w:val="TOC3"/>
        <w:rPr>
          <w:rFonts w:asciiTheme="minorHAnsi" w:eastAsiaTheme="minorEastAsia" w:hAnsiTheme="minorHAnsi" w:cstheme="minorBidi"/>
          <w:noProof/>
          <w:szCs w:val="22"/>
          <w:lang w:eastAsia="en-NZ"/>
        </w:rPr>
      </w:pPr>
      <w:r w:rsidRPr="009E611D">
        <w:rPr>
          <w:noProof/>
        </w:rPr>
        <w:t>Figure 2:</w:t>
      </w:r>
      <w:r w:rsidRPr="009E611D">
        <w:rPr>
          <w:noProof/>
        </w:rPr>
        <w:tab/>
        <w:t>Possible solutions to improve coverage discussed at the workshop</w:t>
      </w:r>
      <w:r w:rsidRPr="009E611D">
        <w:rPr>
          <w:noProof/>
        </w:rPr>
        <w:tab/>
      </w:r>
      <w:r w:rsidRPr="009E611D">
        <w:rPr>
          <w:noProof/>
        </w:rPr>
        <w:fldChar w:fldCharType="begin"/>
      </w:r>
      <w:r w:rsidRPr="009E611D">
        <w:rPr>
          <w:noProof/>
        </w:rPr>
        <w:instrText xml:space="preserve"> PAGEREF _Toc426022065 \h </w:instrText>
      </w:r>
      <w:r w:rsidRPr="009E611D">
        <w:rPr>
          <w:noProof/>
        </w:rPr>
      </w:r>
      <w:r w:rsidRPr="009E611D">
        <w:rPr>
          <w:noProof/>
        </w:rPr>
        <w:fldChar w:fldCharType="separate"/>
      </w:r>
      <w:r w:rsidR="0003635C">
        <w:rPr>
          <w:noProof/>
        </w:rPr>
        <w:t>4</w:t>
      </w:r>
      <w:r w:rsidRPr="009E611D">
        <w:rPr>
          <w:noProof/>
        </w:rPr>
        <w:fldChar w:fldCharType="end"/>
      </w:r>
    </w:p>
    <w:p w:rsidR="00AC2959" w:rsidRPr="009E611D" w:rsidRDefault="00C232A2" w:rsidP="00AC2959">
      <w:pPr>
        <w:spacing w:before="120"/>
        <w:ind w:left="1701" w:hanging="1701"/>
        <w:sectPr w:rsidR="00AC2959" w:rsidRPr="009E611D" w:rsidSect="009D5125">
          <w:headerReference w:type="even" r:id="rId16"/>
          <w:headerReference w:type="default" r:id="rId17"/>
          <w:footerReference w:type="even" r:id="rId18"/>
          <w:footerReference w:type="default" r:id="rId19"/>
          <w:pgSz w:w="11907" w:h="16840" w:code="9"/>
          <w:pgMar w:top="851" w:right="1134" w:bottom="1134" w:left="1134" w:header="284" w:footer="567" w:gutter="284"/>
          <w:pgNumType w:fmt="lowerRoman"/>
          <w:cols w:space="720"/>
        </w:sectPr>
      </w:pPr>
      <w:r w:rsidRPr="009E611D">
        <w:fldChar w:fldCharType="end"/>
      </w:r>
    </w:p>
    <w:p w:rsidR="00C232A2" w:rsidRPr="009E611D" w:rsidRDefault="00C232A2" w:rsidP="00C232A2">
      <w:pPr>
        <w:pStyle w:val="Heading1"/>
      </w:pPr>
      <w:bookmarkStart w:id="2" w:name="_Toc427227972"/>
      <w:r w:rsidRPr="009E611D">
        <w:lastRenderedPageBreak/>
        <w:t>Commonly used abbreviations</w:t>
      </w:r>
      <w:bookmarkEnd w:id="2"/>
    </w:p>
    <w:p w:rsidR="00C232A2" w:rsidRPr="009E611D" w:rsidRDefault="00C232A2" w:rsidP="00C232A2">
      <w:pPr>
        <w:spacing w:before="120"/>
        <w:ind w:left="1701" w:hanging="1701"/>
        <w:rPr>
          <w:lang w:eastAsia="en-NZ"/>
        </w:rPr>
      </w:pPr>
      <w:r w:rsidRPr="009E611D">
        <w:rPr>
          <w:lang w:eastAsia="en-NZ"/>
        </w:rPr>
        <w:t>DHB</w:t>
      </w:r>
      <w:r w:rsidRPr="009E611D">
        <w:rPr>
          <w:lang w:eastAsia="en-NZ"/>
        </w:rPr>
        <w:tab/>
        <w:t>district health board</w:t>
      </w:r>
    </w:p>
    <w:p w:rsidR="00C232A2" w:rsidRPr="009E611D" w:rsidRDefault="00C232A2" w:rsidP="00C232A2">
      <w:pPr>
        <w:spacing w:before="120"/>
        <w:ind w:left="1701" w:hanging="1701"/>
        <w:rPr>
          <w:lang w:eastAsia="en-NZ"/>
        </w:rPr>
      </w:pPr>
      <w:r w:rsidRPr="009E611D">
        <w:rPr>
          <w:lang w:eastAsia="en-NZ"/>
        </w:rPr>
        <w:t>GP</w:t>
      </w:r>
      <w:r w:rsidRPr="009E611D">
        <w:rPr>
          <w:lang w:eastAsia="en-NZ"/>
        </w:rPr>
        <w:tab/>
        <w:t>general practitioner</w:t>
      </w:r>
    </w:p>
    <w:p w:rsidR="00C232A2" w:rsidRPr="009E611D" w:rsidRDefault="00C232A2" w:rsidP="00C232A2">
      <w:pPr>
        <w:spacing w:before="120"/>
        <w:ind w:left="1701" w:hanging="1701"/>
        <w:rPr>
          <w:lang w:eastAsia="en-NZ"/>
        </w:rPr>
      </w:pPr>
      <w:r w:rsidRPr="009E611D">
        <w:rPr>
          <w:lang w:eastAsia="en-NZ"/>
        </w:rPr>
        <w:t>GVAP</w:t>
      </w:r>
      <w:r w:rsidRPr="009E611D">
        <w:rPr>
          <w:lang w:eastAsia="en-NZ"/>
        </w:rPr>
        <w:tab/>
        <w:t>Global Vaccine Action Plan</w:t>
      </w:r>
    </w:p>
    <w:p w:rsidR="00C232A2" w:rsidRPr="009E611D" w:rsidRDefault="00C232A2" w:rsidP="00C232A2">
      <w:pPr>
        <w:spacing w:before="120"/>
        <w:ind w:left="1701" w:hanging="1701"/>
        <w:rPr>
          <w:lang w:eastAsia="en-NZ"/>
        </w:rPr>
      </w:pPr>
      <w:r w:rsidRPr="009E611D">
        <w:rPr>
          <w:lang w:eastAsia="en-NZ"/>
        </w:rPr>
        <w:t>HPV</w:t>
      </w:r>
      <w:r w:rsidRPr="009E611D">
        <w:rPr>
          <w:lang w:eastAsia="en-NZ"/>
        </w:rPr>
        <w:tab/>
        <w:t>Human Papillomavirus</w:t>
      </w:r>
    </w:p>
    <w:p w:rsidR="00C232A2" w:rsidRPr="009E611D" w:rsidRDefault="00C232A2" w:rsidP="00C232A2">
      <w:pPr>
        <w:spacing w:before="120"/>
        <w:ind w:left="1701" w:hanging="1701"/>
        <w:rPr>
          <w:lang w:eastAsia="en-NZ"/>
        </w:rPr>
      </w:pPr>
      <w:r w:rsidRPr="009E611D">
        <w:rPr>
          <w:lang w:eastAsia="en-NZ"/>
        </w:rPr>
        <w:t>IMAC</w:t>
      </w:r>
      <w:r w:rsidRPr="009E611D">
        <w:rPr>
          <w:lang w:eastAsia="en-NZ"/>
        </w:rPr>
        <w:tab/>
        <w:t>Immunisation Advisory Centre</w:t>
      </w:r>
    </w:p>
    <w:p w:rsidR="00C232A2" w:rsidRPr="009E611D" w:rsidRDefault="00C232A2" w:rsidP="00C232A2">
      <w:pPr>
        <w:spacing w:before="120"/>
        <w:ind w:left="1701" w:hanging="1701"/>
        <w:rPr>
          <w:lang w:eastAsia="en-NZ"/>
        </w:rPr>
      </w:pPr>
      <w:r w:rsidRPr="009E611D">
        <w:rPr>
          <w:lang w:eastAsia="en-NZ"/>
        </w:rPr>
        <w:t>NIR</w:t>
      </w:r>
      <w:r w:rsidRPr="009E611D">
        <w:rPr>
          <w:lang w:eastAsia="en-NZ"/>
        </w:rPr>
        <w:tab/>
        <w:t>National Immunisation Register</w:t>
      </w:r>
    </w:p>
    <w:p w:rsidR="00C232A2" w:rsidRPr="009E611D" w:rsidRDefault="00C232A2" w:rsidP="00C232A2">
      <w:pPr>
        <w:spacing w:before="120"/>
        <w:ind w:left="1701" w:hanging="1701"/>
        <w:rPr>
          <w:lang w:eastAsia="en-NZ"/>
        </w:rPr>
      </w:pPr>
      <w:r w:rsidRPr="009E611D">
        <w:rPr>
          <w:lang w:eastAsia="en-NZ"/>
        </w:rPr>
        <w:t>NSU</w:t>
      </w:r>
      <w:r w:rsidRPr="009E611D">
        <w:rPr>
          <w:lang w:eastAsia="en-NZ"/>
        </w:rPr>
        <w:tab/>
        <w:t>National Screening Unit</w:t>
      </w:r>
    </w:p>
    <w:p w:rsidR="00C232A2" w:rsidRPr="009E611D" w:rsidRDefault="00C232A2" w:rsidP="00C232A2">
      <w:pPr>
        <w:spacing w:before="120"/>
        <w:ind w:left="1701" w:hanging="1701"/>
        <w:rPr>
          <w:lang w:eastAsia="en-NZ"/>
        </w:rPr>
      </w:pPr>
      <w:r w:rsidRPr="009E611D">
        <w:rPr>
          <w:lang w:eastAsia="en-NZ"/>
        </w:rPr>
        <w:t>PHARMAC</w:t>
      </w:r>
      <w:r w:rsidRPr="009E611D">
        <w:rPr>
          <w:lang w:eastAsia="en-NZ"/>
        </w:rPr>
        <w:tab/>
        <w:t>Pharmaceutical Management Agency</w:t>
      </w:r>
    </w:p>
    <w:p w:rsidR="00C232A2" w:rsidRPr="009E611D" w:rsidRDefault="00C232A2" w:rsidP="00C232A2">
      <w:pPr>
        <w:spacing w:before="120"/>
        <w:ind w:left="1701" w:hanging="1701"/>
        <w:rPr>
          <w:lang w:eastAsia="en-NZ"/>
        </w:rPr>
      </w:pPr>
      <w:r w:rsidRPr="009E611D">
        <w:rPr>
          <w:lang w:eastAsia="en-NZ"/>
        </w:rPr>
        <w:t>PHO</w:t>
      </w:r>
      <w:r w:rsidRPr="009E611D">
        <w:rPr>
          <w:lang w:eastAsia="en-NZ"/>
        </w:rPr>
        <w:tab/>
        <w:t>primary health organisation</w:t>
      </w:r>
    </w:p>
    <w:p w:rsidR="00C232A2" w:rsidRPr="009E611D" w:rsidRDefault="00C232A2" w:rsidP="00C232A2">
      <w:pPr>
        <w:spacing w:before="120"/>
        <w:ind w:left="1701" w:hanging="1701"/>
        <w:rPr>
          <w:lang w:eastAsia="en-NZ"/>
        </w:rPr>
      </w:pPr>
      <w:r w:rsidRPr="009E611D">
        <w:rPr>
          <w:lang w:eastAsia="en-NZ"/>
        </w:rPr>
        <w:t>PHN</w:t>
      </w:r>
      <w:r w:rsidRPr="009E611D">
        <w:rPr>
          <w:lang w:eastAsia="en-NZ"/>
        </w:rPr>
        <w:tab/>
        <w:t>public health nurse</w:t>
      </w:r>
    </w:p>
    <w:p w:rsidR="00C232A2" w:rsidRPr="009E611D" w:rsidRDefault="00C232A2" w:rsidP="00C232A2">
      <w:pPr>
        <w:spacing w:before="120"/>
        <w:ind w:left="1701" w:hanging="1701"/>
        <w:rPr>
          <w:lang w:eastAsia="en-NZ"/>
        </w:rPr>
      </w:pPr>
      <w:r w:rsidRPr="009E611D">
        <w:rPr>
          <w:lang w:eastAsia="en-NZ"/>
        </w:rPr>
        <w:t>PMS</w:t>
      </w:r>
      <w:r w:rsidRPr="009E611D">
        <w:rPr>
          <w:lang w:eastAsia="en-NZ"/>
        </w:rPr>
        <w:tab/>
        <w:t>Patient Management System</w:t>
      </w:r>
    </w:p>
    <w:p w:rsidR="00C232A2" w:rsidRPr="009E611D" w:rsidRDefault="00C232A2" w:rsidP="00C232A2">
      <w:pPr>
        <w:spacing w:before="120"/>
        <w:ind w:left="1701" w:hanging="1701"/>
        <w:rPr>
          <w:lang w:eastAsia="en-NZ"/>
        </w:rPr>
      </w:pPr>
      <w:r w:rsidRPr="009E611D">
        <w:rPr>
          <w:lang w:eastAsia="en-NZ"/>
        </w:rPr>
        <w:t>PTAC</w:t>
      </w:r>
      <w:r w:rsidRPr="009E611D">
        <w:rPr>
          <w:lang w:eastAsia="en-NZ"/>
        </w:rPr>
        <w:tab/>
        <w:t>Pharmacology and Therapeutics Advisory Committee</w:t>
      </w:r>
    </w:p>
    <w:p w:rsidR="00C232A2" w:rsidRPr="009E611D" w:rsidRDefault="00C232A2" w:rsidP="00C232A2">
      <w:pPr>
        <w:spacing w:before="120"/>
        <w:ind w:left="1701" w:hanging="1701"/>
        <w:rPr>
          <w:lang w:eastAsia="en-NZ"/>
        </w:rPr>
      </w:pPr>
      <w:r w:rsidRPr="009E611D">
        <w:rPr>
          <w:lang w:eastAsia="en-NZ"/>
        </w:rPr>
        <w:t>SBIP</w:t>
      </w:r>
      <w:r w:rsidRPr="009E611D">
        <w:rPr>
          <w:lang w:eastAsia="en-NZ"/>
        </w:rPr>
        <w:tab/>
        <w:t>school-based immunisation programme</w:t>
      </w:r>
    </w:p>
    <w:p w:rsidR="00C232A2" w:rsidRPr="009E611D" w:rsidRDefault="00C232A2" w:rsidP="00C232A2">
      <w:pPr>
        <w:spacing w:before="120"/>
        <w:ind w:left="1701" w:hanging="1701"/>
        <w:rPr>
          <w:lang w:eastAsia="en-NZ"/>
        </w:rPr>
      </w:pPr>
      <w:r w:rsidRPr="009E611D">
        <w:rPr>
          <w:lang w:eastAsia="en-NZ"/>
        </w:rPr>
        <w:t>Tdap</w:t>
      </w:r>
      <w:r w:rsidRPr="009E611D">
        <w:rPr>
          <w:lang w:eastAsia="en-NZ"/>
        </w:rPr>
        <w:tab/>
        <w:t>the adult tetanus, diphtheria and acellular pertussis vaccine</w:t>
      </w:r>
    </w:p>
    <w:p w:rsidR="00C232A2" w:rsidRPr="009E611D" w:rsidRDefault="00C232A2" w:rsidP="00C232A2">
      <w:pPr>
        <w:spacing w:before="120"/>
        <w:ind w:left="1701" w:hanging="1701"/>
        <w:rPr>
          <w:lang w:eastAsia="en-NZ"/>
        </w:rPr>
      </w:pPr>
      <w:proofErr w:type="gramStart"/>
      <w:r w:rsidRPr="009E611D">
        <w:rPr>
          <w:lang w:eastAsia="en-NZ"/>
        </w:rPr>
        <w:t>WHO</w:t>
      </w:r>
      <w:proofErr w:type="gramEnd"/>
      <w:r w:rsidRPr="009E611D">
        <w:rPr>
          <w:lang w:eastAsia="en-NZ"/>
        </w:rPr>
        <w:tab/>
        <w:t>World Health Organization</w:t>
      </w:r>
    </w:p>
    <w:bookmarkEnd w:id="0"/>
    <w:bookmarkEnd w:id="1"/>
    <w:p w:rsidR="003A5FEA" w:rsidRPr="009E611D" w:rsidRDefault="003A5FEA" w:rsidP="003A5FEA"/>
    <w:p w:rsidR="00C86248" w:rsidRPr="009E611D" w:rsidRDefault="00C86248" w:rsidP="00AC2959"/>
    <w:p w:rsidR="00C86248" w:rsidRPr="009E611D" w:rsidRDefault="00C86248">
      <w:pPr>
        <w:sectPr w:rsidR="00C86248" w:rsidRPr="009E611D" w:rsidSect="009D5125">
          <w:footerReference w:type="even" r:id="rId20"/>
          <w:pgSz w:w="11907" w:h="16840" w:code="9"/>
          <w:pgMar w:top="851" w:right="1134" w:bottom="1134" w:left="1134" w:header="284" w:footer="567" w:gutter="284"/>
          <w:pgNumType w:fmt="lowerRoman"/>
          <w:cols w:space="720"/>
        </w:sectPr>
      </w:pPr>
    </w:p>
    <w:p w:rsidR="008C2973" w:rsidRPr="009E611D" w:rsidRDefault="0086388B" w:rsidP="0086388B">
      <w:pPr>
        <w:pStyle w:val="Heading1"/>
      </w:pPr>
      <w:bookmarkStart w:id="3" w:name="_Toc427227973"/>
      <w:r w:rsidRPr="009E611D">
        <w:lastRenderedPageBreak/>
        <w:t>Introduction</w:t>
      </w:r>
      <w:bookmarkEnd w:id="3"/>
    </w:p>
    <w:p w:rsidR="00AC2959" w:rsidRPr="009E611D" w:rsidRDefault="001F5056" w:rsidP="00AC2959">
      <w:r>
        <w:rPr>
          <w:noProof/>
          <w:lang w:eastAsia="ja-JP"/>
        </w:rPr>
        <w:drawing>
          <wp:anchor distT="0" distB="0" distL="114300" distR="0" simplePos="0" relativeHeight="251657728" behindDoc="0" locked="0" layoutInCell="1" allowOverlap="1" wp14:anchorId="63021011" wp14:editId="612F599B">
            <wp:simplePos x="0" y="0"/>
            <wp:positionH relativeFrom="page">
              <wp:posOffset>5734685</wp:posOffset>
            </wp:positionH>
            <wp:positionV relativeFrom="paragraph">
              <wp:posOffset>12065</wp:posOffset>
            </wp:positionV>
            <wp:extent cx="1079500" cy="1461135"/>
            <wp:effectExtent l="0" t="0" r="6350" b="5715"/>
            <wp:wrapSquare wrapText="left"/>
            <wp:docPr id="12" name="Picture 11" descr="image of HPV campaign targetting 12-year ol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1079500"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59" w:rsidRPr="009E611D">
        <w:t>In August 2014, the Ministry of Health (the Ministry) held a workshop to discuss strategies for achieving increased coverage of Human Papillomavirus (HPV) immunisation in the future.</w:t>
      </w:r>
    </w:p>
    <w:p w:rsidR="00AC2959" w:rsidRPr="009E611D" w:rsidRDefault="00AC2959" w:rsidP="00AC2959">
      <w:pPr>
        <w:rPr>
          <w:lang w:eastAsia="en-NZ"/>
        </w:rPr>
      </w:pPr>
    </w:p>
    <w:p w:rsidR="00AC2959" w:rsidRPr="009E611D" w:rsidRDefault="00AC2959" w:rsidP="00AC2959">
      <w:r w:rsidRPr="009E611D">
        <w:rPr>
          <w:lang w:eastAsia="en-NZ"/>
        </w:rPr>
        <w:t xml:space="preserve">This document outlines a plan for progressing and revitalising </w:t>
      </w:r>
      <w:r w:rsidRPr="009E611D">
        <w:rPr>
          <w:color w:val="000000"/>
          <w:kern w:val="24"/>
        </w:rPr>
        <w:t xml:space="preserve">the HPV Immunisation Programme (the Programme) </w:t>
      </w:r>
      <w:r w:rsidRPr="009E611D">
        <w:rPr>
          <w:lang w:eastAsia="en-NZ"/>
        </w:rPr>
        <w:t>for 12-year-old girls. The plan</w:t>
      </w:r>
      <w:r w:rsidRPr="009E611D">
        <w:rPr>
          <w:color w:val="000000"/>
          <w:kern w:val="24"/>
        </w:rPr>
        <w:t xml:space="preserve"> uses </w:t>
      </w:r>
      <w:r w:rsidRPr="009E611D">
        <w:t>the underlying principles of the Ministry</w:t>
      </w:r>
      <w:r w:rsidR="00341620" w:rsidRPr="009E611D">
        <w:t>’</w:t>
      </w:r>
      <w:r w:rsidRPr="009E611D">
        <w:t xml:space="preserve">s modified four-point action plan, </w:t>
      </w:r>
      <w:r w:rsidRPr="009E611D">
        <w:rPr>
          <w:i/>
        </w:rPr>
        <w:t>Plan, Engage, Promote and Monitor</w:t>
      </w:r>
      <w:r w:rsidR="00C43B28" w:rsidRPr="009E611D">
        <w:t>,</w:t>
      </w:r>
      <w:r w:rsidRPr="009E611D">
        <w:rPr>
          <w:i/>
        </w:rPr>
        <w:t xml:space="preserve"> </w:t>
      </w:r>
      <w:r w:rsidRPr="009E611D">
        <w:t xml:space="preserve">and </w:t>
      </w:r>
      <w:r w:rsidRPr="009E611D">
        <w:rPr>
          <w:color w:val="000000"/>
          <w:kern w:val="24"/>
        </w:rPr>
        <w:t>the World Health Organization (WHO)</w:t>
      </w:r>
      <w:r w:rsidR="00341620" w:rsidRPr="009E611D">
        <w:rPr>
          <w:color w:val="000000"/>
          <w:kern w:val="24"/>
        </w:rPr>
        <w:t>’</w:t>
      </w:r>
      <w:r w:rsidRPr="009E611D">
        <w:rPr>
          <w:color w:val="000000"/>
          <w:kern w:val="24"/>
        </w:rPr>
        <w:t>s</w:t>
      </w:r>
      <w:r w:rsidRPr="009E611D">
        <w:rPr>
          <w:rStyle w:val="FootnoteReference"/>
        </w:rPr>
        <w:footnoteReference w:id="1"/>
      </w:r>
      <w:r w:rsidRPr="009E611D">
        <w:rPr>
          <w:color w:val="000000"/>
          <w:kern w:val="24"/>
        </w:rPr>
        <w:t xml:space="preserve"> Global Vaccine Action Plan (GVAP)</w:t>
      </w:r>
      <w:r w:rsidRPr="009E611D">
        <w:t>.</w:t>
      </w:r>
    </w:p>
    <w:p w:rsidR="00AC2959" w:rsidRPr="009E611D" w:rsidRDefault="00AC2959" w:rsidP="00AC2959"/>
    <w:p w:rsidR="00AC2959" w:rsidRPr="009E611D" w:rsidRDefault="00AC2959" w:rsidP="00AC2959">
      <w:r w:rsidRPr="009E611D">
        <w:t xml:space="preserve">The Ministry </w:t>
      </w:r>
      <w:r w:rsidRPr="009E611D">
        <w:rPr>
          <w:color w:val="000000"/>
          <w:kern w:val="24"/>
        </w:rPr>
        <w:t>has adopted these plans</w:t>
      </w:r>
      <w:r w:rsidRPr="009E611D">
        <w:t xml:space="preserve"> and applied these models in order to achieve the new HPV immunisation coverage target of 75 percent for all 12-year-old girls by December 2017.</w:t>
      </w:r>
    </w:p>
    <w:p w:rsidR="00AC2959" w:rsidRPr="009E611D" w:rsidRDefault="00AC2959" w:rsidP="00AC2959"/>
    <w:p w:rsidR="001C4C96" w:rsidRPr="009E611D" w:rsidRDefault="001C4C96" w:rsidP="001C4C96">
      <w:pPr>
        <w:pStyle w:val="Heading2"/>
        <w:rPr>
          <w:lang w:eastAsia="en-NZ"/>
        </w:rPr>
      </w:pPr>
      <w:bookmarkStart w:id="4" w:name="_Toc427227974"/>
      <w:bookmarkStart w:id="5" w:name="_Toc425517979"/>
      <w:r w:rsidRPr="009E611D">
        <w:rPr>
          <w:lang w:eastAsia="en-NZ"/>
        </w:rPr>
        <w:t>Background</w:t>
      </w:r>
      <w:bookmarkEnd w:id="4"/>
      <w:r w:rsidRPr="001C4C96">
        <w:rPr>
          <w:lang w:eastAsia="en-NZ"/>
        </w:rPr>
        <w:t xml:space="preserve"> </w:t>
      </w:r>
    </w:p>
    <w:p w:rsidR="001C4C96" w:rsidRPr="009E611D" w:rsidRDefault="001C4C96" w:rsidP="001C4C96">
      <w:pPr>
        <w:rPr>
          <w:lang w:eastAsia="en-NZ"/>
        </w:rPr>
      </w:pPr>
      <w:r w:rsidRPr="009E611D">
        <w:rPr>
          <w:lang w:eastAsia="en-NZ"/>
        </w:rPr>
        <w:t>HPV is responsible for a substantial burden of disease in New Zealand women, most importantly in terms of cervical cancer. The virus is highly transmissible and affects the majority of women and men at some stage in their lives. In most cases, the infection will clear spontaneously after some time. However, for a small number of people, persistent HPV infection progresses to changes in the cells and subsequently develops into cervical cancer or cancers of the throat, neck and anogenital region.</w:t>
      </w:r>
    </w:p>
    <w:p w:rsidR="001C4C96" w:rsidRPr="009E611D" w:rsidRDefault="001C4C96" w:rsidP="001C4C96">
      <w:pPr>
        <w:rPr>
          <w:lang w:eastAsia="en-NZ"/>
        </w:rPr>
      </w:pPr>
    </w:p>
    <w:p w:rsidR="001C4C96" w:rsidRPr="009E611D" w:rsidRDefault="001C4C96" w:rsidP="001C4C96">
      <w:pPr>
        <w:rPr>
          <w:lang w:eastAsia="en-NZ"/>
        </w:rPr>
      </w:pPr>
      <w:r w:rsidRPr="009E611D">
        <w:rPr>
          <w:lang w:eastAsia="en-NZ"/>
        </w:rPr>
        <w:t>In September 2008, the Ministry launched a three-dose HPV immunisation programme for 12</w:t>
      </w:r>
      <w:r w:rsidRPr="009E611D">
        <w:rPr>
          <w:lang w:eastAsia="en-NZ"/>
        </w:rPr>
        <w:noBreakHyphen/>
        <w:t>year-old girls as part of the funded National Immunisation Schedule (the Schedule).</w:t>
      </w:r>
    </w:p>
    <w:p w:rsidR="001C4C96" w:rsidRPr="009E611D" w:rsidRDefault="001C4C96" w:rsidP="001C4C96">
      <w:pPr>
        <w:rPr>
          <w:lang w:eastAsia="en-NZ"/>
        </w:rPr>
      </w:pPr>
    </w:p>
    <w:p w:rsidR="001C4C96" w:rsidRPr="009E611D" w:rsidRDefault="001C4C96" w:rsidP="001C4C96">
      <w:pPr>
        <w:rPr>
          <w:lang w:eastAsia="en-NZ"/>
        </w:rPr>
      </w:pPr>
      <w:r w:rsidRPr="009E611D">
        <w:rPr>
          <w:lang w:eastAsia="en-NZ"/>
        </w:rPr>
        <w:t>The Programme aspires to achieve herd immunity</w:t>
      </w:r>
      <w:r w:rsidRPr="009E611D">
        <w:rPr>
          <w:rStyle w:val="FootnoteReference"/>
        </w:rPr>
        <w:footnoteReference w:id="2"/>
      </w:r>
      <w:r w:rsidRPr="009E611D">
        <w:rPr>
          <w:lang w:eastAsia="en-NZ"/>
        </w:rPr>
        <w:t xml:space="preserve"> against HPV at a level that reduces the spread of the HPV infections that lead to cervical and other cancers.</w:t>
      </w:r>
    </w:p>
    <w:p w:rsidR="001C4C96" w:rsidRPr="009E611D" w:rsidRDefault="001C4C96" w:rsidP="001C4C96">
      <w:pPr>
        <w:rPr>
          <w:lang w:eastAsia="en-NZ"/>
        </w:rPr>
      </w:pPr>
    </w:p>
    <w:p w:rsidR="001C4C96" w:rsidRPr="009E611D" w:rsidRDefault="001C4C96" w:rsidP="001C4C96">
      <w:pPr>
        <w:rPr>
          <w:lang w:eastAsia="en-NZ"/>
        </w:rPr>
      </w:pPr>
      <w:r w:rsidRPr="009E611D">
        <w:rPr>
          <w:lang w:eastAsia="en-NZ"/>
        </w:rPr>
        <w:t>Māori and Pacific women have a higher incidence of HPV-related cancers compared to New Zealand European women. From its outset, the Programme has prioritised Māori and Pacific coverage.</w:t>
      </w:r>
    </w:p>
    <w:p w:rsidR="001C4C96" w:rsidRPr="009E611D" w:rsidRDefault="001C4C96" w:rsidP="001C4C96">
      <w:pPr>
        <w:rPr>
          <w:lang w:eastAsia="en-NZ"/>
        </w:rPr>
      </w:pPr>
    </w:p>
    <w:p w:rsidR="001C4C96" w:rsidRPr="009E611D" w:rsidRDefault="001C4C96" w:rsidP="001C4C96">
      <w:pPr>
        <w:rPr>
          <w:lang w:eastAsia="en-NZ"/>
        </w:rPr>
      </w:pPr>
      <w:r w:rsidRPr="009E611D">
        <w:rPr>
          <w:lang w:eastAsia="en-NZ"/>
        </w:rPr>
        <w:t>Since 2010, when rates of coverage could be measured, approximately 55 percent of girls in the eligible age ranges have been immunised. For herd immunity, coverage needs to be approximately 75–80 percent. The national coverage target for all other primary childhood immunisations listed on the Schedule is 95 percent. The Ministry considers this Programme should achieve similar rates of coverage.</w:t>
      </w:r>
    </w:p>
    <w:p w:rsidR="00AC2959" w:rsidRPr="009E611D" w:rsidRDefault="00A71A55" w:rsidP="00A642F6">
      <w:pPr>
        <w:pStyle w:val="Heading1"/>
        <w:rPr>
          <w:lang w:eastAsia="en-NZ"/>
        </w:rPr>
      </w:pPr>
      <w:bookmarkStart w:id="6" w:name="_Toc425517980"/>
      <w:bookmarkEnd w:id="5"/>
      <w:r w:rsidRPr="009E611D">
        <w:rPr>
          <w:lang w:eastAsia="en-NZ"/>
        </w:rPr>
        <w:br w:type="page"/>
      </w:r>
      <w:bookmarkStart w:id="7" w:name="_Toc427227975"/>
      <w:r w:rsidR="00AC2959" w:rsidRPr="009E611D">
        <w:rPr>
          <w:lang w:eastAsia="en-NZ"/>
        </w:rPr>
        <w:lastRenderedPageBreak/>
        <w:t>Implementation to date</w:t>
      </w:r>
      <w:bookmarkEnd w:id="6"/>
      <w:bookmarkEnd w:id="7"/>
    </w:p>
    <w:p w:rsidR="00AC2959" w:rsidRPr="009E611D" w:rsidRDefault="00AC2959" w:rsidP="00A642F6">
      <w:pPr>
        <w:pStyle w:val="Heading2"/>
        <w:rPr>
          <w:lang w:eastAsia="en-NZ"/>
        </w:rPr>
      </w:pPr>
      <w:bookmarkStart w:id="8" w:name="_Toc425517981"/>
      <w:bookmarkStart w:id="9" w:name="_Toc427227976"/>
      <w:r w:rsidRPr="009E611D">
        <w:rPr>
          <w:lang w:eastAsia="en-NZ"/>
        </w:rPr>
        <w:t xml:space="preserve">Initiation of the </w:t>
      </w:r>
      <w:r w:rsidR="00A642F6" w:rsidRPr="009E611D">
        <w:rPr>
          <w:lang w:eastAsia="en-NZ"/>
        </w:rPr>
        <w:t>P</w:t>
      </w:r>
      <w:r w:rsidRPr="009E611D">
        <w:rPr>
          <w:lang w:eastAsia="en-NZ"/>
        </w:rPr>
        <w:t>rogramme</w:t>
      </w:r>
      <w:bookmarkEnd w:id="8"/>
      <w:bookmarkEnd w:id="9"/>
    </w:p>
    <w:p w:rsidR="00AC2959" w:rsidRPr="009E611D" w:rsidRDefault="00AC2959" w:rsidP="00A642F6">
      <w:pPr>
        <w:rPr>
          <w:lang w:eastAsia="en-NZ"/>
        </w:rPr>
      </w:pPr>
      <w:r w:rsidRPr="009E611D">
        <w:rPr>
          <w:lang w:eastAsia="en-NZ"/>
        </w:rPr>
        <w:t>Internationally, HPV immunisation programmes are most commonly offered through school-based immunisation programmes (SBIPs). Since 2009, the Ministry has administered the Programme primarily to girls in school Year 8; public health nurses (PHNs) deliver it in schools. Alternatively, general practitioners (GPs), practice nurses, youth health or other health clinics (such as family planning clinics) offer the vaccine.</w:t>
      </w:r>
    </w:p>
    <w:p w:rsidR="00A642F6" w:rsidRPr="009E611D" w:rsidRDefault="00A642F6" w:rsidP="00A642F6">
      <w:pPr>
        <w:rPr>
          <w:lang w:eastAsia="en-NZ"/>
        </w:rPr>
      </w:pPr>
    </w:p>
    <w:p w:rsidR="00AC2959" w:rsidRPr="009E611D" w:rsidRDefault="00AC2959" w:rsidP="00A642F6">
      <w:pPr>
        <w:rPr>
          <w:szCs w:val="24"/>
          <w:lang w:eastAsia="en-NZ"/>
        </w:rPr>
      </w:pPr>
      <w:r w:rsidRPr="009E611D">
        <w:rPr>
          <w:lang w:eastAsia="en-NZ"/>
        </w:rPr>
        <w:t>When the HPV SBIP was established,</w:t>
      </w:r>
      <w:r w:rsidRPr="009E611D" w:rsidDel="0072475A">
        <w:rPr>
          <w:lang w:eastAsia="en-NZ"/>
        </w:rPr>
        <w:t xml:space="preserve"> </w:t>
      </w:r>
      <w:r w:rsidRPr="009E611D">
        <w:rPr>
          <w:lang w:eastAsia="en-NZ"/>
        </w:rPr>
        <w:t xml:space="preserve">the Ministry implemented a </w:t>
      </w:r>
      <w:r w:rsidR="00341620" w:rsidRPr="009E611D">
        <w:rPr>
          <w:lang w:eastAsia="en-NZ"/>
        </w:rPr>
        <w:t>‘</w:t>
      </w:r>
      <w:r w:rsidRPr="009E611D">
        <w:rPr>
          <w:lang w:eastAsia="en-NZ"/>
        </w:rPr>
        <w:t>catch-up</w:t>
      </w:r>
      <w:r w:rsidR="00341620" w:rsidRPr="009E611D">
        <w:rPr>
          <w:lang w:eastAsia="en-NZ"/>
        </w:rPr>
        <w:t>’</w:t>
      </w:r>
      <w:r w:rsidRPr="009E611D">
        <w:rPr>
          <w:lang w:eastAsia="en-NZ"/>
        </w:rPr>
        <w:t xml:space="preserve"> programme for a wider age range of girls, offering those in school Years 9–13 immunisation through schools or health providers. In December 2010, the school-delivery component of</w:t>
      </w:r>
      <w:r w:rsidR="00A642F6" w:rsidRPr="009E611D">
        <w:rPr>
          <w:lang w:eastAsia="en-NZ"/>
        </w:rPr>
        <w:t xml:space="preserve"> the catch-up programme ceased.</w:t>
      </w:r>
    </w:p>
    <w:p w:rsidR="00A642F6" w:rsidRPr="009E611D" w:rsidRDefault="00A642F6" w:rsidP="00A642F6">
      <w:pPr>
        <w:rPr>
          <w:lang w:eastAsia="en-NZ"/>
        </w:rPr>
      </w:pPr>
    </w:p>
    <w:p w:rsidR="00AC2959" w:rsidRPr="009E611D" w:rsidRDefault="00AC2959" w:rsidP="00A642F6">
      <w:pPr>
        <w:rPr>
          <w:lang w:eastAsia="en-NZ"/>
        </w:rPr>
      </w:pPr>
      <w:r w:rsidRPr="009E611D">
        <w:rPr>
          <w:lang w:eastAsia="en-NZ"/>
        </w:rPr>
        <w:t>In Canterbury, the HPV vaccine was previously provided primarily through general practice, with a catch-up school programme in Year 10.</w:t>
      </w:r>
      <w:r w:rsidR="00341620" w:rsidRPr="009E611D">
        <w:rPr>
          <w:lang w:eastAsia="en-NZ"/>
        </w:rPr>
        <w:t xml:space="preserve"> </w:t>
      </w:r>
      <w:r w:rsidRPr="009E611D">
        <w:rPr>
          <w:lang w:eastAsia="en-NZ"/>
        </w:rPr>
        <w:t>Following a recommendation from PHARMAC</w:t>
      </w:r>
      <w:r w:rsidR="00341620" w:rsidRPr="009E611D">
        <w:rPr>
          <w:lang w:eastAsia="en-NZ"/>
        </w:rPr>
        <w:t>’</w:t>
      </w:r>
      <w:r w:rsidRPr="009E611D">
        <w:rPr>
          <w:lang w:eastAsia="en-NZ"/>
        </w:rPr>
        <w:t>s</w:t>
      </w:r>
      <w:r w:rsidRPr="009E611D">
        <w:rPr>
          <w:rStyle w:val="FootnoteReference"/>
        </w:rPr>
        <w:footnoteReference w:id="3"/>
      </w:r>
      <w:r w:rsidRPr="009E611D">
        <w:rPr>
          <w:lang w:eastAsia="en-NZ"/>
        </w:rPr>
        <w:t xml:space="preserve"> Pharmacology and Therapeutics Advisory Committee (PTAC) Immunisation Subcommittee in February 2015, Canterbury DHB will offer HPV immunisation through the SBIP in Year 8 beginning in 2016.</w:t>
      </w:r>
    </w:p>
    <w:p w:rsidR="00A642F6" w:rsidRPr="009E611D" w:rsidRDefault="00A642F6" w:rsidP="00A642F6">
      <w:pPr>
        <w:rPr>
          <w:lang w:eastAsia="en-NZ"/>
        </w:rPr>
      </w:pPr>
    </w:p>
    <w:p w:rsidR="00AC2959" w:rsidRPr="009E611D" w:rsidRDefault="00AC2959" w:rsidP="00A642F6">
      <w:pPr>
        <w:pStyle w:val="Heading2"/>
      </w:pPr>
      <w:bookmarkStart w:id="10" w:name="_Toc425517982"/>
      <w:bookmarkStart w:id="11" w:name="_Toc427227977"/>
      <w:r w:rsidRPr="009E611D">
        <w:rPr>
          <w:lang w:eastAsia="en-NZ"/>
        </w:rPr>
        <w:t>Coverage targets and achievement to date</w:t>
      </w:r>
      <w:bookmarkEnd w:id="10"/>
      <w:bookmarkEnd w:id="11"/>
    </w:p>
    <w:p w:rsidR="00AC2959" w:rsidRPr="009E611D" w:rsidRDefault="00AC2959" w:rsidP="00A642F6">
      <w:pPr>
        <w:rPr>
          <w:color w:val="000000"/>
        </w:rPr>
      </w:pPr>
      <w:r w:rsidRPr="009E611D">
        <w:rPr>
          <w:lang w:eastAsia="en-NZ"/>
        </w:rPr>
        <w:t xml:space="preserve">The initial coverage target was 90 percent for dose three for all 12-year-old girls by 31 December of the year in which the girl became eligible. </w:t>
      </w:r>
      <w:r w:rsidRPr="009E611D">
        <w:rPr>
          <w:color w:val="000000"/>
        </w:rPr>
        <w:t>However, DHBs considered the target to be unachievable (</w:t>
      </w:r>
      <w:r w:rsidR="00A517A9">
        <w:rPr>
          <w:color w:val="000000"/>
        </w:rPr>
        <w:t>because,</w:t>
      </w:r>
      <w:r w:rsidR="00A517A9" w:rsidRPr="009E611D">
        <w:rPr>
          <w:color w:val="000000"/>
        </w:rPr>
        <w:t xml:space="preserve"> </w:t>
      </w:r>
      <w:r w:rsidRPr="009E611D">
        <w:rPr>
          <w:color w:val="000000"/>
        </w:rPr>
        <w:t>in most areas</w:t>
      </w:r>
      <w:r w:rsidR="00A517A9">
        <w:rPr>
          <w:color w:val="000000"/>
        </w:rPr>
        <w:t>,</w:t>
      </w:r>
      <w:r w:rsidRPr="009E611D">
        <w:rPr>
          <w:color w:val="000000"/>
        </w:rPr>
        <w:t xml:space="preserve"> the SBIP was new), and the Ministry revised the targets.</w:t>
      </w:r>
    </w:p>
    <w:p w:rsidR="00A642F6" w:rsidRPr="009E611D" w:rsidRDefault="00A642F6" w:rsidP="00A642F6"/>
    <w:p w:rsidR="00AC2959" w:rsidRPr="009E611D" w:rsidRDefault="00AC2959" w:rsidP="00A642F6">
      <w:r w:rsidRPr="009E611D">
        <w:t>Up until December 2014, the revised targets for 12-year-old girls were:</w:t>
      </w:r>
    </w:p>
    <w:p w:rsidR="00AC2959" w:rsidRPr="009E611D" w:rsidRDefault="00AC2959" w:rsidP="00A642F6">
      <w:pPr>
        <w:pStyle w:val="Bullet"/>
      </w:pPr>
      <w:r w:rsidRPr="009E611D">
        <w:t>Dose one – 70 percent</w:t>
      </w:r>
    </w:p>
    <w:p w:rsidR="00AC2959" w:rsidRPr="009E611D" w:rsidRDefault="00AC2959" w:rsidP="00A642F6">
      <w:pPr>
        <w:pStyle w:val="Bullet"/>
      </w:pPr>
      <w:r w:rsidRPr="009E611D">
        <w:t>Dose two – 65 percent</w:t>
      </w:r>
    </w:p>
    <w:p w:rsidR="00AC2959" w:rsidRPr="009E611D" w:rsidRDefault="00AC2959" w:rsidP="00A642F6">
      <w:pPr>
        <w:pStyle w:val="Bullet"/>
      </w:pPr>
      <w:r w:rsidRPr="009E611D">
        <w:t>Dose three – 60 percent.</w:t>
      </w:r>
      <w:r w:rsidRPr="009E611D">
        <w:rPr>
          <w:rStyle w:val="FootnoteReference"/>
        </w:rPr>
        <w:footnoteReference w:id="4"/>
      </w:r>
    </w:p>
    <w:p w:rsidR="00A642F6" w:rsidRPr="009E611D" w:rsidRDefault="00A642F6" w:rsidP="00A642F6">
      <w:pPr>
        <w:rPr>
          <w:lang w:eastAsia="en-NZ"/>
        </w:rPr>
      </w:pPr>
    </w:p>
    <w:p w:rsidR="00A642F6" w:rsidRPr="009E611D" w:rsidRDefault="00AC2959" w:rsidP="00A642F6">
      <w:pPr>
        <w:rPr>
          <w:lang w:eastAsia="en-NZ"/>
        </w:rPr>
      </w:pPr>
      <w:r w:rsidRPr="009E611D">
        <w:rPr>
          <w:lang w:eastAsia="en-NZ"/>
        </w:rPr>
        <w:t xml:space="preserve">(See also Appendix B, </w:t>
      </w:r>
      <w:r w:rsidR="00A517A9">
        <w:rPr>
          <w:lang w:eastAsia="en-NZ"/>
        </w:rPr>
        <w:t>which shows</w:t>
      </w:r>
      <w:r w:rsidR="00A517A9" w:rsidRPr="009E611D">
        <w:rPr>
          <w:lang w:eastAsia="en-NZ"/>
        </w:rPr>
        <w:t xml:space="preserve"> </w:t>
      </w:r>
      <w:r w:rsidRPr="009E611D">
        <w:rPr>
          <w:lang w:eastAsia="en-NZ"/>
        </w:rPr>
        <w:t>the DHB end-of-year cohorts for 2001</w:t>
      </w:r>
      <w:r w:rsidR="00A642F6" w:rsidRPr="009E611D">
        <w:rPr>
          <w:lang w:eastAsia="en-NZ"/>
        </w:rPr>
        <w:t>.</w:t>
      </w:r>
      <w:r w:rsidRPr="009E611D">
        <w:rPr>
          <w:lang w:eastAsia="en-NZ"/>
        </w:rPr>
        <w:t>)</w:t>
      </w:r>
    </w:p>
    <w:p w:rsidR="00A642F6" w:rsidRPr="009E611D" w:rsidRDefault="00A642F6" w:rsidP="00A642F6">
      <w:pPr>
        <w:rPr>
          <w:lang w:eastAsia="en-NZ"/>
        </w:rPr>
      </w:pPr>
    </w:p>
    <w:p w:rsidR="00AC2959" w:rsidRPr="009E611D" w:rsidRDefault="00AC2959" w:rsidP="00A642F6">
      <w:pPr>
        <w:rPr>
          <w:lang w:eastAsia="en-NZ"/>
        </w:rPr>
      </w:pPr>
      <w:r w:rsidRPr="009E611D">
        <w:rPr>
          <w:lang w:eastAsia="en-NZ"/>
        </w:rPr>
        <w:t>Figure 1 on the following page shows national HPV immunisation dose three coverage from 2011 to 2013 (</w:t>
      </w:r>
      <w:proofErr w:type="spellStart"/>
      <w:r w:rsidRPr="009E611D">
        <w:rPr>
          <w:lang w:eastAsia="en-NZ"/>
        </w:rPr>
        <w:t>ie</w:t>
      </w:r>
      <w:proofErr w:type="spellEnd"/>
      <w:r w:rsidRPr="009E611D">
        <w:rPr>
          <w:lang w:eastAsia="en-NZ"/>
        </w:rPr>
        <w:t>, for birth cohorts 1998–2001). During this period, coverage for Pacific peoples and Asian</w:t>
      </w:r>
      <w:r w:rsidR="00C43B28" w:rsidRPr="009E611D">
        <w:rPr>
          <w:lang w:eastAsia="en-NZ"/>
        </w:rPr>
        <w:t>s</w:t>
      </w:r>
      <w:r w:rsidRPr="009E611D">
        <w:rPr>
          <w:lang w:eastAsia="en-NZ"/>
        </w:rPr>
        <w:t xml:space="preserve"> exceeded the 60 percent target; coverage for other ethnicities and </w:t>
      </w:r>
      <w:r w:rsidR="00507137">
        <w:rPr>
          <w:lang w:eastAsia="en-NZ"/>
        </w:rPr>
        <w:t xml:space="preserve">the </w:t>
      </w:r>
      <w:r w:rsidRPr="009E611D">
        <w:rPr>
          <w:lang w:eastAsia="en-NZ"/>
        </w:rPr>
        <w:t xml:space="preserve">total </w:t>
      </w:r>
      <w:r w:rsidR="004639AE">
        <w:rPr>
          <w:lang w:eastAsia="en-NZ"/>
        </w:rPr>
        <w:t>population</w:t>
      </w:r>
      <w:r w:rsidRPr="009E611D">
        <w:rPr>
          <w:lang w:eastAsia="en-NZ"/>
        </w:rPr>
        <w:t xml:space="preserve"> remained below it.</w:t>
      </w:r>
    </w:p>
    <w:p w:rsidR="00A642F6" w:rsidRPr="009E611D" w:rsidRDefault="00A642F6" w:rsidP="00A642F6">
      <w:pPr>
        <w:rPr>
          <w:lang w:eastAsia="en-NZ"/>
        </w:rPr>
      </w:pPr>
    </w:p>
    <w:p w:rsidR="00084746" w:rsidRPr="009E611D" w:rsidRDefault="00C50E24" w:rsidP="00A642F6">
      <w:pPr>
        <w:rPr>
          <w:lang w:eastAsia="en-NZ"/>
        </w:rPr>
      </w:pPr>
      <w:r w:rsidRPr="00C50E24">
        <w:rPr>
          <w:lang w:eastAsia="en-NZ"/>
        </w:rPr>
        <w:t>The New Zealand Programme did not achieve the same success in reaching high coverage like Australia and the United Kingdom and, of concern for Programme leads, Figure 1 highlights that Māori and Pacific coverage had started to decrease.</w:t>
      </w:r>
    </w:p>
    <w:p w:rsidR="00A642F6" w:rsidRPr="009E611D" w:rsidRDefault="00AC2959" w:rsidP="00A642F6">
      <w:pPr>
        <w:pStyle w:val="Figure"/>
        <w:rPr>
          <w:lang w:eastAsia="en-NZ"/>
        </w:rPr>
      </w:pPr>
      <w:bookmarkStart w:id="12" w:name="_Toc426022064"/>
      <w:r w:rsidRPr="009E611D">
        <w:rPr>
          <w:lang w:eastAsia="en-NZ"/>
        </w:rPr>
        <w:lastRenderedPageBreak/>
        <w:t>Figure 1: HPV immunisation dose three coverage by ethnicity, vaccination and eligible birth cohort, 1 January 2010–31 December 2014</w:t>
      </w:r>
      <w:bookmarkEnd w:id="12"/>
    </w:p>
    <w:p w:rsidR="00A642F6" w:rsidRPr="009E611D" w:rsidRDefault="000D1C8D" w:rsidP="0050431F">
      <w:r>
        <w:rPr>
          <w:noProof/>
          <w:lang w:eastAsia="ja-JP"/>
        </w:rPr>
        <w:drawing>
          <wp:inline distT="0" distB="0" distL="0" distR="0" wp14:anchorId="708D6BB1" wp14:editId="7C696413">
            <wp:extent cx="5448371" cy="3559628"/>
            <wp:effectExtent l="0" t="0" r="0" b="3175"/>
            <wp:docPr id="4" name="Picture 4" descr="Figure 1: HPV immunisation dose three coverage by ethnicity, vaccination and eligible birth cohort, 1 January 2010–31 Decemb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53181" cy="3562771"/>
                    </a:xfrm>
                    <a:prstGeom prst="rect">
                      <a:avLst/>
                    </a:prstGeom>
                    <a:noFill/>
                  </pic:spPr>
                </pic:pic>
              </a:graphicData>
            </a:graphic>
          </wp:inline>
        </w:drawing>
      </w:r>
    </w:p>
    <w:p w:rsidR="00C34E08" w:rsidRPr="009E611D" w:rsidRDefault="00C34E08" w:rsidP="00C34E08">
      <w:pPr>
        <w:pStyle w:val="Source"/>
      </w:pPr>
      <w:r w:rsidRPr="009E611D">
        <w:t>Source: Data Mart, 13 January 2015</w:t>
      </w:r>
    </w:p>
    <w:p w:rsidR="00AC2959" w:rsidRPr="009E611D" w:rsidRDefault="00AC2959" w:rsidP="00A642F6">
      <w:pPr>
        <w:pStyle w:val="Note"/>
        <w:ind w:left="0" w:firstLine="0"/>
      </w:pPr>
      <w:r w:rsidRPr="009E611D">
        <w:t>Note: The data will be expanded during 2015 to include figures for New Zealand European and a breakdown by deprivation area.</w:t>
      </w:r>
    </w:p>
    <w:p w:rsidR="00A642F6" w:rsidRPr="009E611D" w:rsidRDefault="00A642F6" w:rsidP="00A642F6">
      <w:pPr>
        <w:rPr>
          <w:lang w:eastAsia="en-NZ"/>
        </w:rPr>
      </w:pPr>
    </w:p>
    <w:p w:rsidR="00AC2959" w:rsidRPr="009E611D" w:rsidRDefault="00AC2959" w:rsidP="00A642F6">
      <w:pPr>
        <w:rPr>
          <w:lang w:eastAsia="en-NZ"/>
        </w:rPr>
      </w:pPr>
      <w:r w:rsidRPr="009E611D">
        <w:rPr>
          <w:lang w:eastAsia="en-NZ"/>
        </w:rPr>
        <w:t xml:space="preserve">The Ministry needs to revitalise its </w:t>
      </w:r>
      <w:r w:rsidR="00114881" w:rsidRPr="009E611D">
        <w:rPr>
          <w:lang w:eastAsia="en-NZ"/>
        </w:rPr>
        <w:t xml:space="preserve">Programme </w:t>
      </w:r>
      <w:r w:rsidR="00114881">
        <w:rPr>
          <w:lang w:eastAsia="en-NZ"/>
        </w:rPr>
        <w:t>in</w:t>
      </w:r>
      <w:r w:rsidRPr="009E611D">
        <w:rPr>
          <w:lang w:eastAsia="en-NZ"/>
        </w:rPr>
        <w:t xml:space="preserve"> order to increase coverage to at least a rate that would provide herd immunity. A national workshop was agreed.</w:t>
      </w:r>
    </w:p>
    <w:p w:rsidR="00A642F6" w:rsidRPr="009E611D" w:rsidRDefault="00A642F6" w:rsidP="00A642F6">
      <w:pPr>
        <w:rPr>
          <w:sz w:val="24"/>
          <w:szCs w:val="22"/>
          <w:lang w:eastAsia="en-NZ"/>
        </w:rPr>
      </w:pPr>
    </w:p>
    <w:p w:rsidR="00AC2959" w:rsidRPr="009E611D" w:rsidRDefault="00AC2959" w:rsidP="00A642F6">
      <w:pPr>
        <w:pStyle w:val="Heading2"/>
      </w:pPr>
      <w:bookmarkStart w:id="13" w:name="_Toc425517983"/>
      <w:bookmarkStart w:id="14" w:name="_Toc427227978"/>
      <w:r w:rsidRPr="009E611D">
        <w:t xml:space="preserve">The </w:t>
      </w:r>
      <w:r w:rsidR="00A642F6" w:rsidRPr="009E611D">
        <w:t>w</w:t>
      </w:r>
      <w:r w:rsidRPr="009E611D">
        <w:t>orkshop</w:t>
      </w:r>
      <w:bookmarkEnd w:id="13"/>
      <w:bookmarkEnd w:id="14"/>
    </w:p>
    <w:p w:rsidR="00AC2959" w:rsidRPr="009E611D" w:rsidRDefault="00AC2959" w:rsidP="00A642F6">
      <w:r w:rsidRPr="009E611D">
        <w:t xml:space="preserve">The 2014 HPV workshop was held for DHB funding and planning managers who oversee immunisation services, PHNs, </w:t>
      </w:r>
      <w:r w:rsidRPr="009E611D">
        <w:rPr>
          <w:szCs w:val="24"/>
        </w:rPr>
        <w:t>primary health organisations (PHOs)</w:t>
      </w:r>
      <w:r w:rsidRPr="009E611D">
        <w:t>, the Immunisation Advisory Centre (IMAC) and HPV immunisation programme managers. These workshop participants considered the cost-effectiveness of the Programme at current coverage levels, international approaches to HPV immunisation programmes and the questions listed below.</w:t>
      </w:r>
    </w:p>
    <w:p w:rsidR="00AC2959" w:rsidRPr="009E611D" w:rsidRDefault="00A642F6" w:rsidP="00A642F6">
      <w:pPr>
        <w:spacing w:before="120"/>
        <w:ind w:left="567" w:hanging="567"/>
        <w:rPr>
          <w:rFonts w:cs="Arial"/>
        </w:rPr>
      </w:pPr>
      <w:r w:rsidRPr="009E611D">
        <w:t>a)</w:t>
      </w:r>
      <w:r w:rsidRPr="009E611D">
        <w:tab/>
      </w:r>
      <w:r w:rsidR="00AC2959" w:rsidRPr="009E611D">
        <w:t>How do we de-stigmatise/normalise the Programme?</w:t>
      </w:r>
    </w:p>
    <w:p w:rsidR="00AC2959" w:rsidRPr="009E611D" w:rsidRDefault="00A642F6" w:rsidP="00A642F6">
      <w:pPr>
        <w:spacing w:before="120"/>
        <w:ind w:left="567" w:hanging="567"/>
        <w:rPr>
          <w:rFonts w:cs="Arial"/>
        </w:rPr>
      </w:pPr>
      <w:r w:rsidRPr="009E611D">
        <w:t>b)</w:t>
      </w:r>
      <w:r w:rsidRPr="009E611D">
        <w:tab/>
      </w:r>
      <w:r w:rsidR="00AC2959" w:rsidRPr="009E611D">
        <w:t>Should we transition the Programme to Year 7 in schools, and if so, how?</w:t>
      </w:r>
    </w:p>
    <w:p w:rsidR="00AC2959" w:rsidRPr="009E611D" w:rsidRDefault="00A642F6" w:rsidP="00A642F6">
      <w:pPr>
        <w:spacing w:before="120"/>
        <w:ind w:left="567" w:hanging="567"/>
        <w:rPr>
          <w:rFonts w:cs="Arial"/>
        </w:rPr>
      </w:pPr>
      <w:r w:rsidRPr="009E611D">
        <w:t>c)</w:t>
      </w:r>
      <w:r w:rsidRPr="009E611D">
        <w:tab/>
      </w:r>
      <w:r w:rsidR="00AC2959" w:rsidRPr="009E611D">
        <w:t>What are the key requirements to transitioning from a three-dose HPV schedule to a two</w:t>
      </w:r>
      <w:r w:rsidRPr="009E611D">
        <w:noBreakHyphen/>
      </w:r>
      <w:r w:rsidR="00AC2959" w:rsidRPr="009E611D">
        <w:t>dose schedule?</w:t>
      </w:r>
    </w:p>
    <w:p w:rsidR="00341620" w:rsidRPr="009E611D" w:rsidRDefault="00A642F6" w:rsidP="00A642F6">
      <w:pPr>
        <w:spacing w:before="120"/>
        <w:ind w:left="567" w:hanging="567"/>
        <w:rPr>
          <w:rFonts w:cs="Arial"/>
        </w:rPr>
      </w:pPr>
      <w:r w:rsidRPr="009E611D">
        <w:rPr>
          <w:rFonts w:cs="Arial"/>
        </w:rPr>
        <w:t>d)</w:t>
      </w:r>
      <w:r w:rsidRPr="009E611D">
        <w:rPr>
          <w:rFonts w:cs="Arial"/>
        </w:rPr>
        <w:tab/>
      </w:r>
      <w:r w:rsidR="00AC2959" w:rsidRPr="009E611D">
        <w:rPr>
          <w:rFonts w:cs="Arial"/>
        </w:rPr>
        <w:t>Should the current 60 percent three-dose HPV target be incrementally increased to reach the recommended 75 percent coverage?</w:t>
      </w:r>
    </w:p>
    <w:p w:rsidR="00A642F6" w:rsidRPr="009E611D" w:rsidRDefault="00A642F6" w:rsidP="00A642F6"/>
    <w:p w:rsidR="00AC2959" w:rsidRPr="009E611D" w:rsidRDefault="00AC2959" w:rsidP="00A642F6">
      <w:r w:rsidRPr="009E611D">
        <w:t>Possible solutions were suggested on how coverag</w:t>
      </w:r>
      <w:r w:rsidR="00A642F6" w:rsidRPr="009E611D">
        <w:t>e could improve (see Figure 2).</w:t>
      </w:r>
    </w:p>
    <w:p w:rsidR="00A642F6" w:rsidRPr="009E611D" w:rsidRDefault="00A642F6" w:rsidP="00A642F6"/>
    <w:p w:rsidR="00AC2959" w:rsidRPr="009E611D" w:rsidRDefault="00AC2959" w:rsidP="00A642F6">
      <w:pPr>
        <w:pStyle w:val="Figure"/>
      </w:pPr>
      <w:bookmarkStart w:id="15" w:name="_Toc426022065"/>
      <w:r w:rsidRPr="009E611D">
        <w:lastRenderedPageBreak/>
        <w:t>Figure 2: Possible solutions to improve coverage discussed at the workshop</w:t>
      </w:r>
      <w:bookmarkEnd w:id="15"/>
    </w:p>
    <w:p w:rsidR="00AC2959" w:rsidRPr="009E611D" w:rsidRDefault="001F5056" w:rsidP="00A642F6">
      <w:pPr>
        <w:rPr>
          <w:rFonts w:cs="Arial"/>
        </w:rPr>
      </w:pPr>
      <w:r>
        <w:rPr>
          <w:rFonts w:cs="Arial"/>
          <w:noProof/>
          <w:lang w:eastAsia="ja-JP"/>
        </w:rPr>
        <w:drawing>
          <wp:inline distT="0" distB="0" distL="0" distR="0" wp14:anchorId="42067AE0" wp14:editId="0DA4B773">
            <wp:extent cx="5874023" cy="3396343"/>
            <wp:effectExtent l="0" t="0" r="0" b="0"/>
            <wp:docPr id="15" name="Picture 15" descr="Figure 2: Possible solutions to improve coverage discussed at the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 Possible solutions to improve coverage discussed at the worksho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9697" cy="3393842"/>
                    </a:xfrm>
                    <a:prstGeom prst="rect">
                      <a:avLst/>
                    </a:prstGeom>
                    <a:noFill/>
                  </pic:spPr>
                </pic:pic>
              </a:graphicData>
            </a:graphic>
          </wp:inline>
        </w:drawing>
      </w:r>
    </w:p>
    <w:p w:rsidR="00AC2959" w:rsidRPr="009E611D" w:rsidRDefault="00AC2959" w:rsidP="00A642F6"/>
    <w:p w:rsidR="00AC2959" w:rsidRPr="009E611D" w:rsidRDefault="00AC2959" w:rsidP="00A642F6">
      <w:r w:rsidRPr="009E611D">
        <w:t>There was agreement by the workshop participants that one of the keys to increasing the HPV coverage was to incrementally increase the dose</w:t>
      </w:r>
      <w:r w:rsidR="00A33C35" w:rsidRPr="009E611D">
        <w:t xml:space="preserve"> </w:t>
      </w:r>
      <w:r w:rsidRPr="009E611D">
        <w:t>three coverage target to achieve 75 percent by 31</w:t>
      </w:r>
      <w:r w:rsidR="00A642F6" w:rsidRPr="009E611D">
        <w:t> </w:t>
      </w:r>
      <w:r w:rsidRPr="009E611D">
        <w:t xml:space="preserve">December 2017. DHBs and IMAC, who provided feedback, </w:t>
      </w:r>
      <w:r w:rsidR="00A642F6" w:rsidRPr="009E611D">
        <w:t>also support this change.</w:t>
      </w:r>
    </w:p>
    <w:p w:rsidR="00A642F6" w:rsidRPr="009E611D" w:rsidRDefault="00A642F6" w:rsidP="00A642F6">
      <w:bookmarkStart w:id="16" w:name="_Toc425517985"/>
    </w:p>
    <w:p w:rsidR="00AC2959" w:rsidRPr="009E611D" w:rsidRDefault="00A71A55" w:rsidP="00A642F6">
      <w:pPr>
        <w:pStyle w:val="Heading1"/>
      </w:pPr>
      <w:r w:rsidRPr="009E611D">
        <w:br w:type="page"/>
      </w:r>
      <w:bookmarkStart w:id="17" w:name="_Toc427227979"/>
      <w:r w:rsidR="00AC2959" w:rsidRPr="009E611D">
        <w:lastRenderedPageBreak/>
        <w:t>Increasing HPV coverage: discussion</w:t>
      </w:r>
      <w:bookmarkEnd w:id="16"/>
      <w:bookmarkEnd w:id="17"/>
    </w:p>
    <w:p w:rsidR="00AC2959" w:rsidRPr="009E611D" w:rsidRDefault="00AC2959" w:rsidP="00A642F6">
      <w:r w:rsidRPr="009E611D">
        <w:t xml:space="preserve">This section sets out some </w:t>
      </w:r>
      <w:r w:rsidRPr="009E611D">
        <w:rPr>
          <w:rFonts w:eastAsia="Calibri"/>
        </w:rPr>
        <w:t xml:space="preserve">of the </w:t>
      </w:r>
      <w:r w:rsidRPr="009E611D">
        <w:t xml:space="preserve">discussion points </w:t>
      </w:r>
      <w:r w:rsidR="00A33C35" w:rsidRPr="009E611D">
        <w:t xml:space="preserve">noted </w:t>
      </w:r>
      <w:r w:rsidRPr="009E611D">
        <w:rPr>
          <w:rFonts w:eastAsia="Calibri"/>
        </w:rPr>
        <w:t xml:space="preserve">above in Figure 2 </w:t>
      </w:r>
      <w:r w:rsidRPr="009E611D">
        <w:t xml:space="preserve">for achieving increased HPV immunisation </w:t>
      </w:r>
      <w:r w:rsidRPr="009E611D">
        <w:rPr>
          <w:rFonts w:eastAsia="Calibri"/>
        </w:rPr>
        <w:t xml:space="preserve">coverage </w:t>
      </w:r>
      <w:r w:rsidRPr="009E611D">
        <w:t>in the future, using the WHO</w:t>
      </w:r>
      <w:r w:rsidR="00341620" w:rsidRPr="009E611D">
        <w:t>’</w:t>
      </w:r>
      <w:r w:rsidRPr="009E611D">
        <w:t>s GVAP objectives as a framework.</w:t>
      </w:r>
    </w:p>
    <w:p w:rsidR="00A642F6" w:rsidRPr="009E611D" w:rsidRDefault="00A642F6" w:rsidP="00A642F6"/>
    <w:p w:rsidR="00AC2959" w:rsidRPr="009E611D" w:rsidRDefault="00AC2959" w:rsidP="00A642F6">
      <w:pPr>
        <w:pStyle w:val="Heading2"/>
      </w:pPr>
      <w:bookmarkStart w:id="18" w:name="_Toc425517986"/>
      <w:bookmarkStart w:id="19" w:name="_Toc427227980"/>
      <w:r w:rsidRPr="009E611D">
        <w:t>The WHO GVAP objectives</w:t>
      </w:r>
      <w:bookmarkEnd w:id="18"/>
      <w:bookmarkEnd w:id="19"/>
    </w:p>
    <w:p w:rsidR="00AC2959" w:rsidRPr="009E611D" w:rsidRDefault="00AC2959" w:rsidP="00A642F6">
      <w:r w:rsidRPr="009E611D">
        <w:t>As a platform for all the Ministry</w:t>
      </w:r>
      <w:r w:rsidR="00341620" w:rsidRPr="009E611D">
        <w:t>’</w:t>
      </w:r>
      <w:r w:rsidRPr="009E611D">
        <w:t>s immunisation programmes, the Ministry</w:t>
      </w:r>
      <w:r w:rsidR="00341620" w:rsidRPr="009E611D">
        <w:t>’</w:t>
      </w:r>
      <w:r w:rsidRPr="009E611D">
        <w:t xml:space="preserve">s Immunisation Team has adapted the six core objectives of </w:t>
      </w:r>
      <w:proofErr w:type="gramStart"/>
      <w:r w:rsidRPr="009E611D">
        <w:t>WHO</w:t>
      </w:r>
      <w:r w:rsidR="00341620" w:rsidRPr="009E611D">
        <w:t>’</w:t>
      </w:r>
      <w:r w:rsidRPr="009E611D">
        <w:t>s</w:t>
      </w:r>
      <w:proofErr w:type="gramEnd"/>
      <w:r w:rsidRPr="009E611D">
        <w:t xml:space="preserve"> GVAP: ownership, shared responsibility and partnership, equity, integration, sustainability and innovation (see Appendix A</w:t>
      </w:r>
      <w:r w:rsidR="009D04E5">
        <w:t>,</w:t>
      </w:r>
      <w:r w:rsidRPr="009E611D">
        <w:t xml:space="preserve"> which sets out how these </w:t>
      </w:r>
      <w:r w:rsidR="009D04E5">
        <w:t xml:space="preserve">objectives </w:t>
      </w:r>
      <w:r w:rsidRPr="009E611D">
        <w:t>have been adapted for New Zealand in a broader sense).</w:t>
      </w:r>
    </w:p>
    <w:p w:rsidR="00A642F6" w:rsidRPr="009E611D" w:rsidRDefault="00A642F6" w:rsidP="00A642F6">
      <w:pPr>
        <w:rPr>
          <w:lang w:eastAsia="en-NZ"/>
        </w:rPr>
      </w:pPr>
      <w:bookmarkStart w:id="20" w:name="_Toc397093081"/>
    </w:p>
    <w:p w:rsidR="00AC2959" w:rsidRPr="009E611D" w:rsidRDefault="00AC2959" w:rsidP="00A642F6">
      <w:pPr>
        <w:rPr>
          <w:lang w:eastAsia="en-NZ"/>
        </w:rPr>
      </w:pPr>
      <w:r w:rsidRPr="009E611D">
        <w:rPr>
          <w:lang w:eastAsia="en-NZ"/>
        </w:rPr>
        <w:t>The Ministry recommends applying these objectives to the current Programme, as follows.</w:t>
      </w:r>
    </w:p>
    <w:p w:rsidR="00AC2959" w:rsidRPr="009E611D" w:rsidRDefault="00AC2959" w:rsidP="00A642F6">
      <w:pPr>
        <w:rPr>
          <w:lang w:eastAsia="en-NZ"/>
        </w:rPr>
      </w:pPr>
    </w:p>
    <w:p w:rsidR="00AC2959" w:rsidRPr="009E611D" w:rsidRDefault="00AC2959" w:rsidP="00A642F6">
      <w:pPr>
        <w:pStyle w:val="Table"/>
        <w:rPr>
          <w:lang w:eastAsia="en-NZ"/>
        </w:rPr>
      </w:pPr>
      <w:bookmarkStart w:id="21" w:name="_Toc426022132"/>
      <w:r w:rsidRPr="009E611D">
        <w:rPr>
          <w:lang w:eastAsia="en-NZ"/>
        </w:rPr>
        <w:t>Table 1: Application of the GVAP principles to the Programme</w:t>
      </w:r>
      <w:bookmarkEnd w:id="2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Description w:val="Table 1: Application of the GVAP principles to the Programme"/>
      </w:tblPr>
      <w:tblGrid>
        <w:gridCol w:w="2127"/>
        <w:gridCol w:w="7229"/>
      </w:tblGrid>
      <w:tr w:rsidR="00AC2959" w:rsidRPr="009E611D" w:rsidTr="00E30CE1">
        <w:trPr>
          <w:cantSplit/>
        </w:trPr>
        <w:tc>
          <w:tcPr>
            <w:tcW w:w="2127" w:type="dxa"/>
            <w:tcBorders>
              <w:top w:val="single" w:sz="4" w:space="0" w:color="auto"/>
              <w:left w:val="single" w:sz="4" w:space="0" w:color="auto"/>
              <w:bottom w:val="single" w:sz="4" w:space="0" w:color="auto"/>
            </w:tcBorders>
            <w:shd w:val="clear" w:color="auto" w:fill="auto"/>
            <w:vAlign w:val="center"/>
          </w:tcPr>
          <w:p w:rsidR="00AC2959" w:rsidRPr="009E611D" w:rsidRDefault="00AC2959" w:rsidP="00A642F6">
            <w:pPr>
              <w:pStyle w:val="TableText"/>
              <w:ind w:right="284"/>
              <w:rPr>
                <w:b/>
              </w:rPr>
            </w:pPr>
            <w:r w:rsidRPr="009E611D">
              <w:rPr>
                <w:b/>
              </w:rPr>
              <w:t>Objective</w:t>
            </w:r>
          </w:p>
        </w:tc>
        <w:tc>
          <w:tcPr>
            <w:tcW w:w="7229" w:type="dxa"/>
            <w:tcBorders>
              <w:top w:val="single" w:sz="4" w:space="0" w:color="auto"/>
              <w:bottom w:val="single" w:sz="4" w:space="0" w:color="auto"/>
              <w:right w:val="single" w:sz="4" w:space="0" w:color="auto"/>
            </w:tcBorders>
            <w:shd w:val="clear" w:color="auto" w:fill="auto"/>
            <w:vAlign w:val="center"/>
          </w:tcPr>
          <w:p w:rsidR="00AC2959" w:rsidRPr="009E611D" w:rsidRDefault="00AC2959" w:rsidP="00A642F6">
            <w:pPr>
              <w:pStyle w:val="TableText"/>
              <w:rPr>
                <w:b/>
                <w:lang w:eastAsia="en-NZ"/>
              </w:rPr>
            </w:pPr>
            <w:r w:rsidRPr="009E611D">
              <w:rPr>
                <w:b/>
                <w:lang w:eastAsia="en-NZ"/>
              </w:rPr>
              <w:t>Description</w:t>
            </w:r>
          </w:p>
        </w:tc>
      </w:tr>
      <w:tr w:rsidR="00F869B9" w:rsidRPr="009E611D" w:rsidTr="00E30CE1">
        <w:trPr>
          <w:cantSplit/>
        </w:trPr>
        <w:tc>
          <w:tcPr>
            <w:tcW w:w="2127" w:type="dxa"/>
            <w:tcBorders>
              <w:top w:val="single" w:sz="4" w:space="0" w:color="auto"/>
              <w:left w:val="single" w:sz="4" w:space="0" w:color="auto"/>
              <w:bottom w:val="nil"/>
            </w:tcBorders>
            <w:shd w:val="clear" w:color="auto" w:fill="F2F2F2"/>
            <w:hideMark/>
          </w:tcPr>
          <w:p w:rsidR="00AC2959" w:rsidRPr="009E611D" w:rsidRDefault="00AC2959" w:rsidP="00A642F6">
            <w:pPr>
              <w:pStyle w:val="TableText"/>
              <w:ind w:right="284"/>
              <w:rPr>
                <w:color w:val="000000"/>
              </w:rPr>
            </w:pPr>
            <w:r w:rsidRPr="009E611D">
              <w:rPr>
                <w:color w:val="000000"/>
              </w:rPr>
              <w:t>Ownership</w:t>
            </w:r>
          </w:p>
        </w:tc>
        <w:tc>
          <w:tcPr>
            <w:tcW w:w="7229" w:type="dxa"/>
            <w:tcBorders>
              <w:top w:val="single" w:sz="4" w:space="0" w:color="auto"/>
              <w:bottom w:val="nil"/>
              <w:right w:val="single" w:sz="4" w:space="0" w:color="auto"/>
            </w:tcBorders>
            <w:shd w:val="clear" w:color="auto" w:fill="F2F2F2"/>
            <w:hideMark/>
          </w:tcPr>
          <w:p w:rsidR="00AC2959" w:rsidRPr="009E611D" w:rsidRDefault="00AC2959" w:rsidP="009D04E5">
            <w:pPr>
              <w:pStyle w:val="TableText"/>
              <w:rPr>
                <w:lang w:eastAsia="en-NZ"/>
              </w:rPr>
            </w:pPr>
            <w:r w:rsidRPr="009E611D">
              <w:rPr>
                <w:lang w:eastAsia="en-NZ"/>
              </w:rPr>
              <w:t>All providers and the wider health sector recognise the importance of the Programme and work collectively to achieve agreed targets.</w:t>
            </w:r>
          </w:p>
        </w:tc>
      </w:tr>
      <w:tr w:rsidR="00AC2959" w:rsidRPr="009E611D" w:rsidTr="00E30CE1">
        <w:trPr>
          <w:cantSplit/>
        </w:trPr>
        <w:tc>
          <w:tcPr>
            <w:tcW w:w="2127" w:type="dxa"/>
            <w:tcBorders>
              <w:top w:val="nil"/>
              <w:left w:val="single" w:sz="4" w:space="0" w:color="auto"/>
              <w:bottom w:val="nil"/>
            </w:tcBorders>
            <w:shd w:val="clear" w:color="auto" w:fill="auto"/>
            <w:hideMark/>
          </w:tcPr>
          <w:p w:rsidR="00AC2959" w:rsidRPr="009E611D" w:rsidRDefault="00AC2959" w:rsidP="00A642F6">
            <w:pPr>
              <w:pStyle w:val="TableText"/>
              <w:ind w:right="284"/>
              <w:rPr>
                <w:color w:val="000000"/>
                <w:lang w:eastAsia="en-NZ"/>
              </w:rPr>
            </w:pPr>
            <w:r w:rsidRPr="009E611D">
              <w:rPr>
                <w:color w:val="000000"/>
                <w:lang w:eastAsia="en-NZ"/>
              </w:rPr>
              <w:t>Shared responsibility and partnership</w:t>
            </w:r>
          </w:p>
        </w:tc>
        <w:tc>
          <w:tcPr>
            <w:tcW w:w="7229" w:type="dxa"/>
            <w:tcBorders>
              <w:top w:val="nil"/>
              <w:bottom w:val="nil"/>
              <w:right w:val="single" w:sz="4" w:space="0" w:color="auto"/>
            </w:tcBorders>
            <w:shd w:val="clear" w:color="auto" w:fill="auto"/>
            <w:hideMark/>
          </w:tcPr>
          <w:p w:rsidR="00AC2959" w:rsidRPr="009E611D" w:rsidRDefault="00AC2959" w:rsidP="009D04E5">
            <w:pPr>
              <w:pStyle w:val="TableText"/>
              <w:rPr>
                <w:lang w:eastAsia="en-NZ"/>
              </w:rPr>
            </w:pPr>
            <w:r w:rsidRPr="009E611D">
              <w:rPr>
                <w:lang w:eastAsia="en-NZ"/>
              </w:rPr>
              <w:t>The Ministry, the National Screening Unit (NSU) and DHBs, as partners and customers, respect the role of primary health care providers and the community itself in increasing coverage, and actively look for opportunities to improve the Programme.</w:t>
            </w:r>
          </w:p>
        </w:tc>
      </w:tr>
      <w:tr w:rsidR="00AC2959" w:rsidRPr="009E611D" w:rsidTr="00E30CE1">
        <w:trPr>
          <w:cantSplit/>
        </w:trPr>
        <w:tc>
          <w:tcPr>
            <w:tcW w:w="2127" w:type="dxa"/>
            <w:tcBorders>
              <w:top w:val="nil"/>
              <w:left w:val="single" w:sz="4" w:space="0" w:color="auto"/>
              <w:bottom w:val="nil"/>
            </w:tcBorders>
            <w:shd w:val="clear" w:color="auto" w:fill="F2F2F2"/>
            <w:hideMark/>
          </w:tcPr>
          <w:p w:rsidR="00AC2959" w:rsidRPr="009E611D" w:rsidRDefault="00AC2959" w:rsidP="00A642F6">
            <w:pPr>
              <w:pStyle w:val="TableText"/>
              <w:ind w:right="284"/>
              <w:rPr>
                <w:color w:val="000000"/>
                <w:lang w:eastAsia="en-NZ"/>
              </w:rPr>
            </w:pPr>
            <w:r w:rsidRPr="009E611D">
              <w:rPr>
                <w:color w:val="000000"/>
                <w:lang w:eastAsia="en-NZ"/>
              </w:rPr>
              <w:t>Equity</w:t>
            </w:r>
          </w:p>
        </w:tc>
        <w:tc>
          <w:tcPr>
            <w:tcW w:w="7229" w:type="dxa"/>
            <w:tcBorders>
              <w:top w:val="nil"/>
              <w:bottom w:val="nil"/>
              <w:right w:val="single" w:sz="4" w:space="0" w:color="auto"/>
            </w:tcBorders>
            <w:shd w:val="clear" w:color="auto" w:fill="F2F2F2"/>
            <w:hideMark/>
          </w:tcPr>
          <w:p w:rsidR="00AC2959" w:rsidRPr="009E611D" w:rsidRDefault="00AC2959" w:rsidP="009D04E5">
            <w:pPr>
              <w:pStyle w:val="TableText"/>
              <w:rPr>
                <w:lang w:eastAsia="en-NZ"/>
              </w:rPr>
            </w:pPr>
            <w:r w:rsidRPr="009E611D">
              <w:rPr>
                <w:lang w:eastAsia="en-NZ"/>
              </w:rPr>
              <w:t>The Programme deliverables are fair and just; in particular for vulnerable populations such as Māori, Pacific peoples and low-income groups</w:t>
            </w:r>
            <w:r w:rsidR="00A33C35" w:rsidRPr="009E611D">
              <w:rPr>
                <w:lang w:eastAsia="en-NZ"/>
              </w:rPr>
              <w:t>.</w:t>
            </w:r>
          </w:p>
        </w:tc>
      </w:tr>
      <w:tr w:rsidR="00AC2959" w:rsidRPr="009E611D" w:rsidTr="00E30CE1">
        <w:trPr>
          <w:cantSplit/>
        </w:trPr>
        <w:tc>
          <w:tcPr>
            <w:tcW w:w="2127" w:type="dxa"/>
            <w:tcBorders>
              <w:top w:val="nil"/>
              <w:left w:val="single" w:sz="4" w:space="0" w:color="auto"/>
              <w:bottom w:val="nil"/>
            </w:tcBorders>
            <w:shd w:val="clear" w:color="auto" w:fill="auto"/>
            <w:hideMark/>
          </w:tcPr>
          <w:p w:rsidR="00AC2959" w:rsidRPr="009E611D" w:rsidRDefault="00AC2959" w:rsidP="00A642F6">
            <w:pPr>
              <w:pStyle w:val="TableText"/>
              <w:ind w:right="284"/>
              <w:rPr>
                <w:color w:val="000000"/>
                <w:lang w:eastAsia="en-NZ"/>
              </w:rPr>
            </w:pPr>
            <w:r w:rsidRPr="009E611D">
              <w:rPr>
                <w:color w:val="000000"/>
                <w:lang w:eastAsia="en-NZ"/>
              </w:rPr>
              <w:t>Integration</w:t>
            </w:r>
          </w:p>
        </w:tc>
        <w:tc>
          <w:tcPr>
            <w:tcW w:w="7229" w:type="dxa"/>
            <w:tcBorders>
              <w:top w:val="nil"/>
              <w:bottom w:val="nil"/>
              <w:right w:val="single" w:sz="4" w:space="0" w:color="auto"/>
            </w:tcBorders>
            <w:shd w:val="clear" w:color="auto" w:fill="auto"/>
            <w:hideMark/>
          </w:tcPr>
          <w:p w:rsidR="00AC2959" w:rsidRPr="009E611D" w:rsidRDefault="00AC2959" w:rsidP="009D04E5">
            <w:pPr>
              <w:pStyle w:val="TableText"/>
              <w:rPr>
                <w:lang w:eastAsia="en-NZ"/>
              </w:rPr>
            </w:pPr>
            <w:r w:rsidRPr="009E611D">
              <w:rPr>
                <w:lang w:eastAsia="en-NZ"/>
              </w:rPr>
              <w:t>The Programme is integrated with other programmes on the Schedule in order to achieve better outcomes for young women and improve the efficiency of SBIP delivery.</w:t>
            </w:r>
          </w:p>
        </w:tc>
      </w:tr>
      <w:tr w:rsidR="00AC2959" w:rsidRPr="009E611D" w:rsidTr="00E30CE1">
        <w:trPr>
          <w:cantSplit/>
        </w:trPr>
        <w:tc>
          <w:tcPr>
            <w:tcW w:w="2127" w:type="dxa"/>
            <w:tcBorders>
              <w:top w:val="nil"/>
              <w:left w:val="single" w:sz="4" w:space="0" w:color="auto"/>
              <w:bottom w:val="nil"/>
            </w:tcBorders>
            <w:shd w:val="clear" w:color="auto" w:fill="F2F2F2"/>
            <w:hideMark/>
          </w:tcPr>
          <w:p w:rsidR="00AC2959" w:rsidRPr="009E611D" w:rsidRDefault="00AC2959" w:rsidP="00A642F6">
            <w:pPr>
              <w:pStyle w:val="TableText"/>
              <w:ind w:right="284"/>
              <w:rPr>
                <w:color w:val="000000"/>
                <w:lang w:eastAsia="en-NZ"/>
              </w:rPr>
            </w:pPr>
            <w:r w:rsidRPr="009E611D">
              <w:rPr>
                <w:color w:val="000000"/>
                <w:lang w:eastAsia="en-NZ"/>
              </w:rPr>
              <w:t>Sustainability</w:t>
            </w:r>
          </w:p>
        </w:tc>
        <w:tc>
          <w:tcPr>
            <w:tcW w:w="7229" w:type="dxa"/>
            <w:tcBorders>
              <w:top w:val="nil"/>
              <w:bottom w:val="nil"/>
              <w:right w:val="single" w:sz="4" w:space="0" w:color="auto"/>
            </w:tcBorders>
            <w:shd w:val="clear" w:color="auto" w:fill="F2F2F2"/>
            <w:hideMark/>
          </w:tcPr>
          <w:p w:rsidR="00AC2959" w:rsidRPr="009E611D" w:rsidRDefault="00AC2959" w:rsidP="009D04E5">
            <w:pPr>
              <w:pStyle w:val="TableText"/>
              <w:rPr>
                <w:lang w:eastAsia="en-NZ"/>
              </w:rPr>
            </w:pPr>
            <w:r w:rsidRPr="009E611D">
              <w:rPr>
                <w:lang w:eastAsia="en-NZ"/>
              </w:rPr>
              <w:t>The Programme continues to receive funding and remains a government priority.</w:t>
            </w:r>
          </w:p>
        </w:tc>
      </w:tr>
      <w:tr w:rsidR="00AC2959" w:rsidRPr="009E611D" w:rsidTr="00E30CE1">
        <w:trPr>
          <w:cantSplit/>
        </w:trPr>
        <w:tc>
          <w:tcPr>
            <w:tcW w:w="2127" w:type="dxa"/>
            <w:tcBorders>
              <w:top w:val="nil"/>
              <w:left w:val="single" w:sz="4" w:space="0" w:color="auto"/>
            </w:tcBorders>
            <w:shd w:val="clear" w:color="auto" w:fill="auto"/>
            <w:hideMark/>
          </w:tcPr>
          <w:p w:rsidR="00AC2959" w:rsidRPr="009E611D" w:rsidRDefault="00AC2959" w:rsidP="00A642F6">
            <w:pPr>
              <w:pStyle w:val="TableText"/>
              <w:ind w:right="284"/>
              <w:rPr>
                <w:color w:val="000000"/>
                <w:lang w:eastAsia="en-NZ"/>
              </w:rPr>
            </w:pPr>
            <w:r w:rsidRPr="009E611D">
              <w:rPr>
                <w:color w:val="000000"/>
                <w:lang w:eastAsia="en-NZ"/>
              </w:rPr>
              <w:t>Innovation</w:t>
            </w:r>
          </w:p>
        </w:tc>
        <w:tc>
          <w:tcPr>
            <w:tcW w:w="7229" w:type="dxa"/>
            <w:tcBorders>
              <w:top w:val="nil"/>
              <w:right w:val="single" w:sz="4" w:space="0" w:color="auto"/>
            </w:tcBorders>
            <w:shd w:val="clear" w:color="auto" w:fill="auto"/>
            <w:hideMark/>
          </w:tcPr>
          <w:p w:rsidR="00AC2959" w:rsidRPr="009E611D" w:rsidRDefault="00AC2959" w:rsidP="009D04E5">
            <w:pPr>
              <w:pStyle w:val="TableText"/>
              <w:rPr>
                <w:lang w:eastAsia="en-NZ"/>
              </w:rPr>
            </w:pPr>
            <w:r w:rsidRPr="009E611D">
              <w:rPr>
                <w:lang w:eastAsia="en-NZ"/>
              </w:rPr>
              <w:t>The Programme undergoes continuous improvement, with an aim to increase coverage rates and quality.</w:t>
            </w:r>
          </w:p>
        </w:tc>
      </w:tr>
    </w:tbl>
    <w:p w:rsidR="00A642F6" w:rsidRPr="009E611D" w:rsidRDefault="00A642F6" w:rsidP="00A642F6"/>
    <w:p w:rsidR="00AC2959" w:rsidRPr="009E611D" w:rsidRDefault="00AC2959" w:rsidP="00A642F6">
      <w:r w:rsidRPr="009E611D">
        <w:t>Using the modified WHO GVAP, the Ministry</w:t>
      </w:r>
      <w:r w:rsidR="00341620" w:rsidRPr="009E611D">
        <w:t>’</w:t>
      </w:r>
      <w:r w:rsidRPr="009E611D">
        <w:t>s Immunisation Team continues to work with the NSU and DHBs to improve the HPV immunisation coverage.</w:t>
      </w:r>
    </w:p>
    <w:p w:rsidR="00A642F6" w:rsidRPr="009E611D" w:rsidRDefault="00A642F6" w:rsidP="00A642F6"/>
    <w:p w:rsidR="00AC2959" w:rsidRPr="009E611D" w:rsidRDefault="00AC2959" w:rsidP="00A642F6">
      <w:r w:rsidRPr="009E611D">
        <w:t>A more detailed exploration of the six objectives follows.</w:t>
      </w:r>
    </w:p>
    <w:p w:rsidR="00A642F6" w:rsidRPr="009E611D" w:rsidRDefault="00A642F6" w:rsidP="00A642F6"/>
    <w:p w:rsidR="00AC2959" w:rsidRPr="009E611D" w:rsidRDefault="00AC2959" w:rsidP="00A642F6">
      <w:pPr>
        <w:pStyle w:val="Heading3"/>
        <w:rPr>
          <w:rFonts w:cs="Arial"/>
        </w:rPr>
      </w:pPr>
      <w:r w:rsidRPr="009E611D">
        <w:t>Ownership</w:t>
      </w:r>
    </w:p>
    <w:p w:rsidR="00AC2959" w:rsidRPr="009E611D" w:rsidRDefault="00341620" w:rsidP="00A642F6">
      <w:pPr>
        <w:rPr>
          <w:rFonts w:cs="Arial"/>
          <w:szCs w:val="24"/>
          <w:lang w:eastAsia="en-NZ"/>
        </w:rPr>
      </w:pPr>
      <w:r w:rsidRPr="009E611D">
        <w:rPr>
          <w:szCs w:val="24"/>
        </w:rPr>
        <w:t>‘</w:t>
      </w:r>
      <w:r w:rsidR="00AC2959" w:rsidRPr="009E611D">
        <w:t>Ownership</w:t>
      </w:r>
      <w:r w:rsidRPr="009E611D">
        <w:t>’</w:t>
      </w:r>
      <w:r w:rsidR="00AC2959" w:rsidRPr="009E611D">
        <w:t xml:space="preserve"> of immunisation programmes occurs at </w:t>
      </w:r>
      <w:r w:rsidR="00AC2959" w:rsidRPr="009E611D">
        <w:rPr>
          <w:szCs w:val="22"/>
        </w:rPr>
        <w:t xml:space="preserve">multiple levels. The Minister continues to support the delivery of the Schedule. </w:t>
      </w:r>
      <w:r w:rsidR="00AC2959" w:rsidRPr="009E611D">
        <w:t>In 2010</w:t>
      </w:r>
      <w:r w:rsidR="009D04E5">
        <w:t>,</w:t>
      </w:r>
      <w:r w:rsidR="00AC2959" w:rsidRPr="009E611D">
        <w:t xml:space="preserve"> the Health Select Committee </w:t>
      </w:r>
      <w:r w:rsidR="009D04E5">
        <w:t>i</w:t>
      </w:r>
      <w:r w:rsidR="009D04E5" w:rsidRPr="009E611D">
        <w:t xml:space="preserve">nquiry </w:t>
      </w:r>
      <w:r w:rsidR="00AC2959" w:rsidRPr="009E611D">
        <w:t>into how to improve completion rates of childhood immunisation</w:t>
      </w:r>
      <w:r w:rsidR="00AC2959" w:rsidRPr="009E611D">
        <w:rPr>
          <w:szCs w:val="22"/>
        </w:rPr>
        <w:t xml:space="preserve"> considered that immunisation</w:t>
      </w:r>
      <w:r w:rsidR="00AC2959" w:rsidRPr="009E611D">
        <w:rPr>
          <w:szCs w:val="22"/>
          <w:lang w:eastAsia="en-US"/>
        </w:rPr>
        <w:t xml:space="preserve"> is a highly effective strategy for </w:t>
      </w:r>
      <w:r w:rsidR="009D04E5">
        <w:rPr>
          <w:szCs w:val="22"/>
          <w:lang w:eastAsia="en-US"/>
        </w:rPr>
        <w:t>preventing</w:t>
      </w:r>
      <w:r w:rsidR="00AC2959" w:rsidRPr="009E611D">
        <w:rPr>
          <w:szCs w:val="22"/>
          <w:lang w:eastAsia="en-US"/>
        </w:rPr>
        <w:t xml:space="preserve"> infectious diseases throughout life.</w:t>
      </w:r>
      <w:r w:rsidR="00AC2959" w:rsidRPr="009E611D">
        <w:rPr>
          <w:szCs w:val="22"/>
        </w:rPr>
        <w:t xml:space="preserve"> </w:t>
      </w:r>
      <w:r w:rsidR="00AC2959" w:rsidRPr="009E611D">
        <w:rPr>
          <w:szCs w:val="22"/>
          <w:lang w:eastAsia="en-US"/>
        </w:rPr>
        <w:t>The Government, through a number of recommendations, supports timely immunisation.</w:t>
      </w:r>
    </w:p>
    <w:p w:rsidR="00AC2959" w:rsidRPr="009E611D" w:rsidRDefault="00AC2959" w:rsidP="00A642F6">
      <w:pPr>
        <w:rPr>
          <w:lang w:eastAsia="en-NZ"/>
        </w:rPr>
      </w:pPr>
    </w:p>
    <w:p w:rsidR="00AC2959" w:rsidRPr="009E611D" w:rsidRDefault="00AC2959" w:rsidP="00A33C35">
      <w:pPr>
        <w:keepNext/>
      </w:pPr>
      <w:r w:rsidRPr="009E611D">
        <w:t>In alignment with the recommendations of the 2010 Health Select Inquiry, many DHBs demonstrate ownership by providing resources for the delivery of SBIPs.</w:t>
      </w:r>
    </w:p>
    <w:p w:rsidR="00AC2959" w:rsidRPr="009E611D" w:rsidRDefault="00AC2959" w:rsidP="00A642F6"/>
    <w:p w:rsidR="00AC2959" w:rsidRPr="009E611D" w:rsidRDefault="00AC2959" w:rsidP="00A642F6">
      <w:pPr>
        <w:rPr>
          <w:rFonts w:cs="Arial"/>
        </w:rPr>
      </w:pPr>
      <w:r w:rsidRPr="009E611D">
        <w:lastRenderedPageBreak/>
        <w:t xml:space="preserve">Currently there is an opportunity to expand ownership of the Programme to PHOs and general </w:t>
      </w:r>
      <w:r w:rsidRPr="009E611D">
        <w:rPr>
          <w:rFonts w:cs="Arial"/>
        </w:rPr>
        <w:t xml:space="preserve">practices. This would be a way to </w:t>
      </w:r>
      <w:r w:rsidRPr="009E611D">
        <w:t xml:space="preserve">actively involve families in the effort to ensure that girls </w:t>
      </w:r>
      <w:r w:rsidRPr="009E611D">
        <w:rPr>
          <w:rFonts w:cs="Arial"/>
        </w:rPr>
        <w:t>aged 14</w:t>
      </w:r>
      <w:r w:rsidR="00A642F6" w:rsidRPr="009E611D">
        <w:rPr>
          <w:rFonts w:cs="Arial"/>
        </w:rPr>
        <w:t> </w:t>
      </w:r>
      <w:r w:rsidRPr="009E611D">
        <w:rPr>
          <w:rFonts w:cs="Arial"/>
        </w:rPr>
        <w:t>years complete their HPV immunisation. PHNs and general practice teams could work together to develop initiatives to engage with families to this end.</w:t>
      </w:r>
    </w:p>
    <w:p w:rsidR="00A642F6" w:rsidRPr="009E611D" w:rsidRDefault="00A642F6" w:rsidP="00A642F6">
      <w:pPr>
        <w:rPr>
          <w:rFonts w:cs="Arial"/>
        </w:rPr>
      </w:pPr>
    </w:p>
    <w:p w:rsidR="00AC2959" w:rsidRPr="009E611D" w:rsidRDefault="00AC2959" w:rsidP="00A642F6">
      <w:pPr>
        <w:pStyle w:val="Heading3"/>
      </w:pPr>
      <w:r w:rsidRPr="009E611D">
        <w:t>Shared responsibility and partnership</w:t>
      </w:r>
    </w:p>
    <w:p w:rsidR="00AC2959" w:rsidRPr="009E611D" w:rsidRDefault="00AC2959" w:rsidP="00A642F6">
      <w:r w:rsidRPr="009E611D">
        <w:t>Up until 2014, there was a disconnection between the SBIP and general practice delivery of the HPV vaccine. The Programme is delivered mainly through the SBIP, but general practices were not well equipped to specifically offer the vaccine to those who declined it at school.</w:t>
      </w:r>
    </w:p>
    <w:p w:rsidR="00A642F6" w:rsidRPr="009E611D" w:rsidRDefault="00A642F6" w:rsidP="00A642F6"/>
    <w:p w:rsidR="00AC2959" w:rsidRPr="009E611D" w:rsidRDefault="00AC2959" w:rsidP="00A642F6">
      <w:r w:rsidRPr="009E611D">
        <w:t>To date, general practice teams have not been given clear guidelines about the optimal time for recalling girls who have not received the vaccination at school. Moreover, anecdotal evidence suggests that many practices do not routinely stock the HPV vaccine. Although the SBIP notifies individual girls</w:t>
      </w:r>
      <w:r w:rsidR="00341620" w:rsidRPr="009E611D">
        <w:t>’</w:t>
      </w:r>
      <w:r w:rsidRPr="009E611D">
        <w:t xml:space="preserve"> vaccine records to their GPs, in reality these records are frequently inadequate or incomplete.</w:t>
      </w:r>
    </w:p>
    <w:p w:rsidR="00C470D3" w:rsidRPr="009E611D" w:rsidRDefault="00C470D3" w:rsidP="00C470D3"/>
    <w:p w:rsidR="00AC2959" w:rsidRPr="009E611D" w:rsidRDefault="00AC2959" w:rsidP="00C470D3">
      <w:pPr>
        <w:rPr>
          <w:szCs w:val="24"/>
        </w:rPr>
      </w:pPr>
      <w:r w:rsidRPr="009E611D">
        <w:t>There is an opportunity for the DHBs and PHOs to work collaboratively with general practice leads to re-establish best practice guidelines and more systematic approaches. DHBs who provided feedback on the draft of this document, have emphasised the need for better communication between the SBIP and general practice teams. Expanding</w:t>
      </w:r>
      <w:r w:rsidRPr="009E611D">
        <w:rPr>
          <w:szCs w:val="24"/>
        </w:rPr>
        <w:t xml:space="preserve"> ownership of the Programme to include general practice teams and PHNs will enable better engagement and communication.</w:t>
      </w:r>
    </w:p>
    <w:p w:rsidR="00C470D3" w:rsidRPr="009E611D" w:rsidRDefault="00C470D3" w:rsidP="00C470D3"/>
    <w:p w:rsidR="00AC2959" w:rsidRPr="009E611D" w:rsidRDefault="00AC2959" w:rsidP="00C470D3">
      <w:pPr>
        <w:pStyle w:val="Heading3"/>
      </w:pPr>
      <w:r w:rsidRPr="009E611D">
        <w:t>Equity</w:t>
      </w:r>
    </w:p>
    <w:p w:rsidR="00AC2959" w:rsidRPr="009E611D" w:rsidRDefault="00AC2959" w:rsidP="00C470D3">
      <w:r w:rsidRPr="009E611D">
        <w:t>The initial focus for the Programme was on reducing inequalities. Ethnic inequalities in cancer rates result from multiple influences, including differences in:</w:t>
      </w:r>
    </w:p>
    <w:p w:rsidR="00AC2959" w:rsidRPr="009E611D" w:rsidRDefault="00AC2959" w:rsidP="00C470D3">
      <w:pPr>
        <w:pStyle w:val="Bullet"/>
      </w:pPr>
      <w:r w:rsidRPr="009E611D">
        <w:t>underlying determinants of health</w:t>
      </w:r>
    </w:p>
    <w:p w:rsidR="00AC2959" w:rsidRPr="009E611D" w:rsidRDefault="00AC2959" w:rsidP="00C470D3">
      <w:pPr>
        <w:pStyle w:val="Bullet"/>
      </w:pPr>
      <w:r w:rsidRPr="009E611D">
        <w:t>exposure to risk and protective factors</w:t>
      </w:r>
    </w:p>
    <w:p w:rsidR="00AC2959" w:rsidRPr="009E611D" w:rsidRDefault="00AC2959" w:rsidP="00C470D3">
      <w:pPr>
        <w:pStyle w:val="Bullet"/>
      </w:pPr>
      <w:r w:rsidRPr="009E611D">
        <w:t>access to screening</w:t>
      </w:r>
    </w:p>
    <w:p w:rsidR="00AC2959" w:rsidRPr="009E611D" w:rsidRDefault="00AC2959" w:rsidP="00C470D3">
      <w:pPr>
        <w:pStyle w:val="Bullet"/>
      </w:pPr>
      <w:proofErr w:type="gramStart"/>
      <w:r w:rsidRPr="009E611D">
        <w:t>access</w:t>
      </w:r>
      <w:proofErr w:type="gramEnd"/>
      <w:r w:rsidRPr="009E611D">
        <w:t xml:space="preserve"> to timely, high-quality treatment.</w:t>
      </w:r>
      <w:r w:rsidRPr="009E611D">
        <w:rPr>
          <w:rStyle w:val="FootnoteReference"/>
        </w:rPr>
        <w:footnoteReference w:id="5"/>
      </w:r>
    </w:p>
    <w:p w:rsidR="00C470D3" w:rsidRPr="009E611D" w:rsidRDefault="00C470D3" w:rsidP="00C470D3"/>
    <w:p w:rsidR="00AC2959" w:rsidRPr="009E611D" w:rsidRDefault="00AC2959" w:rsidP="00C470D3">
      <w:pPr>
        <w:rPr>
          <w:u w:val="single"/>
        </w:rPr>
      </w:pPr>
      <w:r w:rsidRPr="009E611D">
        <w:t xml:space="preserve">Māori and Pacific peoples are at increased risk of developing and dying from cervical cancer compared </w:t>
      </w:r>
      <w:r w:rsidR="009D04E5">
        <w:t>with</w:t>
      </w:r>
      <w:r w:rsidR="009D04E5" w:rsidRPr="009E611D">
        <w:t xml:space="preserve"> </w:t>
      </w:r>
      <w:r w:rsidRPr="009E611D">
        <w:t>the New Zealand European population. Since the start of the Programme, coverage rates for Māori and Pacific have been higher than those for New Zealand European and other ethnicities and have reached the dose</w:t>
      </w:r>
      <w:r w:rsidR="00BE6BED" w:rsidRPr="009E611D">
        <w:t xml:space="preserve"> </w:t>
      </w:r>
      <w:r w:rsidRPr="009E611D">
        <w:t xml:space="preserve">three coverage </w:t>
      </w:r>
      <w:proofErr w:type="gramStart"/>
      <w:r w:rsidRPr="009E611D">
        <w:t>target</w:t>
      </w:r>
      <w:proofErr w:type="gramEnd"/>
      <w:r w:rsidRPr="009E611D">
        <w:t xml:space="preserve"> of 60 percent. These rates are positive but need to be increased or at least maintained to reduce the burden of disease for these groups and to increase herd immunity.</w:t>
      </w:r>
    </w:p>
    <w:p w:rsidR="00C470D3" w:rsidRPr="009E611D" w:rsidRDefault="00C470D3" w:rsidP="00C470D3"/>
    <w:p w:rsidR="00C470D3" w:rsidRPr="009E611D" w:rsidRDefault="00AC2959" w:rsidP="00C470D3">
      <w:r w:rsidRPr="009E611D">
        <w:t>Immunisation providers need to re-engage with communities with low coverage, to understand their concerns and provide assurances about the vaccine. One strategy that has worked effectively in the childhood immunisation programme is the use of community immunisation champions who are willing to front local campaigns.</w:t>
      </w:r>
    </w:p>
    <w:p w:rsidR="00C470D3" w:rsidRPr="009E611D" w:rsidRDefault="00C470D3" w:rsidP="00C470D3"/>
    <w:p w:rsidR="00AC2959" w:rsidRPr="009E611D" w:rsidRDefault="00AC2959" w:rsidP="00C470D3">
      <w:pPr>
        <w:rPr>
          <w:color w:val="000000"/>
          <w:lang w:eastAsia="en-NZ"/>
        </w:rPr>
      </w:pPr>
      <w:r w:rsidRPr="009E611D">
        <w:t>There is an opportunity to liaise with Whānau Ora providers, the Māori Women</w:t>
      </w:r>
      <w:r w:rsidR="00341620" w:rsidRPr="009E611D">
        <w:t>’</w:t>
      </w:r>
      <w:r w:rsidRPr="009E611D">
        <w:t>s Welfare League and the Pacific Allied (Women</w:t>
      </w:r>
      <w:r w:rsidR="00341620" w:rsidRPr="009E611D">
        <w:t>’</w:t>
      </w:r>
      <w:r w:rsidRPr="009E611D">
        <w:t xml:space="preserve">s) Council with a view to increasing coverage in </w:t>
      </w:r>
      <w:r w:rsidRPr="009E611D">
        <w:rPr>
          <w:color w:val="000000"/>
          <w:lang w:eastAsia="en-NZ"/>
        </w:rPr>
        <w:t>communities with low immunisation rates.</w:t>
      </w:r>
    </w:p>
    <w:p w:rsidR="00C470D3" w:rsidRPr="009E611D" w:rsidRDefault="00C470D3" w:rsidP="00C470D3">
      <w:pPr>
        <w:rPr>
          <w:lang w:eastAsia="en-NZ"/>
        </w:rPr>
      </w:pPr>
    </w:p>
    <w:p w:rsidR="00AC2959" w:rsidRPr="009E611D" w:rsidRDefault="00AC2959" w:rsidP="00C470D3">
      <w:pPr>
        <w:pStyle w:val="Heading3"/>
      </w:pPr>
      <w:r w:rsidRPr="009E611D">
        <w:lastRenderedPageBreak/>
        <w:t>Integration</w:t>
      </w:r>
    </w:p>
    <w:p w:rsidR="00AC2959" w:rsidRPr="009E611D" w:rsidRDefault="00AC2959" w:rsidP="00C470D3">
      <w:r w:rsidRPr="009E611D">
        <w:t>The Programme may benefit from integration with other childhood immunisations on the Schedule. Possible options for improving integration include:</w:t>
      </w:r>
    </w:p>
    <w:p w:rsidR="00AC2959" w:rsidRPr="009E611D" w:rsidRDefault="00AC2959" w:rsidP="00C470D3">
      <w:pPr>
        <w:pStyle w:val="Bullet"/>
      </w:pPr>
      <w:r w:rsidRPr="009E611D">
        <w:t xml:space="preserve">positioning the Programme in the context of the whole Schedule, as part of an </w:t>
      </w:r>
      <w:r w:rsidR="00341620" w:rsidRPr="009E611D">
        <w:t>‘</w:t>
      </w:r>
      <w:r w:rsidRPr="009E611D">
        <w:t>immunisation across the lifespan</w:t>
      </w:r>
      <w:r w:rsidR="00341620" w:rsidRPr="009E611D">
        <w:t>’</w:t>
      </w:r>
      <w:r w:rsidRPr="009E611D">
        <w:t xml:space="preserve"> approach</w:t>
      </w:r>
    </w:p>
    <w:p w:rsidR="00AC2959" w:rsidRPr="009E611D" w:rsidRDefault="00AC2959" w:rsidP="00C470D3">
      <w:pPr>
        <w:pStyle w:val="Bullet"/>
      </w:pPr>
      <w:r w:rsidRPr="009E611D">
        <w:t>offering the Programme at Year 7, to align with tetanus, diphtheria and acellular pertussis (Tdap) immunisation offered at age 11</w:t>
      </w:r>
    </w:p>
    <w:p w:rsidR="00AC2959" w:rsidRPr="009E611D" w:rsidRDefault="00AC2959" w:rsidP="00C470D3">
      <w:pPr>
        <w:pStyle w:val="Bullet"/>
      </w:pPr>
      <w:proofErr w:type="gramStart"/>
      <w:r w:rsidRPr="009E611D">
        <w:t>establishing</w:t>
      </w:r>
      <w:proofErr w:type="gramEnd"/>
      <w:r w:rsidRPr="009E611D">
        <w:t xml:space="preserve"> and maintaining closer working relationships between Programme providers (SBIP), general practice teams, public health, Māori and Pacific immunisation leads and local</w:t>
      </w:r>
      <w:r w:rsidR="00C470D3" w:rsidRPr="009E611D">
        <w:t xml:space="preserve"> cervical screening programmes.</w:t>
      </w:r>
    </w:p>
    <w:p w:rsidR="00C470D3" w:rsidRPr="009E611D" w:rsidRDefault="00C470D3" w:rsidP="00C470D3"/>
    <w:p w:rsidR="00AC2959" w:rsidRPr="009E611D" w:rsidRDefault="00AC2959" w:rsidP="00C470D3">
      <w:pPr>
        <w:pStyle w:val="Heading3"/>
      </w:pPr>
      <w:r w:rsidRPr="009E611D">
        <w:t>Sustainability</w:t>
      </w:r>
    </w:p>
    <w:p w:rsidR="00C470D3" w:rsidRPr="009E611D" w:rsidRDefault="00AC2959" w:rsidP="00C470D3">
      <w:r w:rsidRPr="009E611D">
        <w:t xml:space="preserve">Changing the number of doses in the Programme from three to two would be more cost effective and could help increase coverage across New Zealand. In April 2014, the WHO Strategic Advisory Group of Experts on Immunisation recommended a two-dose schedule for girls if vaccination is initiated </w:t>
      </w:r>
      <w:r w:rsidR="009D04E5">
        <w:t>before</w:t>
      </w:r>
      <w:r w:rsidRPr="009E611D">
        <w:t xml:space="preserve"> 15</w:t>
      </w:r>
      <w:r w:rsidR="00C470D3" w:rsidRPr="009E611D">
        <w:t> </w:t>
      </w:r>
      <w:r w:rsidRPr="009E611D">
        <w:t xml:space="preserve">years of age. The two doses could be delivered </w:t>
      </w:r>
      <w:r w:rsidR="009D04E5" w:rsidRPr="009E611D">
        <w:t xml:space="preserve">either </w:t>
      </w:r>
      <w:r w:rsidRPr="009E611D">
        <w:t>in Year</w:t>
      </w:r>
      <w:r w:rsidR="00C470D3" w:rsidRPr="009E611D">
        <w:t> </w:t>
      </w:r>
      <w:r w:rsidRPr="009E611D">
        <w:t xml:space="preserve">7, with a </w:t>
      </w:r>
      <w:r w:rsidR="00C470D3" w:rsidRPr="009E611D">
        <w:t>six</w:t>
      </w:r>
      <w:r w:rsidRPr="009E611D">
        <w:t>-month gap between the doses, or in Years 7 and 8; the first could be delivered alongside the Tdap vaccine.</w:t>
      </w:r>
    </w:p>
    <w:p w:rsidR="00C470D3" w:rsidRPr="009E611D" w:rsidRDefault="00C470D3" w:rsidP="00C470D3"/>
    <w:p w:rsidR="00C470D3" w:rsidRPr="009E611D" w:rsidRDefault="00AC2959" w:rsidP="00C470D3">
      <w:r w:rsidRPr="009E611D">
        <w:t>In addition to savings in the cost of vaccine</w:t>
      </w:r>
      <w:r w:rsidR="003A31D4" w:rsidRPr="009E611D">
        <w:t>,</w:t>
      </w:r>
      <w:r w:rsidRPr="009E611D">
        <w:t xml:space="preserve"> there may be significant savings to DHBs by </w:t>
      </w:r>
      <w:r w:rsidR="00145916">
        <w:t>reducing</w:t>
      </w:r>
      <w:r w:rsidRPr="009E611D">
        <w:t xml:space="preserve"> the number of school visits.</w:t>
      </w:r>
    </w:p>
    <w:p w:rsidR="00C470D3" w:rsidRPr="009E611D" w:rsidRDefault="00C470D3" w:rsidP="00C470D3"/>
    <w:p w:rsidR="00AC2959" w:rsidRPr="009E611D" w:rsidRDefault="00AC2959" w:rsidP="00C470D3">
      <w:r w:rsidRPr="009E611D">
        <w:t>Note</w:t>
      </w:r>
      <w:r w:rsidR="003A31D4" w:rsidRPr="009E611D">
        <w:t>:</w:t>
      </w:r>
      <w:r w:rsidRPr="009E611D">
        <w:t xml:space="preserve"> any changes to the funding and eligibility criteria for vaccines on the Schedule must be approved through PHARMAC</w:t>
      </w:r>
      <w:r w:rsidR="00341620" w:rsidRPr="009E611D">
        <w:t>’</w:t>
      </w:r>
      <w:r w:rsidRPr="009E611D">
        <w:t>s assessment, prioritisation and approval processes.</w:t>
      </w:r>
    </w:p>
    <w:p w:rsidR="00C470D3" w:rsidRPr="009E611D" w:rsidRDefault="00C470D3" w:rsidP="00C470D3"/>
    <w:p w:rsidR="00AC2959" w:rsidRPr="009E611D" w:rsidRDefault="00AC2959" w:rsidP="00C470D3">
      <w:r w:rsidRPr="009E611D">
        <w:t>DHBs who provided feedback are generally supportive of a two-dose programme.</w:t>
      </w:r>
    </w:p>
    <w:p w:rsidR="00C470D3" w:rsidRPr="009E611D" w:rsidRDefault="00C470D3" w:rsidP="00C470D3"/>
    <w:p w:rsidR="00AC2959" w:rsidRPr="009E611D" w:rsidRDefault="00AC2959" w:rsidP="00C470D3">
      <w:pPr>
        <w:pStyle w:val="Heading3"/>
      </w:pPr>
      <w:r w:rsidRPr="009E611D">
        <w:t>Innovation</w:t>
      </w:r>
    </w:p>
    <w:p w:rsidR="00AC2959" w:rsidRPr="009E611D" w:rsidRDefault="00AC2959" w:rsidP="00C470D3">
      <w:r w:rsidRPr="009E611D">
        <w:t>This section presents some ideas and questions about potential innovations in the Programme for further consideration.</w:t>
      </w:r>
    </w:p>
    <w:p w:rsidR="00C470D3" w:rsidRPr="009E611D" w:rsidRDefault="00C470D3" w:rsidP="00C470D3"/>
    <w:p w:rsidR="00AC2959" w:rsidRPr="009E611D" w:rsidRDefault="00AC2959" w:rsidP="00C470D3">
      <w:r w:rsidRPr="009E611D">
        <w:t xml:space="preserve">One possible innovative option would be </w:t>
      </w:r>
      <w:r w:rsidR="00145916">
        <w:t>to upgrade</w:t>
      </w:r>
      <w:r w:rsidR="00145916" w:rsidRPr="009E611D">
        <w:t xml:space="preserve"> </w:t>
      </w:r>
      <w:r w:rsidRPr="009E611D">
        <w:t>our National Immunisation Register (NIR) to provide accurate monitoring to measure effectively against the HPV target. DHBs are local experts and know how to get the best out of their communities, health partners and IT tools.</w:t>
      </w:r>
    </w:p>
    <w:p w:rsidR="00C470D3" w:rsidRPr="009E611D" w:rsidRDefault="00C470D3" w:rsidP="00C470D3"/>
    <w:p w:rsidR="00AC2959" w:rsidRPr="009E611D" w:rsidRDefault="00AC2959" w:rsidP="00C470D3">
      <w:r w:rsidRPr="009E611D">
        <w:t xml:space="preserve">There is potential for including boys in the Programme, as they are in Australia. Including boys in the Programme would de-stigmatise/normalise the vaccine as part of the routine childhood immunisation programme. </w:t>
      </w:r>
    </w:p>
    <w:p w:rsidR="00C470D3" w:rsidRPr="009E611D" w:rsidRDefault="00C470D3" w:rsidP="00C470D3"/>
    <w:p w:rsidR="009E7494" w:rsidRDefault="009E7494" w:rsidP="00C470D3">
      <w:r w:rsidRPr="003A4F74">
        <w:t>The current Programme appears to be cost-effective and a good use of health expenditure</w:t>
      </w:r>
      <w:r w:rsidRPr="009E7494">
        <w:t>.</w:t>
      </w:r>
      <w:r>
        <w:rPr>
          <w:rStyle w:val="FootnoteReference"/>
        </w:rPr>
        <w:footnoteReference w:id="6"/>
      </w:r>
      <w:r w:rsidRPr="009E7494">
        <w:t xml:space="preserve"> </w:t>
      </w:r>
    </w:p>
    <w:p w:rsidR="00C470D3" w:rsidRPr="009E611D" w:rsidRDefault="009E7494" w:rsidP="00C470D3">
      <w:r w:rsidRPr="009E7494">
        <w:t>Adding boys to the Programme would deliver some extra health benefits but at very high cost and so does not appear to be cost-effective at this point in time.</w:t>
      </w:r>
      <w:r>
        <w:t xml:space="preserve"> </w:t>
      </w:r>
      <w:r w:rsidRPr="009E7494">
        <w:t xml:space="preserve">In order for vaccination of </w:t>
      </w:r>
      <w:r w:rsidRPr="009E7494">
        <w:lastRenderedPageBreak/>
        <w:t>school-aged boys to be cost-effective in New Zealand, the vaccine would need to be supplied at very low prices and administration costs would need to be minimi</w:t>
      </w:r>
      <w:r w:rsidR="00893FEF">
        <w:t>s</w:t>
      </w:r>
      <w:r w:rsidRPr="009E7494">
        <w:t>ed.</w:t>
      </w:r>
      <w:r w:rsidR="00EF0F75">
        <w:rPr>
          <w:rStyle w:val="FootnoteReference"/>
        </w:rPr>
        <w:footnoteReference w:id="7"/>
      </w:r>
    </w:p>
    <w:p w:rsidR="00C470D3" w:rsidRPr="009E611D" w:rsidRDefault="00C470D3" w:rsidP="00C470D3"/>
    <w:p w:rsidR="00AC2959" w:rsidRPr="009E611D" w:rsidRDefault="00AC2959" w:rsidP="003A31D4">
      <w:pPr>
        <w:keepNext/>
        <w:rPr>
          <w:lang w:eastAsia="en-US"/>
        </w:rPr>
      </w:pPr>
      <w:r w:rsidRPr="009E611D">
        <w:rPr>
          <w:lang w:eastAsia="en-NZ"/>
        </w:rPr>
        <w:t>There are opportunities for better engagement within the education sector, with a view to:</w:t>
      </w:r>
    </w:p>
    <w:p w:rsidR="00AC2959" w:rsidRPr="009E611D" w:rsidRDefault="00AC2959" w:rsidP="00C470D3">
      <w:pPr>
        <w:pStyle w:val="Bullet"/>
        <w:rPr>
          <w:lang w:eastAsia="en-NZ"/>
        </w:rPr>
      </w:pPr>
      <w:r w:rsidRPr="009E611D">
        <w:rPr>
          <w:lang w:eastAsia="en-NZ"/>
        </w:rPr>
        <w:t>dispelling negative myths about the safety of the vaccine</w:t>
      </w:r>
    </w:p>
    <w:p w:rsidR="00AC2959" w:rsidRPr="009E611D" w:rsidRDefault="00AC2959" w:rsidP="00C470D3">
      <w:pPr>
        <w:pStyle w:val="Bullet"/>
        <w:rPr>
          <w:szCs w:val="24"/>
        </w:rPr>
      </w:pPr>
      <w:r w:rsidRPr="009E611D">
        <w:rPr>
          <w:lang w:eastAsia="en-NZ"/>
        </w:rPr>
        <w:t xml:space="preserve">ensuring providers have the knowledge and resources to understand parental concerns and reassure them about the safety and effectiveness of the vaccine </w:t>
      </w:r>
      <w:r w:rsidRPr="009E611D">
        <w:rPr>
          <w:szCs w:val="24"/>
          <w:lang w:eastAsia="en-NZ"/>
        </w:rPr>
        <w:t>(</w:t>
      </w:r>
      <w:r w:rsidRPr="009E611D">
        <w:rPr>
          <w:szCs w:val="24"/>
        </w:rPr>
        <w:t>IMAC are currently looking into implementing an online learning module for the Programme)</w:t>
      </w:r>
    </w:p>
    <w:p w:rsidR="00341620" w:rsidRPr="009E611D" w:rsidRDefault="00AC2959" w:rsidP="00C470D3">
      <w:pPr>
        <w:pStyle w:val="Bullet"/>
        <w:rPr>
          <w:lang w:eastAsia="en-NZ"/>
        </w:rPr>
      </w:pPr>
      <w:r w:rsidRPr="009E611D">
        <w:rPr>
          <w:lang w:eastAsia="en-NZ"/>
        </w:rPr>
        <w:t xml:space="preserve">stressing the importance of vaccinating young people because they develop a stronger immune response from the vaccine compared </w:t>
      </w:r>
      <w:r w:rsidR="00145916">
        <w:rPr>
          <w:lang w:eastAsia="en-NZ"/>
        </w:rPr>
        <w:t>with</w:t>
      </w:r>
      <w:r w:rsidR="00145916" w:rsidRPr="009E611D">
        <w:rPr>
          <w:lang w:eastAsia="en-NZ"/>
        </w:rPr>
        <w:t xml:space="preserve"> </w:t>
      </w:r>
      <w:r w:rsidRPr="009E611D">
        <w:rPr>
          <w:lang w:eastAsia="en-NZ"/>
        </w:rPr>
        <w:t>older people</w:t>
      </w:r>
    </w:p>
    <w:p w:rsidR="00AC2959" w:rsidRPr="009E611D" w:rsidRDefault="00AC2959" w:rsidP="00C470D3">
      <w:pPr>
        <w:pStyle w:val="Bullet"/>
        <w:rPr>
          <w:lang w:eastAsia="en-NZ"/>
        </w:rPr>
      </w:pPr>
      <w:proofErr w:type="gramStart"/>
      <w:r w:rsidRPr="009E611D">
        <w:rPr>
          <w:lang w:eastAsia="en-NZ"/>
        </w:rPr>
        <w:t>including</w:t>
      </w:r>
      <w:proofErr w:type="gramEnd"/>
      <w:r w:rsidRPr="009E611D">
        <w:rPr>
          <w:lang w:eastAsia="en-NZ"/>
        </w:rPr>
        <w:t xml:space="preserve"> education around immunisation as part of the school health curriculum.</w:t>
      </w:r>
    </w:p>
    <w:p w:rsidR="00C470D3" w:rsidRPr="009E611D" w:rsidRDefault="00C470D3" w:rsidP="00C470D3">
      <w:pPr>
        <w:rPr>
          <w:lang w:eastAsia="en-NZ"/>
        </w:rPr>
      </w:pPr>
    </w:p>
    <w:p w:rsidR="00AC2959" w:rsidRPr="009E611D" w:rsidRDefault="00AC2959" w:rsidP="00C470D3">
      <w:pPr>
        <w:pStyle w:val="Heading2"/>
      </w:pPr>
      <w:bookmarkStart w:id="22" w:name="_Toc425517987"/>
      <w:bookmarkStart w:id="23" w:name="_Toc427227981"/>
      <w:r w:rsidRPr="009E611D">
        <w:t>Increasing HPV coverage: an action plan</w:t>
      </w:r>
      <w:bookmarkEnd w:id="22"/>
      <w:bookmarkEnd w:id="23"/>
    </w:p>
    <w:p w:rsidR="00AC2959" w:rsidRPr="009E611D" w:rsidRDefault="001F5056" w:rsidP="00C470D3">
      <w:pPr>
        <w:rPr>
          <w:rFonts w:eastAsia="Calibri"/>
        </w:rPr>
      </w:pPr>
      <w:r>
        <w:rPr>
          <w:noProof/>
          <w:lang w:eastAsia="ja-JP"/>
        </w:rPr>
        <w:drawing>
          <wp:anchor distT="0" distB="0" distL="114300" distR="0" simplePos="0" relativeHeight="251656704" behindDoc="0" locked="0" layoutInCell="1" allowOverlap="1" wp14:anchorId="57460276" wp14:editId="33D94E8C">
            <wp:simplePos x="0" y="0"/>
            <wp:positionH relativeFrom="margin">
              <wp:posOffset>4197985</wp:posOffset>
            </wp:positionH>
            <wp:positionV relativeFrom="margin">
              <wp:posOffset>2336800</wp:posOffset>
            </wp:positionV>
            <wp:extent cx="1842770" cy="1644650"/>
            <wp:effectExtent l="0" t="0" r="5080" b="0"/>
            <wp:wrapSquare wrapText="left"/>
            <wp:docPr id="11" name="Picture 15" descr="Image of continuous circle with four actions: Plan Engage, Promote and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1842770" cy="164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2959" w:rsidRPr="009E611D">
        <w:t xml:space="preserve">In 2012, </w:t>
      </w:r>
      <w:bookmarkStart w:id="24" w:name="_Toc397093083"/>
      <w:bookmarkEnd w:id="20"/>
      <w:r w:rsidR="00AC2959" w:rsidRPr="009E611D">
        <w:t>the Ministry developed a four-point action plan</w:t>
      </w:r>
      <w:r w:rsidR="00AC2959" w:rsidRPr="009E611D">
        <w:rPr>
          <w:rFonts w:cs="Arial"/>
        </w:rPr>
        <w:t xml:space="preserve"> to assist with achieving the immunisation health targets.</w:t>
      </w:r>
    </w:p>
    <w:p w:rsidR="00C470D3" w:rsidRPr="009E611D" w:rsidRDefault="00C470D3" w:rsidP="00C470D3"/>
    <w:p w:rsidR="00AC2959" w:rsidRPr="009E611D" w:rsidRDefault="00AC2959" w:rsidP="00C470D3">
      <w:r w:rsidRPr="009E611D">
        <w:t>In light of the WHO objectives and ideas arising from consultation with DHBs, the Ministry has expanded and modified its four</w:t>
      </w:r>
      <w:r w:rsidR="00B329B3" w:rsidRPr="009E611D">
        <w:noBreakHyphen/>
      </w:r>
      <w:r w:rsidRPr="009E611D">
        <w:t xml:space="preserve">point action plan used for the </w:t>
      </w:r>
      <w:r w:rsidR="00341620" w:rsidRPr="009E611D">
        <w:t>‘</w:t>
      </w:r>
      <w:r w:rsidRPr="009E611D">
        <w:t>Under 5s</w:t>
      </w:r>
      <w:r w:rsidR="00341620" w:rsidRPr="009E611D">
        <w:t>’</w:t>
      </w:r>
      <w:r w:rsidRPr="009E611D">
        <w:t xml:space="preserve"> programme to increase HPV immunisation coverage. The action plan</w:t>
      </w:r>
      <w:r w:rsidR="00341620" w:rsidRPr="009E611D">
        <w:t>’</w:t>
      </w:r>
      <w:r w:rsidRPr="009E611D">
        <w:t>s underlying principles are:</w:t>
      </w:r>
    </w:p>
    <w:p w:rsidR="00AC2959" w:rsidRPr="009E611D" w:rsidRDefault="00AC2959" w:rsidP="00C470D3">
      <w:pPr>
        <w:pStyle w:val="Bullet"/>
      </w:pPr>
      <w:r w:rsidRPr="009E611D">
        <w:t>trusting relationships with parents</w:t>
      </w:r>
    </w:p>
    <w:p w:rsidR="00AC2959" w:rsidRPr="009E611D" w:rsidRDefault="00AC2959" w:rsidP="00C470D3">
      <w:pPr>
        <w:pStyle w:val="Bullet"/>
      </w:pPr>
      <w:r w:rsidRPr="009E611D">
        <w:t>more functional relationships between SBIP and general practice teams</w:t>
      </w:r>
    </w:p>
    <w:p w:rsidR="00AC2959" w:rsidRPr="009E611D" w:rsidRDefault="00AC2959" w:rsidP="00C470D3">
      <w:pPr>
        <w:pStyle w:val="Bullet"/>
      </w:pPr>
      <w:r w:rsidRPr="009E611D">
        <w:t xml:space="preserve">better quality processes, based on the Plan, Do, Check, Act </w:t>
      </w:r>
      <w:r w:rsidR="00145916" w:rsidRPr="009E611D">
        <w:t xml:space="preserve"> </w:t>
      </w:r>
      <w:r w:rsidRPr="009E611D">
        <w:t>cycle</w:t>
      </w:r>
    </w:p>
    <w:p w:rsidR="00AC2959" w:rsidRPr="009E611D" w:rsidRDefault="00AC2959" w:rsidP="00C470D3">
      <w:pPr>
        <w:pStyle w:val="Bullet"/>
      </w:pPr>
      <w:proofErr w:type="gramStart"/>
      <w:r w:rsidRPr="009E611D">
        <w:t>recognising</w:t>
      </w:r>
      <w:proofErr w:type="gramEnd"/>
      <w:r w:rsidRPr="009E611D">
        <w:t xml:space="preserve"> the role of the community.</w:t>
      </w:r>
    </w:p>
    <w:p w:rsidR="00C470D3" w:rsidRPr="009E611D" w:rsidRDefault="00C470D3" w:rsidP="00C470D3"/>
    <w:p w:rsidR="00AC2959" w:rsidRPr="009E611D" w:rsidRDefault="00AC2959" w:rsidP="00C470D3">
      <w:r w:rsidRPr="009E611D">
        <w:t xml:space="preserve">The four-point action plan uses </w:t>
      </w:r>
      <w:r w:rsidR="00341620" w:rsidRPr="009E611D">
        <w:t>‘</w:t>
      </w:r>
      <w:r w:rsidRPr="009E611D">
        <w:rPr>
          <w:i/>
        </w:rPr>
        <w:t>Plan, Engage, Promote and Monitor</w:t>
      </w:r>
      <w:r w:rsidR="00341620" w:rsidRPr="009E611D">
        <w:rPr>
          <w:i/>
        </w:rPr>
        <w:t>’</w:t>
      </w:r>
      <w:r w:rsidRPr="009E611D">
        <w:rPr>
          <w:i/>
        </w:rPr>
        <w:t xml:space="preserve"> </w:t>
      </w:r>
      <w:r w:rsidRPr="009E611D">
        <w:t xml:space="preserve">to activate change. Its implementation within the SBIP will support a coordinated approach between school delivery and general practice to identify girls who have not been vaccinated by age 16 years. There is general support to use this plan to achieve the new HPV target of 75 percent coverage of girls fully immunised </w:t>
      </w:r>
      <w:r w:rsidR="00145916">
        <w:t xml:space="preserve">at </w:t>
      </w:r>
      <w:r w:rsidRPr="009E611D">
        <w:t xml:space="preserve">12 years </w:t>
      </w:r>
      <w:r w:rsidR="00145916">
        <w:t xml:space="preserve">old </w:t>
      </w:r>
      <w:r w:rsidRPr="009E611D">
        <w:t>by 31 December 2017.</w:t>
      </w:r>
    </w:p>
    <w:p w:rsidR="00C470D3" w:rsidRPr="009E611D" w:rsidRDefault="00C470D3" w:rsidP="00C470D3">
      <w:pPr>
        <w:rPr>
          <w:rFonts w:cs="Arial"/>
        </w:rPr>
      </w:pPr>
    </w:p>
    <w:p w:rsidR="00341620" w:rsidRPr="009E611D" w:rsidRDefault="00AC2959" w:rsidP="00C470D3">
      <w:r w:rsidRPr="009E611D">
        <w:t xml:space="preserve">The Programme is underpinned by effective monitoring by the Programme and NIR administrators. Better liaison between SBIP, general practice teams and a network of immunisation coordinators is important to improve the </w:t>
      </w:r>
      <w:r w:rsidR="00114881">
        <w:t>P</w:t>
      </w:r>
      <w:r w:rsidR="00145916" w:rsidRPr="009E611D">
        <w:t>rogramme</w:t>
      </w:r>
      <w:r w:rsidR="00145916">
        <w:t xml:space="preserve">’s </w:t>
      </w:r>
      <w:r w:rsidRPr="009E611D">
        <w:t>success</w:t>
      </w:r>
      <w:r w:rsidR="000B3036" w:rsidRPr="009E611D">
        <w:t>.</w:t>
      </w:r>
    </w:p>
    <w:p w:rsidR="00C470D3" w:rsidRPr="009E611D" w:rsidRDefault="00C470D3" w:rsidP="00C470D3"/>
    <w:p w:rsidR="00AC2959" w:rsidRPr="009E611D" w:rsidRDefault="00AC2959" w:rsidP="00C470D3">
      <w:r w:rsidRPr="009E611D">
        <w:t>The key actions will result in increased coverage, more timely HPV immunisations, more transparent and consistent delivery of immunisation services, better integration of services and better engagement between health professionals.</w:t>
      </w:r>
    </w:p>
    <w:bookmarkEnd w:id="24"/>
    <w:p w:rsidR="00C470D3" w:rsidRPr="009E611D" w:rsidRDefault="00C470D3" w:rsidP="00C470D3"/>
    <w:p w:rsidR="00C470D3" w:rsidRPr="009E611D" w:rsidRDefault="00AC2959" w:rsidP="00C470D3">
      <w:r w:rsidRPr="009E611D">
        <w:t xml:space="preserve">Table </w:t>
      </w:r>
      <w:r w:rsidR="006601F1" w:rsidRPr="009E611D">
        <w:t>2</w:t>
      </w:r>
      <w:r w:rsidRPr="009E611D">
        <w:t xml:space="preserve"> sets out the principles of the plan alongside associated activities and explanations in more detail. In addition, it sets out the relevant WHO GVAP objectives that apply to each principle.</w:t>
      </w:r>
    </w:p>
    <w:p w:rsidR="00C470D3" w:rsidRPr="009E611D" w:rsidRDefault="00C470D3" w:rsidP="00C470D3"/>
    <w:p w:rsidR="00AC2959" w:rsidRPr="009E611D" w:rsidRDefault="00AC2959" w:rsidP="00C470D3">
      <w:pPr>
        <w:pStyle w:val="Table"/>
      </w:pPr>
      <w:bookmarkStart w:id="25" w:name="_Toc426022133"/>
      <w:r w:rsidRPr="009E611D">
        <w:lastRenderedPageBreak/>
        <w:t xml:space="preserve">Table </w:t>
      </w:r>
      <w:r w:rsidR="006601F1" w:rsidRPr="009E611D">
        <w:t>2</w:t>
      </w:r>
      <w:r w:rsidRPr="009E611D">
        <w:t>: Action plan principles and associated activities</w:t>
      </w:r>
      <w:bookmarkEnd w:id="25"/>
    </w:p>
    <w:tbl>
      <w:tblPr>
        <w:tblW w:w="0" w:type="auto"/>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Description w:val="Table 2: Action plan principles and associated activities"/>
      </w:tblPr>
      <w:tblGrid>
        <w:gridCol w:w="1101"/>
        <w:gridCol w:w="8255"/>
      </w:tblGrid>
      <w:tr w:rsidR="00AC2959" w:rsidRPr="009E611D" w:rsidTr="001C4C96">
        <w:trPr>
          <w:cantSplit/>
        </w:trPr>
        <w:tc>
          <w:tcPr>
            <w:tcW w:w="1101" w:type="dxa"/>
            <w:tcBorders>
              <w:top w:val="single" w:sz="4" w:space="0" w:color="auto"/>
              <w:left w:val="single" w:sz="4" w:space="0" w:color="000000" w:themeColor="text1"/>
              <w:bottom w:val="single" w:sz="4" w:space="0" w:color="auto"/>
            </w:tcBorders>
            <w:shd w:val="clear" w:color="auto" w:fill="auto"/>
          </w:tcPr>
          <w:p w:rsidR="00AC2959" w:rsidRPr="004532A5" w:rsidRDefault="00AC2959" w:rsidP="00B329B3">
            <w:pPr>
              <w:pStyle w:val="TableText"/>
              <w:keepNext/>
              <w:rPr>
                <w:b/>
                <w:sz w:val="20"/>
                <w:highlight w:val="yellow"/>
              </w:rPr>
            </w:pPr>
            <w:r w:rsidRPr="004532A5">
              <w:rPr>
                <w:b/>
                <w:sz w:val="20"/>
              </w:rPr>
              <w:t>Principle</w:t>
            </w:r>
          </w:p>
        </w:tc>
        <w:tc>
          <w:tcPr>
            <w:tcW w:w="8255" w:type="dxa"/>
            <w:tcBorders>
              <w:top w:val="single" w:sz="4" w:space="0" w:color="auto"/>
              <w:bottom w:val="single" w:sz="4" w:space="0" w:color="auto"/>
              <w:right w:val="single" w:sz="4" w:space="0" w:color="000000" w:themeColor="text1"/>
            </w:tcBorders>
            <w:shd w:val="clear" w:color="auto" w:fill="auto"/>
          </w:tcPr>
          <w:p w:rsidR="00AC2959" w:rsidRPr="004532A5" w:rsidRDefault="00AC2959" w:rsidP="00B329B3">
            <w:pPr>
              <w:pStyle w:val="TableText"/>
              <w:keepNext/>
              <w:rPr>
                <w:b/>
                <w:sz w:val="20"/>
                <w:highlight w:val="yellow"/>
              </w:rPr>
            </w:pPr>
            <w:r w:rsidRPr="004532A5">
              <w:rPr>
                <w:b/>
                <w:sz w:val="20"/>
              </w:rPr>
              <w:t>Activity</w:t>
            </w:r>
          </w:p>
        </w:tc>
      </w:tr>
      <w:tr w:rsidR="00AC2959" w:rsidRPr="009E611D" w:rsidTr="001C4C96">
        <w:trPr>
          <w:cantSplit/>
        </w:trPr>
        <w:tc>
          <w:tcPr>
            <w:tcW w:w="1101" w:type="dxa"/>
            <w:vMerge w:val="restart"/>
            <w:tcBorders>
              <w:top w:val="single" w:sz="4" w:space="0" w:color="auto"/>
              <w:left w:val="single" w:sz="4" w:space="0" w:color="000000" w:themeColor="text1"/>
              <w:bottom w:val="nil"/>
            </w:tcBorders>
            <w:shd w:val="clear" w:color="auto" w:fill="D9D9D9" w:themeFill="background1" w:themeFillShade="D9"/>
          </w:tcPr>
          <w:p w:rsidR="00AC2959" w:rsidRPr="004532A5" w:rsidRDefault="00AC2959" w:rsidP="00B329B3">
            <w:pPr>
              <w:pStyle w:val="TableText"/>
              <w:keepNext/>
              <w:rPr>
                <w:b/>
                <w:sz w:val="20"/>
              </w:rPr>
            </w:pPr>
            <w:r w:rsidRPr="004532A5">
              <w:rPr>
                <w:b/>
                <w:sz w:val="20"/>
              </w:rPr>
              <w:t>Plan</w:t>
            </w:r>
          </w:p>
          <w:p w:rsidR="00AC2959" w:rsidRPr="004532A5" w:rsidRDefault="00AC2959" w:rsidP="000B3036">
            <w:pPr>
              <w:pStyle w:val="TableText"/>
              <w:keepNext/>
              <w:rPr>
                <w:b/>
                <w:sz w:val="20"/>
                <w:highlight w:val="yellow"/>
              </w:rPr>
            </w:pPr>
            <w:r w:rsidRPr="004532A5">
              <w:rPr>
                <w:b/>
                <w:color w:val="808080"/>
                <w:sz w:val="20"/>
              </w:rPr>
              <w:t>WHO GVAP objectives 1, 2, 3, 4 and 5</w:t>
            </w:r>
          </w:p>
        </w:tc>
        <w:tc>
          <w:tcPr>
            <w:tcW w:w="8255" w:type="dxa"/>
            <w:tcBorders>
              <w:top w:val="single" w:sz="4" w:space="0" w:color="auto"/>
              <w:bottom w:val="nil"/>
              <w:right w:val="single" w:sz="4" w:space="0" w:color="000000" w:themeColor="text1"/>
            </w:tcBorders>
            <w:shd w:val="clear" w:color="auto" w:fill="F2F2F2" w:themeFill="background1" w:themeFillShade="F2"/>
          </w:tcPr>
          <w:p w:rsidR="00AC2959" w:rsidRPr="004532A5" w:rsidRDefault="00AC2959" w:rsidP="00B329B3">
            <w:pPr>
              <w:pStyle w:val="TableText"/>
              <w:keepNext/>
              <w:rPr>
                <w:sz w:val="20"/>
              </w:rPr>
            </w:pPr>
            <w:r w:rsidRPr="004532A5">
              <w:rPr>
                <w:sz w:val="20"/>
              </w:rPr>
              <w:t>All DHBs plan to offer an HPV SBIP for girls in either school Year 7 or 8 by 1 February 2017.</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keepNext/>
              <w:rPr>
                <w:b/>
                <w:sz w:val="20"/>
              </w:rPr>
            </w:pPr>
          </w:p>
        </w:tc>
        <w:tc>
          <w:tcPr>
            <w:tcW w:w="8255" w:type="dxa"/>
            <w:tcBorders>
              <w:top w:val="nil"/>
              <w:bottom w:val="nil"/>
              <w:right w:val="single" w:sz="4" w:space="0" w:color="000000" w:themeColor="text1"/>
            </w:tcBorders>
            <w:shd w:val="clear" w:color="auto" w:fill="auto"/>
          </w:tcPr>
          <w:p w:rsidR="00AC2959" w:rsidRPr="004532A5" w:rsidRDefault="00AC2959" w:rsidP="00B329B3">
            <w:pPr>
              <w:pStyle w:val="TableText"/>
              <w:keepNext/>
              <w:rPr>
                <w:sz w:val="20"/>
              </w:rPr>
            </w:pPr>
            <w:r w:rsidRPr="004532A5">
              <w:rPr>
                <w:sz w:val="20"/>
              </w:rPr>
              <w:t>School-based nurses and PHO staff collaborate to share methods to better engage with PHOs/general practice teams to work towards systematically delivering HPV vaccines in general practice to those girls aged 14 who are not fully vaccinated.</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keepNext/>
              <w:rPr>
                <w:b/>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0B3036">
            <w:pPr>
              <w:pStyle w:val="TableText"/>
              <w:keepNext/>
              <w:rPr>
                <w:sz w:val="20"/>
              </w:rPr>
            </w:pPr>
            <w:r w:rsidRPr="004532A5">
              <w:rPr>
                <w:sz w:val="20"/>
              </w:rPr>
              <w:t xml:space="preserve">General practice </w:t>
            </w:r>
            <w:proofErr w:type="gramStart"/>
            <w:r w:rsidRPr="004532A5">
              <w:rPr>
                <w:sz w:val="20"/>
              </w:rPr>
              <w:t>teams</w:t>
            </w:r>
            <w:proofErr w:type="gramEnd"/>
            <w:r w:rsidRPr="004532A5">
              <w:rPr>
                <w:sz w:val="20"/>
              </w:rPr>
              <w:t xml:space="preserve"> work with nurse leads to develop a follow-up process and provide catch-up for unimmunised or incompletely immunised girls</w:t>
            </w:r>
            <w:r w:rsidR="000B3036" w:rsidRPr="004532A5">
              <w:rPr>
                <w:sz w:val="20"/>
              </w:rPr>
              <w:t>,</w:t>
            </w:r>
            <w:r w:rsidRPr="004532A5">
              <w:rPr>
                <w:sz w:val="20"/>
              </w:rPr>
              <w:t xml:space="preserve"> </w:t>
            </w:r>
            <w:r w:rsidR="000B3036" w:rsidRPr="004532A5">
              <w:rPr>
                <w:sz w:val="20"/>
              </w:rPr>
              <w:t>f</w:t>
            </w:r>
            <w:r w:rsidRPr="004532A5">
              <w:rPr>
                <w:sz w:val="20"/>
              </w:rPr>
              <w:t xml:space="preserve">or example an annual recall </w:t>
            </w:r>
            <w:r w:rsidR="000B3036" w:rsidRPr="004532A5">
              <w:rPr>
                <w:sz w:val="20"/>
              </w:rPr>
              <w:t xml:space="preserve">was undertaken </w:t>
            </w:r>
            <w:r w:rsidRPr="004532A5">
              <w:rPr>
                <w:sz w:val="20"/>
              </w:rPr>
              <w:t>by GPs in November/December of their 14-year-old girls not fully protected against HPV.</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keepNext/>
              <w:rPr>
                <w:b/>
                <w:sz w:val="20"/>
              </w:rPr>
            </w:pPr>
          </w:p>
        </w:tc>
        <w:tc>
          <w:tcPr>
            <w:tcW w:w="8255" w:type="dxa"/>
            <w:tcBorders>
              <w:top w:val="nil"/>
              <w:bottom w:val="nil"/>
              <w:right w:val="single" w:sz="4" w:space="0" w:color="000000" w:themeColor="text1"/>
            </w:tcBorders>
            <w:shd w:val="clear" w:color="auto" w:fill="auto"/>
          </w:tcPr>
          <w:p w:rsidR="00AC2959" w:rsidRPr="004532A5" w:rsidRDefault="00AC2959" w:rsidP="00B329B3">
            <w:pPr>
              <w:pStyle w:val="TableText"/>
              <w:keepNext/>
              <w:rPr>
                <w:sz w:val="20"/>
              </w:rPr>
            </w:pPr>
            <w:r w:rsidRPr="004532A5">
              <w:rPr>
                <w:sz w:val="20"/>
              </w:rPr>
              <w:t>DHBs set yearly incremental milestone targets (</w:t>
            </w:r>
            <w:proofErr w:type="spellStart"/>
            <w:r w:rsidRPr="004532A5">
              <w:rPr>
                <w:sz w:val="20"/>
              </w:rPr>
              <w:t>eg</w:t>
            </w:r>
            <w:proofErr w:type="spellEnd"/>
            <w:r w:rsidRPr="004532A5">
              <w:rPr>
                <w:sz w:val="20"/>
              </w:rPr>
              <w:t>, 2015 – 65%; 2016 – 70% and 2017 – 75%) for all ethnicities.</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keepNext/>
              <w:rPr>
                <w:b/>
                <w:sz w:val="20"/>
              </w:rPr>
            </w:pPr>
          </w:p>
        </w:tc>
        <w:tc>
          <w:tcPr>
            <w:tcW w:w="8255" w:type="dxa"/>
            <w:tcBorders>
              <w:top w:val="nil"/>
              <w:bottom w:val="single" w:sz="4" w:space="0" w:color="A6A6A6" w:themeColor="background1" w:themeShade="A6"/>
              <w:right w:val="single" w:sz="4" w:space="0" w:color="000000" w:themeColor="text1"/>
            </w:tcBorders>
            <w:shd w:val="clear" w:color="auto" w:fill="F2F2F2" w:themeFill="background1" w:themeFillShade="F2"/>
          </w:tcPr>
          <w:p w:rsidR="00AC2959" w:rsidRPr="004532A5" w:rsidRDefault="00AC2959">
            <w:pPr>
              <w:pStyle w:val="TableText"/>
              <w:keepNext/>
              <w:rPr>
                <w:sz w:val="20"/>
              </w:rPr>
            </w:pPr>
            <w:r w:rsidRPr="004532A5">
              <w:rPr>
                <w:sz w:val="20"/>
              </w:rPr>
              <w:t>Plan to transition from three</w:t>
            </w:r>
            <w:r w:rsidR="00695D6E" w:rsidRPr="004532A5">
              <w:rPr>
                <w:sz w:val="20"/>
              </w:rPr>
              <w:t xml:space="preserve"> </w:t>
            </w:r>
            <w:r w:rsidRPr="004532A5">
              <w:rPr>
                <w:sz w:val="20"/>
              </w:rPr>
              <w:t>dose</w:t>
            </w:r>
            <w:r w:rsidR="00695D6E" w:rsidRPr="004532A5">
              <w:rPr>
                <w:sz w:val="20"/>
              </w:rPr>
              <w:t>s</w:t>
            </w:r>
            <w:r w:rsidRPr="004532A5">
              <w:rPr>
                <w:sz w:val="20"/>
              </w:rPr>
              <w:t xml:space="preserve"> to two</w:t>
            </w:r>
            <w:r w:rsidR="00695D6E" w:rsidRPr="004532A5">
              <w:rPr>
                <w:sz w:val="20"/>
              </w:rPr>
              <w:t xml:space="preserve"> </w:t>
            </w:r>
            <w:r w:rsidRPr="004532A5">
              <w:rPr>
                <w:sz w:val="20"/>
              </w:rPr>
              <w:t>dose</w:t>
            </w:r>
            <w:r w:rsidR="00695D6E" w:rsidRPr="004532A5">
              <w:rPr>
                <w:sz w:val="20"/>
              </w:rPr>
              <w:t>s</w:t>
            </w:r>
            <w:r w:rsidRPr="004532A5">
              <w:rPr>
                <w:sz w:val="20"/>
              </w:rPr>
              <w:t xml:space="preserve"> when PHARMAC approve changes to the Programme.</w:t>
            </w:r>
          </w:p>
        </w:tc>
      </w:tr>
      <w:tr w:rsidR="00AC2959" w:rsidRPr="009E611D" w:rsidTr="001C4C96">
        <w:trPr>
          <w:cantSplit/>
        </w:trPr>
        <w:tc>
          <w:tcPr>
            <w:tcW w:w="1101" w:type="dxa"/>
            <w:vMerge w:val="restart"/>
            <w:tcBorders>
              <w:top w:val="single" w:sz="4" w:space="0" w:color="A6A6A6" w:themeColor="background1" w:themeShade="A6"/>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r w:rsidRPr="004532A5">
              <w:rPr>
                <w:b/>
                <w:sz w:val="20"/>
              </w:rPr>
              <w:t>Engage</w:t>
            </w:r>
          </w:p>
          <w:p w:rsidR="00AC2959" w:rsidRPr="004532A5" w:rsidRDefault="00AC2959" w:rsidP="00B329B3">
            <w:pPr>
              <w:pStyle w:val="TableText"/>
              <w:rPr>
                <w:b/>
                <w:sz w:val="20"/>
                <w:highlight w:val="yellow"/>
              </w:rPr>
            </w:pPr>
            <w:r w:rsidRPr="004532A5">
              <w:rPr>
                <w:b/>
                <w:color w:val="808080"/>
                <w:sz w:val="20"/>
              </w:rPr>
              <w:t>WHO GVAP</w:t>
            </w:r>
            <w:r w:rsidRPr="004532A5" w:rsidDel="00F15C6E">
              <w:rPr>
                <w:b/>
                <w:color w:val="808080"/>
                <w:sz w:val="20"/>
              </w:rPr>
              <w:t xml:space="preserve"> </w:t>
            </w:r>
            <w:r w:rsidRPr="004532A5">
              <w:rPr>
                <w:b/>
                <w:color w:val="808080"/>
                <w:sz w:val="20"/>
              </w:rPr>
              <w:t>objectives 2, 4 and 5</w:t>
            </w:r>
          </w:p>
        </w:tc>
        <w:tc>
          <w:tcPr>
            <w:tcW w:w="8255" w:type="dxa"/>
            <w:tcBorders>
              <w:top w:val="single" w:sz="4" w:space="0" w:color="A6A6A6" w:themeColor="background1" w:themeShade="A6"/>
              <w:bottom w:val="nil"/>
              <w:right w:val="single" w:sz="4" w:space="0" w:color="000000" w:themeColor="text1"/>
            </w:tcBorders>
            <w:shd w:val="clear" w:color="auto" w:fill="auto"/>
          </w:tcPr>
          <w:p w:rsidR="00AC2959" w:rsidRPr="004532A5" w:rsidRDefault="00AC2959">
            <w:pPr>
              <w:pStyle w:val="TableText"/>
              <w:rPr>
                <w:sz w:val="20"/>
              </w:rPr>
            </w:pPr>
            <w:r w:rsidRPr="004532A5">
              <w:rPr>
                <w:sz w:val="20"/>
              </w:rPr>
              <w:t>DHBs encourage local health professionals and community leaders to become immunisation champions. The local cervical screening units may have champions that are keen to support the Programme.</w:t>
            </w:r>
          </w:p>
        </w:tc>
      </w:tr>
      <w:tr w:rsidR="00AC2959" w:rsidRPr="009E611D" w:rsidTr="001C4C96">
        <w:trPr>
          <w:cantSplit/>
        </w:trPr>
        <w:tc>
          <w:tcPr>
            <w:tcW w:w="1101" w:type="dxa"/>
            <w:vMerge/>
            <w:tcBorders>
              <w:top w:val="nil"/>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B329B3">
            <w:pPr>
              <w:pStyle w:val="TableText"/>
              <w:rPr>
                <w:sz w:val="20"/>
              </w:rPr>
            </w:pPr>
            <w:r w:rsidRPr="004532A5">
              <w:rPr>
                <w:sz w:val="20"/>
              </w:rPr>
              <w:t>School-based nurse leads notify children</w:t>
            </w:r>
            <w:r w:rsidR="00341620" w:rsidRPr="004532A5">
              <w:rPr>
                <w:sz w:val="20"/>
              </w:rPr>
              <w:t>’</w:t>
            </w:r>
            <w:r w:rsidRPr="004532A5">
              <w:rPr>
                <w:sz w:val="20"/>
              </w:rPr>
              <w:t>s nominated GPs when parents or legal guardians indicate they wish their child to be vaccinated in general practice. When GPs receive this notification, the practice team pre</w:t>
            </w:r>
            <w:r w:rsidR="00695D6E" w:rsidRPr="004532A5">
              <w:rPr>
                <w:sz w:val="20"/>
              </w:rPr>
              <w:t>-</w:t>
            </w:r>
            <w:r w:rsidRPr="004532A5">
              <w:rPr>
                <w:sz w:val="20"/>
              </w:rPr>
              <w:t>calls these girls at 12 years.</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nil"/>
              <w:right w:val="single" w:sz="4" w:space="0" w:color="000000" w:themeColor="text1"/>
            </w:tcBorders>
            <w:shd w:val="clear" w:color="auto" w:fill="auto"/>
          </w:tcPr>
          <w:p w:rsidR="00AC2959" w:rsidRPr="004532A5" w:rsidRDefault="00AC2959" w:rsidP="00B329B3">
            <w:pPr>
              <w:pStyle w:val="TableText"/>
              <w:rPr>
                <w:sz w:val="20"/>
              </w:rPr>
            </w:pPr>
            <w:r w:rsidRPr="004532A5">
              <w:rPr>
                <w:sz w:val="20"/>
              </w:rPr>
              <w:t>School-based nurse leads engage with general practice teams to develop systems to recall all unvaccinated girls in their 14th year who have not received all doses of the HPV vaccine.</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single" w:sz="4" w:space="0" w:color="A6A6A6" w:themeColor="background1" w:themeShade="A6"/>
              <w:right w:val="single" w:sz="4" w:space="0" w:color="000000" w:themeColor="text1"/>
            </w:tcBorders>
            <w:shd w:val="clear" w:color="auto" w:fill="F2F2F2" w:themeFill="background1" w:themeFillShade="F2"/>
          </w:tcPr>
          <w:p w:rsidR="00AC2959" w:rsidRPr="004532A5" w:rsidRDefault="00AC2959" w:rsidP="00B329B3">
            <w:pPr>
              <w:pStyle w:val="TableText"/>
              <w:rPr>
                <w:sz w:val="20"/>
              </w:rPr>
            </w:pPr>
            <w:r w:rsidRPr="004532A5">
              <w:rPr>
                <w:sz w:val="20"/>
              </w:rPr>
              <w:t>General practice teams use practice systems to engage and enable opportunistic immunisation at each contact with the health system for all eligible girls 14 years and older.</w:t>
            </w:r>
          </w:p>
        </w:tc>
      </w:tr>
      <w:tr w:rsidR="00AC2959" w:rsidRPr="009E611D" w:rsidTr="001C4C96">
        <w:trPr>
          <w:cantSplit/>
        </w:trPr>
        <w:tc>
          <w:tcPr>
            <w:tcW w:w="1101" w:type="dxa"/>
            <w:vMerge w:val="restart"/>
            <w:tcBorders>
              <w:top w:val="single" w:sz="4" w:space="0" w:color="A6A6A6" w:themeColor="background1" w:themeShade="A6"/>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r w:rsidRPr="004532A5">
              <w:rPr>
                <w:b/>
                <w:sz w:val="20"/>
              </w:rPr>
              <w:t>Promote</w:t>
            </w:r>
          </w:p>
          <w:p w:rsidR="00AC2959" w:rsidRPr="004532A5" w:rsidRDefault="00AC2959" w:rsidP="000B3036">
            <w:pPr>
              <w:pStyle w:val="TableText"/>
              <w:rPr>
                <w:b/>
                <w:sz w:val="20"/>
              </w:rPr>
            </w:pPr>
            <w:r w:rsidRPr="004532A5">
              <w:rPr>
                <w:b/>
                <w:color w:val="808080"/>
                <w:sz w:val="20"/>
              </w:rPr>
              <w:t>WHO GVAP</w:t>
            </w:r>
            <w:r w:rsidRPr="004532A5" w:rsidDel="00F15C6E">
              <w:rPr>
                <w:b/>
                <w:color w:val="808080"/>
                <w:sz w:val="20"/>
              </w:rPr>
              <w:t xml:space="preserve"> </w:t>
            </w:r>
            <w:r w:rsidRPr="004532A5">
              <w:rPr>
                <w:b/>
                <w:color w:val="808080"/>
                <w:sz w:val="20"/>
              </w:rPr>
              <w:t>objectives 1, 2 and 4</w:t>
            </w:r>
          </w:p>
        </w:tc>
        <w:tc>
          <w:tcPr>
            <w:tcW w:w="8255" w:type="dxa"/>
            <w:tcBorders>
              <w:top w:val="single" w:sz="4" w:space="0" w:color="A6A6A6" w:themeColor="background1" w:themeShade="A6"/>
              <w:bottom w:val="nil"/>
              <w:right w:val="single" w:sz="4" w:space="0" w:color="000000" w:themeColor="text1"/>
            </w:tcBorders>
            <w:shd w:val="clear" w:color="auto" w:fill="auto"/>
          </w:tcPr>
          <w:p w:rsidR="00AC2959" w:rsidRPr="004532A5" w:rsidDel="008B4419" w:rsidRDefault="00AC2959" w:rsidP="00B329B3">
            <w:pPr>
              <w:pStyle w:val="TableText"/>
              <w:rPr>
                <w:sz w:val="20"/>
              </w:rPr>
            </w:pPr>
            <w:r w:rsidRPr="004532A5">
              <w:rPr>
                <w:sz w:val="20"/>
              </w:rPr>
              <w:t>DHBs, in conjunction with their immunisation steering group leads, create specifically tailored promotional plans for particular local population groups. Key messages align across different promotional plans, including the cervical screening programme.</w:t>
            </w:r>
          </w:p>
        </w:tc>
      </w:tr>
      <w:tr w:rsidR="00AC2959" w:rsidRPr="009E611D" w:rsidTr="001C4C96">
        <w:trPr>
          <w:cantSplit/>
        </w:trPr>
        <w:tc>
          <w:tcPr>
            <w:tcW w:w="1101" w:type="dxa"/>
            <w:vMerge/>
            <w:tcBorders>
              <w:top w:val="nil"/>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15405E">
            <w:pPr>
              <w:pStyle w:val="TableText"/>
              <w:rPr>
                <w:sz w:val="20"/>
              </w:rPr>
            </w:pPr>
            <w:r w:rsidRPr="004532A5">
              <w:rPr>
                <w:sz w:val="20"/>
              </w:rPr>
              <w:t>Promote immunisation through school newsletters, primary care, NSUs (</w:t>
            </w:r>
            <w:proofErr w:type="spellStart"/>
            <w:r w:rsidRPr="004532A5">
              <w:rPr>
                <w:sz w:val="20"/>
              </w:rPr>
              <w:t>eg</w:t>
            </w:r>
            <w:proofErr w:type="spellEnd"/>
            <w:r w:rsidRPr="004532A5">
              <w:rPr>
                <w:sz w:val="20"/>
              </w:rPr>
              <w:t>, providers discuss with family members presenting for cervical smears or primary HPV screening) and youth services.</w:t>
            </w:r>
          </w:p>
        </w:tc>
      </w:tr>
      <w:tr w:rsidR="000B3036"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0B3036" w:rsidRPr="004532A5" w:rsidRDefault="000B3036" w:rsidP="00B329B3">
            <w:pPr>
              <w:pStyle w:val="TableText"/>
              <w:rPr>
                <w:b/>
                <w:sz w:val="20"/>
              </w:rPr>
            </w:pPr>
          </w:p>
        </w:tc>
        <w:tc>
          <w:tcPr>
            <w:tcW w:w="8255" w:type="dxa"/>
            <w:tcBorders>
              <w:top w:val="nil"/>
              <w:bottom w:val="nil"/>
              <w:right w:val="single" w:sz="4" w:space="0" w:color="000000" w:themeColor="text1"/>
            </w:tcBorders>
            <w:shd w:val="clear" w:color="auto" w:fill="auto"/>
          </w:tcPr>
          <w:p w:rsidR="000B3036" w:rsidRPr="004532A5" w:rsidRDefault="000B3036" w:rsidP="0015405E">
            <w:pPr>
              <w:pStyle w:val="TableText"/>
              <w:rPr>
                <w:sz w:val="20"/>
              </w:rPr>
            </w:pPr>
            <w:r w:rsidRPr="004532A5">
              <w:rPr>
                <w:sz w:val="20"/>
              </w:rPr>
              <w:t>DHBs and PHOs promote immunisation through local media and parent groups via good news stories. Communications feature targeted messages, individual stories and shared personal experiences.</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B329B3">
            <w:pPr>
              <w:pStyle w:val="TableText"/>
              <w:rPr>
                <w:sz w:val="20"/>
              </w:rPr>
            </w:pPr>
            <w:r w:rsidRPr="004532A5">
              <w:rPr>
                <w:sz w:val="20"/>
              </w:rPr>
              <w:t>DHBs provide pro-immunisation resources to schools and locations relevant to the target population (</w:t>
            </w:r>
            <w:proofErr w:type="spellStart"/>
            <w:r w:rsidRPr="004532A5">
              <w:rPr>
                <w:sz w:val="20"/>
              </w:rPr>
              <w:t>eg</w:t>
            </w:r>
            <w:proofErr w:type="spellEnd"/>
            <w:r w:rsidRPr="004532A5">
              <w:rPr>
                <w:sz w:val="20"/>
              </w:rPr>
              <w:t>, recreation centres, libraries, pharmacies).</w:t>
            </w:r>
          </w:p>
        </w:tc>
      </w:tr>
      <w:tr w:rsidR="00AC2959" w:rsidRPr="009E611D" w:rsidTr="001C4C96">
        <w:trPr>
          <w:cantSplit/>
        </w:trPr>
        <w:tc>
          <w:tcPr>
            <w:tcW w:w="1101" w:type="dxa"/>
            <w:vMerge/>
            <w:tcBorders>
              <w:left w:val="single" w:sz="4" w:space="0" w:color="000000" w:themeColor="text1"/>
              <w:bottom w:val="nil"/>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nil"/>
              <w:right w:val="single" w:sz="4" w:space="0" w:color="000000" w:themeColor="text1"/>
            </w:tcBorders>
            <w:shd w:val="clear" w:color="auto" w:fill="auto"/>
          </w:tcPr>
          <w:p w:rsidR="00AC2959" w:rsidRPr="004532A5" w:rsidRDefault="00AC2959">
            <w:pPr>
              <w:pStyle w:val="TableText"/>
              <w:rPr>
                <w:sz w:val="20"/>
              </w:rPr>
            </w:pPr>
            <w:r w:rsidRPr="004532A5">
              <w:rPr>
                <w:sz w:val="20"/>
              </w:rPr>
              <w:t>DHBs</w:t>
            </w:r>
            <w:r w:rsidR="0015405E" w:rsidRPr="004532A5">
              <w:rPr>
                <w:sz w:val="20"/>
              </w:rPr>
              <w:t>,</w:t>
            </w:r>
            <w:r w:rsidRPr="004532A5">
              <w:rPr>
                <w:sz w:val="20"/>
              </w:rPr>
              <w:t xml:space="preserve"> with support </w:t>
            </w:r>
            <w:r w:rsidR="00695D6E" w:rsidRPr="004532A5">
              <w:rPr>
                <w:sz w:val="20"/>
              </w:rPr>
              <w:t xml:space="preserve">from </w:t>
            </w:r>
            <w:r w:rsidRPr="004532A5">
              <w:rPr>
                <w:sz w:val="20"/>
              </w:rPr>
              <w:t>IMAC</w:t>
            </w:r>
            <w:r w:rsidR="0015405E" w:rsidRPr="004532A5">
              <w:rPr>
                <w:sz w:val="20"/>
              </w:rPr>
              <w:t>,</w:t>
            </w:r>
            <w:r w:rsidRPr="004532A5">
              <w:rPr>
                <w:sz w:val="20"/>
              </w:rPr>
              <w:t xml:space="preserve"> rebut anti-immunisation information where necessary, using pre-prepared statements making key points.</w:t>
            </w:r>
          </w:p>
        </w:tc>
      </w:tr>
      <w:tr w:rsidR="00AC2959" w:rsidRPr="009E611D" w:rsidTr="001C4C96">
        <w:trPr>
          <w:cantSplit/>
        </w:trPr>
        <w:tc>
          <w:tcPr>
            <w:tcW w:w="1101" w:type="dxa"/>
            <w:vMerge/>
            <w:tcBorders>
              <w:left w:val="single" w:sz="4" w:space="0" w:color="000000" w:themeColor="text1"/>
              <w:bottom w:val="single" w:sz="4" w:space="0" w:color="A6A6A6" w:themeColor="background1" w:themeShade="A6"/>
            </w:tcBorders>
            <w:shd w:val="clear" w:color="auto" w:fill="D9D9D9" w:themeFill="background1" w:themeFillShade="D9"/>
          </w:tcPr>
          <w:p w:rsidR="00AC2959" w:rsidRPr="004532A5" w:rsidRDefault="00AC2959" w:rsidP="00B329B3">
            <w:pPr>
              <w:pStyle w:val="TableText"/>
              <w:rPr>
                <w:b/>
                <w:sz w:val="20"/>
              </w:rPr>
            </w:pPr>
          </w:p>
        </w:tc>
        <w:tc>
          <w:tcPr>
            <w:tcW w:w="8255" w:type="dxa"/>
            <w:tcBorders>
              <w:top w:val="nil"/>
              <w:bottom w:val="single" w:sz="4" w:space="0" w:color="A6A6A6" w:themeColor="background1" w:themeShade="A6"/>
              <w:right w:val="single" w:sz="4" w:space="0" w:color="000000" w:themeColor="text1"/>
            </w:tcBorders>
            <w:shd w:val="clear" w:color="auto" w:fill="F2F2F2" w:themeFill="background1" w:themeFillShade="F2"/>
          </w:tcPr>
          <w:p w:rsidR="00AC2959" w:rsidRPr="004532A5" w:rsidRDefault="00AC2959">
            <w:pPr>
              <w:pStyle w:val="TableText"/>
              <w:rPr>
                <w:sz w:val="20"/>
              </w:rPr>
            </w:pPr>
            <w:r w:rsidRPr="004532A5">
              <w:rPr>
                <w:sz w:val="20"/>
              </w:rPr>
              <w:t xml:space="preserve">DHBs support GPs and nurses with good resources and training, so that they can inform parents </w:t>
            </w:r>
            <w:r w:rsidR="00695D6E" w:rsidRPr="004532A5">
              <w:rPr>
                <w:sz w:val="20"/>
              </w:rPr>
              <w:t xml:space="preserve">with confidence </w:t>
            </w:r>
            <w:r w:rsidRPr="004532A5">
              <w:rPr>
                <w:sz w:val="20"/>
              </w:rPr>
              <w:t>about vaccine-preventable diseases and effectively manage parental anxiety.</w:t>
            </w:r>
          </w:p>
        </w:tc>
      </w:tr>
      <w:tr w:rsidR="00AC2959" w:rsidRPr="009E611D" w:rsidTr="001C4C96">
        <w:trPr>
          <w:cantSplit/>
        </w:trPr>
        <w:tc>
          <w:tcPr>
            <w:tcW w:w="1101" w:type="dxa"/>
            <w:vMerge w:val="restart"/>
            <w:tcBorders>
              <w:top w:val="single" w:sz="4" w:space="0" w:color="A6A6A6" w:themeColor="background1" w:themeShade="A6"/>
              <w:left w:val="single" w:sz="4" w:space="0" w:color="000000" w:themeColor="text1"/>
              <w:bottom w:val="single" w:sz="4" w:space="0" w:color="auto"/>
            </w:tcBorders>
            <w:shd w:val="clear" w:color="auto" w:fill="D9D9D9" w:themeFill="background1" w:themeFillShade="D9"/>
          </w:tcPr>
          <w:p w:rsidR="00AC2959" w:rsidRPr="004532A5" w:rsidRDefault="00AC2959" w:rsidP="00B329B3">
            <w:pPr>
              <w:pStyle w:val="TableText"/>
              <w:rPr>
                <w:b/>
                <w:sz w:val="20"/>
              </w:rPr>
            </w:pPr>
            <w:r w:rsidRPr="004532A5">
              <w:rPr>
                <w:b/>
                <w:sz w:val="20"/>
              </w:rPr>
              <w:t>Monitor</w:t>
            </w:r>
          </w:p>
          <w:p w:rsidR="00AC2959" w:rsidRPr="004532A5" w:rsidRDefault="00AC2959" w:rsidP="000B3036">
            <w:pPr>
              <w:pStyle w:val="TableText"/>
              <w:rPr>
                <w:b/>
                <w:sz w:val="20"/>
              </w:rPr>
            </w:pPr>
            <w:r w:rsidRPr="004532A5">
              <w:rPr>
                <w:b/>
                <w:color w:val="808080"/>
                <w:sz w:val="20"/>
              </w:rPr>
              <w:t>WHO GVAP</w:t>
            </w:r>
            <w:r w:rsidRPr="004532A5" w:rsidDel="00F15C6E">
              <w:rPr>
                <w:b/>
                <w:color w:val="808080"/>
                <w:sz w:val="20"/>
              </w:rPr>
              <w:t xml:space="preserve"> </w:t>
            </w:r>
            <w:r w:rsidRPr="004532A5">
              <w:rPr>
                <w:b/>
                <w:color w:val="808080"/>
                <w:sz w:val="20"/>
              </w:rPr>
              <w:t>objectives 2, 3, 4 and</w:t>
            </w:r>
            <w:r w:rsidR="000B3036" w:rsidRPr="004532A5">
              <w:rPr>
                <w:b/>
                <w:color w:val="808080"/>
                <w:sz w:val="20"/>
              </w:rPr>
              <w:t> </w:t>
            </w:r>
            <w:r w:rsidRPr="004532A5">
              <w:rPr>
                <w:b/>
                <w:color w:val="808080"/>
                <w:sz w:val="20"/>
              </w:rPr>
              <w:t xml:space="preserve">5 </w:t>
            </w:r>
          </w:p>
        </w:tc>
        <w:tc>
          <w:tcPr>
            <w:tcW w:w="8255" w:type="dxa"/>
            <w:tcBorders>
              <w:top w:val="single" w:sz="4" w:space="0" w:color="A6A6A6" w:themeColor="background1" w:themeShade="A6"/>
              <w:bottom w:val="nil"/>
              <w:right w:val="single" w:sz="4" w:space="0" w:color="000000" w:themeColor="text1"/>
            </w:tcBorders>
            <w:shd w:val="clear" w:color="auto" w:fill="auto"/>
          </w:tcPr>
          <w:p w:rsidR="00AC2959" w:rsidRPr="004532A5" w:rsidRDefault="00AC2959" w:rsidP="0015405E">
            <w:pPr>
              <w:pStyle w:val="TableText"/>
              <w:rPr>
                <w:sz w:val="20"/>
              </w:rPr>
            </w:pPr>
            <w:r w:rsidRPr="004532A5">
              <w:rPr>
                <w:sz w:val="20"/>
              </w:rPr>
              <w:t xml:space="preserve">Nurse leads and general practice </w:t>
            </w:r>
            <w:proofErr w:type="gramStart"/>
            <w:r w:rsidRPr="004532A5">
              <w:rPr>
                <w:sz w:val="20"/>
              </w:rPr>
              <w:t>teams</w:t>
            </w:r>
            <w:proofErr w:type="gramEnd"/>
            <w:r w:rsidRPr="004532A5">
              <w:rPr>
                <w:sz w:val="20"/>
              </w:rPr>
              <w:t xml:space="preserve"> work together to address parents</w:t>
            </w:r>
            <w:r w:rsidR="00341620" w:rsidRPr="004532A5">
              <w:rPr>
                <w:sz w:val="20"/>
              </w:rPr>
              <w:t>’</w:t>
            </w:r>
            <w:r w:rsidRPr="004532A5">
              <w:rPr>
                <w:sz w:val="20"/>
              </w:rPr>
              <w:t xml:space="preserve"> and girls</w:t>
            </w:r>
            <w:r w:rsidR="00341620" w:rsidRPr="004532A5">
              <w:rPr>
                <w:sz w:val="20"/>
              </w:rPr>
              <w:t>’</w:t>
            </w:r>
            <w:r w:rsidRPr="004532A5">
              <w:rPr>
                <w:sz w:val="20"/>
              </w:rPr>
              <w:t xml:space="preserve"> concerns and identify access barriers for girls who do not respond within </w:t>
            </w:r>
            <w:r w:rsidR="0015405E" w:rsidRPr="004532A5">
              <w:rPr>
                <w:sz w:val="20"/>
              </w:rPr>
              <w:t>three</w:t>
            </w:r>
            <w:r w:rsidRPr="004532A5">
              <w:rPr>
                <w:sz w:val="20"/>
              </w:rPr>
              <w:t xml:space="preserve"> months </w:t>
            </w:r>
            <w:r w:rsidR="0015405E" w:rsidRPr="004532A5">
              <w:rPr>
                <w:sz w:val="20"/>
              </w:rPr>
              <w:t>of a recall.</w:t>
            </w:r>
          </w:p>
        </w:tc>
      </w:tr>
      <w:tr w:rsidR="00AC2959" w:rsidRPr="009E611D" w:rsidTr="001C4C96">
        <w:trPr>
          <w:cantSplit/>
        </w:trPr>
        <w:tc>
          <w:tcPr>
            <w:tcW w:w="1101" w:type="dxa"/>
            <w:vMerge/>
            <w:tcBorders>
              <w:top w:val="nil"/>
              <w:left w:val="single" w:sz="4" w:space="0" w:color="000000" w:themeColor="text1"/>
              <w:bottom w:val="single" w:sz="4" w:space="0" w:color="auto"/>
            </w:tcBorders>
            <w:shd w:val="clear" w:color="auto" w:fill="D9D9D9" w:themeFill="background1" w:themeFillShade="D9"/>
          </w:tcPr>
          <w:p w:rsidR="00AC2959" w:rsidRPr="004532A5" w:rsidRDefault="00AC2959" w:rsidP="00B329B3">
            <w:pPr>
              <w:pStyle w:val="TableText"/>
              <w:rPr>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15405E">
            <w:pPr>
              <w:pStyle w:val="TableText"/>
              <w:rPr>
                <w:sz w:val="20"/>
              </w:rPr>
            </w:pPr>
            <w:r w:rsidRPr="004532A5">
              <w:rPr>
                <w:sz w:val="20"/>
              </w:rPr>
              <w:t>The Ministry develops a 14-year milestone report and share</w:t>
            </w:r>
            <w:r w:rsidR="0015405E" w:rsidRPr="004532A5">
              <w:rPr>
                <w:sz w:val="20"/>
              </w:rPr>
              <w:t>s</w:t>
            </w:r>
            <w:r w:rsidRPr="004532A5">
              <w:rPr>
                <w:sz w:val="20"/>
              </w:rPr>
              <w:t xml:space="preserve"> DHB coverage information with steering groups (from 2017 identifiable individual practice, PHO and DHB information </w:t>
            </w:r>
            <w:r w:rsidR="0015405E" w:rsidRPr="004532A5">
              <w:rPr>
                <w:sz w:val="20"/>
              </w:rPr>
              <w:t xml:space="preserve">will be included </w:t>
            </w:r>
            <w:r w:rsidRPr="004532A5">
              <w:rPr>
                <w:sz w:val="20"/>
              </w:rPr>
              <w:t>in the reports).</w:t>
            </w:r>
          </w:p>
        </w:tc>
      </w:tr>
      <w:tr w:rsidR="000B3036" w:rsidRPr="009E611D" w:rsidTr="001C4C96">
        <w:trPr>
          <w:cantSplit/>
        </w:trPr>
        <w:tc>
          <w:tcPr>
            <w:tcW w:w="1101" w:type="dxa"/>
            <w:vMerge/>
            <w:tcBorders>
              <w:top w:val="nil"/>
              <w:left w:val="single" w:sz="4" w:space="0" w:color="000000" w:themeColor="text1"/>
              <w:bottom w:val="single" w:sz="4" w:space="0" w:color="auto"/>
            </w:tcBorders>
            <w:shd w:val="clear" w:color="auto" w:fill="D9D9D9" w:themeFill="background1" w:themeFillShade="D9"/>
          </w:tcPr>
          <w:p w:rsidR="000B3036" w:rsidRPr="004532A5" w:rsidRDefault="000B3036" w:rsidP="00B329B3">
            <w:pPr>
              <w:pStyle w:val="TableText"/>
              <w:rPr>
                <w:sz w:val="20"/>
              </w:rPr>
            </w:pPr>
          </w:p>
        </w:tc>
        <w:tc>
          <w:tcPr>
            <w:tcW w:w="8255" w:type="dxa"/>
            <w:tcBorders>
              <w:top w:val="nil"/>
              <w:bottom w:val="nil"/>
              <w:right w:val="single" w:sz="4" w:space="0" w:color="000000" w:themeColor="text1"/>
            </w:tcBorders>
            <w:shd w:val="clear" w:color="auto" w:fill="auto"/>
          </w:tcPr>
          <w:p w:rsidR="000B3036" w:rsidRPr="004532A5" w:rsidRDefault="000B3036" w:rsidP="000B3036">
            <w:pPr>
              <w:pStyle w:val="TableText"/>
              <w:rPr>
                <w:sz w:val="20"/>
              </w:rPr>
            </w:pPr>
            <w:r w:rsidRPr="004532A5">
              <w:rPr>
                <w:sz w:val="20"/>
              </w:rPr>
              <w:t>The Ministry measures and reports to the WHO on coverage for girls aged 15 years.</w:t>
            </w:r>
          </w:p>
        </w:tc>
      </w:tr>
      <w:tr w:rsidR="00AC2959" w:rsidRPr="009E611D" w:rsidTr="001C4C96">
        <w:trPr>
          <w:cantSplit/>
        </w:trPr>
        <w:tc>
          <w:tcPr>
            <w:tcW w:w="1101" w:type="dxa"/>
            <w:vMerge/>
            <w:tcBorders>
              <w:top w:val="nil"/>
              <w:left w:val="single" w:sz="4" w:space="0" w:color="000000" w:themeColor="text1"/>
              <w:bottom w:val="single" w:sz="4" w:space="0" w:color="auto"/>
            </w:tcBorders>
            <w:shd w:val="clear" w:color="auto" w:fill="D9D9D9" w:themeFill="background1" w:themeFillShade="D9"/>
          </w:tcPr>
          <w:p w:rsidR="00AC2959" w:rsidRPr="004532A5" w:rsidRDefault="00AC2959" w:rsidP="00B329B3">
            <w:pPr>
              <w:pStyle w:val="TableText"/>
              <w:rPr>
                <w:sz w:val="20"/>
              </w:rPr>
            </w:pPr>
          </w:p>
        </w:tc>
        <w:tc>
          <w:tcPr>
            <w:tcW w:w="8255" w:type="dxa"/>
            <w:tcBorders>
              <w:top w:val="nil"/>
              <w:bottom w:val="nil"/>
              <w:right w:val="single" w:sz="4" w:space="0" w:color="000000" w:themeColor="text1"/>
            </w:tcBorders>
            <w:shd w:val="clear" w:color="auto" w:fill="F2F2F2" w:themeFill="background1" w:themeFillShade="F2"/>
          </w:tcPr>
          <w:p w:rsidR="00AC2959" w:rsidRPr="004532A5" w:rsidRDefault="00AC2959" w:rsidP="00B329B3">
            <w:pPr>
              <w:pStyle w:val="TableText"/>
              <w:rPr>
                <w:sz w:val="20"/>
              </w:rPr>
            </w:pPr>
            <w:r w:rsidRPr="004532A5">
              <w:rPr>
                <w:sz w:val="20"/>
              </w:rPr>
              <w:t>The Ministry reports on coverage by ethnicity (and from 2017, by socioeconomic status).</w:t>
            </w:r>
          </w:p>
        </w:tc>
      </w:tr>
      <w:tr w:rsidR="00AC2959" w:rsidRPr="009E611D" w:rsidTr="001C4C96">
        <w:trPr>
          <w:cantSplit/>
        </w:trPr>
        <w:tc>
          <w:tcPr>
            <w:tcW w:w="1101" w:type="dxa"/>
            <w:vMerge/>
            <w:tcBorders>
              <w:top w:val="nil"/>
              <w:left w:val="single" w:sz="4" w:space="0" w:color="000000" w:themeColor="text1"/>
              <w:bottom w:val="single" w:sz="4" w:space="0" w:color="auto"/>
            </w:tcBorders>
            <w:shd w:val="clear" w:color="auto" w:fill="D9D9D9" w:themeFill="background1" w:themeFillShade="D9"/>
          </w:tcPr>
          <w:p w:rsidR="00AC2959" w:rsidRPr="004532A5" w:rsidRDefault="00AC2959" w:rsidP="00B329B3">
            <w:pPr>
              <w:pStyle w:val="TableText"/>
              <w:rPr>
                <w:sz w:val="20"/>
              </w:rPr>
            </w:pPr>
          </w:p>
        </w:tc>
        <w:tc>
          <w:tcPr>
            <w:tcW w:w="8255" w:type="dxa"/>
            <w:tcBorders>
              <w:top w:val="nil"/>
              <w:right w:val="single" w:sz="4" w:space="0" w:color="000000" w:themeColor="text1"/>
            </w:tcBorders>
            <w:shd w:val="clear" w:color="auto" w:fill="auto"/>
          </w:tcPr>
          <w:p w:rsidR="00AC2959" w:rsidRPr="004532A5" w:rsidRDefault="00AC2959" w:rsidP="00B329B3">
            <w:pPr>
              <w:pStyle w:val="TableText"/>
              <w:rPr>
                <w:sz w:val="20"/>
              </w:rPr>
            </w:pPr>
            <w:r w:rsidRPr="004532A5">
              <w:rPr>
                <w:sz w:val="20"/>
              </w:rPr>
              <w:t>The Ministry, DHBs and PHOs work together to address NIR/patient management system (PMS) interface issues before 2016/17.</w:t>
            </w:r>
          </w:p>
        </w:tc>
      </w:tr>
    </w:tbl>
    <w:p w:rsidR="00AC2959" w:rsidRPr="009E611D" w:rsidRDefault="00AC2959" w:rsidP="00B329B3">
      <w:pPr>
        <w:rPr>
          <w:lang w:eastAsia="en-NZ"/>
        </w:rPr>
      </w:pPr>
    </w:p>
    <w:p w:rsidR="00AC2959" w:rsidRPr="009E611D" w:rsidRDefault="00AC2959" w:rsidP="00B329B3">
      <w:pPr>
        <w:pStyle w:val="Heading2"/>
      </w:pPr>
      <w:bookmarkStart w:id="26" w:name="_Toc425517989"/>
      <w:bookmarkStart w:id="27" w:name="_Toc427227982"/>
      <w:r w:rsidRPr="009E611D">
        <w:lastRenderedPageBreak/>
        <w:t>Timelines</w:t>
      </w:r>
      <w:bookmarkEnd w:id="26"/>
      <w:bookmarkEnd w:id="27"/>
    </w:p>
    <w:p w:rsidR="00AC2959" w:rsidRPr="009E611D" w:rsidRDefault="00AC2959" w:rsidP="00B329B3">
      <w:pPr>
        <w:keepNext/>
        <w:rPr>
          <w:lang w:eastAsia="en-NZ"/>
        </w:rPr>
      </w:pPr>
      <w:r w:rsidRPr="009E611D">
        <w:rPr>
          <w:lang w:eastAsia="en-NZ"/>
        </w:rPr>
        <w:t xml:space="preserve">Table </w:t>
      </w:r>
      <w:r w:rsidR="006601F1" w:rsidRPr="009E611D">
        <w:rPr>
          <w:lang w:eastAsia="en-NZ"/>
        </w:rPr>
        <w:t>3</w:t>
      </w:r>
      <w:r w:rsidRPr="009E611D">
        <w:rPr>
          <w:lang w:eastAsia="en-NZ"/>
        </w:rPr>
        <w:t xml:space="preserve"> sets out key events in the process of consultation on</w:t>
      </w:r>
      <w:r w:rsidR="00DF2333" w:rsidRPr="009E611D">
        <w:rPr>
          <w:lang w:eastAsia="en-NZ"/>
        </w:rPr>
        <w:t>,</w:t>
      </w:r>
      <w:r w:rsidRPr="009E611D">
        <w:rPr>
          <w:lang w:eastAsia="en-NZ"/>
        </w:rPr>
        <w:t xml:space="preserve"> and activities towards</w:t>
      </w:r>
      <w:r w:rsidR="00DF2333" w:rsidRPr="009E611D">
        <w:rPr>
          <w:lang w:eastAsia="en-NZ"/>
        </w:rPr>
        <w:t>,</w:t>
      </w:r>
      <w:r w:rsidRPr="009E611D">
        <w:rPr>
          <w:lang w:eastAsia="en-NZ"/>
        </w:rPr>
        <w:t xml:space="preserve"> achieving increased coverage.</w:t>
      </w:r>
    </w:p>
    <w:p w:rsidR="00AC2959" w:rsidRPr="009E611D" w:rsidRDefault="00AC2959" w:rsidP="00B329B3">
      <w:pPr>
        <w:keepNext/>
        <w:rPr>
          <w:lang w:eastAsia="en-NZ"/>
        </w:rPr>
      </w:pPr>
    </w:p>
    <w:p w:rsidR="00AC2959" w:rsidRPr="009E611D" w:rsidRDefault="00AC2959" w:rsidP="00B329B3">
      <w:pPr>
        <w:pStyle w:val="Table"/>
        <w:rPr>
          <w:lang w:eastAsia="en-NZ"/>
        </w:rPr>
      </w:pPr>
      <w:bookmarkStart w:id="28" w:name="_Toc426022134"/>
      <w:r w:rsidRPr="009E611D">
        <w:rPr>
          <w:lang w:eastAsia="en-NZ"/>
        </w:rPr>
        <w:t xml:space="preserve">Table </w:t>
      </w:r>
      <w:r w:rsidR="006601F1" w:rsidRPr="009E611D">
        <w:rPr>
          <w:lang w:eastAsia="en-NZ"/>
        </w:rPr>
        <w:t>3</w:t>
      </w:r>
      <w:r w:rsidR="00B329B3" w:rsidRPr="009E611D">
        <w:rPr>
          <w:lang w:eastAsia="en-NZ"/>
        </w:rPr>
        <w:t>:</w:t>
      </w:r>
      <w:r w:rsidRPr="009E611D">
        <w:rPr>
          <w:lang w:eastAsia="en-NZ"/>
        </w:rPr>
        <w:t xml:space="preserve"> Timeline for achieving increased coverage in the Programme</w:t>
      </w:r>
      <w:bookmarkEnd w:id="2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Description w:val="Table 3: Timeline for achieving increased coverage in the Programme"/>
      </w:tblPr>
      <w:tblGrid>
        <w:gridCol w:w="993"/>
        <w:gridCol w:w="3402"/>
        <w:gridCol w:w="1559"/>
        <w:gridCol w:w="1843"/>
        <w:gridCol w:w="1559"/>
      </w:tblGrid>
      <w:tr w:rsidR="00AC2959" w:rsidRPr="009E611D" w:rsidTr="004532A5">
        <w:trPr>
          <w:cantSplit/>
          <w:tblHeader/>
        </w:trPr>
        <w:tc>
          <w:tcPr>
            <w:tcW w:w="993" w:type="dxa"/>
            <w:tcBorders>
              <w:top w:val="single" w:sz="4" w:space="0" w:color="auto"/>
              <w:left w:val="single" w:sz="4" w:space="0" w:color="000000" w:themeColor="text1"/>
              <w:bottom w:val="single" w:sz="4" w:space="0" w:color="auto"/>
            </w:tcBorders>
            <w:shd w:val="clear" w:color="auto" w:fill="auto"/>
          </w:tcPr>
          <w:p w:rsidR="00AC2959" w:rsidRPr="004532A5" w:rsidRDefault="00AC2959" w:rsidP="00B329B3">
            <w:pPr>
              <w:pStyle w:val="TableText"/>
              <w:keepNext/>
              <w:rPr>
                <w:b/>
                <w:sz w:val="20"/>
              </w:rPr>
            </w:pPr>
            <w:r w:rsidRPr="004532A5">
              <w:rPr>
                <w:b/>
                <w:sz w:val="20"/>
              </w:rPr>
              <w:t>Actions</w:t>
            </w:r>
          </w:p>
        </w:tc>
        <w:tc>
          <w:tcPr>
            <w:tcW w:w="3402" w:type="dxa"/>
            <w:tcBorders>
              <w:top w:val="single" w:sz="4" w:space="0" w:color="auto"/>
              <w:bottom w:val="single" w:sz="4" w:space="0" w:color="auto"/>
              <w:right w:val="single" w:sz="4" w:space="0" w:color="BFBFBF" w:themeColor="background1" w:themeShade="BF"/>
            </w:tcBorders>
            <w:shd w:val="clear" w:color="auto" w:fill="auto"/>
          </w:tcPr>
          <w:p w:rsidR="00AC2959" w:rsidRPr="004532A5" w:rsidRDefault="00AC2959" w:rsidP="00356B1E">
            <w:pPr>
              <w:pStyle w:val="TableText"/>
              <w:keepNext/>
              <w:ind w:right="113"/>
              <w:rPr>
                <w:b/>
                <w:sz w:val="20"/>
              </w:rPr>
            </w:pPr>
            <w:r w:rsidRPr="004532A5">
              <w:rPr>
                <w:b/>
                <w:sz w:val="20"/>
              </w:rPr>
              <w:t>How</w:t>
            </w:r>
          </w:p>
        </w:tc>
        <w:tc>
          <w:tcPr>
            <w:tcW w:w="1559"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tcPr>
          <w:p w:rsidR="00AC2959" w:rsidRPr="004532A5" w:rsidRDefault="00AC2959" w:rsidP="00356B1E">
            <w:pPr>
              <w:pStyle w:val="TableText"/>
              <w:keepNext/>
              <w:ind w:right="113"/>
              <w:rPr>
                <w:b/>
                <w:sz w:val="20"/>
              </w:rPr>
            </w:pPr>
            <w:r w:rsidRPr="004532A5">
              <w:rPr>
                <w:b/>
                <w:sz w:val="20"/>
              </w:rPr>
              <w:t>Who</w:t>
            </w:r>
          </w:p>
        </w:tc>
        <w:tc>
          <w:tcPr>
            <w:tcW w:w="1843"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tcPr>
          <w:p w:rsidR="00AC2959" w:rsidRPr="004532A5" w:rsidRDefault="00AC2959" w:rsidP="00356B1E">
            <w:pPr>
              <w:pStyle w:val="TableText"/>
              <w:keepNext/>
              <w:ind w:right="113"/>
              <w:rPr>
                <w:b/>
                <w:sz w:val="20"/>
              </w:rPr>
            </w:pPr>
            <w:r w:rsidRPr="004532A5">
              <w:rPr>
                <w:b/>
                <w:sz w:val="20"/>
              </w:rPr>
              <w:t>When</w:t>
            </w:r>
          </w:p>
        </w:tc>
        <w:tc>
          <w:tcPr>
            <w:tcW w:w="1559" w:type="dxa"/>
            <w:tcBorders>
              <w:top w:val="single" w:sz="4" w:space="0" w:color="auto"/>
              <w:left w:val="single" w:sz="4" w:space="0" w:color="BFBFBF" w:themeColor="background1" w:themeShade="BF"/>
              <w:bottom w:val="single" w:sz="4" w:space="0" w:color="auto"/>
              <w:right w:val="single" w:sz="4" w:space="0" w:color="000000" w:themeColor="text1"/>
            </w:tcBorders>
            <w:shd w:val="clear" w:color="auto" w:fill="auto"/>
          </w:tcPr>
          <w:p w:rsidR="00AC2959" w:rsidRPr="009E611D" w:rsidRDefault="00AC2959" w:rsidP="00B329B3">
            <w:pPr>
              <w:pStyle w:val="TableText"/>
              <w:keepNext/>
              <w:rPr>
                <w:b/>
              </w:rPr>
            </w:pPr>
            <w:r w:rsidRPr="009E611D">
              <w:rPr>
                <w:b/>
              </w:rPr>
              <w:t>Support</w:t>
            </w:r>
          </w:p>
        </w:tc>
      </w:tr>
      <w:tr w:rsidR="00DF2333" w:rsidRPr="009E611D" w:rsidTr="004532A5">
        <w:trPr>
          <w:cantSplit/>
        </w:trPr>
        <w:tc>
          <w:tcPr>
            <w:tcW w:w="993" w:type="dxa"/>
            <w:vMerge w:val="restart"/>
            <w:tcBorders>
              <w:top w:val="single" w:sz="4" w:space="0" w:color="auto"/>
              <w:left w:val="single" w:sz="4" w:space="0" w:color="000000" w:themeColor="text1"/>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r w:rsidRPr="004532A5">
              <w:rPr>
                <w:b/>
                <w:sz w:val="20"/>
              </w:rPr>
              <w:t>2015</w:t>
            </w:r>
          </w:p>
        </w:tc>
        <w:tc>
          <w:tcPr>
            <w:tcW w:w="3402" w:type="dxa"/>
            <w:tcBorders>
              <w:top w:val="single" w:sz="4" w:space="0" w:color="auto"/>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12-year-old HPV immunisation coverage target increases to 65%</w:t>
            </w:r>
          </w:p>
        </w:tc>
        <w:tc>
          <w:tcPr>
            <w:tcW w:w="1559" w:type="dxa"/>
            <w:tcBorders>
              <w:top w:val="single" w:sz="4" w:space="0" w:color="auto"/>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SBIP</w:t>
            </w:r>
          </w:p>
        </w:tc>
        <w:tc>
          <w:tcPr>
            <w:tcW w:w="1843" w:type="dxa"/>
            <w:tcBorders>
              <w:top w:val="single" w:sz="4" w:space="0" w:color="auto"/>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From February 2015</w:t>
            </w:r>
          </w:p>
        </w:tc>
        <w:tc>
          <w:tcPr>
            <w:tcW w:w="1559" w:type="dxa"/>
            <w:vMerge w:val="restart"/>
            <w:tcBorders>
              <w:top w:val="single" w:sz="4" w:space="0" w:color="auto"/>
              <w:left w:val="single" w:sz="4" w:space="0" w:color="BFBFBF" w:themeColor="background1" w:themeShade="BF"/>
              <w:bottom w:val="nil"/>
              <w:right w:val="single" w:sz="4" w:space="0" w:color="000000" w:themeColor="text1"/>
            </w:tcBorders>
            <w:shd w:val="clear" w:color="auto" w:fill="F2F2F2" w:themeFill="background1" w:themeFillShade="F2"/>
          </w:tcPr>
          <w:p w:rsidR="00DF2333" w:rsidRPr="004532A5" w:rsidRDefault="00DF2333" w:rsidP="00DF2333">
            <w:pPr>
              <w:pStyle w:val="TableText"/>
              <w:rPr>
                <w:sz w:val="20"/>
              </w:rPr>
            </w:pPr>
            <w:r w:rsidRPr="004532A5">
              <w:rPr>
                <w:sz w:val="20"/>
              </w:rPr>
              <w:t>Monitoring, quarterly data, regional teleconferences</w:t>
            </w:r>
          </w:p>
        </w:tc>
      </w:tr>
      <w:tr w:rsidR="00DF2333" w:rsidRPr="009E611D" w:rsidTr="004532A5">
        <w:trPr>
          <w:cantSplit/>
        </w:trPr>
        <w:tc>
          <w:tcPr>
            <w:tcW w:w="993" w:type="dxa"/>
            <w:vMerge/>
            <w:tcBorders>
              <w:left w:val="single" w:sz="4" w:space="0" w:color="000000" w:themeColor="text1"/>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p>
        </w:tc>
        <w:tc>
          <w:tcPr>
            <w:tcW w:w="3402" w:type="dxa"/>
            <w:tcBorders>
              <w:top w:val="nil"/>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General practice teams notified by SBIP of 12-year-old girls who have declined HPV vaccination at school, for follow-up by GP</w:t>
            </w:r>
          </w:p>
        </w:tc>
        <w:tc>
          <w:tcPr>
            <w:tcW w:w="1559" w:type="dxa"/>
            <w:tcBorders>
              <w:top w:val="nil"/>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SBIP, general practice teams</w:t>
            </w:r>
          </w:p>
        </w:tc>
        <w:tc>
          <w:tcPr>
            <w:tcW w:w="1843" w:type="dxa"/>
            <w:tcBorders>
              <w:top w:val="nil"/>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By December 2015</w:t>
            </w:r>
          </w:p>
        </w:tc>
        <w:tc>
          <w:tcPr>
            <w:tcW w:w="1559" w:type="dxa"/>
            <w:vMerge/>
            <w:tcBorders>
              <w:top w:val="nil"/>
              <w:left w:val="single" w:sz="4" w:space="0" w:color="BFBFBF" w:themeColor="background1" w:themeShade="BF"/>
              <w:right w:val="single" w:sz="4" w:space="0" w:color="000000" w:themeColor="text1"/>
            </w:tcBorders>
            <w:shd w:val="clear" w:color="auto" w:fill="auto"/>
          </w:tcPr>
          <w:p w:rsidR="00DF2333" w:rsidRPr="009E611D" w:rsidRDefault="00DF2333" w:rsidP="00DF2333">
            <w:pPr>
              <w:pStyle w:val="TableText"/>
            </w:pPr>
          </w:p>
        </w:tc>
      </w:tr>
      <w:tr w:rsidR="00DF2333" w:rsidRPr="009E611D" w:rsidTr="004532A5">
        <w:trPr>
          <w:cantSplit/>
        </w:trPr>
        <w:tc>
          <w:tcPr>
            <w:tcW w:w="993" w:type="dxa"/>
            <w:vMerge/>
            <w:tcBorders>
              <w:left w:val="single" w:sz="4" w:space="0" w:color="000000" w:themeColor="text1"/>
              <w:bottom w:val="single" w:sz="4" w:space="0" w:color="A6A6A6" w:themeColor="background1" w:themeShade="A6"/>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p>
        </w:tc>
        <w:tc>
          <w:tcPr>
            <w:tcW w:w="3402"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General practice teams recall all 14</w:t>
            </w:r>
            <w:r w:rsidR="00356B1E" w:rsidRPr="004532A5">
              <w:rPr>
                <w:sz w:val="20"/>
              </w:rPr>
              <w:noBreakHyphen/>
            </w:r>
            <w:r w:rsidRPr="004532A5">
              <w:rPr>
                <w:sz w:val="20"/>
              </w:rPr>
              <w:t>year-old girls who are not fully immunised</w:t>
            </w:r>
          </w:p>
        </w:tc>
        <w:tc>
          <w:tcPr>
            <w:tcW w:w="1559"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General practice teams</w:t>
            </w:r>
          </w:p>
        </w:tc>
        <w:tc>
          <w:tcPr>
            <w:tcW w:w="1843" w:type="dxa"/>
            <w:tcBorders>
              <w:top w:val="nil"/>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From October 2015</w:t>
            </w:r>
          </w:p>
        </w:tc>
        <w:tc>
          <w:tcPr>
            <w:tcW w:w="1559" w:type="dxa"/>
            <w:vMerge/>
            <w:tcBorders>
              <w:left w:val="single" w:sz="4" w:space="0" w:color="BFBFBF" w:themeColor="background1" w:themeShade="BF"/>
              <w:bottom w:val="single" w:sz="4" w:space="0" w:color="A6A6A6" w:themeColor="background1" w:themeShade="A6"/>
              <w:right w:val="single" w:sz="4" w:space="0" w:color="000000" w:themeColor="text1"/>
            </w:tcBorders>
            <w:shd w:val="clear" w:color="auto" w:fill="auto"/>
          </w:tcPr>
          <w:p w:rsidR="00DF2333" w:rsidRPr="009E611D" w:rsidRDefault="00DF2333" w:rsidP="00DF2333">
            <w:pPr>
              <w:pStyle w:val="TableText"/>
            </w:pPr>
          </w:p>
        </w:tc>
      </w:tr>
      <w:tr w:rsidR="00DF2333" w:rsidRPr="009E611D" w:rsidTr="004532A5">
        <w:trPr>
          <w:cantSplit/>
        </w:trPr>
        <w:tc>
          <w:tcPr>
            <w:tcW w:w="993" w:type="dxa"/>
            <w:vMerge w:val="restart"/>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r w:rsidRPr="004532A5">
              <w:rPr>
                <w:b/>
                <w:sz w:val="20"/>
              </w:rPr>
              <w:t>2016</w:t>
            </w:r>
          </w:p>
        </w:tc>
        <w:tc>
          <w:tcPr>
            <w:tcW w:w="3402"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E03247">
            <w:pPr>
              <w:pStyle w:val="TableText"/>
              <w:ind w:right="113"/>
              <w:rPr>
                <w:sz w:val="20"/>
              </w:rPr>
            </w:pPr>
            <w:r w:rsidRPr="004532A5">
              <w:rPr>
                <w:sz w:val="20"/>
              </w:rPr>
              <w:t xml:space="preserve">12-year-old HPV immunisation </w:t>
            </w:r>
            <w:bookmarkStart w:id="29" w:name="_GoBack"/>
            <w:bookmarkEnd w:id="29"/>
            <w:r w:rsidRPr="004532A5">
              <w:rPr>
                <w:sz w:val="20"/>
              </w:rPr>
              <w:t xml:space="preserve">coverage target increases to </w:t>
            </w:r>
            <w:r w:rsidR="00E03247">
              <w:rPr>
                <w:sz w:val="20"/>
              </w:rPr>
              <w:t>70</w:t>
            </w:r>
            <w:r w:rsidRPr="004532A5">
              <w:rPr>
                <w:sz w:val="20"/>
              </w:rPr>
              <w:t>%</w:t>
            </w:r>
          </w:p>
        </w:tc>
        <w:tc>
          <w:tcPr>
            <w:tcW w:w="1559"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SBIP</w:t>
            </w:r>
          </w:p>
        </w:tc>
        <w:tc>
          <w:tcPr>
            <w:tcW w:w="1843"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From February 2016</w:t>
            </w:r>
          </w:p>
        </w:tc>
        <w:tc>
          <w:tcPr>
            <w:tcW w:w="1559" w:type="dxa"/>
            <w:vMerge w:val="restart"/>
            <w:tcBorders>
              <w:top w:val="single" w:sz="4" w:space="0" w:color="A6A6A6" w:themeColor="background1" w:themeShade="A6"/>
              <w:left w:val="single" w:sz="4" w:space="0" w:color="BFBFBF" w:themeColor="background1" w:themeShade="BF"/>
              <w:right w:val="single" w:sz="4" w:space="0" w:color="000000" w:themeColor="text1"/>
            </w:tcBorders>
            <w:shd w:val="clear" w:color="auto" w:fill="auto"/>
          </w:tcPr>
          <w:p w:rsidR="00DF2333" w:rsidRPr="004532A5" w:rsidRDefault="00DF2333" w:rsidP="00B329B3">
            <w:pPr>
              <w:pStyle w:val="TableText"/>
              <w:rPr>
                <w:sz w:val="20"/>
              </w:rPr>
            </w:pPr>
            <w:r w:rsidRPr="004532A5">
              <w:rPr>
                <w:sz w:val="20"/>
              </w:rPr>
              <w:t>Monitoring, quarterly data, regional teleconferences</w:t>
            </w:r>
          </w:p>
        </w:tc>
      </w:tr>
      <w:tr w:rsidR="00DF2333" w:rsidRPr="009E611D" w:rsidTr="004532A5">
        <w:trPr>
          <w:cantSplit/>
        </w:trPr>
        <w:tc>
          <w:tcPr>
            <w:tcW w:w="993" w:type="dxa"/>
            <w:vMerge/>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p>
        </w:tc>
        <w:tc>
          <w:tcPr>
            <w:tcW w:w="3402"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General practice teams notified by SBIP of 12-year-old girls who have declined HPV vaccination at school, for follow-up by GP</w:t>
            </w:r>
          </w:p>
        </w:tc>
        <w:tc>
          <w:tcPr>
            <w:tcW w:w="1559"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SBIP, general practice teams</w:t>
            </w:r>
          </w:p>
        </w:tc>
        <w:tc>
          <w:tcPr>
            <w:tcW w:w="1843"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DF2333" w:rsidRPr="004532A5" w:rsidRDefault="00DF2333" w:rsidP="00356B1E">
            <w:pPr>
              <w:pStyle w:val="TableText"/>
              <w:ind w:right="113"/>
              <w:rPr>
                <w:sz w:val="20"/>
              </w:rPr>
            </w:pPr>
            <w:r w:rsidRPr="004532A5">
              <w:rPr>
                <w:sz w:val="20"/>
              </w:rPr>
              <w:t>By December 2016</w:t>
            </w:r>
          </w:p>
        </w:tc>
        <w:tc>
          <w:tcPr>
            <w:tcW w:w="1559" w:type="dxa"/>
            <w:vMerge/>
            <w:tcBorders>
              <w:left w:val="single" w:sz="4" w:space="0" w:color="BFBFBF" w:themeColor="background1" w:themeShade="BF"/>
              <w:right w:val="single" w:sz="4" w:space="0" w:color="000000" w:themeColor="text1"/>
            </w:tcBorders>
            <w:shd w:val="clear" w:color="auto" w:fill="auto"/>
          </w:tcPr>
          <w:p w:rsidR="00DF2333" w:rsidRPr="009E611D" w:rsidRDefault="00DF2333" w:rsidP="00B329B3">
            <w:pPr>
              <w:pStyle w:val="TableText"/>
            </w:pPr>
          </w:p>
        </w:tc>
      </w:tr>
      <w:tr w:rsidR="00DF2333" w:rsidRPr="009E611D" w:rsidTr="004532A5">
        <w:trPr>
          <w:cantSplit/>
        </w:trPr>
        <w:tc>
          <w:tcPr>
            <w:tcW w:w="993" w:type="dxa"/>
            <w:vMerge/>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DF2333" w:rsidRPr="004532A5" w:rsidRDefault="00DF2333" w:rsidP="00B329B3">
            <w:pPr>
              <w:pStyle w:val="TableText"/>
              <w:rPr>
                <w:b/>
                <w:sz w:val="20"/>
              </w:rPr>
            </w:pPr>
          </w:p>
        </w:tc>
        <w:tc>
          <w:tcPr>
            <w:tcW w:w="340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General practice teams recall all 14</w:t>
            </w:r>
            <w:r w:rsidR="00356B1E" w:rsidRPr="004532A5">
              <w:rPr>
                <w:sz w:val="20"/>
              </w:rPr>
              <w:noBreakHyphen/>
            </w:r>
            <w:r w:rsidRPr="004532A5">
              <w:rPr>
                <w:sz w:val="20"/>
              </w:rPr>
              <w:t>year-old girls who are not fully immunised</w:t>
            </w:r>
          </w:p>
        </w:tc>
        <w:tc>
          <w:tcPr>
            <w:tcW w:w="15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General practice teams</w:t>
            </w:r>
          </w:p>
        </w:tc>
        <w:tc>
          <w:tcPr>
            <w:tcW w:w="184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F2333" w:rsidRPr="004532A5" w:rsidRDefault="00DF2333" w:rsidP="00356B1E">
            <w:pPr>
              <w:pStyle w:val="TableText"/>
              <w:ind w:right="113"/>
              <w:rPr>
                <w:sz w:val="20"/>
              </w:rPr>
            </w:pPr>
            <w:r w:rsidRPr="004532A5">
              <w:rPr>
                <w:sz w:val="20"/>
              </w:rPr>
              <w:t>From January 2016</w:t>
            </w:r>
          </w:p>
        </w:tc>
        <w:tc>
          <w:tcPr>
            <w:tcW w:w="1559" w:type="dxa"/>
            <w:vMerge/>
            <w:tcBorders>
              <w:left w:val="single" w:sz="4" w:space="0" w:color="BFBFBF" w:themeColor="background1" w:themeShade="BF"/>
              <w:bottom w:val="single" w:sz="4" w:space="0" w:color="BFBFBF" w:themeColor="background1" w:themeShade="BF"/>
              <w:right w:val="single" w:sz="4" w:space="0" w:color="000000" w:themeColor="text1"/>
            </w:tcBorders>
            <w:shd w:val="clear" w:color="auto" w:fill="auto"/>
          </w:tcPr>
          <w:p w:rsidR="00DF2333" w:rsidRPr="009E611D" w:rsidRDefault="00DF2333" w:rsidP="00B329B3">
            <w:pPr>
              <w:pStyle w:val="TableText"/>
            </w:pPr>
          </w:p>
        </w:tc>
      </w:tr>
      <w:tr w:rsidR="00AC2959" w:rsidRPr="009E611D" w:rsidTr="001B0836">
        <w:trPr>
          <w:cantSplit/>
        </w:trPr>
        <w:tc>
          <w:tcPr>
            <w:tcW w:w="993" w:type="dxa"/>
            <w:vMerge/>
            <w:tcBorders>
              <w:top w:val="nil"/>
              <w:left w:val="single" w:sz="4" w:space="0" w:color="000000" w:themeColor="text1"/>
              <w:bottom w:val="single" w:sz="4" w:space="0" w:color="A6A6A6" w:themeColor="background1" w:themeShade="A6"/>
              <w:right w:val="single" w:sz="4" w:space="0" w:color="BFBFBF" w:themeColor="background1" w:themeShade="BF"/>
            </w:tcBorders>
            <w:shd w:val="clear" w:color="auto" w:fill="D9D9D9" w:themeFill="background1" w:themeFillShade="D9"/>
          </w:tcPr>
          <w:p w:rsidR="00AC2959" w:rsidRPr="004532A5" w:rsidRDefault="00AC2959" w:rsidP="00B329B3">
            <w:pPr>
              <w:pStyle w:val="TableText"/>
              <w:rPr>
                <w:b/>
                <w:sz w:val="20"/>
              </w:rPr>
            </w:pPr>
          </w:p>
        </w:tc>
        <w:tc>
          <w:tcPr>
            <w:tcW w:w="8363" w:type="dxa"/>
            <w:gridSpan w:val="4"/>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000000" w:themeColor="text1"/>
            </w:tcBorders>
            <w:shd w:val="clear" w:color="auto" w:fill="F2F2F2" w:themeFill="background1" w:themeFillShade="F2"/>
          </w:tcPr>
          <w:p w:rsidR="00AC2959" w:rsidRPr="004532A5" w:rsidRDefault="00AC2959" w:rsidP="00356B1E">
            <w:pPr>
              <w:pStyle w:val="TableText"/>
              <w:ind w:right="113"/>
              <w:rPr>
                <w:sz w:val="20"/>
              </w:rPr>
            </w:pPr>
            <w:r w:rsidRPr="004532A5">
              <w:rPr>
                <w:sz w:val="20"/>
              </w:rPr>
              <w:t>Be prepared for a likely introduction of a two-dose schedule change</w:t>
            </w:r>
          </w:p>
        </w:tc>
      </w:tr>
      <w:tr w:rsidR="00356B1E" w:rsidRPr="009E611D" w:rsidTr="004532A5">
        <w:trPr>
          <w:cantSplit/>
        </w:trPr>
        <w:tc>
          <w:tcPr>
            <w:tcW w:w="993" w:type="dxa"/>
            <w:vMerge w:val="restart"/>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356B1E" w:rsidRPr="004532A5" w:rsidRDefault="00356B1E" w:rsidP="00B329B3">
            <w:pPr>
              <w:pStyle w:val="TableText"/>
              <w:rPr>
                <w:b/>
                <w:sz w:val="20"/>
              </w:rPr>
            </w:pPr>
            <w:r w:rsidRPr="004532A5">
              <w:rPr>
                <w:b/>
                <w:sz w:val="20"/>
              </w:rPr>
              <w:t>2017</w:t>
            </w:r>
          </w:p>
        </w:tc>
        <w:tc>
          <w:tcPr>
            <w:tcW w:w="3402"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12-year-old HPV immunisation coverage target increases to 75%</w:t>
            </w:r>
          </w:p>
        </w:tc>
        <w:tc>
          <w:tcPr>
            <w:tcW w:w="1559"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SBIP</w:t>
            </w:r>
          </w:p>
        </w:tc>
        <w:tc>
          <w:tcPr>
            <w:tcW w:w="1843" w:type="dxa"/>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From February 2017</w:t>
            </w:r>
          </w:p>
        </w:tc>
        <w:tc>
          <w:tcPr>
            <w:tcW w:w="1559" w:type="dxa"/>
            <w:vMerge w:val="restart"/>
            <w:tcBorders>
              <w:top w:val="single" w:sz="4" w:space="0" w:color="A6A6A6" w:themeColor="background1" w:themeShade="A6"/>
              <w:left w:val="single" w:sz="4" w:space="0" w:color="BFBFBF" w:themeColor="background1" w:themeShade="BF"/>
              <w:right w:val="single" w:sz="4" w:space="0" w:color="000000" w:themeColor="text1"/>
            </w:tcBorders>
            <w:shd w:val="clear" w:color="auto" w:fill="auto"/>
          </w:tcPr>
          <w:p w:rsidR="00356B1E" w:rsidRPr="004532A5" w:rsidRDefault="00356B1E" w:rsidP="00B329B3">
            <w:pPr>
              <w:pStyle w:val="TableText"/>
              <w:rPr>
                <w:sz w:val="20"/>
              </w:rPr>
            </w:pPr>
            <w:r w:rsidRPr="004532A5">
              <w:rPr>
                <w:sz w:val="20"/>
              </w:rPr>
              <w:t>Monitoring, quarterly data, regional teleconferences</w:t>
            </w:r>
          </w:p>
        </w:tc>
      </w:tr>
      <w:tr w:rsidR="00356B1E" w:rsidRPr="009E611D" w:rsidTr="004532A5">
        <w:trPr>
          <w:cantSplit/>
        </w:trPr>
        <w:tc>
          <w:tcPr>
            <w:tcW w:w="993" w:type="dxa"/>
            <w:vMerge/>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356B1E" w:rsidRPr="004532A5" w:rsidRDefault="00356B1E" w:rsidP="00B329B3">
            <w:pPr>
              <w:pStyle w:val="TableText"/>
              <w:rPr>
                <w:sz w:val="20"/>
              </w:rPr>
            </w:pPr>
          </w:p>
        </w:tc>
        <w:tc>
          <w:tcPr>
            <w:tcW w:w="3402"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General practice teams notified by SBIP of 12-year-old girls who have declined HPV vaccination at school, for follow-up by GP</w:t>
            </w:r>
          </w:p>
        </w:tc>
        <w:tc>
          <w:tcPr>
            <w:tcW w:w="1559"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SBIP, general practice teams</w:t>
            </w:r>
          </w:p>
        </w:tc>
        <w:tc>
          <w:tcPr>
            <w:tcW w:w="1843" w:type="dxa"/>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By December 2017</w:t>
            </w:r>
          </w:p>
        </w:tc>
        <w:tc>
          <w:tcPr>
            <w:tcW w:w="1559" w:type="dxa"/>
            <w:vMerge/>
            <w:tcBorders>
              <w:left w:val="single" w:sz="4" w:space="0" w:color="BFBFBF" w:themeColor="background1" w:themeShade="BF"/>
              <w:right w:val="single" w:sz="4" w:space="0" w:color="000000" w:themeColor="text1"/>
            </w:tcBorders>
            <w:shd w:val="clear" w:color="auto" w:fill="F2F2F2" w:themeFill="background1" w:themeFillShade="F2"/>
          </w:tcPr>
          <w:p w:rsidR="00356B1E" w:rsidRPr="009E611D" w:rsidRDefault="00356B1E" w:rsidP="00B329B3">
            <w:pPr>
              <w:pStyle w:val="TableText"/>
            </w:pPr>
          </w:p>
        </w:tc>
      </w:tr>
      <w:tr w:rsidR="00356B1E" w:rsidRPr="009E611D" w:rsidTr="004532A5">
        <w:trPr>
          <w:cantSplit/>
        </w:trPr>
        <w:tc>
          <w:tcPr>
            <w:tcW w:w="993" w:type="dxa"/>
            <w:vMerge/>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356B1E" w:rsidRPr="004532A5" w:rsidRDefault="00356B1E" w:rsidP="00B329B3">
            <w:pPr>
              <w:pStyle w:val="TableText"/>
              <w:rPr>
                <w:sz w:val="20"/>
              </w:rPr>
            </w:pPr>
          </w:p>
        </w:tc>
        <w:tc>
          <w:tcPr>
            <w:tcW w:w="3402" w:type="dxa"/>
            <w:tcBorders>
              <w:top w:val="nil"/>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General practice teams recall all 14</w:t>
            </w:r>
            <w:r w:rsidRPr="004532A5">
              <w:rPr>
                <w:sz w:val="20"/>
              </w:rPr>
              <w:noBreakHyphen/>
              <w:t>year-old girls who are not fully immunised</w:t>
            </w:r>
          </w:p>
        </w:tc>
        <w:tc>
          <w:tcPr>
            <w:tcW w:w="1559" w:type="dxa"/>
            <w:tcBorders>
              <w:top w:val="nil"/>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General practice teams</w:t>
            </w:r>
          </w:p>
        </w:tc>
        <w:tc>
          <w:tcPr>
            <w:tcW w:w="1843" w:type="dxa"/>
            <w:tcBorders>
              <w:top w:val="nil"/>
              <w:left w:val="single" w:sz="4" w:space="0" w:color="BFBFBF" w:themeColor="background1" w:themeShade="BF"/>
              <w:bottom w:val="nil"/>
              <w:right w:val="single" w:sz="4" w:space="0" w:color="BFBFBF" w:themeColor="background1" w:themeShade="BF"/>
            </w:tcBorders>
            <w:shd w:val="clear" w:color="auto" w:fill="auto"/>
          </w:tcPr>
          <w:p w:rsidR="00356B1E" w:rsidRPr="004532A5" w:rsidRDefault="00356B1E" w:rsidP="00356B1E">
            <w:pPr>
              <w:pStyle w:val="TableText"/>
              <w:ind w:right="113"/>
              <w:rPr>
                <w:sz w:val="20"/>
              </w:rPr>
            </w:pPr>
            <w:r w:rsidRPr="004532A5">
              <w:rPr>
                <w:sz w:val="20"/>
              </w:rPr>
              <w:t>From January 2017</w:t>
            </w:r>
          </w:p>
        </w:tc>
        <w:tc>
          <w:tcPr>
            <w:tcW w:w="1559" w:type="dxa"/>
            <w:vMerge/>
            <w:tcBorders>
              <w:left w:val="single" w:sz="4" w:space="0" w:color="BFBFBF" w:themeColor="background1" w:themeShade="BF"/>
              <w:right w:val="single" w:sz="4" w:space="0" w:color="000000" w:themeColor="text1"/>
            </w:tcBorders>
            <w:shd w:val="clear" w:color="auto" w:fill="auto"/>
          </w:tcPr>
          <w:p w:rsidR="00356B1E" w:rsidRPr="009E611D" w:rsidRDefault="00356B1E" w:rsidP="00B329B3">
            <w:pPr>
              <w:pStyle w:val="TableText"/>
            </w:pPr>
          </w:p>
        </w:tc>
      </w:tr>
      <w:tr w:rsidR="00356B1E" w:rsidRPr="009E611D" w:rsidTr="004532A5">
        <w:trPr>
          <w:cantSplit/>
        </w:trPr>
        <w:tc>
          <w:tcPr>
            <w:tcW w:w="993" w:type="dxa"/>
            <w:vMerge/>
            <w:tcBorders>
              <w:top w:val="single" w:sz="4" w:space="0" w:color="A6A6A6" w:themeColor="background1" w:themeShade="A6"/>
              <w:left w:val="single" w:sz="4" w:space="0" w:color="000000" w:themeColor="text1"/>
              <w:bottom w:val="nil"/>
              <w:right w:val="single" w:sz="4" w:space="0" w:color="BFBFBF" w:themeColor="background1" w:themeShade="BF"/>
            </w:tcBorders>
            <w:shd w:val="clear" w:color="auto" w:fill="D9D9D9" w:themeFill="background1" w:themeFillShade="D9"/>
          </w:tcPr>
          <w:p w:rsidR="00356B1E" w:rsidRPr="004532A5" w:rsidRDefault="00356B1E" w:rsidP="00B329B3">
            <w:pPr>
              <w:pStyle w:val="TableText"/>
              <w:rPr>
                <w:sz w:val="20"/>
              </w:rPr>
            </w:pPr>
          </w:p>
        </w:tc>
        <w:tc>
          <w:tcPr>
            <w:tcW w:w="340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DHBs offer HPV immunisation through the SBIP for girls in Year 7 or 8</w:t>
            </w:r>
          </w:p>
        </w:tc>
        <w:tc>
          <w:tcPr>
            <w:tcW w:w="15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DHBs</w:t>
            </w:r>
          </w:p>
        </w:tc>
        <w:tc>
          <w:tcPr>
            <w:tcW w:w="184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356B1E" w:rsidRPr="004532A5" w:rsidRDefault="00356B1E" w:rsidP="00356B1E">
            <w:pPr>
              <w:pStyle w:val="TableText"/>
              <w:ind w:right="113"/>
              <w:rPr>
                <w:sz w:val="20"/>
              </w:rPr>
            </w:pPr>
            <w:r w:rsidRPr="004532A5">
              <w:rPr>
                <w:sz w:val="20"/>
              </w:rPr>
              <w:t>By 1 February 2017 (planned)</w:t>
            </w:r>
          </w:p>
        </w:tc>
        <w:tc>
          <w:tcPr>
            <w:tcW w:w="1559" w:type="dxa"/>
            <w:vMerge/>
            <w:tcBorders>
              <w:left w:val="single" w:sz="4" w:space="0" w:color="BFBFBF" w:themeColor="background1" w:themeShade="BF"/>
              <w:bottom w:val="single" w:sz="4" w:space="0" w:color="BFBFBF" w:themeColor="background1" w:themeShade="BF"/>
              <w:right w:val="single" w:sz="4" w:space="0" w:color="000000" w:themeColor="text1"/>
            </w:tcBorders>
            <w:shd w:val="clear" w:color="auto" w:fill="F2F2F2" w:themeFill="background1" w:themeFillShade="F2"/>
          </w:tcPr>
          <w:p w:rsidR="00356B1E" w:rsidRPr="009E611D" w:rsidRDefault="00356B1E" w:rsidP="00B329B3">
            <w:pPr>
              <w:pStyle w:val="TableText"/>
            </w:pPr>
          </w:p>
        </w:tc>
      </w:tr>
      <w:tr w:rsidR="00AC2959" w:rsidRPr="009E611D" w:rsidTr="001B0836">
        <w:trPr>
          <w:cantSplit/>
        </w:trPr>
        <w:tc>
          <w:tcPr>
            <w:tcW w:w="993" w:type="dxa"/>
            <w:vMerge/>
            <w:tcBorders>
              <w:top w:val="nil"/>
              <w:left w:val="single" w:sz="4" w:space="0" w:color="000000" w:themeColor="text1"/>
              <w:bottom w:val="single" w:sz="4" w:space="0" w:color="auto"/>
              <w:right w:val="single" w:sz="4" w:space="0" w:color="BFBFBF" w:themeColor="background1" w:themeShade="BF"/>
            </w:tcBorders>
            <w:shd w:val="clear" w:color="auto" w:fill="D9D9D9" w:themeFill="background1" w:themeFillShade="D9"/>
          </w:tcPr>
          <w:p w:rsidR="00AC2959" w:rsidRPr="004532A5" w:rsidRDefault="00AC2959" w:rsidP="00B329B3">
            <w:pPr>
              <w:pStyle w:val="TableText"/>
              <w:rPr>
                <w:sz w:val="20"/>
              </w:rPr>
            </w:pPr>
          </w:p>
        </w:tc>
        <w:tc>
          <w:tcPr>
            <w:tcW w:w="8363" w:type="dxa"/>
            <w:gridSpan w:val="4"/>
            <w:tcBorders>
              <w:top w:val="single" w:sz="4" w:space="0" w:color="BFBFBF" w:themeColor="background1" w:themeShade="BF"/>
              <w:left w:val="single" w:sz="4" w:space="0" w:color="BFBFBF" w:themeColor="background1" w:themeShade="BF"/>
              <w:right w:val="single" w:sz="4" w:space="0" w:color="000000" w:themeColor="text1"/>
            </w:tcBorders>
            <w:shd w:val="clear" w:color="auto" w:fill="auto"/>
          </w:tcPr>
          <w:p w:rsidR="00AC2959" w:rsidRPr="004532A5" w:rsidRDefault="00AC2959" w:rsidP="00356B1E">
            <w:pPr>
              <w:pStyle w:val="TableText"/>
              <w:ind w:right="113"/>
              <w:rPr>
                <w:sz w:val="20"/>
              </w:rPr>
            </w:pPr>
            <w:r w:rsidRPr="004532A5">
              <w:rPr>
                <w:sz w:val="20"/>
              </w:rPr>
              <w:t>Be prepared for a likely introduction of a two-dose schedule change</w:t>
            </w:r>
          </w:p>
        </w:tc>
      </w:tr>
    </w:tbl>
    <w:p w:rsidR="00863117" w:rsidRPr="009E611D" w:rsidRDefault="00863117" w:rsidP="00B329B3"/>
    <w:p w:rsidR="00E440AE" w:rsidRPr="009E611D" w:rsidRDefault="00E440AE">
      <w:pPr>
        <w:spacing w:line="240" w:lineRule="auto"/>
        <w:sectPr w:rsidR="00E440AE" w:rsidRPr="009E611D" w:rsidSect="009D5125">
          <w:headerReference w:type="default" r:id="rId25"/>
          <w:footerReference w:type="default" r:id="rId26"/>
          <w:pgSz w:w="11907" w:h="16834" w:code="9"/>
          <w:pgMar w:top="851" w:right="1134" w:bottom="1134" w:left="1134" w:header="284" w:footer="567" w:gutter="284"/>
          <w:pgNumType w:start="1"/>
          <w:cols w:space="720"/>
        </w:sectPr>
      </w:pPr>
    </w:p>
    <w:p w:rsidR="00B329B3" w:rsidRPr="009E611D" w:rsidRDefault="00B329B3" w:rsidP="00B329B3">
      <w:pPr>
        <w:pStyle w:val="Heading1"/>
      </w:pPr>
      <w:bookmarkStart w:id="30" w:name="_Toc427227983"/>
      <w:bookmarkStart w:id="31" w:name="_Toc425517990"/>
      <w:r w:rsidRPr="009E611D">
        <w:lastRenderedPageBreak/>
        <w:t>Appendices</w:t>
      </w:r>
      <w:bookmarkEnd w:id="30"/>
    </w:p>
    <w:p w:rsidR="00AC2959" w:rsidRPr="009E611D" w:rsidRDefault="00AC2959" w:rsidP="00B329B3">
      <w:pPr>
        <w:pStyle w:val="Heading2"/>
      </w:pPr>
      <w:bookmarkStart w:id="32" w:name="_Toc427227984"/>
      <w:r w:rsidRPr="009E611D">
        <w:t>Appendix A: WHO GVAP objectives, adapted for New</w:t>
      </w:r>
      <w:r w:rsidR="00B329B3" w:rsidRPr="009E611D">
        <w:t> </w:t>
      </w:r>
      <w:r w:rsidRPr="009E611D">
        <w:t>Zealand</w:t>
      </w:r>
      <w:bookmarkStart w:id="33" w:name="_Toc400090791"/>
      <w:bookmarkStart w:id="34" w:name="_Toc405210557"/>
      <w:bookmarkEnd w:id="31"/>
      <w:bookmarkEnd w:id="32"/>
    </w:p>
    <w:p w:rsidR="00B329B3" w:rsidRPr="009E611D" w:rsidRDefault="001F5056" w:rsidP="00B329B3">
      <w:r>
        <w:rPr>
          <w:noProof/>
          <w:lang w:eastAsia="ja-JP"/>
        </w:rPr>
        <w:drawing>
          <wp:inline distT="0" distB="0" distL="0" distR="0" wp14:anchorId="428B1445" wp14:editId="6C9574FA">
            <wp:extent cx="7417435" cy="4356100"/>
            <wp:effectExtent l="0" t="0" r="0" b="6350"/>
            <wp:docPr id="16" name="Picture 16" descr="Appendix A: WHO GVAP objectives, adapted for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7417435" cy="4356100"/>
                    </a:xfrm>
                    <a:prstGeom prst="rect">
                      <a:avLst/>
                    </a:prstGeom>
                    <a:noFill/>
                  </pic:spPr>
                </pic:pic>
              </a:graphicData>
            </a:graphic>
          </wp:inline>
        </w:drawing>
      </w:r>
    </w:p>
    <w:p w:rsidR="00AC2959" w:rsidRPr="009E611D" w:rsidRDefault="00A71A55" w:rsidP="00B329B3">
      <w:pPr>
        <w:pStyle w:val="Heading2"/>
      </w:pPr>
      <w:bookmarkStart w:id="35" w:name="_Toc425517991"/>
      <w:bookmarkEnd w:id="33"/>
      <w:bookmarkEnd w:id="34"/>
      <w:r w:rsidRPr="009E611D">
        <w:br w:type="page"/>
      </w:r>
      <w:bookmarkStart w:id="36" w:name="_Toc427227985"/>
      <w:r w:rsidR="00AC2959" w:rsidRPr="009E611D">
        <w:lastRenderedPageBreak/>
        <w:t xml:space="preserve">Appendix B: 2014 HPV </w:t>
      </w:r>
      <w:r w:rsidR="00D67E42">
        <w:t>c</w:t>
      </w:r>
      <w:r w:rsidR="00D67E42" w:rsidRPr="009E611D">
        <w:t xml:space="preserve">overage </w:t>
      </w:r>
      <w:r w:rsidR="00AC2959" w:rsidRPr="009E611D">
        <w:t xml:space="preserve">for 2001 </w:t>
      </w:r>
      <w:r w:rsidR="00D67E42">
        <w:t>b</w:t>
      </w:r>
      <w:r w:rsidR="00D67E42" w:rsidRPr="009E611D">
        <w:t xml:space="preserve">irth </w:t>
      </w:r>
      <w:proofErr w:type="gramStart"/>
      <w:r w:rsidR="00D67E42">
        <w:t>c</w:t>
      </w:r>
      <w:r w:rsidR="00D67E42" w:rsidRPr="009E611D">
        <w:t>ohort</w:t>
      </w:r>
      <w:proofErr w:type="gramEnd"/>
      <w:r w:rsidR="00DB1EBA" w:rsidRPr="009E611D">
        <w:br/>
      </w:r>
      <w:r w:rsidR="00AC2959" w:rsidRPr="009E611D">
        <w:t>(1 January 2014–30 June 2015)</w:t>
      </w:r>
      <w:bookmarkEnd w:id="35"/>
      <w:bookmarkEnd w:id="36"/>
    </w:p>
    <w:p w:rsidR="00DB1EBA" w:rsidRPr="009E611D" w:rsidRDefault="00DB1EBA" w:rsidP="00DB1EBA">
      <w:pPr>
        <w:tabs>
          <w:tab w:val="right" w:pos="14566"/>
        </w:tabs>
        <w:rPr>
          <w:b/>
          <w:bCs/>
        </w:rPr>
      </w:pPr>
      <w:r w:rsidRPr="009E611D">
        <w:rPr>
          <w:b/>
          <w:bCs/>
        </w:rPr>
        <w:t>HPV coverage report – June 2015</w:t>
      </w:r>
      <w:r w:rsidRPr="009E611D">
        <w:rPr>
          <w:b/>
          <w:bCs/>
        </w:rPr>
        <w:tab/>
        <w:t>Girls turning 12 years old in 2014 [Birth Cohort: 2001]</w:t>
      </w:r>
    </w:p>
    <w:p w:rsidR="00DB1EBA" w:rsidRPr="009E611D" w:rsidRDefault="00DB1EBA" w:rsidP="00DB1EBA">
      <w:pPr>
        <w:tabs>
          <w:tab w:val="right" w:pos="14566"/>
        </w:tabs>
        <w:rPr>
          <w:b/>
          <w:bCs/>
        </w:rPr>
      </w:pPr>
      <w:r w:rsidRPr="009E611D">
        <w:rPr>
          <w:b/>
          <w:bCs/>
        </w:rPr>
        <w:t>Report run date: 07 July 2015</w:t>
      </w:r>
      <w:r w:rsidRPr="009E611D">
        <w:rPr>
          <w:b/>
          <w:bCs/>
        </w:rPr>
        <w:tab/>
        <w:t>Period covered: 1 January 2010 to 30 June 2015</w:t>
      </w:r>
    </w:p>
    <w:p w:rsidR="00DB1EBA" w:rsidRPr="009E611D" w:rsidRDefault="00DB1EBA" w:rsidP="00DB1EBA">
      <w:pPr>
        <w:spacing w:before="120" w:after="120"/>
      </w:pPr>
      <w:r w:rsidRPr="009E611D">
        <w:t xml:space="preserve">The information contained in this </w:t>
      </w:r>
      <w:r w:rsidR="00515CAB" w:rsidRPr="009E611D">
        <w:t>r</w:t>
      </w:r>
      <w:r w:rsidRPr="009E611D">
        <w:t xml:space="preserve">eport has been derived from the National Immunisation Register database. While the Ministry of Health has taken all reasonable steps to ensure that the information contained within the report </w:t>
      </w:r>
      <w:r w:rsidR="00515CAB" w:rsidRPr="009E611D">
        <w:t xml:space="preserve">is </w:t>
      </w:r>
      <w:r w:rsidRPr="009E611D">
        <w:t>accurate and complete, it accepts no liability or responsibility for the manner in which the information is subsequently used or relied on.</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Description w:val="2014 HPV coverage for 2001 birth cohort (1 January 2014–30 June 2015)&#10;"/>
      </w:tblPr>
      <w:tblGrid>
        <w:gridCol w:w="1276"/>
        <w:gridCol w:w="1701"/>
        <w:gridCol w:w="774"/>
        <w:gridCol w:w="775"/>
        <w:gridCol w:w="775"/>
        <w:gridCol w:w="775"/>
        <w:gridCol w:w="775"/>
        <w:gridCol w:w="775"/>
        <w:gridCol w:w="775"/>
        <w:gridCol w:w="775"/>
        <w:gridCol w:w="775"/>
        <w:gridCol w:w="775"/>
        <w:gridCol w:w="775"/>
        <w:gridCol w:w="775"/>
        <w:gridCol w:w="775"/>
        <w:gridCol w:w="775"/>
        <w:gridCol w:w="775"/>
      </w:tblGrid>
      <w:tr w:rsidR="00DB1EBA" w:rsidRPr="009E611D" w:rsidTr="00515CAB">
        <w:trPr>
          <w:cantSplit/>
          <w:tblHeader/>
        </w:trPr>
        <w:tc>
          <w:tcPr>
            <w:tcW w:w="1276" w:type="dxa"/>
            <w:vMerge w:val="restart"/>
            <w:tcBorders>
              <w:top w:val="single" w:sz="4" w:space="0" w:color="auto"/>
            </w:tcBorders>
            <w:shd w:val="clear" w:color="auto" w:fill="auto"/>
            <w:hideMark/>
          </w:tcPr>
          <w:p w:rsidR="00DB1EBA" w:rsidRPr="009E611D" w:rsidRDefault="00DB1EBA" w:rsidP="00DB1EBA">
            <w:pPr>
              <w:pStyle w:val="TableText"/>
              <w:rPr>
                <w:rFonts w:cs="Arial"/>
                <w:b/>
                <w:sz w:val="16"/>
                <w:szCs w:val="16"/>
              </w:rPr>
            </w:pPr>
            <w:r w:rsidRPr="009E611D">
              <w:rPr>
                <w:rFonts w:cs="Arial"/>
                <w:b/>
                <w:sz w:val="16"/>
                <w:szCs w:val="16"/>
              </w:rPr>
              <w:t>DHB</w:t>
            </w:r>
          </w:p>
        </w:tc>
        <w:tc>
          <w:tcPr>
            <w:tcW w:w="1701" w:type="dxa"/>
            <w:vMerge w:val="restart"/>
            <w:tcBorders>
              <w:top w:val="single" w:sz="4" w:space="0" w:color="auto"/>
              <w:right w:val="single" w:sz="4" w:space="0" w:color="A6A6A6" w:themeColor="background1" w:themeShade="A6"/>
            </w:tcBorders>
            <w:shd w:val="clear" w:color="auto" w:fill="auto"/>
          </w:tcPr>
          <w:p w:rsidR="00DB1EBA" w:rsidRPr="009E611D" w:rsidRDefault="00DB1EBA" w:rsidP="00DB1EBA">
            <w:pPr>
              <w:pStyle w:val="TableText"/>
              <w:rPr>
                <w:rFonts w:cs="Arial"/>
                <w:b/>
                <w:sz w:val="16"/>
                <w:szCs w:val="16"/>
              </w:rPr>
            </w:pPr>
            <w:r w:rsidRPr="009E611D">
              <w:rPr>
                <w:rFonts w:cs="Arial"/>
                <w:b/>
                <w:sz w:val="16"/>
                <w:szCs w:val="16"/>
              </w:rPr>
              <w:t>Vaccination</w:t>
            </w:r>
          </w:p>
        </w:tc>
        <w:tc>
          <w:tcPr>
            <w:tcW w:w="3874" w:type="dxa"/>
            <w:gridSpan w:val="5"/>
            <w:tcBorders>
              <w:top w:val="single" w:sz="4" w:space="0" w:color="auto"/>
              <w:left w:val="single" w:sz="4" w:space="0" w:color="A6A6A6" w:themeColor="background1" w:themeShade="A6"/>
              <w:bottom w:val="nil"/>
              <w:right w:val="single" w:sz="4" w:space="0" w:color="A6A6A6" w:themeColor="background1" w:themeShade="A6"/>
            </w:tcBorders>
            <w:shd w:val="clear" w:color="auto" w:fill="auto"/>
            <w:hideMark/>
          </w:tcPr>
          <w:p w:rsidR="00DB1EBA" w:rsidRPr="009E611D" w:rsidRDefault="00DB1EBA" w:rsidP="00DB1EBA">
            <w:pPr>
              <w:pStyle w:val="TableText"/>
              <w:jc w:val="center"/>
              <w:rPr>
                <w:rFonts w:cs="Arial"/>
                <w:b/>
                <w:sz w:val="16"/>
                <w:szCs w:val="16"/>
              </w:rPr>
            </w:pPr>
            <w:r w:rsidRPr="009E611D">
              <w:rPr>
                <w:rFonts w:cs="Arial"/>
                <w:b/>
                <w:sz w:val="16"/>
                <w:szCs w:val="16"/>
              </w:rPr>
              <w:t>Number of HPV doses given (numerator)</w:t>
            </w:r>
          </w:p>
        </w:tc>
        <w:tc>
          <w:tcPr>
            <w:tcW w:w="3875" w:type="dxa"/>
            <w:gridSpan w:val="5"/>
            <w:tcBorders>
              <w:top w:val="single" w:sz="4" w:space="0" w:color="auto"/>
              <w:left w:val="single" w:sz="4" w:space="0" w:color="A6A6A6" w:themeColor="background1" w:themeShade="A6"/>
              <w:bottom w:val="nil"/>
              <w:right w:val="single" w:sz="4" w:space="0" w:color="A6A6A6" w:themeColor="background1" w:themeShade="A6"/>
            </w:tcBorders>
            <w:shd w:val="clear" w:color="auto" w:fill="auto"/>
            <w:hideMark/>
          </w:tcPr>
          <w:p w:rsidR="00DB1EBA" w:rsidRPr="009E611D" w:rsidRDefault="00DB1EBA" w:rsidP="00DB1EBA">
            <w:pPr>
              <w:pStyle w:val="TableText"/>
              <w:jc w:val="center"/>
              <w:rPr>
                <w:rFonts w:cs="Arial"/>
                <w:b/>
                <w:sz w:val="16"/>
                <w:szCs w:val="16"/>
              </w:rPr>
            </w:pPr>
            <w:r w:rsidRPr="009E611D">
              <w:rPr>
                <w:rFonts w:cs="Arial"/>
                <w:b/>
                <w:sz w:val="16"/>
                <w:szCs w:val="16"/>
              </w:rPr>
              <w:t>Estimated eligible population* (denominator)</w:t>
            </w:r>
          </w:p>
        </w:tc>
        <w:tc>
          <w:tcPr>
            <w:tcW w:w="3875" w:type="dxa"/>
            <w:gridSpan w:val="5"/>
            <w:tcBorders>
              <w:top w:val="single" w:sz="4" w:space="0" w:color="auto"/>
              <w:left w:val="single" w:sz="4" w:space="0" w:color="A6A6A6" w:themeColor="background1" w:themeShade="A6"/>
              <w:bottom w:val="nil"/>
            </w:tcBorders>
            <w:shd w:val="clear" w:color="auto" w:fill="auto"/>
            <w:hideMark/>
          </w:tcPr>
          <w:p w:rsidR="00DB1EBA" w:rsidRPr="009E611D" w:rsidRDefault="00DB1EBA" w:rsidP="00DB1EBA">
            <w:pPr>
              <w:pStyle w:val="TableText"/>
              <w:jc w:val="center"/>
              <w:rPr>
                <w:rFonts w:cs="Arial"/>
                <w:b/>
                <w:sz w:val="16"/>
                <w:szCs w:val="16"/>
              </w:rPr>
            </w:pPr>
            <w:r w:rsidRPr="009E611D">
              <w:rPr>
                <w:rFonts w:cs="Arial"/>
                <w:b/>
                <w:sz w:val="16"/>
                <w:szCs w:val="16"/>
              </w:rPr>
              <w:t>Immunisation coverage</w:t>
            </w:r>
          </w:p>
        </w:tc>
      </w:tr>
      <w:tr w:rsidR="00DB1EBA" w:rsidRPr="009E611D" w:rsidTr="00515CAB">
        <w:trPr>
          <w:cantSplit/>
          <w:tblHeader/>
        </w:trPr>
        <w:tc>
          <w:tcPr>
            <w:tcW w:w="1276" w:type="dxa"/>
            <w:vMerge/>
            <w:tcBorders>
              <w:bottom w:val="single" w:sz="4" w:space="0" w:color="auto"/>
            </w:tcBorders>
            <w:shd w:val="clear" w:color="auto" w:fill="auto"/>
            <w:hideMark/>
          </w:tcPr>
          <w:p w:rsidR="00DB1EBA" w:rsidRPr="009E611D" w:rsidRDefault="00DB1EBA" w:rsidP="00DB1EBA">
            <w:pPr>
              <w:pStyle w:val="TableText"/>
              <w:spacing w:before="0"/>
              <w:rPr>
                <w:rFonts w:cs="Arial"/>
                <w:b/>
                <w:sz w:val="16"/>
                <w:szCs w:val="16"/>
              </w:rPr>
            </w:pPr>
          </w:p>
        </w:tc>
        <w:tc>
          <w:tcPr>
            <w:tcW w:w="1701" w:type="dxa"/>
            <w:vMerge/>
            <w:tcBorders>
              <w:bottom w:val="single" w:sz="4" w:space="0" w:color="auto"/>
              <w:right w:val="single" w:sz="4" w:space="0" w:color="A6A6A6" w:themeColor="background1" w:themeShade="A6"/>
            </w:tcBorders>
            <w:shd w:val="clear" w:color="auto" w:fill="auto"/>
            <w:hideMark/>
          </w:tcPr>
          <w:p w:rsidR="00DB1EBA" w:rsidRPr="009E611D" w:rsidRDefault="00DB1EBA" w:rsidP="00DB1EBA">
            <w:pPr>
              <w:pStyle w:val="TableText"/>
              <w:spacing w:before="0"/>
              <w:rPr>
                <w:rFonts w:cs="Arial"/>
                <w:b/>
                <w:sz w:val="16"/>
                <w:szCs w:val="16"/>
              </w:rPr>
            </w:pPr>
          </w:p>
        </w:tc>
        <w:tc>
          <w:tcPr>
            <w:tcW w:w="774" w:type="dxa"/>
            <w:tcBorders>
              <w:top w:val="nil"/>
              <w:left w:val="single" w:sz="4" w:space="0" w:color="A6A6A6" w:themeColor="background1" w:themeShade="A6"/>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Maori</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Pacific</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Asian</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Other**</w:t>
            </w:r>
          </w:p>
        </w:tc>
        <w:tc>
          <w:tcPr>
            <w:tcW w:w="775" w:type="dxa"/>
            <w:tcBorders>
              <w:top w:val="nil"/>
              <w:bottom w:val="single" w:sz="4" w:space="0" w:color="auto"/>
              <w:right w:val="single" w:sz="4" w:space="0" w:color="A6A6A6" w:themeColor="background1" w:themeShade="A6"/>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All</w:t>
            </w:r>
          </w:p>
        </w:tc>
        <w:tc>
          <w:tcPr>
            <w:tcW w:w="775" w:type="dxa"/>
            <w:tcBorders>
              <w:top w:val="nil"/>
              <w:left w:val="single" w:sz="4" w:space="0" w:color="A6A6A6" w:themeColor="background1" w:themeShade="A6"/>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Maori</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Pacific</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Asian</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Other**</w:t>
            </w:r>
          </w:p>
        </w:tc>
        <w:tc>
          <w:tcPr>
            <w:tcW w:w="775" w:type="dxa"/>
            <w:tcBorders>
              <w:top w:val="nil"/>
              <w:bottom w:val="single" w:sz="4" w:space="0" w:color="auto"/>
              <w:right w:val="single" w:sz="4" w:space="0" w:color="A6A6A6" w:themeColor="background1" w:themeShade="A6"/>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All</w:t>
            </w:r>
          </w:p>
        </w:tc>
        <w:tc>
          <w:tcPr>
            <w:tcW w:w="775" w:type="dxa"/>
            <w:tcBorders>
              <w:top w:val="nil"/>
              <w:left w:val="single" w:sz="4" w:space="0" w:color="A6A6A6" w:themeColor="background1" w:themeShade="A6"/>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Maori</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Pacific</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Asian</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Other**</w:t>
            </w:r>
          </w:p>
        </w:tc>
        <w:tc>
          <w:tcPr>
            <w:tcW w:w="775" w:type="dxa"/>
            <w:tcBorders>
              <w:top w:val="nil"/>
              <w:bottom w:val="single" w:sz="4" w:space="0" w:color="auto"/>
            </w:tcBorders>
            <w:shd w:val="clear" w:color="auto" w:fill="auto"/>
            <w:hideMark/>
          </w:tcPr>
          <w:p w:rsidR="00DB1EBA" w:rsidRPr="009E611D" w:rsidRDefault="00DB1EBA" w:rsidP="00DB1EBA">
            <w:pPr>
              <w:pStyle w:val="TableText"/>
              <w:spacing w:before="0"/>
              <w:jc w:val="center"/>
              <w:rPr>
                <w:rFonts w:cs="Arial"/>
                <w:b/>
                <w:sz w:val="16"/>
                <w:szCs w:val="16"/>
              </w:rPr>
            </w:pPr>
            <w:r w:rsidRPr="009E611D">
              <w:rPr>
                <w:rFonts w:cs="Arial"/>
                <w:b/>
                <w:sz w:val="16"/>
                <w:szCs w:val="16"/>
              </w:rPr>
              <w:t>All</w:t>
            </w:r>
          </w:p>
        </w:tc>
      </w:tr>
      <w:tr w:rsidR="00515CAB" w:rsidRPr="009E611D" w:rsidTr="00515CAB">
        <w:trPr>
          <w:cantSplit/>
        </w:trPr>
        <w:tc>
          <w:tcPr>
            <w:tcW w:w="1276" w:type="dxa"/>
            <w:vMerge w:val="restart"/>
            <w:tcBorders>
              <w:top w:val="single" w:sz="4" w:space="0" w:color="auto"/>
              <w:bottom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Auckland</w:t>
            </w:r>
          </w:p>
        </w:tc>
        <w:tc>
          <w:tcPr>
            <w:tcW w:w="1701"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211</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411</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462</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725</w:t>
            </w:r>
          </w:p>
        </w:tc>
        <w:tc>
          <w:tcPr>
            <w:tcW w:w="775"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1809</w:t>
            </w:r>
          </w:p>
        </w:tc>
        <w:tc>
          <w:tcPr>
            <w:tcW w:w="775"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270</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450</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630</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860</w:t>
            </w:r>
          </w:p>
        </w:tc>
        <w:tc>
          <w:tcPr>
            <w:tcW w:w="775" w:type="dxa"/>
            <w:tcBorders>
              <w:top w:val="single" w:sz="4" w:space="0" w:color="auto"/>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2210</w:t>
            </w:r>
          </w:p>
        </w:tc>
        <w:tc>
          <w:tcPr>
            <w:tcW w:w="775" w:type="dxa"/>
            <w:tcBorders>
              <w:top w:val="single" w:sz="4" w:space="0" w:color="auto"/>
              <w:left w:val="single" w:sz="4" w:space="0" w:color="A6A6A6" w:themeColor="background1" w:themeShade="A6"/>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78%</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91%</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84%</w:t>
            </w:r>
          </w:p>
        </w:tc>
        <w:tc>
          <w:tcPr>
            <w:tcW w:w="775" w:type="dxa"/>
            <w:tcBorders>
              <w:top w:val="single" w:sz="4" w:space="0" w:color="auto"/>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r>
      <w:tr w:rsidR="00515CAB" w:rsidRPr="009E611D" w:rsidTr="00515CAB">
        <w:trPr>
          <w:cantSplit/>
        </w:trPr>
        <w:tc>
          <w:tcPr>
            <w:tcW w:w="1276" w:type="dxa"/>
            <w:vMerge/>
            <w:tcBorders>
              <w:top w:val="nil"/>
              <w:bottom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214</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414</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462</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711</w:t>
            </w:r>
          </w:p>
        </w:tc>
        <w:tc>
          <w:tcPr>
            <w:tcW w:w="775" w:type="dxa"/>
            <w:tcBorders>
              <w:top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1801</w:t>
            </w:r>
          </w:p>
        </w:tc>
        <w:tc>
          <w:tcPr>
            <w:tcW w:w="775" w:type="dxa"/>
            <w:tcBorders>
              <w:top w:val="nil"/>
              <w:left w:val="single" w:sz="4" w:space="0" w:color="A6A6A6" w:themeColor="background1" w:themeShade="A6"/>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79%</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92%</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83%</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81%</w:t>
            </w:r>
          </w:p>
        </w:tc>
      </w:tr>
      <w:tr w:rsidR="00515CAB" w:rsidRPr="009E611D" w:rsidTr="00515CAB">
        <w:trPr>
          <w:cantSplit/>
        </w:trPr>
        <w:tc>
          <w:tcPr>
            <w:tcW w:w="1276" w:type="dxa"/>
            <w:vMerge/>
            <w:tcBorders>
              <w:top w:val="nil"/>
              <w:bottom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203</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401</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444</w:t>
            </w:r>
          </w:p>
        </w:tc>
        <w:tc>
          <w:tcPr>
            <w:tcW w:w="775" w:type="dxa"/>
            <w:tcBorders>
              <w:top w:val="nil"/>
              <w:bottom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689</w:t>
            </w:r>
          </w:p>
        </w:tc>
        <w:tc>
          <w:tcPr>
            <w:tcW w:w="775" w:type="dxa"/>
            <w:tcBorders>
              <w:top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1737</w:t>
            </w:r>
          </w:p>
        </w:tc>
        <w:tc>
          <w:tcPr>
            <w:tcW w:w="775" w:type="dxa"/>
            <w:tcBorders>
              <w:top w:val="nil"/>
              <w:left w:val="single" w:sz="4" w:space="0" w:color="A6A6A6" w:themeColor="background1" w:themeShade="A6"/>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89%</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79%</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Bay of Plenty</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434</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36</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431</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921</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570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810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1440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76%</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67%</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120%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53%</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430</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37</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416</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903</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67%</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123%</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51%</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394</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31</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389</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831</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103%</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Canterbury</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1240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1597</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190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2290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3010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53%</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1140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1467</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50%</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49%</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921</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1156</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38%</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pPr>
              <w:pStyle w:val="TableText"/>
              <w:rPr>
                <w:rFonts w:cs="Arial"/>
                <w:sz w:val="16"/>
                <w:szCs w:val="16"/>
              </w:rPr>
            </w:pPr>
            <w:r w:rsidRPr="009E611D">
              <w:rPr>
                <w:rFonts w:cs="Arial"/>
                <w:sz w:val="16"/>
                <w:szCs w:val="16"/>
              </w:rPr>
              <w:t xml:space="preserve">Capital </w:t>
            </w:r>
            <w:r w:rsidR="00D67E42">
              <w:rPr>
                <w:rFonts w:cs="Arial"/>
                <w:sz w:val="16"/>
                <w:szCs w:val="16"/>
              </w:rPr>
              <w:t>&amp;</w:t>
            </w:r>
            <w:r w:rsidR="00D67E42" w:rsidRPr="009E611D">
              <w:rPr>
                <w:rFonts w:cs="Arial"/>
                <w:sz w:val="16"/>
                <w:szCs w:val="16"/>
              </w:rPr>
              <w:t xml:space="preserve"> </w:t>
            </w:r>
            <w:r w:rsidRPr="009E611D">
              <w:rPr>
                <w:rFonts w:cs="Arial"/>
                <w:sz w:val="16"/>
                <w:szCs w:val="16"/>
              </w:rPr>
              <w:t>Coast</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233</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157</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119</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709</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1218</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330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990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1700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227</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151</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118</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693</w:t>
            </w:r>
          </w:p>
        </w:tc>
        <w:tc>
          <w:tcPr>
            <w:tcW w:w="775" w:type="dxa"/>
            <w:tcBorders>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1189</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217</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150</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119</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672</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1158</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66%</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Counties Manukau</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668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972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633</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2706</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1190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690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1140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3930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650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955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448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648</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2701</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r>
      <w:tr w:rsidR="00515CAB" w:rsidRPr="009E611D" w:rsidTr="00D72E22">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550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867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594</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2433</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52%</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r>
      <w:tr w:rsidR="00DB1EBA" w:rsidRPr="009E611D" w:rsidTr="00D72E22">
        <w:trPr>
          <w:cantSplit/>
        </w:trPr>
        <w:tc>
          <w:tcPr>
            <w:tcW w:w="1276" w:type="dxa"/>
            <w:vMerge w:val="restart"/>
            <w:tcBorders>
              <w:top w:val="nil"/>
              <w:bottom w:val="nil"/>
              <w:right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Hawke</w:t>
            </w:r>
            <w:r w:rsidR="00D67E42">
              <w:rPr>
                <w:rFonts w:cs="Arial"/>
                <w:sz w:val="16"/>
                <w:szCs w:val="16"/>
              </w:rPr>
              <w:t>’</w:t>
            </w:r>
            <w:r w:rsidRPr="009E611D">
              <w:rPr>
                <w:rFonts w:cs="Arial"/>
                <w:sz w:val="16"/>
                <w:szCs w:val="16"/>
              </w:rPr>
              <w:t>s Bay</w:t>
            </w:r>
          </w:p>
        </w:tc>
        <w:tc>
          <w:tcPr>
            <w:tcW w:w="1701" w:type="dxa"/>
            <w:tcBorders>
              <w:top w:val="nil"/>
              <w:left w:val="nil"/>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339</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49</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336</w:t>
            </w:r>
          </w:p>
        </w:tc>
        <w:tc>
          <w:tcPr>
            <w:tcW w:w="775" w:type="dxa"/>
            <w:tcBorders>
              <w:top w:val="nil"/>
              <w:left w:val="nil"/>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745</w:t>
            </w:r>
          </w:p>
        </w:tc>
        <w:tc>
          <w:tcPr>
            <w:tcW w:w="775" w:type="dxa"/>
            <w:tcBorders>
              <w:top w:val="nil"/>
              <w:left w:val="single" w:sz="4" w:space="0" w:color="A6A6A6" w:themeColor="background1" w:themeShade="A6"/>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430</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60</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600</w:t>
            </w:r>
          </w:p>
        </w:tc>
        <w:tc>
          <w:tcPr>
            <w:tcW w:w="775" w:type="dxa"/>
            <w:tcBorders>
              <w:top w:val="nil"/>
              <w:left w:val="nil"/>
              <w:bottom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1100</w:t>
            </w:r>
          </w:p>
        </w:tc>
        <w:tc>
          <w:tcPr>
            <w:tcW w:w="775" w:type="dxa"/>
            <w:tcBorders>
              <w:top w:val="nil"/>
              <w:left w:val="single" w:sz="4" w:space="0" w:color="A6A6A6" w:themeColor="background1" w:themeShade="A6"/>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79%</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210%</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c>
          <w:tcPr>
            <w:tcW w:w="775" w:type="dxa"/>
            <w:tcBorders>
              <w:top w:val="nil"/>
              <w:left w:val="nil"/>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r>
      <w:tr w:rsidR="00DB1EBA" w:rsidRPr="009E611D" w:rsidTr="00D72E22">
        <w:trPr>
          <w:cantSplit/>
        </w:trPr>
        <w:tc>
          <w:tcPr>
            <w:tcW w:w="1276" w:type="dxa"/>
            <w:vMerge/>
            <w:tcBorders>
              <w:top w:val="nil"/>
              <w:bottom w:val="nil"/>
              <w:right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329</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48</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w:t>
            </w:r>
          </w:p>
        </w:tc>
        <w:tc>
          <w:tcPr>
            <w:tcW w:w="775" w:type="dxa"/>
            <w:tcBorders>
              <w:top w:val="nil"/>
              <w:left w:val="nil"/>
              <w:bottom w:val="nil"/>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322</w:t>
            </w:r>
          </w:p>
        </w:tc>
        <w:tc>
          <w:tcPr>
            <w:tcW w:w="775" w:type="dxa"/>
            <w:tcBorders>
              <w:top w:val="nil"/>
              <w:left w:val="nil"/>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720</w:t>
            </w:r>
          </w:p>
        </w:tc>
        <w:tc>
          <w:tcPr>
            <w:tcW w:w="775" w:type="dxa"/>
            <w:tcBorders>
              <w:top w:val="nil"/>
              <w:left w:val="single" w:sz="4" w:space="0" w:color="A6A6A6" w:themeColor="background1" w:themeShade="A6"/>
              <w:bottom w:val="nil"/>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77%</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210%</w:t>
            </w:r>
          </w:p>
        </w:tc>
        <w:tc>
          <w:tcPr>
            <w:tcW w:w="775" w:type="dxa"/>
            <w:tcBorders>
              <w:top w:val="nil"/>
              <w:left w:val="nil"/>
              <w:bottom w:val="nil"/>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tcBorders>
              <w:top w:val="nil"/>
              <w:left w:val="nil"/>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r>
      <w:tr w:rsidR="00DB1EBA" w:rsidRPr="009E611D" w:rsidTr="00D72E22">
        <w:trPr>
          <w:cantSplit/>
        </w:trPr>
        <w:tc>
          <w:tcPr>
            <w:tcW w:w="1276" w:type="dxa"/>
            <w:vMerge/>
            <w:tcBorders>
              <w:top w:val="nil"/>
              <w:bottom w:val="single" w:sz="4" w:space="0" w:color="A6A6A6" w:themeColor="background1" w:themeShade="A6"/>
              <w:right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single" w:sz="4" w:space="0" w:color="A6A6A6" w:themeColor="background1" w:themeShade="A6"/>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315</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48</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19</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305</w:t>
            </w:r>
          </w:p>
        </w:tc>
        <w:tc>
          <w:tcPr>
            <w:tcW w:w="775" w:type="dxa"/>
            <w:tcBorders>
              <w:top w:val="nil"/>
              <w:left w:val="nil"/>
              <w:bottom w:val="single" w:sz="4" w:space="0" w:color="A6A6A6" w:themeColor="background1" w:themeShade="A6"/>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687</w:t>
            </w:r>
          </w:p>
        </w:tc>
        <w:tc>
          <w:tcPr>
            <w:tcW w:w="775" w:type="dxa"/>
            <w:tcBorders>
              <w:top w:val="nil"/>
              <w:left w:val="single" w:sz="4" w:space="0" w:color="A6A6A6" w:themeColor="background1" w:themeShade="A6"/>
              <w:bottom w:val="single" w:sz="4" w:space="0" w:color="A6A6A6" w:themeColor="background1" w:themeShade="A6"/>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single" w:sz="4" w:space="0" w:color="A6A6A6" w:themeColor="background1" w:themeShade="A6"/>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190%</w:t>
            </w:r>
          </w:p>
        </w:tc>
        <w:tc>
          <w:tcPr>
            <w:tcW w:w="775" w:type="dxa"/>
            <w:tcBorders>
              <w:top w:val="nil"/>
              <w:left w:val="nil"/>
              <w:bottom w:val="single" w:sz="4" w:space="0" w:color="A6A6A6" w:themeColor="background1" w:themeShade="A6"/>
              <w:right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51%</w:t>
            </w:r>
          </w:p>
        </w:tc>
        <w:tc>
          <w:tcPr>
            <w:tcW w:w="775" w:type="dxa"/>
            <w:tcBorders>
              <w:top w:val="nil"/>
              <w:left w:val="nil"/>
              <w:bottom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r>
      <w:tr w:rsidR="00515CAB" w:rsidRPr="009E611D" w:rsidTr="00D72E22">
        <w:trPr>
          <w:cantSplit/>
        </w:trPr>
        <w:tc>
          <w:tcPr>
            <w:tcW w:w="1276" w:type="dxa"/>
            <w:vMerge w:val="restart"/>
            <w:tcBorders>
              <w:top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rPr>
                <w:rFonts w:cs="Arial"/>
                <w:sz w:val="16"/>
                <w:szCs w:val="16"/>
              </w:rPr>
            </w:pPr>
            <w:r w:rsidRPr="009E611D">
              <w:rPr>
                <w:rFonts w:cs="Arial"/>
                <w:sz w:val="16"/>
                <w:szCs w:val="16"/>
              </w:rPr>
              <w:lastRenderedPageBreak/>
              <w:t>Hutt Valley</w:t>
            </w:r>
          </w:p>
        </w:tc>
        <w:tc>
          <w:tcPr>
            <w:tcW w:w="1701"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keepNext/>
              <w:rPr>
                <w:rFonts w:cs="Arial"/>
                <w:sz w:val="16"/>
                <w:szCs w:val="16"/>
              </w:rPr>
            </w:pPr>
            <w:r w:rsidRPr="009E611D">
              <w:rPr>
                <w:rFonts w:cs="Arial"/>
                <w:sz w:val="16"/>
                <w:szCs w:val="16"/>
              </w:rPr>
              <w:t>HPV-1 Quadrivalent</w:t>
            </w:r>
          </w:p>
        </w:tc>
        <w:tc>
          <w:tcPr>
            <w:tcW w:w="774"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216</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81</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74</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351</w:t>
            </w:r>
          </w:p>
        </w:tc>
        <w:tc>
          <w:tcPr>
            <w:tcW w:w="775"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722</w:t>
            </w:r>
          </w:p>
        </w:tc>
        <w:tc>
          <w:tcPr>
            <w:tcW w:w="775"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270</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120</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90</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520</w:t>
            </w:r>
          </w:p>
        </w:tc>
        <w:tc>
          <w:tcPr>
            <w:tcW w:w="775" w:type="dxa"/>
            <w:tcBorders>
              <w:top w:val="single" w:sz="4" w:space="0" w:color="A6A6A6" w:themeColor="background1" w:themeShade="A6"/>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1010</w:t>
            </w:r>
          </w:p>
        </w:tc>
        <w:tc>
          <w:tcPr>
            <w:tcW w:w="775" w:type="dxa"/>
            <w:tcBorders>
              <w:top w:val="single" w:sz="4" w:space="0" w:color="A6A6A6" w:themeColor="background1" w:themeShade="A6"/>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80%</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68%</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82%</w:t>
            </w:r>
          </w:p>
        </w:tc>
        <w:tc>
          <w:tcPr>
            <w:tcW w:w="775" w:type="dxa"/>
            <w:tcBorders>
              <w:top w:val="single" w:sz="4" w:space="0" w:color="A6A6A6" w:themeColor="background1" w:themeShade="A6"/>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68%</w:t>
            </w:r>
          </w:p>
        </w:tc>
        <w:tc>
          <w:tcPr>
            <w:tcW w:w="775" w:type="dxa"/>
            <w:tcBorders>
              <w:top w:val="single" w:sz="4" w:space="0" w:color="A6A6A6" w:themeColor="background1" w:themeShade="A6"/>
              <w:left w:val="nil"/>
              <w:bottom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71%</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72E22">
            <w:pPr>
              <w:pStyle w:val="TableText"/>
              <w:keepN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keepN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210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330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689</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D72E22">
            <w:pPr>
              <w:pStyle w:val="TableText"/>
              <w:keepN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D72E22">
            <w:pPr>
              <w:pStyle w:val="TableText"/>
              <w:keepN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D72E22">
            <w:pPr>
              <w:pStyle w:val="TableText"/>
              <w:keepN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D72E22">
            <w:pPr>
              <w:pStyle w:val="TableText"/>
              <w:keepN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D72E22">
            <w:pPr>
              <w:pStyle w:val="TableText"/>
              <w:keepN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63%</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68%</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334</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686</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Lakes</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265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176</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472</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370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730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55%</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261</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173</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465</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250</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172</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453</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MidCentral</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246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729</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700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1130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59%</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398</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711</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377</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677</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Nelson Marlborough</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96</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392</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520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710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850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100%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85%</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55%</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87</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384</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502</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100%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59%</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84</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359</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474</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100%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51%</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Northland</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274</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709</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530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580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1170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47%</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262</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682</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45%</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361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253</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648</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44%</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55%</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South Canterbury</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24</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186</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270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24</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145</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181</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140</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174</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52%</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Southern</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947</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1211</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260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1330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1660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117%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933</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1193</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898</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1148</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6211D4">
            <w:pPr>
              <w:pStyle w:val="TableText"/>
              <w:rPr>
                <w:rFonts w:cs="Arial"/>
                <w:sz w:val="16"/>
                <w:szCs w:val="16"/>
              </w:rPr>
            </w:pPr>
            <w:proofErr w:type="spellStart"/>
            <w:r w:rsidRPr="009E611D">
              <w:rPr>
                <w:rFonts w:cs="Arial"/>
                <w:sz w:val="16"/>
                <w:szCs w:val="16"/>
              </w:rPr>
              <w:t>Tair</w:t>
            </w:r>
            <w:r w:rsidR="006211D4">
              <w:rPr>
                <w:rFonts w:cs="Arial"/>
                <w:sz w:val="16"/>
                <w:szCs w:val="16"/>
              </w:rPr>
              <w:t>ā</w:t>
            </w:r>
            <w:r w:rsidRPr="009E611D">
              <w:rPr>
                <w:rFonts w:cs="Arial"/>
                <w:sz w:val="16"/>
                <w:szCs w:val="16"/>
              </w:rPr>
              <w:t>whiti</w:t>
            </w:r>
            <w:proofErr w:type="spellEnd"/>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174</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67</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251</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370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79%</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48%</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173</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64</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247</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46%</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67%</w:t>
            </w:r>
          </w:p>
        </w:tc>
      </w:tr>
      <w:tr w:rsidR="00DB1EBA" w:rsidRPr="009E611D" w:rsidTr="00D72E22">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164</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62</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234</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44%</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r>
      <w:tr w:rsidR="00515CAB" w:rsidRPr="009E611D" w:rsidTr="00D72E22">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Taranaki</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134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356</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515</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190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480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690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74%</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r>
      <w:tr w:rsidR="00515CAB" w:rsidRPr="009E611D" w:rsidTr="00D72E22">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131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348</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505</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r>
      <w:tr w:rsidR="00515CAB" w:rsidRPr="009E611D" w:rsidTr="00D72E22">
        <w:trPr>
          <w:cantSplit/>
        </w:trPr>
        <w:tc>
          <w:tcPr>
            <w:tcW w:w="1276" w:type="dxa"/>
            <w:vMerge/>
            <w:tcBorders>
              <w:top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118</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14</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329</w:t>
            </w:r>
          </w:p>
        </w:tc>
        <w:tc>
          <w:tcPr>
            <w:tcW w:w="775"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472</w:t>
            </w:r>
          </w:p>
        </w:tc>
        <w:tc>
          <w:tcPr>
            <w:tcW w:w="775"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6A6A6" w:themeColor="background1" w:themeShade="A6"/>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single" w:sz="4" w:space="0" w:color="A6A6A6" w:themeColor="background1" w:themeShade="A6"/>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110%</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left w:val="nil"/>
              <w:bottom w:val="single" w:sz="4" w:space="0" w:color="A6A6A6" w:themeColor="background1" w:themeShade="A6"/>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single" w:sz="4" w:space="0" w:color="A6A6A6" w:themeColor="background1" w:themeShade="A6"/>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68%</w:t>
            </w:r>
          </w:p>
        </w:tc>
      </w:tr>
      <w:tr w:rsidR="00DB1EBA" w:rsidRPr="009E611D" w:rsidTr="00D72E22">
        <w:trPr>
          <w:cantSplit/>
        </w:trPr>
        <w:tc>
          <w:tcPr>
            <w:tcW w:w="1276" w:type="dxa"/>
            <w:vMerge w:val="restart"/>
            <w:tcBorders>
              <w:top w:val="single" w:sz="4" w:space="0" w:color="A6A6A6" w:themeColor="background1" w:themeShade="A6"/>
            </w:tcBorders>
            <w:shd w:val="clear" w:color="auto" w:fill="auto"/>
            <w:noWrap/>
            <w:hideMark/>
          </w:tcPr>
          <w:p w:rsidR="00DB1EBA" w:rsidRPr="009E611D" w:rsidRDefault="00DB1EBA" w:rsidP="00D72E22">
            <w:pPr>
              <w:pStyle w:val="TableText"/>
              <w:keepNext/>
              <w:rPr>
                <w:rFonts w:cs="Arial"/>
                <w:sz w:val="16"/>
                <w:szCs w:val="16"/>
              </w:rPr>
            </w:pPr>
            <w:r w:rsidRPr="009E611D">
              <w:rPr>
                <w:rFonts w:cs="Arial"/>
                <w:sz w:val="16"/>
                <w:szCs w:val="16"/>
              </w:rPr>
              <w:lastRenderedPageBreak/>
              <w:t>Waikato</w:t>
            </w:r>
          </w:p>
        </w:tc>
        <w:tc>
          <w:tcPr>
            <w:tcW w:w="1701" w:type="dxa"/>
            <w:tcBorders>
              <w:top w:val="single" w:sz="4" w:space="0" w:color="A6A6A6" w:themeColor="background1" w:themeShade="A6"/>
              <w:right w:val="single" w:sz="4" w:space="0" w:color="A6A6A6" w:themeColor="background1" w:themeShade="A6"/>
            </w:tcBorders>
            <w:shd w:val="clear" w:color="auto" w:fill="auto"/>
            <w:noWrap/>
            <w:hideMark/>
          </w:tcPr>
          <w:p w:rsidR="00DB1EBA" w:rsidRPr="009E611D" w:rsidRDefault="00DB1EBA" w:rsidP="00D72E22">
            <w:pPr>
              <w:pStyle w:val="TableText"/>
              <w:keepNext/>
              <w:rPr>
                <w:rFonts w:cs="Arial"/>
                <w:sz w:val="16"/>
                <w:szCs w:val="16"/>
              </w:rPr>
            </w:pPr>
            <w:r w:rsidRPr="009E611D">
              <w:rPr>
                <w:rFonts w:cs="Arial"/>
                <w:sz w:val="16"/>
                <w:szCs w:val="16"/>
              </w:rPr>
              <w:t>HPV-1 Quadrivalent</w:t>
            </w:r>
          </w:p>
        </w:tc>
        <w:tc>
          <w:tcPr>
            <w:tcW w:w="774" w:type="dxa"/>
            <w:tcBorders>
              <w:top w:val="single" w:sz="4" w:space="0" w:color="A6A6A6" w:themeColor="background1" w:themeShade="A6"/>
              <w:lef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549</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73</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100</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880</w:t>
            </w:r>
          </w:p>
        </w:tc>
        <w:tc>
          <w:tcPr>
            <w:tcW w:w="775" w:type="dxa"/>
            <w:tcBorders>
              <w:top w:val="single" w:sz="4" w:space="0" w:color="A6A6A6" w:themeColor="background1" w:themeShade="A6"/>
              <w:righ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1602</w:t>
            </w:r>
          </w:p>
        </w:tc>
        <w:tc>
          <w:tcPr>
            <w:tcW w:w="775" w:type="dxa"/>
            <w:tcBorders>
              <w:top w:val="single" w:sz="4" w:space="0" w:color="A6A6A6" w:themeColor="background1" w:themeShade="A6"/>
              <w:lef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790</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90</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140</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1470</w:t>
            </w:r>
          </w:p>
        </w:tc>
        <w:tc>
          <w:tcPr>
            <w:tcW w:w="775" w:type="dxa"/>
            <w:tcBorders>
              <w:top w:val="single" w:sz="4" w:space="0" w:color="A6A6A6" w:themeColor="background1" w:themeShade="A6"/>
              <w:righ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2490</w:t>
            </w:r>
          </w:p>
        </w:tc>
        <w:tc>
          <w:tcPr>
            <w:tcW w:w="775" w:type="dxa"/>
            <w:tcBorders>
              <w:top w:val="single" w:sz="4" w:space="0" w:color="A6A6A6" w:themeColor="background1" w:themeShade="A6"/>
              <w:lef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69%</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81%</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71%</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60%</w:t>
            </w:r>
          </w:p>
        </w:tc>
        <w:tc>
          <w:tcPr>
            <w:tcW w:w="775" w:type="dxa"/>
            <w:tcBorders>
              <w:top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64%</w:t>
            </w:r>
          </w:p>
        </w:tc>
      </w:tr>
      <w:tr w:rsidR="00DB1EBA" w:rsidRPr="009E611D" w:rsidTr="00515CAB">
        <w:trPr>
          <w:cantSplit/>
        </w:trPr>
        <w:tc>
          <w:tcPr>
            <w:tcW w:w="1276" w:type="dxa"/>
            <w:vMerge/>
            <w:shd w:val="clear" w:color="auto" w:fill="auto"/>
            <w:noWrap/>
            <w:hideMark/>
          </w:tcPr>
          <w:p w:rsidR="00DB1EBA" w:rsidRPr="009E611D" w:rsidRDefault="00DB1EBA" w:rsidP="00D72E22">
            <w:pPr>
              <w:pStyle w:val="TableText"/>
              <w:keepN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72E22">
            <w:pPr>
              <w:pStyle w:val="TableText"/>
              <w:keepN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539</w:t>
            </w:r>
          </w:p>
        </w:tc>
        <w:tc>
          <w:tcPr>
            <w:tcW w:w="775" w:type="dxa"/>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71</w:t>
            </w:r>
          </w:p>
        </w:tc>
        <w:tc>
          <w:tcPr>
            <w:tcW w:w="775" w:type="dxa"/>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99</w:t>
            </w:r>
          </w:p>
        </w:tc>
        <w:tc>
          <w:tcPr>
            <w:tcW w:w="775" w:type="dxa"/>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866</w:t>
            </w:r>
          </w:p>
        </w:tc>
        <w:tc>
          <w:tcPr>
            <w:tcW w:w="775" w:type="dxa"/>
            <w:tcBorders>
              <w:righ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510"/>
              </w:tabs>
              <w:rPr>
                <w:rFonts w:cs="Arial"/>
                <w:sz w:val="16"/>
                <w:szCs w:val="16"/>
              </w:rPr>
            </w:pPr>
            <w:r w:rsidRPr="009E611D">
              <w:rPr>
                <w:rFonts w:cs="Arial"/>
                <w:sz w:val="16"/>
                <w:szCs w:val="16"/>
              </w:rPr>
              <w:t>1575</w:t>
            </w:r>
          </w:p>
        </w:tc>
        <w:tc>
          <w:tcPr>
            <w:tcW w:w="775" w:type="dxa"/>
            <w:tcBorders>
              <w:left w:val="single" w:sz="4" w:space="0" w:color="A6A6A6" w:themeColor="background1" w:themeShade="A6"/>
            </w:tcBorders>
            <w:shd w:val="clear" w:color="auto" w:fill="auto"/>
            <w:noWrap/>
          </w:tcPr>
          <w:p w:rsidR="00DB1EBA" w:rsidRPr="009E611D" w:rsidRDefault="00DB1EBA" w:rsidP="00D72E22">
            <w:pPr>
              <w:pStyle w:val="TableText"/>
              <w:keepNext/>
              <w:tabs>
                <w:tab w:val="decimal" w:pos="510"/>
              </w:tabs>
              <w:rPr>
                <w:rFonts w:cs="Arial"/>
                <w:sz w:val="16"/>
                <w:szCs w:val="16"/>
              </w:rPr>
            </w:pPr>
          </w:p>
        </w:tc>
        <w:tc>
          <w:tcPr>
            <w:tcW w:w="775" w:type="dxa"/>
            <w:shd w:val="clear" w:color="auto" w:fill="auto"/>
            <w:noWrap/>
          </w:tcPr>
          <w:p w:rsidR="00DB1EBA" w:rsidRPr="009E611D" w:rsidRDefault="00DB1EBA" w:rsidP="00D72E22">
            <w:pPr>
              <w:pStyle w:val="TableText"/>
              <w:keepNext/>
              <w:tabs>
                <w:tab w:val="decimal" w:pos="510"/>
              </w:tabs>
              <w:rPr>
                <w:rFonts w:cs="Arial"/>
                <w:sz w:val="16"/>
                <w:szCs w:val="16"/>
              </w:rPr>
            </w:pPr>
          </w:p>
        </w:tc>
        <w:tc>
          <w:tcPr>
            <w:tcW w:w="775" w:type="dxa"/>
            <w:shd w:val="clear" w:color="auto" w:fill="auto"/>
            <w:noWrap/>
          </w:tcPr>
          <w:p w:rsidR="00DB1EBA" w:rsidRPr="009E611D" w:rsidRDefault="00DB1EBA" w:rsidP="00D72E22">
            <w:pPr>
              <w:pStyle w:val="TableText"/>
              <w:keepNext/>
              <w:tabs>
                <w:tab w:val="decimal" w:pos="510"/>
              </w:tabs>
              <w:rPr>
                <w:rFonts w:cs="Arial"/>
                <w:sz w:val="16"/>
                <w:szCs w:val="16"/>
              </w:rPr>
            </w:pPr>
          </w:p>
        </w:tc>
        <w:tc>
          <w:tcPr>
            <w:tcW w:w="775" w:type="dxa"/>
            <w:shd w:val="clear" w:color="auto" w:fill="auto"/>
            <w:noWrap/>
          </w:tcPr>
          <w:p w:rsidR="00DB1EBA" w:rsidRPr="009E611D" w:rsidRDefault="00DB1EBA" w:rsidP="00D72E22">
            <w:pPr>
              <w:pStyle w:val="TableText"/>
              <w:keepN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D72E22">
            <w:pPr>
              <w:pStyle w:val="TableText"/>
              <w:keepN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68%</w:t>
            </w:r>
          </w:p>
        </w:tc>
        <w:tc>
          <w:tcPr>
            <w:tcW w:w="775" w:type="dxa"/>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79%</w:t>
            </w:r>
          </w:p>
        </w:tc>
        <w:tc>
          <w:tcPr>
            <w:tcW w:w="775" w:type="dxa"/>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71%</w:t>
            </w:r>
          </w:p>
        </w:tc>
        <w:tc>
          <w:tcPr>
            <w:tcW w:w="775" w:type="dxa"/>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59%</w:t>
            </w:r>
          </w:p>
        </w:tc>
        <w:tc>
          <w:tcPr>
            <w:tcW w:w="775" w:type="dxa"/>
            <w:shd w:val="clear" w:color="auto" w:fill="auto"/>
            <w:noWrap/>
            <w:hideMark/>
          </w:tcPr>
          <w:p w:rsidR="00DB1EBA" w:rsidRPr="009E611D" w:rsidRDefault="00DB1EBA" w:rsidP="00D72E22">
            <w:pPr>
              <w:pStyle w:val="TableText"/>
              <w:keepNext/>
              <w:tabs>
                <w:tab w:val="decimal" w:pos="416"/>
              </w:tabs>
              <w:rPr>
                <w:rFonts w:cs="Arial"/>
                <w:sz w:val="16"/>
                <w:szCs w:val="16"/>
              </w:rPr>
            </w:pPr>
            <w:r w:rsidRPr="009E611D">
              <w:rPr>
                <w:rFonts w:cs="Arial"/>
                <w:sz w:val="16"/>
                <w:szCs w:val="16"/>
              </w:rPr>
              <w:t>63%</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505</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67</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93</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833</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1498</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74%</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66%</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Wairarapa</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123</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181</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220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82%</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124</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178</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83%</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81%</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114</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164</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77%</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76%</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Waitemata</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339</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279</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398</w:t>
            </w:r>
          </w:p>
        </w:tc>
        <w:tc>
          <w:tcPr>
            <w:tcW w:w="775" w:type="dxa"/>
            <w:tcBorders>
              <w:top w:val="nil"/>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1142</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2158</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530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660</w:t>
            </w:r>
          </w:p>
        </w:tc>
        <w:tc>
          <w:tcPr>
            <w:tcW w:w="775" w:type="dxa"/>
            <w:tcBorders>
              <w:top w:val="nil"/>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2020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3580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329</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271</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389</w:t>
            </w:r>
          </w:p>
        </w:tc>
        <w:tc>
          <w:tcPr>
            <w:tcW w:w="775" w:type="dxa"/>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1124</w:t>
            </w:r>
          </w:p>
        </w:tc>
        <w:tc>
          <w:tcPr>
            <w:tcW w:w="775" w:type="dxa"/>
            <w:tcBorders>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2113</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59%</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301</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255</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382</w:t>
            </w:r>
          </w:p>
        </w:tc>
        <w:tc>
          <w:tcPr>
            <w:tcW w:w="775" w:type="dxa"/>
            <w:tcBorders>
              <w:bottom w:val="nil"/>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1071</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2009</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57%</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67%</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58%</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53%</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West Coast</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115</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210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63%</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55%</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99</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114</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62%</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54%</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97</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111</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53%</w:t>
            </w:r>
          </w:p>
        </w:tc>
      </w:tr>
      <w:tr w:rsidR="00DB1EBA" w:rsidRPr="009E611D" w:rsidTr="00515CAB">
        <w:trPr>
          <w:cantSplit/>
        </w:trPr>
        <w:tc>
          <w:tcPr>
            <w:tcW w:w="1276" w:type="dxa"/>
            <w:vMerge w:val="restart"/>
            <w:tcBorders>
              <w:top w:val="nil"/>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Whanganui</w:t>
            </w:r>
          </w:p>
        </w:tc>
        <w:tc>
          <w:tcPr>
            <w:tcW w:w="1701" w:type="dxa"/>
            <w:tcBorders>
              <w:top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128</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167</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313</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5</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tcBorders>
              <w:top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240</w:t>
            </w:r>
          </w:p>
        </w:tc>
        <w:tc>
          <w:tcPr>
            <w:tcW w:w="775" w:type="dxa"/>
            <w:tcBorders>
              <w:top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420</w:t>
            </w:r>
          </w:p>
        </w:tc>
        <w:tc>
          <w:tcPr>
            <w:tcW w:w="775" w:type="dxa"/>
            <w:tcBorders>
              <w:top w:val="nil"/>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200%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70%</w:t>
            </w:r>
          </w:p>
        </w:tc>
        <w:tc>
          <w:tcPr>
            <w:tcW w:w="775" w:type="dxa"/>
            <w:tcBorders>
              <w:top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75%</w:t>
            </w:r>
          </w:p>
        </w:tc>
      </w:tr>
      <w:tr w:rsidR="00DB1EBA" w:rsidRPr="009E611D" w:rsidTr="00515CAB">
        <w:trPr>
          <w:cantSplit/>
        </w:trPr>
        <w:tc>
          <w:tcPr>
            <w:tcW w:w="1276" w:type="dxa"/>
            <w:vMerge/>
            <w:shd w:val="clear" w:color="auto" w:fill="auto"/>
            <w:noWrap/>
            <w:hideMark/>
          </w:tcPr>
          <w:p w:rsidR="00DB1EBA" w:rsidRPr="009E611D" w:rsidRDefault="00DB1EBA" w:rsidP="00DB1EBA">
            <w:pPr>
              <w:pStyle w:val="TableText"/>
              <w:rPr>
                <w:rFonts w:cs="Arial"/>
                <w:sz w:val="16"/>
                <w:szCs w:val="16"/>
              </w:rPr>
            </w:pPr>
          </w:p>
        </w:tc>
        <w:tc>
          <w:tcPr>
            <w:tcW w:w="1701" w:type="dxa"/>
            <w:tcBorders>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lef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120</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10</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166</w:t>
            </w:r>
          </w:p>
        </w:tc>
        <w:tc>
          <w:tcPr>
            <w:tcW w:w="775" w:type="dxa"/>
            <w:tcBorders>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304</w:t>
            </w:r>
          </w:p>
        </w:tc>
        <w:tc>
          <w:tcPr>
            <w:tcW w:w="775" w:type="dxa"/>
            <w:tcBorders>
              <w:lef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200%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72%</w:t>
            </w:r>
          </w:p>
        </w:tc>
      </w:tr>
      <w:tr w:rsidR="00DB1EBA" w:rsidRPr="009E611D" w:rsidTr="00515CAB">
        <w:trPr>
          <w:cantSplit/>
        </w:trPr>
        <w:tc>
          <w:tcPr>
            <w:tcW w:w="1276" w:type="dxa"/>
            <w:vMerge/>
            <w:tcBorders>
              <w:bottom w:val="nil"/>
            </w:tcBorders>
            <w:shd w:val="clear" w:color="auto" w:fill="auto"/>
            <w:noWrap/>
            <w:hideMark/>
          </w:tcPr>
          <w:p w:rsidR="00DB1EBA" w:rsidRPr="009E611D" w:rsidRDefault="00DB1EBA" w:rsidP="00DB1EBA">
            <w:pPr>
              <w:pStyle w:val="TableText"/>
              <w:rPr>
                <w:rFonts w:cs="Arial"/>
                <w:sz w:val="16"/>
                <w:szCs w:val="16"/>
              </w:rPr>
            </w:pPr>
          </w:p>
        </w:tc>
        <w:tc>
          <w:tcPr>
            <w:tcW w:w="1701" w:type="dxa"/>
            <w:tcBorders>
              <w:bottom w:val="nil"/>
              <w:right w:val="single" w:sz="4" w:space="0" w:color="A6A6A6" w:themeColor="background1" w:themeShade="A6"/>
            </w:tcBorders>
            <w:shd w:val="clear" w:color="auto" w:fill="auto"/>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left w:val="single" w:sz="4" w:space="0" w:color="A6A6A6" w:themeColor="background1" w:themeShade="A6"/>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110</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9</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8</w:t>
            </w:r>
          </w:p>
        </w:tc>
        <w:tc>
          <w:tcPr>
            <w:tcW w:w="775" w:type="dxa"/>
            <w:tcBorders>
              <w:bottom w:val="nil"/>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154</w:t>
            </w:r>
          </w:p>
        </w:tc>
        <w:tc>
          <w:tcPr>
            <w:tcW w:w="775" w:type="dxa"/>
            <w:tcBorders>
              <w:bottom w:val="nil"/>
              <w:right w:val="single" w:sz="4" w:space="0" w:color="A6A6A6" w:themeColor="background1" w:themeShade="A6"/>
            </w:tcBorders>
            <w:shd w:val="clear" w:color="auto" w:fill="auto"/>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281</w:t>
            </w:r>
          </w:p>
        </w:tc>
        <w:tc>
          <w:tcPr>
            <w:tcW w:w="775" w:type="dxa"/>
            <w:tcBorders>
              <w:left w:val="single" w:sz="4" w:space="0" w:color="A6A6A6" w:themeColor="background1" w:themeShade="A6"/>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bottom w:val="nil"/>
              <w:right w:val="single" w:sz="4" w:space="0" w:color="A6A6A6" w:themeColor="background1" w:themeShade="A6"/>
            </w:tcBorders>
            <w:shd w:val="clear" w:color="auto" w:fill="auto"/>
            <w:noWrap/>
          </w:tcPr>
          <w:p w:rsidR="00DB1EBA" w:rsidRPr="009E611D" w:rsidRDefault="00DB1EBA" w:rsidP="00515CAB">
            <w:pPr>
              <w:pStyle w:val="TableText"/>
              <w:tabs>
                <w:tab w:val="decimal" w:pos="510"/>
              </w:tabs>
              <w:rPr>
                <w:rFonts w:cs="Arial"/>
                <w:sz w:val="16"/>
                <w:szCs w:val="16"/>
              </w:rPr>
            </w:pPr>
          </w:p>
        </w:tc>
        <w:tc>
          <w:tcPr>
            <w:tcW w:w="775" w:type="dxa"/>
            <w:tcBorders>
              <w:left w:val="single" w:sz="4" w:space="0" w:color="A6A6A6" w:themeColor="background1" w:themeShade="A6"/>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180%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c>
          <w:tcPr>
            <w:tcW w:w="775" w:type="dxa"/>
            <w:tcBorders>
              <w:bottom w:val="nil"/>
            </w:tcBorders>
            <w:shd w:val="clear" w:color="auto" w:fill="auto"/>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67%</w:t>
            </w:r>
          </w:p>
        </w:tc>
      </w:tr>
      <w:tr w:rsidR="00515CAB" w:rsidRPr="009E611D" w:rsidTr="00515CAB">
        <w:trPr>
          <w:cantSplit/>
        </w:trPr>
        <w:tc>
          <w:tcPr>
            <w:tcW w:w="1276" w:type="dxa"/>
            <w:vMerge w:val="restart"/>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Total</w:t>
            </w: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HPV-1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4883</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2256</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1932</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9609</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18,680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6860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2830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2800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15,780</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28,240</w:t>
            </w: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71%</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80%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61%</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66%</w:t>
            </w:r>
          </w:p>
        </w:tc>
      </w:tr>
      <w:tr w:rsidR="00515CAB" w:rsidRPr="009E611D" w:rsidTr="00515CAB">
        <w:trPr>
          <w:cantSplit/>
        </w:trPr>
        <w:tc>
          <w:tcPr>
            <w:tcW w:w="1276" w:type="dxa"/>
            <w:vMerge/>
            <w:tcBorders>
              <w:top w:val="nil"/>
              <w:bottom w:val="nil"/>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HPV-2 Quadrivalent</w:t>
            </w:r>
          </w:p>
        </w:tc>
        <w:tc>
          <w:tcPr>
            <w:tcW w:w="774"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4750</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2219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1925</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9346</w:t>
            </w:r>
          </w:p>
        </w:tc>
        <w:tc>
          <w:tcPr>
            <w:tcW w:w="775" w:type="dxa"/>
            <w:tcBorders>
              <w:top w:val="nil"/>
              <w:left w:val="nil"/>
              <w:bottom w:val="nil"/>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18,240</w:t>
            </w:r>
          </w:p>
        </w:tc>
        <w:tc>
          <w:tcPr>
            <w:tcW w:w="775" w:type="dxa"/>
            <w:tcBorders>
              <w:top w:val="nil"/>
              <w:left w:val="single" w:sz="4" w:space="0" w:color="A6A6A6" w:themeColor="background1" w:themeShade="A6"/>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nil"/>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78%</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69%</w:t>
            </w:r>
          </w:p>
        </w:tc>
        <w:tc>
          <w:tcPr>
            <w:tcW w:w="775" w:type="dxa"/>
            <w:tcBorders>
              <w:top w:val="nil"/>
              <w:left w:val="nil"/>
              <w:bottom w:val="nil"/>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59%</w:t>
            </w:r>
          </w:p>
        </w:tc>
        <w:tc>
          <w:tcPr>
            <w:tcW w:w="775" w:type="dxa"/>
            <w:tcBorders>
              <w:top w:val="nil"/>
              <w:left w:val="nil"/>
              <w:bottom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65%</w:t>
            </w:r>
          </w:p>
        </w:tc>
      </w:tr>
      <w:tr w:rsidR="00515CAB" w:rsidRPr="009E611D" w:rsidTr="00515CAB">
        <w:trPr>
          <w:cantSplit/>
        </w:trPr>
        <w:tc>
          <w:tcPr>
            <w:tcW w:w="1276" w:type="dxa"/>
            <w:vMerge/>
            <w:tcBorders>
              <w:top w:val="nil"/>
              <w:bottom w:val="single" w:sz="4" w:space="0" w:color="auto"/>
              <w:right w:val="nil"/>
            </w:tcBorders>
            <w:shd w:val="clear" w:color="auto" w:fill="F2F2F2" w:themeFill="background1" w:themeFillShade="F2"/>
            <w:noWrap/>
            <w:hideMark/>
          </w:tcPr>
          <w:p w:rsidR="00DB1EBA" w:rsidRPr="009E611D" w:rsidRDefault="00DB1EBA" w:rsidP="00DB1EBA">
            <w:pPr>
              <w:pStyle w:val="TableText"/>
              <w:rPr>
                <w:rFonts w:cs="Arial"/>
                <w:sz w:val="16"/>
                <w:szCs w:val="16"/>
              </w:rPr>
            </w:pPr>
          </w:p>
        </w:tc>
        <w:tc>
          <w:tcPr>
            <w:tcW w:w="1701" w:type="dxa"/>
            <w:tcBorders>
              <w:top w:val="nil"/>
              <w:left w:val="nil"/>
              <w:bottom w:val="single" w:sz="4" w:space="0" w:color="auto"/>
              <w:right w:val="single" w:sz="4" w:space="0" w:color="A6A6A6" w:themeColor="background1" w:themeShade="A6"/>
            </w:tcBorders>
            <w:shd w:val="clear" w:color="auto" w:fill="F2F2F2" w:themeFill="background1" w:themeFillShade="F2"/>
            <w:noWrap/>
            <w:hideMark/>
          </w:tcPr>
          <w:p w:rsidR="00DB1EBA" w:rsidRPr="009E611D" w:rsidRDefault="00DB1EBA" w:rsidP="00DB1EBA">
            <w:pPr>
              <w:pStyle w:val="TableText"/>
              <w:rPr>
                <w:rFonts w:cs="Arial"/>
                <w:sz w:val="16"/>
                <w:szCs w:val="16"/>
              </w:rPr>
            </w:pPr>
            <w:r w:rsidRPr="009E611D">
              <w:rPr>
                <w:rFonts w:cs="Arial"/>
                <w:sz w:val="16"/>
                <w:szCs w:val="16"/>
              </w:rPr>
              <w:t>HPV-3 Quadrivalent</w:t>
            </w:r>
          </w:p>
        </w:tc>
        <w:tc>
          <w:tcPr>
            <w:tcW w:w="774" w:type="dxa"/>
            <w:tcBorders>
              <w:top w:val="nil"/>
              <w:left w:val="single" w:sz="4" w:space="0" w:color="A6A6A6" w:themeColor="background1" w:themeShade="A6"/>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4368</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2064</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1836</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510"/>
              </w:tabs>
              <w:rPr>
                <w:rFonts w:cs="Arial"/>
                <w:sz w:val="16"/>
                <w:szCs w:val="16"/>
              </w:rPr>
            </w:pPr>
            <w:r w:rsidRPr="009E611D">
              <w:rPr>
                <w:rFonts w:cs="Arial"/>
                <w:sz w:val="16"/>
                <w:szCs w:val="16"/>
              </w:rPr>
              <w:t>8763</w:t>
            </w:r>
          </w:p>
        </w:tc>
        <w:tc>
          <w:tcPr>
            <w:tcW w:w="775" w:type="dxa"/>
            <w:tcBorders>
              <w:top w:val="nil"/>
              <w:left w:val="nil"/>
              <w:bottom w:val="single" w:sz="4" w:space="0" w:color="auto"/>
              <w:right w:val="single" w:sz="4" w:space="0" w:color="A6A6A6" w:themeColor="background1" w:themeShade="A6"/>
            </w:tcBorders>
            <w:shd w:val="clear" w:color="auto" w:fill="F2F2F2" w:themeFill="background1" w:themeFillShade="F2"/>
            <w:noWrap/>
            <w:hideMark/>
          </w:tcPr>
          <w:p w:rsidR="00DB1EBA" w:rsidRPr="009E611D" w:rsidRDefault="00DB1EBA" w:rsidP="00515CAB">
            <w:pPr>
              <w:pStyle w:val="TableText"/>
              <w:tabs>
                <w:tab w:val="decimal" w:pos="510"/>
              </w:tabs>
              <w:rPr>
                <w:rFonts w:cs="Arial"/>
                <w:sz w:val="16"/>
                <w:szCs w:val="16"/>
              </w:rPr>
            </w:pPr>
            <w:r w:rsidRPr="009E611D">
              <w:rPr>
                <w:rFonts w:cs="Arial"/>
                <w:sz w:val="16"/>
                <w:szCs w:val="16"/>
              </w:rPr>
              <w:t>17,031</w:t>
            </w:r>
          </w:p>
        </w:tc>
        <w:tc>
          <w:tcPr>
            <w:tcW w:w="775" w:type="dxa"/>
            <w:tcBorders>
              <w:top w:val="nil"/>
              <w:left w:val="single" w:sz="4" w:space="0" w:color="A6A6A6" w:themeColor="background1" w:themeShade="A6"/>
              <w:bottom w:val="single" w:sz="4" w:space="0" w:color="auto"/>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uto"/>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uto"/>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uto"/>
              <w:right w:val="nil"/>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nil"/>
              <w:bottom w:val="single" w:sz="4" w:space="0" w:color="auto"/>
              <w:right w:val="single" w:sz="4" w:space="0" w:color="A6A6A6" w:themeColor="background1" w:themeShade="A6"/>
            </w:tcBorders>
            <w:shd w:val="clear" w:color="auto" w:fill="F2F2F2" w:themeFill="background1" w:themeFillShade="F2"/>
            <w:noWrap/>
          </w:tcPr>
          <w:p w:rsidR="00DB1EBA" w:rsidRPr="009E611D" w:rsidRDefault="00DB1EBA" w:rsidP="00515CAB">
            <w:pPr>
              <w:pStyle w:val="TableText"/>
              <w:tabs>
                <w:tab w:val="decimal" w:pos="510"/>
              </w:tabs>
              <w:rPr>
                <w:rFonts w:cs="Arial"/>
                <w:sz w:val="16"/>
                <w:szCs w:val="16"/>
              </w:rPr>
            </w:pPr>
          </w:p>
        </w:tc>
        <w:tc>
          <w:tcPr>
            <w:tcW w:w="775" w:type="dxa"/>
            <w:tcBorders>
              <w:top w:val="nil"/>
              <w:left w:val="single" w:sz="4" w:space="0" w:color="A6A6A6" w:themeColor="background1" w:themeShade="A6"/>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64%</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73%</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66%</w:t>
            </w:r>
          </w:p>
        </w:tc>
        <w:tc>
          <w:tcPr>
            <w:tcW w:w="775" w:type="dxa"/>
            <w:tcBorders>
              <w:top w:val="nil"/>
              <w:left w:val="nil"/>
              <w:bottom w:val="single" w:sz="4" w:space="0" w:color="auto"/>
              <w:right w:val="nil"/>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56%</w:t>
            </w:r>
          </w:p>
        </w:tc>
        <w:tc>
          <w:tcPr>
            <w:tcW w:w="775" w:type="dxa"/>
            <w:tcBorders>
              <w:top w:val="nil"/>
              <w:left w:val="nil"/>
              <w:bottom w:val="single" w:sz="4" w:space="0" w:color="auto"/>
            </w:tcBorders>
            <w:shd w:val="clear" w:color="auto" w:fill="F2F2F2" w:themeFill="background1" w:themeFillShade="F2"/>
            <w:noWrap/>
            <w:hideMark/>
          </w:tcPr>
          <w:p w:rsidR="00DB1EBA" w:rsidRPr="009E611D" w:rsidRDefault="00DB1EBA" w:rsidP="00D72E22">
            <w:pPr>
              <w:pStyle w:val="TableText"/>
              <w:tabs>
                <w:tab w:val="decimal" w:pos="416"/>
              </w:tabs>
              <w:rPr>
                <w:rFonts w:cs="Arial"/>
                <w:sz w:val="16"/>
                <w:szCs w:val="16"/>
              </w:rPr>
            </w:pPr>
            <w:r w:rsidRPr="009E611D">
              <w:rPr>
                <w:rFonts w:cs="Arial"/>
                <w:sz w:val="16"/>
                <w:szCs w:val="16"/>
              </w:rPr>
              <w:t>60%</w:t>
            </w:r>
          </w:p>
        </w:tc>
      </w:tr>
    </w:tbl>
    <w:p w:rsidR="00AC2959" w:rsidRPr="009E611D" w:rsidRDefault="00AC2959" w:rsidP="00AC2959"/>
    <w:p w:rsidR="00C43B28" w:rsidRPr="009E611D" w:rsidRDefault="00C43B28" w:rsidP="00C43B28">
      <w:pPr>
        <w:rPr>
          <w:lang w:eastAsia="en-NZ"/>
        </w:rPr>
      </w:pPr>
    </w:p>
    <w:p w:rsidR="00D72E22" w:rsidRPr="009E611D" w:rsidRDefault="00D72E22" w:rsidP="00AC2959"/>
    <w:sectPr w:rsidR="00D72E22" w:rsidRPr="009E611D" w:rsidSect="00E440AE">
      <w:footerReference w:type="even" r:id="rId28"/>
      <w:footerReference w:type="default" r:id="rId29"/>
      <w:pgSz w:w="16834" w:h="11907" w:orient="landscape" w:code="9"/>
      <w:pgMar w:top="1134" w:right="1134" w:bottom="1134" w:left="1134" w:header="284" w:footer="567"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392D4D" w15:done="0"/>
  <w15:commentEx w15:paraId="2A8BAC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74" w:rsidRDefault="002A4974">
      <w:pPr>
        <w:spacing w:line="240" w:lineRule="auto"/>
      </w:pPr>
      <w:r>
        <w:separator/>
      </w:r>
    </w:p>
  </w:endnote>
  <w:endnote w:type="continuationSeparator" w:id="0">
    <w:p w:rsidR="002A4974" w:rsidRDefault="002A4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Pr="003648EF" w:rsidRDefault="009E7494"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Pr="00275D08" w:rsidRDefault="009E749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National HPV Immunisation Programme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533B90">
    <w:pPr>
      <w:pStyle w:val="RectoFooter"/>
    </w:pPr>
    <w:r>
      <w:tab/>
      <w:t>Revitalising the National HPV Immunisation Programme</w:t>
    </w:r>
    <w:r>
      <w:tab/>
    </w:r>
    <w:r>
      <w:rPr>
        <w:rStyle w:val="PageNumber"/>
      </w:rPr>
      <w:fldChar w:fldCharType="begin"/>
    </w:r>
    <w:r>
      <w:rPr>
        <w:rStyle w:val="PageNumber"/>
      </w:rPr>
      <w:instrText xml:space="preserve"> PAGE </w:instrText>
    </w:r>
    <w:r>
      <w:rPr>
        <w:rStyle w:val="PageNumber"/>
      </w:rPr>
      <w:fldChar w:fldCharType="separate"/>
    </w:r>
    <w:r w:rsidR="00E0324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Pr="00275D08" w:rsidRDefault="009E749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03247">
      <w:rPr>
        <w:rStyle w:val="PageNumber"/>
        <w:noProof/>
      </w:rPr>
      <w:t>10</w:t>
    </w:r>
    <w:r w:rsidRPr="00FC46E7">
      <w:rPr>
        <w:rStyle w:val="PageNumber"/>
      </w:rPr>
      <w:fldChar w:fldCharType="end"/>
    </w:r>
    <w:r>
      <w:tab/>
      <w:t>Revitalising the National HPV Immunisation Programme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CA0E86">
    <w:pPr>
      <w:pStyle w:val="RectoFooter"/>
      <w:tabs>
        <w:tab w:val="clear" w:pos="9356"/>
        <w:tab w:val="right" w:pos="9355"/>
      </w:tabs>
    </w:pPr>
    <w:r>
      <w:tab/>
      <w:t>Revitalising the National HPV Immunisation Programme</w:t>
    </w:r>
    <w:r>
      <w:tab/>
    </w:r>
    <w:r>
      <w:rPr>
        <w:rStyle w:val="PageNumber"/>
      </w:rPr>
      <w:fldChar w:fldCharType="begin"/>
    </w:r>
    <w:r>
      <w:rPr>
        <w:rStyle w:val="PageNumber"/>
      </w:rPr>
      <w:instrText xml:space="preserve"> PAGE </w:instrText>
    </w:r>
    <w:r>
      <w:rPr>
        <w:rStyle w:val="PageNumber"/>
      </w:rPr>
      <w:fldChar w:fldCharType="separate"/>
    </w:r>
    <w:r w:rsidR="00E03247">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Pr="00275D08" w:rsidRDefault="009E749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E03247">
      <w:rPr>
        <w:rStyle w:val="PageNumber"/>
        <w:noProof/>
      </w:rPr>
      <w:t>14</w:t>
    </w:r>
    <w:r w:rsidRPr="00FC46E7">
      <w:rPr>
        <w:rStyle w:val="PageNumber"/>
      </w:rPr>
      <w:fldChar w:fldCharType="end"/>
    </w:r>
    <w:r>
      <w:tab/>
      <w:t>Revitalising the National HPV Immunisation Programme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E440AE">
    <w:pPr>
      <w:pStyle w:val="RectoFooter"/>
      <w:tabs>
        <w:tab w:val="clear" w:pos="8647"/>
        <w:tab w:val="clear" w:pos="9356"/>
        <w:tab w:val="right" w:pos="13892"/>
        <w:tab w:val="right" w:pos="14601"/>
      </w:tabs>
    </w:pPr>
    <w:r>
      <w:tab/>
      <w:t>Revitalising the National HPV Immunisation Programme</w:t>
    </w:r>
    <w:r>
      <w:tab/>
    </w:r>
    <w:r>
      <w:rPr>
        <w:rStyle w:val="PageNumber"/>
      </w:rPr>
      <w:fldChar w:fldCharType="begin"/>
    </w:r>
    <w:r>
      <w:rPr>
        <w:rStyle w:val="PageNumber"/>
      </w:rPr>
      <w:instrText xml:space="preserve"> PAGE </w:instrText>
    </w:r>
    <w:r>
      <w:rPr>
        <w:rStyle w:val="PageNumber"/>
      </w:rPr>
      <w:fldChar w:fldCharType="separate"/>
    </w:r>
    <w:r w:rsidR="00E03247">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74" w:rsidRPr="00E460B6" w:rsidRDefault="002A4974" w:rsidP="007B4D3E"/>
  </w:footnote>
  <w:footnote w:type="continuationSeparator" w:id="0">
    <w:p w:rsidR="002A4974" w:rsidRDefault="002A4974">
      <w:pPr>
        <w:spacing w:line="240" w:lineRule="auto"/>
      </w:pPr>
      <w:r>
        <w:continuationSeparator/>
      </w:r>
    </w:p>
  </w:footnote>
  <w:footnote w:id="1">
    <w:p w:rsidR="009E7494" w:rsidRDefault="009E7494" w:rsidP="00AC2959">
      <w:pPr>
        <w:pStyle w:val="FootnoteText"/>
      </w:pPr>
      <w:r w:rsidRPr="00AC2959">
        <w:rPr>
          <w:rStyle w:val="FootnoteReference"/>
        </w:rPr>
        <w:footnoteRef/>
      </w:r>
      <w:r>
        <w:tab/>
      </w:r>
      <w:r w:rsidRPr="00A517A9">
        <w:rPr>
          <w:rStyle w:val="FootnoteReference"/>
          <w:szCs w:val="18"/>
          <w:vertAlign w:val="baseline"/>
        </w:rPr>
        <w:t xml:space="preserve">The </w:t>
      </w:r>
      <w:hyperlink r:id="rId1" w:history="1">
        <w:r w:rsidRPr="00A517A9">
          <w:rPr>
            <w:rStyle w:val="FootnoteReference"/>
            <w:szCs w:val="18"/>
            <w:vertAlign w:val="baseline"/>
          </w:rPr>
          <w:t>World Health Organization</w:t>
        </w:r>
      </w:hyperlink>
      <w:r w:rsidRPr="00A517A9">
        <w:rPr>
          <w:rStyle w:val="FootnoteReference"/>
          <w:szCs w:val="18"/>
          <w:vertAlign w:val="baseline"/>
        </w:rPr>
        <w:t xml:space="preserve"> is a specialised agency of the United Nations that is concerned with international public health.</w:t>
      </w:r>
    </w:p>
  </w:footnote>
  <w:footnote w:id="2">
    <w:p w:rsidR="009E7494" w:rsidRPr="00A517A9" w:rsidRDefault="009E7494" w:rsidP="001C4C96">
      <w:pPr>
        <w:pStyle w:val="FootnoteText"/>
        <w:rPr>
          <w:szCs w:val="18"/>
        </w:rPr>
      </w:pPr>
      <w:r w:rsidRPr="00A642F6">
        <w:rPr>
          <w:rStyle w:val="FootnoteReference"/>
        </w:rPr>
        <w:footnoteRef/>
      </w:r>
      <w:r>
        <w:rPr>
          <w:lang w:eastAsia="en-NZ"/>
        </w:rPr>
        <w:tab/>
      </w:r>
      <w:r w:rsidRPr="00A517A9">
        <w:rPr>
          <w:rStyle w:val="FootnoteReference"/>
          <w:szCs w:val="18"/>
          <w:vertAlign w:val="baseline"/>
        </w:rPr>
        <w:t>Herd immunity refers to a level of immunity within the population that is sufficient to protect both immunised and unimmunised people.</w:t>
      </w:r>
    </w:p>
  </w:footnote>
  <w:footnote w:id="3">
    <w:p w:rsidR="009E7494" w:rsidRDefault="009E7494" w:rsidP="00A517A9">
      <w:pPr>
        <w:pStyle w:val="FootnoteText"/>
        <w:spacing w:before="0" w:line="240" w:lineRule="auto"/>
      </w:pPr>
      <w:r w:rsidRPr="00A642F6">
        <w:rPr>
          <w:rStyle w:val="FootnoteReference"/>
        </w:rPr>
        <w:footnoteRef/>
      </w:r>
      <w:r>
        <w:tab/>
      </w:r>
      <w:r w:rsidRPr="00A517A9">
        <w:rPr>
          <w:rStyle w:val="FootnoteReference"/>
          <w:szCs w:val="18"/>
          <w:vertAlign w:val="baseline"/>
        </w:rPr>
        <w:t>PHARMAC is the New Zealand Crown agency that decides, on behalf of DHBs, which medicines (including vaccines) and related products to subsidise for use in the community and public hospitals.</w:t>
      </w:r>
    </w:p>
  </w:footnote>
  <w:footnote w:id="4">
    <w:p w:rsidR="009E7494" w:rsidRPr="00AC2959" w:rsidRDefault="009E7494" w:rsidP="00A642F6">
      <w:pPr>
        <w:pStyle w:val="FootnoteText"/>
      </w:pPr>
      <w:r w:rsidRPr="00A642F6">
        <w:rPr>
          <w:rStyle w:val="FootnoteReference"/>
        </w:rPr>
        <w:footnoteRef/>
      </w:r>
      <w:r>
        <w:tab/>
      </w:r>
      <w:r w:rsidRPr="00A517A9">
        <w:rPr>
          <w:rStyle w:val="FootnoteReference"/>
          <w:szCs w:val="18"/>
          <w:vertAlign w:val="baseline"/>
        </w:rPr>
        <w:t>From 1 January 2015, DHBs are aiming at a 65 percent fully immunised dose three target.</w:t>
      </w:r>
    </w:p>
  </w:footnote>
  <w:footnote w:id="5">
    <w:p w:rsidR="009E7494" w:rsidRDefault="009E7494" w:rsidP="00C470D3">
      <w:pPr>
        <w:pStyle w:val="FootnoteText"/>
      </w:pPr>
      <w:r w:rsidRPr="00C470D3">
        <w:rPr>
          <w:rStyle w:val="FootnoteReference"/>
        </w:rPr>
        <w:footnoteRef/>
      </w:r>
      <w:r>
        <w:tab/>
      </w:r>
      <w:r w:rsidRPr="00A07D35">
        <w:t>Cormack D, Purdie G</w:t>
      </w:r>
      <w:r>
        <w:t>,</w:t>
      </w:r>
      <w:r w:rsidRPr="00A07D35">
        <w:t xml:space="preserve"> Robson B. 2007. Cancer. In: Robson B</w:t>
      </w:r>
      <w:r>
        <w:t>,</w:t>
      </w:r>
      <w:r w:rsidRPr="00A07D35">
        <w:t xml:space="preserve"> Harris R. (</w:t>
      </w:r>
      <w:proofErr w:type="spellStart"/>
      <w:proofErr w:type="gramStart"/>
      <w:r w:rsidRPr="00A07D35">
        <w:t>eds</w:t>
      </w:r>
      <w:proofErr w:type="spellEnd"/>
      <w:proofErr w:type="gramEnd"/>
      <w:r w:rsidRPr="00A07D35">
        <w:t xml:space="preserve">). </w:t>
      </w:r>
      <w:r w:rsidRPr="00AC2959">
        <w:rPr>
          <w:i/>
        </w:rPr>
        <w:t>Hauora</w:t>
      </w:r>
      <w:r>
        <w:rPr>
          <w:i/>
        </w:rPr>
        <w:t>:</w:t>
      </w:r>
      <w:r w:rsidRPr="00AC2959">
        <w:rPr>
          <w:i/>
        </w:rPr>
        <w:t xml:space="preserve"> Māori Standards of Health IV: A study of the years 2000</w:t>
      </w:r>
      <w:r>
        <w:rPr>
          <w:i/>
        </w:rPr>
        <w:t>–</w:t>
      </w:r>
      <w:r w:rsidRPr="00AC2959">
        <w:rPr>
          <w:i/>
        </w:rPr>
        <w:t>2005</w:t>
      </w:r>
      <w:r w:rsidRPr="00A07D35">
        <w:t xml:space="preserve">. Wellington: </w:t>
      </w:r>
      <w:proofErr w:type="spellStart"/>
      <w:r w:rsidRPr="00A07D35">
        <w:t>Te</w:t>
      </w:r>
      <w:proofErr w:type="spellEnd"/>
      <w:r w:rsidRPr="00A07D35">
        <w:t xml:space="preserve"> </w:t>
      </w:r>
      <w:proofErr w:type="spellStart"/>
      <w:r w:rsidRPr="00A07D35">
        <w:t>R</w:t>
      </w:r>
      <w:r w:rsidRPr="000D57E9">
        <w:t>ōpū</w:t>
      </w:r>
      <w:proofErr w:type="spellEnd"/>
      <w:r w:rsidRPr="00A07D35">
        <w:t xml:space="preserve"> </w:t>
      </w:r>
      <w:proofErr w:type="spellStart"/>
      <w:r w:rsidRPr="00A07D35">
        <w:t>Rangahau</w:t>
      </w:r>
      <w:proofErr w:type="spellEnd"/>
      <w:r w:rsidRPr="00A07D35">
        <w:t xml:space="preserve"> </w:t>
      </w:r>
      <w:proofErr w:type="spellStart"/>
      <w:r w:rsidRPr="00A07D35">
        <w:t>Hauora</w:t>
      </w:r>
      <w:proofErr w:type="spellEnd"/>
      <w:r w:rsidRPr="00A07D35">
        <w:t xml:space="preserve"> </w:t>
      </w:r>
      <w:proofErr w:type="gramStart"/>
      <w:r w:rsidRPr="00A07D35">
        <w:t>a</w:t>
      </w:r>
      <w:proofErr w:type="gramEnd"/>
      <w:r w:rsidRPr="00A07D35">
        <w:t xml:space="preserve"> </w:t>
      </w:r>
      <w:proofErr w:type="spellStart"/>
      <w:r w:rsidRPr="00A07D35">
        <w:t>Eru</w:t>
      </w:r>
      <w:proofErr w:type="spellEnd"/>
      <w:r w:rsidRPr="00A07D35">
        <w:t xml:space="preserve"> </w:t>
      </w:r>
      <w:proofErr w:type="spellStart"/>
      <w:r w:rsidRPr="00A07D35">
        <w:t>P</w:t>
      </w:r>
      <w:r w:rsidRPr="000D57E9">
        <w:t>ō</w:t>
      </w:r>
      <w:r w:rsidRPr="00A07D35">
        <w:t>mare</w:t>
      </w:r>
      <w:proofErr w:type="spellEnd"/>
      <w:r w:rsidRPr="00A07D35">
        <w:t>.</w:t>
      </w:r>
    </w:p>
  </w:footnote>
  <w:footnote w:id="6">
    <w:p w:rsidR="009E7494" w:rsidRPr="009E7494" w:rsidRDefault="009E7494" w:rsidP="00A2542C">
      <w:pPr>
        <w:pStyle w:val="FootnoteText"/>
      </w:pPr>
      <w:r>
        <w:rPr>
          <w:rStyle w:val="FootnoteReference"/>
        </w:rPr>
        <w:footnoteRef/>
      </w:r>
      <w:r w:rsidR="00A2542C">
        <w:tab/>
      </w:r>
      <w:proofErr w:type="gramStart"/>
      <w:r>
        <w:t xml:space="preserve">Blakely T, </w:t>
      </w:r>
      <w:proofErr w:type="spellStart"/>
      <w:r>
        <w:t>Kvizhinadze</w:t>
      </w:r>
      <w:proofErr w:type="spellEnd"/>
      <w:r>
        <w:t xml:space="preserve"> G, </w:t>
      </w:r>
      <w:proofErr w:type="spellStart"/>
      <w:r>
        <w:t>Karvonen</w:t>
      </w:r>
      <w:proofErr w:type="spellEnd"/>
      <w:r>
        <w:t xml:space="preserve"> T, et al. 2014.</w:t>
      </w:r>
      <w:proofErr w:type="gramEnd"/>
      <w:r>
        <w:t xml:space="preserve"> </w:t>
      </w:r>
      <w:proofErr w:type="gramStart"/>
      <w:r w:rsidRPr="00A2542C">
        <w:t>Cost-effectiveness and equity impacts of three HPV vaccination programmes for school-aged girls in New Zealand.</w:t>
      </w:r>
      <w:proofErr w:type="gramEnd"/>
      <w:r>
        <w:rPr>
          <w:i/>
        </w:rPr>
        <w:t xml:space="preserve"> </w:t>
      </w:r>
      <w:r w:rsidR="00F548C0" w:rsidRPr="00A2542C">
        <w:rPr>
          <w:i/>
        </w:rPr>
        <w:t xml:space="preserve">Vaccine </w:t>
      </w:r>
      <w:r w:rsidR="00F548C0" w:rsidRPr="00A2542C">
        <w:t>2014,</w:t>
      </w:r>
      <w:r>
        <w:t xml:space="preserve"> 32: 2645</w:t>
      </w:r>
      <w:r w:rsidR="00A2542C">
        <w:t>–</w:t>
      </w:r>
      <w:r>
        <w:t xml:space="preserve">56. URL: </w:t>
      </w:r>
      <w:hyperlink r:id="rId2" w:history="1">
        <w:r w:rsidR="00A2542C" w:rsidRPr="00572CF2">
          <w:rPr>
            <w:rStyle w:val="Hyperlink"/>
          </w:rPr>
          <w:t>www.otago.ac.nz/wellington/otago068857.pdf</w:t>
        </w:r>
      </w:hyperlink>
      <w:r w:rsidR="001D0443">
        <w:t>.</w:t>
      </w:r>
    </w:p>
  </w:footnote>
  <w:footnote w:id="7">
    <w:p w:rsidR="009E7494" w:rsidRPr="00EF0F75" w:rsidRDefault="009E7494">
      <w:pPr>
        <w:pStyle w:val="FootnoteText"/>
      </w:pPr>
      <w:r>
        <w:rPr>
          <w:rStyle w:val="FootnoteReference"/>
        </w:rPr>
        <w:footnoteRef/>
      </w:r>
      <w:r>
        <w:t xml:space="preserve"> </w:t>
      </w:r>
      <w:r w:rsidR="00A2542C">
        <w:tab/>
      </w:r>
      <w:r>
        <w:t xml:space="preserve">Pearson A, </w:t>
      </w:r>
      <w:proofErr w:type="spellStart"/>
      <w:r>
        <w:t>Kvizhinadze</w:t>
      </w:r>
      <w:proofErr w:type="spellEnd"/>
      <w:r>
        <w:t xml:space="preserve"> G, Wilson N, et al. 2014. </w:t>
      </w:r>
      <w:proofErr w:type="gramStart"/>
      <w:r w:rsidRPr="00A2542C">
        <w:t>Is expanding HPV vaccination programs to include school-aged boys likely to be value-for-money: a cost-utility analysis in a country with an existing school-girl program</w:t>
      </w:r>
      <w:r w:rsidR="00A2542C">
        <w:t>.</w:t>
      </w:r>
      <w:proofErr w:type="gramEnd"/>
      <w:r>
        <w:rPr>
          <w:i/>
        </w:rPr>
        <w:t xml:space="preserve"> </w:t>
      </w:r>
      <w:r w:rsidRPr="00A2542C">
        <w:rPr>
          <w:i/>
        </w:rPr>
        <w:t xml:space="preserve">BMC Infections Diseases </w:t>
      </w:r>
      <w:r w:rsidRPr="00A2542C">
        <w:t xml:space="preserve">2014, </w:t>
      </w:r>
      <w:r>
        <w:t xml:space="preserve">14:351. URL: </w:t>
      </w:r>
      <w:hyperlink r:id="rId3" w:history="1">
        <w:r w:rsidR="00A2542C" w:rsidRPr="00572CF2">
          <w:rPr>
            <w:rStyle w:val="Hyperlink"/>
          </w:rPr>
          <w:t>www.biomedcentral.com/content/pdf/1471-2334-14-351.pdf</w:t>
        </w:r>
      </w:hyperlink>
      <w:r w:rsidR="00A2542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D25FFE">
    <w:pPr>
      <w:pStyle w:val="Header"/>
      <w:ind w:left="-1559"/>
    </w:pPr>
    <w:r>
      <w:rPr>
        <w:noProof/>
        <w:lang w:eastAsia="ja-JP"/>
      </w:rPr>
      <w:drawing>
        <wp:inline distT="0" distB="0" distL="0" distR="0" wp14:anchorId="7E500BC2" wp14:editId="5FE00610">
          <wp:extent cx="6409055" cy="607060"/>
          <wp:effectExtent l="0" t="0" r="0" b="2540"/>
          <wp:docPr id="5" name="Picture 5"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4" w:rsidRDefault="009E7494" w:rsidP="003A26A5">
    <w:pPr>
      <w:pStyle w:val="Header"/>
    </w:pPr>
  </w:p>
  <w:p w:rsidR="009E7494" w:rsidRDefault="009E74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31E4666"/>
    <w:multiLevelType w:val="hybridMultilevel"/>
    <w:tmpl w:val="DCDCA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8AD05B7"/>
    <w:multiLevelType w:val="hybridMultilevel"/>
    <w:tmpl w:val="DD604FD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0A516464"/>
    <w:multiLevelType w:val="hybridMultilevel"/>
    <w:tmpl w:val="518821BE"/>
    <w:lvl w:ilvl="0" w:tplc="BECE690A">
      <w:start w:val="1"/>
      <w:numFmt w:val="lowerRoman"/>
      <w:lvlText w:val="%1."/>
      <w:lvlJc w:val="left"/>
      <w:pPr>
        <w:ind w:left="1080" w:hanging="72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B376111"/>
    <w:multiLevelType w:val="hybridMultilevel"/>
    <w:tmpl w:val="407C2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F5901B4"/>
    <w:multiLevelType w:val="hybridMultilevel"/>
    <w:tmpl w:val="C52E1530"/>
    <w:lvl w:ilvl="0" w:tplc="1409000B">
      <w:start w:val="1"/>
      <w:numFmt w:val="bullet"/>
      <w:lvlText w:val=""/>
      <w:lvlJc w:val="left"/>
      <w:pPr>
        <w:ind w:left="720" w:hanging="360"/>
      </w:pPr>
      <w:rPr>
        <w:rFonts w:ascii="Wingdings" w:hAnsi="Wingdings" w:hint="default"/>
      </w:rPr>
    </w:lvl>
    <w:lvl w:ilvl="1" w:tplc="14090001">
      <w:start w:val="1"/>
      <w:numFmt w:val="bullet"/>
      <w:lvlText w:val=""/>
      <w:lvlJc w:val="left"/>
      <w:pPr>
        <w:tabs>
          <w:tab w:val="num" w:pos="1440"/>
        </w:tabs>
        <w:ind w:left="1440" w:hanging="360"/>
      </w:pPr>
      <w:rPr>
        <w:rFonts w:ascii="Symbol" w:hAnsi="Symbol" w:hint="default"/>
      </w:rPr>
    </w:lvl>
    <w:lvl w:ilvl="2" w:tplc="483A4000">
      <w:start w:val="1"/>
      <w:numFmt w:val="bullet"/>
      <w:lvlText w:val=""/>
      <w:lvlJc w:val="left"/>
      <w:pPr>
        <w:tabs>
          <w:tab w:val="num" w:pos="2160"/>
        </w:tabs>
        <w:ind w:left="2160" w:hanging="360"/>
      </w:pPr>
      <w:rPr>
        <w:rFonts w:ascii="Symbol" w:hAnsi="Symbol" w:hint="default"/>
        <w:sz w:val="22"/>
        <w:szCs w:val="22"/>
      </w:rPr>
    </w:lvl>
    <w:lvl w:ilvl="3" w:tplc="14090017">
      <w:start w:val="1"/>
      <w:numFmt w:val="lowerLetter"/>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BF11358"/>
    <w:multiLevelType w:val="hybridMultilevel"/>
    <w:tmpl w:val="70061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1F91805"/>
    <w:multiLevelType w:val="hybridMultilevel"/>
    <w:tmpl w:val="05D4D60C"/>
    <w:lvl w:ilvl="0" w:tplc="2228CC02">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31D5190"/>
    <w:multiLevelType w:val="hybridMultilevel"/>
    <w:tmpl w:val="CE16D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3221699"/>
    <w:multiLevelType w:val="hybridMultilevel"/>
    <w:tmpl w:val="335A77D8"/>
    <w:lvl w:ilvl="0" w:tplc="2688B630">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3F35B60"/>
    <w:multiLevelType w:val="hybridMultilevel"/>
    <w:tmpl w:val="7FCC5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024199E"/>
    <w:multiLevelType w:val="hybridMultilevel"/>
    <w:tmpl w:val="FE849DD8"/>
    <w:lvl w:ilvl="0" w:tplc="0AAA5C12">
      <w:start w:val="1"/>
      <w:numFmt w:val="bullet"/>
      <w:lvlText w:val=""/>
      <w:lvlJc w:val="left"/>
      <w:pPr>
        <w:ind w:left="2880" w:hanging="360"/>
      </w:pPr>
      <w:rPr>
        <w:rFonts w:ascii="Symbol" w:hAnsi="Symbol"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6">
    <w:nsid w:val="30376394"/>
    <w:multiLevelType w:val="hybridMultilevel"/>
    <w:tmpl w:val="D37E27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2F0666B"/>
    <w:multiLevelType w:val="hybridMultilevel"/>
    <w:tmpl w:val="E8CE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76275"/>
    <w:multiLevelType w:val="hybridMultilevel"/>
    <w:tmpl w:val="DE668CF0"/>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19">
    <w:nsid w:val="3C18284B"/>
    <w:multiLevelType w:val="hybridMultilevel"/>
    <w:tmpl w:val="E722B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43CE7064"/>
    <w:multiLevelType w:val="hybridMultilevel"/>
    <w:tmpl w:val="CF385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5FC10D1"/>
    <w:multiLevelType w:val="hybridMultilevel"/>
    <w:tmpl w:val="518821BE"/>
    <w:lvl w:ilvl="0" w:tplc="BECE690A">
      <w:start w:val="1"/>
      <w:numFmt w:val="lowerRoman"/>
      <w:lvlText w:val="%1."/>
      <w:lvlJc w:val="left"/>
      <w:pPr>
        <w:ind w:left="1080" w:hanging="72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7606669"/>
    <w:multiLevelType w:val="hybridMultilevel"/>
    <w:tmpl w:val="472E45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nsid w:val="4A770E26"/>
    <w:multiLevelType w:val="hybridMultilevel"/>
    <w:tmpl w:val="9BD49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F844CCD"/>
    <w:multiLevelType w:val="hybridMultilevel"/>
    <w:tmpl w:val="C24A3A8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FAB1B89"/>
    <w:multiLevelType w:val="hybridMultilevel"/>
    <w:tmpl w:val="F8E4F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5310B1C"/>
    <w:multiLevelType w:val="hybridMultilevel"/>
    <w:tmpl w:val="D660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5A484048"/>
    <w:multiLevelType w:val="hybridMultilevel"/>
    <w:tmpl w:val="78CEE4D2"/>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32">
    <w:nsid w:val="5D99046B"/>
    <w:multiLevelType w:val="hybridMultilevel"/>
    <w:tmpl w:val="FABA3644"/>
    <w:lvl w:ilvl="0" w:tplc="70724EDE">
      <w:start w:val="2014"/>
      <w:numFmt w:val="bullet"/>
      <w:lvlText w:val="-"/>
      <w:lvlJc w:val="left"/>
      <w:pPr>
        <w:ind w:left="1563" w:hanging="360"/>
      </w:pPr>
      <w:rPr>
        <w:rFonts w:ascii="Arial" w:eastAsia="Calibri" w:hAnsi="Arial" w:cs="Arial" w:hint="default"/>
      </w:rPr>
    </w:lvl>
    <w:lvl w:ilvl="1" w:tplc="14090003" w:tentative="1">
      <w:start w:val="1"/>
      <w:numFmt w:val="bullet"/>
      <w:lvlText w:val="o"/>
      <w:lvlJc w:val="left"/>
      <w:pPr>
        <w:ind w:left="2283" w:hanging="360"/>
      </w:pPr>
      <w:rPr>
        <w:rFonts w:ascii="Courier New" w:hAnsi="Courier New" w:cs="Courier New" w:hint="default"/>
      </w:rPr>
    </w:lvl>
    <w:lvl w:ilvl="2" w:tplc="14090005" w:tentative="1">
      <w:start w:val="1"/>
      <w:numFmt w:val="bullet"/>
      <w:lvlText w:val=""/>
      <w:lvlJc w:val="left"/>
      <w:pPr>
        <w:ind w:left="3003" w:hanging="360"/>
      </w:pPr>
      <w:rPr>
        <w:rFonts w:ascii="Wingdings" w:hAnsi="Wingdings" w:hint="default"/>
      </w:rPr>
    </w:lvl>
    <w:lvl w:ilvl="3" w:tplc="14090001" w:tentative="1">
      <w:start w:val="1"/>
      <w:numFmt w:val="bullet"/>
      <w:lvlText w:val=""/>
      <w:lvlJc w:val="left"/>
      <w:pPr>
        <w:ind w:left="3723" w:hanging="360"/>
      </w:pPr>
      <w:rPr>
        <w:rFonts w:ascii="Symbol" w:hAnsi="Symbol" w:hint="default"/>
      </w:rPr>
    </w:lvl>
    <w:lvl w:ilvl="4" w:tplc="14090003" w:tentative="1">
      <w:start w:val="1"/>
      <w:numFmt w:val="bullet"/>
      <w:lvlText w:val="o"/>
      <w:lvlJc w:val="left"/>
      <w:pPr>
        <w:ind w:left="4443" w:hanging="360"/>
      </w:pPr>
      <w:rPr>
        <w:rFonts w:ascii="Courier New" w:hAnsi="Courier New" w:cs="Courier New" w:hint="default"/>
      </w:rPr>
    </w:lvl>
    <w:lvl w:ilvl="5" w:tplc="14090005" w:tentative="1">
      <w:start w:val="1"/>
      <w:numFmt w:val="bullet"/>
      <w:lvlText w:val=""/>
      <w:lvlJc w:val="left"/>
      <w:pPr>
        <w:ind w:left="5163" w:hanging="360"/>
      </w:pPr>
      <w:rPr>
        <w:rFonts w:ascii="Wingdings" w:hAnsi="Wingdings" w:hint="default"/>
      </w:rPr>
    </w:lvl>
    <w:lvl w:ilvl="6" w:tplc="14090001" w:tentative="1">
      <w:start w:val="1"/>
      <w:numFmt w:val="bullet"/>
      <w:lvlText w:val=""/>
      <w:lvlJc w:val="left"/>
      <w:pPr>
        <w:ind w:left="5883" w:hanging="360"/>
      </w:pPr>
      <w:rPr>
        <w:rFonts w:ascii="Symbol" w:hAnsi="Symbol" w:hint="default"/>
      </w:rPr>
    </w:lvl>
    <w:lvl w:ilvl="7" w:tplc="14090003" w:tentative="1">
      <w:start w:val="1"/>
      <w:numFmt w:val="bullet"/>
      <w:lvlText w:val="o"/>
      <w:lvlJc w:val="left"/>
      <w:pPr>
        <w:ind w:left="6603" w:hanging="360"/>
      </w:pPr>
      <w:rPr>
        <w:rFonts w:ascii="Courier New" w:hAnsi="Courier New" w:cs="Courier New" w:hint="default"/>
      </w:rPr>
    </w:lvl>
    <w:lvl w:ilvl="8" w:tplc="14090005" w:tentative="1">
      <w:start w:val="1"/>
      <w:numFmt w:val="bullet"/>
      <w:lvlText w:val=""/>
      <w:lvlJc w:val="left"/>
      <w:pPr>
        <w:ind w:left="7323" w:hanging="360"/>
      </w:pPr>
      <w:rPr>
        <w:rFonts w:ascii="Wingdings" w:hAnsi="Wingdings" w:hint="default"/>
      </w:rPr>
    </w:lvl>
  </w:abstractNum>
  <w:abstractNum w:abstractNumId="33">
    <w:nsid w:val="63FF7BEF"/>
    <w:multiLevelType w:val="hybridMultilevel"/>
    <w:tmpl w:val="B5F64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5">
    <w:nsid w:val="6F346BA1"/>
    <w:multiLevelType w:val="hybridMultilevel"/>
    <w:tmpl w:val="518821BE"/>
    <w:lvl w:ilvl="0" w:tplc="BECE690A">
      <w:start w:val="1"/>
      <w:numFmt w:val="lowerRoman"/>
      <w:lvlText w:val="%1."/>
      <w:lvlJc w:val="left"/>
      <w:pPr>
        <w:ind w:left="1080" w:hanging="72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71CD1092"/>
    <w:multiLevelType w:val="hybridMultilevel"/>
    <w:tmpl w:val="E7D0A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C4F372B"/>
    <w:multiLevelType w:val="hybridMultilevel"/>
    <w:tmpl w:val="599E76EC"/>
    <w:lvl w:ilvl="0" w:tplc="1409000B">
      <w:start w:val="1"/>
      <w:numFmt w:val="bullet"/>
      <w:lvlText w:val=""/>
      <w:lvlJc w:val="left"/>
      <w:pPr>
        <w:ind w:left="720" w:hanging="360"/>
      </w:pPr>
      <w:rPr>
        <w:rFonts w:ascii="Wingdings" w:hAnsi="Wingdings" w:hint="default"/>
      </w:rPr>
    </w:lvl>
    <w:lvl w:ilvl="1" w:tplc="14090001">
      <w:start w:val="1"/>
      <w:numFmt w:val="bullet"/>
      <w:lvlText w:val=""/>
      <w:lvlJc w:val="left"/>
      <w:pPr>
        <w:tabs>
          <w:tab w:val="num" w:pos="1440"/>
        </w:tabs>
        <w:ind w:left="1440" w:hanging="360"/>
      </w:pPr>
      <w:rPr>
        <w:rFonts w:ascii="Symbol" w:hAnsi="Symbol" w:hint="default"/>
      </w:rPr>
    </w:lvl>
    <w:lvl w:ilvl="2" w:tplc="0A8631A2">
      <w:start w:val="1"/>
      <w:numFmt w:val="lowerRoman"/>
      <w:lvlText w:val="%3."/>
      <w:lvlJc w:val="left"/>
      <w:pPr>
        <w:tabs>
          <w:tab w:val="num" w:pos="2160"/>
        </w:tabs>
        <w:ind w:left="2160" w:hanging="360"/>
      </w:pPr>
      <w:rPr>
        <w:rFonts w:hint="default"/>
      </w:rPr>
    </w:lvl>
    <w:lvl w:ilvl="3" w:tplc="14090017">
      <w:start w:val="1"/>
      <w:numFmt w:val="lowerLetter"/>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0">
    <w:nsid w:val="7DF324A8"/>
    <w:multiLevelType w:val="hybridMultilevel"/>
    <w:tmpl w:val="F370CC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0"/>
  </w:num>
  <w:num w:numId="4">
    <w:abstractNumId w:val="21"/>
  </w:num>
  <w:num w:numId="5">
    <w:abstractNumId w:val="2"/>
  </w:num>
  <w:num w:numId="6">
    <w:abstractNumId w:val="30"/>
  </w:num>
  <w:num w:numId="7">
    <w:abstractNumId w:val="8"/>
  </w:num>
  <w:num w:numId="8">
    <w:abstractNumId w:val="37"/>
  </w:num>
  <w:num w:numId="9">
    <w:abstractNumId w:val="7"/>
  </w:num>
  <w:num w:numId="10">
    <w:abstractNumId w:val="10"/>
  </w:num>
  <w:num w:numId="11">
    <w:abstractNumId w:val="22"/>
  </w:num>
  <w:num w:numId="12">
    <w:abstractNumId w:val="0"/>
  </w:num>
  <w:num w:numId="13">
    <w:abstractNumId w:val="14"/>
  </w:num>
  <w:num w:numId="14">
    <w:abstractNumId w:val="23"/>
  </w:num>
  <w:num w:numId="15">
    <w:abstractNumId w:val="25"/>
  </w:num>
  <w:num w:numId="16">
    <w:abstractNumId w:val="9"/>
  </w:num>
  <w:num w:numId="17">
    <w:abstractNumId w:val="13"/>
  </w:num>
  <w:num w:numId="18">
    <w:abstractNumId w:val="39"/>
  </w:num>
  <w:num w:numId="19">
    <w:abstractNumId w:val="27"/>
  </w:num>
  <w:num w:numId="20">
    <w:abstractNumId w:val="3"/>
  </w:num>
  <w:num w:numId="21">
    <w:abstractNumId w:val="16"/>
  </w:num>
  <w:num w:numId="22">
    <w:abstractNumId w:val="40"/>
  </w:num>
  <w:num w:numId="23">
    <w:abstractNumId w:val="24"/>
  </w:num>
  <w:num w:numId="24">
    <w:abstractNumId w:val="15"/>
  </w:num>
  <w:num w:numId="25">
    <w:abstractNumId w:val="11"/>
  </w:num>
  <w:num w:numId="26">
    <w:abstractNumId w:val="6"/>
  </w:num>
  <w:num w:numId="27">
    <w:abstractNumId w:val="33"/>
  </w:num>
  <w:num w:numId="28">
    <w:abstractNumId w:val="28"/>
  </w:num>
  <w:num w:numId="29">
    <w:abstractNumId w:val="5"/>
  </w:num>
  <w:num w:numId="30">
    <w:abstractNumId w:val="4"/>
  </w:num>
  <w:num w:numId="31">
    <w:abstractNumId w:val="26"/>
  </w:num>
  <w:num w:numId="32">
    <w:abstractNumId w:val="36"/>
  </w:num>
  <w:num w:numId="33">
    <w:abstractNumId w:val="12"/>
  </w:num>
  <w:num w:numId="34">
    <w:abstractNumId w:val="32"/>
  </w:num>
  <w:num w:numId="35">
    <w:abstractNumId w:val="35"/>
  </w:num>
  <w:num w:numId="36">
    <w:abstractNumId w:val="29"/>
  </w:num>
  <w:num w:numId="37">
    <w:abstractNumId w:val="17"/>
  </w:num>
  <w:num w:numId="38">
    <w:abstractNumId w:val="1"/>
  </w:num>
  <w:num w:numId="39">
    <w:abstractNumId w:val="31"/>
  </w:num>
  <w:num w:numId="40">
    <w:abstractNumId w:val="19"/>
  </w:num>
  <w:num w:numId="41">
    <w:abstractNumId w:val="1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nwen Wall">
    <w15:presenceInfo w15:providerId="None" w15:userId="Bronwen 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AC2"/>
    <w:rsid w:val="0003635C"/>
    <w:rsid w:val="0006228D"/>
    <w:rsid w:val="00072BD6"/>
    <w:rsid w:val="00075B78"/>
    <w:rsid w:val="00082CD6"/>
    <w:rsid w:val="00084746"/>
    <w:rsid w:val="00085AFE"/>
    <w:rsid w:val="000B0730"/>
    <w:rsid w:val="000B3036"/>
    <w:rsid w:val="000D1C8D"/>
    <w:rsid w:val="000E7E28"/>
    <w:rsid w:val="000F2AE2"/>
    <w:rsid w:val="00102063"/>
    <w:rsid w:val="0010541C"/>
    <w:rsid w:val="00106F93"/>
    <w:rsid w:val="00111D50"/>
    <w:rsid w:val="00113B8E"/>
    <w:rsid w:val="00114881"/>
    <w:rsid w:val="001342C7"/>
    <w:rsid w:val="0013585C"/>
    <w:rsid w:val="00142954"/>
    <w:rsid w:val="00145916"/>
    <w:rsid w:val="001460E0"/>
    <w:rsid w:val="00146570"/>
    <w:rsid w:val="00147F71"/>
    <w:rsid w:val="00150A6E"/>
    <w:rsid w:val="0015405E"/>
    <w:rsid w:val="0016468A"/>
    <w:rsid w:val="00167C6D"/>
    <w:rsid w:val="00173B8A"/>
    <w:rsid w:val="0018346C"/>
    <w:rsid w:val="001A5CF5"/>
    <w:rsid w:val="001B0836"/>
    <w:rsid w:val="001B39D2"/>
    <w:rsid w:val="001C4326"/>
    <w:rsid w:val="001C4C96"/>
    <w:rsid w:val="001D0443"/>
    <w:rsid w:val="001D3541"/>
    <w:rsid w:val="001F5056"/>
    <w:rsid w:val="00201A01"/>
    <w:rsid w:val="002104D3"/>
    <w:rsid w:val="00213A33"/>
    <w:rsid w:val="0021763B"/>
    <w:rsid w:val="00246DB1"/>
    <w:rsid w:val="002476B5"/>
    <w:rsid w:val="00251B5E"/>
    <w:rsid w:val="00252A78"/>
    <w:rsid w:val="00253ECF"/>
    <w:rsid w:val="002546A1"/>
    <w:rsid w:val="00275D08"/>
    <w:rsid w:val="002858E3"/>
    <w:rsid w:val="0029190A"/>
    <w:rsid w:val="002924F3"/>
    <w:rsid w:val="00292C5A"/>
    <w:rsid w:val="00295241"/>
    <w:rsid w:val="002A4974"/>
    <w:rsid w:val="002A6C7E"/>
    <w:rsid w:val="002B047D"/>
    <w:rsid w:val="002B732B"/>
    <w:rsid w:val="002C2219"/>
    <w:rsid w:val="002C496E"/>
    <w:rsid w:val="002D0DF2"/>
    <w:rsid w:val="002D23BD"/>
    <w:rsid w:val="002E0B47"/>
    <w:rsid w:val="002F7213"/>
    <w:rsid w:val="0030382F"/>
    <w:rsid w:val="0030408D"/>
    <w:rsid w:val="003060E4"/>
    <w:rsid w:val="003160E7"/>
    <w:rsid w:val="0031739E"/>
    <w:rsid w:val="003325AB"/>
    <w:rsid w:val="0033412B"/>
    <w:rsid w:val="00341620"/>
    <w:rsid w:val="00343365"/>
    <w:rsid w:val="00353501"/>
    <w:rsid w:val="00356B1E"/>
    <w:rsid w:val="003606F8"/>
    <w:rsid w:val="003648EF"/>
    <w:rsid w:val="003673E6"/>
    <w:rsid w:val="00377264"/>
    <w:rsid w:val="003852FD"/>
    <w:rsid w:val="003A26A5"/>
    <w:rsid w:val="003A31D4"/>
    <w:rsid w:val="003A3761"/>
    <w:rsid w:val="003A4F74"/>
    <w:rsid w:val="003A5FEA"/>
    <w:rsid w:val="003B1D10"/>
    <w:rsid w:val="003B70A2"/>
    <w:rsid w:val="003C76D4"/>
    <w:rsid w:val="003E7C46"/>
    <w:rsid w:val="003F52A7"/>
    <w:rsid w:val="003F7667"/>
    <w:rsid w:val="0040240C"/>
    <w:rsid w:val="00413021"/>
    <w:rsid w:val="00440BE0"/>
    <w:rsid w:val="00442C1C"/>
    <w:rsid w:val="0044584B"/>
    <w:rsid w:val="00447CB7"/>
    <w:rsid w:val="004532A5"/>
    <w:rsid w:val="00460826"/>
    <w:rsid w:val="00460EA7"/>
    <w:rsid w:val="0046195B"/>
    <w:rsid w:val="004639AE"/>
    <w:rsid w:val="0046596D"/>
    <w:rsid w:val="0047583A"/>
    <w:rsid w:val="0047738F"/>
    <w:rsid w:val="00487C04"/>
    <w:rsid w:val="004907E1"/>
    <w:rsid w:val="004A035B"/>
    <w:rsid w:val="004A0BA9"/>
    <w:rsid w:val="004A38D7"/>
    <w:rsid w:val="004A778C"/>
    <w:rsid w:val="004C2E6A"/>
    <w:rsid w:val="004C62B0"/>
    <w:rsid w:val="004D2A2D"/>
    <w:rsid w:val="004D2E93"/>
    <w:rsid w:val="004D6689"/>
    <w:rsid w:val="004E1D1D"/>
    <w:rsid w:val="004E7AC8"/>
    <w:rsid w:val="004F0C94"/>
    <w:rsid w:val="005019AE"/>
    <w:rsid w:val="00503749"/>
    <w:rsid w:val="0050431F"/>
    <w:rsid w:val="00504CF4"/>
    <w:rsid w:val="0050635B"/>
    <w:rsid w:val="00507137"/>
    <w:rsid w:val="00515CAB"/>
    <w:rsid w:val="0053199F"/>
    <w:rsid w:val="00533B90"/>
    <w:rsid w:val="005410F8"/>
    <w:rsid w:val="005448EC"/>
    <w:rsid w:val="00545963"/>
    <w:rsid w:val="00550256"/>
    <w:rsid w:val="00553958"/>
    <w:rsid w:val="0055763D"/>
    <w:rsid w:val="005621F2"/>
    <w:rsid w:val="005637A6"/>
    <w:rsid w:val="00567B58"/>
    <w:rsid w:val="005763E0"/>
    <w:rsid w:val="005921FE"/>
    <w:rsid w:val="005A27CA"/>
    <w:rsid w:val="005A43BD"/>
    <w:rsid w:val="005C11E7"/>
    <w:rsid w:val="005E226E"/>
    <w:rsid w:val="005F5FE6"/>
    <w:rsid w:val="006015D7"/>
    <w:rsid w:val="00601B21"/>
    <w:rsid w:val="006211D4"/>
    <w:rsid w:val="00625EC1"/>
    <w:rsid w:val="00626CF8"/>
    <w:rsid w:val="00636D7D"/>
    <w:rsid w:val="00637408"/>
    <w:rsid w:val="00642868"/>
    <w:rsid w:val="00647AFE"/>
    <w:rsid w:val="006512BC"/>
    <w:rsid w:val="00653A5A"/>
    <w:rsid w:val="006575F4"/>
    <w:rsid w:val="006579E6"/>
    <w:rsid w:val="006601F1"/>
    <w:rsid w:val="00663EDC"/>
    <w:rsid w:val="00671078"/>
    <w:rsid w:val="00680A04"/>
    <w:rsid w:val="00686D80"/>
    <w:rsid w:val="00694895"/>
    <w:rsid w:val="00695D6E"/>
    <w:rsid w:val="00697E2E"/>
    <w:rsid w:val="006A25A2"/>
    <w:rsid w:val="006A38CE"/>
    <w:rsid w:val="006B0E73"/>
    <w:rsid w:val="006B4A4D"/>
    <w:rsid w:val="006B5695"/>
    <w:rsid w:val="006C78EB"/>
    <w:rsid w:val="006D1660"/>
    <w:rsid w:val="006F1B67"/>
    <w:rsid w:val="006F400E"/>
    <w:rsid w:val="0070091D"/>
    <w:rsid w:val="00702854"/>
    <w:rsid w:val="0071741C"/>
    <w:rsid w:val="00742B90"/>
    <w:rsid w:val="0074434D"/>
    <w:rsid w:val="00746D11"/>
    <w:rsid w:val="00746E90"/>
    <w:rsid w:val="007570A3"/>
    <w:rsid w:val="007629C7"/>
    <w:rsid w:val="00766BCE"/>
    <w:rsid w:val="00771B1E"/>
    <w:rsid w:val="00773C95"/>
    <w:rsid w:val="0078171E"/>
    <w:rsid w:val="00795B34"/>
    <w:rsid w:val="00797611"/>
    <w:rsid w:val="007B0DA3"/>
    <w:rsid w:val="007B1770"/>
    <w:rsid w:val="007B4D3E"/>
    <w:rsid w:val="007B7C70"/>
    <w:rsid w:val="007D2151"/>
    <w:rsid w:val="007D42CC"/>
    <w:rsid w:val="007D5DE4"/>
    <w:rsid w:val="007E1341"/>
    <w:rsid w:val="007E1439"/>
    <w:rsid w:val="007E1B41"/>
    <w:rsid w:val="007E30B9"/>
    <w:rsid w:val="007F0F0C"/>
    <w:rsid w:val="007F1288"/>
    <w:rsid w:val="00800A8A"/>
    <w:rsid w:val="0080155C"/>
    <w:rsid w:val="008036D3"/>
    <w:rsid w:val="008052E1"/>
    <w:rsid w:val="0082056A"/>
    <w:rsid w:val="00822F2C"/>
    <w:rsid w:val="008305E8"/>
    <w:rsid w:val="008406AA"/>
    <w:rsid w:val="00845EE3"/>
    <w:rsid w:val="00860826"/>
    <w:rsid w:val="00860E21"/>
    <w:rsid w:val="00863117"/>
    <w:rsid w:val="0086388B"/>
    <w:rsid w:val="008642E5"/>
    <w:rsid w:val="00870D5F"/>
    <w:rsid w:val="00872D93"/>
    <w:rsid w:val="00880470"/>
    <w:rsid w:val="00880D94"/>
    <w:rsid w:val="0088452E"/>
    <w:rsid w:val="008924DE"/>
    <w:rsid w:val="00893FEF"/>
    <w:rsid w:val="008A3755"/>
    <w:rsid w:val="008B264F"/>
    <w:rsid w:val="008B6F83"/>
    <w:rsid w:val="008B7FD8"/>
    <w:rsid w:val="008C2973"/>
    <w:rsid w:val="008C64C4"/>
    <w:rsid w:val="008D74D5"/>
    <w:rsid w:val="008F29BE"/>
    <w:rsid w:val="008F4AE5"/>
    <w:rsid w:val="008F51EB"/>
    <w:rsid w:val="008F6146"/>
    <w:rsid w:val="00900197"/>
    <w:rsid w:val="00902F55"/>
    <w:rsid w:val="009049CD"/>
    <w:rsid w:val="0090582B"/>
    <w:rsid w:val="009060C0"/>
    <w:rsid w:val="009133F5"/>
    <w:rsid w:val="00920A27"/>
    <w:rsid w:val="00921216"/>
    <w:rsid w:val="00932D69"/>
    <w:rsid w:val="00944647"/>
    <w:rsid w:val="00947D85"/>
    <w:rsid w:val="00977B8A"/>
    <w:rsid w:val="00982971"/>
    <w:rsid w:val="009845AD"/>
    <w:rsid w:val="00995BA0"/>
    <w:rsid w:val="009A418B"/>
    <w:rsid w:val="009A4473"/>
    <w:rsid w:val="009C151C"/>
    <w:rsid w:val="009C7F3E"/>
    <w:rsid w:val="009D04E5"/>
    <w:rsid w:val="009D05D7"/>
    <w:rsid w:val="009D5125"/>
    <w:rsid w:val="009D60B8"/>
    <w:rsid w:val="009D7D4B"/>
    <w:rsid w:val="009E36ED"/>
    <w:rsid w:val="009E5FA5"/>
    <w:rsid w:val="009E611D"/>
    <w:rsid w:val="009E6B77"/>
    <w:rsid w:val="009E7494"/>
    <w:rsid w:val="009F460A"/>
    <w:rsid w:val="00A043FB"/>
    <w:rsid w:val="00A04B50"/>
    <w:rsid w:val="00A0729C"/>
    <w:rsid w:val="00A07779"/>
    <w:rsid w:val="00A20B2E"/>
    <w:rsid w:val="00A2542C"/>
    <w:rsid w:val="00A3068F"/>
    <w:rsid w:val="00A3145B"/>
    <w:rsid w:val="00A339D0"/>
    <w:rsid w:val="00A33C35"/>
    <w:rsid w:val="00A36D4D"/>
    <w:rsid w:val="00A41002"/>
    <w:rsid w:val="00A4201A"/>
    <w:rsid w:val="00A517A9"/>
    <w:rsid w:val="00A553CE"/>
    <w:rsid w:val="00A5677A"/>
    <w:rsid w:val="00A642F6"/>
    <w:rsid w:val="00A6490D"/>
    <w:rsid w:val="00A71A55"/>
    <w:rsid w:val="00A7294C"/>
    <w:rsid w:val="00A80124"/>
    <w:rsid w:val="00A80363"/>
    <w:rsid w:val="00A81B1D"/>
    <w:rsid w:val="00A832B7"/>
    <w:rsid w:val="00A87319"/>
    <w:rsid w:val="00A91363"/>
    <w:rsid w:val="00A9169D"/>
    <w:rsid w:val="00AC101C"/>
    <w:rsid w:val="00AC2959"/>
    <w:rsid w:val="00AD4CF1"/>
    <w:rsid w:val="00AD5988"/>
    <w:rsid w:val="00AF1CD6"/>
    <w:rsid w:val="00AF7671"/>
    <w:rsid w:val="00AF7800"/>
    <w:rsid w:val="00AF7CC9"/>
    <w:rsid w:val="00B072E0"/>
    <w:rsid w:val="00B22D1C"/>
    <w:rsid w:val="00B253F6"/>
    <w:rsid w:val="00B310F9"/>
    <w:rsid w:val="00B329B3"/>
    <w:rsid w:val="00B332F8"/>
    <w:rsid w:val="00B3492B"/>
    <w:rsid w:val="00B43A70"/>
    <w:rsid w:val="00B4646F"/>
    <w:rsid w:val="00B55C7D"/>
    <w:rsid w:val="00B63038"/>
    <w:rsid w:val="00B64BD8"/>
    <w:rsid w:val="00B65227"/>
    <w:rsid w:val="00B701D1"/>
    <w:rsid w:val="00B73AF2"/>
    <w:rsid w:val="00B7551A"/>
    <w:rsid w:val="00B80135"/>
    <w:rsid w:val="00BA1CE5"/>
    <w:rsid w:val="00BC59F1"/>
    <w:rsid w:val="00BE6BED"/>
    <w:rsid w:val="00BF3DE1"/>
    <w:rsid w:val="00BF4843"/>
    <w:rsid w:val="00BF5205"/>
    <w:rsid w:val="00C0783C"/>
    <w:rsid w:val="00C12508"/>
    <w:rsid w:val="00C153AC"/>
    <w:rsid w:val="00C232A2"/>
    <w:rsid w:val="00C26F41"/>
    <w:rsid w:val="00C32511"/>
    <w:rsid w:val="00C34E08"/>
    <w:rsid w:val="00C43B28"/>
    <w:rsid w:val="00C45AA2"/>
    <w:rsid w:val="00C470D3"/>
    <w:rsid w:val="00C50E24"/>
    <w:rsid w:val="00C54E9C"/>
    <w:rsid w:val="00C66296"/>
    <w:rsid w:val="00C744D2"/>
    <w:rsid w:val="00C75700"/>
    <w:rsid w:val="00C77282"/>
    <w:rsid w:val="00C8271A"/>
    <w:rsid w:val="00C84DE5"/>
    <w:rsid w:val="00C86248"/>
    <w:rsid w:val="00CA0E86"/>
    <w:rsid w:val="00CA4C33"/>
    <w:rsid w:val="00CA6F4A"/>
    <w:rsid w:val="00CB5BA4"/>
    <w:rsid w:val="00CD2119"/>
    <w:rsid w:val="00CD36AC"/>
    <w:rsid w:val="00CD44C3"/>
    <w:rsid w:val="00CF1747"/>
    <w:rsid w:val="00CF6882"/>
    <w:rsid w:val="00D07CBD"/>
    <w:rsid w:val="00D2392A"/>
    <w:rsid w:val="00D25FFE"/>
    <w:rsid w:val="00D42206"/>
    <w:rsid w:val="00D4476F"/>
    <w:rsid w:val="00D54D50"/>
    <w:rsid w:val="00D66797"/>
    <w:rsid w:val="00D67E42"/>
    <w:rsid w:val="00D7087C"/>
    <w:rsid w:val="00D70C3C"/>
    <w:rsid w:val="00D725FA"/>
    <w:rsid w:val="00D72BE5"/>
    <w:rsid w:val="00D72E22"/>
    <w:rsid w:val="00D82F26"/>
    <w:rsid w:val="00D863D0"/>
    <w:rsid w:val="00D87C87"/>
    <w:rsid w:val="00DB1EBA"/>
    <w:rsid w:val="00DB2454"/>
    <w:rsid w:val="00DB39CF"/>
    <w:rsid w:val="00DC2ACA"/>
    <w:rsid w:val="00DC74E5"/>
    <w:rsid w:val="00DD0E23"/>
    <w:rsid w:val="00DD336F"/>
    <w:rsid w:val="00DD447A"/>
    <w:rsid w:val="00DE2FBB"/>
    <w:rsid w:val="00DE3B20"/>
    <w:rsid w:val="00DE6C94"/>
    <w:rsid w:val="00DE6FD7"/>
    <w:rsid w:val="00DF1028"/>
    <w:rsid w:val="00DF2333"/>
    <w:rsid w:val="00E03247"/>
    <w:rsid w:val="00E12A23"/>
    <w:rsid w:val="00E23271"/>
    <w:rsid w:val="00E24F80"/>
    <w:rsid w:val="00E259F3"/>
    <w:rsid w:val="00E26FD4"/>
    <w:rsid w:val="00E30CE1"/>
    <w:rsid w:val="00E33238"/>
    <w:rsid w:val="00E440AE"/>
    <w:rsid w:val="00E4486C"/>
    <w:rsid w:val="00E460B6"/>
    <w:rsid w:val="00E511D5"/>
    <w:rsid w:val="00E60249"/>
    <w:rsid w:val="00E65269"/>
    <w:rsid w:val="00E76D66"/>
    <w:rsid w:val="00EA4325"/>
    <w:rsid w:val="00EA796A"/>
    <w:rsid w:val="00EB0636"/>
    <w:rsid w:val="00EB1856"/>
    <w:rsid w:val="00EC50CE"/>
    <w:rsid w:val="00EC5B34"/>
    <w:rsid w:val="00EE4ADE"/>
    <w:rsid w:val="00EE5CB7"/>
    <w:rsid w:val="00EF0F75"/>
    <w:rsid w:val="00F024FE"/>
    <w:rsid w:val="00F05AD4"/>
    <w:rsid w:val="00F33F04"/>
    <w:rsid w:val="00F548C0"/>
    <w:rsid w:val="00F67496"/>
    <w:rsid w:val="00F75D88"/>
    <w:rsid w:val="00F801BA"/>
    <w:rsid w:val="00F86570"/>
    <w:rsid w:val="00F869B9"/>
    <w:rsid w:val="00F946C9"/>
    <w:rsid w:val="00FA252E"/>
    <w:rsid w:val="00FA74EE"/>
    <w:rsid w:val="00FC46E7"/>
    <w:rsid w:val="00FC5D25"/>
    <w:rsid w:val="00FC6DBB"/>
    <w:rsid w:val="00FD0D7E"/>
    <w:rsid w:val="00FD4D32"/>
    <w:rsid w:val="00FE6E13"/>
    <w:rsid w:val="00FF15F6"/>
    <w:rsid w:val="00FF48F5"/>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link w:val="Heading4"/>
    <w:uiPriority w:val="9"/>
    <w:rsid w:val="00AC2959"/>
    <w:rPr>
      <w:rFonts w:ascii="Georgia" w:hAnsi="Georgia"/>
      <w:b/>
      <w:sz w:val="22"/>
      <w:lang w:eastAsia="en-GB"/>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styleId="CommentReference">
    <w:name w:val="annotation reference"/>
    <w:uiPriority w:val="99"/>
    <w:semiHidden/>
    <w:unhideWhenUsed/>
    <w:rsid w:val="0050431F"/>
    <w:rPr>
      <w:sz w:val="16"/>
      <w:szCs w:val="16"/>
    </w:rPr>
  </w:style>
  <w:style w:type="paragraph" w:styleId="CommentText">
    <w:name w:val="annotation text"/>
    <w:basedOn w:val="Normal"/>
    <w:link w:val="CommentTextChar"/>
    <w:uiPriority w:val="99"/>
    <w:semiHidden/>
    <w:unhideWhenUsed/>
    <w:rsid w:val="0050431F"/>
    <w:pPr>
      <w:spacing w:line="240" w:lineRule="auto"/>
    </w:pPr>
    <w:rPr>
      <w:sz w:val="20"/>
    </w:rPr>
  </w:style>
  <w:style w:type="character" w:customStyle="1" w:styleId="CommentTextChar">
    <w:name w:val="Comment Text Char"/>
    <w:link w:val="CommentText"/>
    <w:uiPriority w:val="99"/>
    <w:semiHidden/>
    <w:rsid w:val="0050431F"/>
    <w:rPr>
      <w:rFonts w:ascii="Georgia" w:hAnsi="Georgia"/>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431F"/>
    <w:rPr>
      <w:b/>
      <w:bCs/>
    </w:rPr>
  </w:style>
  <w:style w:type="character" w:customStyle="1" w:styleId="CommentSubjectChar">
    <w:name w:val="Comment Subject Char"/>
    <w:link w:val="CommentSubject"/>
    <w:uiPriority w:val="99"/>
    <w:semiHidden/>
    <w:rsid w:val="0050431F"/>
    <w:rPr>
      <w:rFonts w:ascii="Georgia" w:hAnsi="Georgia"/>
      <w:b/>
      <w:bCs/>
      <w:lang w:eastAsia="en-GB"/>
    </w:rPr>
  </w:style>
  <w:style w:type="paragraph" w:styleId="BalloonText">
    <w:name w:val="Balloon Text"/>
    <w:basedOn w:val="Normal"/>
    <w:link w:val="BalloonTextChar"/>
    <w:uiPriority w:val="99"/>
    <w:semiHidden/>
    <w:unhideWhenUsed/>
    <w:rsid w:val="0050431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0431F"/>
    <w:rPr>
      <w:rFonts w:ascii="Tahoma" w:hAnsi="Tahoma" w:cs="Tahoma"/>
      <w:sz w:val="16"/>
      <w:szCs w:val="16"/>
      <w:lang w:eastAsia="en-GB"/>
    </w:rPr>
  </w:style>
  <w:style w:type="paragraph" w:styleId="Revision">
    <w:name w:val="Revision"/>
    <w:hidden/>
    <w:uiPriority w:val="99"/>
    <w:semiHidden/>
    <w:rsid w:val="0086388B"/>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link w:val="Heading4"/>
    <w:uiPriority w:val="9"/>
    <w:rsid w:val="00AC2959"/>
    <w:rPr>
      <w:rFonts w:ascii="Georgia" w:hAnsi="Georgia"/>
      <w:b/>
      <w:sz w:val="22"/>
      <w:lang w:eastAsia="en-GB"/>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qFormat/>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styleId="CommentReference">
    <w:name w:val="annotation reference"/>
    <w:uiPriority w:val="99"/>
    <w:semiHidden/>
    <w:unhideWhenUsed/>
    <w:rsid w:val="0050431F"/>
    <w:rPr>
      <w:sz w:val="16"/>
      <w:szCs w:val="16"/>
    </w:rPr>
  </w:style>
  <w:style w:type="paragraph" w:styleId="CommentText">
    <w:name w:val="annotation text"/>
    <w:basedOn w:val="Normal"/>
    <w:link w:val="CommentTextChar"/>
    <w:uiPriority w:val="99"/>
    <w:semiHidden/>
    <w:unhideWhenUsed/>
    <w:rsid w:val="0050431F"/>
    <w:pPr>
      <w:spacing w:line="240" w:lineRule="auto"/>
    </w:pPr>
    <w:rPr>
      <w:sz w:val="20"/>
    </w:rPr>
  </w:style>
  <w:style w:type="character" w:customStyle="1" w:styleId="CommentTextChar">
    <w:name w:val="Comment Text Char"/>
    <w:link w:val="CommentText"/>
    <w:uiPriority w:val="99"/>
    <w:semiHidden/>
    <w:rsid w:val="0050431F"/>
    <w:rPr>
      <w:rFonts w:ascii="Georgia" w:hAnsi="Georgia"/>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431F"/>
    <w:rPr>
      <w:b/>
      <w:bCs/>
    </w:rPr>
  </w:style>
  <w:style w:type="character" w:customStyle="1" w:styleId="CommentSubjectChar">
    <w:name w:val="Comment Subject Char"/>
    <w:link w:val="CommentSubject"/>
    <w:uiPriority w:val="99"/>
    <w:semiHidden/>
    <w:rsid w:val="0050431F"/>
    <w:rPr>
      <w:rFonts w:ascii="Georgia" w:hAnsi="Georgia"/>
      <w:b/>
      <w:bCs/>
      <w:lang w:eastAsia="en-GB"/>
    </w:rPr>
  </w:style>
  <w:style w:type="paragraph" w:styleId="BalloonText">
    <w:name w:val="Balloon Text"/>
    <w:basedOn w:val="Normal"/>
    <w:link w:val="BalloonTextChar"/>
    <w:uiPriority w:val="99"/>
    <w:semiHidden/>
    <w:unhideWhenUsed/>
    <w:rsid w:val="0050431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0431F"/>
    <w:rPr>
      <w:rFonts w:ascii="Tahoma" w:hAnsi="Tahoma" w:cs="Tahoma"/>
      <w:sz w:val="16"/>
      <w:szCs w:val="16"/>
      <w:lang w:eastAsia="en-GB"/>
    </w:rPr>
  </w:style>
  <w:style w:type="paragraph" w:styleId="Revision">
    <w:name w:val="Revision"/>
    <w:hidden/>
    <w:uiPriority w:val="99"/>
    <w:semiHidden/>
    <w:rsid w:val="0086388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pn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iomedcentral.com/content/pdf/1471-2334-14-351.pdf" TargetMode="External"/><Relationship Id="rId2" Type="http://schemas.openxmlformats.org/officeDocument/2006/relationships/hyperlink" Target="http://www.otago.ac.nz/wellington/otago068857.pdf" TargetMode="External"/><Relationship Id="rId1" Type="http://schemas.openxmlformats.org/officeDocument/2006/relationships/hyperlink" Target="http://www.who.in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DD50-A8D6-4ADE-AE16-2E27B596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18</Pages>
  <Words>4529</Words>
  <Characters>25818</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Revitalising the National HPV Immunisation Programme with agreed outcomes from the August 2014 workshop</vt:lpstr>
    </vt:vector>
  </TitlesOfParts>
  <Company>Microsoft</Company>
  <LinksUpToDate>false</LinksUpToDate>
  <CharactersWithSpaces>30287</CharactersWithSpaces>
  <SharedDoc>false</SharedDoc>
  <HLinks>
    <vt:vector size="6" baseType="variant">
      <vt:variant>
        <vt:i4>6553657</vt:i4>
      </vt:variant>
      <vt:variant>
        <vt:i4>0</vt:i4>
      </vt:variant>
      <vt:variant>
        <vt:i4>0</vt:i4>
      </vt:variant>
      <vt:variant>
        <vt:i4>5</vt:i4>
      </vt:variant>
      <vt:variant>
        <vt:lpwstr>http://www.who.int/en/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Revitalising the National HPV Immunisation Programme with agreed outcomes from the August 2014 workshop</dc:title>
  <dc:creator>Ministry of Health</dc:creator>
  <cp:lastModifiedBy>Ministry of Health</cp:lastModifiedBy>
  <cp:revision>2</cp:revision>
  <cp:lastPrinted>2015-08-10T05:22:00Z</cp:lastPrinted>
  <dcterms:created xsi:type="dcterms:W3CDTF">2015-10-21T19:48:00Z</dcterms:created>
  <dcterms:modified xsi:type="dcterms:W3CDTF">2015-10-21T19:48:00Z</dcterms:modified>
</cp:coreProperties>
</file>