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BA14B3" w:rsidP="00D54D50">
      <w:pPr>
        <w:pStyle w:val="Title"/>
      </w:pPr>
      <w:r>
        <w:t>’</w:t>
      </w:r>
      <w:proofErr w:type="spellStart"/>
      <w:r>
        <w:t>Ala</w:t>
      </w:r>
      <w:proofErr w:type="spellEnd"/>
      <w:r>
        <w:t xml:space="preserve"> </w:t>
      </w:r>
      <w:proofErr w:type="spellStart"/>
      <w:r>
        <w:t>Mo’ui</w:t>
      </w:r>
      <w:proofErr w:type="spellEnd"/>
      <w:r>
        <w:t xml:space="preserve"> Progress Report</w:t>
      </w:r>
    </w:p>
    <w:p w:rsidR="00C86248" w:rsidRDefault="00BA14B3" w:rsidP="00343365">
      <w:pPr>
        <w:pStyle w:val="Subhead"/>
      </w:pPr>
      <w:r>
        <w:t>December 2015</w:t>
      </w: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BA14B3">
        <w:t>2016</w:t>
      </w:r>
      <w:r w:rsidR="00442C1C">
        <w:t xml:space="preserve">. </w:t>
      </w:r>
      <w:r w:rsidR="00BA14B3">
        <w:rPr>
          <w:i/>
        </w:rPr>
        <w:t>’</w:t>
      </w:r>
      <w:proofErr w:type="spellStart"/>
      <w:r w:rsidR="00BA14B3">
        <w:rPr>
          <w:i/>
        </w:rPr>
        <w:t>Ala</w:t>
      </w:r>
      <w:proofErr w:type="spellEnd"/>
      <w:r w:rsidR="00BA14B3">
        <w:rPr>
          <w:i/>
        </w:rPr>
        <w:t xml:space="preserve"> </w:t>
      </w:r>
      <w:proofErr w:type="spellStart"/>
      <w:r w:rsidR="00BA14B3">
        <w:rPr>
          <w:i/>
        </w:rPr>
        <w:t>Mo’ui</w:t>
      </w:r>
      <w:proofErr w:type="spellEnd"/>
      <w:r w:rsidR="00BA14B3">
        <w:rPr>
          <w:i/>
        </w:rPr>
        <w:t xml:space="preserve"> Progress Report: December 2015</w:t>
      </w:r>
      <w:r w:rsidR="00442C1C">
        <w:t>. Wellington: Ministry of Health.</w:t>
      </w:r>
    </w:p>
    <w:p w:rsidR="00C86248" w:rsidRDefault="00C86248">
      <w:pPr>
        <w:pStyle w:val="Imprint"/>
      </w:pPr>
      <w:r>
        <w:t xml:space="preserve">Published in </w:t>
      </w:r>
      <w:r w:rsidR="00BA14B3">
        <w:t>April 2016</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BA14B3">
        <w:t xml:space="preserve"> </w:t>
      </w:r>
      <w:r w:rsidR="00961DB7">
        <w:t>978-0-947491-94-9</w:t>
      </w:r>
      <w:r w:rsidR="00442C1C">
        <w:t xml:space="preserve"> </w:t>
      </w:r>
      <w:r>
        <w:t>(</w:t>
      </w:r>
      <w:r w:rsidR="00442C1C">
        <w:t>online</w:t>
      </w:r>
      <w:proofErr w:type="gramStart"/>
      <w:r>
        <w:t>)</w:t>
      </w:r>
      <w:proofErr w:type="gramEnd"/>
      <w:r w:rsidR="00082CD6">
        <w:br/>
      </w:r>
      <w:r w:rsidR="00082CD6" w:rsidRPr="009C0F2D">
        <w:t xml:space="preserve">HP </w:t>
      </w:r>
      <w:r w:rsidR="00BA14B3">
        <w:t>6251</w:t>
      </w:r>
    </w:p>
    <w:p w:rsidR="00C86248" w:rsidRDefault="00C86248">
      <w:pPr>
        <w:pStyle w:val="Imprint"/>
      </w:pPr>
      <w:r>
        <w:t xml:space="preserve">This document is available </w:t>
      </w:r>
      <w:r w:rsidR="0071741C">
        <w:t xml:space="preserve">at </w:t>
      </w:r>
      <w:r>
        <w:t>h</w:t>
      </w:r>
      <w:r w:rsidR="00A80363">
        <w:t>ealth</w:t>
      </w:r>
      <w:r>
        <w:t>.govt.nz</w:t>
      </w:r>
    </w:p>
    <w:p w:rsidR="00C86248" w:rsidRDefault="008C64C4">
      <w:pPr>
        <w:jc w:val="center"/>
      </w:pPr>
      <w:r>
        <w:rPr>
          <w:noProof/>
          <w:lang w:eastAsia="en-NZ"/>
        </w:rPr>
        <w:drawing>
          <wp:inline distT="0" distB="0" distL="0" distR="0" wp14:anchorId="7BF1117A" wp14:editId="6A387CF0">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141DFAB3" wp14:editId="5D27740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rsidR="00C86248" w:rsidRDefault="00C86248">
      <w:pPr>
        <w:pStyle w:val="IntroHead"/>
      </w:pPr>
      <w:bookmarkStart w:id="0" w:name="_Toc405792991"/>
      <w:bookmarkStart w:id="1" w:name="_Toc405793224"/>
      <w:r>
        <w:lastRenderedPageBreak/>
        <w:t>Contents</w:t>
      </w:r>
      <w:bookmarkEnd w:id="0"/>
      <w:bookmarkEnd w:id="1"/>
    </w:p>
    <w:p w:rsidR="006C213B"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6C213B">
        <w:rPr>
          <w:noProof/>
        </w:rPr>
        <w:t>Executive summary</w:t>
      </w:r>
      <w:r w:rsidR="006C213B">
        <w:rPr>
          <w:noProof/>
        </w:rPr>
        <w:tab/>
      </w:r>
      <w:r w:rsidR="006C213B">
        <w:rPr>
          <w:noProof/>
        </w:rPr>
        <w:fldChar w:fldCharType="begin"/>
      </w:r>
      <w:r w:rsidR="006C213B">
        <w:rPr>
          <w:noProof/>
        </w:rPr>
        <w:instrText xml:space="preserve"> PAGEREF _Toc447565077 \h </w:instrText>
      </w:r>
      <w:r w:rsidR="006C213B">
        <w:rPr>
          <w:noProof/>
        </w:rPr>
      </w:r>
      <w:r w:rsidR="006C213B">
        <w:rPr>
          <w:noProof/>
        </w:rPr>
        <w:fldChar w:fldCharType="separate"/>
      </w:r>
      <w:r w:rsidR="008D5FF2">
        <w:rPr>
          <w:noProof/>
        </w:rPr>
        <w:t>vii</w:t>
      </w:r>
      <w:r w:rsidR="006C213B">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Whole-of-system measures</w:t>
      </w:r>
      <w:r>
        <w:rPr>
          <w:noProof/>
        </w:rPr>
        <w:tab/>
      </w:r>
      <w:r>
        <w:rPr>
          <w:noProof/>
        </w:rPr>
        <w:fldChar w:fldCharType="begin"/>
      </w:r>
      <w:r>
        <w:rPr>
          <w:noProof/>
        </w:rPr>
        <w:instrText xml:space="preserve"> PAGEREF _Toc447565078 \h </w:instrText>
      </w:r>
      <w:r>
        <w:rPr>
          <w:noProof/>
        </w:rPr>
      </w:r>
      <w:r>
        <w:rPr>
          <w:noProof/>
        </w:rPr>
        <w:fldChar w:fldCharType="separate"/>
      </w:r>
      <w:r w:rsidR="008D5FF2">
        <w:rPr>
          <w:noProof/>
        </w:rPr>
        <w:t>1</w:t>
      </w:r>
      <w:r>
        <w:rPr>
          <w:noProof/>
        </w:rPr>
        <w:fldChar w:fldCharType="end"/>
      </w:r>
    </w:p>
    <w:p w:rsidR="006C213B" w:rsidRDefault="006C213B">
      <w:pPr>
        <w:pStyle w:val="TOC2"/>
        <w:rPr>
          <w:rFonts w:asciiTheme="minorHAnsi" w:eastAsiaTheme="minorEastAsia" w:hAnsiTheme="minorHAnsi" w:cstheme="minorBidi"/>
          <w:noProof/>
          <w:szCs w:val="22"/>
          <w:lang w:eastAsia="en-NZ"/>
        </w:rPr>
      </w:pPr>
      <w:r>
        <w:rPr>
          <w:noProof/>
        </w:rPr>
        <w:t>Life expectancy</w:t>
      </w:r>
      <w:r>
        <w:rPr>
          <w:noProof/>
        </w:rPr>
        <w:tab/>
      </w:r>
      <w:r>
        <w:rPr>
          <w:noProof/>
        </w:rPr>
        <w:fldChar w:fldCharType="begin"/>
      </w:r>
      <w:r>
        <w:rPr>
          <w:noProof/>
        </w:rPr>
        <w:instrText xml:space="preserve"> PAGEREF _Toc447565079 \h </w:instrText>
      </w:r>
      <w:r>
        <w:rPr>
          <w:noProof/>
        </w:rPr>
      </w:r>
      <w:r>
        <w:rPr>
          <w:noProof/>
        </w:rPr>
        <w:fldChar w:fldCharType="separate"/>
      </w:r>
      <w:r w:rsidR="008D5FF2">
        <w:rPr>
          <w:noProof/>
        </w:rPr>
        <w:t>1</w:t>
      </w:r>
      <w:r>
        <w:rPr>
          <w:noProof/>
        </w:rPr>
        <w:fldChar w:fldCharType="end"/>
      </w:r>
    </w:p>
    <w:p w:rsidR="006C213B" w:rsidRDefault="006C213B">
      <w:pPr>
        <w:pStyle w:val="TOC2"/>
        <w:rPr>
          <w:rFonts w:asciiTheme="minorHAnsi" w:eastAsiaTheme="minorEastAsia" w:hAnsiTheme="minorHAnsi" w:cstheme="minorBidi"/>
          <w:noProof/>
          <w:szCs w:val="22"/>
          <w:lang w:eastAsia="en-NZ"/>
        </w:rPr>
      </w:pPr>
      <w:r>
        <w:rPr>
          <w:noProof/>
        </w:rPr>
        <w:t>Health expectancy</w:t>
      </w:r>
      <w:r>
        <w:rPr>
          <w:noProof/>
        </w:rPr>
        <w:tab/>
      </w:r>
      <w:r>
        <w:rPr>
          <w:noProof/>
        </w:rPr>
        <w:fldChar w:fldCharType="begin"/>
      </w:r>
      <w:r>
        <w:rPr>
          <w:noProof/>
        </w:rPr>
        <w:instrText xml:space="preserve"> PAGEREF _Toc447565080 \h </w:instrText>
      </w:r>
      <w:r>
        <w:rPr>
          <w:noProof/>
        </w:rPr>
      </w:r>
      <w:r>
        <w:rPr>
          <w:noProof/>
        </w:rPr>
        <w:fldChar w:fldCharType="separate"/>
      </w:r>
      <w:r w:rsidR="008D5FF2">
        <w:rPr>
          <w:noProof/>
        </w:rPr>
        <w:t>1</w:t>
      </w:r>
      <w:r>
        <w:rPr>
          <w:noProof/>
        </w:rPr>
        <w:fldChar w:fldCharType="end"/>
      </w:r>
    </w:p>
    <w:p w:rsidR="006C213B" w:rsidRDefault="006C213B">
      <w:pPr>
        <w:pStyle w:val="TOC2"/>
        <w:rPr>
          <w:rFonts w:asciiTheme="minorHAnsi" w:eastAsiaTheme="minorEastAsia" w:hAnsiTheme="minorHAnsi" w:cstheme="minorBidi"/>
          <w:noProof/>
          <w:szCs w:val="22"/>
          <w:lang w:eastAsia="en-NZ"/>
        </w:rPr>
      </w:pPr>
      <w:r>
        <w:rPr>
          <w:noProof/>
        </w:rPr>
        <w:t>Ambulatory sensitive hospitalisation rates</w:t>
      </w:r>
      <w:r>
        <w:rPr>
          <w:noProof/>
        </w:rPr>
        <w:tab/>
      </w:r>
      <w:r>
        <w:rPr>
          <w:noProof/>
        </w:rPr>
        <w:fldChar w:fldCharType="begin"/>
      </w:r>
      <w:r>
        <w:rPr>
          <w:noProof/>
        </w:rPr>
        <w:instrText xml:space="preserve"> PAGEREF _Toc447565081 \h </w:instrText>
      </w:r>
      <w:r>
        <w:rPr>
          <w:noProof/>
        </w:rPr>
      </w:r>
      <w:r>
        <w:rPr>
          <w:noProof/>
        </w:rPr>
        <w:fldChar w:fldCharType="separate"/>
      </w:r>
      <w:r w:rsidR="008D5FF2">
        <w:rPr>
          <w:noProof/>
        </w:rPr>
        <w:t>1</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Priority outcome 1 – Systems and services meet the needs of Pacific peoples</w:t>
      </w:r>
      <w:r>
        <w:rPr>
          <w:noProof/>
        </w:rPr>
        <w:tab/>
      </w:r>
      <w:r>
        <w:rPr>
          <w:noProof/>
        </w:rPr>
        <w:fldChar w:fldCharType="begin"/>
      </w:r>
      <w:r>
        <w:rPr>
          <w:noProof/>
        </w:rPr>
        <w:instrText xml:space="preserve"> PAGEREF _Toc447565082 \h </w:instrText>
      </w:r>
      <w:r>
        <w:rPr>
          <w:noProof/>
        </w:rPr>
      </w:r>
      <w:r>
        <w:rPr>
          <w:noProof/>
        </w:rPr>
        <w:fldChar w:fldCharType="separate"/>
      </w:r>
      <w:r w:rsidR="008D5FF2">
        <w:rPr>
          <w:noProof/>
        </w:rPr>
        <w:t>5</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Priority outcome 2 – More services are delivered locally in the community and in primary care</w:t>
      </w:r>
      <w:r>
        <w:rPr>
          <w:noProof/>
        </w:rPr>
        <w:tab/>
      </w:r>
      <w:r>
        <w:rPr>
          <w:noProof/>
        </w:rPr>
        <w:fldChar w:fldCharType="begin"/>
      </w:r>
      <w:r>
        <w:rPr>
          <w:noProof/>
        </w:rPr>
        <w:instrText xml:space="preserve"> PAGEREF _Toc447565083 \h </w:instrText>
      </w:r>
      <w:r>
        <w:rPr>
          <w:noProof/>
        </w:rPr>
      </w:r>
      <w:r>
        <w:rPr>
          <w:noProof/>
        </w:rPr>
        <w:fldChar w:fldCharType="separate"/>
      </w:r>
      <w:r w:rsidR="008D5FF2">
        <w:rPr>
          <w:noProof/>
        </w:rPr>
        <w:t>41</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Priority outcome 3 – Pacific peoples are better supported to be healthy</w:t>
      </w:r>
      <w:r>
        <w:rPr>
          <w:noProof/>
        </w:rPr>
        <w:tab/>
      </w:r>
      <w:r>
        <w:rPr>
          <w:noProof/>
        </w:rPr>
        <w:fldChar w:fldCharType="begin"/>
      </w:r>
      <w:r>
        <w:rPr>
          <w:noProof/>
        </w:rPr>
        <w:instrText xml:space="preserve"> PAGEREF _Toc447565084 \h </w:instrText>
      </w:r>
      <w:r>
        <w:rPr>
          <w:noProof/>
        </w:rPr>
      </w:r>
      <w:r>
        <w:rPr>
          <w:noProof/>
        </w:rPr>
        <w:fldChar w:fldCharType="separate"/>
      </w:r>
      <w:r w:rsidR="008D5FF2">
        <w:rPr>
          <w:noProof/>
        </w:rPr>
        <w:t>50</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Priority outcome 4 – Pacific peoples experience improved broader determinants of health</w:t>
      </w:r>
      <w:r>
        <w:rPr>
          <w:noProof/>
        </w:rPr>
        <w:tab/>
      </w:r>
      <w:r>
        <w:rPr>
          <w:noProof/>
        </w:rPr>
        <w:fldChar w:fldCharType="begin"/>
      </w:r>
      <w:r>
        <w:rPr>
          <w:noProof/>
        </w:rPr>
        <w:instrText xml:space="preserve"> PAGEREF _Toc447565085 \h </w:instrText>
      </w:r>
      <w:r>
        <w:rPr>
          <w:noProof/>
        </w:rPr>
      </w:r>
      <w:r>
        <w:rPr>
          <w:noProof/>
        </w:rPr>
        <w:fldChar w:fldCharType="separate"/>
      </w:r>
      <w:r w:rsidR="008D5FF2">
        <w:rPr>
          <w:noProof/>
        </w:rPr>
        <w:t>55</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_Toc447565086 \h </w:instrText>
      </w:r>
      <w:r>
        <w:rPr>
          <w:noProof/>
        </w:rPr>
      </w:r>
      <w:r>
        <w:rPr>
          <w:noProof/>
        </w:rPr>
        <w:fldChar w:fldCharType="separate"/>
      </w:r>
      <w:r w:rsidR="008D5FF2">
        <w:rPr>
          <w:noProof/>
        </w:rPr>
        <w:t>61</w:t>
      </w:r>
      <w:r>
        <w:rPr>
          <w:noProof/>
        </w:rPr>
        <w:fldChar w:fldCharType="end"/>
      </w:r>
    </w:p>
    <w:p w:rsidR="006C213B" w:rsidRDefault="006C213B">
      <w:pPr>
        <w:pStyle w:val="TOC1"/>
        <w:rPr>
          <w:rFonts w:asciiTheme="minorHAnsi" w:eastAsiaTheme="minorEastAsia" w:hAnsiTheme="minorHAnsi" w:cstheme="minorBidi"/>
          <w:b w:val="0"/>
          <w:noProof/>
          <w:szCs w:val="22"/>
          <w:lang w:eastAsia="en-NZ"/>
        </w:rPr>
      </w:pPr>
      <w:r>
        <w:rPr>
          <w:noProof/>
        </w:rPr>
        <w:t>Appendix</w:t>
      </w:r>
      <w:r>
        <w:rPr>
          <w:noProof/>
        </w:rPr>
        <w:tab/>
      </w:r>
      <w:r>
        <w:rPr>
          <w:noProof/>
        </w:rPr>
        <w:fldChar w:fldCharType="begin"/>
      </w:r>
      <w:r>
        <w:rPr>
          <w:noProof/>
        </w:rPr>
        <w:instrText xml:space="preserve"> PAGEREF _Toc447565087 \h </w:instrText>
      </w:r>
      <w:r>
        <w:rPr>
          <w:noProof/>
        </w:rPr>
      </w:r>
      <w:r>
        <w:rPr>
          <w:noProof/>
        </w:rPr>
        <w:fldChar w:fldCharType="separate"/>
      </w:r>
      <w:r w:rsidR="008D5FF2">
        <w:rPr>
          <w:noProof/>
        </w:rPr>
        <w:t>62</w:t>
      </w:r>
      <w:r>
        <w:rPr>
          <w:noProof/>
        </w:rPr>
        <w:fldChar w:fldCharType="end"/>
      </w:r>
    </w:p>
    <w:p w:rsidR="00C86248" w:rsidRDefault="00C86248">
      <w:r>
        <w:rPr>
          <w:b/>
        </w:rPr>
        <w:fldChar w:fldCharType="end"/>
      </w:r>
    </w:p>
    <w:p w:rsidR="00C86248" w:rsidRDefault="00C86248" w:rsidP="003B1D10">
      <w:pPr>
        <w:pStyle w:val="TOC1"/>
        <w:keepNext/>
      </w:pPr>
      <w:r>
        <w:t xml:space="preserve">List of </w:t>
      </w:r>
      <w:r w:rsidR="00961DB7">
        <w:t>t</w:t>
      </w:r>
      <w:r>
        <w:t>ables</w:t>
      </w:r>
    </w:p>
    <w:p w:rsidR="00DD54F0"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DD54F0">
        <w:rPr>
          <w:noProof/>
        </w:rPr>
        <w:t>Table 1:</w:t>
      </w:r>
      <w:r w:rsidR="00DD54F0">
        <w:rPr>
          <w:noProof/>
        </w:rPr>
        <w:tab/>
      </w:r>
      <w:r w:rsidR="00DD54F0" w:rsidRPr="006401D2">
        <w:rPr>
          <w:i/>
          <w:noProof/>
        </w:rPr>
        <w:t>’Ala Mo’ui</w:t>
      </w:r>
      <w:r w:rsidR="00DD54F0">
        <w:rPr>
          <w:noProof/>
        </w:rPr>
        <w:t xml:space="preserve"> indicators where performance for Pacific peoples has achieved equity, as at 31 December 2015</w:t>
      </w:r>
      <w:r w:rsidR="00DD54F0">
        <w:rPr>
          <w:noProof/>
        </w:rPr>
        <w:tab/>
      </w:r>
      <w:r w:rsidR="00DD54F0">
        <w:rPr>
          <w:noProof/>
        </w:rPr>
        <w:fldChar w:fldCharType="begin"/>
      </w:r>
      <w:r w:rsidR="00DD54F0">
        <w:rPr>
          <w:noProof/>
        </w:rPr>
        <w:instrText xml:space="preserve"> PAGEREF _Toc447527118 \h </w:instrText>
      </w:r>
      <w:r w:rsidR="00DD54F0">
        <w:rPr>
          <w:noProof/>
        </w:rPr>
      </w:r>
      <w:r w:rsidR="00DD54F0">
        <w:rPr>
          <w:noProof/>
        </w:rPr>
        <w:fldChar w:fldCharType="separate"/>
      </w:r>
      <w:r w:rsidR="008D5FF2">
        <w:rPr>
          <w:noProof/>
        </w:rPr>
        <w:t>viii</w:t>
      </w:r>
      <w:r w:rsidR="00DD54F0">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2:</w:t>
      </w:r>
      <w:r>
        <w:rPr>
          <w:noProof/>
        </w:rPr>
        <w:tab/>
      </w:r>
      <w:r w:rsidRPr="006401D2">
        <w:rPr>
          <w:i/>
          <w:noProof/>
        </w:rPr>
        <w:t>’Ala Mo’ui</w:t>
      </w:r>
      <w:r>
        <w:rPr>
          <w:noProof/>
        </w:rPr>
        <w:t xml:space="preserve"> indicators where there is a disparity in equity between Pacific peoples and the set target, as at 31 December 2015</w:t>
      </w:r>
      <w:r>
        <w:rPr>
          <w:noProof/>
        </w:rPr>
        <w:tab/>
      </w:r>
      <w:r>
        <w:rPr>
          <w:noProof/>
        </w:rPr>
        <w:fldChar w:fldCharType="begin"/>
      </w:r>
      <w:r>
        <w:rPr>
          <w:noProof/>
        </w:rPr>
        <w:instrText xml:space="preserve"> PAGEREF _Toc447527119 \h </w:instrText>
      </w:r>
      <w:r>
        <w:rPr>
          <w:noProof/>
        </w:rPr>
      </w:r>
      <w:r>
        <w:rPr>
          <w:noProof/>
        </w:rPr>
        <w:fldChar w:fldCharType="separate"/>
      </w:r>
      <w:r w:rsidR="008D5FF2">
        <w:rPr>
          <w:noProof/>
        </w:rPr>
        <w:t>viii</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3:</w:t>
      </w:r>
      <w:r>
        <w:rPr>
          <w:noProof/>
        </w:rPr>
        <w:tab/>
      </w:r>
      <w:r w:rsidRPr="006401D2">
        <w:rPr>
          <w:i/>
          <w:noProof/>
        </w:rPr>
        <w:t>’Ala Mo’ui</w:t>
      </w:r>
      <w:r>
        <w:rPr>
          <w:noProof/>
        </w:rPr>
        <w:t xml:space="preserve"> indicators where there is a disparity in equity between Pacific peoples and the total New Zealand population, as at 31 December 2015</w:t>
      </w:r>
      <w:r>
        <w:rPr>
          <w:noProof/>
        </w:rPr>
        <w:tab/>
      </w:r>
      <w:r>
        <w:rPr>
          <w:noProof/>
        </w:rPr>
        <w:fldChar w:fldCharType="begin"/>
      </w:r>
      <w:r>
        <w:rPr>
          <w:noProof/>
        </w:rPr>
        <w:instrText xml:space="preserve"> PAGEREF _Toc447527120 \h </w:instrText>
      </w:r>
      <w:r>
        <w:rPr>
          <w:noProof/>
        </w:rPr>
      </w:r>
      <w:r>
        <w:rPr>
          <w:noProof/>
        </w:rPr>
        <w:fldChar w:fldCharType="separate"/>
      </w:r>
      <w:r w:rsidR="008D5FF2">
        <w:rPr>
          <w:noProof/>
        </w:rPr>
        <w:t>ix</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4:</w:t>
      </w:r>
      <w:r>
        <w:rPr>
          <w:noProof/>
        </w:rPr>
        <w:tab/>
      </w:r>
      <w:r w:rsidRPr="006401D2">
        <w:rPr>
          <w:i/>
          <w:noProof/>
        </w:rPr>
        <w:t xml:space="preserve">’Ala Mo’ui </w:t>
      </w:r>
      <w:r>
        <w:rPr>
          <w:noProof/>
        </w:rPr>
        <w:t>performance indicators progress for the priority DHBs, as at 31 December 2015</w:t>
      </w:r>
      <w:r>
        <w:rPr>
          <w:noProof/>
        </w:rPr>
        <w:tab/>
      </w:r>
      <w:r>
        <w:rPr>
          <w:noProof/>
        </w:rPr>
        <w:fldChar w:fldCharType="begin"/>
      </w:r>
      <w:r>
        <w:rPr>
          <w:noProof/>
        </w:rPr>
        <w:instrText xml:space="preserve"> PAGEREF _Toc447527121 \h </w:instrText>
      </w:r>
      <w:r>
        <w:rPr>
          <w:noProof/>
        </w:rPr>
      </w:r>
      <w:r>
        <w:rPr>
          <w:noProof/>
        </w:rPr>
        <w:fldChar w:fldCharType="separate"/>
      </w:r>
      <w:r w:rsidR="008D5FF2">
        <w:rPr>
          <w:noProof/>
        </w:rPr>
        <w:t>x</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5:</w:t>
      </w:r>
      <w:r>
        <w:rPr>
          <w:noProof/>
        </w:rPr>
        <w:tab/>
        <w:t>Priority outcome 1 performance indicators where equity is a concern for Pacific peoples, as at 31 December 2015</w:t>
      </w:r>
      <w:r>
        <w:rPr>
          <w:noProof/>
        </w:rPr>
        <w:tab/>
      </w:r>
      <w:r>
        <w:rPr>
          <w:noProof/>
        </w:rPr>
        <w:fldChar w:fldCharType="begin"/>
      </w:r>
      <w:r>
        <w:rPr>
          <w:noProof/>
        </w:rPr>
        <w:instrText xml:space="preserve"> PAGEREF _Toc447527122 \h </w:instrText>
      </w:r>
      <w:r>
        <w:rPr>
          <w:noProof/>
        </w:rPr>
      </w:r>
      <w:r>
        <w:rPr>
          <w:noProof/>
        </w:rPr>
        <w:fldChar w:fldCharType="separate"/>
      </w:r>
      <w:r w:rsidR="008D5FF2">
        <w:rPr>
          <w:noProof/>
        </w:rPr>
        <w:t>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6:</w:t>
      </w:r>
      <w:r>
        <w:rPr>
          <w:noProof/>
        </w:rPr>
        <w:tab/>
        <w:t>DHB ‘Rising to the Challenge’ actions delivered, as at 31 December 2015</w:t>
      </w:r>
      <w:r>
        <w:rPr>
          <w:noProof/>
        </w:rPr>
        <w:tab/>
      </w:r>
      <w:r>
        <w:rPr>
          <w:noProof/>
        </w:rPr>
        <w:fldChar w:fldCharType="begin"/>
      </w:r>
      <w:r>
        <w:rPr>
          <w:noProof/>
        </w:rPr>
        <w:instrText xml:space="preserve"> PAGEREF _Toc447527123 \h </w:instrText>
      </w:r>
      <w:r>
        <w:rPr>
          <w:noProof/>
        </w:rPr>
      </w:r>
      <w:r>
        <w:rPr>
          <w:noProof/>
        </w:rPr>
        <w:fldChar w:fldCharType="separate"/>
      </w:r>
      <w:r w:rsidR="008D5FF2">
        <w:rPr>
          <w:noProof/>
        </w:rPr>
        <w:t>5</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7:</w:t>
      </w:r>
      <w:r>
        <w:rPr>
          <w:noProof/>
        </w:rPr>
        <w:tab/>
        <w:t>DHB activities delivered to improve services offering Pacific peoples better help for smokers to quit, as at 31 December 2015</w:t>
      </w:r>
      <w:r>
        <w:rPr>
          <w:noProof/>
        </w:rPr>
        <w:tab/>
      </w:r>
      <w:r>
        <w:rPr>
          <w:noProof/>
        </w:rPr>
        <w:fldChar w:fldCharType="begin"/>
      </w:r>
      <w:r>
        <w:rPr>
          <w:noProof/>
        </w:rPr>
        <w:instrText xml:space="preserve"> PAGEREF _Toc447527124 \h </w:instrText>
      </w:r>
      <w:r>
        <w:rPr>
          <w:noProof/>
        </w:rPr>
      </w:r>
      <w:r>
        <w:rPr>
          <w:noProof/>
        </w:rPr>
        <w:fldChar w:fldCharType="separate"/>
      </w:r>
      <w:r w:rsidR="008D5FF2">
        <w:rPr>
          <w:noProof/>
        </w:rPr>
        <w:t>27</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8:</w:t>
      </w:r>
      <w:r>
        <w:rPr>
          <w:noProof/>
        </w:rPr>
        <w:tab/>
        <w:t>DHB work towards offering Pacific peoples more heart and diabetes checks, as at 31 December 2015</w:t>
      </w:r>
      <w:r>
        <w:rPr>
          <w:noProof/>
        </w:rPr>
        <w:tab/>
      </w:r>
      <w:r>
        <w:rPr>
          <w:noProof/>
        </w:rPr>
        <w:fldChar w:fldCharType="begin"/>
      </w:r>
      <w:r>
        <w:rPr>
          <w:noProof/>
        </w:rPr>
        <w:instrText xml:space="preserve"> PAGEREF _Toc447527125 \h </w:instrText>
      </w:r>
      <w:r>
        <w:rPr>
          <w:noProof/>
        </w:rPr>
      </w:r>
      <w:r>
        <w:rPr>
          <w:noProof/>
        </w:rPr>
        <w:fldChar w:fldCharType="separate"/>
      </w:r>
      <w:r w:rsidR="008D5FF2">
        <w:rPr>
          <w:noProof/>
        </w:rPr>
        <w:t>28</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9:</w:t>
      </w:r>
      <w:r>
        <w:rPr>
          <w:noProof/>
        </w:rPr>
        <w:tab/>
        <w:t>Performance against priority outcome 2 indicators, as at 31 December 2015</w:t>
      </w:r>
      <w:r>
        <w:rPr>
          <w:noProof/>
        </w:rPr>
        <w:tab/>
      </w:r>
      <w:r>
        <w:rPr>
          <w:noProof/>
        </w:rPr>
        <w:fldChar w:fldCharType="begin"/>
      </w:r>
      <w:r>
        <w:rPr>
          <w:noProof/>
        </w:rPr>
        <w:instrText xml:space="preserve"> PAGEREF _Toc447527126 \h </w:instrText>
      </w:r>
      <w:r>
        <w:rPr>
          <w:noProof/>
        </w:rPr>
      </w:r>
      <w:r>
        <w:rPr>
          <w:noProof/>
        </w:rPr>
        <w:fldChar w:fldCharType="separate"/>
      </w:r>
      <w:r w:rsidR="008D5FF2">
        <w:rPr>
          <w:noProof/>
        </w:rPr>
        <w:t>40</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10:</w:t>
      </w:r>
      <w:r>
        <w:rPr>
          <w:noProof/>
        </w:rPr>
        <w:tab/>
        <w:t>Performance against priority outcome 4 indicators, as at 31 December 2015</w:t>
      </w:r>
      <w:r>
        <w:rPr>
          <w:noProof/>
        </w:rPr>
        <w:tab/>
      </w:r>
      <w:r>
        <w:rPr>
          <w:noProof/>
        </w:rPr>
        <w:fldChar w:fldCharType="begin"/>
      </w:r>
      <w:r>
        <w:rPr>
          <w:noProof/>
        </w:rPr>
        <w:instrText xml:space="preserve"> PAGEREF _Toc447527127 \h </w:instrText>
      </w:r>
      <w:r>
        <w:rPr>
          <w:noProof/>
        </w:rPr>
      </w:r>
      <w:r>
        <w:rPr>
          <w:noProof/>
        </w:rPr>
        <w:fldChar w:fldCharType="separate"/>
      </w:r>
      <w:r w:rsidR="008D5FF2">
        <w:rPr>
          <w:noProof/>
        </w:rPr>
        <w:t>54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Table A1:</w:t>
      </w:r>
      <w:r>
        <w:rPr>
          <w:noProof/>
        </w:rPr>
        <w:tab/>
        <w:t>Projected Pacific peoples population for 2015/16 by DHB based on the 2013 Census</w:t>
      </w:r>
      <w:r>
        <w:rPr>
          <w:noProof/>
        </w:rPr>
        <w:tab/>
      </w:r>
      <w:r>
        <w:rPr>
          <w:noProof/>
        </w:rPr>
        <w:fldChar w:fldCharType="begin"/>
      </w:r>
      <w:r>
        <w:rPr>
          <w:noProof/>
        </w:rPr>
        <w:instrText xml:space="preserve"> PAGEREF _Toc447527128 \h </w:instrText>
      </w:r>
      <w:r>
        <w:rPr>
          <w:noProof/>
        </w:rPr>
      </w:r>
      <w:r>
        <w:rPr>
          <w:noProof/>
        </w:rPr>
        <w:fldChar w:fldCharType="separate"/>
      </w:r>
      <w:r w:rsidR="008D5FF2">
        <w:rPr>
          <w:noProof/>
        </w:rPr>
        <w:t>62</w:t>
      </w:r>
      <w:r>
        <w:rPr>
          <w:noProof/>
        </w:rPr>
        <w:fldChar w:fldCharType="end"/>
      </w:r>
    </w:p>
    <w:p w:rsidR="00C86248" w:rsidRDefault="00C86248" w:rsidP="0030382F">
      <w:r>
        <w:fldChar w:fldCharType="end"/>
      </w:r>
    </w:p>
    <w:p w:rsidR="003A5FEA" w:rsidRDefault="003A5FEA" w:rsidP="003A5FEA">
      <w:pPr>
        <w:pStyle w:val="TOC1"/>
      </w:pPr>
      <w:r>
        <w:lastRenderedPageBreak/>
        <w:t xml:space="preserve">List of </w:t>
      </w:r>
      <w:r w:rsidR="00961DB7">
        <w:t>f</w:t>
      </w:r>
      <w:r>
        <w:t>igures</w:t>
      </w:r>
    </w:p>
    <w:p w:rsidR="00DD54F0"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DD54F0">
        <w:rPr>
          <w:noProof/>
        </w:rPr>
        <w:t>Figure 1:</w:t>
      </w:r>
      <w:r w:rsidR="00DD54F0">
        <w:rPr>
          <w:noProof/>
        </w:rPr>
        <w:tab/>
        <w:t>ASH rates per 100,000 (0–74-year-olds), Pacific peoples population and total New Zealand population, 2001–2014</w:t>
      </w:r>
      <w:r w:rsidR="00DD54F0">
        <w:rPr>
          <w:noProof/>
        </w:rPr>
        <w:tab/>
      </w:r>
      <w:r w:rsidR="00DD54F0">
        <w:rPr>
          <w:noProof/>
        </w:rPr>
        <w:fldChar w:fldCharType="begin"/>
      </w:r>
      <w:r w:rsidR="00DD54F0">
        <w:rPr>
          <w:noProof/>
        </w:rPr>
        <w:instrText xml:space="preserve"> PAGEREF _Toc447527137 \h </w:instrText>
      </w:r>
      <w:r w:rsidR="00DD54F0">
        <w:rPr>
          <w:noProof/>
        </w:rPr>
      </w:r>
      <w:r w:rsidR="00DD54F0">
        <w:rPr>
          <w:noProof/>
        </w:rPr>
        <w:fldChar w:fldCharType="separate"/>
      </w:r>
      <w:r w:rsidR="008D5FF2">
        <w:rPr>
          <w:noProof/>
        </w:rPr>
        <w:t>2</w:t>
      </w:r>
      <w:r w:rsidR="00DD54F0">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w:t>
      </w:r>
      <w:r>
        <w:rPr>
          <w:noProof/>
        </w:rPr>
        <w:tab/>
        <w:t>ASH rates per 100,000 (0–74-year-olds), Pacific peoples, by priority district health boards (DHBs), 2001–2014</w:t>
      </w:r>
      <w:r>
        <w:rPr>
          <w:noProof/>
        </w:rPr>
        <w:tab/>
      </w:r>
      <w:r>
        <w:rPr>
          <w:noProof/>
        </w:rPr>
        <w:fldChar w:fldCharType="begin"/>
      </w:r>
      <w:r>
        <w:rPr>
          <w:noProof/>
        </w:rPr>
        <w:instrText xml:space="preserve"> PAGEREF _Toc447527138 \h </w:instrText>
      </w:r>
      <w:r>
        <w:rPr>
          <w:noProof/>
        </w:rPr>
      </w:r>
      <w:r>
        <w:rPr>
          <w:noProof/>
        </w:rPr>
        <w:fldChar w:fldCharType="separate"/>
      </w:r>
      <w:r w:rsidR="008D5FF2">
        <w:rPr>
          <w:noProof/>
        </w:rPr>
        <w:t>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w:t>
      </w:r>
      <w:r>
        <w:rPr>
          <w:noProof/>
        </w:rPr>
        <w:tab/>
        <w:t>Access rate to DHB mental health services, Pacific peoples population and total New Zealand population, 2005/2006–2014/2015</w:t>
      </w:r>
      <w:r>
        <w:rPr>
          <w:noProof/>
        </w:rPr>
        <w:tab/>
      </w:r>
      <w:r>
        <w:rPr>
          <w:noProof/>
        </w:rPr>
        <w:fldChar w:fldCharType="begin"/>
      </w:r>
      <w:r>
        <w:rPr>
          <w:noProof/>
        </w:rPr>
        <w:instrText xml:space="preserve"> PAGEREF _Toc447527139 \h </w:instrText>
      </w:r>
      <w:r>
        <w:rPr>
          <w:noProof/>
        </w:rPr>
      </w:r>
      <w:r>
        <w:rPr>
          <w:noProof/>
        </w:rPr>
        <w:fldChar w:fldCharType="separate"/>
      </w:r>
      <w:r w:rsidR="008D5FF2">
        <w:rPr>
          <w:noProof/>
        </w:rPr>
        <w:t>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4:</w:t>
      </w:r>
      <w:r>
        <w:rPr>
          <w:noProof/>
        </w:rPr>
        <w:tab/>
        <w:t>Access rate to DHB mental health services, Pacific peoples, by priority DHBs, 2005/2006–2014/2015</w:t>
      </w:r>
      <w:r>
        <w:rPr>
          <w:noProof/>
        </w:rPr>
        <w:tab/>
      </w:r>
      <w:r>
        <w:rPr>
          <w:noProof/>
        </w:rPr>
        <w:fldChar w:fldCharType="begin"/>
      </w:r>
      <w:r>
        <w:rPr>
          <w:noProof/>
        </w:rPr>
        <w:instrText xml:space="preserve"> PAGEREF _Toc447527140 \h </w:instrText>
      </w:r>
      <w:r>
        <w:rPr>
          <w:noProof/>
        </w:rPr>
      </w:r>
      <w:r>
        <w:rPr>
          <w:noProof/>
        </w:rPr>
        <w:fldChar w:fldCharType="separate"/>
      </w:r>
      <w:r w:rsidR="008D5FF2">
        <w:rPr>
          <w:noProof/>
        </w:rPr>
        <w:t>7</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5:</w:t>
      </w:r>
      <w:r>
        <w:rPr>
          <w:noProof/>
        </w:rPr>
        <w:tab/>
        <w:t>Access to DHB alcohol and drug services, Pacific peoples population and total New Zealand population, 2012/2013–2014/2015</w:t>
      </w:r>
      <w:r>
        <w:rPr>
          <w:noProof/>
        </w:rPr>
        <w:tab/>
      </w:r>
      <w:r>
        <w:rPr>
          <w:noProof/>
        </w:rPr>
        <w:fldChar w:fldCharType="begin"/>
      </w:r>
      <w:r>
        <w:rPr>
          <w:noProof/>
        </w:rPr>
        <w:instrText xml:space="preserve"> PAGEREF _Toc447527141 \h </w:instrText>
      </w:r>
      <w:r>
        <w:rPr>
          <w:noProof/>
        </w:rPr>
      </w:r>
      <w:r>
        <w:rPr>
          <w:noProof/>
        </w:rPr>
        <w:fldChar w:fldCharType="separate"/>
      </w:r>
      <w:r w:rsidR="008D5FF2">
        <w:rPr>
          <w:noProof/>
        </w:rPr>
        <w:t>8</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6:</w:t>
      </w:r>
      <w:r>
        <w:rPr>
          <w:noProof/>
        </w:rPr>
        <w:tab/>
        <w:t>Access to DHB alcohol and drug services, Pacific peoples, by priority DHBs, 2012/2013–2014/2015</w:t>
      </w:r>
      <w:r>
        <w:rPr>
          <w:noProof/>
        </w:rPr>
        <w:tab/>
      </w:r>
      <w:r>
        <w:rPr>
          <w:noProof/>
        </w:rPr>
        <w:fldChar w:fldCharType="begin"/>
      </w:r>
      <w:r>
        <w:rPr>
          <w:noProof/>
        </w:rPr>
        <w:instrText xml:space="preserve"> PAGEREF _Toc447527142 \h </w:instrText>
      </w:r>
      <w:r>
        <w:rPr>
          <w:noProof/>
        </w:rPr>
      </w:r>
      <w:r>
        <w:rPr>
          <w:noProof/>
        </w:rPr>
        <w:fldChar w:fldCharType="separate"/>
      </w:r>
      <w:r w:rsidR="008D5FF2">
        <w:rPr>
          <w:noProof/>
        </w:rPr>
        <w:t>9</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7:</w:t>
      </w:r>
      <w:r>
        <w:rPr>
          <w:noProof/>
        </w:rPr>
        <w:tab/>
        <w:t>Percentage of newborn infants enrolled with a general practice by three months of age, Pacific peoples population and total New Zealand population, 2013–2015</w:t>
      </w:r>
      <w:r>
        <w:rPr>
          <w:noProof/>
        </w:rPr>
        <w:tab/>
      </w:r>
      <w:r>
        <w:rPr>
          <w:noProof/>
        </w:rPr>
        <w:fldChar w:fldCharType="begin"/>
      </w:r>
      <w:r>
        <w:rPr>
          <w:noProof/>
        </w:rPr>
        <w:instrText xml:space="preserve"> PAGEREF _Toc447527143 \h </w:instrText>
      </w:r>
      <w:r>
        <w:rPr>
          <w:noProof/>
        </w:rPr>
      </w:r>
      <w:r>
        <w:rPr>
          <w:noProof/>
        </w:rPr>
        <w:fldChar w:fldCharType="separate"/>
      </w:r>
      <w:r w:rsidR="008D5FF2">
        <w:rPr>
          <w:noProof/>
        </w:rPr>
        <w:t>11</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8:</w:t>
      </w:r>
      <w:r>
        <w:rPr>
          <w:noProof/>
        </w:rPr>
        <w:tab/>
        <w:t>Percentage of newborn infants enrolled with a general practice by three months of age, Pacific peoples, by priority DHBs, 2013–2015</w:t>
      </w:r>
      <w:r>
        <w:rPr>
          <w:noProof/>
        </w:rPr>
        <w:tab/>
      </w:r>
      <w:r>
        <w:rPr>
          <w:noProof/>
        </w:rPr>
        <w:fldChar w:fldCharType="begin"/>
      </w:r>
      <w:r>
        <w:rPr>
          <w:noProof/>
        </w:rPr>
        <w:instrText xml:space="preserve"> PAGEREF _Toc447527144 \h </w:instrText>
      </w:r>
      <w:r>
        <w:rPr>
          <w:noProof/>
        </w:rPr>
      </w:r>
      <w:r>
        <w:rPr>
          <w:noProof/>
        </w:rPr>
        <w:fldChar w:fldCharType="separate"/>
      </w:r>
      <w:r w:rsidR="008D5FF2">
        <w:rPr>
          <w:noProof/>
        </w:rPr>
        <w:t>12</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9:</w:t>
      </w:r>
      <w:r>
        <w:rPr>
          <w:noProof/>
        </w:rPr>
        <w:tab/>
        <w:t>Percentage of infants who received all WCTO core contacts in their first year of life, Pacific peoples population and total New Zealand population, 2013–2015</w:t>
      </w:r>
      <w:r>
        <w:rPr>
          <w:noProof/>
        </w:rPr>
        <w:tab/>
      </w:r>
      <w:r>
        <w:rPr>
          <w:noProof/>
        </w:rPr>
        <w:fldChar w:fldCharType="begin"/>
      </w:r>
      <w:r>
        <w:rPr>
          <w:noProof/>
        </w:rPr>
        <w:instrText xml:space="preserve"> PAGEREF _Toc447527145 \h </w:instrText>
      </w:r>
      <w:r>
        <w:rPr>
          <w:noProof/>
        </w:rPr>
      </w:r>
      <w:r>
        <w:rPr>
          <w:noProof/>
        </w:rPr>
        <w:fldChar w:fldCharType="separate"/>
      </w:r>
      <w:r w:rsidR="008D5FF2">
        <w:rPr>
          <w:noProof/>
        </w:rPr>
        <w:t>13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10:</w:t>
      </w:r>
      <w:r>
        <w:rPr>
          <w:noProof/>
        </w:rPr>
        <w:tab/>
        <w:t>Percentage of infants who received all WCTO core contacts in their first year of life, Pacific peoples, by priority DHBs, 2013–2015</w:t>
      </w:r>
      <w:r>
        <w:rPr>
          <w:noProof/>
        </w:rPr>
        <w:tab/>
      </w:r>
      <w:r>
        <w:rPr>
          <w:noProof/>
        </w:rPr>
        <w:fldChar w:fldCharType="begin"/>
      </w:r>
      <w:r>
        <w:rPr>
          <w:noProof/>
        </w:rPr>
        <w:instrText xml:space="preserve"> PAGEREF _Toc447527146 \h </w:instrText>
      </w:r>
      <w:r>
        <w:rPr>
          <w:noProof/>
        </w:rPr>
      </w:r>
      <w:r>
        <w:rPr>
          <w:noProof/>
        </w:rPr>
        <w:fldChar w:fldCharType="separate"/>
      </w:r>
      <w:r w:rsidR="008D5FF2">
        <w:rPr>
          <w:noProof/>
        </w:rPr>
        <w:t>14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11:</w:t>
      </w:r>
      <w:r>
        <w:rPr>
          <w:noProof/>
        </w:rPr>
        <w:tab/>
        <w:t>Percentage of four-year-olds who received a B4SC, Pacific peoples population and total New Zealand population, 2013–2015</w:t>
      </w:r>
      <w:r>
        <w:rPr>
          <w:noProof/>
        </w:rPr>
        <w:tab/>
      </w:r>
      <w:r>
        <w:rPr>
          <w:noProof/>
        </w:rPr>
        <w:fldChar w:fldCharType="begin"/>
      </w:r>
      <w:r>
        <w:rPr>
          <w:noProof/>
        </w:rPr>
        <w:instrText xml:space="preserve"> PAGEREF _Toc447527147 \h </w:instrText>
      </w:r>
      <w:r>
        <w:rPr>
          <w:noProof/>
        </w:rPr>
      </w:r>
      <w:r>
        <w:rPr>
          <w:noProof/>
        </w:rPr>
        <w:fldChar w:fldCharType="separate"/>
      </w:r>
      <w:r w:rsidR="008D5FF2">
        <w:rPr>
          <w:noProof/>
        </w:rPr>
        <w:t>15</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12:</w:t>
      </w:r>
      <w:r>
        <w:rPr>
          <w:noProof/>
        </w:rPr>
        <w:tab/>
        <w:t>Percentage of four-year-olds who received a B4SC, Pacific peoples, by priority DHBs, 2013–2015</w:t>
      </w:r>
      <w:r>
        <w:rPr>
          <w:noProof/>
        </w:rPr>
        <w:tab/>
      </w:r>
      <w:r>
        <w:rPr>
          <w:noProof/>
        </w:rPr>
        <w:fldChar w:fldCharType="begin"/>
      </w:r>
      <w:r>
        <w:rPr>
          <w:noProof/>
        </w:rPr>
        <w:instrText xml:space="preserve"> PAGEREF _Toc447527148 \h </w:instrText>
      </w:r>
      <w:r>
        <w:rPr>
          <w:noProof/>
        </w:rPr>
      </w:r>
      <w:r>
        <w:rPr>
          <w:noProof/>
        </w:rPr>
        <w:fldChar w:fldCharType="separate"/>
      </w:r>
      <w:r w:rsidR="008D5FF2">
        <w:rPr>
          <w:noProof/>
        </w:rPr>
        <w:t>16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13:</w:t>
      </w:r>
      <w:r>
        <w:rPr>
          <w:noProof/>
        </w:rPr>
        <w:tab/>
        <w:t>Percentage of infants exclusively or fully breastfed at three months of age, Pacific peoples population and total New Zealand population, 2013–2015</w:t>
      </w:r>
      <w:r>
        <w:rPr>
          <w:noProof/>
        </w:rPr>
        <w:tab/>
      </w:r>
      <w:r>
        <w:rPr>
          <w:noProof/>
        </w:rPr>
        <w:fldChar w:fldCharType="begin"/>
      </w:r>
      <w:r>
        <w:rPr>
          <w:noProof/>
        </w:rPr>
        <w:instrText xml:space="preserve"> PAGEREF _Toc447527149 \h </w:instrText>
      </w:r>
      <w:r>
        <w:rPr>
          <w:noProof/>
        </w:rPr>
      </w:r>
      <w:r>
        <w:rPr>
          <w:noProof/>
        </w:rPr>
        <w:fldChar w:fldCharType="separate"/>
      </w:r>
      <w:r w:rsidR="008D5FF2">
        <w:rPr>
          <w:noProof/>
        </w:rPr>
        <w:t>17</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14:</w:t>
      </w:r>
      <w:r>
        <w:rPr>
          <w:noProof/>
        </w:rPr>
        <w:tab/>
        <w:t>Percentage of infants exclusively or fully breastfed at three months of age, Pacific peoples, by priority DHBs, 2013–2015</w:t>
      </w:r>
      <w:r>
        <w:rPr>
          <w:noProof/>
        </w:rPr>
        <w:tab/>
      </w:r>
      <w:r>
        <w:rPr>
          <w:noProof/>
        </w:rPr>
        <w:fldChar w:fldCharType="begin"/>
      </w:r>
      <w:r>
        <w:rPr>
          <w:noProof/>
        </w:rPr>
        <w:instrText xml:space="preserve"> PAGEREF _Toc447527150 \h </w:instrText>
      </w:r>
      <w:r>
        <w:rPr>
          <w:noProof/>
        </w:rPr>
      </w:r>
      <w:r>
        <w:rPr>
          <w:noProof/>
        </w:rPr>
        <w:fldChar w:fldCharType="separate"/>
      </w:r>
      <w:r w:rsidR="008D5FF2">
        <w:rPr>
          <w:noProof/>
        </w:rPr>
        <w:t>18</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15:</w:t>
      </w:r>
      <w:r>
        <w:rPr>
          <w:noProof/>
        </w:rPr>
        <w:tab/>
        <w:t>Percentage of children with BMI &gt;99.4th percentile referred to a GP or specialist services, Pacific peoples population and total New Zealand population, 2013–2015</w:t>
      </w:r>
      <w:r>
        <w:rPr>
          <w:noProof/>
        </w:rPr>
        <w:tab/>
      </w:r>
      <w:r>
        <w:rPr>
          <w:noProof/>
        </w:rPr>
        <w:fldChar w:fldCharType="begin"/>
      </w:r>
      <w:r>
        <w:rPr>
          <w:noProof/>
        </w:rPr>
        <w:instrText xml:space="preserve"> PAGEREF _Toc447527151 \h </w:instrText>
      </w:r>
      <w:r>
        <w:rPr>
          <w:noProof/>
        </w:rPr>
      </w:r>
      <w:r>
        <w:rPr>
          <w:noProof/>
        </w:rPr>
        <w:fldChar w:fldCharType="separate"/>
      </w:r>
      <w:r w:rsidR="008D5FF2">
        <w:rPr>
          <w:noProof/>
        </w:rPr>
        <w:t>19</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16:</w:t>
      </w:r>
      <w:r>
        <w:rPr>
          <w:noProof/>
        </w:rPr>
        <w:tab/>
        <w:t>Percentage of children with BMI &gt;99.4th percentile referred to a GP or specialist services, Pacific peoples, by priority DHBs, 2013–2015</w:t>
      </w:r>
      <w:r>
        <w:rPr>
          <w:noProof/>
        </w:rPr>
        <w:tab/>
      </w:r>
      <w:r>
        <w:rPr>
          <w:noProof/>
        </w:rPr>
        <w:fldChar w:fldCharType="begin"/>
      </w:r>
      <w:r>
        <w:rPr>
          <w:noProof/>
        </w:rPr>
        <w:instrText xml:space="preserve"> PAGEREF _Toc447527152 \h </w:instrText>
      </w:r>
      <w:r>
        <w:rPr>
          <w:noProof/>
        </w:rPr>
      </w:r>
      <w:r>
        <w:rPr>
          <w:noProof/>
        </w:rPr>
        <w:fldChar w:fldCharType="separate"/>
      </w:r>
      <w:r w:rsidR="008D5FF2">
        <w:rPr>
          <w:noProof/>
        </w:rPr>
        <w:t>20</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17:</w:t>
      </w:r>
      <w:r>
        <w:rPr>
          <w:noProof/>
        </w:rPr>
        <w:tab/>
        <w:t>Percentage of children under five years old enrolled in the Community Oral Health Service, Pacific peoples population and total New Zealand population, 2007–2014</w:t>
      </w:r>
      <w:r>
        <w:rPr>
          <w:noProof/>
        </w:rPr>
        <w:tab/>
      </w:r>
      <w:r>
        <w:rPr>
          <w:noProof/>
        </w:rPr>
        <w:fldChar w:fldCharType="begin"/>
      </w:r>
      <w:r>
        <w:rPr>
          <w:noProof/>
        </w:rPr>
        <w:instrText xml:space="preserve"> PAGEREF _Toc447527153 \h </w:instrText>
      </w:r>
      <w:r>
        <w:rPr>
          <w:noProof/>
        </w:rPr>
      </w:r>
      <w:r>
        <w:rPr>
          <w:noProof/>
        </w:rPr>
        <w:fldChar w:fldCharType="separate"/>
      </w:r>
      <w:r w:rsidR="008D5FF2">
        <w:rPr>
          <w:noProof/>
        </w:rPr>
        <w:t>21</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18:</w:t>
      </w:r>
      <w:r>
        <w:rPr>
          <w:noProof/>
        </w:rPr>
        <w:tab/>
        <w:t>Percentage of children under five years old enrolled in the Community Oral Health Service, Pacific peoples, by priority DHBs, 2007–2014</w:t>
      </w:r>
      <w:r>
        <w:rPr>
          <w:noProof/>
        </w:rPr>
        <w:tab/>
      </w:r>
      <w:r>
        <w:rPr>
          <w:noProof/>
        </w:rPr>
        <w:fldChar w:fldCharType="begin"/>
      </w:r>
      <w:r>
        <w:rPr>
          <w:noProof/>
        </w:rPr>
        <w:instrText xml:space="preserve"> PAGEREF _Toc447527154 \h </w:instrText>
      </w:r>
      <w:r>
        <w:rPr>
          <w:noProof/>
        </w:rPr>
      </w:r>
      <w:r>
        <w:rPr>
          <w:noProof/>
        </w:rPr>
        <w:fldChar w:fldCharType="separate"/>
      </w:r>
      <w:r w:rsidR="008D5FF2">
        <w:rPr>
          <w:noProof/>
        </w:rPr>
        <w:t>22</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19:</w:t>
      </w:r>
      <w:r>
        <w:rPr>
          <w:noProof/>
        </w:rPr>
        <w:tab/>
        <w:t>Percentage of children caries-free at age five, Pacific peoples population and total New Zealand population, 2007–2014</w:t>
      </w:r>
      <w:r>
        <w:rPr>
          <w:noProof/>
        </w:rPr>
        <w:tab/>
      </w:r>
      <w:r>
        <w:rPr>
          <w:noProof/>
        </w:rPr>
        <w:fldChar w:fldCharType="begin"/>
      </w:r>
      <w:r>
        <w:rPr>
          <w:noProof/>
        </w:rPr>
        <w:instrText xml:space="preserve"> PAGEREF _Toc447527155 \h </w:instrText>
      </w:r>
      <w:r>
        <w:rPr>
          <w:noProof/>
        </w:rPr>
      </w:r>
      <w:r>
        <w:rPr>
          <w:noProof/>
        </w:rPr>
        <w:fldChar w:fldCharType="separate"/>
      </w:r>
      <w:r w:rsidR="008D5FF2">
        <w:rPr>
          <w:noProof/>
        </w:rPr>
        <w:t>23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20:</w:t>
      </w:r>
      <w:r>
        <w:rPr>
          <w:noProof/>
        </w:rPr>
        <w:tab/>
        <w:t>Percentage of children caries-free at age five, Pacific peoples, by priority DHBs, 2007–2014</w:t>
      </w:r>
      <w:r>
        <w:rPr>
          <w:noProof/>
        </w:rPr>
        <w:tab/>
      </w:r>
      <w:r>
        <w:rPr>
          <w:noProof/>
        </w:rPr>
        <w:fldChar w:fldCharType="begin"/>
      </w:r>
      <w:r>
        <w:rPr>
          <w:noProof/>
        </w:rPr>
        <w:instrText xml:space="preserve"> PAGEREF _Toc447527156 \h </w:instrText>
      </w:r>
      <w:r>
        <w:rPr>
          <w:noProof/>
        </w:rPr>
      </w:r>
      <w:r>
        <w:rPr>
          <w:noProof/>
        </w:rPr>
        <w:fldChar w:fldCharType="separate"/>
      </w:r>
      <w:r w:rsidR="008D5FF2">
        <w:rPr>
          <w:noProof/>
        </w:rPr>
        <w:t>24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21:</w:t>
      </w:r>
      <w:r>
        <w:rPr>
          <w:noProof/>
        </w:rPr>
        <w:tab/>
        <w:t>Mean rate of DMFT at school year eight, Pacific peoples population and total New Zealand population, 2007–2014</w:t>
      </w:r>
      <w:r>
        <w:rPr>
          <w:noProof/>
        </w:rPr>
        <w:tab/>
      </w:r>
      <w:r>
        <w:rPr>
          <w:noProof/>
        </w:rPr>
        <w:fldChar w:fldCharType="begin"/>
      </w:r>
      <w:r>
        <w:rPr>
          <w:noProof/>
        </w:rPr>
        <w:instrText xml:space="preserve"> PAGEREF _Toc447527157 \h </w:instrText>
      </w:r>
      <w:r>
        <w:rPr>
          <w:noProof/>
        </w:rPr>
      </w:r>
      <w:r>
        <w:rPr>
          <w:noProof/>
        </w:rPr>
        <w:fldChar w:fldCharType="separate"/>
      </w:r>
      <w:r w:rsidR="008D5FF2">
        <w:rPr>
          <w:noProof/>
        </w:rPr>
        <w:t>25</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lastRenderedPageBreak/>
        <w:t>Figure 22:</w:t>
      </w:r>
      <w:r>
        <w:rPr>
          <w:noProof/>
        </w:rPr>
        <w:tab/>
        <w:t>Mean rate of DMFT at school year eight, Pacific peoples, by priority DHBs, 2007–2014</w:t>
      </w:r>
      <w:r>
        <w:rPr>
          <w:noProof/>
        </w:rPr>
        <w:tab/>
      </w:r>
      <w:r>
        <w:rPr>
          <w:noProof/>
        </w:rPr>
        <w:fldChar w:fldCharType="begin"/>
      </w:r>
      <w:r>
        <w:rPr>
          <w:noProof/>
        </w:rPr>
        <w:instrText xml:space="preserve"> PAGEREF _Toc447527158 \h </w:instrText>
      </w:r>
      <w:r>
        <w:rPr>
          <w:noProof/>
        </w:rPr>
      </w:r>
      <w:r>
        <w:rPr>
          <w:noProof/>
        </w:rPr>
        <w:fldChar w:fldCharType="separate"/>
      </w:r>
      <w:r w:rsidR="008D5FF2">
        <w:rPr>
          <w:noProof/>
        </w:rPr>
        <w:t>26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23:</w:t>
      </w:r>
      <w:r>
        <w:rPr>
          <w:noProof/>
        </w:rPr>
        <w:tab/>
        <w:t>Percentage of smokers offered brief advice and support to quit in primary health care, Pacific peoples population and total New Zealand population, 2013–2015</w:t>
      </w:r>
      <w:r>
        <w:rPr>
          <w:noProof/>
        </w:rPr>
        <w:tab/>
      </w:r>
      <w:r>
        <w:rPr>
          <w:noProof/>
        </w:rPr>
        <w:fldChar w:fldCharType="begin"/>
      </w:r>
      <w:r>
        <w:rPr>
          <w:noProof/>
        </w:rPr>
        <w:instrText xml:space="preserve"> PAGEREF _Toc447527159 \h </w:instrText>
      </w:r>
      <w:r>
        <w:rPr>
          <w:noProof/>
        </w:rPr>
      </w:r>
      <w:r>
        <w:rPr>
          <w:noProof/>
        </w:rPr>
        <w:fldChar w:fldCharType="separate"/>
      </w:r>
      <w:r w:rsidR="008D5FF2">
        <w:rPr>
          <w:noProof/>
        </w:rPr>
        <w:t>30</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24:</w:t>
      </w:r>
      <w:r>
        <w:rPr>
          <w:noProof/>
        </w:rPr>
        <w:tab/>
        <w:t>Percentage of smokers offered brief advice and support to quit in primary health care, Pacific peoples, by priority DHBs, 2013–2015</w:t>
      </w:r>
      <w:r>
        <w:rPr>
          <w:noProof/>
        </w:rPr>
        <w:tab/>
      </w:r>
      <w:r>
        <w:rPr>
          <w:noProof/>
        </w:rPr>
        <w:fldChar w:fldCharType="begin"/>
      </w:r>
      <w:r>
        <w:rPr>
          <w:noProof/>
        </w:rPr>
        <w:instrText xml:space="preserve"> PAGEREF _Toc447527160 \h </w:instrText>
      </w:r>
      <w:r>
        <w:rPr>
          <w:noProof/>
        </w:rPr>
      </w:r>
      <w:r>
        <w:rPr>
          <w:noProof/>
        </w:rPr>
        <w:fldChar w:fldCharType="separate"/>
      </w:r>
      <w:r w:rsidR="008D5FF2">
        <w:rPr>
          <w:noProof/>
        </w:rPr>
        <w:t>31</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25:</w:t>
      </w:r>
      <w:r>
        <w:rPr>
          <w:noProof/>
        </w:rPr>
        <w:tab/>
        <w:t>Percentage of eligible adults who had cardiovascular risk assessed, Pacific peoples population and total New Zealand population, 2013–2015</w:t>
      </w:r>
      <w:r>
        <w:rPr>
          <w:noProof/>
        </w:rPr>
        <w:tab/>
      </w:r>
      <w:r>
        <w:rPr>
          <w:noProof/>
        </w:rPr>
        <w:fldChar w:fldCharType="begin"/>
      </w:r>
      <w:r>
        <w:rPr>
          <w:noProof/>
        </w:rPr>
        <w:instrText xml:space="preserve"> PAGEREF _Toc447527161 \h </w:instrText>
      </w:r>
      <w:r>
        <w:rPr>
          <w:noProof/>
        </w:rPr>
      </w:r>
      <w:r>
        <w:rPr>
          <w:noProof/>
        </w:rPr>
        <w:fldChar w:fldCharType="separate"/>
      </w:r>
      <w:r w:rsidR="008D5FF2">
        <w:rPr>
          <w:noProof/>
        </w:rPr>
        <w:t>32</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26:</w:t>
      </w:r>
      <w:r>
        <w:rPr>
          <w:noProof/>
        </w:rPr>
        <w:tab/>
        <w:t>Percentage of eligible adults who had cardiovascular risk assessed, Pacific peoples, by priority DHBs, 2013–2015</w:t>
      </w:r>
      <w:r>
        <w:rPr>
          <w:noProof/>
        </w:rPr>
        <w:tab/>
      </w:r>
      <w:r>
        <w:rPr>
          <w:noProof/>
        </w:rPr>
        <w:fldChar w:fldCharType="begin"/>
      </w:r>
      <w:r>
        <w:rPr>
          <w:noProof/>
        </w:rPr>
        <w:instrText xml:space="preserve"> PAGEREF _Toc447527162 \h </w:instrText>
      </w:r>
      <w:r>
        <w:rPr>
          <w:noProof/>
        </w:rPr>
      </w:r>
      <w:r>
        <w:rPr>
          <w:noProof/>
        </w:rPr>
        <w:fldChar w:fldCharType="separate"/>
      </w:r>
      <w:r w:rsidR="008D5FF2">
        <w:rPr>
          <w:noProof/>
        </w:rPr>
        <w:t>33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27:</w:t>
      </w:r>
      <w:r>
        <w:rPr>
          <w:noProof/>
        </w:rPr>
        <w:tab/>
        <w:t>Percentage of children who are obese (BMI &gt;/= Cole cut-offs), Pacific peoples population and total New Zealand population, 2006–2014</w:t>
      </w:r>
      <w:r>
        <w:rPr>
          <w:noProof/>
        </w:rPr>
        <w:tab/>
      </w:r>
      <w:r>
        <w:rPr>
          <w:noProof/>
        </w:rPr>
        <w:fldChar w:fldCharType="begin"/>
      </w:r>
      <w:r>
        <w:rPr>
          <w:noProof/>
        </w:rPr>
        <w:instrText xml:space="preserve"> PAGEREF _Toc447527163 \h </w:instrText>
      </w:r>
      <w:r>
        <w:rPr>
          <w:noProof/>
        </w:rPr>
      </w:r>
      <w:r>
        <w:rPr>
          <w:noProof/>
        </w:rPr>
        <w:fldChar w:fldCharType="separate"/>
      </w:r>
      <w:r w:rsidR="008D5FF2">
        <w:rPr>
          <w:noProof/>
        </w:rPr>
        <w:t>35</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28:</w:t>
      </w:r>
      <w:r>
        <w:rPr>
          <w:noProof/>
        </w:rPr>
        <w:tab/>
        <w:t>Percentage of children who are obese (BMI &gt;/= Cole cut-offs), Pacific peoples, by priority DHBs, 2006–2014</w:t>
      </w:r>
      <w:r>
        <w:rPr>
          <w:noProof/>
        </w:rPr>
        <w:tab/>
      </w:r>
      <w:r>
        <w:rPr>
          <w:noProof/>
        </w:rPr>
        <w:fldChar w:fldCharType="begin"/>
      </w:r>
      <w:r>
        <w:rPr>
          <w:noProof/>
        </w:rPr>
        <w:instrText xml:space="preserve"> PAGEREF _Toc447527164 \h </w:instrText>
      </w:r>
      <w:r>
        <w:rPr>
          <w:noProof/>
        </w:rPr>
      </w:r>
      <w:r>
        <w:rPr>
          <w:noProof/>
        </w:rPr>
        <w:fldChar w:fldCharType="separate"/>
      </w:r>
      <w:r w:rsidR="008D5FF2">
        <w:rPr>
          <w:noProof/>
        </w:rPr>
        <w:t>36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29:</w:t>
      </w:r>
      <w:r>
        <w:rPr>
          <w:noProof/>
        </w:rPr>
        <w:tab/>
        <w:t>Percentage of enrolled women aged 25–69 years who received a cervical smear in the past three years, Pacific peoples population and total New Zealand population, 2013–2015</w:t>
      </w:r>
      <w:r>
        <w:rPr>
          <w:noProof/>
        </w:rPr>
        <w:tab/>
      </w:r>
      <w:r>
        <w:rPr>
          <w:noProof/>
        </w:rPr>
        <w:fldChar w:fldCharType="begin"/>
      </w:r>
      <w:r>
        <w:rPr>
          <w:noProof/>
        </w:rPr>
        <w:instrText xml:space="preserve"> PAGEREF _Toc447527165 \h </w:instrText>
      </w:r>
      <w:r>
        <w:rPr>
          <w:noProof/>
        </w:rPr>
      </w:r>
      <w:r>
        <w:rPr>
          <w:noProof/>
        </w:rPr>
        <w:fldChar w:fldCharType="separate"/>
      </w:r>
      <w:r w:rsidR="008D5FF2">
        <w:rPr>
          <w:noProof/>
        </w:rPr>
        <w:t>38</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30:</w:t>
      </w:r>
      <w:r>
        <w:rPr>
          <w:noProof/>
        </w:rPr>
        <w:tab/>
        <w:t>Percentage of enrolled women aged 25–69 years who received a cervical smear in the past three years, Pacific peoples, by priority DHBs, 2013–2015</w:t>
      </w:r>
      <w:r>
        <w:rPr>
          <w:noProof/>
        </w:rPr>
        <w:tab/>
      </w:r>
      <w:r>
        <w:rPr>
          <w:noProof/>
        </w:rPr>
        <w:fldChar w:fldCharType="begin"/>
      </w:r>
      <w:r>
        <w:rPr>
          <w:noProof/>
        </w:rPr>
        <w:instrText xml:space="preserve"> PAGEREF _Toc447527166 \h </w:instrText>
      </w:r>
      <w:r>
        <w:rPr>
          <w:noProof/>
        </w:rPr>
      </w:r>
      <w:r>
        <w:rPr>
          <w:noProof/>
        </w:rPr>
        <w:fldChar w:fldCharType="separate"/>
      </w:r>
      <w:r w:rsidR="008D5FF2">
        <w:rPr>
          <w:noProof/>
        </w:rPr>
        <w:t>39</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31:</w:t>
      </w:r>
      <w:r>
        <w:rPr>
          <w:noProof/>
        </w:rPr>
        <w:tab/>
        <w:t>GP utilisation rate (average visits per person per year), Pacific peoples population and total New Zealand population, 2008–2015</w:t>
      </w:r>
      <w:r>
        <w:rPr>
          <w:noProof/>
        </w:rPr>
        <w:tab/>
      </w:r>
      <w:r>
        <w:rPr>
          <w:noProof/>
        </w:rPr>
        <w:fldChar w:fldCharType="begin"/>
      </w:r>
      <w:r>
        <w:rPr>
          <w:noProof/>
        </w:rPr>
        <w:instrText xml:space="preserve"> PAGEREF _Toc447527167 \h </w:instrText>
      </w:r>
      <w:r>
        <w:rPr>
          <w:noProof/>
        </w:rPr>
      </w:r>
      <w:r>
        <w:rPr>
          <w:noProof/>
        </w:rPr>
        <w:fldChar w:fldCharType="separate"/>
      </w:r>
      <w:r w:rsidR="008D5FF2">
        <w:rPr>
          <w:noProof/>
        </w:rPr>
        <w:t>43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32:</w:t>
      </w:r>
      <w:r>
        <w:rPr>
          <w:noProof/>
        </w:rPr>
        <w:tab/>
        <w:t>GP utilisation rate (average visits per person), Pacific peoples, by priority DHBs, 2008–2015</w:t>
      </w:r>
      <w:r>
        <w:rPr>
          <w:noProof/>
        </w:rPr>
        <w:tab/>
      </w:r>
      <w:r>
        <w:rPr>
          <w:noProof/>
        </w:rPr>
        <w:fldChar w:fldCharType="begin"/>
      </w:r>
      <w:r>
        <w:rPr>
          <w:noProof/>
        </w:rPr>
        <w:instrText xml:space="preserve"> PAGEREF _Toc447527168 \h </w:instrText>
      </w:r>
      <w:r>
        <w:rPr>
          <w:noProof/>
        </w:rPr>
      </w:r>
      <w:r>
        <w:rPr>
          <w:noProof/>
        </w:rPr>
        <w:fldChar w:fldCharType="separate"/>
      </w:r>
      <w:r w:rsidR="008D5FF2">
        <w:rPr>
          <w:noProof/>
        </w:rPr>
        <w:t>44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33:</w:t>
      </w:r>
      <w:r>
        <w:rPr>
          <w:noProof/>
        </w:rPr>
        <w:tab/>
        <w:t>Nurse utilisation rate (average visits per person), Pacific peoples population and total New Zealand population, 2008–2015</w:t>
      </w:r>
      <w:r>
        <w:rPr>
          <w:noProof/>
        </w:rPr>
        <w:tab/>
      </w:r>
      <w:r>
        <w:rPr>
          <w:noProof/>
        </w:rPr>
        <w:fldChar w:fldCharType="begin"/>
      </w:r>
      <w:r>
        <w:rPr>
          <w:noProof/>
        </w:rPr>
        <w:instrText xml:space="preserve"> PAGEREF _Toc447527169 \h </w:instrText>
      </w:r>
      <w:r>
        <w:rPr>
          <w:noProof/>
        </w:rPr>
      </w:r>
      <w:r>
        <w:rPr>
          <w:noProof/>
        </w:rPr>
        <w:fldChar w:fldCharType="separate"/>
      </w:r>
      <w:r w:rsidR="008D5FF2">
        <w:rPr>
          <w:noProof/>
        </w:rPr>
        <w:t>45</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34:</w:t>
      </w:r>
      <w:r>
        <w:rPr>
          <w:noProof/>
        </w:rPr>
        <w:tab/>
        <w:t>Nurse utilisation rate (average visits per person), Pacific peoples, by priority DHBs, 2008–2015</w:t>
      </w:r>
      <w:r>
        <w:rPr>
          <w:noProof/>
        </w:rPr>
        <w:tab/>
      </w:r>
      <w:r>
        <w:rPr>
          <w:noProof/>
        </w:rPr>
        <w:fldChar w:fldCharType="begin"/>
      </w:r>
      <w:r>
        <w:rPr>
          <w:noProof/>
        </w:rPr>
        <w:instrText xml:space="preserve"> PAGEREF _Toc447527170 \h </w:instrText>
      </w:r>
      <w:r>
        <w:rPr>
          <w:noProof/>
        </w:rPr>
      </w:r>
      <w:r>
        <w:rPr>
          <w:noProof/>
        </w:rPr>
        <w:fldChar w:fldCharType="separate"/>
      </w:r>
      <w:r w:rsidR="008D5FF2">
        <w:rPr>
          <w:noProof/>
        </w:rPr>
        <w:t>46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35:</w:t>
      </w:r>
      <w:r>
        <w:rPr>
          <w:noProof/>
        </w:rPr>
        <w:tab/>
        <w:t>Total GP and nurse utilisation rate (average visits per person), Pacific peoples population and total New Zealand population, 2008–2015</w:t>
      </w:r>
      <w:r>
        <w:rPr>
          <w:noProof/>
        </w:rPr>
        <w:tab/>
      </w:r>
      <w:r>
        <w:rPr>
          <w:noProof/>
        </w:rPr>
        <w:fldChar w:fldCharType="begin"/>
      </w:r>
      <w:r>
        <w:rPr>
          <w:noProof/>
        </w:rPr>
        <w:instrText xml:space="preserve"> PAGEREF _Toc447527171 \h </w:instrText>
      </w:r>
      <w:r>
        <w:rPr>
          <w:noProof/>
        </w:rPr>
      </w:r>
      <w:r>
        <w:rPr>
          <w:noProof/>
        </w:rPr>
        <w:fldChar w:fldCharType="separate"/>
      </w:r>
      <w:r w:rsidR="008D5FF2">
        <w:rPr>
          <w:noProof/>
        </w:rPr>
        <w:t>47</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36:</w:t>
      </w:r>
      <w:r>
        <w:rPr>
          <w:noProof/>
        </w:rPr>
        <w:tab/>
        <w:t>Total GP and nurse utilisation rate (average visits per person), Pacific peoples, by priority DHBs, 2008–2015</w:t>
      </w:r>
      <w:r>
        <w:rPr>
          <w:noProof/>
        </w:rPr>
        <w:tab/>
      </w:r>
      <w:r>
        <w:rPr>
          <w:noProof/>
        </w:rPr>
        <w:fldChar w:fldCharType="begin"/>
      </w:r>
      <w:r>
        <w:rPr>
          <w:noProof/>
        </w:rPr>
        <w:instrText xml:space="preserve"> PAGEREF _Toc447527172 \h </w:instrText>
      </w:r>
      <w:r>
        <w:rPr>
          <w:noProof/>
        </w:rPr>
      </w:r>
      <w:r>
        <w:rPr>
          <w:noProof/>
        </w:rPr>
        <w:fldChar w:fldCharType="separate"/>
      </w:r>
      <w:r w:rsidR="008D5FF2">
        <w:rPr>
          <w:noProof/>
        </w:rPr>
        <w:t>48</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37:</w:t>
      </w:r>
      <w:r>
        <w:rPr>
          <w:noProof/>
        </w:rPr>
        <w:tab/>
        <w:t>Estimated percentage of people with diabetes, Pacific peoples population and total New Zealand population, 2010–2014</w:t>
      </w:r>
      <w:r>
        <w:rPr>
          <w:noProof/>
        </w:rPr>
        <w:tab/>
      </w:r>
      <w:r>
        <w:rPr>
          <w:noProof/>
        </w:rPr>
        <w:fldChar w:fldCharType="begin"/>
      </w:r>
      <w:r>
        <w:rPr>
          <w:noProof/>
        </w:rPr>
        <w:instrText xml:space="preserve"> PAGEREF _Toc447527173 \h </w:instrText>
      </w:r>
      <w:r>
        <w:rPr>
          <w:noProof/>
        </w:rPr>
      </w:r>
      <w:r>
        <w:rPr>
          <w:noProof/>
        </w:rPr>
        <w:fldChar w:fldCharType="separate"/>
      </w:r>
      <w:r w:rsidR="008D5FF2">
        <w:rPr>
          <w:noProof/>
        </w:rPr>
        <w:t>53</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38:</w:t>
      </w:r>
      <w:r>
        <w:rPr>
          <w:noProof/>
        </w:rPr>
        <w:tab/>
        <w:t>Estimated percentage of people with diabetes, Pacific peoples, by priority DHBs, 2010–2014</w:t>
      </w:r>
      <w:r>
        <w:rPr>
          <w:noProof/>
        </w:rPr>
        <w:tab/>
      </w:r>
      <w:r>
        <w:rPr>
          <w:noProof/>
        </w:rPr>
        <w:fldChar w:fldCharType="begin"/>
      </w:r>
      <w:r>
        <w:rPr>
          <w:noProof/>
        </w:rPr>
        <w:instrText xml:space="preserve"> PAGEREF _Toc447527174 \h </w:instrText>
      </w:r>
      <w:r>
        <w:rPr>
          <w:noProof/>
        </w:rPr>
      </w:r>
      <w:r>
        <w:rPr>
          <w:noProof/>
        </w:rPr>
        <w:fldChar w:fldCharType="separate"/>
      </w:r>
      <w:r w:rsidR="008D5FF2">
        <w:rPr>
          <w:noProof/>
        </w:rPr>
        <w:t>54</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39:</w:t>
      </w:r>
      <w:r>
        <w:rPr>
          <w:noProof/>
        </w:rPr>
        <w:tab/>
        <w:t>Rheumatic fever hospitalisation rates, Pacific peoples, 2011–2015</w:t>
      </w:r>
      <w:r>
        <w:rPr>
          <w:noProof/>
        </w:rPr>
        <w:tab/>
      </w:r>
      <w:r>
        <w:rPr>
          <w:noProof/>
        </w:rPr>
        <w:fldChar w:fldCharType="begin"/>
      </w:r>
      <w:r>
        <w:rPr>
          <w:noProof/>
        </w:rPr>
        <w:instrText xml:space="preserve"> PAGEREF _Toc447527175 \h </w:instrText>
      </w:r>
      <w:r>
        <w:rPr>
          <w:noProof/>
        </w:rPr>
      </w:r>
      <w:r>
        <w:rPr>
          <w:noProof/>
        </w:rPr>
        <w:fldChar w:fldCharType="separate"/>
      </w:r>
      <w:r w:rsidR="008D5FF2">
        <w:rPr>
          <w:noProof/>
        </w:rPr>
        <w:t>56</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40:</w:t>
      </w:r>
      <w:r>
        <w:rPr>
          <w:noProof/>
        </w:rPr>
        <w:tab/>
        <w:t>Immunisation coverage (percent) at six months of age (three-month reporting), Pacific peoples population and total New Zealand population, 2013–2015</w:t>
      </w:r>
      <w:r>
        <w:rPr>
          <w:noProof/>
        </w:rPr>
        <w:tab/>
      </w:r>
      <w:r>
        <w:rPr>
          <w:noProof/>
        </w:rPr>
        <w:fldChar w:fldCharType="begin"/>
      </w:r>
      <w:r>
        <w:rPr>
          <w:noProof/>
        </w:rPr>
        <w:instrText xml:space="preserve"> PAGEREF _Toc447527176 \h </w:instrText>
      </w:r>
      <w:r>
        <w:rPr>
          <w:noProof/>
        </w:rPr>
      </w:r>
      <w:r>
        <w:rPr>
          <w:noProof/>
        </w:rPr>
        <w:fldChar w:fldCharType="separate"/>
      </w:r>
      <w:r w:rsidR="008D5FF2">
        <w:rPr>
          <w:noProof/>
        </w:rPr>
        <w:t>59</w:t>
      </w:r>
      <w:r>
        <w:rPr>
          <w:noProof/>
        </w:rPr>
        <w:fldChar w:fldCharType="end"/>
      </w:r>
    </w:p>
    <w:p w:rsidR="00DD54F0" w:rsidRDefault="00DD54F0">
      <w:pPr>
        <w:pStyle w:val="TOC3"/>
        <w:rPr>
          <w:rFonts w:asciiTheme="minorHAnsi" w:eastAsiaTheme="minorEastAsia" w:hAnsiTheme="minorHAnsi" w:cstheme="minorBidi"/>
          <w:noProof/>
          <w:szCs w:val="22"/>
          <w:lang w:eastAsia="en-NZ"/>
        </w:rPr>
      </w:pPr>
      <w:r>
        <w:rPr>
          <w:noProof/>
        </w:rPr>
        <w:t>Figure 41:</w:t>
      </w:r>
      <w:r>
        <w:rPr>
          <w:noProof/>
        </w:rPr>
        <w:tab/>
        <w:t>Immunisation coverage (percent) at six months of age (three-month reporting), Pacific peoples, by priority DHBs, 2013–2015</w:t>
      </w:r>
      <w:r>
        <w:rPr>
          <w:noProof/>
        </w:rPr>
        <w:tab/>
      </w:r>
      <w:r>
        <w:rPr>
          <w:noProof/>
        </w:rPr>
        <w:fldChar w:fldCharType="begin"/>
      </w:r>
      <w:r>
        <w:rPr>
          <w:noProof/>
        </w:rPr>
        <w:instrText xml:space="preserve"> PAGEREF _Toc447527177 \h </w:instrText>
      </w:r>
      <w:r>
        <w:rPr>
          <w:noProof/>
        </w:rPr>
      </w:r>
      <w:r>
        <w:rPr>
          <w:noProof/>
        </w:rPr>
        <w:fldChar w:fldCharType="separate"/>
      </w:r>
      <w:r w:rsidR="008D5FF2">
        <w:rPr>
          <w:noProof/>
        </w:rPr>
        <w:t>60</w:t>
      </w:r>
      <w:r>
        <w:rPr>
          <w:noProof/>
        </w:rPr>
        <w:fldChar w:fldCharType="end"/>
      </w:r>
    </w:p>
    <w:p w:rsidR="00C17175" w:rsidRDefault="003A5FEA" w:rsidP="003A5FEA">
      <w:pPr>
        <w:sectPr w:rsidR="00C17175"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r>
        <w:fldChar w:fldCharType="end"/>
      </w:r>
    </w:p>
    <w:p w:rsidR="003A5FEA" w:rsidRDefault="003A5FEA" w:rsidP="003A5FEA"/>
    <w:p w:rsidR="00C17175" w:rsidRDefault="00C17175" w:rsidP="003A5FEA">
      <w:pPr>
        <w:sectPr w:rsidR="00C17175" w:rsidSect="009D5125">
          <w:footerReference w:type="even" r:id="rId19"/>
          <w:pgSz w:w="11907" w:h="16840" w:code="9"/>
          <w:pgMar w:top="851" w:right="1134" w:bottom="1134" w:left="1134" w:header="284" w:footer="567" w:gutter="284"/>
          <w:pgNumType w:fmt="lowerRoman"/>
          <w:cols w:space="720"/>
        </w:sectPr>
      </w:pPr>
    </w:p>
    <w:p w:rsidR="0021763B" w:rsidRDefault="0021763B" w:rsidP="0021763B">
      <w:pPr>
        <w:pStyle w:val="Heading1"/>
      </w:pPr>
      <w:bookmarkStart w:id="2" w:name="_Toc447565077"/>
      <w:r>
        <w:lastRenderedPageBreak/>
        <w:t>Executive summary</w:t>
      </w:r>
      <w:bookmarkEnd w:id="2"/>
    </w:p>
    <w:p w:rsidR="00BA14B3" w:rsidRPr="00A119E8" w:rsidRDefault="00BA14B3" w:rsidP="004E4307">
      <w:r>
        <w:rPr>
          <w:i/>
        </w:rPr>
        <w:t>’</w:t>
      </w:r>
      <w:proofErr w:type="spellStart"/>
      <w:r>
        <w:rPr>
          <w:i/>
        </w:rPr>
        <w:t>Ala</w:t>
      </w:r>
      <w:proofErr w:type="spellEnd"/>
      <w:r>
        <w:rPr>
          <w:i/>
        </w:rPr>
        <w:t xml:space="preserve"> </w:t>
      </w:r>
      <w:proofErr w:type="spellStart"/>
      <w:r>
        <w:rPr>
          <w:i/>
        </w:rPr>
        <w:t>Mo’ui</w:t>
      </w:r>
      <w:proofErr w:type="spellEnd"/>
      <w:r w:rsidRPr="00A119E8">
        <w:rPr>
          <w:i/>
        </w:rPr>
        <w:t>: Pathways to Pacific Health and Wellbeing 2014–2018</w:t>
      </w:r>
      <w:r w:rsidRPr="00A119E8">
        <w:t xml:space="preserve"> (</w:t>
      </w:r>
      <w:r>
        <w:rPr>
          <w:i/>
        </w:rPr>
        <w:t>’</w:t>
      </w:r>
      <w:proofErr w:type="spellStart"/>
      <w:r>
        <w:rPr>
          <w:i/>
        </w:rPr>
        <w:t>Ala</w:t>
      </w:r>
      <w:proofErr w:type="spellEnd"/>
      <w:r>
        <w:rPr>
          <w:i/>
        </w:rPr>
        <w:t xml:space="preserve"> </w:t>
      </w:r>
      <w:proofErr w:type="spellStart"/>
      <w:r>
        <w:rPr>
          <w:i/>
        </w:rPr>
        <w:t>Mo’ui</w:t>
      </w:r>
      <w:proofErr w:type="spellEnd"/>
      <w:r w:rsidRPr="00A119E8">
        <w:t xml:space="preserve">) is a four-year plan that provides an outcomes framework for delivering high-quality health services to Pacific peoples. The outcomes and actions in </w:t>
      </w:r>
      <w:r>
        <w:rPr>
          <w:i/>
        </w:rPr>
        <w:t>’</w:t>
      </w:r>
      <w:proofErr w:type="spellStart"/>
      <w:r>
        <w:rPr>
          <w:i/>
        </w:rPr>
        <w:t>Ala</w:t>
      </w:r>
      <w:proofErr w:type="spellEnd"/>
      <w:r>
        <w:rPr>
          <w:i/>
        </w:rPr>
        <w:t xml:space="preserve"> </w:t>
      </w:r>
      <w:proofErr w:type="spellStart"/>
      <w:r>
        <w:rPr>
          <w:i/>
        </w:rPr>
        <w:t>Mo’ui</w:t>
      </w:r>
      <w:proofErr w:type="spellEnd"/>
      <w:r w:rsidRPr="00A119E8">
        <w:t xml:space="preserve"> contribute to the Government’s long-term outcomes for health: all New Zealanders, including Pacific peoples, will lead healthier and more independent lives; high-quality health services will be delivered in a timely and accessible manner; and the future sustainability of the health and disability sector will be assured (Ministry of Health 2014).</w:t>
      </w:r>
    </w:p>
    <w:p w:rsidR="00BA14B3" w:rsidRPr="00A119E8" w:rsidRDefault="00BA14B3" w:rsidP="004E4307"/>
    <w:p w:rsidR="00BA14B3" w:rsidRPr="00A119E8" w:rsidRDefault="00BA14B3" w:rsidP="004E4307">
      <w:r w:rsidRPr="00A119E8">
        <w:t xml:space="preserve">The long term vision of </w:t>
      </w:r>
      <w:r>
        <w:rPr>
          <w:i/>
        </w:rPr>
        <w:t>’</w:t>
      </w:r>
      <w:proofErr w:type="spellStart"/>
      <w:r>
        <w:rPr>
          <w:i/>
        </w:rPr>
        <w:t>Ala</w:t>
      </w:r>
      <w:proofErr w:type="spellEnd"/>
      <w:r>
        <w:rPr>
          <w:i/>
        </w:rPr>
        <w:t xml:space="preserve"> </w:t>
      </w:r>
      <w:proofErr w:type="spellStart"/>
      <w:r>
        <w:rPr>
          <w:i/>
        </w:rPr>
        <w:t>Mo’ui</w:t>
      </w:r>
      <w:proofErr w:type="spellEnd"/>
      <w:r w:rsidRPr="00A119E8">
        <w:t xml:space="preserve"> is:</w:t>
      </w:r>
    </w:p>
    <w:p w:rsidR="00BA14B3" w:rsidRPr="00E72F16" w:rsidRDefault="00BA14B3" w:rsidP="004E4307">
      <w:pPr>
        <w:pStyle w:val="Quote"/>
      </w:pPr>
      <w:r w:rsidRPr="00E72F16">
        <w:t xml:space="preserve">Pacific </w:t>
      </w:r>
      <w:r w:rsidR="00082A0E">
        <w:t>’</w:t>
      </w:r>
      <w:proofErr w:type="spellStart"/>
      <w:r w:rsidR="00082A0E" w:rsidRPr="00E72F16">
        <w:t>ā</w:t>
      </w:r>
      <w:r w:rsidRPr="00E72F16">
        <w:t>iga</w:t>
      </w:r>
      <w:proofErr w:type="spellEnd"/>
      <w:r w:rsidRPr="00E72F16">
        <w:t xml:space="preserve">, </w:t>
      </w:r>
      <w:proofErr w:type="spellStart"/>
      <w:r w:rsidRPr="00E72F16">
        <w:t>kāiga</w:t>
      </w:r>
      <w:proofErr w:type="spellEnd"/>
      <w:r w:rsidRPr="00E72F16">
        <w:t xml:space="preserve">, </w:t>
      </w:r>
      <w:proofErr w:type="spellStart"/>
      <w:r w:rsidRPr="00E72F16">
        <w:t>magafaoa</w:t>
      </w:r>
      <w:proofErr w:type="spellEnd"/>
      <w:r w:rsidRPr="00E72F16">
        <w:t xml:space="preserve">, </w:t>
      </w:r>
      <w:proofErr w:type="spellStart"/>
      <w:r w:rsidRPr="00E72F16">
        <w:t>kōpū</w:t>
      </w:r>
      <w:proofErr w:type="spellEnd"/>
      <w:r w:rsidRPr="00E72F16">
        <w:t xml:space="preserve"> </w:t>
      </w:r>
      <w:proofErr w:type="spellStart"/>
      <w:r w:rsidRPr="00E72F16">
        <w:t>tangata</w:t>
      </w:r>
      <w:proofErr w:type="spellEnd"/>
      <w:r w:rsidRPr="00E72F16">
        <w:t xml:space="preserve">, </w:t>
      </w:r>
      <w:proofErr w:type="spellStart"/>
      <w:r w:rsidRPr="00E72F16">
        <w:t>vuvale</w:t>
      </w:r>
      <w:proofErr w:type="spellEnd"/>
      <w:r w:rsidRPr="00E72F16">
        <w:t xml:space="preserve"> and </w:t>
      </w:r>
      <w:proofErr w:type="spellStart"/>
      <w:r w:rsidRPr="00E72F16">
        <w:t>fāmili</w:t>
      </w:r>
      <w:proofErr w:type="spellEnd"/>
      <w:r w:rsidRPr="00E72F16">
        <w:t xml:space="preserve"> experience equitable health outcomes and lead independent lives.</w:t>
      </w:r>
    </w:p>
    <w:p w:rsidR="00BA14B3" w:rsidRPr="00A119E8" w:rsidRDefault="00BA14B3" w:rsidP="004E4307"/>
    <w:p w:rsidR="00BA14B3" w:rsidRPr="00A119E8" w:rsidRDefault="00BA14B3" w:rsidP="004E4307">
      <w:r w:rsidRPr="00A119E8">
        <w:t>Its four priority outcome areas are:</w:t>
      </w:r>
    </w:p>
    <w:p w:rsidR="00BA14B3" w:rsidRPr="00A119E8" w:rsidRDefault="00BA14B3" w:rsidP="004E4307">
      <w:pPr>
        <w:spacing w:before="60"/>
        <w:ind w:left="567" w:hanging="567"/>
      </w:pPr>
      <w:r w:rsidRPr="00A119E8">
        <w:t>1.</w:t>
      </w:r>
      <w:r w:rsidRPr="00A119E8">
        <w:tab/>
        <w:t>Systems and services meet the needs of Pacific peoples.</w:t>
      </w:r>
    </w:p>
    <w:p w:rsidR="00BA14B3" w:rsidRPr="00A119E8" w:rsidRDefault="00BA14B3" w:rsidP="004E4307">
      <w:pPr>
        <w:spacing w:before="60"/>
        <w:ind w:left="567" w:hanging="567"/>
      </w:pPr>
      <w:r w:rsidRPr="00A119E8">
        <w:t>2.</w:t>
      </w:r>
      <w:r w:rsidRPr="00A119E8">
        <w:tab/>
        <w:t>More services are delivered locally in the community and in primary care.</w:t>
      </w:r>
    </w:p>
    <w:p w:rsidR="00BA14B3" w:rsidRPr="00A119E8" w:rsidRDefault="00BA14B3" w:rsidP="004E4307">
      <w:pPr>
        <w:spacing w:before="60"/>
        <w:ind w:left="567" w:hanging="567"/>
      </w:pPr>
      <w:r w:rsidRPr="00A119E8">
        <w:t>3.</w:t>
      </w:r>
      <w:r w:rsidRPr="00A119E8">
        <w:tab/>
        <w:t>Pacific peoples are better supported to be healthy.</w:t>
      </w:r>
    </w:p>
    <w:p w:rsidR="00BA14B3" w:rsidRPr="00A119E8" w:rsidRDefault="00BA14B3" w:rsidP="004E4307">
      <w:pPr>
        <w:spacing w:before="60"/>
        <w:ind w:left="567" w:hanging="567"/>
      </w:pPr>
      <w:r w:rsidRPr="00A119E8">
        <w:t>4.</w:t>
      </w:r>
      <w:r w:rsidRPr="00A119E8">
        <w:tab/>
        <w:t>Pacific peoples experience improved broader determinants of health.</w:t>
      </w:r>
    </w:p>
    <w:p w:rsidR="00BA14B3" w:rsidRPr="00A119E8" w:rsidRDefault="00BA14B3" w:rsidP="004E4307"/>
    <w:p w:rsidR="00BA14B3" w:rsidRPr="00A119E8" w:rsidRDefault="00BA14B3" w:rsidP="004E4307">
      <w:pPr>
        <w:pStyle w:val="Heading3"/>
      </w:pPr>
      <w:r w:rsidRPr="00A119E8">
        <w:t xml:space="preserve">Indicators used in </w:t>
      </w:r>
      <w:r>
        <w:rPr>
          <w:i/>
        </w:rPr>
        <w:t>’</w:t>
      </w:r>
      <w:proofErr w:type="spellStart"/>
      <w:r>
        <w:rPr>
          <w:i/>
        </w:rPr>
        <w:t>Ala</w:t>
      </w:r>
      <w:proofErr w:type="spellEnd"/>
      <w:r>
        <w:rPr>
          <w:i/>
        </w:rPr>
        <w:t xml:space="preserve"> </w:t>
      </w:r>
      <w:proofErr w:type="spellStart"/>
      <w:r>
        <w:rPr>
          <w:i/>
        </w:rPr>
        <w:t>Mo’ui</w:t>
      </w:r>
      <w:proofErr w:type="spellEnd"/>
    </w:p>
    <w:p w:rsidR="00BA14B3" w:rsidRDefault="00BA14B3" w:rsidP="004E4307">
      <w:r>
        <w:rPr>
          <w:i/>
        </w:rPr>
        <w:t>’</w:t>
      </w:r>
      <w:proofErr w:type="spellStart"/>
      <w:r>
        <w:rPr>
          <w:i/>
        </w:rPr>
        <w:t>Ala</w:t>
      </w:r>
      <w:proofErr w:type="spellEnd"/>
      <w:r>
        <w:rPr>
          <w:i/>
        </w:rPr>
        <w:t xml:space="preserve"> </w:t>
      </w:r>
      <w:proofErr w:type="spellStart"/>
      <w:r>
        <w:rPr>
          <w:i/>
        </w:rPr>
        <w:t>Mo’ui</w:t>
      </w:r>
      <w:proofErr w:type="spellEnd"/>
      <w:r w:rsidRPr="00A119E8">
        <w:rPr>
          <w:i/>
        </w:rPr>
        <w:t xml:space="preserve"> </w:t>
      </w:r>
      <w:r w:rsidRPr="00A119E8">
        <w:t>sets out 13 actions, which sit across four priority outcome areas to achieve its long-term vision and outcomes. Associated with these actions are 21</w:t>
      </w:r>
      <w:r w:rsidRPr="004E4307">
        <w:rPr>
          <w:rStyle w:val="FootnoteReference"/>
        </w:rPr>
        <w:footnoteReference w:id="1"/>
      </w:r>
      <w:r w:rsidRPr="00A119E8">
        <w:t xml:space="preserve"> indicators. The aim of the indicators is to monitor and promote quality improvement across the health and disability sector without creating any additional reporting burden. The indicators are a subset of measures drawn from existing data collections and reporting mechanisms; for example, the Well Child/</w:t>
      </w:r>
      <w:r w:rsidR="004E4307">
        <w:t xml:space="preserve"> </w:t>
      </w:r>
      <w:proofErr w:type="spellStart"/>
      <w:r w:rsidRPr="00A119E8">
        <w:t>Tamariki</w:t>
      </w:r>
      <w:proofErr w:type="spellEnd"/>
      <w:r w:rsidRPr="00A119E8">
        <w:t xml:space="preserve"> </w:t>
      </w:r>
      <w:proofErr w:type="spellStart"/>
      <w:r w:rsidRPr="00A119E8">
        <w:t>Ora</w:t>
      </w:r>
      <w:proofErr w:type="spellEnd"/>
      <w:r w:rsidRPr="00A119E8">
        <w:t xml:space="preserve"> (WCTO) Quality Improvement Framework, the </w:t>
      </w:r>
      <w:r>
        <w:t>h</w:t>
      </w:r>
      <w:r w:rsidRPr="00A119E8">
        <w:t xml:space="preserve">ealth </w:t>
      </w:r>
      <w:r>
        <w:t>t</w:t>
      </w:r>
      <w:r w:rsidRPr="00A119E8">
        <w:t>argets and the Better Public Service</w:t>
      </w:r>
      <w:r>
        <w:t>s</w:t>
      </w:r>
      <w:r w:rsidRPr="00A119E8">
        <w:t xml:space="preserve"> </w:t>
      </w:r>
      <w:r>
        <w:t>t</w:t>
      </w:r>
      <w:r w:rsidRPr="00A119E8">
        <w:t>argets. The Ministry will review the indicators on a regular basis as the sector performance improves.</w:t>
      </w:r>
    </w:p>
    <w:p w:rsidR="004E4307" w:rsidRPr="00A119E8" w:rsidRDefault="004E4307" w:rsidP="004E4307"/>
    <w:p w:rsidR="00BA14B3" w:rsidRPr="00A119E8" w:rsidRDefault="00BA14B3" w:rsidP="004E4307">
      <w:pPr>
        <w:pStyle w:val="Heading3"/>
      </w:pPr>
      <w:r w:rsidRPr="00A119E8">
        <w:t>Monitoring and reporting</w:t>
      </w:r>
    </w:p>
    <w:p w:rsidR="00BA14B3" w:rsidRPr="00A119E8" w:rsidRDefault="00BA14B3" w:rsidP="004E4307">
      <w:r w:rsidRPr="00A119E8">
        <w:t xml:space="preserve">The Ministry of Health (through </w:t>
      </w:r>
      <w:r>
        <w:rPr>
          <w:i/>
        </w:rPr>
        <w:t>’</w:t>
      </w:r>
      <w:proofErr w:type="spellStart"/>
      <w:r>
        <w:rPr>
          <w:i/>
        </w:rPr>
        <w:t>Ala</w:t>
      </w:r>
      <w:proofErr w:type="spellEnd"/>
      <w:r>
        <w:rPr>
          <w:i/>
        </w:rPr>
        <w:t xml:space="preserve"> </w:t>
      </w:r>
      <w:proofErr w:type="spellStart"/>
      <w:r>
        <w:rPr>
          <w:i/>
        </w:rPr>
        <w:t>Mo’ui</w:t>
      </w:r>
      <w:proofErr w:type="spellEnd"/>
      <w:r w:rsidRPr="00A119E8">
        <w:t>) will monitor the 21 indicators and measure performance against set national targets</w:t>
      </w:r>
      <w:r w:rsidRPr="004E4307">
        <w:rPr>
          <w:rStyle w:val="FootnoteReference"/>
        </w:rPr>
        <w:footnoteReference w:id="2"/>
      </w:r>
      <w:r w:rsidRPr="00A119E8">
        <w:t xml:space="preserve"> or the total New Zealand population across eight district health boards (DHBs) where 90 percent of Pacific peoples reside.</w:t>
      </w:r>
      <w:r w:rsidRPr="00A119E8">
        <w:rPr>
          <w:szCs w:val="18"/>
        </w:rPr>
        <w:t xml:space="preserve"> </w:t>
      </w:r>
      <w:r w:rsidRPr="00A119E8">
        <w:t xml:space="preserve">The eight DHBs that are considered the ‘Pacific priority DHBs’ are (in order of highest numbers of Pacific peoples) Counties </w:t>
      </w:r>
      <w:proofErr w:type="spellStart"/>
      <w:r w:rsidRPr="00A119E8">
        <w:t>Manukau</w:t>
      </w:r>
      <w:proofErr w:type="spellEnd"/>
      <w:r w:rsidRPr="00A119E8">
        <w:t xml:space="preserve">, Auckland, </w:t>
      </w:r>
      <w:proofErr w:type="spellStart"/>
      <w:r w:rsidRPr="00A119E8">
        <w:t>Waitemata</w:t>
      </w:r>
      <w:proofErr w:type="spellEnd"/>
      <w:r w:rsidRPr="00A119E8">
        <w:t xml:space="preserve">, Capital &amp; Coast, Canterbury, Hutt Valley, Waikato and Hawke’s Bay. See the Appendix for Pacific </w:t>
      </w:r>
      <w:proofErr w:type="gramStart"/>
      <w:r>
        <w:t>peoples</w:t>
      </w:r>
      <w:proofErr w:type="gramEnd"/>
      <w:r>
        <w:t xml:space="preserve"> </w:t>
      </w:r>
      <w:r w:rsidRPr="00A119E8">
        <w:t xml:space="preserve">population numbers and percentages for each of the 20 DHBs. Population figures in this report are based on Statistics New Zealand </w:t>
      </w:r>
      <w:r w:rsidRPr="00A119E8">
        <w:lastRenderedPageBreak/>
        <w:t xml:space="preserve">population projections, which use Census 2013 figures as a base. The total New Zealand population in 2015 and 2016 was 4,638,750. The total Pacific </w:t>
      </w:r>
      <w:proofErr w:type="gramStart"/>
      <w:r w:rsidRPr="00A119E8">
        <w:t>peoples</w:t>
      </w:r>
      <w:proofErr w:type="gramEnd"/>
      <w:r w:rsidRPr="00A119E8">
        <w:t xml:space="preserve"> population was 299,190. </w:t>
      </w:r>
      <w:r w:rsidRPr="00A119E8">
        <w:rPr>
          <w:lang w:eastAsia="en-NZ"/>
        </w:rPr>
        <w:t>All indicators will be reported by DHBs and published online on a six-monthly basis.</w:t>
      </w:r>
    </w:p>
    <w:p w:rsidR="00BA14B3" w:rsidRPr="00A119E8" w:rsidRDefault="00BA14B3" w:rsidP="004E4307"/>
    <w:p w:rsidR="00BA14B3" w:rsidRPr="00A119E8" w:rsidRDefault="00BA14B3" w:rsidP="004E4307">
      <w:pPr>
        <w:pStyle w:val="Heading3"/>
      </w:pPr>
      <w:r w:rsidRPr="00A119E8">
        <w:t>National level progress to 31 December 2015</w:t>
      </w:r>
    </w:p>
    <w:p w:rsidR="0034306E" w:rsidRDefault="00BA14B3" w:rsidP="004E4307">
      <w:r w:rsidRPr="00A119E8">
        <w:t>At a national level, progress has been made in achieving equity for Pacific peoples in five of the 21 indicators (Table 1).</w:t>
      </w:r>
    </w:p>
    <w:p w:rsidR="00BA14B3" w:rsidRPr="00A119E8" w:rsidRDefault="00BA14B3" w:rsidP="004E4307"/>
    <w:p w:rsidR="00BA14B3" w:rsidRPr="00A119E8" w:rsidRDefault="00BA14B3" w:rsidP="004E4307">
      <w:r w:rsidRPr="00A119E8">
        <w:t>The definition of equity for the purpose of this report is equal to or greater than the total New Zealand population if no national target has been set or has achieved the national target set for that particular indicator.</w:t>
      </w:r>
    </w:p>
    <w:p w:rsidR="00BA14B3" w:rsidRPr="00A119E8" w:rsidRDefault="00BA14B3" w:rsidP="004E4307"/>
    <w:p w:rsidR="00BA14B3" w:rsidRPr="00A119E8" w:rsidRDefault="00BA14B3" w:rsidP="004E4307">
      <w:pPr>
        <w:pStyle w:val="Table"/>
      </w:pPr>
      <w:bookmarkStart w:id="3" w:name="_Toc445801428"/>
      <w:bookmarkStart w:id="4" w:name="_Toc447527118"/>
      <w:r w:rsidRPr="00A119E8">
        <w:t xml:space="preserve">Table 1: </w:t>
      </w:r>
      <w:r>
        <w:rPr>
          <w:i/>
        </w:rPr>
        <w:t>’</w:t>
      </w:r>
      <w:proofErr w:type="spellStart"/>
      <w:r>
        <w:rPr>
          <w:i/>
        </w:rPr>
        <w:t>Ala</w:t>
      </w:r>
      <w:proofErr w:type="spellEnd"/>
      <w:r>
        <w:rPr>
          <w:i/>
        </w:rPr>
        <w:t xml:space="preserve"> </w:t>
      </w:r>
      <w:proofErr w:type="spellStart"/>
      <w:r>
        <w:rPr>
          <w:i/>
        </w:rPr>
        <w:t>Mo’ui</w:t>
      </w:r>
      <w:proofErr w:type="spellEnd"/>
      <w:r w:rsidRPr="00A119E8">
        <w:t xml:space="preserve"> indicators where performance for Pacific peoples has achieved equity, as at 31 December 2015</w:t>
      </w:r>
      <w:bookmarkEnd w:id="3"/>
      <w:bookmarkEnd w:id="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245"/>
        <w:gridCol w:w="1370"/>
        <w:gridCol w:w="1370"/>
        <w:gridCol w:w="1371"/>
      </w:tblGrid>
      <w:tr w:rsidR="00BA14B3" w:rsidRPr="00A119E8" w:rsidTr="004E4307">
        <w:trPr>
          <w:cantSplit/>
        </w:trPr>
        <w:tc>
          <w:tcPr>
            <w:tcW w:w="5245" w:type="dxa"/>
            <w:tcBorders>
              <w:top w:val="single" w:sz="4" w:space="0" w:color="auto"/>
              <w:bottom w:val="single" w:sz="4" w:space="0" w:color="auto"/>
            </w:tcBorders>
            <w:shd w:val="clear" w:color="auto" w:fill="auto"/>
          </w:tcPr>
          <w:p w:rsidR="00BA14B3" w:rsidRPr="00A119E8" w:rsidRDefault="00BA14B3" w:rsidP="00F07986">
            <w:pPr>
              <w:pStyle w:val="TableText"/>
              <w:rPr>
                <w:b/>
                <w:lang w:eastAsia="en-NZ"/>
              </w:rPr>
            </w:pPr>
            <w:r w:rsidRPr="00A119E8">
              <w:rPr>
                <w:b/>
                <w:lang w:eastAsia="en-NZ"/>
              </w:rPr>
              <w:t>Indicator</w:t>
            </w:r>
          </w:p>
        </w:tc>
        <w:tc>
          <w:tcPr>
            <w:tcW w:w="1370" w:type="dxa"/>
            <w:tcBorders>
              <w:top w:val="single" w:sz="4" w:space="0" w:color="auto"/>
              <w:bottom w:val="single" w:sz="4" w:space="0" w:color="auto"/>
            </w:tcBorders>
            <w:shd w:val="clear" w:color="auto" w:fill="auto"/>
          </w:tcPr>
          <w:p w:rsidR="00BA14B3" w:rsidRPr="00A119E8" w:rsidRDefault="00BA14B3" w:rsidP="00F07986">
            <w:pPr>
              <w:pStyle w:val="TableText"/>
              <w:jc w:val="center"/>
              <w:rPr>
                <w:b/>
                <w:lang w:eastAsia="en-NZ"/>
              </w:rPr>
            </w:pPr>
            <w:r w:rsidRPr="00A119E8">
              <w:rPr>
                <w:b/>
                <w:lang w:eastAsia="en-NZ"/>
              </w:rPr>
              <w:t>Pacific peoples</w:t>
            </w:r>
          </w:p>
        </w:tc>
        <w:tc>
          <w:tcPr>
            <w:tcW w:w="1370" w:type="dxa"/>
            <w:tcBorders>
              <w:top w:val="single" w:sz="4" w:space="0" w:color="auto"/>
              <w:bottom w:val="single" w:sz="4" w:space="0" w:color="auto"/>
            </w:tcBorders>
            <w:shd w:val="clear" w:color="auto" w:fill="auto"/>
          </w:tcPr>
          <w:p w:rsidR="00BA14B3" w:rsidRPr="00A119E8" w:rsidRDefault="00BA14B3" w:rsidP="00F07986">
            <w:pPr>
              <w:pStyle w:val="TableText"/>
              <w:jc w:val="center"/>
              <w:rPr>
                <w:b/>
                <w:lang w:eastAsia="en-NZ"/>
              </w:rPr>
            </w:pPr>
            <w:r w:rsidRPr="00A119E8">
              <w:rPr>
                <w:b/>
                <w:lang w:eastAsia="en-NZ"/>
              </w:rPr>
              <w:t>Total New Zealand</w:t>
            </w:r>
          </w:p>
        </w:tc>
        <w:tc>
          <w:tcPr>
            <w:tcW w:w="1371" w:type="dxa"/>
            <w:tcBorders>
              <w:top w:val="single" w:sz="4" w:space="0" w:color="auto"/>
              <w:bottom w:val="single" w:sz="4" w:space="0" w:color="auto"/>
            </w:tcBorders>
          </w:tcPr>
          <w:p w:rsidR="00BA14B3" w:rsidRPr="00A119E8" w:rsidRDefault="00BA14B3" w:rsidP="00F07986">
            <w:pPr>
              <w:pStyle w:val="TableText"/>
              <w:jc w:val="center"/>
              <w:rPr>
                <w:b/>
                <w:lang w:eastAsia="en-NZ"/>
              </w:rPr>
            </w:pPr>
            <w:r w:rsidRPr="00A119E8">
              <w:rPr>
                <w:b/>
                <w:lang w:eastAsia="en-NZ"/>
              </w:rPr>
              <w:t>National target</w:t>
            </w:r>
          </w:p>
        </w:tc>
      </w:tr>
      <w:tr w:rsidR="00BA14B3" w:rsidRPr="00A119E8" w:rsidTr="004E4307">
        <w:trPr>
          <w:cantSplit/>
        </w:trPr>
        <w:tc>
          <w:tcPr>
            <w:tcW w:w="5245" w:type="dxa"/>
            <w:tcBorders>
              <w:top w:val="single" w:sz="4" w:space="0" w:color="auto"/>
              <w:bottom w:val="single" w:sz="4" w:space="0" w:color="A6A6A6" w:themeColor="background1" w:themeShade="A6"/>
            </w:tcBorders>
            <w:shd w:val="clear" w:color="auto" w:fill="auto"/>
          </w:tcPr>
          <w:p w:rsidR="00BA14B3" w:rsidRPr="00A119E8" w:rsidRDefault="00BA14B3" w:rsidP="00F07986">
            <w:pPr>
              <w:pStyle w:val="TableText"/>
              <w:ind w:right="142"/>
              <w:rPr>
                <w:lang w:eastAsia="en-NZ"/>
              </w:rPr>
            </w:pPr>
            <w:r w:rsidRPr="00A119E8">
              <w:rPr>
                <w:lang w:eastAsia="en-NZ"/>
              </w:rPr>
              <w:t>Access to DHB alcohol and drug services</w:t>
            </w:r>
          </w:p>
        </w:tc>
        <w:tc>
          <w:tcPr>
            <w:tcW w:w="1370" w:type="dxa"/>
            <w:tcBorders>
              <w:top w:val="single" w:sz="4" w:space="0" w:color="auto"/>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1.24%</w:t>
            </w:r>
          </w:p>
        </w:tc>
        <w:tc>
          <w:tcPr>
            <w:tcW w:w="1370" w:type="dxa"/>
            <w:tcBorders>
              <w:top w:val="single" w:sz="4" w:space="0" w:color="auto"/>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1.03%</w:t>
            </w:r>
          </w:p>
        </w:tc>
        <w:tc>
          <w:tcPr>
            <w:tcW w:w="1371" w:type="dxa"/>
            <w:tcBorders>
              <w:top w:val="single" w:sz="4" w:space="0" w:color="auto"/>
              <w:bottom w:val="single" w:sz="4" w:space="0" w:color="A6A6A6" w:themeColor="background1" w:themeShade="A6"/>
            </w:tcBorders>
          </w:tcPr>
          <w:p w:rsidR="00BA14B3" w:rsidRPr="00A119E8" w:rsidRDefault="00BA14B3" w:rsidP="00F07986">
            <w:pPr>
              <w:pStyle w:val="TableText"/>
              <w:jc w:val="center"/>
              <w:rPr>
                <w:lang w:eastAsia="en-NZ"/>
              </w:rPr>
            </w:pPr>
            <w:r w:rsidRPr="00A119E8">
              <w:rPr>
                <w:lang w:eastAsia="en-NZ"/>
              </w:rPr>
              <w:t>No target</w:t>
            </w:r>
          </w:p>
        </w:tc>
      </w:tr>
      <w:tr w:rsidR="00BA14B3" w:rsidRPr="00A119E8" w:rsidTr="004E4307">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ind w:right="-57"/>
              <w:rPr>
                <w:lang w:eastAsia="en-NZ"/>
              </w:rPr>
            </w:pPr>
            <w:r w:rsidRPr="00A119E8">
              <w:rPr>
                <w:lang w:eastAsia="en-NZ"/>
              </w:rPr>
              <w:t>Percentage of four-year-olds who received a Before School Check (B4SC), Pacific peoples</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93%</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94%</w:t>
            </w:r>
          </w:p>
        </w:tc>
        <w:tc>
          <w:tcPr>
            <w:tcW w:w="1371" w:type="dxa"/>
            <w:tcBorders>
              <w:top w:val="single" w:sz="4" w:space="0" w:color="A6A6A6" w:themeColor="background1" w:themeShade="A6"/>
              <w:bottom w:val="single" w:sz="4" w:space="0" w:color="A6A6A6" w:themeColor="background1" w:themeShade="A6"/>
            </w:tcBorders>
          </w:tcPr>
          <w:p w:rsidR="00BA14B3" w:rsidRPr="00A119E8" w:rsidRDefault="00BA14B3" w:rsidP="00F07986">
            <w:pPr>
              <w:pStyle w:val="TableText"/>
              <w:jc w:val="center"/>
              <w:rPr>
                <w:lang w:eastAsia="en-NZ"/>
              </w:rPr>
            </w:pPr>
            <w:r w:rsidRPr="00A119E8">
              <w:rPr>
                <w:lang w:eastAsia="en-NZ"/>
              </w:rPr>
              <w:t>90%</w:t>
            </w:r>
          </w:p>
        </w:tc>
      </w:tr>
      <w:tr w:rsidR="00BA14B3" w:rsidRPr="00A119E8" w:rsidTr="004E4307">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ind w:right="142"/>
              <w:rPr>
                <w:lang w:eastAsia="en-NZ"/>
              </w:rPr>
            </w:pPr>
            <w:r w:rsidRPr="00A119E8">
              <w:rPr>
                <w:lang w:eastAsia="en-NZ"/>
              </w:rPr>
              <w:t>General practitioner (GP) utilisation rate</w:t>
            </w:r>
            <w:r w:rsidRPr="00A119E8">
              <w:rPr>
                <w:lang w:eastAsia="en-NZ"/>
              </w:rPr>
              <w:br/>
              <w:t>(average number of visits per person per year)</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3.01</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2.95</w:t>
            </w:r>
          </w:p>
        </w:tc>
        <w:tc>
          <w:tcPr>
            <w:tcW w:w="1371" w:type="dxa"/>
            <w:tcBorders>
              <w:top w:val="single" w:sz="4" w:space="0" w:color="A6A6A6" w:themeColor="background1" w:themeShade="A6"/>
              <w:bottom w:val="single" w:sz="4" w:space="0" w:color="A6A6A6" w:themeColor="background1" w:themeShade="A6"/>
            </w:tcBorders>
          </w:tcPr>
          <w:p w:rsidR="00BA14B3" w:rsidRPr="00A119E8" w:rsidRDefault="00BA14B3" w:rsidP="00F07986">
            <w:pPr>
              <w:pStyle w:val="TableText"/>
              <w:jc w:val="center"/>
              <w:rPr>
                <w:lang w:eastAsia="en-NZ"/>
              </w:rPr>
            </w:pPr>
            <w:r w:rsidRPr="00A119E8">
              <w:rPr>
                <w:lang w:eastAsia="en-NZ"/>
              </w:rPr>
              <w:t>No target</w:t>
            </w:r>
          </w:p>
        </w:tc>
      </w:tr>
      <w:tr w:rsidR="00BA14B3" w:rsidRPr="00A119E8" w:rsidTr="004E4307">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ind w:right="142"/>
              <w:rPr>
                <w:lang w:eastAsia="en-NZ"/>
              </w:rPr>
            </w:pPr>
            <w:r w:rsidRPr="00A119E8">
              <w:rPr>
                <w:lang w:eastAsia="en-NZ"/>
              </w:rPr>
              <w:t>Nurse utilisation rate</w:t>
            </w:r>
            <w:r w:rsidRPr="00A119E8">
              <w:rPr>
                <w:lang w:eastAsia="en-NZ"/>
              </w:rPr>
              <w:br/>
              <w:t>(average number of visits per person per year)</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0.76</w:t>
            </w:r>
          </w:p>
        </w:tc>
        <w:tc>
          <w:tcPr>
            <w:tcW w:w="1370" w:type="dxa"/>
            <w:tcBorders>
              <w:top w:val="single" w:sz="4" w:space="0" w:color="A6A6A6" w:themeColor="background1" w:themeShade="A6"/>
              <w:bottom w:val="single" w:sz="4" w:space="0" w:color="A6A6A6" w:themeColor="background1" w:themeShade="A6"/>
            </w:tcBorders>
            <w:shd w:val="clear" w:color="auto" w:fill="auto"/>
          </w:tcPr>
          <w:p w:rsidR="00BA14B3" w:rsidRPr="00A119E8" w:rsidRDefault="00BA14B3" w:rsidP="00F07986">
            <w:pPr>
              <w:pStyle w:val="TableText"/>
              <w:jc w:val="center"/>
              <w:rPr>
                <w:lang w:eastAsia="en-NZ"/>
              </w:rPr>
            </w:pPr>
            <w:r w:rsidRPr="00A119E8">
              <w:rPr>
                <w:lang w:eastAsia="en-NZ"/>
              </w:rPr>
              <w:t>0.68</w:t>
            </w:r>
          </w:p>
        </w:tc>
        <w:tc>
          <w:tcPr>
            <w:tcW w:w="1371" w:type="dxa"/>
            <w:tcBorders>
              <w:top w:val="single" w:sz="4" w:space="0" w:color="A6A6A6" w:themeColor="background1" w:themeShade="A6"/>
              <w:bottom w:val="single" w:sz="4" w:space="0" w:color="A6A6A6" w:themeColor="background1" w:themeShade="A6"/>
            </w:tcBorders>
          </w:tcPr>
          <w:p w:rsidR="00BA14B3" w:rsidRPr="00A119E8" w:rsidRDefault="00BA14B3" w:rsidP="00F07986">
            <w:pPr>
              <w:pStyle w:val="TableText"/>
              <w:jc w:val="center"/>
              <w:rPr>
                <w:lang w:eastAsia="en-NZ"/>
              </w:rPr>
            </w:pPr>
            <w:r w:rsidRPr="00A119E8">
              <w:rPr>
                <w:lang w:eastAsia="en-NZ"/>
              </w:rPr>
              <w:t>No target</w:t>
            </w:r>
          </w:p>
        </w:tc>
      </w:tr>
      <w:tr w:rsidR="00BA14B3" w:rsidRPr="00A119E8" w:rsidTr="004E4307">
        <w:trPr>
          <w:cantSplit/>
        </w:trPr>
        <w:tc>
          <w:tcPr>
            <w:tcW w:w="5245" w:type="dxa"/>
            <w:tcBorders>
              <w:top w:val="single" w:sz="4" w:space="0" w:color="A6A6A6" w:themeColor="background1" w:themeShade="A6"/>
              <w:bottom w:val="single" w:sz="4" w:space="0" w:color="auto"/>
            </w:tcBorders>
            <w:shd w:val="clear" w:color="auto" w:fill="auto"/>
          </w:tcPr>
          <w:p w:rsidR="00BA14B3" w:rsidRPr="00A119E8" w:rsidRDefault="00BA14B3" w:rsidP="00F07986">
            <w:pPr>
              <w:pStyle w:val="TableText"/>
              <w:ind w:right="142"/>
              <w:rPr>
                <w:lang w:eastAsia="en-NZ"/>
              </w:rPr>
            </w:pPr>
            <w:r w:rsidRPr="00A119E8">
              <w:rPr>
                <w:lang w:eastAsia="en-NZ"/>
              </w:rPr>
              <w:t>Total GP and nurse utilisation rate (average visits per person)</w:t>
            </w:r>
          </w:p>
        </w:tc>
        <w:tc>
          <w:tcPr>
            <w:tcW w:w="1370" w:type="dxa"/>
            <w:tcBorders>
              <w:top w:val="single" w:sz="4" w:space="0" w:color="A6A6A6" w:themeColor="background1" w:themeShade="A6"/>
              <w:bottom w:val="single" w:sz="4" w:space="0" w:color="auto"/>
            </w:tcBorders>
            <w:shd w:val="clear" w:color="auto" w:fill="auto"/>
          </w:tcPr>
          <w:p w:rsidR="00BA14B3" w:rsidRPr="00A119E8" w:rsidRDefault="00BA14B3" w:rsidP="00F07986">
            <w:pPr>
              <w:pStyle w:val="TableText"/>
              <w:jc w:val="center"/>
              <w:rPr>
                <w:lang w:eastAsia="en-NZ"/>
              </w:rPr>
            </w:pPr>
            <w:r w:rsidRPr="00A119E8">
              <w:rPr>
                <w:lang w:eastAsia="en-NZ"/>
              </w:rPr>
              <w:t>3.77</w:t>
            </w:r>
          </w:p>
        </w:tc>
        <w:tc>
          <w:tcPr>
            <w:tcW w:w="1370" w:type="dxa"/>
            <w:tcBorders>
              <w:top w:val="single" w:sz="4" w:space="0" w:color="A6A6A6" w:themeColor="background1" w:themeShade="A6"/>
              <w:bottom w:val="single" w:sz="4" w:space="0" w:color="auto"/>
            </w:tcBorders>
            <w:shd w:val="clear" w:color="auto" w:fill="auto"/>
          </w:tcPr>
          <w:p w:rsidR="00BA14B3" w:rsidRPr="00A119E8" w:rsidRDefault="00BA14B3" w:rsidP="00F07986">
            <w:pPr>
              <w:pStyle w:val="TableText"/>
              <w:jc w:val="center"/>
              <w:rPr>
                <w:lang w:eastAsia="en-NZ"/>
              </w:rPr>
            </w:pPr>
            <w:r w:rsidRPr="00A119E8">
              <w:rPr>
                <w:lang w:eastAsia="en-NZ"/>
              </w:rPr>
              <w:t>3.62</w:t>
            </w:r>
          </w:p>
        </w:tc>
        <w:tc>
          <w:tcPr>
            <w:tcW w:w="1371" w:type="dxa"/>
            <w:tcBorders>
              <w:top w:val="single" w:sz="4" w:space="0" w:color="A6A6A6" w:themeColor="background1" w:themeShade="A6"/>
              <w:bottom w:val="single" w:sz="4" w:space="0" w:color="auto"/>
            </w:tcBorders>
          </w:tcPr>
          <w:p w:rsidR="00BA14B3" w:rsidRPr="00A119E8" w:rsidRDefault="00BA14B3" w:rsidP="00F07986">
            <w:pPr>
              <w:pStyle w:val="TableText"/>
              <w:jc w:val="center"/>
              <w:rPr>
                <w:lang w:eastAsia="en-NZ"/>
              </w:rPr>
            </w:pPr>
            <w:r w:rsidRPr="00A119E8">
              <w:rPr>
                <w:lang w:eastAsia="en-NZ"/>
              </w:rPr>
              <w:t>No target</w:t>
            </w:r>
          </w:p>
        </w:tc>
      </w:tr>
    </w:tbl>
    <w:p w:rsidR="00BA14B3" w:rsidRPr="00A119E8" w:rsidRDefault="00BA14B3" w:rsidP="004E4307"/>
    <w:p w:rsidR="0034306E" w:rsidRDefault="00BA14B3" w:rsidP="004E4307">
      <w:r w:rsidRPr="00A119E8">
        <w:t>The last three indicators on Table 1 show Pacific peoples</w:t>
      </w:r>
      <w:r>
        <w:t>’</w:t>
      </w:r>
      <w:r w:rsidRPr="00A119E8">
        <w:t xml:space="preserve"> access to GP services is high and has maintained the achieved status over the six months since June 2015.</w:t>
      </w:r>
    </w:p>
    <w:p w:rsidR="00BA14B3" w:rsidRPr="00A119E8" w:rsidRDefault="00BA14B3" w:rsidP="004E4307">
      <w:pPr>
        <w:rPr>
          <w:highlight w:val="yellow"/>
        </w:rPr>
      </w:pPr>
    </w:p>
    <w:p w:rsidR="00BA14B3" w:rsidRPr="004E4307" w:rsidRDefault="00BA14B3" w:rsidP="004E4307">
      <w:pPr>
        <w:pStyle w:val="Table"/>
      </w:pPr>
      <w:bookmarkStart w:id="5" w:name="_Toc445801429"/>
      <w:bookmarkStart w:id="6" w:name="_Toc447527119"/>
      <w:r w:rsidRPr="00A119E8">
        <w:t xml:space="preserve">Table 2: </w:t>
      </w:r>
      <w:r>
        <w:rPr>
          <w:i/>
        </w:rPr>
        <w:t>’</w:t>
      </w:r>
      <w:proofErr w:type="spellStart"/>
      <w:r>
        <w:rPr>
          <w:i/>
        </w:rPr>
        <w:t>Ala</w:t>
      </w:r>
      <w:proofErr w:type="spellEnd"/>
      <w:r>
        <w:rPr>
          <w:i/>
        </w:rPr>
        <w:t xml:space="preserve"> </w:t>
      </w:r>
      <w:proofErr w:type="spellStart"/>
      <w:r>
        <w:rPr>
          <w:i/>
        </w:rPr>
        <w:t>Mo’ui</w:t>
      </w:r>
      <w:proofErr w:type="spellEnd"/>
      <w:r w:rsidRPr="00A119E8">
        <w:t xml:space="preserve"> indicators where there is a disparity in equity between Pacific peoples and the set target, as at 31 December 2015</w:t>
      </w:r>
      <w:bookmarkEnd w:id="5"/>
      <w:bookmarkEnd w:id="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088"/>
        <w:gridCol w:w="1134"/>
        <w:gridCol w:w="1134"/>
      </w:tblGrid>
      <w:tr w:rsidR="00BA14B3" w:rsidRPr="00A119E8" w:rsidTr="004E4307">
        <w:trPr>
          <w:cantSplit/>
        </w:trPr>
        <w:tc>
          <w:tcPr>
            <w:tcW w:w="7088" w:type="dxa"/>
            <w:tcBorders>
              <w:top w:val="single" w:sz="4" w:space="0" w:color="auto"/>
              <w:bottom w:val="single" w:sz="4" w:space="0" w:color="auto"/>
            </w:tcBorders>
            <w:shd w:val="clear" w:color="auto" w:fill="auto"/>
          </w:tcPr>
          <w:p w:rsidR="00BA14B3" w:rsidRPr="00A119E8" w:rsidRDefault="00BA14B3" w:rsidP="00F07986">
            <w:pPr>
              <w:pStyle w:val="TableText"/>
              <w:ind w:right="142"/>
              <w:rPr>
                <w:b/>
                <w:lang w:eastAsia="en-NZ"/>
              </w:rPr>
            </w:pPr>
            <w:r w:rsidRPr="00A119E8">
              <w:rPr>
                <w:b/>
                <w:lang w:eastAsia="en-NZ"/>
              </w:rPr>
              <w:t>Indicator</w:t>
            </w:r>
          </w:p>
        </w:tc>
        <w:tc>
          <w:tcPr>
            <w:tcW w:w="1134" w:type="dxa"/>
            <w:tcBorders>
              <w:top w:val="single" w:sz="4" w:space="0" w:color="auto"/>
              <w:bottom w:val="single" w:sz="4" w:space="0" w:color="auto"/>
            </w:tcBorders>
            <w:shd w:val="clear" w:color="auto" w:fill="auto"/>
          </w:tcPr>
          <w:p w:rsidR="00BA14B3" w:rsidRPr="00A119E8" w:rsidRDefault="00BA14B3" w:rsidP="00F07986">
            <w:pPr>
              <w:pStyle w:val="TableText"/>
              <w:jc w:val="center"/>
              <w:rPr>
                <w:b/>
                <w:lang w:eastAsia="en-NZ"/>
              </w:rPr>
            </w:pPr>
            <w:r w:rsidRPr="00A119E8">
              <w:rPr>
                <w:b/>
                <w:lang w:eastAsia="en-NZ"/>
              </w:rPr>
              <w:t xml:space="preserve">Pacific peoples </w:t>
            </w:r>
          </w:p>
        </w:tc>
        <w:tc>
          <w:tcPr>
            <w:tcW w:w="1134" w:type="dxa"/>
            <w:tcBorders>
              <w:top w:val="single" w:sz="4" w:space="0" w:color="auto"/>
              <w:bottom w:val="single" w:sz="4" w:space="0" w:color="auto"/>
            </w:tcBorders>
            <w:shd w:val="clear" w:color="auto" w:fill="auto"/>
          </w:tcPr>
          <w:p w:rsidR="00BA14B3" w:rsidRPr="00A119E8" w:rsidRDefault="00BA14B3" w:rsidP="00F07986">
            <w:pPr>
              <w:pStyle w:val="TableText"/>
              <w:jc w:val="center"/>
              <w:rPr>
                <w:b/>
                <w:lang w:eastAsia="en-NZ"/>
              </w:rPr>
            </w:pPr>
            <w:r w:rsidRPr="00A119E8">
              <w:rPr>
                <w:b/>
                <w:lang w:eastAsia="en-NZ"/>
              </w:rPr>
              <w:t>National target</w:t>
            </w:r>
          </w:p>
        </w:tc>
      </w:tr>
      <w:tr w:rsidR="00BA14B3" w:rsidRPr="00A119E8" w:rsidTr="004E4307">
        <w:trPr>
          <w:cantSplit/>
        </w:trPr>
        <w:tc>
          <w:tcPr>
            <w:tcW w:w="7088" w:type="dxa"/>
            <w:tcBorders>
              <w:top w:val="single" w:sz="4" w:space="0" w:color="auto"/>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 xml:space="preserve">Percentage of </w:t>
            </w:r>
            <w:proofErr w:type="spellStart"/>
            <w:r w:rsidRPr="00A119E8">
              <w:rPr>
                <w:lang w:eastAsia="en-NZ"/>
              </w:rPr>
              <w:t>newborn</w:t>
            </w:r>
            <w:proofErr w:type="spellEnd"/>
            <w:r w:rsidRPr="00A119E8">
              <w:rPr>
                <w:lang w:eastAsia="en-NZ"/>
              </w:rPr>
              <w:t xml:space="preserve"> infants enrolled with a general practice by three months</w:t>
            </w:r>
            <w:r>
              <w:rPr>
                <w:lang w:eastAsia="en-NZ"/>
              </w:rPr>
              <w:t xml:space="preserve"> of age</w:t>
            </w:r>
          </w:p>
        </w:tc>
        <w:tc>
          <w:tcPr>
            <w:tcW w:w="1134" w:type="dxa"/>
            <w:tcBorders>
              <w:top w:val="single" w:sz="4" w:space="0" w:color="auto"/>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73.0%</w:t>
            </w:r>
          </w:p>
        </w:tc>
        <w:tc>
          <w:tcPr>
            <w:tcW w:w="1134" w:type="dxa"/>
            <w:tcBorders>
              <w:top w:val="single" w:sz="4" w:space="0" w:color="auto"/>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98.0%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Infants who received all WCTO core contacts in their first year of life</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53.0%</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95.0%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t>Percentage of infants exclusively or fully breastfed at three months</w:t>
            </w:r>
            <w:r>
              <w:t xml:space="preserve"> of age</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47.0%</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60.0%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t>Percentage of children with body mass index (BMI) &gt;99.4th percentile referred to a GP or specialist services</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92.0%</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95.0%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Percentage of children under five years old enrolled in DHB-funded dental services</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74.7%</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95.0%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Children who were caries-free at age five</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35.3%</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65.0%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Percentage of smokers offered brief advice and support to quit in primary health care</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82.4%</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90.0%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t>Percentage of eligible adults who had cardiovascular risk assessed</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89.2%</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90.0%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pPr>
            <w:r w:rsidRPr="00A119E8">
              <w:t>Percentage of enrolled women aged 25–69 years who received a cervical smear in the past three years</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73.9%</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80.0%</w:t>
            </w:r>
          </w:p>
        </w:tc>
      </w:tr>
      <w:tr w:rsidR="00BA14B3" w:rsidRPr="00A119E8" w:rsidTr="004E4307">
        <w:trPr>
          <w:cantSplit/>
        </w:trPr>
        <w:tc>
          <w:tcPr>
            <w:tcW w:w="7088" w:type="dxa"/>
            <w:tcBorders>
              <w:top w:val="single" w:sz="4" w:space="0" w:color="A6A6A6"/>
              <w:bottom w:val="single" w:sz="4" w:space="0" w:color="A6A6A6"/>
            </w:tcBorders>
            <w:shd w:val="clear" w:color="auto" w:fill="auto"/>
          </w:tcPr>
          <w:p w:rsidR="00BA14B3" w:rsidRPr="00A119E8" w:rsidRDefault="00BA14B3" w:rsidP="00F07986">
            <w:pPr>
              <w:pStyle w:val="TableText"/>
              <w:ind w:right="142"/>
            </w:pPr>
            <w:r w:rsidRPr="00A119E8">
              <w:t>Immunisation coverage (percentage) at six months of age (three-month reporting)</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78.7%</w:t>
            </w:r>
          </w:p>
        </w:tc>
        <w:tc>
          <w:tcPr>
            <w:tcW w:w="1134" w:type="dxa"/>
            <w:tcBorders>
              <w:top w:val="single" w:sz="4" w:space="0" w:color="A6A6A6"/>
              <w:bottom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95.0%</w:t>
            </w:r>
          </w:p>
        </w:tc>
      </w:tr>
      <w:tr w:rsidR="00BA14B3" w:rsidRPr="00A119E8" w:rsidTr="004E4307">
        <w:trPr>
          <w:cantSplit/>
        </w:trPr>
        <w:tc>
          <w:tcPr>
            <w:tcW w:w="7088" w:type="dxa"/>
            <w:tcBorders>
              <w:top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Rheumatic fever hospitalisation rate per 100,000</w:t>
            </w:r>
          </w:p>
        </w:tc>
        <w:tc>
          <w:tcPr>
            <w:tcW w:w="1134" w:type="dxa"/>
            <w:tcBorders>
              <w:top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22.1</w:t>
            </w:r>
          </w:p>
        </w:tc>
        <w:tc>
          <w:tcPr>
            <w:tcW w:w="1134" w:type="dxa"/>
            <w:tcBorders>
              <w:top w:val="single" w:sz="4" w:space="0" w:color="A6A6A6"/>
            </w:tcBorders>
            <w:shd w:val="clear" w:color="auto" w:fill="auto"/>
          </w:tcPr>
          <w:p w:rsidR="00BA14B3" w:rsidRPr="00A119E8" w:rsidRDefault="00BA14B3" w:rsidP="00F07986">
            <w:pPr>
              <w:pStyle w:val="TableText"/>
              <w:jc w:val="center"/>
              <w:rPr>
                <w:lang w:eastAsia="en-NZ"/>
              </w:rPr>
            </w:pPr>
            <w:r w:rsidRPr="00A119E8">
              <w:rPr>
                <w:lang w:eastAsia="en-NZ"/>
              </w:rPr>
              <w:t>8.0*</w:t>
            </w:r>
          </w:p>
        </w:tc>
      </w:tr>
    </w:tbl>
    <w:p w:rsidR="0034306E" w:rsidRDefault="00BA14B3" w:rsidP="004E4307">
      <w:pPr>
        <w:pStyle w:val="Note"/>
        <w:ind w:right="0"/>
      </w:pPr>
      <w:r w:rsidRPr="006A7286">
        <w:t>*</w:t>
      </w:r>
      <w:r w:rsidR="004E4307">
        <w:tab/>
      </w:r>
      <w:r w:rsidRPr="006A7286">
        <w:t>The 8 per 100,000 rate target for Pacific</w:t>
      </w:r>
      <w:r>
        <w:t xml:space="preserve"> peoples</w:t>
      </w:r>
      <w:r w:rsidRPr="006A7286">
        <w:t xml:space="preserve"> is based on a two-thirds reduction from baseline rate (2009/2010</w:t>
      </w:r>
      <w:r w:rsidRPr="00A119E8">
        <w:t>–</w:t>
      </w:r>
      <w:r w:rsidRPr="006A7286">
        <w:t>2011/2012) as per the target for the total population.</w:t>
      </w:r>
    </w:p>
    <w:p w:rsidR="00BA14B3" w:rsidRPr="00A119E8" w:rsidRDefault="00BA14B3" w:rsidP="004E4307"/>
    <w:p w:rsidR="00BA14B3" w:rsidRPr="00A119E8" w:rsidRDefault="00BA14B3" w:rsidP="004E4307">
      <w:pPr>
        <w:pStyle w:val="Table"/>
      </w:pPr>
      <w:bookmarkStart w:id="7" w:name="_Toc445801430"/>
      <w:bookmarkStart w:id="8" w:name="_Toc447527120"/>
      <w:r w:rsidRPr="00A119E8">
        <w:lastRenderedPageBreak/>
        <w:t xml:space="preserve">Table 3: </w:t>
      </w:r>
      <w:r>
        <w:rPr>
          <w:i/>
        </w:rPr>
        <w:t>’</w:t>
      </w:r>
      <w:proofErr w:type="spellStart"/>
      <w:r>
        <w:rPr>
          <w:i/>
        </w:rPr>
        <w:t>Ala</w:t>
      </w:r>
      <w:proofErr w:type="spellEnd"/>
      <w:r>
        <w:rPr>
          <w:i/>
        </w:rPr>
        <w:t xml:space="preserve"> </w:t>
      </w:r>
      <w:proofErr w:type="spellStart"/>
      <w:r>
        <w:rPr>
          <w:i/>
        </w:rPr>
        <w:t>Mo’ui</w:t>
      </w:r>
      <w:proofErr w:type="spellEnd"/>
      <w:r w:rsidRPr="00A119E8">
        <w:t xml:space="preserve"> indicators where there is a disparity in equity between Pacific peoples and the total New Zealand population, as at 31 December 2015</w:t>
      </w:r>
      <w:bookmarkEnd w:id="7"/>
      <w:bookmarkEnd w:id="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6521"/>
        <w:gridCol w:w="1559"/>
        <w:gridCol w:w="1276"/>
      </w:tblGrid>
      <w:tr w:rsidR="00BA14B3" w:rsidRPr="00A119E8" w:rsidTr="00A57051">
        <w:trPr>
          <w:cantSplit/>
        </w:trPr>
        <w:tc>
          <w:tcPr>
            <w:tcW w:w="6521" w:type="dxa"/>
            <w:tcBorders>
              <w:top w:val="single" w:sz="4" w:space="0" w:color="auto"/>
              <w:bottom w:val="single" w:sz="4" w:space="0" w:color="auto"/>
            </w:tcBorders>
            <w:shd w:val="clear" w:color="auto" w:fill="auto"/>
          </w:tcPr>
          <w:p w:rsidR="00BA14B3" w:rsidRPr="00A119E8" w:rsidRDefault="00BA14B3" w:rsidP="00F07986">
            <w:pPr>
              <w:pStyle w:val="TableText"/>
              <w:ind w:right="142"/>
              <w:rPr>
                <w:b/>
                <w:lang w:eastAsia="en-NZ"/>
              </w:rPr>
            </w:pPr>
            <w:r w:rsidRPr="00A119E8">
              <w:rPr>
                <w:b/>
                <w:lang w:eastAsia="en-NZ"/>
              </w:rPr>
              <w:t>Indicator</w:t>
            </w:r>
          </w:p>
        </w:tc>
        <w:tc>
          <w:tcPr>
            <w:tcW w:w="1559" w:type="dxa"/>
            <w:tcBorders>
              <w:top w:val="single" w:sz="4" w:space="0" w:color="auto"/>
              <w:bottom w:val="single" w:sz="4" w:space="0" w:color="auto"/>
            </w:tcBorders>
            <w:shd w:val="clear" w:color="auto" w:fill="auto"/>
          </w:tcPr>
          <w:p w:rsidR="00BA14B3" w:rsidRPr="00A119E8" w:rsidRDefault="00BA14B3" w:rsidP="00A57051">
            <w:pPr>
              <w:pStyle w:val="TableText"/>
              <w:jc w:val="center"/>
              <w:rPr>
                <w:b/>
                <w:lang w:eastAsia="en-NZ"/>
              </w:rPr>
            </w:pPr>
            <w:r w:rsidRPr="00A119E8">
              <w:rPr>
                <w:b/>
                <w:lang w:eastAsia="en-NZ"/>
              </w:rPr>
              <w:t>Pacific</w:t>
            </w:r>
            <w:r w:rsidR="00A57051">
              <w:rPr>
                <w:b/>
                <w:lang w:eastAsia="en-NZ"/>
              </w:rPr>
              <w:br/>
            </w:r>
            <w:r w:rsidRPr="00A119E8">
              <w:rPr>
                <w:b/>
                <w:lang w:eastAsia="en-NZ"/>
              </w:rPr>
              <w:t>peoples</w:t>
            </w:r>
          </w:p>
        </w:tc>
        <w:tc>
          <w:tcPr>
            <w:tcW w:w="1276" w:type="dxa"/>
            <w:tcBorders>
              <w:top w:val="single" w:sz="4" w:space="0" w:color="auto"/>
              <w:bottom w:val="single" w:sz="4" w:space="0" w:color="auto"/>
            </w:tcBorders>
            <w:shd w:val="clear" w:color="auto" w:fill="auto"/>
          </w:tcPr>
          <w:p w:rsidR="00BA14B3" w:rsidRPr="00A119E8" w:rsidRDefault="00BA14B3" w:rsidP="00A57051">
            <w:pPr>
              <w:pStyle w:val="TableText"/>
              <w:jc w:val="center"/>
              <w:rPr>
                <w:b/>
                <w:lang w:eastAsia="en-NZ"/>
              </w:rPr>
            </w:pPr>
            <w:r w:rsidRPr="00A119E8">
              <w:rPr>
                <w:b/>
                <w:lang w:eastAsia="en-NZ"/>
              </w:rPr>
              <w:t>Total</w:t>
            </w:r>
            <w:r w:rsidR="00A57051">
              <w:rPr>
                <w:b/>
                <w:lang w:eastAsia="en-NZ"/>
              </w:rPr>
              <w:br/>
            </w:r>
            <w:r w:rsidRPr="00A119E8">
              <w:rPr>
                <w:b/>
                <w:lang w:eastAsia="en-NZ"/>
              </w:rPr>
              <w:t>New Zealand</w:t>
            </w:r>
          </w:p>
        </w:tc>
      </w:tr>
      <w:tr w:rsidR="00BA14B3" w:rsidRPr="00A119E8" w:rsidTr="00A57051">
        <w:trPr>
          <w:cantSplit/>
        </w:trPr>
        <w:tc>
          <w:tcPr>
            <w:tcW w:w="6521"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Ambulatory sensitive hospitalisation (ASH)</w:t>
            </w:r>
            <w:r w:rsidR="00A57051">
              <w:rPr>
                <w:lang w:eastAsia="en-NZ"/>
              </w:rPr>
              <w:t xml:space="preserve"> rate per 100,000</w:t>
            </w:r>
          </w:p>
        </w:tc>
        <w:tc>
          <w:tcPr>
            <w:tcW w:w="1559"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3,900</w:t>
            </w:r>
          </w:p>
        </w:tc>
        <w:tc>
          <w:tcPr>
            <w:tcW w:w="1276"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1,936</w:t>
            </w:r>
          </w:p>
        </w:tc>
      </w:tr>
      <w:tr w:rsidR="00BA14B3" w:rsidRPr="00A119E8" w:rsidTr="00A57051">
        <w:trPr>
          <w:cantSplit/>
        </w:trPr>
        <w:tc>
          <w:tcPr>
            <w:tcW w:w="6521"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Access rate to DHB mental health services</w:t>
            </w:r>
          </w:p>
        </w:tc>
        <w:tc>
          <w:tcPr>
            <w:tcW w:w="1559"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3.14%</w:t>
            </w:r>
          </w:p>
        </w:tc>
        <w:tc>
          <w:tcPr>
            <w:tcW w:w="1276"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3.48%</w:t>
            </w:r>
          </w:p>
        </w:tc>
      </w:tr>
      <w:tr w:rsidR="00BA14B3" w:rsidRPr="00A119E8" w:rsidTr="00A57051">
        <w:trPr>
          <w:cantSplit/>
        </w:trPr>
        <w:tc>
          <w:tcPr>
            <w:tcW w:w="6521"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Mean rate of DMFT for children at school year eight</w:t>
            </w:r>
          </w:p>
        </w:tc>
        <w:tc>
          <w:tcPr>
            <w:tcW w:w="1559"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1.5</w:t>
            </w:r>
          </w:p>
        </w:tc>
        <w:tc>
          <w:tcPr>
            <w:tcW w:w="1276"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1.0</w:t>
            </w:r>
          </w:p>
        </w:tc>
      </w:tr>
      <w:tr w:rsidR="00BA14B3" w:rsidRPr="00A119E8" w:rsidTr="00A57051">
        <w:trPr>
          <w:cantSplit/>
        </w:trPr>
        <w:tc>
          <w:tcPr>
            <w:tcW w:w="6521" w:type="dxa"/>
            <w:tcBorders>
              <w:top w:val="single" w:sz="4" w:space="0" w:color="A6A6A6"/>
              <w:bottom w:val="single" w:sz="4" w:space="0" w:color="A6A6A6"/>
            </w:tcBorders>
            <w:shd w:val="clear" w:color="auto" w:fill="auto"/>
          </w:tcPr>
          <w:p w:rsidR="00BA14B3" w:rsidRPr="00A119E8" w:rsidRDefault="00BA14B3" w:rsidP="00F07986">
            <w:pPr>
              <w:pStyle w:val="TableText"/>
              <w:ind w:right="142"/>
              <w:rPr>
                <w:lang w:eastAsia="en-NZ"/>
              </w:rPr>
            </w:pPr>
            <w:r w:rsidRPr="00A119E8">
              <w:rPr>
                <w:lang w:eastAsia="en-NZ"/>
              </w:rPr>
              <w:t>Children aged 2–14 years who are obese</w:t>
            </w:r>
          </w:p>
        </w:tc>
        <w:tc>
          <w:tcPr>
            <w:tcW w:w="1559"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25.0%</w:t>
            </w:r>
          </w:p>
        </w:tc>
        <w:tc>
          <w:tcPr>
            <w:tcW w:w="1276" w:type="dxa"/>
            <w:tcBorders>
              <w:top w:val="single" w:sz="4" w:space="0" w:color="A6A6A6"/>
              <w:bottom w:val="single" w:sz="4" w:space="0" w:color="A6A6A6"/>
            </w:tcBorders>
            <w:shd w:val="clear" w:color="auto" w:fill="auto"/>
          </w:tcPr>
          <w:p w:rsidR="00BA14B3" w:rsidRPr="00A119E8" w:rsidRDefault="00BA14B3" w:rsidP="00A57051">
            <w:pPr>
              <w:pStyle w:val="TableText"/>
              <w:jc w:val="center"/>
              <w:rPr>
                <w:lang w:eastAsia="en-NZ"/>
              </w:rPr>
            </w:pPr>
            <w:r w:rsidRPr="00A119E8">
              <w:rPr>
                <w:lang w:eastAsia="en-NZ"/>
              </w:rPr>
              <w:t>11.0%</w:t>
            </w:r>
          </w:p>
        </w:tc>
      </w:tr>
      <w:tr w:rsidR="00BA14B3" w:rsidRPr="00A119E8" w:rsidTr="00A57051">
        <w:trPr>
          <w:cantSplit/>
        </w:trPr>
        <w:tc>
          <w:tcPr>
            <w:tcW w:w="6521" w:type="dxa"/>
            <w:tcBorders>
              <w:top w:val="single" w:sz="4" w:space="0" w:color="A6A6A6"/>
              <w:bottom w:val="single" w:sz="4" w:space="0" w:color="auto"/>
            </w:tcBorders>
            <w:shd w:val="clear" w:color="auto" w:fill="auto"/>
          </w:tcPr>
          <w:p w:rsidR="00BA14B3" w:rsidRPr="00A119E8" w:rsidRDefault="00BA14B3" w:rsidP="00F07986">
            <w:pPr>
              <w:pStyle w:val="TableText"/>
              <w:ind w:right="142"/>
              <w:rPr>
                <w:lang w:eastAsia="en-NZ"/>
              </w:rPr>
            </w:pPr>
            <w:r w:rsidRPr="00A119E8">
              <w:rPr>
                <w:lang w:eastAsia="en-NZ"/>
              </w:rPr>
              <w:t>Estimated percentage of people with diabetes</w:t>
            </w:r>
          </w:p>
        </w:tc>
        <w:tc>
          <w:tcPr>
            <w:tcW w:w="1559" w:type="dxa"/>
            <w:tcBorders>
              <w:top w:val="single" w:sz="4" w:space="0" w:color="A6A6A6"/>
              <w:bottom w:val="single" w:sz="4" w:space="0" w:color="auto"/>
            </w:tcBorders>
            <w:shd w:val="clear" w:color="auto" w:fill="auto"/>
          </w:tcPr>
          <w:p w:rsidR="00BA14B3" w:rsidRPr="00A119E8" w:rsidRDefault="00BA14B3" w:rsidP="00A57051">
            <w:pPr>
              <w:pStyle w:val="TableText"/>
              <w:jc w:val="center"/>
              <w:rPr>
                <w:lang w:eastAsia="en-NZ"/>
              </w:rPr>
            </w:pPr>
            <w:r w:rsidRPr="00A119E8">
              <w:rPr>
                <w:lang w:eastAsia="en-NZ"/>
              </w:rPr>
              <w:t>9.6%</w:t>
            </w:r>
          </w:p>
        </w:tc>
        <w:tc>
          <w:tcPr>
            <w:tcW w:w="1276" w:type="dxa"/>
            <w:tcBorders>
              <w:top w:val="single" w:sz="4" w:space="0" w:color="A6A6A6"/>
              <w:bottom w:val="single" w:sz="4" w:space="0" w:color="auto"/>
            </w:tcBorders>
            <w:shd w:val="clear" w:color="auto" w:fill="auto"/>
          </w:tcPr>
          <w:p w:rsidR="00BA14B3" w:rsidRPr="00A119E8" w:rsidRDefault="00BA14B3" w:rsidP="00A57051">
            <w:pPr>
              <w:pStyle w:val="TableText"/>
              <w:jc w:val="center"/>
              <w:rPr>
                <w:lang w:eastAsia="en-NZ"/>
              </w:rPr>
            </w:pPr>
            <w:r w:rsidRPr="00A119E8">
              <w:rPr>
                <w:lang w:eastAsia="en-NZ"/>
              </w:rPr>
              <w:t>6.0%</w:t>
            </w:r>
          </w:p>
        </w:tc>
      </w:tr>
    </w:tbl>
    <w:p w:rsidR="00BA14B3" w:rsidRPr="00A119E8" w:rsidRDefault="00BA14B3" w:rsidP="00A57051"/>
    <w:p w:rsidR="00BA14B3" w:rsidRPr="00A119E8" w:rsidRDefault="00BA14B3" w:rsidP="00A57051">
      <w:pPr>
        <w:pStyle w:val="Heading3"/>
      </w:pPr>
      <w:r w:rsidRPr="00A119E8">
        <w:t>District health boards progress to 31 December 2015</w:t>
      </w:r>
    </w:p>
    <w:p w:rsidR="0034306E" w:rsidRDefault="00BA14B3" w:rsidP="00A57051">
      <w:r w:rsidRPr="00A119E8">
        <w:t xml:space="preserve">Table 4 shows the summary of all the indicators monitored in </w:t>
      </w:r>
      <w:r>
        <w:rPr>
          <w:i/>
        </w:rPr>
        <w:t>’</w:t>
      </w:r>
      <w:proofErr w:type="spellStart"/>
      <w:r>
        <w:rPr>
          <w:i/>
        </w:rPr>
        <w:t>Ala</w:t>
      </w:r>
      <w:proofErr w:type="spellEnd"/>
      <w:r>
        <w:rPr>
          <w:i/>
        </w:rPr>
        <w:t xml:space="preserve"> </w:t>
      </w:r>
      <w:proofErr w:type="spellStart"/>
      <w:r>
        <w:rPr>
          <w:i/>
        </w:rPr>
        <w:t>Mo’ui</w:t>
      </w:r>
      <w:proofErr w:type="spellEnd"/>
      <w:r w:rsidRPr="00A119E8">
        <w:t xml:space="preserve"> across the eight priority DHBs. The DHBs are arranged from the biggest population on the left to the smallest population on the right. The arrows indicate the trend of progress over time. Rheumatic fever data was not presented because there were not enough numbers (new cases) in a number of DHBs to successfully estimate the rheumatic fever hospitalisation rate with confidence.</w:t>
      </w:r>
    </w:p>
    <w:p w:rsidR="00BA14B3" w:rsidRPr="00A119E8" w:rsidRDefault="00BA14B3" w:rsidP="00A57051"/>
    <w:p w:rsidR="0034306E" w:rsidRDefault="00BA14B3" w:rsidP="00A57051">
      <w:r w:rsidRPr="00A119E8">
        <w:t xml:space="preserve">Other </w:t>
      </w:r>
      <w:r w:rsidRPr="00B46DEB">
        <w:t xml:space="preserve">indicators </w:t>
      </w:r>
      <w:r w:rsidRPr="00A119E8">
        <w:t xml:space="preserve">that </w:t>
      </w:r>
      <w:r>
        <w:t>were</w:t>
      </w:r>
      <w:r w:rsidRPr="00A119E8">
        <w:t xml:space="preserve"> not presented in Table 4 for this progress report were ‘ASH rates per 100,000’ (0–74-year-olds), ‘Percentage of children who are obese’ and the ‘Estimated percentage of people with diabetes’. These three indicators will be updated as data becomes available.</w:t>
      </w:r>
    </w:p>
    <w:p w:rsidR="00BA14B3" w:rsidRPr="00A119E8" w:rsidRDefault="00BA14B3" w:rsidP="00A57051"/>
    <w:p w:rsidR="0034306E" w:rsidRDefault="00BA14B3" w:rsidP="00A57051">
      <w:r w:rsidRPr="00A119E8">
        <w:t>The exclusion of the ASH rates from this progress report was due to a change in definition (refer to page 1). Data for the ‘Percentage of children who are obese’ was not available in time for this progress report, as well as data for the ‘Estimated percentage of people with diabetes’, which is reported annually.</w:t>
      </w:r>
    </w:p>
    <w:p w:rsidR="00BA14B3" w:rsidRPr="00A119E8" w:rsidRDefault="00BA14B3" w:rsidP="00A57051"/>
    <w:p w:rsidR="0034306E" w:rsidRDefault="00BA14B3" w:rsidP="00A57051">
      <w:pPr>
        <w:pStyle w:val="Table"/>
      </w:pPr>
      <w:bookmarkStart w:id="9" w:name="_Toc445801431"/>
      <w:bookmarkStart w:id="10" w:name="_Toc447527121"/>
      <w:r w:rsidRPr="00A119E8">
        <w:lastRenderedPageBreak/>
        <w:t xml:space="preserve">Table 4: </w:t>
      </w:r>
      <w:r w:rsidR="00A57051">
        <w:rPr>
          <w:i/>
        </w:rPr>
        <w:t>’</w:t>
      </w:r>
      <w:proofErr w:type="spellStart"/>
      <w:r w:rsidRPr="00A119E8">
        <w:rPr>
          <w:i/>
        </w:rPr>
        <w:t>Ala</w:t>
      </w:r>
      <w:proofErr w:type="spellEnd"/>
      <w:r w:rsidRPr="00A119E8">
        <w:rPr>
          <w:i/>
        </w:rPr>
        <w:t xml:space="preserve"> </w:t>
      </w:r>
      <w:proofErr w:type="spellStart"/>
      <w:r w:rsidRPr="00A119E8">
        <w:rPr>
          <w:i/>
        </w:rPr>
        <w:t>Mo</w:t>
      </w:r>
      <w:r w:rsidR="00A57051">
        <w:rPr>
          <w:i/>
        </w:rPr>
        <w:t>’</w:t>
      </w:r>
      <w:r w:rsidRPr="00A119E8">
        <w:rPr>
          <w:i/>
        </w:rPr>
        <w:t>ui</w:t>
      </w:r>
      <w:proofErr w:type="spellEnd"/>
      <w:r w:rsidRPr="00A119E8">
        <w:rPr>
          <w:i/>
        </w:rPr>
        <w:t xml:space="preserve"> </w:t>
      </w:r>
      <w:r w:rsidRPr="00A119E8">
        <w:t>performance indicators progress for the priority DHBs, as at 31</w:t>
      </w:r>
      <w:r w:rsidR="00A57051">
        <w:t> </w:t>
      </w:r>
      <w:r w:rsidRPr="00A119E8">
        <w:t>December 2015</w:t>
      </w:r>
      <w:bookmarkEnd w:id="9"/>
      <w:bookmarkEnd w:id="10"/>
    </w:p>
    <w:p w:rsidR="00BA14B3" w:rsidRPr="00A119E8" w:rsidRDefault="00BA14B3" w:rsidP="00A57051">
      <w:r>
        <w:rPr>
          <w:noProof/>
          <w:lang w:eastAsia="en-NZ"/>
        </w:rPr>
        <w:drawing>
          <wp:inline distT="0" distB="0" distL="0" distR="0" wp14:anchorId="4D9A0F12" wp14:editId="2A411509">
            <wp:extent cx="5936414" cy="8146473"/>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495" cy="8146585"/>
                    </a:xfrm>
                    <a:prstGeom prst="rect">
                      <a:avLst/>
                    </a:prstGeom>
                    <a:noFill/>
                    <a:ln>
                      <a:noFill/>
                    </a:ln>
                  </pic:spPr>
                </pic:pic>
              </a:graphicData>
            </a:graphic>
          </wp:inline>
        </w:drawing>
      </w:r>
    </w:p>
    <w:p w:rsidR="0021763B" w:rsidRPr="0021763B" w:rsidRDefault="0021763B" w:rsidP="0021763B"/>
    <w:p w:rsidR="00C86248" w:rsidRDefault="00C86248" w:rsidP="0086388B"/>
    <w:p w:rsidR="00C86248" w:rsidRDefault="00C86248">
      <w:pPr>
        <w:sectPr w:rsidR="00C86248" w:rsidSect="009D5125">
          <w:footerReference w:type="even" r:id="rId21"/>
          <w:pgSz w:w="11907" w:h="16840" w:code="9"/>
          <w:pgMar w:top="851" w:right="1134" w:bottom="1134" w:left="1134" w:header="284" w:footer="567" w:gutter="284"/>
          <w:pgNumType w:fmt="lowerRoman"/>
          <w:cols w:space="720"/>
        </w:sectPr>
      </w:pPr>
    </w:p>
    <w:p w:rsidR="008C2973" w:rsidRDefault="00BA14B3" w:rsidP="00F07986">
      <w:pPr>
        <w:pStyle w:val="Heading1"/>
      </w:pPr>
      <w:bookmarkStart w:id="11" w:name="_Toc447565078"/>
      <w:r>
        <w:lastRenderedPageBreak/>
        <w:t>Whole-of-system measures</w:t>
      </w:r>
      <w:bookmarkEnd w:id="11"/>
    </w:p>
    <w:p w:rsidR="00BA14B3" w:rsidRPr="00A119E8" w:rsidRDefault="00BA14B3" w:rsidP="00F07986">
      <w:r>
        <w:rPr>
          <w:i/>
        </w:rPr>
        <w:t>’</w:t>
      </w:r>
      <w:proofErr w:type="spellStart"/>
      <w:r>
        <w:rPr>
          <w:i/>
        </w:rPr>
        <w:t>Ala</w:t>
      </w:r>
      <w:proofErr w:type="spellEnd"/>
      <w:r>
        <w:rPr>
          <w:i/>
        </w:rPr>
        <w:t xml:space="preserve"> </w:t>
      </w:r>
      <w:proofErr w:type="spellStart"/>
      <w:r>
        <w:rPr>
          <w:i/>
        </w:rPr>
        <w:t>Mo’ui</w:t>
      </w:r>
      <w:proofErr w:type="spellEnd"/>
      <w:r w:rsidRPr="00A119E8">
        <w:t xml:space="preserve"> aims to make a positive impact on three particular whole-of-system indicators in the long term:</w:t>
      </w:r>
    </w:p>
    <w:p w:rsidR="00BA14B3" w:rsidRPr="00A119E8" w:rsidRDefault="00BA14B3" w:rsidP="00F07986">
      <w:pPr>
        <w:pStyle w:val="Bullet"/>
      </w:pPr>
      <w:r w:rsidRPr="00A119E8">
        <w:rPr>
          <w:b/>
        </w:rPr>
        <w:t xml:space="preserve">Life expectancy </w:t>
      </w:r>
      <w:r w:rsidRPr="00A119E8">
        <w:t>– the number of years a person can expect to live (Ministry of Health 201</w:t>
      </w:r>
      <w:r w:rsidR="00683E18">
        <w:t>5</w:t>
      </w:r>
      <w:r w:rsidR="00961DB7">
        <w:t>b</w:t>
      </w:r>
      <w:r w:rsidRPr="00A119E8">
        <w:t>)</w:t>
      </w:r>
    </w:p>
    <w:p w:rsidR="00BA14B3" w:rsidRPr="00A119E8" w:rsidRDefault="00BA14B3" w:rsidP="00F07986">
      <w:pPr>
        <w:pStyle w:val="Bullet"/>
      </w:pPr>
      <w:r w:rsidRPr="00A119E8">
        <w:rPr>
          <w:b/>
        </w:rPr>
        <w:t>Health expectancy</w:t>
      </w:r>
      <w:r w:rsidRPr="00A119E8">
        <w:t xml:space="preserve"> – in the form of independent life expectancy, is the number of years a person can expect to live free of functional limitation needing ass</w:t>
      </w:r>
      <w:r w:rsidR="008D5FF2">
        <w:t>istance (Ministry of Health 2015b</w:t>
      </w:r>
      <w:r w:rsidRPr="00A119E8">
        <w:t>)</w:t>
      </w:r>
    </w:p>
    <w:p w:rsidR="00BA14B3" w:rsidRPr="00A119E8" w:rsidRDefault="00BA14B3" w:rsidP="00F07986">
      <w:pPr>
        <w:pStyle w:val="Bullet"/>
      </w:pPr>
      <w:r w:rsidRPr="00A119E8">
        <w:rPr>
          <w:b/>
        </w:rPr>
        <w:t>Ambulatory sensitive hospital</w:t>
      </w:r>
      <w:r w:rsidRPr="00EC7783">
        <w:rPr>
          <w:b/>
        </w:rPr>
        <w:t>isation (ASH)</w:t>
      </w:r>
      <w:r w:rsidRPr="00A119E8">
        <w:t xml:space="preserve"> </w:t>
      </w:r>
      <w:r w:rsidRPr="00EC7783">
        <w:rPr>
          <w:b/>
        </w:rPr>
        <w:t xml:space="preserve">rates </w:t>
      </w:r>
      <w:r w:rsidRPr="00A119E8">
        <w:t>– ASH rates refers to hospitalisations due to medical conditions that could be avoided by the provision of adequate primary health care (Ministry of Health 2012</w:t>
      </w:r>
      <w:r w:rsidR="00961DB7">
        <w:t>b</w:t>
      </w:r>
      <w:r w:rsidRPr="00A119E8">
        <w:t>).</w:t>
      </w:r>
    </w:p>
    <w:p w:rsidR="00BA14B3" w:rsidRPr="00A119E8" w:rsidRDefault="00BA14B3" w:rsidP="00F07986"/>
    <w:p w:rsidR="00BA14B3" w:rsidRPr="00A119E8" w:rsidRDefault="00BA14B3" w:rsidP="00F07986">
      <w:pPr>
        <w:pStyle w:val="Heading2"/>
      </w:pPr>
      <w:bookmarkStart w:id="12" w:name="_Toc445823330"/>
      <w:bookmarkStart w:id="13" w:name="_Toc447565079"/>
      <w:r w:rsidRPr="00A119E8">
        <w:t>Life expectancy</w:t>
      </w:r>
      <w:bookmarkEnd w:id="12"/>
      <w:bookmarkEnd w:id="13"/>
    </w:p>
    <w:p w:rsidR="0034306E" w:rsidRDefault="00BA14B3" w:rsidP="00F07986">
      <w:r w:rsidRPr="00A119E8">
        <w:t>Life expectancy at birth continues to improve for Pacific peoples. However, Pacific peoples still have shorter life expectancy compared with the total New Zealand population. Based on death rates in New Zealand in 2012–20</w:t>
      </w:r>
      <w:r w:rsidR="008F4087">
        <w:t>f</w:t>
      </w:r>
      <w:r w:rsidRPr="00A119E8">
        <w:t>14, life expectancy was 78.7 years for Pacific females and 74.5</w:t>
      </w:r>
      <w:r w:rsidR="00F07986">
        <w:t> </w:t>
      </w:r>
      <w:r w:rsidRPr="00A119E8">
        <w:t>years for Pacific males, compared with 83.2 years for females and 79.5 years for males in the total New Zealand population (Statistics New Zealand 2015).</w:t>
      </w:r>
    </w:p>
    <w:p w:rsidR="00BA14B3" w:rsidRPr="00A119E8" w:rsidRDefault="00BA14B3" w:rsidP="00F07986"/>
    <w:p w:rsidR="00BA14B3" w:rsidRPr="00A119E8" w:rsidRDefault="00BA14B3" w:rsidP="00F07986">
      <w:pPr>
        <w:pStyle w:val="Heading2"/>
      </w:pPr>
      <w:bookmarkStart w:id="14" w:name="_Toc445823331"/>
      <w:bookmarkStart w:id="15" w:name="_Toc447565080"/>
      <w:r w:rsidRPr="00A119E8">
        <w:t>Health expectancy</w:t>
      </w:r>
      <w:bookmarkEnd w:id="14"/>
      <w:bookmarkEnd w:id="15"/>
    </w:p>
    <w:p w:rsidR="00BA14B3" w:rsidRPr="00A119E8" w:rsidRDefault="00BA14B3" w:rsidP="00F07986">
      <w:r w:rsidRPr="00A119E8">
        <w:t>In 2006, the gap in health expectancy for Pacific males compared with males in the total population was 4.4 years. The gap for Pacific females compared with the females in the total population was 5.3 years.</w:t>
      </w:r>
    </w:p>
    <w:p w:rsidR="00BA14B3" w:rsidRPr="00A119E8" w:rsidRDefault="00BA14B3" w:rsidP="00F07986"/>
    <w:p w:rsidR="00BA14B3" w:rsidRPr="00A119E8" w:rsidRDefault="00BA14B3" w:rsidP="00F07986">
      <w:r w:rsidRPr="00A119E8">
        <w:t>Health expectancy at birth for New Zealand women has increased steadily for all females since 1996 to 2013, from 66.4 to 66.5. Health expectancy at birth for New Zealand men over the same period has also increased, from 63.8 to 65.2</w:t>
      </w:r>
      <w:r>
        <w:t xml:space="preserve"> (Ministry of Health 2015b)</w:t>
      </w:r>
      <w:r w:rsidRPr="00A119E8">
        <w:t>.</w:t>
      </w:r>
    </w:p>
    <w:p w:rsidR="00BA14B3" w:rsidRPr="00A119E8" w:rsidRDefault="00BA14B3" w:rsidP="00F07986"/>
    <w:p w:rsidR="00BA14B3" w:rsidRPr="00A119E8" w:rsidRDefault="00BA14B3" w:rsidP="00F07986">
      <w:r w:rsidRPr="00A119E8">
        <w:t>The health expectancy indicator has not been updated since 2006 for Pacific peoples.</w:t>
      </w:r>
    </w:p>
    <w:p w:rsidR="00BA14B3" w:rsidRPr="00A119E8" w:rsidRDefault="00BA14B3" w:rsidP="00F07986"/>
    <w:p w:rsidR="00BA14B3" w:rsidRPr="00A119E8" w:rsidRDefault="00BA14B3" w:rsidP="00F07986">
      <w:pPr>
        <w:pStyle w:val="Heading2"/>
      </w:pPr>
      <w:bookmarkStart w:id="16" w:name="_Toc445823332"/>
      <w:bookmarkStart w:id="17" w:name="_Toc447565081"/>
      <w:r w:rsidRPr="00A119E8">
        <w:t>Ambulatory sensitive hospitalisation rates</w:t>
      </w:r>
      <w:bookmarkEnd w:id="16"/>
      <w:bookmarkEnd w:id="17"/>
    </w:p>
    <w:p w:rsidR="0034306E" w:rsidRDefault="00BA14B3" w:rsidP="00F07986">
      <w:r w:rsidRPr="00A119E8">
        <w:t>ASH rates are often used as a measure of the effectiveness of the interface between primary and secondary health care. ASH rates are a health system indicator. The assumption is that better management of chronic conditions such as diabetes and cardiovascular disease within local communities has the potential to reduce the number of avoidable hospital admissions (and to moderate demand on hospital resources). Diagnosis information on hospitalisations sent to the national data set is analysed quarterly to provide avoidable ambulatory sensitive hospitalisations.</w:t>
      </w:r>
    </w:p>
    <w:p w:rsidR="00BA14B3" w:rsidRPr="00A119E8" w:rsidRDefault="00BA14B3" w:rsidP="00F07986"/>
    <w:p w:rsidR="0034306E" w:rsidRDefault="00BA14B3" w:rsidP="00F07986">
      <w:pPr>
        <w:keepLines/>
      </w:pPr>
      <w:r w:rsidRPr="00A119E8">
        <w:lastRenderedPageBreak/>
        <w:t xml:space="preserve">The Ministry initiated a review of the methodology used to calculate ASH rates towards the end of 2014. As a result of the review, the Ministry is changing the previous ASH definition to differentiate ‘Child ASH’ from ‘Adult ASH’. The rationale is that clinical conditions for ‘Child ASH’ differ from those for ‘Adult ASH’. Combining the two to create a single measure adds no utility to ASH. The Ministry will now be reporting Child ASH (0–4-year-olds) and Adult ASH (45–64-year-olds) rates. (Refer: </w:t>
      </w:r>
      <w:hyperlink r:id="rId22" w:history="1">
        <w:r w:rsidRPr="00A119E8">
          <w:rPr>
            <w:rStyle w:val="Hyperlink"/>
          </w:rPr>
          <w:t>http://nsfl.health.govt.nz/accountability/performance-and-monitoring/performance-measures/performance-measures-201516</w:t>
        </w:r>
      </w:hyperlink>
      <w:r w:rsidRPr="00A119E8">
        <w:rPr>
          <w:rStyle w:val="Hyperlink"/>
        </w:rPr>
        <w:t>)</w:t>
      </w:r>
    </w:p>
    <w:p w:rsidR="00BA14B3" w:rsidRPr="00A119E8" w:rsidRDefault="00BA14B3" w:rsidP="00F07986">
      <w:pPr>
        <w:rPr>
          <w:highlight w:val="yellow"/>
        </w:rPr>
      </w:pPr>
    </w:p>
    <w:p w:rsidR="00BA14B3" w:rsidRPr="00A119E8" w:rsidRDefault="00BA14B3" w:rsidP="00F07986">
      <w:r w:rsidRPr="00A119E8">
        <w:rPr>
          <w:b/>
        </w:rPr>
        <w:t>Note</w:t>
      </w:r>
      <w:r w:rsidRPr="00A119E8">
        <w:t>: ASH rates are not updated for this report. The next report will have the two new rates (Child and Adult).</w:t>
      </w:r>
    </w:p>
    <w:p w:rsidR="00BA14B3" w:rsidRPr="00A119E8" w:rsidRDefault="00BA14B3" w:rsidP="00F07986"/>
    <w:p w:rsidR="00BA14B3" w:rsidRPr="00A119E8" w:rsidRDefault="00BA14B3" w:rsidP="00F07986">
      <w:pPr>
        <w:pStyle w:val="Figure"/>
        <w:rPr>
          <w:rFonts w:cs="Arial"/>
        </w:rPr>
      </w:pPr>
      <w:bookmarkStart w:id="18" w:name="_Toc428368055"/>
      <w:bookmarkStart w:id="19" w:name="_Toc428370433"/>
      <w:bookmarkStart w:id="20" w:name="_Toc445801439"/>
      <w:bookmarkStart w:id="21" w:name="_Toc447527137"/>
      <w:r w:rsidRPr="00A119E8">
        <w:t xml:space="preserve">Figure </w:t>
      </w:r>
      <w:fldSimple w:instr=" SEQ Figure \* ARABIC ">
        <w:r w:rsidR="008D5FF2">
          <w:rPr>
            <w:noProof/>
          </w:rPr>
          <w:t>1</w:t>
        </w:r>
      </w:fldSimple>
      <w:r w:rsidRPr="00A119E8">
        <w:t>: ASH rates per 100,000 (0–74-year-olds), Pacific peoples population and total New Zealand population, 2001–2014</w:t>
      </w:r>
      <w:bookmarkEnd w:id="18"/>
      <w:bookmarkEnd w:id="19"/>
      <w:bookmarkEnd w:id="20"/>
      <w:bookmarkEnd w:id="21"/>
    </w:p>
    <w:p w:rsidR="00BA14B3" w:rsidRDefault="00363850" w:rsidP="00363850">
      <w:pPr>
        <w:spacing w:after="120"/>
      </w:pPr>
      <w:r>
        <w:rPr>
          <w:noProof/>
          <w:lang w:eastAsia="en-NZ"/>
        </w:rPr>
        <w:drawing>
          <wp:inline distT="0" distB="0" distL="0" distR="0" wp14:anchorId="1DD0B88A" wp14:editId="6B44376F">
            <wp:extent cx="4510711" cy="2809702"/>
            <wp:effectExtent l="0" t="0" r="0" b="0"/>
            <wp:docPr id="87" name="Picture 87" title="Figure 1: ASH rates per 100,000 (0–74-year-olds), Pacific peoples population and total New Zealand population,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40"/>
                    <a:stretch/>
                  </pic:blipFill>
                  <pic:spPr bwMode="auto">
                    <a:xfrm>
                      <a:off x="0" y="0"/>
                      <a:ext cx="4519568" cy="28152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567"/>
        <w:gridCol w:w="567"/>
        <w:gridCol w:w="567"/>
        <w:gridCol w:w="567"/>
        <w:gridCol w:w="567"/>
        <w:gridCol w:w="567"/>
        <w:gridCol w:w="567"/>
        <w:gridCol w:w="567"/>
        <w:gridCol w:w="567"/>
        <w:gridCol w:w="567"/>
        <w:gridCol w:w="567"/>
        <w:gridCol w:w="567"/>
        <w:gridCol w:w="567"/>
        <w:gridCol w:w="567"/>
      </w:tblGrid>
      <w:tr w:rsidR="00363850" w:rsidRPr="00363850" w:rsidTr="00363850">
        <w:trPr>
          <w:cantSplit/>
        </w:trPr>
        <w:tc>
          <w:tcPr>
            <w:tcW w:w="1418" w:type="dxa"/>
            <w:tcBorders>
              <w:top w:val="single" w:sz="4" w:space="0" w:color="auto"/>
              <w:bottom w:val="single" w:sz="4" w:space="0" w:color="auto"/>
            </w:tcBorders>
          </w:tcPr>
          <w:p w:rsidR="00363850" w:rsidRPr="00363850" w:rsidRDefault="00363850" w:rsidP="00363850">
            <w:pPr>
              <w:pStyle w:val="TableText"/>
              <w:rPr>
                <w:b/>
                <w:sz w:val="14"/>
                <w:szCs w:val="14"/>
              </w:rPr>
            </w:pP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2001</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2002</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2003</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2004</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2005</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2006</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2007</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2008</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2009</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2010</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2011</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2012</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2013</w:t>
            </w:r>
          </w:p>
        </w:tc>
        <w:tc>
          <w:tcPr>
            <w:tcW w:w="567" w:type="dxa"/>
            <w:tcBorders>
              <w:top w:val="single" w:sz="4" w:space="0" w:color="auto"/>
              <w:bottom w:val="single" w:sz="4" w:space="0" w:color="auto"/>
            </w:tcBorders>
          </w:tcPr>
          <w:p w:rsidR="00363850" w:rsidRPr="00363850" w:rsidRDefault="00363850" w:rsidP="00363850">
            <w:pPr>
              <w:pStyle w:val="TableText"/>
              <w:jc w:val="center"/>
              <w:rPr>
                <w:b/>
                <w:bCs/>
                <w:sz w:val="14"/>
                <w:szCs w:val="14"/>
              </w:rPr>
            </w:pPr>
            <w:r w:rsidRPr="00363850">
              <w:rPr>
                <w:b/>
                <w:bCs/>
                <w:sz w:val="14"/>
                <w:szCs w:val="14"/>
              </w:rPr>
              <w:t>2014</w:t>
            </w:r>
          </w:p>
        </w:tc>
      </w:tr>
      <w:tr w:rsidR="00363850" w:rsidRPr="00363850" w:rsidTr="00D3018B">
        <w:trPr>
          <w:cantSplit/>
        </w:trPr>
        <w:tc>
          <w:tcPr>
            <w:tcW w:w="1418" w:type="dxa"/>
            <w:tcBorders>
              <w:top w:val="single" w:sz="4" w:space="0" w:color="auto"/>
              <w:bottom w:val="single" w:sz="4" w:space="0" w:color="A6A6A6" w:themeColor="background1" w:themeShade="A6"/>
            </w:tcBorders>
          </w:tcPr>
          <w:p w:rsidR="00363850" w:rsidRPr="00363850" w:rsidRDefault="00363850" w:rsidP="00363850">
            <w:pPr>
              <w:pStyle w:val="TableText"/>
              <w:rPr>
                <w:bCs/>
                <w:sz w:val="14"/>
                <w:szCs w:val="14"/>
              </w:rPr>
            </w:pPr>
            <w:r w:rsidRPr="00363850">
              <w:rPr>
                <w:bCs/>
                <w:sz w:val="14"/>
                <w:szCs w:val="14"/>
              </w:rPr>
              <w:t>Pacific</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2898</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2975</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3307</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3503</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3399</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3697</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3827</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3938</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4033</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4072</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4070</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3964</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3894</w:t>
            </w:r>
          </w:p>
        </w:tc>
        <w:tc>
          <w:tcPr>
            <w:tcW w:w="567" w:type="dxa"/>
            <w:tcBorders>
              <w:top w:val="single" w:sz="4" w:space="0" w:color="auto"/>
              <w:bottom w:val="single" w:sz="4" w:space="0" w:color="A6A6A6" w:themeColor="background1" w:themeShade="A6"/>
            </w:tcBorders>
          </w:tcPr>
          <w:p w:rsidR="00363850" w:rsidRPr="00363850" w:rsidRDefault="00363850" w:rsidP="00363850">
            <w:pPr>
              <w:pStyle w:val="TableText"/>
              <w:jc w:val="center"/>
              <w:rPr>
                <w:sz w:val="14"/>
                <w:szCs w:val="14"/>
              </w:rPr>
            </w:pPr>
            <w:r w:rsidRPr="00363850">
              <w:rPr>
                <w:sz w:val="14"/>
                <w:szCs w:val="14"/>
              </w:rPr>
              <w:t>3900</w:t>
            </w:r>
          </w:p>
        </w:tc>
      </w:tr>
      <w:tr w:rsidR="00363850" w:rsidRPr="00363850" w:rsidTr="00D3018B">
        <w:trPr>
          <w:cantSplit/>
        </w:trPr>
        <w:tc>
          <w:tcPr>
            <w:tcW w:w="1418" w:type="dxa"/>
            <w:tcBorders>
              <w:top w:val="single" w:sz="4" w:space="0" w:color="A6A6A6" w:themeColor="background1" w:themeShade="A6"/>
              <w:bottom w:val="single" w:sz="4" w:space="0" w:color="auto"/>
            </w:tcBorders>
          </w:tcPr>
          <w:p w:rsidR="00363850" w:rsidRPr="00363850" w:rsidRDefault="00363850" w:rsidP="00363850">
            <w:pPr>
              <w:pStyle w:val="TableText"/>
              <w:rPr>
                <w:bCs/>
                <w:sz w:val="14"/>
                <w:szCs w:val="14"/>
              </w:rPr>
            </w:pPr>
            <w:r w:rsidRPr="00363850">
              <w:rPr>
                <w:bCs/>
                <w:sz w:val="14"/>
                <w:szCs w:val="14"/>
              </w:rPr>
              <w:t>Total New Zealand</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1828</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1808</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1846</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1891</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1932</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1976</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1930</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1898</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1936</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1964</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1917</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1918</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1906</w:t>
            </w:r>
          </w:p>
        </w:tc>
        <w:tc>
          <w:tcPr>
            <w:tcW w:w="567" w:type="dxa"/>
            <w:tcBorders>
              <w:top w:val="single" w:sz="4" w:space="0" w:color="A6A6A6" w:themeColor="background1" w:themeShade="A6"/>
              <w:bottom w:val="single" w:sz="4" w:space="0" w:color="auto"/>
            </w:tcBorders>
          </w:tcPr>
          <w:p w:rsidR="00363850" w:rsidRPr="00363850" w:rsidRDefault="00363850" w:rsidP="00363850">
            <w:pPr>
              <w:pStyle w:val="TableText"/>
              <w:jc w:val="center"/>
              <w:rPr>
                <w:sz w:val="14"/>
                <w:szCs w:val="14"/>
              </w:rPr>
            </w:pPr>
            <w:r w:rsidRPr="00363850">
              <w:rPr>
                <w:sz w:val="14"/>
                <w:szCs w:val="14"/>
              </w:rPr>
              <w:t>1936</w:t>
            </w:r>
          </w:p>
        </w:tc>
      </w:tr>
    </w:tbl>
    <w:p w:rsidR="00363850" w:rsidRPr="00A119E8" w:rsidRDefault="00363850" w:rsidP="00363850"/>
    <w:p w:rsidR="00BA14B3" w:rsidRPr="00A119E8" w:rsidRDefault="00BA14B3" w:rsidP="00363850">
      <w:r w:rsidRPr="00A119E8">
        <w:t>Figure 1 presents ASH rates between 2001 and 2014 (previously reported in the June 2015 progress report). There was no change since the June 2015 progress report.</w:t>
      </w:r>
    </w:p>
    <w:p w:rsidR="00BA14B3" w:rsidRPr="00A119E8" w:rsidRDefault="00BA14B3" w:rsidP="00F07986"/>
    <w:p w:rsidR="00BA14B3" w:rsidRPr="00A119E8" w:rsidRDefault="00BA14B3" w:rsidP="00F07986">
      <w:pPr>
        <w:pStyle w:val="Figure"/>
      </w:pPr>
      <w:bookmarkStart w:id="22" w:name="_Toc428368056"/>
      <w:bookmarkStart w:id="23" w:name="_Toc428370434"/>
      <w:bookmarkStart w:id="24" w:name="_Toc445801440"/>
      <w:bookmarkStart w:id="25" w:name="_Toc447527138"/>
      <w:r w:rsidRPr="00A119E8">
        <w:lastRenderedPageBreak/>
        <w:t xml:space="preserve">Figure </w:t>
      </w:r>
      <w:fldSimple w:instr=" SEQ Figure \* ARABIC ">
        <w:r w:rsidR="008D5FF2">
          <w:rPr>
            <w:noProof/>
          </w:rPr>
          <w:t>2</w:t>
        </w:r>
      </w:fldSimple>
      <w:r w:rsidRPr="00A119E8">
        <w:t>: ASH rates per 100,000 (0–74-year-olds), Pacific peoples, by priority district health boards (DHBs), 2001–2014</w:t>
      </w:r>
      <w:bookmarkEnd w:id="22"/>
      <w:bookmarkEnd w:id="23"/>
      <w:bookmarkEnd w:id="24"/>
      <w:bookmarkEnd w:id="25"/>
    </w:p>
    <w:p w:rsidR="00BA14B3" w:rsidRDefault="000364E0" w:rsidP="000364E0">
      <w:pPr>
        <w:spacing w:after="120"/>
      </w:pPr>
      <w:r>
        <w:rPr>
          <w:noProof/>
          <w:lang w:eastAsia="en-NZ"/>
        </w:rPr>
        <w:drawing>
          <wp:inline distT="0" distB="0" distL="0" distR="0" wp14:anchorId="330F8B18" wp14:editId="7657F59A">
            <wp:extent cx="4517806" cy="2759826"/>
            <wp:effectExtent l="0" t="0" r="0" b="0"/>
            <wp:docPr id="88" name="Picture 88" title="Figure 2: ASH rates per 100,000 (0–74-year-olds), Pacific peoples, by priority district health boards (DHBs),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6923" cy="2759286"/>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567"/>
        <w:gridCol w:w="567"/>
        <w:gridCol w:w="567"/>
        <w:gridCol w:w="567"/>
        <w:gridCol w:w="567"/>
        <w:gridCol w:w="567"/>
        <w:gridCol w:w="567"/>
        <w:gridCol w:w="567"/>
        <w:gridCol w:w="567"/>
        <w:gridCol w:w="567"/>
        <w:gridCol w:w="567"/>
        <w:gridCol w:w="567"/>
        <w:gridCol w:w="567"/>
        <w:gridCol w:w="567"/>
      </w:tblGrid>
      <w:tr w:rsidR="000364E0" w:rsidRPr="00363850" w:rsidTr="00D3018B">
        <w:trPr>
          <w:cantSplit/>
        </w:trPr>
        <w:tc>
          <w:tcPr>
            <w:tcW w:w="1418" w:type="dxa"/>
            <w:tcBorders>
              <w:top w:val="single" w:sz="4" w:space="0" w:color="auto"/>
              <w:bottom w:val="single" w:sz="4" w:space="0" w:color="auto"/>
            </w:tcBorders>
          </w:tcPr>
          <w:p w:rsidR="000364E0" w:rsidRPr="00363850" w:rsidRDefault="000364E0" w:rsidP="00D3018B">
            <w:pPr>
              <w:pStyle w:val="TableText"/>
              <w:rPr>
                <w:b/>
                <w:sz w:val="14"/>
                <w:szCs w:val="14"/>
              </w:rPr>
            </w:pP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2001</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2002</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2003</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2004</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2005</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2006</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2007</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2008</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2009</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2010</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2011</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2012</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2013</w:t>
            </w:r>
          </w:p>
        </w:tc>
        <w:tc>
          <w:tcPr>
            <w:tcW w:w="567" w:type="dxa"/>
            <w:tcBorders>
              <w:top w:val="single" w:sz="4" w:space="0" w:color="auto"/>
              <w:bottom w:val="single" w:sz="4" w:space="0" w:color="auto"/>
            </w:tcBorders>
          </w:tcPr>
          <w:p w:rsidR="000364E0" w:rsidRPr="00363850" w:rsidRDefault="000364E0" w:rsidP="000364E0">
            <w:pPr>
              <w:pStyle w:val="TableText"/>
              <w:jc w:val="center"/>
              <w:rPr>
                <w:b/>
                <w:bCs/>
                <w:sz w:val="14"/>
                <w:szCs w:val="14"/>
              </w:rPr>
            </w:pPr>
            <w:r w:rsidRPr="00363850">
              <w:rPr>
                <w:b/>
                <w:bCs/>
                <w:sz w:val="14"/>
                <w:szCs w:val="14"/>
              </w:rPr>
              <w:t>2014</w:t>
            </w:r>
          </w:p>
        </w:tc>
      </w:tr>
      <w:tr w:rsidR="000364E0" w:rsidRPr="00363850" w:rsidTr="000364E0">
        <w:trPr>
          <w:cantSplit/>
        </w:trPr>
        <w:tc>
          <w:tcPr>
            <w:tcW w:w="1418" w:type="dxa"/>
            <w:tcBorders>
              <w:top w:val="single" w:sz="4" w:space="0" w:color="auto"/>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Auckland</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1845</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1801</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2740</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3283</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3109</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3601</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3559</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3910</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3887</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3973</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4084</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4088</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4201</w:t>
            </w:r>
          </w:p>
        </w:tc>
        <w:tc>
          <w:tcPr>
            <w:tcW w:w="567" w:type="dxa"/>
            <w:tcBorders>
              <w:top w:val="single" w:sz="4" w:space="0" w:color="auto"/>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4050</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Canterbury</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2694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2971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2809</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2957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3744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3083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3652</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3726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3702</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3731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3211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3370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3908</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3850</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Capital &amp; Coast</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3245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3282</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3149</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2954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2907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3047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3316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3203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3330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3809</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3664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3886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3395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3727</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 xml:space="preserve">Counties </w:t>
            </w:r>
            <w:proofErr w:type="spellStart"/>
            <w:r w:rsidRPr="000364E0">
              <w:rPr>
                <w:sz w:val="14"/>
                <w:szCs w:val="14"/>
              </w:rPr>
              <w:t>Manukau</w:t>
            </w:r>
            <w:proofErr w:type="spellEnd"/>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3468</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3851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3943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3906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3743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3940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4074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4169</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4396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4195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4264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4126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3965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3928</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Hutt Valley</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4149</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3986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3936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5015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4397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4125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4325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4284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4371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4250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4198</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4220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3785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3635</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Waikato</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2695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2333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2024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2120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1987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2040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1983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2124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2397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2493</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2592</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2235</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2967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3488</w:t>
            </w:r>
          </w:p>
        </w:tc>
      </w:tr>
      <w:tr w:rsidR="000364E0" w:rsidRPr="00363850" w:rsidTr="000364E0">
        <w:trPr>
          <w:cantSplit/>
        </w:trPr>
        <w:tc>
          <w:tcPr>
            <w:tcW w:w="1418" w:type="dxa"/>
            <w:tcBorders>
              <w:top w:val="single" w:sz="4" w:space="0" w:color="A6A6A6" w:themeColor="background1" w:themeShade="A6"/>
              <w:bottom w:val="single" w:sz="4" w:space="0" w:color="A6A6A6" w:themeColor="background1" w:themeShade="A6"/>
            </w:tcBorders>
          </w:tcPr>
          <w:p w:rsidR="000364E0" w:rsidRPr="000364E0" w:rsidRDefault="000364E0" w:rsidP="00D3018B">
            <w:pPr>
              <w:pStyle w:val="TableText"/>
              <w:rPr>
                <w:sz w:val="14"/>
                <w:szCs w:val="14"/>
              </w:rPr>
            </w:pPr>
            <w:proofErr w:type="spellStart"/>
            <w:r w:rsidRPr="000364E0">
              <w:rPr>
                <w:sz w:val="14"/>
                <w:szCs w:val="14"/>
              </w:rPr>
              <w:t>Waitemata</w:t>
            </w:r>
            <w:proofErr w:type="spellEnd"/>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2844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2394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2986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3184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3300</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4016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4194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4186</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4057</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4522</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4384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3934</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3871</w:t>
            </w:r>
          </w:p>
        </w:tc>
        <w:tc>
          <w:tcPr>
            <w:tcW w:w="567" w:type="dxa"/>
            <w:tcBorders>
              <w:top w:val="single" w:sz="4" w:space="0" w:color="A6A6A6" w:themeColor="background1" w:themeShade="A6"/>
              <w:bottom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4010</w:t>
            </w:r>
          </w:p>
        </w:tc>
      </w:tr>
      <w:tr w:rsidR="000364E0" w:rsidRPr="00363850" w:rsidTr="000364E0">
        <w:trPr>
          <w:cantSplit/>
        </w:trPr>
        <w:tc>
          <w:tcPr>
            <w:tcW w:w="1418" w:type="dxa"/>
            <w:tcBorders>
              <w:top w:val="single" w:sz="4" w:space="0" w:color="A6A6A6" w:themeColor="background1" w:themeShade="A6"/>
            </w:tcBorders>
          </w:tcPr>
          <w:p w:rsidR="000364E0" w:rsidRPr="000364E0" w:rsidRDefault="000364E0" w:rsidP="00D3018B">
            <w:pPr>
              <w:pStyle w:val="TableText"/>
              <w:rPr>
                <w:sz w:val="14"/>
                <w:szCs w:val="14"/>
              </w:rPr>
            </w:pPr>
            <w:r w:rsidRPr="000364E0">
              <w:rPr>
                <w:sz w:val="14"/>
                <w:szCs w:val="14"/>
              </w:rPr>
              <w:t>Total New Zealand</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1828</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1808</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1846</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1891</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1932</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1976</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1930</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1898</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1936</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1964</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1917</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1918</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1906</w:t>
            </w:r>
          </w:p>
        </w:tc>
        <w:tc>
          <w:tcPr>
            <w:tcW w:w="567" w:type="dxa"/>
            <w:tcBorders>
              <w:top w:val="single" w:sz="4" w:space="0" w:color="A6A6A6" w:themeColor="background1" w:themeShade="A6"/>
            </w:tcBorders>
          </w:tcPr>
          <w:p w:rsidR="000364E0" w:rsidRPr="000364E0" w:rsidRDefault="000364E0" w:rsidP="000364E0">
            <w:pPr>
              <w:pStyle w:val="TableText"/>
              <w:jc w:val="center"/>
              <w:rPr>
                <w:sz w:val="14"/>
                <w:szCs w:val="14"/>
              </w:rPr>
            </w:pPr>
            <w:r w:rsidRPr="000364E0">
              <w:rPr>
                <w:sz w:val="14"/>
                <w:szCs w:val="14"/>
              </w:rPr>
              <w:t>1936</w:t>
            </w:r>
          </w:p>
        </w:tc>
      </w:tr>
    </w:tbl>
    <w:p w:rsidR="000364E0" w:rsidRDefault="000364E0" w:rsidP="000364E0"/>
    <w:p w:rsidR="00BA14B3" w:rsidRPr="00A119E8" w:rsidRDefault="00BA14B3" w:rsidP="00F07986">
      <w:r w:rsidRPr="00A119E8">
        <w:t xml:space="preserve">Figure 2 </w:t>
      </w:r>
      <w:r>
        <w:t>shows</w:t>
      </w:r>
      <w:r w:rsidRPr="00A119E8">
        <w:t xml:space="preserve"> </w:t>
      </w:r>
      <w:r>
        <w:t xml:space="preserve">the </w:t>
      </w:r>
      <w:r w:rsidRPr="00A119E8">
        <w:t xml:space="preserve">ASH rates between 2001 and 2014 </w:t>
      </w:r>
      <w:r>
        <w:t xml:space="preserve">by </w:t>
      </w:r>
      <w:r w:rsidRPr="00A119E8">
        <w:t>priority DHBs. The numbers for Hawke’s Bay DHB were too small to report on. There was no change since the June 2015 progress report.</w:t>
      </w:r>
    </w:p>
    <w:p w:rsidR="00BA14B3" w:rsidRPr="00A119E8" w:rsidRDefault="00BA14B3" w:rsidP="00F07986"/>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9356"/>
      </w:tblGrid>
      <w:tr w:rsidR="00F07986" w:rsidRPr="00F07986" w:rsidTr="00F07986">
        <w:trPr>
          <w:cantSplit/>
        </w:trPr>
        <w:tc>
          <w:tcPr>
            <w:tcW w:w="9356" w:type="dxa"/>
            <w:shd w:val="clear" w:color="auto" w:fill="auto"/>
          </w:tcPr>
          <w:p w:rsidR="00BA14B3" w:rsidRPr="00F07986" w:rsidRDefault="00BA14B3" w:rsidP="00F07986">
            <w:pPr>
              <w:pStyle w:val="TableText"/>
              <w:spacing w:before="240"/>
              <w:jc w:val="center"/>
              <w:rPr>
                <w:rFonts w:ascii="Georgia" w:hAnsi="Georgia"/>
                <w:b/>
                <w:sz w:val="24"/>
                <w:szCs w:val="24"/>
              </w:rPr>
            </w:pPr>
            <w:r w:rsidRPr="00F07986">
              <w:rPr>
                <w:rFonts w:ascii="Georgia" w:hAnsi="Georgia"/>
                <w:b/>
                <w:sz w:val="24"/>
                <w:szCs w:val="24"/>
              </w:rPr>
              <w:lastRenderedPageBreak/>
              <w:t>Priority outcome 1 –</w:t>
            </w:r>
            <w:r w:rsidRPr="00F07986">
              <w:rPr>
                <w:rFonts w:ascii="Georgia" w:hAnsi="Georgia"/>
                <w:b/>
                <w:sz w:val="24"/>
                <w:szCs w:val="24"/>
              </w:rPr>
              <w:br/>
              <w:t>Systems and services meet the needs of Pacific peoples</w:t>
            </w:r>
          </w:p>
          <w:p w:rsidR="00BA14B3" w:rsidRPr="00F07986" w:rsidRDefault="00BA14B3" w:rsidP="00F07986">
            <w:pPr>
              <w:spacing w:before="240"/>
            </w:pPr>
            <w:r w:rsidRPr="00F07986">
              <w:t>The following presents a brief summary of performance indicator results in priority outcome 1 for this reporting period.</w:t>
            </w:r>
          </w:p>
          <w:p w:rsidR="0034306E" w:rsidRPr="00F07986" w:rsidRDefault="00BA14B3" w:rsidP="00F07986">
            <w:pPr>
              <w:spacing w:before="180"/>
            </w:pPr>
            <w:r w:rsidRPr="00F07986">
              <w:t>Within this priority outcome, some progress had been made in achieving equity or the set target in two indicators as at 31 December 2015:</w:t>
            </w:r>
          </w:p>
          <w:p w:rsidR="00BA14B3" w:rsidRPr="00F07986" w:rsidRDefault="00BA14B3" w:rsidP="00F07986">
            <w:pPr>
              <w:spacing w:before="90"/>
              <w:ind w:left="567" w:hanging="567"/>
              <w:rPr>
                <w:lang w:eastAsia="en-NZ"/>
              </w:rPr>
            </w:pPr>
            <w:r w:rsidRPr="00F07986">
              <w:rPr>
                <w:lang w:eastAsia="en-NZ"/>
              </w:rPr>
              <w:t>1.</w:t>
            </w:r>
            <w:r w:rsidRPr="00F07986">
              <w:rPr>
                <w:lang w:eastAsia="en-NZ"/>
              </w:rPr>
              <w:tab/>
              <w:t>access rate to alcohol and drug services where Pacific peoples had 1.24 percent compared with 1.03 percent for the total population</w:t>
            </w:r>
          </w:p>
          <w:p w:rsidR="00BA14B3" w:rsidRPr="00F07986" w:rsidRDefault="00BA14B3" w:rsidP="00F07986">
            <w:pPr>
              <w:spacing w:before="90"/>
              <w:ind w:left="567" w:hanging="567"/>
              <w:rPr>
                <w:lang w:eastAsia="en-NZ"/>
              </w:rPr>
            </w:pPr>
            <w:r w:rsidRPr="00F07986">
              <w:rPr>
                <w:lang w:eastAsia="en-NZ"/>
              </w:rPr>
              <w:t>2.</w:t>
            </w:r>
            <w:r w:rsidRPr="00F07986">
              <w:rPr>
                <w:lang w:eastAsia="en-NZ"/>
              </w:rPr>
              <w:tab/>
            </w:r>
            <w:proofErr w:type="gramStart"/>
            <w:r w:rsidRPr="00F07986">
              <w:rPr>
                <w:lang w:eastAsia="en-NZ"/>
              </w:rPr>
              <w:t>percentage</w:t>
            </w:r>
            <w:proofErr w:type="gramEnd"/>
            <w:r w:rsidRPr="00F07986">
              <w:rPr>
                <w:lang w:eastAsia="en-NZ"/>
              </w:rPr>
              <w:t xml:space="preserve"> of four-year-olds who received a Before School Check (B4SC) where Pacific children achieved 93 percent compared with 94 percent for the total population and a target set at 90 percent.</w:t>
            </w:r>
          </w:p>
          <w:p w:rsidR="0034306E" w:rsidRPr="00F07986" w:rsidRDefault="00BA14B3" w:rsidP="00F07986">
            <w:pPr>
              <w:spacing w:before="180"/>
            </w:pPr>
            <w:r w:rsidRPr="00F07986">
              <w:t>For all the other indicators under priority outcome 1, Pacific rates or percentages did not achieve either equity or the target set.</w:t>
            </w:r>
          </w:p>
          <w:p w:rsidR="00BA14B3" w:rsidRPr="00F07986" w:rsidRDefault="00BA14B3" w:rsidP="00F07986">
            <w:pPr>
              <w:pStyle w:val="Table"/>
              <w:spacing w:before="240"/>
            </w:pPr>
            <w:bookmarkStart w:id="26" w:name="_Toc445801432"/>
            <w:bookmarkStart w:id="27" w:name="_Toc447527122"/>
            <w:r w:rsidRPr="00F07986">
              <w:t>Table 5: Priority outcome 1 performance indicators where equity is a concern for Pacific peoples, as at 31 December 2015</w:t>
            </w:r>
            <w:bookmarkEnd w:id="26"/>
            <w:bookmarkEnd w:id="27"/>
          </w:p>
          <w:tbl>
            <w:tblPr>
              <w:tblW w:w="0" w:type="auto"/>
              <w:tblBorders>
                <w:top w:val="single" w:sz="2" w:space="0" w:color="auto"/>
                <w:bottom w:val="single" w:sz="2" w:space="0" w:color="auto"/>
              </w:tblBorders>
              <w:tblLayout w:type="fixed"/>
              <w:tblLook w:val="04A0" w:firstRow="1" w:lastRow="0" w:firstColumn="1" w:lastColumn="0" w:noHBand="0" w:noVBand="1"/>
            </w:tblPr>
            <w:tblGrid>
              <w:gridCol w:w="5562"/>
              <w:gridCol w:w="1134"/>
              <w:gridCol w:w="1418"/>
              <w:gridCol w:w="992"/>
            </w:tblGrid>
            <w:tr w:rsidR="00F07986" w:rsidRPr="00F07986" w:rsidTr="00F07986">
              <w:trPr>
                <w:cantSplit/>
              </w:trPr>
              <w:tc>
                <w:tcPr>
                  <w:tcW w:w="5562" w:type="dxa"/>
                  <w:tcBorders>
                    <w:top w:val="single" w:sz="4" w:space="0" w:color="auto"/>
                    <w:bottom w:val="single" w:sz="4" w:space="0" w:color="auto"/>
                  </w:tcBorders>
                  <w:shd w:val="clear" w:color="auto" w:fill="auto"/>
                </w:tcPr>
                <w:p w:rsidR="00BA14B3" w:rsidRPr="00F07986" w:rsidRDefault="00BA14B3" w:rsidP="00F07986">
                  <w:pPr>
                    <w:pStyle w:val="TableText"/>
                    <w:spacing w:before="90" w:after="90"/>
                    <w:rPr>
                      <w:b/>
                    </w:rPr>
                  </w:pPr>
                  <w:r w:rsidRPr="00F07986">
                    <w:rPr>
                      <w:b/>
                    </w:rPr>
                    <w:t>Indicator</w:t>
                  </w:r>
                </w:p>
              </w:tc>
              <w:tc>
                <w:tcPr>
                  <w:tcW w:w="1134" w:type="dxa"/>
                  <w:tcBorders>
                    <w:top w:val="single" w:sz="4" w:space="0" w:color="auto"/>
                    <w:bottom w:val="single" w:sz="4" w:space="0" w:color="auto"/>
                  </w:tcBorders>
                  <w:shd w:val="clear" w:color="auto" w:fill="auto"/>
                </w:tcPr>
                <w:p w:rsidR="00BA14B3" w:rsidRPr="00F07986" w:rsidRDefault="00BA14B3" w:rsidP="00F07986">
                  <w:pPr>
                    <w:pStyle w:val="TableText"/>
                    <w:spacing w:before="90" w:after="90"/>
                    <w:jc w:val="center"/>
                    <w:rPr>
                      <w:b/>
                    </w:rPr>
                  </w:pPr>
                  <w:r w:rsidRPr="00F07986">
                    <w:rPr>
                      <w:b/>
                    </w:rPr>
                    <w:t>Pacific</w:t>
                  </w:r>
                </w:p>
              </w:tc>
              <w:tc>
                <w:tcPr>
                  <w:tcW w:w="1418" w:type="dxa"/>
                  <w:tcBorders>
                    <w:top w:val="single" w:sz="4" w:space="0" w:color="auto"/>
                    <w:bottom w:val="single" w:sz="4" w:space="0" w:color="auto"/>
                  </w:tcBorders>
                </w:tcPr>
                <w:p w:rsidR="00BA14B3" w:rsidRPr="00F07986" w:rsidRDefault="00BA14B3" w:rsidP="00F07986">
                  <w:pPr>
                    <w:pStyle w:val="TableText"/>
                    <w:spacing w:before="90" w:after="90"/>
                    <w:jc w:val="center"/>
                    <w:rPr>
                      <w:b/>
                    </w:rPr>
                  </w:pPr>
                  <w:r w:rsidRPr="00F07986">
                    <w:rPr>
                      <w:b/>
                    </w:rPr>
                    <w:t>Total population</w:t>
                  </w:r>
                </w:p>
              </w:tc>
              <w:tc>
                <w:tcPr>
                  <w:tcW w:w="992" w:type="dxa"/>
                  <w:tcBorders>
                    <w:top w:val="single" w:sz="4" w:space="0" w:color="auto"/>
                    <w:bottom w:val="single" w:sz="4" w:space="0" w:color="auto"/>
                  </w:tcBorders>
                  <w:shd w:val="clear" w:color="auto" w:fill="auto"/>
                </w:tcPr>
                <w:p w:rsidR="00BA14B3" w:rsidRPr="00F07986" w:rsidRDefault="00BA14B3" w:rsidP="00F07986">
                  <w:pPr>
                    <w:pStyle w:val="TableText"/>
                    <w:spacing w:before="90" w:after="90"/>
                    <w:jc w:val="center"/>
                    <w:rPr>
                      <w:b/>
                    </w:rPr>
                  </w:pPr>
                  <w:r w:rsidRPr="00F07986">
                    <w:rPr>
                      <w:b/>
                    </w:rPr>
                    <w:t>Target</w:t>
                  </w:r>
                </w:p>
              </w:tc>
            </w:tr>
            <w:tr w:rsidR="00F07986" w:rsidRPr="00F07986" w:rsidTr="00F07986">
              <w:trPr>
                <w:cantSplit/>
              </w:trPr>
              <w:tc>
                <w:tcPr>
                  <w:tcW w:w="5562" w:type="dxa"/>
                  <w:tcBorders>
                    <w:top w:val="single" w:sz="4" w:space="0" w:color="auto"/>
                    <w:bottom w:val="single" w:sz="4" w:space="0" w:color="A6A6A6" w:themeColor="background1" w:themeShade="A6"/>
                  </w:tcBorders>
                </w:tcPr>
                <w:p w:rsidR="00BA14B3" w:rsidRPr="00F07986" w:rsidRDefault="00BA14B3" w:rsidP="00F07986">
                  <w:pPr>
                    <w:pStyle w:val="TableText"/>
                    <w:spacing w:before="90" w:after="90"/>
                  </w:pPr>
                  <w:r w:rsidRPr="00F07986">
                    <w:t>Access rate to mental health services</w:t>
                  </w:r>
                </w:p>
              </w:tc>
              <w:tc>
                <w:tcPr>
                  <w:tcW w:w="1134" w:type="dxa"/>
                  <w:tcBorders>
                    <w:top w:val="single" w:sz="4" w:space="0" w:color="auto"/>
                    <w:bottom w:val="single" w:sz="4" w:space="0" w:color="A6A6A6" w:themeColor="background1" w:themeShade="A6"/>
                  </w:tcBorders>
                </w:tcPr>
                <w:p w:rsidR="00BA14B3" w:rsidRPr="00F07986" w:rsidRDefault="00BA14B3" w:rsidP="00F07986">
                  <w:pPr>
                    <w:pStyle w:val="TableText"/>
                    <w:spacing w:before="90" w:after="90"/>
                    <w:jc w:val="center"/>
                  </w:pPr>
                  <w:r w:rsidRPr="00F07986">
                    <w:t>3.14%</w:t>
                  </w:r>
                </w:p>
              </w:tc>
              <w:tc>
                <w:tcPr>
                  <w:tcW w:w="1418" w:type="dxa"/>
                  <w:tcBorders>
                    <w:top w:val="single" w:sz="4" w:space="0" w:color="auto"/>
                    <w:bottom w:val="single" w:sz="4" w:space="0" w:color="A6A6A6" w:themeColor="background1" w:themeShade="A6"/>
                  </w:tcBorders>
                </w:tcPr>
                <w:p w:rsidR="00BA14B3" w:rsidRPr="00F07986" w:rsidRDefault="00BA14B3" w:rsidP="00F07986">
                  <w:pPr>
                    <w:pStyle w:val="TableText"/>
                    <w:spacing w:before="90" w:after="90"/>
                    <w:jc w:val="center"/>
                  </w:pPr>
                  <w:r w:rsidRPr="00F07986">
                    <w:t>3.48%</w:t>
                  </w:r>
                </w:p>
              </w:tc>
              <w:tc>
                <w:tcPr>
                  <w:tcW w:w="992" w:type="dxa"/>
                  <w:tcBorders>
                    <w:top w:val="single" w:sz="4" w:space="0" w:color="auto"/>
                    <w:bottom w:val="single" w:sz="4" w:space="0" w:color="A6A6A6" w:themeColor="background1" w:themeShade="A6"/>
                  </w:tcBorders>
                </w:tcPr>
                <w:p w:rsidR="00BA14B3" w:rsidRPr="00F07986" w:rsidRDefault="00BA14B3" w:rsidP="00F07986">
                  <w:pPr>
                    <w:pStyle w:val="TableText"/>
                    <w:spacing w:before="90" w:after="90"/>
                    <w:jc w:val="center"/>
                  </w:pPr>
                  <w:r w:rsidRPr="00F07986">
                    <w:t>No target</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proofErr w:type="spellStart"/>
                  <w:r w:rsidRPr="00F07986">
                    <w:t>Newborn</w:t>
                  </w:r>
                  <w:proofErr w:type="spellEnd"/>
                  <w:r w:rsidRPr="00F07986">
                    <w:t xml:space="preserve"> infants enrolled with a general practice by three months of age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73.0%</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74.0%</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98.0%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Infants who received all Well Child/</w:t>
                  </w:r>
                  <w:proofErr w:type="spellStart"/>
                  <w:r w:rsidRPr="00F07986">
                    <w:t>Tamariki</w:t>
                  </w:r>
                  <w:proofErr w:type="spellEnd"/>
                  <w:r w:rsidRPr="00F07986">
                    <w:t xml:space="preserve"> </w:t>
                  </w:r>
                  <w:proofErr w:type="spellStart"/>
                  <w:r w:rsidRPr="00F07986">
                    <w:t>Ora</w:t>
                  </w:r>
                  <w:proofErr w:type="spellEnd"/>
                  <w:r w:rsidRPr="00F07986">
                    <w:t xml:space="preserve"> (WCTO) core contacts in their first year of life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53.0%</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68.0%</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95.0%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Infants exclusively or fully breastfed at three months of age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47.0%</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55.0%</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60.0%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 xml:space="preserve">Percentage of children with body mass index (BMI) &gt;99.4th percentile referred to a general practitioner </w:t>
                  </w:r>
                  <w:r w:rsidR="00F07986">
                    <w:t>(GP) or specialist services</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92.0%</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83.0%</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95.0%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Children enrolled in DHB-funded dental services</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74.7%</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75.6%</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95.0%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Children caries-free at age five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35.3%</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58.6%</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65.0%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Mean rate of decayed, missing, or filled teeth (DMFT) for children at school year eight</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1.53</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1.02</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No target</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Smokers offered brief advice and support to quit in primary health care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82.4%</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83.2%</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90.0%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Percentage of eligible adults who had had cardiovascular risk assessments</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89.2%</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89.8%</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90.0%</w:t>
                  </w:r>
                </w:p>
              </w:tc>
            </w:tr>
            <w:tr w:rsidR="00F07986" w:rsidRPr="00F07986" w:rsidTr="00F07986">
              <w:trPr>
                <w:cantSplit/>
              </w:trPr>
              <w:tc>
                <w:tcPr>
                  <w:tcW w:w="556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pPr>
                  <w:r w:rsidRPr="00F07986">
                    <w:t>Children aged 2–14 years who are obese</w:t>
                  </w:r>
                </w:p>
              </w:tc>
              <w:tc>
                <w:tcPr>
                  <w:tcW w:w="1134"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25%</w:t>
                  </w:r>
                </w:p>
              </w:tc>
              <w:tc>
                <w:tcPr>
                  <w:tcW w:w="1418"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11%</w:t>
                  </w:r>
                </w:p>
              </w:tc>
              <w:tc>
                <w:tcPr>
                  <w:tcW w:w="992" w:type="dxa"/>
                  <w:tcBorders>
                    <w:top w:val="single" w:sz="4" w:space="0" w:color="A6A6A6" w:themeColor="background1" w:themeShade="A6"/>
                    <w:bottom w:val="single" w:sz="4" w:space="0" w:color="A6A6A6" w:themeColor="background1" w:themeShade="A6"/>
                  </w:tcBorders>
                </w:tcPr>
                <w:p w:rsidR="00BA14B3" w:rsidRPr="00F07986" w:rsidRDefault="00BA14B3" w:rsidP="00F07986">
                  <w:pPr>
                    <w:pStyle w:val="TableText"/>
                    <w:spacing w:before="90" w:after="90"/>
                    <w:jc w:val="center"/>
                  </w:pPr>
                  <w:r w:rsidRPr="00F07986">
                    <w:t>No target</w:t>
                  </w:r>
                </w:p>
              </w:tc>
            </w:tr>
            <w:tr w:rsidR="00F07986" w:rsidRPr="00F07986" w:rsidTr="00F07986">
              <w:trPr>
                <w:cantSplit/>
              </w:trPr>
              <w:tc>
                <w:tcPr>
                  <w:tcW w:w="5562" w:type="dxa"/>
                  <w:tcBorders>
                    <w:top w:val="single" w:sz="4" w:space="0" w:color="A6A6A6" w:themeColor="background1" w:themeShade="A6"/>
                    <w:bottom w:val="single" w:sz="4" w:space="0" w:color="auto"/>
                  </w:tcBorders>
                </w:tcPr>
                <w:p w:rsidR="00BA14B3" w:rsidRPr="00F07986" w:rsidRDefault="00BA14B3" w:rsidP="00F07986">
                  <w:pPr>
                    <w:pStyle w:val="TableText"/>
                    <w:spacing w:before="90" w:after="90"/>
                  </w:pPr>
                  <w:r w:rsidRPr="00F07986">
                    <w:t>Enrolled women aged 25–69 years who received a cervical smear in the past three years</w:t>
                  </w:r>
                </w:p>
              </w:tc>
              <w:tc>
                <w:tcPr>
                  <w:tcW w:w="1134" w:type="dxa"/>
                  <w:tcBorders>
                    <w:top w:val="single" w:sz="4" w:space="0" w:color="A6A6A6" w:themeColor="background1" w:themeShade="A6"/>
                    <w:bottom w:val="single" w:sz="4" w:space="0" w:color="auto"/>
                  </w:tcBorders>
                </w:tcPr>
                <w:p w:rsidR="00BA14B3" w:rsidRPr="00F07986" w:rsidRDefault="00BA14B3" w:rsidP="00F07986">
                  <w:pPr>
                    <w:pStyle w:val="TableText"/>
                    <w:spacing w:before="90" w:after="90"/>
                    <w:jc w:val="center"/>
                  </w:pPr>
                  <w:r w:rsidRPr="00F07986">
                    <w:t>73.9%</w:t>
                  </w:r>
                </w:p>
              </w:tc>
              <w:tc>
                <w:tcPr>
                  <w:tcW w:w="1418" w:type="dxa"/>
                  <w:tcBorders>
                    <w:top w:val="single" w:sz="4" w:space="0" w:color="A6A6A6" w:themeColor="background1" w:themeShade="A6"/>
                    <w:bottom w:val="single" w:sz="4" w:space="0" w:color="auto"/>
                  </w:tcBorders>
                </w:tcPr>
                <w:p w:rsidR="00BA14B3" w:rsidRPr="00F07986" w:rsidRDefault="00BA14B3" w:rsidP="00F07986">
                  <w:pPr>
                    <w:pStyle w:val="TableText"/>
                    <w:spacing w:before="90" w:after="90"/>
                    <w:jc w:val="center"/>
                  </w:pPr>
                  <w:r w:rsidRPr="00F07986">
                    <w:t>76.6%</w:t>
                  </w:r>
                </w:p>
              </w:tc>
              <w:tc>
                <w:tcPr>
                  <w:tcW w:w="992" w:type="dxa"/>
                  <w:tcBorders>
                    <w:top w:val="single" w:sz="4" w:space="0" w:color="A6A6A6" w:themeColor="background1" w:themeShade="A6"/>
                    <w:bottom w:val="single" w:sz="4" w:space="0" w:color="auto"/>
                  </w:tcBorders>
                </w:tcPr>
                <w:p w:rsidR="00BA14B3" w:rsidRPr="00F07986" w:rsidRDefault="00BA14B3" w:rsidP="00F07986">
                  <w:pPr>
                    <w:pStyle w:val="TableText"/>
                    <w:spacing w:before="90" w:after="90"/>
                    <w:jc w:val="center"/>
                  </w:pPr>
                  <w:r w:rsidRPr="00F07986">
                    <w:t>80.0%</w:t>
                  </w:r>
                </w:p>
              </w:tc>
            </w:tr>
          </w:tbl>
          <w:p w:rsidR="00F07986" w:rsidRPr="00F07986" w:rsidRDefault="00F07986">
            <w:pPr>
              <w:rPr>
                <w:sz w:val="2"/>
                <w:szCs w:val="2"/>
              </w:rPr>
            </w:pPr>
          </w:p>
          <w:p w:rsidR="00BA14B3" w:rsidRPr="00F07986" w:rsidRDefault="00BA14B3" w:rsidP="00F07986">
            <w:pPr>
              <w:pStyle w:val="TableText"/>
              <w:spacing w:before="0" w:after="0"/>
            </w:pPr>
          </w:p>
        </w:tc>
      </w:tr>
    </w:tbl>
    <w:p w:rsidR="00BA14B3" w:rsidRPr="00A119E8" w:rsidRDefault="00BA14B3" w:rsidP="00F07986"/>
    <w:p w:rsidR="00BA14B3" w:rsidRPr="00A119E8" w:rsidRDefault="00BA14B3" w:rsidP="00BA14B3">
      <w:pPr>
        <w:spacing w:line="240" w:lineRule="auto"/>
      </w:pPr>
      <w:r w:rsidRPr="00A119E8">
        <w:br w:type="page"/>
      </w:r>
    </w:p>
    <w:p w:rsidR="00BA14B3" w:rsidRPr="00A119E8" w:rsidRDefault="00BA14B3" w:rsidP="00F07986">
      <w:pPr>
        <w:pStyle w:val="Heading1"/>
      </w:pPr>
      <w:bookmarkStart w:id="28" w:name="_Toc425012022"/>
      <w:bookmarkStart w:id="29" w:name="_Toc445823333"/>
      <w:bookmarkStart w:id="30" w:name="_Toc447565082"/>
      <w:r w:rsidRPr="00A119E8">
        <w:lastRenderedPageBreak/>
        <w:t>Priority outcome 1 – Systems and services meet the needs of Pacific people</w:t>
      </w:r>
      <w:bookmarkEnd w:id="28"/>
      <w:r w:rsidRPr="00A119E8">
        <w:t>s</w:t>
      </w:r>
      <w:bookmarkEnd w:id="29"/>
      <w:bookmarkEnd w:id="30"/>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2E4949">
        <w:trPr>
          <w:cantSplit/>
        </w:trPr>
        <w:tc>
          <w:tcPr>
            <w:tcW w:w="1560" w:type="dxa"/>
            <w:shd w:val="clear" w:color="auto" w:fill="D9D9D9" w:themeFill="background1" w:themeFillShade="D9"/>
          </w:tcPr>
          <w:p w:rsidR="00BA14B3" w:rsidRPr="00A119E8" w:rsidRDefault="00BA14B3" w:rsidP="00F07986">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hemeFill="background1" w:themeFillShade="D9"/>
          </w:tcPr>
          <w:p w:rsidR="00BA14B3" w:rsidRPr="00A119E8" w:rsidRDefault="00BA14B3" w:rsidP="00F07986">
            <w:pPr>
              <w:pStyle w:val="TableText"/>
              <w:spacing w:before="120" w:after="120"/>
              <w:ind w:left="142"/>
              <w:rPr>
                <w:b/>
                <w:sz w:val="24"/>
                <w:szCs w:val="24"/>
                <w:lang w:eastAsia="en-NZ"/>
              </w:rPr>
            </w:pPr>
            <w:r w:rsidRPr="00A119E8">
              <w:rPr>
                <w:b/>
                <w:sz w:val="24"/>
                <w:szCs w:val="24"/>
                <w:lang w:eastAsia="en-NZ"/>
              </w:rPr>
              <w:t xml:space="preserve">DHBs will implement the actions focused on Pacific peoples in </w:t>
            </w:r>
            <w:r w:rsidRPr="00A119E8">
              <w:rPr>
                <w:b/>
                <w:i/>
                <w:sz w:val="24"/>
                <w:szCs w:val="24"/>
                <w:lang w:eastAsia="en-NZ"/>
              </w:rPr>
              <w:t xml:space="preserve">Rising to the Challenge: The Mental Health and Addiction Service Development Plan 2012–2017 </w:t>
            </w:r>
            <w:r w:rsidRPr="00A119E8">
              <w:rPr>
                <w:b/>
                <w:sz w:val="24"/>
                <w:szCs w:val="24"/>
                <w:lang w:eastAsia="en-NZ"/>
              </w:rPr>
              <w:t>in order to build more responsive services for Pacific peoples who are severely affected by mental illness or addiction.</w:t>
            </w:r>
          </w:p>
        </w:tc>
      </w:tr>
    </w:tbl>
    <w:p w:rsidR="00BA14B3" w:rsidRPr="00A119E8" w:rsidRDefault="00BA14B3" w:rsidP="00F07986"/>
    <w:p w:rsidR="00BA14B3" w:rsidRPr="00A119E8" w:rsidRDefault="00BA14B3" w:rsidP="00F07986">
      <w:pPr>
        <w:pStyle w:val="Heading3"/>
      </w:pPr>
      <w:r w:rsidRPr="00A119E8">
        <w:t>Action commentary</w:t>
      </w:r>
    </w:p>
    <w:p w:rsidR="0034306E" w:rsidRDefault="00BA14B3" w:rsidP="00F07986">
      <w:r w:rsidRPr="00A119E8">
        <w:rPr>
          <w:i/>
        </w:rPr>
        <w:t>Rising to the Challenge: The Mental Health and Addiction Service Development Plan</w:t>
      </w:r>
      <w:r w:rsidR="00F07986">
        <w:rPr>
          <w:i/>
        </w:rPr>
        <w:br/>
      </w:r>
      <w:r w:rsidRPr="00A119E8">
        <w:rPr>
          <w:i/>
          <w:iCs/>
        </w:rPr>
        <w:t xml:space="preserve">2012–2017 </w:t>
      </w:r>
      <w:r w:rsidRPr="00A119E8">
        <w:t>was released in 2012 (Ministry of Health 2012</w:t>
      </w:r>
      <w:r w:rsidR="00961DB7">
        <w:t>a</w:t>
      </w:r>
      <w:r w:rsidRPr="00A119E8">
        <w:t xml:space="preserve">). This was further impetus for mental health and addiction services to increase national consistency in access, service quality and outcomes for people who use services, for their families and </w:t>
      </w:r>
      <w:proofErr w:type="spellStart"/>
      <w:r w:rsidRPr="00A119E8">
        <w:t>whānau</w:t>
      </w:r>
      <w:proofErr w:type="spellEnd"/>
      <w:r w:rsidRPr="00A119E8">
        <w:t>, and for communities. It sets a service development pathway with clear actions to be achieved over the five-year period, so that all New Zealanders can be confident that publicly funded health services are working in ways that achieve the most effective outcomes for those who most need them and that make the best use of public money.</w:t>
      </w:r>
    </w:p>
    <w:p w:rsidR="00BA14B3" w:rsidRPr="00A119E8" w:rsidRDefault="00BA14B3" w:rsidP="00F07986"/>
    <w:p w:rsidR="00BA14B3" w:rsidRPr="00A119E8" w:rsidRDefault="00BA14B3" w:rsidP="00F07986">
      <w:pPr>
        <w:pStyle w:val="Table"/>
      </w:pPr>
      <w:bookmarkStart w:id="31" w:name="_Toc445801433"/>
      <w:bookmarkStart w:id="32" w:name="_Toc447527123"/>
      <w:r w:rsidRPr="00A119E8">
        <w:t>Table 6: DHB ‘Rising to the Challenge’ actions delivered, as at 31 December 2015</w:t>
      </w:r>
      <w:bookmarkEnd w:id="31"/>
      <w:bookmarkEnd w:id="3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BA14B3" w:rsidRPr="00A119E8" w:rsidTr="00F07986">
        <w:trPr>
          <w:cantSplit/>
        </w:trPr>
        <w:tc>
          <w:tcPr>
            <w:tcW w:w="1418" w:type="dxa"/>
            <w:tcBorders>
              <w:top w:val="single" w:sz="4" w:space="0" w:color="auto"/>
              <w:bottom w:val="single" w:sz="4" w:space="0" w:color="auto"/>
            </w:tcBorders>
          </w:tcPr>
          <w:p w:rsidR="00BA14B3" w:rsidRPr="00A119E8" w:rsidRDefault="00BA14B3" w:rsidP="00F07986">
            <w:pPr>
              <w:pStyle w:val="TableText"/>
              <w:rPr>
                <w:b/>
              </w:rPr>
            </w:pPr>
            <w:r w:rsidRPr="00A119E8">
              <w:rPr>
                <w:b/>
              </w:rPr>
              <w:t>DHB</w:t>
            </w:r>
          </w:p>
        </w:tc>
        <w:tc>
          <w:tcPr>
            <w:tcW w:w="7938" w:type="dxa"/>
            <w:tcBorders>
              <w:top w:val="single" w:sz="4" w:space="0" w:color="auto"/>
              <w:bottom w:val="single" w:sz="4" w:space="0" w:color="auto"/>
            </w:tcBorders>
          </w:tcPr>
          <w:p w:rsidR="00BA14B3" w:rsidRPr="00A119E8" w:rsidDel="00CD6496" w:rsidRDefault="00BA14B3" w:rsidP="00F07986">
            <w:pPr>
              <w:pStyle w:val="TableText"/>
              <w:rPr>
                <w:b/>
              </w:rPr>
            </w:pPr>
            <w:r w:rsidRPr="00A119E8">
              <w:rPr>
                <w:b/>
              </w:rPr>
              <w:t>Actions</w:t>
            </w:r>
          </w:p>
        </w:tc>
      </w:tr>
      <w:tr w:rsidR="00BA14B3" w:rsidRPr="00A119E8" w:rsidTr="00F07986">
        <w:trPr>
          <w:cantSplit/>
        </w:trPr>
        <w:tc>
          <w:tcPr>
            <w:tcW w:w="1418" w:type="dxa"/>
            <w:tcBorders>
              <w:top w:val="single" w:sz="4" w:space="0" w:color="auto"/>
              <w:bottom w:val="single" w:sz="4" w:space="0" w:color="A6A6A6"/>
            </w:tcBorders>
          </w:tcPr>
          <w:p w:rsidR="00BA14B3" w:rsidRPr="00A119E8" w:rsidRDefault="00BA14B3" w:rsidP="00F07986">
            <w:pPr>
              <w:pStyle w:val="TableText"/>
            </w:pPr>
            <w:r w:rsidRPr="00A119E8">
              <w:t>Capital &amp; Coast and Hutt Valley</w:t>
            </w:r>
          </w:p>
        </w:tc>
        <w:tc>
          <w:tcPr>
            <w:tcW w:w="7938" w:type="dxa"/>
            <w:tcBorders>
              <w:top w:val="single" w:sz="4" w:space="0" w:color="auto"/>
              <w:bottom w:val="single" w:sz="4" w:space="0" w:color="A6A6A6"/>
            </w:tcBorders>
          </w:tcPr>
          <w:p w:rsidR="00BA14B3" w:rsidRPr="00A119E8" w:rsidRDefault="00BA14B3" w:rsidP="00F07986">
            <w:pPr>
              <w:pStyle w:val="TableText"/>
            </w:pPr>
            <w:r w:rsidRPr="00A119E8">
              <w:t xml:space="preserve">Capital &amp; Coast </w:t>
            </w:r>
            <w:r>
              <w:t xml:space="preserve">DHB </w:t>
            </w:r>
            <w:r w:rsidRPr="00A119E8">
              <w:t xml:space="preserve">continues to lead the development of a new integrated mental health, addictions and intellectual disability service across three DHBs (Capital &amp; Coast, Hutt Valley and </w:t>
            </w:r>
            <w:proofErr w:type="spellStart"/>
            <w:r w:rsidRPr="00A119E8">
              <w:t>Wairarapa</w:t>
            </w:r>
            <w:proofErr w:type="spellEnd"/>
            <w:r w:rsidRPr="00A119E8">
              <w:t>). This will entail an acute adult model of care pathway with a focus on improving access for Pacific and Māori populations. Planning has commenced on this model of care.</w:t>
            </w:r>
          </w:p>
        </w:tc>
      </w:tr>
      <w:tr w:rsidR="00BA14B3" w:rsidRPr="00A119E8" w:rsidTr="00F07986">
        <w:trPr>
          <w:cantSplit/>
        </w:trPr>
        <w:tc>
          <w:tcPr>
            <w:tcW w:w="1418" w:type="dxa"/>
            <w:tcBorders>
              <w:top w:val="single" w:sz="4" w:space="0" w:color="A6A6A6"/>
              <w:bottom w:val="single" w:sz="4" w:space="0" w:color="A6A6A6"/>
            </w:tcBorders>
          </w:tcPr>
          <w:p w:rsidR="00BA14B3" w:rsidRPr="00A119E8" w:rsidRDefault="00BA14B3" w:rsidP="00F07986">
            <w:pPr>
              <w:pStyle w:val="TableText"/>
            </w:pPr>
            <w:r w:rsidRPr="00A119E8">
              <w:t xml:space="preserve">Counties </w:t>
            </w:r>
            <w:proofErr w:type="spellStart"/>
            <w:r w:rsidRPr="00A119E8">
              <w:t>Manukau</w:t>
            </w:r>
            <w:proofErr w:type="spellEnd"/>
          </w:p>
        </w:tc>
        <w:tc>
          <w:tcPr>
            <w:tcW w:w="7938" w:type="dxa"/>
            <w:tcBorders>
              <w:top w:val="single" w:sz="4" w:space="0" w:color="A6A6A6"/>
              <w:bottom w:val="single" w:sz="4" w:space="0" w:color="A6A6A6"/>
            </w:tcBorders>
          </w:tcPr>
          <w:p w:rsidR="00BA14B3" w:rsidRPr="00A119E8" w:rsidRDefault="00BA14B3" w:rsidP="00F07986">
            <w:pPr>
              <w:pStyle w:val="TableText"/>
            </w:pPr>
            <w:r w:rsidRPr="00A119E8">
              <w:t xml:space="preserve">Counties </w:t>
            </w:r>
            <w:proofErr w:type="spellStart"/>
            <w:r w:rsidRPr="00A119E8">
              <w:t>Manukau</w:t>
            </w:r>
            <w:proofErr w:type="spellEnd"/>
            <w:r w:rsidRPr="00A119E8">
              <w:t xml:space="preserve"> </w:t>
            </w:r>
            <w:r>
              <w:t>DHB</w:t>
            </w:r>
            <w:r w:rsidRPr="00A119E8">
              <w:t xml:space="preserve"> developed and implemented a mental health first aid training package to increase mental health literacy on depression and drug and alcohol issues for Pacific communities. The DHB has mandatory cultural capability training for all its staff to ensure that staff are competent and comfortable to engage Pacific, Māori and other priority groups. It has been working with Pacific and Asian advisors to upgrade this programme.</w:t>
            </w:r>
          </w:p>
        </w:tc>
      </w:tr>
      <w:tr w:rsidR="00BA14B3" w:rsidRPr="00A119E8" w:rsidTr="00F07986">
        <w:trPr>
          <w:cantSplit/>
        </w:trPr>
        <w:tc>
          <w:tcPr>
            <w:tcW w:w="1418" w:type="dxa"/>
            <w:tcBorders>
              <w:top w:val="single" w:sz="4" w:space="0" w:color="A6A6A6"/>
            </w:tcBorders>
          </w:tcPr>
          <w:p w:rsidR="00BA14B3" w:rsidRPr="00A119E8" w:rsidRDefault="00BA14B3" w:rsidP="00F07986">
            <w:pPr>
              <w:pStyle w:val="TableText"/>
            </w:pPr>
            <w:r w:rsidRPr="00A119E8">
              <w:t>Auckland</w:t>
            </w:r>
          </w:p>
        </w:tc>
        <w:tc>
          <w:tcPr>
            <w:tcW w:w="7938" w:type="dxa"/>
            <w:tcBorders>
              <w:top w:val="single" w:sz="4" w:space="0" w:color="A6A6A6"/>
            </w:tcBorders>
          </w:tcPr>
          <w:p w:rsidR="00BA14B3" w:rsidRPr="00A119E8" w:rsidRDefault="00BA14B3" w:rsidP="00F07986">
            <w:pPr>
              <w:pStyle w:val="TableText"/>
            </w:pPr>
            <w:r w:rsidRPr="00A119E8">
              <w:t xml:space="preserve">Auckland </w:t>
            </w:r>
            <w:r>
              <w:t xml:space="preserve">DHB </w:t>
            </w:r>
            <w:r w:rsidRPr="00A119E8">
              <w:t xml:space="preserve">continues with </w:t>
            </w:r>
            <w:r>
              <w:t>its</w:t>
            </w:r>
            <w:r w:rsidRPr="00A119E8">
              <w:t xml:space="preserve"> mental health programme through </w:t>
            </w:r>
            <w:proofErr w:type="spellStart"/>
            <w:r w:rsidRPr="00A119E8">
              <w:t>Lotofale</w:t>
            </w:r>
            <w:proofErr w:type="spellEnd"/>
            <w:r w:rsidRPr="00A119E8">
              <w:t xml:space="preserve">, </w:t>
            </w:r>
            <w:r>
              <w:t>which provides</w:t>
            </w:r>
            <w:r w:rsidRPr="00A119E8">
              <w:t xml:space="preserve"> Pacific clients and their families with the best possible standards of cultural-clinical care and choices, ensuring their cultural needs are met. The addiction services are carried out via TUPU. TUPU is a mobile Pacific Island </w:t>
            </w:r>
            <w:r>
              <w:t>a</w:t>
            </w:r>
            <w:r w:rsidRPr="00A119E8">
              <w:t xml:space="preserve">lcohol </w:t>
            </w:r>
            <w:r>
              <w:t>and</w:t>
            </w:r>
            <w:r w:rsidRPr="00A119E8">
              <w:t xml:space="preserve"> </w:t>
            </w:r>
            <w:r>
              <w:t>o</w:t>
            </w:r>
            <w:r w:rsidRPr="00A119E8">
              <w:t xml:space="preserve">ther </w:t>
            </w:r>
            <w:r>
              <w:t>d</w:t>
            </w:r>
            <w:r w:rsidRPr="00A119E8">
              <w:t xml:space="preserve">rug </w:t>
            </w:r>
            <w:r>
              <w:t>and</w:t>
            </w:r>
            <w:r w:rsidRPr="00A119E8">
              <w:t xml:space="preserve"> </w:t>
            </w:r>
            <w:r>
              <w:t>g</w:t>
            </w:r>
            <w:r w:rsidRPr="00A119E8">
              <w:t xml:space="preserve">ambling </w:t>
            </w:r>
            <w:r>
              <w:t>s</w:t>
            </w:r>
            <w:r w:rsidRPr="00A119E8">
              <w:t>ervice which provides services across the Auckland region (covering the three Auckland DHBs).</w:t>
            </w:r>
          </w:p>
        </w:tc>
      </w:tr>
      <w:tr w:rsidR="00BA14B3" w:rsidRPr="00A119E8" w:rsidTr="00F07986">
        <w:trPr>
          <w:cantSplit/>
        </w:trPr>
        <w:tc>
          <w:tcPr>
            <w:tcW w:w="1418" w:type="dxa"/>
            <w:tcBorders>
              <w:top w:val="single" w:sz="4" w:space="0" w:color="A6A6A6"/>
            </w:tcBorders>
          </w:tcPr>
          <w:p w:rsidR="00BA14B3" w:rsidRPr="00A119E8" w:rsidRDefault="00BA14B3" w:rsidP="00F07986">
            <w:pPr>
              <w:pStyle w:val="TableText"/>
            </w:pPr>
            <w:proofErr w:type="spellStart"/>
            <w:r w:rsidRPr="00A119E8">
              <w:t>Waitemata</w:t>
            </w:r>
            <w:proofErr w:type="spellEnd"/>
          </w:p>
        </w:tc>
        <w:tc>
          <w:tcPr>
            <w:tcW w:w="7938" w:type="dxa"/>
            <w:tcBorders>
              <w:top w:val="single" w:sz="4" w:space="0" w:color="A6A6A6"/>
            </w:tcBorders>
          </w:tcPr>
          <w:p w:rsidR="00BA14B3" w:rsidRPr="00A119E8" w:rsidRDefault="00BA14B3" w:rsidP="00F07986">
            <w:pPr>
              <w:pStyle w:val="TableText"/>
            </w:pPr>
            <w:r w:rsidRPr="00A119E8">
              <w:t>Pacific Mental Health &amp; Addictions Services (</w:t>
            </w:r>
            <w:proofErr w:type="spellStart"/>
            <w:r w:rsidRPr="00A119E8">
              <w:t>Takanga</w:t>
            </w:r>
            <w:proofErr w:type="spellEnd"/>
            <w:r w:rsidRPr="00A119E8">
              <w:t xml:space="preserve"> A </w:t>
            </w:r>
            <w:proofErr w:type="spellStart"/>
            <w:r w:rsidRPr="00A119E8">
              <w:t>Fohe</w:t>
            </w:r>
            <w:proofErr w:type="spellEnd"/>
            <w:r w:rsidRPr="00A119E8">
              <w:t xml:space="preserve">) is responsible for the management and leadership of </w:t>
            </w:r>
            <w:proofErr w:type="spellStart"/>
            <w:r w:rsidRPr="00A119E8">
              <w:t>Waitemata</w:t>
            </w:r>
            <w:proofErr w:type="spellEnd"/>
            <w:r w:rsidRPr="00A119E8">
              <w:t xml:space="preserve"> DHB</w:t>
            </w:r>
            <w:r>
              <w:t>’s</w:t>
            </w:r>
            <w:r w:rsidRPr="00A119E8">
              <w:t xml:space="preserve"> Pacific </w:t>
            </w:r>
            <w:r>
              <w:t>m</w:t>
            </w:r>
            <w:r w:rsidRPr="00A119E8">
              <w:t xml:space="preserve">ental </w:t>
            </w:r>
            <w:r>
              <w:t>h</w:t>
            </w:r>
            <w:r w:rsidRPr="00A119E8">
              <w:t xml:space="preserve">ealth and </w:t>
            </w:r>
            <w:r>
              <w:t>a</w:t>
            </w:r>
            <w:r w:rsidRPr="00A119E8">
              <w:t xml:space="preserve">ddictions </w:t>
            </w:r>
            <w:r>
              <w:t>s</w:t>
            </w:r>
            <w:r w:rsidRPr="00A119E8">
              <w:t xml:space="preserve">ervices. These services are carried out via </w:t>
            </w:r>
            <w:r w:rsidRPr="00614F1F">
              <w:t xml:space="preserve">Malaga a le </w:t>
            </w:r>
            <w:proofErr w:type="spellStart"/>
            <w:r w:rsidRPr="00614F1F">
              <w:t>Pasifika</w:t>
            </w:r>
            <w:proofErr w:type="spellEnd"/>
            <w:r w:rsidRPr="00A119E8">
              <w:t xml:space="preserve"> (Pacific Islands Liaison Team) and TUPU. Both services have P</w:t>
            </w:r>
            <w:r>
              <w:t xml:space="preserve">acific </w:t>
            </w:r>
            <w:r w:rsidRPr="00A119E8">
              <w:t>staff</w:t>
            </w:r>
            <w:r>
              <w:t xml:space="preserve"> with cultural knowledge</w:t>
            </w:r>
            <w:r w:rsidRPr="00A119E8">
              <w:t xml:space="preserve"> </w:t>
            </w:r>
            <w:r>
              <w:t>including c</w:t>
            </w:r>
            <w:r w:rsidRPr="00A119E8">
              <w:t>linical staff. In addition</w:t>
            </w:r>
            <w:r>
              <w:t>,</w:t>
            </w:r>
            <w:r w:rsidRPr="00A119E8">
              <w:t xml:space="preserve"> there is Isa Lei, which is a Pacific Island community mental health service that provides cultural-clinical care coordination to Pacific mental health consumers and their families. The DHB aims to increase the focus of its mental health partnership with </w:t>
            </w:r>
            <w:proofErr w:type="spellStart"/>
            <w:r w:rsidRPr="00A119E8">
              <w:t>Whānau</w:t>
            </w:r>
            <w:proofErr w:type="spellEnd"/>
            <w:r w:rsidRPr="00A119E8">
              <w:t xml:space="preserve"> House</w:t>
            </w:r>
            <w:r w:rsidRPr="00A119E8">
              <w:rPr>
                <w:rStyle w:val="FootnoteReference"/>
              </w:rPr>
              <w:footnoteReference w:id="3"/>
            </w:r>
            <w:r w:rsidR="00F07986">
              <w:t xml:space="preserve"> on </w:t>
            </w:r>
            <w:proofErr w:type="spellStart"/>
            <w:r w:rsidR="00F07986">
              <w:t>Whānau</w:t>
            </w:r>
            <w:proofErr w:type="spellEnd"/>
            <w:r w:rsidR="00F07986">
              <w:t xml:space="preserve"> </w:t>
            </w:r>
            <w:proofErr w:type="spellStart"/>
            <w:r w:rsidR="00F07986">
              <w:t>Ora</w:t>
            </w:r>
            <w:proofErr w:type="spellEnd"/>
            <w:r w:rsidR="00F07986">
              <w:t>.</w:t>
            </w:r>
          </w:p>
        </w:tc>
      </w:tr>
    </w:tbl>
    <w:p w:rsidR="00BA14B3" w:rsidRPr="00A119E8" w:rsidRDefault="00BA14B3" w:rsidP="00BA14B3">
      <w:pPr>
        <w:rPr>
          <w:highlight w:val="yellow"/>
        </w:rPr>
      </w:pPr>
    </w:p>
    <w:p w:rsidR="0034306E" w:rsidRDefault="00BA14B3" w:rsidP="00F07986">
      <w:r w:rsidRPr="00A119E8">
        <w:rPr>
          <w:i/>
        </w:rPr>
        <w:lastRenderedPageBreak/>
        <w:t>Rising to the Challenge</w:t>
      </w:r>
      <w:r w:rsidRPr="00A119E8">
        <w:t xml:space="preserve"> does not prioritise actions, </w:t>
      </w:r>
      <w:r>
        <w:t>nor does it</w:t>
      </w:r>
      <w:r w:rsidRPr="00A119E8">
        <w:t xml:space="preserve"> prescribe the sequence in which they are to be implemented. Each year during the annual planning process, the Ministry of Health requires each DHB to articulate which of the Plan’s actions it proposes to implement. All eight priority DHBs are expected to deliver on actions under </w:t>
      </w:r>
      <w:r w:rsidRPr="00A119E8">
        <w:rPr>
          <w:i/>
        </w:rPr>
        <w:t>Rising to the Challenge</w:t>
      </w:r>
      <w:r w:rsidRPr="00A119E8">
        <w:t xml:space="preserve"> that directly impact on Pacific peoples.</w:t>
      </w:r>
    </w:p>
    <w:p w:rsidR="00BA14B3" w:rsidRPr="00A119E8" w:rsidRDefault="00BA14B3" w:rsidP="00F07986"/>
    <w:p w:rsidR="0034306E" w:rsidRDefault="00BA14B3" w:rsidP="00F07986">
      <w:r w:rsidRPr="00A119E8">
        <w:t xml:space="preserve">The three Auckland DHBs (Auckland, </w:t>
      </w:r>
      <w:proofErr w:type="spellStart"/>
      <w:r w:rsidRPr="00A119E8">
        <w:t>Waitemata</w:t>
      </w:r>
      <w:proofErr w:type="spellEnd"/>
      <w:r w:rsidRPr="00A119E8">
        <w:t xml:space="preserve"> and Counties </w:t>
      </w:r>
      <w:proofErr w:type="spellStart"/>
      <w:r w:rsidRPr="00A119E8">
        <w:t>Manukau</w:t>
      </w:r>
      <w:proofErr w:type="spellEnd"/>
      <w:r w:rsidRPr="00A119E8">
        <w:t>) share some services for Pacific people</w:t>
      </w:r>
      <w:r>
        <w:t>s</w:t>
      </w:r>
      <w:r w:rsidRPr="00A119E8">
        <w:t xml:space="preserve">. In the mental health service space, Auckland </w:t>
      </w:r>
      <w:r>
        <w:t xml:space="preserve">DHB </w:t>
      </w:r>
      <w:r w:rsidRPr="00A119E8">
        <w:t xml:space="preserve">has </w:t>
      </w:r>
      <w:proofErr w:type="spellStart"/>
      <w:r w:rsidRPr="00A119E8">
        <w:t>Lotofale</w:t>
      </w:r>
      <w:proofErr w:type="spellEnd"/>
      <w:r w:rsidRPr="00A119E8">
        <w:t xml:space="preserve">, </w:t>
      </w:r>
      <w:proofErr w:type="spellStart"/>
      <w:r w:rsidRPr="00A119E8">
        <w:t>Waitemata</w:t>
      </w:r>
      <w:proofErr w:type="spellEnd"/>
      <w:r w:rsidRPr="00A119E8">
        <w:t xml:space="preserve"> </w:t>
      </w:r>
      <w:r>
        <w:t>DHB</w:t>
      </w:r>
      <w:r w:rsidRPr="00A119E8">
        <w:t xml:space="preserve"> has </w:t>
      </w:r>
      <w:proofErr w:type="spellStart"/>
      <w:r w:rsidRPr="00A119E8">
        <w:t>Takanga</w:t>
      </w:r>
      <w:proofErr w:type="spellEnd"/>
      <w:r w:rsidRPr="00A119E8">
        <w:t xml:space="preserve"> a </w:t>
      </w:r>
      <w:proofErr w:type="spellStart"/>
      <w:r w:rsidRPr="00A119E8">
        <w:t>Fohe</w:t>
      </w:r>
      <w:proofErr w:type="spellEnd"/>
      <w:r w:rsidRPr="00A119E8">
        <w:t xml:space="preserve"> and Counties </w:t>
      </w:r>
      <w:proofErr w:type="spellStart"/>
      <w:r w:rsidRPr="00A119E8">
        <w:t>Manukau</w:t>
      </w:r>
      <w:proofErr w:type="spellEnd"/>
      <w:r w:rsidRPr="00A119E8">
        <w:t xml:space="preserve"> </w:t>
      </w:r>
      <w:r>
        <w:t>DHB</w:t>
      </w:r>
      <w:r w:rsidRPr="00A119E8">
        <w:t xml:space="preserve"> has </w:t>
      </w:r>
      <w:proofErr w:type="spellStart"/>
      <w:r w:rsidRPr="00A119E8">
        <w:t>Faleola</w:t>
      </w:r>
      <w:proofErr w:type="spellEnd"/>
      <w:r w:rsidRPr="00A119E8">
        <w:t>. All three DHBs share addiction services through TUPU. These DHBs are benefiting from this and it is evident in their performance in access rates for both mental health care and alcohol and drug services for Pacific people</w:t>
      </w:r>
      <w:r>
        <w:t>s</w:t>
      </w:r>
      <w:r w:rsidRPr="00A119E8">
        <w:t>.</w:t>
      </w:r>
    </w:p>
    <w:p w:rsidR="00BA14B3" w:rsidRPr="00A119E8" w:rsidRDefault="00BA14B3" w:rsidP="00F07986"/>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2E4949">
        <w:trPr>
          <w:cantSplit/>
        </w:trPr>
        <w:tc>
          <w:tcPr>
            <w:tcW w:w="1560" w:type="dxa"/>
            <w:shd w:val="clear" w:color="auto" w:fill="A6A6A6" w:themeFill="background1" w:themeFillShade="A6"/>
          </w:tcPr>
          <w:p w:rsidR="00BA14B3" w:rsidRPr="00A119E8" w:rsidRDefault="00BA14B3" w:rsidP="002E4949">
            <w:pPr>
              <w:pStyle w:val="TableText"/>
              <w:spacing w:before="120" w:after="120"/>
              <w:rPr>
                <w:b/>
                <w:color w:val="FFFFFF"/>
                <w:sz w:val="20"/>
                <w:lang w:eastAsia="en-NZ"/>
              </w:rPr>
            </w:pPr>
            <w:r w:rsidRPr="00A119E8">
              <w:rPr>
                <w:b/>
                <w:color w:val="FFFFFF"/>
                <w:sz w:val="20"/>
                <w:lang w:eastAsia="en-NZ"/>
              </w:rPr>
              <w:t>Indicator 1a</w:t>
            </w:r>
          </w:p>
        </w:tc>
        <w:tc>
          <w:tcPr>
            <w:tcW w:w="7796" w:type="dxa"/>
            <w:shd w:val="clear" w:color="auto" w:fill="A6A6A6" w:themeFill="background1" w:themeFillShade="A6"/>
          </w:tcPr>
          <w:p w:rsidR="00BA14B3" w:rsidRPr="00A119E8" w:rsidRDefault="00BA14B3" w:rsidP="002E4949">
            <w:pPr>
              <w:pStyle w:val="TableText"/>
              <w:spacing w:before="120" w:after="120"/>
              <w:ind w:left="142"/>
              <w:rPr>
                <w:b/>
                <w:color w:val="FFFFFF"/>
                <w:sz w:val="20"/>
                <w:lang w:eastAsia="en-NZ"/>
              </w:rPr>
            </w:pPr>
            <w:r w:rsidRPr="00A119E8">
              <w:rPr>
                <w:b/>
                <w:color w:val="FFFFFF"/>
                <w:sz w:val="20"/>
                <w:lang w:eastAsia="en-NZ"/>
              </w:rPr>
              <w:t>Improving the health status of Pacific people with severe mental illness through improved access rates</w:t>
            </w:r>
          </w:p>
        </w:tc>
      </w:tr>
    </w:tbl>
    <w:p w:rsidR="00BA14B3" w:rsidRPr="00A119E8" w:rsidRDefault="00BA14B3" w:rsidP="002E4949"/>
    <w:p w:rsidR="00BA14B3" w:rsidRPr="00A119E8" w:rsidRDefault="00BA14B3" w:rsidP="002E4949">
      <w:r w:rsidRPr="002E4949">
        <w:rPr>
          <w:b/>
        </w:rPr>
        <w:t xml:space="preserve">Performance: </w:t>
      </w:r>
      <w:r w:rsidRPr="002E4949">
        <w:t xml:space="preserve">There </w:t>
      </w:r>
      <w:r w:rsidRPr="00A119E8">
        <w:t>is no target set for this indicator.</w:t>
      </w:r>
    </w:p>
    <w:p w:rsidR="00BA14B3" w:rsidRPr="00A119E8" w:rsidRDefault="00BA14B3" w:rsidP="002E4949"/>
    <w:p w:rsidR="00BA14B3" w:rsidRPr="00A119E8" w:rsidRDefault="00BA14B3" w:rsidP="00BA14B3">
      <w:r w:rsidRPr="00A119E8">
        <w:rPr>
          <w:b/>
        </w:rPr>
        <w:t>Note for Figures 3 to 6</w:t>
      </w:r>
      <w:r w:rsidRPr="00A119E8">
        <w:t>: The data is sourced from the Programme for the Integration of Mental Health Data (PRIMHD) data set, which is the national system for collecting information on services activity and outcomes data for individuals using mental health and addiction services.</w:t>
      </w:r>
    </w:p>
    <w:p w:rsidR="00BA14B3" w:rsidRPr="00A119E8" w:rsidRDefault="00BA14B3" w:rsidP="007A28AF"/>
    <w:p w:rsidR="00BA14B3" w:rsidRPr="00A119E8" w:rsidRDefault="00BA14B3" w:rsidP="007A28AF">
      <w:pPr>
        <w:pStyle w:val="Figure"/>
      </w:pPr>
      <w:bookmarkStart w:id="33" w:name="_Toc428368057"/>
      <w:bookmarkStart w:id="34" w:name="_Toc428370435"/>
      <w:bookmarkStart w:id="35" w:name="_Toc445801441"/>
      <w:bookmarkStart w:id="36" w:name="_Toc447527139"/>
      <w:r w:rsidRPr="00A119E8">
        <w:t xml:space="preserve">Figure </w:t>
      </w:r>
      <w:fldSimple w:instr=" SEQ Figure \* ARABIC ">
        <w:r w:rsidR="008D5FF2">
          <w:rPr>
            <w:noProof/>
          </w:rPr>
          <w:t>3</w:t>
        </w:r>
      </w:fldSimple>
      <w:r w:rsidRPr="00A119E8">
        <w:t xml:space="preserve">: Access rate to DHB mental health services, Pacific </w:t>
      </w:r>
      <w:proofErr w:type="gramStart"/>
      <w:r w:rsidRPr="00A119E8">
        <w:t>peoples</w:t>
      </w:r>
      <w:proofErr w:type="gramEnd"/>
      <w:r w:rsidRPr="00A119E8">
        <w:t xml:space="preserve"> population and total New Zealand population, 2005/2006–2014/2015</w:t>
      </w:r>
      <w:bookmarkEnd w:id="33"/>
      <w:bookmarkEnd w:id="34"/>
      <w:bookmarkEnd w:id="35"/>
      <w:bookmarkEnd w:id="36"/>
    </w:p>
    <w:p w:rsidR="00BA14B3" w:rsidRDefault="00D3018B" w:rsidP="00D3018B">
      <w:pPr>
        <w:spacing w:after="120"/>
      </w:pPr>
      <w:r>
        <w:rPr>
          <w:noProof/>
          <w:lang w:eastAsia="en-NZ"/>
        </w:rPr>
        <w:drawing>
          <wp:inline distT="0" distB="0" distL="0" distR="0" wp14:anchorId="277605A4" wp14:editId="75C31F3E">
            <wp:extent cx="4495662" cy="2743200"/>
            <wp:effectExtent l="0" t="0" r="635" b="0"/>
            <wp:docPr id="89" name="Picture 89" title="Figure 3: Access rate to DHB mental health services, Pacific peoples population and total New Zealand population, 2005/2006–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8849" cy="2745144"/>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4"/>
        <w:gridCol w:w="794"/>
        <w:gridCol w:w="794"/>
        <w:gridCol w:w="794"/>
        <w:gridCol w:w="793"/>
        <w:gridCol w:w="794"/>
        <w:gridCol w:w="794"/>
        <w:gridCol w:w="794"/>
        <w:gridCol w:w="794"/>
      </w:tblGrid>
      <w:tr w:rsidR="00D3018B" w:rsidRPr="00363850" w:rsidTr="00D3018B">
        <w:trPr>
          <w:cantSplit/>
        </w:trPr>
        <w:tc>
          <w:tcPr>
            <w:tcW w:w="1418" w:type="dxa"/>
            <w:tcBorders>
              <w:top w:val="single" w:sz="4" w:space="0" w:color="auto"/>
              <w:bottom w:val="single" w:sz="4" w:space="0" w:color="auto"/>
            </w:tcBorders>
          </w:tcPr>
          <w:p w:rsidR="00D3018B" w:rsidRPr="00363850" w:rsidRDefault="00D3018B" w:rsidP="00D3018B">
            <w:pPr>
              <w:pStyle w:val="TableText"/>
              <w:rPr>
                <w:b/>
                <w:sz w:val="14"/>
                <w:szCs w:val="14"/>
              </w:rPr>
            </w:pPr>
          </w:p>
        </w:tc>
        <w:tc>
          <w:tcPr>
            <w:tcW w:w="793"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2005</w:t>
            </w:r>
            <w:r>
              <w:rPr>
                <w:b/>
                <w:bCs/>
                <w:sz w:val="14"/>
                <w:szCs w:val="14"/>
              </w:rPr>
              <w:t>/06</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2006</w:t>
            </w:r>
            <w:r>
              <w:rPr>
                <w:b/>
                <w:bCs/>
                <w:sz w:val="14"/>
                <w:szCs w:val="14"/>
              </w:rPr>
              <w:t>/07</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2007</w:t>
            </w:r>
            <w:r>
              <w:rPr>
                <w:b/>
                <w:bCs/>
                <w:sz w:val="14"/>
                <w:szCs w:val="14"/>
              </w:rPr>
              <w:t>/08</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2008</w:t>
            </w:r>
            <w:r>
              <w:rPr>
                <w:b/>
                <w:bCs/>
                <w:sz w:val="14"/>
                <w:szCs w:val="14"/>
              </w:rPr>
              <w:t>/09</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2009</w:t>
            </w:r>
            <w:r>
              <w:rPr>
                <w:b/>
                <w:bCs/>
                <w:sz w:val="14"/>
                <w:szCs w:val="14"/>
              </w:rPr>
              <w:t>/10</w:t>
            </w:r>
          </w:p>
        </w:tc>
        <w:tc>
          <w:tcPr>
            <w:tcW w:w="793"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2010</w:t>
            </w:r>
            <w:r>
              <w:rPr>
                <w:b/>
                <w:bCs/>
                <w:sz w:val="14"/>
                <w:szCs w:val="14"/>
              </w:rPr>
              <w:t>/11</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2011</w:t>
            </w:r>
            <w:r>
              <w:rPr>
                <w:b/>
                <w:bCs/>
                <w:sz w:val="14"/>
                <w:szCs w:val="14"/>
              </w:rPr>
              <w:t>/12</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2012</w:t>
            </w:r>
            <w:r>
              <w:rPr>
                <w:b/>
                <w:bCs/>
                <w:sz w:val="14"/>
                <w:szCs w:val="14"/>
              </w:rPr>
              <w:t>/13</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2013</w:t>
            </w:r>
            <w:r>
              <w:rPr>
                <w:b/>
                <w:bCs/>
                <w:sz w:val="14"/>
                <w:szCs w:val="14"/>
              </w:rPr>
              <w:t>/14</w:t>
            </w:r>
          </w:p>
        </w:tc>
        <w:tc>
          <w:tcPr>
            <w:tcW w:w="794" w:type="dxa"/>
            <w:tcBorders>
              <w:top w:val="single" w:sz="4" w:space="0" w:color="auto"/>
              <w:bottom w:val="single" w:sz="4" w:space="0" w:color="auto"/>
            </w:tcBorders>
          </w:tcPr>
          <w:p w:rsidR="00D3018B" w:rsidRPr="00363850" w:rsidRDefault="00D3018B" w:rsidP="00D3018B">
            <w:pPr>
              <w:pStyle w:val="TableText"/>
              <w:jc w:val="center"/>
              <w:rPr>
                <w:b/>
                <w:bCs/>
                <w:sz w:val="14"/>
                <w:szCs w:val="14"/>
              </w:rPr>
            </w:pPr>
            <w:r w:rsidRPr="00363850">
              <w:rPr>
                <w:b/>
                <w:bCs/>
                <w:sz w:val="14"/>
                <w:szCs w:val="14"/>
              </w:rPr>
              <w:t>2014</w:t>
            </w:r>
            <w:r>
              <w:rPr>
                <w:b/>
                <w:bCs/>
                <w:sz w:val="14"/>
                <w:szCs w:val="14"/>
              </w:rPr>
              <w:t>/15</w:t>
            </w:r>
          </w:p>
        </w:tc>
      </w:tr>
      <w:tr w:rsidR="00D3018B" w:rsidRPr="00363850" w:rsidTr="00D3018B">
        <w:trPr>
          <w:cantSplit/>
        </w:trPr>
        <w:tc>
          <w:tcPr>
            <w:tcW w:w="1418" w:type="dxa"/>
            <w:tcBorders>
              <w:top w:val="single" w:sz="4" w:space="0" w:color="auto"/>
              <w:bottom w:val="single" w:sz="4" w:space="0" w:color="A6A6A6" w:themeColor="background1" w:themeShade="A6"/>
            </w:tcBorders>
          </w:tcPr>
          <w:p w:rsidR="00D3018B" w:rsidRPr="00363850" w:rsidRDefault="00D3018B" w:rsidP="00D3018B">
            <w:pPr>
              <w:pStyle w:val="TableText"/>
              <w:rPr>
                <w:bCs/>
                <w:sz w:val="14"/>
                <w:szCs w:val="14"/>
              </w:rPr>
            </w:pPr>
            <w:r w:rsidRPr="00363850">
              <w:rPr>
                <w:bCs/>
                <w:sz w:val="14"/>
                <w:szCs w:val="14"/>
              </w:rPr>
              <w:t>Pacific</w:t>
            </w:r>
          </w:p>
        </w:tc>
        <w:tc>
          <w:tcPr>
            <w:tcW w:w="793"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1.56%</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1.74%</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1.86%</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2.21%</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2.42%</w:t>
            </w:r>
          </w:p>
        </w:tc>
        <w:tc>
          <w:tcPr>
            <w:tcW w:w="793"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2.59%</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2.63%</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2.90%</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2.89%</w:t>
            </w:r>
          </w:p>
        </w:tc>
        <w:tc>
          <w:tcPr>
            <w:tcW w:w="794" w:type="dxa"/>
            <w:tcBorders>
              <w:top w:val="single" w:sz="4" w:space="0" w:color="auto"/>
              <w:bottom w:val="single" w:sz="4" w:space="0" w:color="A6A6A6" w:themeColor="background1" w:themeShade="A6"/>
            </w:tcBorders>
          </w:tcPr>
          <w:p w:rsidR="00D3018B" w:rsidRPr="00D3018B" w:rsidRDefault="00D3018B" w:rsidP="00D3018B">
            <w:pPr>
              <w:pStyle w:val="TableText"/>
              <w:jc w:val="center"/>
              <w:rPr>
                <w:sz w:val="14"/>
                <w:szCs w:val="14"/>
              </w:rPr>
            </w:pPr>
            <w:r w:rsidRPr="00D3018B">
              <w:rPr>
                <w:sz w:val="14"/>
                <w:szCs w:val="14"/>
              </w:rPr>
              <w:t>3.13%</w:t>
            </w:r>
          </w:p>
        </w:tc>
      </w:tr>
      <w:tr w:rsidR="00D3018B" w:rsidRPr="00363850" w:rsidTr="00D3018B">
        <w:trPr>
          <w:cantSplit/>
        </w:trPr>
        <w:tc>
          <w:tcPr>
            <w:tcW w:w="1418" w:type="dxa"/>
            <w:tcBorders>
              <w:top w:val="single" w:sz="4" w:space="0" w:color="A6A6A6" w:themeColor="background1" w:themeShade="A6"/>
              <w:bottom w:val="single" w:sz="4" w:space="0" w:color="auto"/>
            </w:tcBorders>
          </w:tcPr>
          <w:p w:rsidR="00D3018B" w:rsidRPr="00363850" w:rsidRDefault="00D3018B" w:rsidP="00D3018B">
            <w:pPr>
              <w:pStyle w:val="TableText"/>
              <w:rPr>
                <w:bCs/>
                <w:sz w:val="14"/>
                <w:szCs w:val="14"/>
              </w:rPr>
            </w:pPr>
            <w:r w:rsidRPr="00363850">
              <w:rPr>
                <w:bCs/>
                <w:sz w:val="14"/>
                <w:szCs w:val="14"/>
              </w:rPr>
              <w:t>Total New Zealand</w:t>
            </w:r>
          </w:p>
        </w:tc>
        <w:tc>
          <w:tcPr>
            <w:tcW w:w="793"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2.34%</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2.39%</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2.46%</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2.60%</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2.79%</w:t>
            </w:r>
          </w:p>
        </w:tc>
        <w:tc>
          <w:tcPr>
            <w:tcW w:w="793"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3.02%</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3.14%</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3.40%</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3.47%</w:t>
            </w:r>
          </w:p>
        </w:tc>
        <w:tc>
          <w:tcPr>
            <w:tcW w:w="794" w:type="dxa"/>
            <w:tcBorders>
              <w:top w:val="single" w:sz="4" w:space="0" w:color="A6A6A6" w:themeColor="background1" w:themeShade="A6"/>
              <w:bottom w:val="single" w:sz="4" w:space="0" w:color="auto"/>
            </w:tcBorders>
          </w:tcPr>
          <w:p w:rsidR="00D3018B" w:rsidRPr="00D3018B" w:rsidRDefault="00D3018B" w:rsidP="00D3018B">
            <w:pPr>
              <w:pStyle w:val="TableText"/>
              <w:jc w:val="center"/>
              <w:rPr>
                <w:sz w:val="14"/>
                <w:szCs w:val="14"/>
              </w:rPr>
            </w:pPr>
            <w:r w:rsidRPr="00D3018B">
              <w:rPr>
                <w:sz w:val="14"/>
                <w:szCs w:val="14"/>
              </w:rPr>
              <w:t>3.46%</w:t>
            </w:r>
          </w:p>
        </w:tc>
      </w:tr>
    </w:tbl>
    <w:p w:rsidR="00D3018B" w:rsidRDefault="00D3018B" w:rsidP="00D3018B"/>
    <w:p w:rsidR="0034306E" w:rsidRDefault="00BA14B3" w:rsidP="007A28AF">
      <w:r w:rsidRPr="00A119E8">
        <w:t xml:space="preserve">Figure 3 shows that Pacific peoples’ access to mental health services has been improving over the years. The gap between Pacific </w:t>
      </w:r>
      <w:r>
        <w:t xml:space="preserve">peoples’ </w:t>
      </w:r>
      <w:r w:rsidRPr="00A119E8">
        <w:t>access and that of the total population is closing.</w:t>
      </w:r>
    </w:p>
    <w:p w:rsidR="00BA14B3" w:rsidRPr="00A119E8" w:rsidRDefault="00BA14B3" w:rsidP="007A28AF"/>
    <w:p w:rsidR="00BA14B3" w:rsidRDefault="00BA14B3" w:rsidP="007A28AF">
      <w:pPr>
        <w:pStyle w:val="Figure"/>
      </w:pPr>
      <w:bookmarkStart w:id="37" w:name="_Toc428368058"/>
      <w:bookmarkStart w:id="38" w:name="_Toc428370436"/>
      <w:bookmarkStart w:id="39" w:name="_Toc445801442"/>
      <w:bookmarkStart w:id="40" w:name="_Toc447527140"/>
      <w:r w:rsidRPr="00A119E8">
        <w:lastRenderedPageBreak/>
        <w:t xml:space="preserve">Figure </w:t>
      </w:r>
      <w:fldSimple w:instr=" SEQ Figure \* ARABIC ">
        <w:r w:rsidR="008D5FF2">
          <w:rPr>
            <w:noProof/>
          </w:rPr>
          <w:t>4</w:t>
        </w:r>
      </w:fldSimple>
      <w:r w:rsidRPr="00A119E8">
        <w:t>: Access rate to DHB mental health services, Pacific peoples, by priority DHBs, 2005/2006–2014/2015</w:t>
      </w:r>
      <w:bookmarkEnd w:id="37"/>
      <w:bookmarkEnd w:id="38"/>
      <w:bookmarkEnd w:id="39"/>
      <w:bookmarkEnd w:id="40"/>
    </w:p>
    <w:p w:rsidR="00A71DCC" w:rsidRDefault="00FF646B" w:rsidP="00FF646B">
      <w:pPr>
        <w:spacing w:after="120"/>
      </w:pPr>
      <w:r>
        <w:rPr>
          <w:noProof/>
          <w:lang w:eastAsia="en-NZ"/>
        </w:rPr>
        <w:drawing>
          <wp:inline distT="0" distB="0" distL="0" distR="0" wp14:anchorId="59929657" wp14:editId="679E7B84">
            <wp:extent cx="4497185" cy="2747230"/>
            <wp:effectExtent l="0" t="0" r="0" b="0"/>
            <wp:docPr id="104" name="Picture 104" title="Figure 4: Access rate to DHB mental health services, Pacific peoples, by priority DHBs, 2005/2006–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7777" cy="2747592"/>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4"/>
        <w:gridCol w:w="794"/>
        <w:gridCol w:w="794"/>
        <w:gridCol w:w="794"/>
        <w:gridCol w:w="793"/>
        <w:gridCol w:w="794"/>
        <w:gridCol w:w="794"/>
        <w:gridCol w:w="794"/>
        <w:gridCol w:w="794"/>
      </w:tblGrid>
      <w:tr w:rsidR="00A71DCC" w:rsidRPr="00363850" w:rsidTr="00FF646B">
        <w:trPr>
          <w:cantSplit/>
        </w:trPr>
        <w:tc>
          <w:tcPr>
            <w:tcW w:w="1418" w:type="dxa"/>
            <w:tcBorders>
              <w:top w:val="single" w:sz="4" w:space="0" w:color="auto"/>
              <w:bottom w:val="single" w:sz="4" w:space="0" w:color="auto"/>
            </w:tcBorders>
          </w:tcPr>
          <w:p w:rsidR="00A71DCC" w:rsidRPr="00363850" w:rsidRDefault="00A71DCC" w:rsidP="00FF646B">
            <w:pPr>
              <w:pStyle w:val="TableText"/>
              <w:rPr>
                <w:b/>
                <w:sz w:val="14"/>
                <w:szCs w:val="14"/>
              </w:rPr>
            </w:pPr>
          </w:p>
        </w:tc>
        <w:tc>
          <w:tcPr>
            <w:tcW w:w="793"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2005</w:t>
            </w:r>
            <w:r>
              <w:rPr>
                <w:b/>
                <w:bCs/>
                <w:sz w:val="14"/>
                <w:szCs w:val="14"/>
              </w:rPr>
              <w:t>/06</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2006</w:t>
            </w:r>
            <w:r>
              <w:rPr>
                <w:b/>
                <w:bCs/>
                <w:sz w:val="14"/>
                <w:szCs w:val="14"/>
              </w:rPr>
              <w:t>/07</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2007</w:t>
            </w:r>
            <w:r>
              <w:rPr>
                <w:b/>
                <w:bCs/>
                <w:sz w:val="14"/>
                <w:szCs w:val="14"/>
              </w:rPr>
              <w:t>/08</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2008</w:t>
            </w:r>
            <w:r>
              <w:rPr>
                <w:b/>
                <w:bCs/>
                <w:sz w:val="14"/>
                <w:szCs w:val="14"/>
              </w:rPr>
              <w:t>/09</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2009</w:t>
            </w:r>
            <w:r>
              <w:rPr>
                <w:b/>
                <w:bCs/>
                <w:sz w:val="14"/>
                <w:szCs w:val="14"/>
              </w:rPr>
              <w:t>/10</w:t>
            </w:r>
          </w:p>
        </w:tc>
        <w:tc>
          <w:tcPr>
            <w:tcW w:w="793"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2010</w:t>
            </w:r>
            <w:r>
              <w:rPr>
                <w:b/>
                <w:bCs/>
                <w:sz w:val="14"/>
                <w:szCs w:val="14"/>
              </w:rPr>
              <w:t>/11</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2011</w:t>
            </w:r>
            <w:r>
              <w:rPr>
                <w:b/>
                <w:bCs/>
                <w:sz w:val="14"/>
                <w:szCs w:val="14"/>
              </w:rPr>
              <w:t>/12</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2012</w:t>
            </w:r>
            <w:r>
              <w:rPr>
                <w:b/>
                <w:bCs/>
                <w:sz w:val="14"/>
                <w:szCs w:val="14"/>
              </w:rPr>
              <w:t>/13</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2013</w:t>
            </w:r>
            <w:r>
              <w:rPr>
                <w:b/>
                <w:bCs/>
                <w:sz w:val="14"/>
                <w:szCs w:val="14"/>
              </w:rPr>
              <w:t>/14</w:t>
            </w:r>
          </w:p>
        </w:tc>
        <w:tc>
          <w:tcPr>
            <w:tcW w:w="794" w:type="dxa"/>
            <w:tcBorders>
              <w:top w:val="single" w:sz="4" w:space="0" w:color="auto"/>
              <w:bottom w:val="single" w:sz="4" w:space="0" w:color="auto"/>
            </w:tcBorders>
          </w:tcPr>
          <w:p w:rsidR="00A71DCC" w:rsidRPr="00363850" w:rsidRDefault="00A71DCC" w:rsidP="00FF646B">
            <w:pPr>
              <w:pStyle w:val="TableText"/>
              <w:jc w:val="center"/>
              <w:rPr>
                <w:b/>
                <w:bCs/>
                <w:sz w:val="14"/>
                <w:szCs w:val="14"/>
              </w:rPr>
            </w:pPr>
            <w:r w:rsidRPr="00363850">
              <w:rPr>
                <w:b/>
                <w:bCs/>
                <w:sz w:val="14"/>
                <w:szCs w:val="14"/>
              </w:rPr>
              <w:t>2014</w:t>
            </w:r>
            <w:r>
              <w:rPr>
                <w:b/>
                <w:bCs/>
                <w:sz w:val="14"/>
                <w:szCs w:val="14"/>
              </w:rPr>
              <w:t>/15</w:t>
            </w:r>
          </w:p>
        </w:tc>
      </w:tr>
      <w:tr w:rsidR="00A71DCC" w:rsidRPr="00D3018B" w:rsidTr="00FF646B">
        <w:trPr>
          <w:cantSplit/>
        </w:trPr>
        <w:tc>
          <w:tcPr>
            <w:tcW w:w="1418" w:type="dxa"/>
            <w:tcBorders>
              <w:top w:val="single" w:sz="4" w:space="0" w:color="auto"/>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Auckland</w:t>
            </w:r>
          </w:p>
        </w:tc>
        <w:tc>
          <w:tcPr>
            <w:tcW w:w="793"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1.78%</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2.20%</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2.37%</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3.16%</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3.35%</w:t>
            </w:r>
          </w:p>
        </w:tc>
        <w:tc>
          <w:tcPr>
            <w:tcW w:w="793"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3.19%</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3.62%</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3.95%</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4.12%</w:t>
            </w:r>
          </w:p>
        </w:tc>
        <w:tc>
          <w:tcPr>
            <w:tcW w:w="794" w:type="dxa"/>
            <w:tcBorders>
              <w:top w:val="single" w:sz="4" w:space="0" w:color="auto"/>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4.20%</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Canterbury</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1.94%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1.50%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1.64%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1.57%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1.73%</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1.81%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2.00%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2.40%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2.55%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2.71%</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Capital &amp; Coast</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1.30%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1.33%</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1.43%</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1.39%</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1.81%</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1.90%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2.65%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3.15%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3.42%</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3.40%</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 xml:space="preserve">Counties </w:t>
            </w:r>
            <w:proofErr w:type="spellStart"/>
            <w:r w:rsidRPr="00A71DCC">
              <w:rPr>
                <w:sz w:val="14"/>
                <w:szCs w:val="14"/>
              </w:rPr>
              <w:t>Manukau</w:t>
            </w:r>
            <w:proofErr w:type="spellEnd"/>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1.44%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1.62%</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1.76%</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2.27%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2.53%</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2.55%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2.50%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2.80%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2.71%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3.28%</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Hawke's Bay</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1.01%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1.15%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1.14%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2.52%</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1.92%</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1.83%</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2.84%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3.11%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3.24%</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Hutt Valley</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1.67%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1.65%</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1.94%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2.16%</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2.24%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2.70%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2.80%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2.84%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3.33%</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r w:rsidRPr="00A71DCC">
              <w:rPr>
                <w:sz w:val="14"/>
                <w:szCs w:val="14"/>
              </w:rPr>
              <w:t>Waikato</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1.54%</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1.37%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1.50%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1.61%</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1.79%</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2.10%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3.00%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3.07%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3.43%</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3.29%</w:t>
            </w:r>
          </w:p>
        </w:tc>
      </w:tr>
      <w:tr w:rsidR="00A71DCC" w:rsidRPr="00D3018B" w:rsidTr="00A71DCC">
        <w:trPr>
          <w:cantSplit/>
        </w:trPr>
        <w:tc>
          <w:tcPr>
            <w:tcW w:w="1418" w:type="dxa"/>
            <w:tcBorders>
              <w:top w:val="single" w:sz="4" w:space="0" w:color="A6A6A6" w:themeColor="background1" w:themeShade="A6"/>
              <w:bottom w:val="single" w:sz="4" w:space="0" w:color="A6A6A6" w:themeColor="background1" w:themeShade="A6"/>
            </w:tcBorders>
          </w:tcPr>
          <w:p w:rsidR="00A71DCC" w:rsidRPr="00A71DCC" w:rsidRDefault="00A71DCC" w:rsidP="00FF646B">
            <w:pPr>
              <w:pStyle w:val="TableText"/>
              <w:rPr>
                <w:sz w:val="14"/>
                <w:szCs w:val="14"/>
              </w:rPr>
            </w:pPr>
            <w:proofErr w:type="spellStart"/>
            <w:r w:rsidRPr="00A71DCC">
              <w:rPr>
                <w:sz w:val="14"/>
                <w:szCs w:val="14"/>
              </w:rPr>
              <w:t>Waitemata</w:t>
            </w:r>
            <w:proofErr w:type="spellEnd"/>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1.89%</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2.17%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2.30%</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2.72%</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2.93%</w:t>
            </w:r>
          </w:p>
        </w:tc>
        <w:tc>
          <w:tcPr>
            <w:tcW w:w="793"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2.66%</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2.92%</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3.27%</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2.93%</w:t>
            </w:r>
          </w:p>
        </w:tc>
        <w:tc>
          <w:tcPr>
            <w:tcW w:w="794" w:type="dxa"/>
            <w:tcBorders>
              <w:top w:val="single" w:sz="4" w:space="0" w:color="A6A6A6" w:themeColor="background1" w:themeShade="A6"/>
              <w:bottom w:val="single" w:sz="4" w:space="0" w:color="A6A6A6" w:themeColor="background1" w:themeShade="A6"/>
            </w:tcBorders>
          </w:tcPr>
          <w:p w:rsidR="00A71DCC" w:rsidRPr="00A71DCC" w:rsidRDefault="00A71DCC" w:rsidP="00A71DCC">
            <w:pPr>
              <w:pStyle w:val="TableText"/>
              <w:jc w:val="center"/>
              <w:rPr>
                <w:sz w:val="14"/>
                <w:szCs w:val="14"/>
              </w:rPr>
            </w:pPr>
            <w:r w:rsidRPr="00A71DCC">
              <w:rPr>
                <w:sz w:val="14"/>
                <w:szCs w:val="14"/>
              </w:rPr>
              <w:t>3.21%</w:t>
            </w:r>
          </w:p>
        </w:tc>
      </w:tr>
      <w:tr w:rsidR="00A71DCC" w:rsidRPr="00D3018B" w:rsidTr="00FF646B">
        <w:trPr>
          <w:cantSplit/>
        </w:trPr>
        <w:tc>
          <w:tcPr>
            <w:tcW w:w="1418" w:type="dxa"/>
            <w:tcBorders>
              <w:top w:val="single" w:sz="4" w:space="0" w:color="A6A6A6" w:themeColor="background1" w:themeShade="A6"/>
              <w:bottom w:val="single" w:sz="4" w:space="0" w:color="auto"/>
            </w:tcBorders>
          </w:tcPr>
          <w:p w:rsidR="00A71DCC" w:rsidRPr="00A71DCC" w:rsidRDefault="00A71DCC" w:rsidP="00FF646B">
            <w:pPr>
              <w:pStyle w:val="TableText"/>
              <w:rPr>
                <w:sz w:val="14"/>
                <w:szCs w:val="14"/>
              </w:rPr>
            </w:pPr>
            <w:r w:rsidRPr="00A71DCC">
              <w:rPr>
                <w:sz w:val="14"/>
                <w:szCs w:val="14"/>
              </w:rPr>
              <w:t>Total New Zealand</w:t>
            </w:r>
          </w:p>
        </w:tc>
        <w:tc>
          <w:tcPr>
            <w:tcW w:w="793"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2.34%</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2.39%</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2.46%</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2.60%</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2.79%</w:t>
            </w:r>
          </w:p>
        </w:tc>
        <w:tc>
          <w:tcPr>
            <w:tcW w:w="793"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3.02%</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3.14%</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3.40%</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3.47%</w:t>
            </w:r>
          </w:p>
        </w:tc>
        <w:tc>
          <w:tcPr>
            <w:tcW w:w="794" w:type="dxa"/>
            <w:tcBorders>
              <w:top w:val="single" w:sz="4" w:space="0" w:color="A6A6A6" w:themeColor="background1" w:themeShade="A6"/>
              <w:bottom w:val="single" w:sz="4" w:space="0" w:color="auto"/>
            </w:tcBorders>
          </w:tcPr>
          <w:p w:rsidR="00A71DCC" w:rsidRPr="00A71DCC" w:rsidRDefault="00A71DCC" w:rsidP="00A71DCC">
            <w:pPr>
              <w:pStyle w:val="TableText"/>
              <w:jc w:val="center"/>
              <w:rPr>
                <w:sz w:val="14"/>
                <w:szCs w:val="14"/>
              </w:rPr>
            </w:pPr>
            <w:r w:rsidRPr="00A71DCC">
              <w:rPr>
                <w:sz w:val="14"/>
                <w:szCs w:val="14"/>
              </w:rPr>
              <w:t>3.46%</w:t>
            </w:r>
          </w:p>
        </w:tc>
      </w:tr>
    </w:tbl>
    <w:p w:rsidR="00BA14B3" w:rsidRPr="00A119E8" w:rsidRDefault="00BA14B3" w:rsidP="007A28AF"/>
    <w:p w:rsidR="0034306E" w:rsidRDefault="00BA14B3" w:rsidP="007A28AF">
      <w:r w:rsidRPr="00A119E8">
        <w:t>Figure 4 shows the access rate</w:t>
      </w:r>
      <w:r>
        <w:t>s</w:t>
      </w:r>
      <w:r w:rsidRPr="00A119E8">
        <w:t xml:space="preserve"> to DHB mental health services for Pacific peoples in the eight priority DHBs. Most DHBs are making progress towards achieving equity. Auckland DHB access rates for Pacific peoples have consistently been higher than the other DHBs and that of the total New Zealand population since 2007/2008. Capital &amp; Coast, Hutt Valley, Waikato, Counties </w:t>
      </w:r>
      <w:proofErr w:type="spellStart"/>
      <w:r w:rsidRPr="00A119E8">
        <w:t>Manukau</w:t>
      </w:r>
      <w:proofErr w:type="spellEnd"/>
      <w:r w:rsidRPr="00A119E8">
        <w:t xml:space="preserve">, Hawke’s Bay, and </w:t>
      </w:r>
      <w:proofErr w:type="spellStart"/>
      <w:r w:rsidRPr="00A119E8">
        <w:t>Waitemata</w:t>
      </w:r>
      <w:proofErr w:type="spellEnd"/>
      <w:r w:rsidRPr="00A119E8">
        <w:t xml:space="preserve"> </w:t>
      </w:r>
      <w:r>
        <w:t>DHBs</w:t>
      </w:r>
      <w:r w:rsidRPr="00A119E8">
        <w:t xml:space="preserve"> are all less than 10 percent away from achieving equity with the total New Zealand population. The three Auckland DHBs with high Pacific enrolment have Pacific services. Capital &amp; Coast </w:t>
      </w:r>
      <w:r>
        <w:t>DHB has</w:t>
      </w:r>
      <w:r w:rsidRPr="00A119E8">
        <w:t xml:space="preserve"> </w:t>
      </w:r>
      <w:proofErr w:type="spellStart"/>
      <w:r w:rsidRPr="00A119E8">
        <w:t>Vaka</w:t>
      </w:r>
      <w:proofErr w:type="spellEnd"/>
      <w:r w:rsidRPr="00A119E8">
        <w:t xml:space="preserve"> O Le </w:t>
      </w:r>
      <w:proofErr w:type="spellStart"/>
      <w:r w:rsidRPr="00A119E8">
        <w:t>Pasifika</w:t>
      </w:r>
      <w:proofErr w:type="spellEnd"/>
      <w:r w:rsidRPr="00A119E8">
        <w:t xml:space="preserve">, which is part of </w:t>
      </w:r>
      <w:proofErr w:type="spellStart"/>
      <w:r w:rsidRPr="00A119E8">
        <w:t>Te</w:t>
      </w:r>
      <w:proofErr w:type="spellEnd"/>
      <w:r w:rsidR="007A28AF">
        <w:t> </w:t>
      </w:r>
      <w:r w:rsidRPr="00A119E8">
        <w:t>Korowai-</w:t>
      </w:r>
      <w:proofErr w:type="spellStart"/>
      <w:r w:rsidRPr="00A119E8">
        <w:t>Whāriki</w:t>
      </w:r>
      <w:proofErr w:type="spellEnd"/>
      <w:r w:rsidRPr="00A119E8">
        <w:t>, the mental health service for Māori and Pacific peoples.</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4" w:space="0" w:color="FFFFFF" w:themeColor="background1"/>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1b</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Improving the health status of Pacific people with alcohol and drug addiction through improved access rates to alcohol and drug services</w:t>
            </w:r>
          </w:p>
        </w:tc>
      </w:tr>
    </w:tbl>
    <w:p w:rsidR="00BA14B3" w:rsidRPr="00A119E8" w:rsidRDefault="00BA14B3" w:rsidP="00BA14B3">
      <w:pPr>
        <w:keepNext/>
      </w:pPr>
    </w:p>
    <w:p w:rsidR="00BA14B3" w:rsidRPr="00A119E8" w:rsidRDefault="00BA14B3" w:rsidP="00BA14B3">
      <w:pPr>
        <w:keepNext/>
      </w:pPr>
      <w:r w:rsidRPr="007A28AF">
        <w:rPr>
          <w:b/>
        </w:rPr>
        <w:t xml:space="preserve">Performance: </w:t>
      </w:r>
      <w:r w:rsidRPr="007A28AF">
        <w:t xml:space="preserve">There </w:t>
      </w:r>
      <w:r w:rsidRPr="00A119E8">
        <w:t>is no target set for this indicator.</w:t>
      </w:r>
    </w:p>
    <w:p w:rsidR="00BA14B3" w:rsidRPr="00A119E8" w:rsidRDefault="00BA14B3" w:rsidP="00BA14B3">
      <w:pPr>
        <w:keepNext/>
      </w:pPr>
    </w:p>
    <w:p w:rsidR="00BA14B3" w:rsidRPr="00A119E8" w:rsidRDefault="00BA14B3" w:rsidP="00BA14B3">
      <w:pPr>
        <w:keepNext/>
      </w:pPr>
      <w:r w:rsidRPr="00A119E8">
        <w:rPr>
          <w:b/>
        </w:rPr>
        <w:t>Note</w:t>
      </w:r>
      <w:r w:rsidRPr="00A119E8">
        <w:t>: The data is sourced from the PRIMHD data set.</w:t>
      </w:r>
    </w:p>
    <w:p w:rsidR="00BA14B3" w:rsidRPr="00A119E8" w:rsidRDefault="00BA14B3" w:rsidP="00BA14B3">
      <w:pPr>
        <w:keepNext/>
      </w:pPr>
    </w:p>
    <w:p w:rsidR="00BA14B3" w:rsidRPr="00A119E8" w:rsidRDefault="00BA14B3" w:rsidP="007A28AF">
      <w:pPr>
        <w:pStyle w:val="Figure"/>
      </w:pPr>
      <w:bookmarkStart w:id="41" w:name="_Toc428368059"/>
      <w:bookmarkStart w:id="42" w:name="_Toc428370437"/>
      <w:bookmarkStart w:id="43" w:name="_Toc445801443"/>
      <w:bookmarkStart w:id="44" w:name="_Toc447527141"/>
      <w:r w:rsidRPr="00A119E8">
        <w:t xml:space="preserve">Figure </w:t>
      </w:r>
      <w:fldSimple w:instr=" SEQ Figure \* ARABIC ">
        <w:r w:rsidR="008D5FF2">
          <w:rPr>
            <w:noProof/>
          </w:rPr>
          <w:t>5</w:t>
        </w:r>
      </w:fldSimple>
      <w:r w:rsidRPr="00A119E8">
        <w:t xml:space="preserve">: Access to DHB alcohol and drug services, Pacific </w:t>
      </w:r>
      <w:proofErr w:type="gramStart"/>
      <w:r w:rsidRPr="00A119E8">
        <w:t>peoples</w:t>
      </w:r>
      <w:proofErr w:type="gramEnd"/>
      <w:r w:rsidRPr="00A119E8">
        <w:t xml:space="preserve"> population and total New Zealand population, 2012/2013–2014/2015</w:t>
      </w:r>
      <w:bookmarkEnd w:id="41"/>
      <w:bookmarkEnd w:id="42"/>
      <w:bookmarkEnd w:id="43"/>
      <w:bookmarkEnd w:id="44"/>
    </w:p>
    <w:p w:rsidR="00BA14B3" w:rsidRDefault="003B2B1E" w:rsidP="003B2B1E">
      <w:pPr>
        <w:spacing w:after="120"/>
        <w:rPr>
          <w:highlight w:val="yellow"/>
        </w:rPr>
      </w:pPr>
      <w:r>
        <w:rPr>
          <w:noProof/>
          <w:lang w:eastAsia="en-NZ"/>
        </w:rPr>
        <w:drawing>
          <wp:inline distT="0" distB="0" distL="0" distR="0" wp14:anchorId="45F57715" wp14:editId="74E62B54">
            <wp:extent cx="4497186" cy="2744130"/>
            <wp:effectExtent l="0" t="0" r="0" b="0"/>
            <wp:docPr id="92" name="Picture 92" title="Figure 5: Access to DHB alcohol and drug services, Pacific peoples population and total New Zealand population, 2012/2013–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8480" cy="2744919"/>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890"/>
        <w:gridCol w:w="1890"/>
        <w:gridCol w:w="1890"/>
      </w:tblGrid>
      <w:tr w:rsidR="003B2B1E" w:rsidRPr="00363850" w:rsidTr="003B2B1E">
        <w:trPr>
          <w:cantSplit/>
        </w:trPr>
        <w:tc>
          <w:tcPr>
            <w:tcW w:w="1418" w:type="dxa"/>
            <w:tcBorders>
              <w:top w:val="single" w:sz="4" w:space="0" w:color="auto"/>
              <w:bottom w:val="single" w:sz="4" w:space="0" w:color="auto"/>
            </w:tcBorders>
          </w:tcPr>
          <w:p w:rsidR="003B2B1E" w:rsidRPr="00363850" w:rsidRDefault="003B2B1E" w:rsidP="00FF646B">
            <w:pPr>
              <w:pStyle w:val="TableText"/>
              <w:rPr>
                <w:b/>
                <w:sz w:val="14"/>
                <w:szCs w:val="14"/>
              </w:rPr>
            </w:pPr>
          </w:p>
        </w:tc>
        <w:tc>
          <w:tcPr>
            <w:tcW w:w="1890" w:type="dxa"/>
            <w:tcBorders>
              <w:top w:val="single" w:sz="4" w:space="0" w:color="auto"/>
              <w:bottom w:val="single" w:sz="4" w:space="0" w:color="auto"/>
            </w:tcBorders>
          </w:tcPr>
          <w:p w:rsidR="003B2B1E" w:rsidRPr="00363850" w:rsidRDefault="003B2B1E" w:rsidP="00FF646B">
            <w:pPr>
              <w:pStyle w:val="TableText"/>
              <w:jc w:val="center"/>
              <w:rPr>
                <w:b/>
                <w:bCs/>
                <w:sz w:val="14"/>
                <w:szCs w:val="14"/>
              </w:rPr>
            </w:pPr>
            <w:r w:rsidRPr="00363850">
              <w:rPr>
                <w:b/>
                <w:bCs/>
                <w:sz w:val="14"/>
                <w:szCs w:val="14"/>
              </w:rPr>
              <w:t>2012</w:t>
            </w:r>
            <w:r>
              <w:rPr>
                <w:b/>
                <w:bCs/>
                <w:sz w:val="14"/>
                <w:szCs w:val="14"/>
              </w:rPr>
              <w:t>/13</w:t>
            </w:r>
          </w:p>
        </w:tc>
        <w:tc>
          <w:tcPr>
            <w:tcW w:w="1890" w:type="dxa"/>
            <w:tcBorders>
              <w:top w:val="single" w:sz="4" w:space="0" w:color="auto"/>
              <w:bottom w:val="single" w:sz="4" w:space="0" w:color="auto"/>
            </w:tcBorders>
          </w:tcPr>
          <w:p w:rsidR="003B2B1E" w:rsidRPr="00363850" w:rsidRDefault="003B2B1E" w:rsidP="00FF646B">
            <w:pPr>
              <w:pStyle w:val="TableText"/>
              <w:jc w:val="center"/>
              <w:rPr>
                <w:b/>
                <w:bCs/>
                <w:sz w:val="14"/>
                <w:szCs w:val="14"/>
              </w:rPr>
            </w:pPr>
            <w:r w:rsidRPr="00363850">
              <w:rPr>
                <w:b/>
                <w:bCs/>
                <w:sz w:val="14"/>
                <w:szCs w:val="14"/>
              </w:rPr>
              <w:t>2013</w:t>
            </w:r>
            <w:r>
              <w:rPr>
                <w:b/>
                <w:bCs/>
                <w:sz w:val="14"/>
                <w:szCs w:val="14"/>
              </w:rPr>
              <w:t>/14</w:t>
            </w:r>
          </w:p>
        </w:tc>
        <w:tc>
          <w:tcPr>
            <w:tcW w:w="1890" w:type="dxa"/>
            <w:tcBorders>
              <w:top w:val="single" w:sz="4" w:space="0" w:color="auto"/>
              <w:bottom w:val="single" w:sz="4" w:space="0" w:color="auto"/>
            </w:tcBorders>
          </w:tcPr>
          <w:p w:rsidR="003B2B1E" w:rsidRPr="00363850" w:rsidRDefault="003B2B1E" w:rsidP="00FF646B">
            <w:pPr>
              <w:pStyle w:val="TableText"/>
              <w:jc w:val="center"/>
              <w:rPr>
                <w:b/>
                <w:bCs/>
                <w:sz w:val="14"/>
                <w:szCs w:val="14"/>
              </w:rPr>
            </w:pPr>
            <w:r w:rsidRPr="00363850">
              <w:rPr>
                <w:b/>
                <w:bCs/>
                <w:sz w:val="14"/>
                <w:szCs w:val="14"/>
              </w:rPr>
              <w:t>2014</w:t>
            </w:r>
            <w:r>
              <w:rPr>
                <w:b/>
                <w:bCs/>
                <w:sz w:val="14"/>
                <w:szCs w:val="14"/>
              </w:rPr>
              <w:t>/15</w:t>
            </w:r>
          </w:p>
        </w:tc>
      </w:tr>
      <w:tr w:rsidR="003B2B1E" w:rsidRPr="00363850" w:rsidTr="003B2B1E">
        <w:trPr>
          <w:cantSplit/>
        </w:trPr>
        <w:tc>
          <w:tcPr>
            <w:tcW w:w="1418" w:type="dxa"/>
            <w:tcBorders>
              <w:top w:val="single" w:sz="4" w:space="0" w:color="auto"/>
              <w:bottom w:val="single" w:sz="4" w:space="0" w:color="A6A6A6" w:themeColor="background1" w:themeShade="A6"/>
            </w:tcBorders>
          </w:tcPr>
          <w:p w:rsidR="003B2B1E" w:rsidRPr="00363850" w:rsidRDefault="003B2B1E" w:rsidP="00FF646B">
            <w:pPr>
              <w:pStyle w:val="TableText"/>
              <w:rPr>
                <w:bCs/>
                <w:sz w:val="14"/>
                <w:szCs w:val="14"/>
              </w:rPr>
            </w:pPr>
            <w:r w:rsidRPr="00363850">
              <w:rPr>
                <w:bCs/>
                <w:sz w:val="14"/>
                <w:szCs w:val="14"/>
              </w:rPr>
              <w:t>Pacific</w:t>
            </w:r>
          </w:p>
        </w:tc>
        <w:tc>
          <w:tcPr>
            <w:tcW w:w="1890" w:type="dxa"/>
            <w:tcBorders>
              <w:top w:val="single" w:sz="4" w:space="0" w:color="auto"/>
              <w:bottom w:val="single" w:sz="4" w:space="0" w:color="A6A6A6" w:themeColor="background1" w:themeShade="A6"/>
            </w:tcBorders>
          </w:tcPr>
          <w:p w:rsidR="003B2B1E" w:rsidRPr="003B2B1E" w:rsidRDefault="003B2B1E" w:rsidP="003B2B1E">
            <w:pPr>
              <w:pStyle w:val="TableText"/>
              <w:jc w:val="center"/>
              <w:rPr>
                <w:sz w:val="14"/>
                <w:szCs w:val="14"/>
              </w:rPr>
            </w:pPr>
            <w:r w:rsidRPr="003B2B1E">
              <w:rPr>
                <w:sz w:val="14"/>
                <w:szCs w:val="14"/>
              </w:rPr>
              <w:t>0.81%</w:t>
            </w:r>
          </w:p>
        </w:tc>
        <w:tc>
          <w:tcPr>
            <w:tcW w:w="1890" w:type="dxa"/>
            <w:tcBorders>
              <w:top w:val="single" w:sz="4" w:space="0" w:color="auto"/>
              <w:bottom w:val="single" w:sz="4" w:space="0" w:color="A6A6A6" w:themeColor="background1" w:themeShade="A6"/>
            </w:tcBorders>
          </w:tcPr>
          <w:p w:rsidR="003B2B1E" w:rsidRPr="003B2B1E" w:rsidRDefault="003B2B1E" w:rsidP="003B2B1E">
            <w:pPr>
              <w:pStyle w:val="TableText"/>
              <w:jc w:val="center"/>
              <w:rPr>
                <w:sz w:val="14"/>
                <w:szCs w:val="14"/>
              </w:rPr>
            </w:pPr>
            <w:r w:rsidRPr="003B2B1E">
              <w:rPr>
                <w:sz w:val="14"/>
                <w:szCs w:val="14"/>
              </w:rPr>
              <w:t>0.85%</w:t>
            </w:r>
          </w:p>
        </w:tc>
        <w:tc>
          <w:tcPr>
            <w:tcW w:w="1890" w:type="dxa"/>
            <w:tcBorders>
              <w:top w:val="single" w:sz="4" w:space="0" w:color="auto"/>
              <w:bottom w:val="single" w:sz="4" w:space="0" w:color="A6A6A6" w:themeColor="background1" w:themeShade="A6"/>
            </w:tcBorders>
          </w:tcPr>
          <w:p w:rsidR="003B2B1E" w:rsidRPr="003B2B1E" w:rsidRDefault="003B2B1E" w:rsidP="003B2B1E">
            <w:pPr>
              <w:pStyle w:val="TableText"/>
              <w:jc w:val="center"/>
              <w:rPr>
                <w:sz w:val="14"/>
                <w:szCs w:val="14"/>
              </w:rPr>
            </w:pPr>
            <w:r w:rsidRPr="003B2B1E">
              <w:rPr>
                <w:sz w:val="14"/>
                <w:szCs w:val="14"/>
              </w:rPr>
              <w:t>1.24%</w:t>
            </w:r>
          </w:p>
        </w:tc>
      </w:tr>
      <w:tr w:rsidR="003B2B1E" w:rsidRPr="00363850" w:rsidTr="003B2B1E">
        <w:trPr>
          <w:cantSplit/>
        </w:trPr>
        <w:tc>
          <w:tcPr>
            <w:tcW w:w="1418" w:type="dxa"/>
            <w:tcBorders>
              <w:top w:val="single" w:sz="4" w:space="0" w:color="A6A6A6" w:themeColor="background1" w:themeShade="A6"/>
              <w:bottom w:val="single" w:sz="4" w:space="0" w:color="auto"/>
            </w:tcBorders>
          </w:tcPr>
          <w:p w:rsidR="003B2B1E" w:rsidRPr="00363850" w:rsidRDefault="003B2B1E" w:rsidP="00FF646B">
            <w:pPr>
              <w:pStyle w:val="TableText"/>
              <w:rPr>
                <w:bCs/>
                <w:sz w:val="14"/>
                <w:szCs w:val="14"/>
              </w:rPr>
            </w:pPr>
            <w:r w:rsidRPr="00363850">
              <w:rPr>
                <w:bCs/>
                <w:sz w:val="14"/>
                <w:szCs w:val="14"/>
              </w:rPr>
              <w:t>Total New Zealand</w:t>
            </w:r>
          </w:p>
        </w:tc>
        <w:tc>
          <w:tcPr>
            <w:tcW w:w="1890" w:type="dxa"/>
            <w:tcBorders>
              <w:top w:val="single" w:sz="4" w:space="0" w:color="A6A6A6" w:themeColor="background1" w:themeShade="A6"/>
              <w:bottom w:val="single" w:sz="4" w:space="0" w:color="auto"/>
            </w:tcBorders>
          </w:tcPr>
          <w:p w:rsidR="003B2B1E" w:rsidRPr="003B2B1E" w:rsidRDefault="003B2B1E" w:rsidP="003B2B1E">
            <w:pPr>
              <w:pStyle w:val="TableText"/>
              <w:jc w:val="center"/>
              <w:rPr>
                <w:sz w:val="14"/>
                <w:szCs w:val="14"/>
              </w:rPr>
            </w:pPr>
            <w:r w:rsidRPr="003B2B1E">
              <w:rPr>
                <w:sz w:val="14"/>
                <w:szCs w:val="14"/>
              </w:rPr>
              <w:t>1.00%</w:t>
            </w:r>
          </w:p>
        </w:tc>
        <w:tc>
          <w:tcPr>
            <w:tcW w:w="1890" w:type="dxa"/>
            <w:tcBorders>
              <w:top w:val="single" w:sz="4" w:space="0" w:color="A6A6A6" w:themeColor="background1" w:themeShade="A6"/>
              <w:bottom w:val="single" w:sz="4" w:space="0" w:color="auto"/>
            </w:tcBorders>
          </w:tcPr>
          <w:p w:rsidR="003B2B1E" w:rsidRPr="003B2B1E" w:rsidRDefault="003B2B1E" w:rsidP="003B2B1E">
            <w:pPr>
              <w:pStyle w:val="TableText"/>
              <w:jc w:val="center"/>
              <w:rPr>
                <w:sz w:val="14"/>
                <w:szCs w:val="14"/>
              </w:rPr>
            </w:pPr>
            <w:r w:rsidRPr="003B2B1E">
              <w:rPr>
                <w:sz w:val="14"/>
                <w:szCs w:val="14"/>
              </w:rPr>
              <w:t>1.01%</w:t>
            </w:r>
          </w:p>
        </w:tc>
        <w:tc>
          <w:tcPr>
            <w:tcW w:w="1890" w:type="dxa"/>
            <w:tcBorders>
              <w:top w:val="single" w:sz="4" w:space="0" w:color="A6A6A6" w:themeColor="background1" w:themeShade="A6"/>
              <w:bottom w:val="single" w:sz="4" w:space="0" w:color="auto"/>
            </w:tcBorders>
          </w:tcPr>
          <w:p w:rsidR="003B2B1E" w:rsidRPr="003B2B1E" w:rsidRDefault="003B2B1E" w:rsidP="003B2B1E">
            <w:pPr>
              <w:pStyle w:val="TableText"/>
              <w:jc w:val="center"/>
              <w:rPr>
                <w:sz w:val="14"/>
                <w:szCs w:val="14"/>
              </w:rPr>
            </w:pPr>
            <w:r w:rsidRPr="003B2B1E">
              <w:rPr>
                <w:sz w:val="14"/>
                <w:szCs w:val="14"/>
              </w:rPr>
              <w:t>1.03%</w:t>
            </w:r>
          </w:p>
        </w:tc>
      </w:tr>
    </w:tbl>
    <w:p w:rsidR="003B2B1E" w:rsidRDefault="003B2B1E" w:rsidP="003B2B1E">
      <w:pPr>
        <w:rPr>
          <w:highlight w:val="yellow"/>
        </w:rPr>
      </w:pPr>
    </w:p>
    <w:p w:rsidR="0034306E" w:rsidRDefault="00BA14B3" w:rsidP="007A28AF">
      <w:r w:rsidRPr="00A119E8">
        <w:t>Figure 5 shows access to DHB alcohol and drug services for Pacific peoples and the total New Zealand population. Pacific peoples’ access to alcohol and drug services has been increasing steadily. It has now surpassed that of the total New Zealand population. The high access rates in the three Auckland DHBs contributes to this as they enrol two-thirds of the total Pacific population (refer to Figure 6).</w:t>
      </w:r>
    </w:p>
    <w:p w:rsidR="00BA14B3" w:rsidRPr="00A119E8" w:rsidRDefault="00BA14B3" w:rsidP="007A28AF"/>
    <w:p w:rsidR="00BA14B3" w:rsidRPr="00A119E8" w:rsidRDefault="00BA14B3" w:rsidP="007A28AF">
      <w:pPr>
        <w:pStyle w:val="Figure"/>
      </w:pPr>
      <w:bookmarkStart w:id="45" w:name="_Toc428368060"/>
      <w:bookmarkStart w:id="46" w:name="_Toc428370438"/>
      <w:bookmarkStart w:id="47" w:name="_Toc445801444"/>
      <w:bookmarkStart w:id="48" w:name="_Toc447527142"/>
      <w:r w:rsidRPr="00A119E8">
        <w:lastRenderedPageBreak/>
        <w:t xml:space="preserve">Figure </w:t>
      </w:r>
      <w:fldSimple w:instr=" SEQ Figure \* ARABIC ">
        <w:r w:rsidR="008D5FF2">
          <w:rPr>
            <w:noProof/>
          </w:rPr>
          <w:t>6</w:t>
        </w:r>
      </w:fldSimple>
      <w:r w:rsidRPr="00A119E8">
        <w:t>: Access to DHB alcohol and drug services, Pacific peoples, by priority DHBs, 2012/2013–2014/2015</w:t>
      </w:r>
      <w:bookmarkEnd w:id="45"/>
      <w:bookmarkEnd w:id="46"/>
      <w:bookmarkEnd w:id="47"/>
      <w:bookmarkEnd w:id="48"/>
    </w:p>
    <w:p w:rsidR="00BA14B3" w:rsidRDefault="00BE6CA5" w:rsidP="00BE6CA5">
      <w:pPr>
        <w:spacing w:after="120"/>
      </w:pPr>
      <w:r>
        <w:rPr>
          <w:noProof/>
          <w:lang w:eastAsia="en-NZ"/>
        </w:rPr>
        <w:drawing>
          <wp:inline distT="0" distB="0" distL="0" distR="0" wp14:anchorId="3D193964" wp14:editId="0BBB7F2F">
            <wp:extent cx="4490589" cy="2743200"/>
            <wp:effectExtent l="0" t="0" r="0" b="0"/>
            <wp:docPr id="105" name="Picture 105" title="Figure 6: Access to DHB alcohol and drug services, Pacific peoples, by priority DHBs, 2012/2013–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9443" cy="2742500"/>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890"/>
        <w:gridCol w:w="1890"/>
        <w:gridCol w:w="1890"/>
      </w:tblGrid>
      <w:tr w:rsidR="00CF2A7A" w:rsidRPr="00363850" w:rsidTr="00CF2A7A">
        <w:trPr>
          <w:cantSplit/>
        </w:trPr>
        <w:tc>
          <w:tcPr>
            <w:tcW w:w="1418" w:type="dxa"/>
            <w:tcBorders>
              <w:top w:val="single" w:sz="4" w:space="0" w:color="auto"/>
              <w:bottom w:val="single" w:sz="4" w:space="0" w:color="auto"/>
            </w:tcBorders>
          </w:tcPr>
          <w:p w:rsidR="00CF2A7A" w:rsidRPr="00363850" w:rsidRDefault="00CF2A7A" w:rsidP="00FF646B">
            <w:pPr>
              <w:pStyle w:val="TableText"/>
              <w:rPr>
                <w:b/>
                <w:sz w:val="14"/>
                <w:szCs w:val="14"/>
              </w:rPr>
            </w:pPr>
          </w:p>
        </w:tc>
        <w:tc>
          <w:tcPr>
            <w:tcW w:w="1890" w:type="dxa"/>
            <w:tcBorders>
              <w:top w:val="single" w:sz="4" w:space="0" w:color="auto"/>
              <w:bottom w:val="single" w:sz="4" w:space="0" w:color="auto"/>
            </w:tcBorders>
          </w:tcPr>
          <w:p w:rsidR="00CF2A7A" w:rsidRPr="00363850" w:rsidRDefault="00CF2A7A" w:rsidP="00FF646B">
            <w:pPr>
              <w:pStyle w:val="TableText"/>
              <w:jc w:val="center"/>
              <w:rPr>
                <w:b/>
                <w:bCs/>
                <w:sz w:val="14"/>
                <w:szCs w:val="14"/>
              </w:rPr>
            </w:pPr>
            <w:r w:rsidRPr="00363850">
              <w:rPr>
                <w:b/>
                <w:bCs/>
                <w:sz w:val="14"/>
                <w:szCs w:val="14"/>
              </w:rPr>
              <w:t>2012</w:t>
            </w:r>
            <w:r>
              <w:rPr>
                <w:b/>
                <w:bCs/>
                <w:sz w:val="14"/>
                <w:szCs w:val="14"/>
              </w:rPr>
              <w:t>/13</w:t>
            </w:r>
          </w:p>
        </w:tc>
        <w:tc>
          <w:tcPr>
            <w:tcW w:w="1890" w:type="dxa"/>
            <w:tcBorders>
              <w:top w:val="single" w:sz="4" w:space="0" w:color="auto"/>
              <w:bottom w:val="single" w:sz="4" w:space="0" w:color="auto"/>
            </w:tcBorders>
          </w:tcPr>
          <w:p w:rsidR="00CF2A7A" w:rsidRPr="00363850" w:rsidRDefault="00CF2A7A" w:rsidP="00FF646B">
            <w:pPr>
              <w:pStyle w:val="TableText"/>
              <w:jc w:val="center"/>
              <w:rPr>
                <w:b/>
                <w:bCs/>
                <w:sz w:val="14"/>
                <w:szCs w:val="14"/>
              </w:rPr>
            </w:pPr>
            <w:r w:rsidRPr="00363850">
              <w:rPr>
                <w:b/>
                <w:bCs/>
                <w:sz w:val="14"/>
                <w:szCs w:val="14"/>
              </w:rPr>
              <w:t>2013</w:t>
            </w:r>
            <w:r>
              <w:rPr>
                <w:b/>
                <w:bCs/>
                <w:sz w:val="14"/>
                <w:szCs w:val="14"/>
              </w:rPr>
              <w:t>/14</w:t>
            </w:r>
          </w:p>
        </w:tc>
        <w:tc>
          <w:tcPr>
            <w:tcW w:w="1890" w:type="dxa"/>
            <w:tcBorders>
              <w:top w:val="single" w:sz="4" w:space="0" w:color="auto"/>
              <w:bottom w:val="single" w:sz="4" w:space="0" w:color="auto"/>
            </w:tcBorders>
          </w:tcPr>
          <w:p w:rsidR="00CF2A7A" w:rsidRPr="00363850" w:rsidRDefault="00CF2A7A" w:rsidP="00FF646B">
            <w:pPr>
              <w:pStyle w:val="TableText"/>
              <w:jc w:val="center"/>
              <w:rPr>
                <w:b/>
                <w:bCs/>
                <w:sz w:val="14"/>
                <w:szCs w:val="14"/>
              </w:rPr>
            </w:pPr>
            <w:r w:rsidRPr="00363850">
              <w:rPr>
                <w:b/>
                <w:bCs/>
                <w:sz w:val="14"/>
                <w:szCs w:val="14"/>
              </w:rPr>
              <w:t>2014</w:t>
            </w:r>
            <w:r>
              <w:rPr>
                <w:b/>
                <w:bCs/>
                <w:sz w:val="14"/>
                <w:szCs w:val="14"/>
              </w:rPr>
              <w:t>/15</w:t>
            </w:r>
          </w:p>
        </w:tc>
      </w:tr>
      <w:tr w:rsidR="00CF2A7A" w:rsidRPr="00A71DCC" w:rsidTr="00CF2A7A">
        <w:trPr>
          <w:cantSplit/>
        </w:trPr>
        <w:tc>
          <w:tcPr>
            <w:tcW w:w="1418" w:type="dxa"/>
            <w:tcBorders>
              <w:top w:val="single" w:sz="4" w:space="0" w:color="auto"/>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Auckland</w:t>
            </w:r>
          </w:p>
        </w:tc>
        <w:tc>
          <w:tcPr>
            <w:tcW w:w="1890" w:type="dxa"/>
            <w:tcBorders>
              <w:top w:val="single" w:sz="4" w:space="0" w:color="auto"/>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1.02%</w:t>
            </w:r>
          </w:p>
        </w:tc>
        <w:tc>
          <w:tcPr>
            <w:tcW w:w="1890" w:type="dxa"/>
            <w:tcBorders>
              <w:top w:val="single" w:sz="4" w:space="0" w:color="auto"/>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1.21%</w:t>
            </w:r>
          </w:p>
        </w:tc>
        <w:tc>
          <w:tcPr>
            <w:tcW w:w="1890" w:type="dxa"/>
            <w:tcBorders>
              <w:top w:val="single" w:sz="4" w:space="0" w:color="auto"/>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1.86%</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Canterbury</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0.76%</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0.63%</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0.85%</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Capital &amp; Coast</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0.57%</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0.63%</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0.54%</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 xml:space="preserve">Counties </w:t>
            </w:r>
            <w:proofErr w:type="spellStart"/>
            <w:r w:rsidRPr="00A71DCC">
              <w:rPr>
                <w:sz w:val="14"/>
                <w:szCs w:val="14"/>
              </w:rPr>
              <w:t>Manukau</w:t>
            </w:r>
            <w:proofErr w:type="spellEnd"/>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0.80%</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0.84%</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1.52%</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Hawke's Bay</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0.88%</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0.70%</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0.51%</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Hutt Valley</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0.46%</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0.49%</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0.50%</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r w:rsidRPr="00A71DCC">
              <w:rPr>
                <w:sz w:val="14"/>
                <w:szCs w:val="14"/>
              </w:rPr>
              <w:t>Waikato</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0.98%</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1.06%</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1.26%</w:t>
            </w:r>
          </w:p>
        </w:tc>
      </w:tr>
      <w:tr w:rsidR="00CF2A7A" w:rsidRPr="00A71DCC" w:rsidTr="00CF2A7A">
        <w:trPr>
          <w:cantSplit/>
        </w:trPr>
        <w:tc>
          <w:tcPr>
            <w:tcW w:w="1418" w:type="dxa"/>
            <w:tcBorders>
              <w:top w:val="single" w:sz="4" w:space="0" w:color="A6A6A6" w:themeColor="background1" w:themeShade="A6"/>
              <w:bottom w:val="single" w:sz="4" w:space="0" w:color="A6A6A6" w:themeColor="background1" w:themeShade="A6"/>
            </w:tcBorders>
          </w:tcPr>
          <w:p w:rsidR="00CF2A7A" w:rsidRPr="00A71DCC" w:rsidRDefault="00CF2A7A" w:rsidP="00FF646B">
            <w:pPr>
              <w:pStyle w:val="TableText"/>
              <w:rPr>
                <w:sz w:val="14"/>
                <w:szCs w:val="14"/>
              </w:rPr>
            </w:pPr>
            <w:proofErr w:type="spellStart"/>
            <w:r w:rsidRPr="00A71DCC">
              <w:rPr>
                <w:sz w:val="14"/>
                <w:szCs w:val="14"/>
              </w:rPr>
              <w:t>Waitemata</w:t>
            </w:r>
            <w:proofErr w:type="spellEnd"/>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0.86%</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0.92%</w:t>
            </w:r>
          </w:p>
        </w:tc>
        <w:tc>
          <w:tcPr>
            <w:tcW w:w="1890" w:type="dxa"/>
            <w:tcBorders>
              <w:top w:val="single" w:sz="4" w:space="0" w:color="A6A6A6" w:themeColor="background1" w:themeShade="A6"/>
              <w:bottom w:val="single" w:sz="4" w:space="0" w:color="A6A6A6" w:themeColor="background1" w:themeShade="A6"/>
            </w:tcBorders>
          </w:tcPr>
          <w:p w:rsidR="00CF2A7A" w:rsidRPr="00CF2A7A" w:rsidRDefault="00CF2A7A" w:rsidP="00FF646B">
            <w:pPr>
              <w:pStyle w:val="TableText"/>
              <w:jc w:val="center"/>
              <w:rPr>
                <w:sz w:val="14"/>
              </w:rPr>
            </w:pPr>
            <w:r w:rsidRPr="00CF2A7A">
              <w:rPr>
                <w:sz w:val="14"/>
              </w:rPr>
              <w:t>1.33%</w:t>
            </w:r>
          </w:p>
        </w:tc>
      </w:tr>
      <w:tr w:rsidR="00CF2A7A" w:rsidRPr="00A71DCC" w:rsidTr="00CF2A7A">
        <w:trPr>
          <w:cantSplit/>
        </w:trPr>
        <w:tc>
          <w:tcPr>
            <w:tcW w:w="1418" w:type="dxa"/>
            <w:tcBorders>
              <w:top w:val="single" w:sz="4" w:space="0" w:color="A6A6A6" w:themeColor="background1" w:themeShade="A6"/>
              <w:bottom w:val="single" w:sz="4" w:space="0" w:color="auto"/>
            </w:tcBorders>
          </w:tcPr>
          <w:p w:rsidR="00CF2A7A" w:rsidRPr="00A71DCC" w:rsidRDefault="00CF2A7A" w:rsidP="00FF646B">
            <w:pPr>
              <w:pStyle w:val="TableText"/>
              <w:rPr>
                <w:sz w:val="14"/>
                <w:szCs w:val="14"/>
              </w:rPr>
            </w:pPr>
            <w:r w:rsidRPr="00A71DCC">
              <w:rPr>
                <w:sz w:val="14"/>
                <w:szCs w:val="14"/>
              </w:rPr>
              <w:t>Total New Zealand</w:t>
            </w:r>
          </w:p>
        </w:tc>
        <w:tc>
          <w:tcPr>
            <w:tcW w:w="1890" w:type="dxa"/>
            <w:tcBorders>
              <w:top w:val="single" w:sz="4" w:space="0" w:color="A6A6A6" w:themeColor="background1" w:themeShade="A6"/>
              <w:bottom w:val="single" w:sz="4" w:space="0" w:color="auto"/>
            </w:tcBorders>
          </w:tcPr>
          <w:p w:rsidR="00CF2A7A" w:rsidRPr="00CF2A7A" w:rsidRDefault="00CF2A7A" w:rsidP="00FF646B">
            <w:pPr>
              <w:pStyle w:val="TableText"/>
              <w:jc w:val="center"/>
              <w:rPr>
                <w:sz w:val="14"/>
              </w:rPr>
            </w:pPr>
            <w:r w:rsidRPr="00CF2A7A">
              <w:rPr>
                <w:sz w:val="14"/>
              </w:rPr>
              <w:t>1.00%</w:t>
            </w:r>
          </w:p>
        </w:tc>
        <w:tc>
          <w:tcPr>
            <w:tcW w:w="1890" w:type="dxa"/>
            <w:tcBorders>
              <w:top w:val="single" w:sz="4" w:space="0" w:color="A6A6A6" w:themeColor="background1" w:themeShade="A6"/>
              <w:bottom w:val="single" w:sz="4" w:space="0" w:color="auto"/>
            </w:tcBorders>
          </w:tcPr>
          <w:p w:rsidR="00CF2A7A" w:rsidRPr="00CF2A7A" w:rsidRDefault="00CF2A7A" w:rsidP="00FF646B">
            <w:pPr>
              <w:pStyle w:val="TableText"/>
              <w:jc w:val="center"/>
              <w:rPr>
                <w:sz w:val="14"/>
              </w:rPr>
            </w:pPr>
            <w:r w:rsidRPr="00CF2A7A">
              <w:rPr>
                <w:sz w:val="14"/>
              </w:rPr>
              <w:t>1.01%</w:t>
            </w:r>
          </w:p>
        </w:tc>
        <w:tc>
          <w:tcPr>
            <w:tcW w:w="1890" w:type="dxa"/>
            <w:tcBorders>
              <w:top w:val="single" w:sz="4" w:space="0" w:color="A6A6A6" w:themeColor="background1" w:themeShade="A6"/>
              <w:bottom w:val="single" w:sz="4" w:space="0" w:color="auto"/>
            </w:tcBorders>
          </w:tcPr>
          <w:p w:rsidR="00CF2A7A" w:rsidRPr="00CF2A7A" w:rsidRDefault="00CF2A7A" w:rsidP="00FF646B">
            <w:pPr>
              <w:pStyle w:val="TableText"/>
              <w:jc w:val="center"/>
              <w:rPr>
                <w:sz w:val="14"/>
              </w:rPr>
            </w:pPr>
            <w:r w:rsidRPr="00CF2A7A">
              <w:rPr>
                <w:sz w:val="14"/>
              </w:rPr>
              <w:t>1.03%</w:t>
            </w:r>
          </w:p>
        </w:tc>
      </w:tr>
    </w:tbl>
    <w:p w:rsidR="00CF2A7A" w:rsidRDefault="00CF2A7A" w:rsidP="00CF2A7A"/>
    <w:p w:rsidR="0034306E" w:rsidRDefault="00BA14B3" w:rsidP="007A28AF">
      <w:r w:rsidRPr="00A119E8">
        <w:t xml:space="preserve">Figure 6 shows </w:t>
      </w:r>
      <w:r>
        <w:t xml:space="preserve">that </w:t>
      </w:r>
      <w:r w:rsidRPr="00A119E8">
        <w:t xml:space="preserve">Auckland, Counties </w:t>
      </w:r>
      <w:proofErr w:type="spellStart"/>
      <w:r w:rsidRPr="00A119E8">
        <w:t>Manukau</w:t>
      </w:r>
      <w:proofErr w:type="spellEnd"/>
      <w:r w:rsidRPr="00A119E8">
        <w:t xml:space="preserve">, </w:t>
      </w:r>
      <w:proofErr w:type="spellStart"/>
      <w:r w:rsidRPr="00A119E8">
        <w:t>Waitemata</w:t>
      </w:r>
      <w:proofErr w:type="spellEnd"/>
      <w:r w:rsidRPr="00A119E8">
        <w:t xml:space="preserve"> and Waikato DHBs have improved access to alco</w:t>
      </w:r>
      <w:bookmarkStart w:id="49" w:name="_GoBack"/>
      <w:bookmarkEnd w:id="49"/>
      <w:r w:rsidRPr="00A119E8">
        <w:t>hol and drug services among their Pacific populations. Their access rates have surpassed the national access rate. Both Auckland and Waikato DHBs have maintained the ‘Achieved’ status since the first progress report. The sharing of Pacific services via TUPU appears to improve access for Pacific clients and their families in the Auckland region.</w:t>
      </w:r>
    </w:p>
    <w:p w:rsidR="00BA14B3" w:rsidRPr="00A119E8" w:rsidRDefault="00BA14B3" w:rsidP="007A28AF"/>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lastRenderedPageBreak/>
              <w:t>Action 2</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szCs w:val="24"/>
                <w:lang w:eastAsia="en-NZ"/>
              </w:rPr>
              <w:t xml:space="preserve">Universal maternity and child health services will engage in a </w:t>
            </w:r>
            <w:proofErr w:type="gramStart"/>
            <w:r w:rsidRPr="00A119E8">
              <w:rPr>
                <w:b/>
                <w:sz w:val="24"/>
                <w:szCs w:val="24"/>
                <w:lang w:eastAsia="en-NZ"/>
              </w:rPr>
              <w:t>more timely</w:t>
            </w:r>
            <w:proofErr w:type="gramEnd"/>
            <w:r w:rsidRPr="00A119E8">
              <w:rPr>
                <w:b/>
                <w:sz w:val="24"/>
                <w:szCs w:val="24"/>
                <w:lang w:eastAsia="en-NZ"/>
              </w:rPr>
              <w:t xml:space="preserve"> manner with Pacific families.</w:t>
            </w:r>
          </w:p>
        </w:tc>
      </w:tr>
    </w:tbl>
    <w:p w:rsidR="00BA14B3" w:rsidRPr="00A119E8" w:rsidRDefault="00BA14B3" w:rsidP="007A28AF">
      <w:pPr>
        <w:keepNext/>
      </w:pPr>
    </w:p>
    <w:p w:rsidR="00BA14B3" w:rsidRPr="00A119E8" w:rsidRDefault="00BA14B3" w:rsidP="007A28AF">
      <w:pPr>
        <w:pStyle w:val="Heading3"/>
      </w:pPr>
      <w:r w:rsidRPr="00A119E8">
        <w:t>Action commentary</w:t>
      </w:r>
    </w:p>
    <w:p w:rsidR="00BA14B3" w:rsidRPr="00A119E8" w:rsidRDefault="00BA14B3" w:rsidP="007A28AF">
      <w:pPr>
        <w:keepNext/>
      </w:pPr>
      <w:r w:rsidRPr="00A119E8">
        <w:t xml:space="preserve">In the six months from June 2015 to December 2015, the Ministry </w:t>
      </w:r>
      <w:r>
        <w:t xml:space="preserve">of Health </w:t>
      </w:r>
      <w:r w:rsidRPr="00A119E8">
        <w:t>has continued to deliver on activities in efforts to improve timely access to universal maternity and child health services for Pacific families. Achievements in this time period have included the following:</w:t>
      </w:r>
    </w:p>
    <w:p w:rsidR="00BA14B3" w:rsidRPr="00A119E8" w:rsidRDefault="00BA14B3" w:rsidP="007A28AF">
      <w:pPr>
        <w:pStyle w:val="Bullet"/>
        <w:keepNext/>
      </w:pPr>
      <w:r w:rsidRPr="00A119E8">
        <w:t>The Ministry announced funding for DHBs in October 2015 aimed at improving the rate of enrolment in Well Child/</w:t>
      </w:r>
      <w:proofErr w:type="spellStart"/>
      <w:r w:rsidRPr="00A119E8">
        <w:t>Tamariki</w:t>
      </w:r>
      <w:proofErr w:type="spellEnd"/>
      <w:r w:rsidRPr="00A119E8">
        <w:t xml:space="preserve"> </w:t>
      </w:r>
      <w:proofErr w:type="spellStart"/>
      <w:r w:rsidRPr="00A119E8">
        <w:t>Ora</w:t>
      </w:r>
      <w:proofErr w:type="spellEnd"/>
      <w:r w:rsidRPr="00A119E8">
        <w:t xml:space="preserve"> (WCTO) programmes.</w:t>
      </w:r>
    </w:p>
    <w:p w:rsidR="0034306E" w:rsidRDefault="00BA14B3" w:rsidP="00E2120D">
      <w:pPr>
        <w:pStyle w:val="Bullet"/>
        <w:keepNext/>
      </w:pPr>
      <w:r w:rsidRPr="00A119E8">
        <w:t>The Ministry has published the fifth WCTO Quality Indicators report (Ministry of Health 2016). The report showed that eight of the total of 27 indicators are at least 98 percent achieved across all ethnic groups. Pacific children have achieved 10 out of the 25 indicators that had ethnic breakdown.</w:t>
      </w:r>
    </w:p>
    <w:p w:rsidR="0034306E" w:rsidRDefault="00BA14B3" w:rsidP="007A28AF">
      <w:pPr>
        <w:pStyle w:val="Bullet"/>
      </w:pPr>
      <w:r w:rsidRPr="00A119E8">
        <w:t xml:space="preserve">The New Zealand </w:t>
      </w:r>
      <w:r>
        <w:t>m</w:t>
      </w:r>
      <w:r w:rsidRPr="00A119E8">
        <w:t xml:space="preserve">aternity sector continues to improve maternity services. The </w:t>
      </w:r>
      <w:r w:rsidRPr="00D46C4F">
        <w:rPr>
          <w:i/>
        </w:rPr>
        <w:t xml:space="preserve">National Maternity Monitoring Group Annual Report </w:t>
      </w:r>
      <w:r w:rsidRPr="006B5804">
        <w:t>2015</w:t>
      </w:r>
      <w:r>
        <w:t>,</w:t>
      </w:r>
      <w:r w:rsidRPr="006B5804">
        <w:t xml:space="preserve"> </w:t>
      </w:r>
      <w:r w:rsidRPr="00A119E8">
        <w:t>released in December 2015 (Ministry of Health 2015</w:t>
      </w:r>
      <w:r>
        <w:t>d</w:t>
      </w:r>
      <w:r w:rsidRPr="00A119E8">
        <w:t>)</w:t>
      </w:r>
      <w:r>
        <w:t>,</w:t>
      </w:r>
      <w:r w:rsidRPr="00A119E8">
        <w:t xml:space="preserve"> showed one out of four Pacific women were registered with a lead maternity carer in their first trimester compared with seven out of ten European or Other women. Overall during the whole pregnancy term, two out of three Pacific pregnant women were registered with a </w:t>
      </w:r>
      <w:r w:rsidRPr="00971390">
        <w:t>lead maternity carer</w:t>
      </w:r>
      <w:r w:rsidRPr="00A119E8">
        <w:t xml:space="preserve"> compared with about nine out ten European or Other women.</w:t>
      </w:r>
    </w:p>
    <w:p w:rsidR="00BA14B3" w:rsidRPr="00A119E8" w:rsidRDefault="00BA14B3" w:rsidP="007A28AF">
      <w:pPr>
        <w:pStyle w:val="Bullet"/>
      </w:pPr>
      <w:r w:rsidRPr="00A119E8">
        <w:t>In October 2015 the Government announced the ‘Childhood Obesity Plan’, which is a package of initiatives to prevent and manage obesity in children and young people up to 18 years of age. The package has three focus areas, made up of 22 initiatives, which are either new or an expansion of existing initiatives. The three focus areas are:</w:t>
      </w:r>
    </w:p>
    <w:p w:rsidR="00BA14B3" w:rsidRPr="00A119E8" w:rsidRDefault="00BA14B3" w:rsidP="007A28AF">
      <w:pPr>
        <w:pStyle w:val="Dash"/>
      </w:pPr>
      <w:r w:rsidRPr="00A119E8">
        <w:t>targeted interventions for those who are obese</w:t>
      </w:r>
    </w:p>
    <w:p w:rsidR="00BA14B3" w:rsidRPr="00A119E8" w:rsidRDefault="00BA14B3" w:rsidP="007A28AF">
      <w:pPr>
        <w:pStyle w:val="Dash"/>
      </w:pPr>
      <w:r w:rsidRPr="00A119E8">
        <w:t>increased support for those at risk of becoming obese</w:t>
      </w:r>
    </w:p>
    <w:p w:rsidR="0034306E" w:rsidRDefault="00BA14B3" w:rsidP="007A28AF">
      <w:pPr>
        <w:pStyle w:val="Dash"/>
      </w:pPr>
      <w:proofErr w:type="gramStart"/>
      <w:r w:rsidRPr="00A119E8">
        <w:t>broad</w:t>
      </w:r>
      <w:proofErr w:type="gramEnd"/>
      <w:r w:rsidRPr="00A119E8">
        <w:t xml:space="preserve"> approaches to make healthier choices easier for all New Zealanders. The focus is on food, the environment and being active at each life stage, starting during pregnancy and early childhood. The package brings together initiatives across government agencies, the private sector, communities, schools, families and </w:t>
      </w:r>
      <w:proofErr w:type="spellStart"/>
      <w:r w:rsidRPr="00A119E8">
        <w:t>whānau</w:t>
      </w:r>
      <w:proofErr w:type="spellEnd"/>
      <w:r w:rsidRPr="00A119E8">
        <w:t>.</w:t>
      </w:r>
    </w:p>
    <w:p w:rsidR="00BA14B3" w:rsidRPr="00A119E8" w:rsidRDefault="00BA14B3" w:rsidP="007A28AF">
      <w:pPr>
        <w:pStyle w:val="Bullet"/>
      </w:pPr>
      <w:r w:rsidRPr="00A119E8">
        <w:t>A new health target will be implemented from 1 July 2016 where ‘by December 2017, 95</w:t>
      </w:r>
      <w:r w:rsidR="007A28AF">
        <w:t> </w:t>
      </w:r>
      <w:r w:rsidRPr="00A119E8">
        <w:t>percent of obese children identified in the Before School Check (B4SC) programme will be referred to a health professional for clinical assessment and family based nutrition, activity and lifestyle interventions’ (Ministry of Health 2016).</w:t>
      </w:r>
    </w:p>
    <w:p w:rsidR="0034306E" w:rsidRDefault="00BA14B3" w:rsidP="007A28AF">
      <w:pPr>
        <w:pStyle w:val="Bullet"/>
      </w:pPr>
      <w:r w:rsidRPr="00A119E8">
        <w:t>The Ministry continues its investment into the infrastructure, model of care and capacity of child and adolescent oral health services. Since 2008, the Government has provided $116 million of capital funding for new fixed clinics and mobile clinics, and an additional $32</w:t>
      </w:r>
      <w:r w:rsidR="007A28AF">
        <w:t> </w:t>
      </w:r>
      <w:r w:rsidRPr="00A119E8">
        <w:t>million per annum for operational funding for staff. The new Community Oral Health Service infrastructure is almost fully in place. The service operates from 170 fixed clinics (seven more will open by June 2016) and 169 mobile clinics, at 1263 sites around the country. The three Auckland DHBs offer shared oral health services through</w:t>
      </w:r>
      <w:r w:rsidRPr="00A119E8" w:rsidDel="008306FA">
        <w:t xml:space="preserve"> </w:t>
      </w:r>
      <w:r w:rsidRPr="00A119E8">
        <w:t>the Auckland Regional Dental Service, which provides free dental care for children in the Auckland region aged</w:t>
      </w:r>
      <w:r w:rsidR="007A28AF">
        <w:br/>
      </w:r>
      <w:r w:rsidRPr="00A119E8">
        <w:t>0–17 years (until their 18th birthday).</w:t>
      </w:r>
    </w:p>
    <w:p w:rsidR="00BA14B3" w:rsidRPr="00A119E8" w:rsidRDefault="00BA14B3" w:rsidP="007A28AF"/>
    <w:p w:rsidR="00BA14B3" w:rsidRPr="00A119E8" w:rsidRDefault="00BA14B3" w:rsidP="007A28AF">
      <w:pPr>
        <w:keepLines/>
      </w:pPr>
      <w:r w:rsidRPr="00A119E8">
        <w:rPr>
          <w:b/>
        </w:rPr>
        <w:lastRenderedPageBreak/>
        <w:t xml:space="preserve">Note: </w:t>
      </w:r>
      <w:r w:rsidRPr="00A119E8">
        <w:t>Priority outcome 1 indicators 2a–2g are from the WCTO Quality Improvement Framework. Data on these indicators is drawn from various sources. Targets for these indicators reflect national targets set by other monitoring frameworks and processes, including health targets, DHB non-financial performance monitoring and the Government’s Better Public Service</w:t>
      </w:r>
      <w:r>
        <w:t>s</w:t>
      </w:r>
      <w:r w:rsidRPr="00A119E8">
        <w:t xml:space="preserve"> targets. The targets are staged to reflect that improvements will be made over time. </w:t>
      </w:r>
      <w:r>
        <w:t>The i</w:t>
      </w:r>
      <w:r w:rsidRPr="00A119E8">
        <w:t>nterim/old targets to be achieved by December 2014 were set at 90 percent of the three-year target for the WCTO Quality Improvement Framework. The final/new targets were then set to be achieved by June 2016. To support equity, the target for each indicator is the same across all ethnic groups, deprivation quintiles and DHB regions. The WCTO Quality Improvement Framework is reported six-monthly in March and September of each year.</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t>Indicator 2a</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percentage of Pacific infants who are enrolled with a general practice by three months</w:t>
            </w:r>
            <w:r>
              <w:rPr>
                <w:b/>
                <w:color w:val="FFFFFF"/>
                <w:sz w:val="20"/>
                <w:lang w:eastAsia="en-NZ"/>
              </w:rPr>
              <w:t xml:space="preserve"> of age</w:t>
            </w:r>
          </w:p>
        </w:tc>
      </w:tr>
    </w:tbl>
    <w:p w:rsidR="00BA14B3" w:rsidRPr="00A119E8" w:rsidRDefault="00BA14B3" w:rsidP="007A28AF"/>
    <w:p w:rsidR="00BA14B3" w:rsidRPr="00A119E8" w:rsidRDefault="00BA14B3" w:rsidP="007A28AF">
      <w:r w:rsidRPr="007A28AF">
        <w:rPr>
          <w:b/>
        </w:rPr>
        <w:t>Performance:</w:t>
      </w:r>
      <w:r w:rsidR="007A28AF">
        <w:t xml:space="preserve"> </w:t>
      </w:r>
      <w:r>
        <w:t>The i</w:t>
      </w:r>
      <w:r w:rsidRPr="00A119E8">
        <w:t>nterim/</w:t>
      </w:r>
      <w:r>
        <w:t>o</w:t>
      </w:r>
      <w:r w:rsidRPr="00A119E8">
        <w:t xml:space="preserve">ld target of 88 percent was set to be achieved by December 2014. This was set at 90 percent of the </w:t>
      </w:r>
      <w:r>
        <w:t>f</w:t>
      </w:r>
      <w:r w:rsidRPr="00A119E8">
        <w:t>inal/</w:t>
      </w:r>
      <w:r>
        <w:t>n</w:t>
      </w:r>
      <w:r w:rsidRPr="00A119E8">
        <w:t xml:space="preserve">ew target of 98 percent, </w:t>
      </w:r>
      <w:r>
        <w:t>which was</w:t>
      </w:r>
      <w:r w:rsidRPr="00A119E8">
        <w:t xml:space="preserve"> set to be achieved by June 2016.</w:t>
      </w:r>
    </w:p>
    <w:p w:rsidR="00BA14B3" w:rsidRPr="00A119E8" w:rsidRDefault="00BA14B3" w:rsidP="007A28AF"/>
    <w:p w:rsidR="00BA14B3" w:rsidRDefault="00BA14B3" w:rsidP="007A28AF">
      <w:pPr>
        <w:pStyle w:val="Figure"/>
      </w:pPr>
      <w:bookmarkStart w:id="50" w:name="_Toc428368061"/>
      <w:bookmarkStart w:id="51" w:name="_Toc428370439"/>
      <w:bookmarkStart w:id="52" w:name="_Toc445801445"/>
      <w:bookmarkStart w:id="53" w:name="_Toc447527143"/>
      <w:r w:rsidRPr="00A119E8">
        <w:t xml:space="preserve">Figure </w:t>
      </w:r>
      <w:fldSimple w:instr=" SEQ Figure \* ARABIC ">
        <w:r w:rsidR="008D5FF2">
          <w:rPr>
            <w:noProof/>
          </w:rPr>
          <w:t>7</w:t>
        </w:r>
      </w:fldSimple>
      <w:r w:rsidRPr="00A119E8">
        <w:t xml:space="preserve">: Percentage of </w:t>
      </w:r>
      <w:proofErr w:type="spellStart"/>
      <w:r w:rsidRPr="00A119E8">
        <w:t>newborn</w:t>
      </w:r>
      <w:proofErr w:type="spellEnd"/>
      <w:r w:rsidRPr="00A119E8">
        <w:t xml:space="preserve"> infants enrolled with a general practice by three months</w:t>
      </w:r>
      <w:r>
        <w:t xml:space="preserve"> of age</w:t>
      </w:r>
      <w:r w:rsidRPr="00A119E8">
        <w:t xml:space="preserve">, Pacific </w:t>
      </w:r>
      <w:proofErr w:type="gramStart"/>
      <w:r w:rsidRPr="00A119E8">
        <w:t>peoples</w:t>
      </w:r>
      <w:proofErr w:type="gramEnd"/>
      <w:r w:rsidRPr="00A119E8">
        <w:t xml:space="preserve"> population and total New Zealand population, 2013–2015</w:t>
      </w:r>
      <w:bookmarkEnd w:id="50"/>
      <w:bookmarkEnd w:id="51"/>
      <w:bookmarkEnd w:id="52"/>
      <w:bookmarkEnd w:id="53"/>
    </w:p>
    <w:p w:rsidR="00B54E5A" w:rsidRPr="00B54E5A" w:rsidRDefault="00B54E5A" w:rsidP="004464BA">
      <w:pPr>
        <w:spacing w:after="120"/>
      </w:pPr>
      <w:r>
        <w:rPr>
          <w:noProof/>
          <w:lang w:eastAsia="en-NZ"/>
        </w:rPr>
        <w:drawing>
          <wp:inline distT="0" distB="0" distL="0" distR="0" wp14:anchorId="330AD6FC" wp14:editId="41E66221">
            <wp:extent cx="4509287" cy="2751513"/>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406" cy="2754636"/>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D24919" w:rsidRPr="00D24919" w:rsidTr="00D24919">
        <w:trPr>
          <w:cantSplit/>
        </w:trPr>
        <w:tc>
          <w:tcPr>
            <w:tcW w:w="1418" w:type="dxa"/>
            <w:tcBorders>
              <w:top w:val="single" w:sz="4" w:space="0" w:color="auto"/>
              <w:bottom w:val="single" w:sz="4" w:space="0" w:color="auto"/>
            </w:tcBorders>
          </w:tcPr>
          <w:p w:rsidR="00D24919" w:rsidRPr="00D24919" w:rsidRDefault="00D24919" w:rsidP="00FF646B">
            <w:pPr>
              <w:pStyle w:val="TableText"/>
              <w:rPr>
                <w:b/>
                <w:sz w:val="14"/>
                <w:szCs w:val="14"/>
              </w:rPr>
            </w:pPr>
          </w:p>
        </w:tc>
        <w:tc>
          <w:tcPr>
            <w:tcW w:w="1134" w:type="dxa"/>
            <w:tcBorders>
              <w:top w:val="single" w:sz="4" w:space="0" w:color="auto"/>
              <w:bottom w:val="single" w:sz="4" w:space="0" w:color="auto"/>
            </w:tcBorders>
          </w:tcPr>
          <w:p w:rsidR="00D24919" w:rsidRPr="00D24919" w:rsidRDefault="00D24919" w:rsidP="00D24919">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D24919" w:rsidRPr="00D24919" w:rsidRDefault="00D24919" w:rsidP="00D24919">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D24919" w:rsidRPr="00D24919" w:rsidRDefault="00D24919" w:rsidP="00D24919">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D24919" w:rsidRPr="00D24919" w:rsidRDefault="00D24919" w:rsidP="00D24919">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D24919" w:rsidRPr="00D24919" w:rsidRDefault="00D24919" w:rsidP="00D24919">
            <w:pPr>
              <w:pStyle w:val="TableText"/>
              <w:jc w:val="center"/>
              <w:rPr>
                <w:b/>
                <w:sz w:val="14"/>
                <w:szCs w:val="14"/>
              </w:rPr>
            </w:pPr>
            <w:r w:rsidRPr="00D24919">
              <w:rPr>
                <w:b/>
                <w:sz w:val="14"/>
                <w:szCs w:val="14"/>
              </w:rPr>
              <w:t>Sep-15</w:t>
            </w:r>
          </w:p>
        </w:tc>
      </w:tr>
      <w:tr w:rsidR="00D24919" w:rsidRPr="00CF2A7A" w:rsidTr="00D24919">
        <w:trPr>
          <w:cantSplit/>
        </w:trPr>
        <w:tc>
          <w:tcPr>
            <w:tcW w:w="1418" w:type="dxa"/>
            <w:tcBorders>
              <w:top w:val="single" w:sz="4" w:space="0" w:color="auto"/>
              <w:bottom w:val="single" w:sz="4" w:space="0" w:color="A6A6A6" w:themeColor="background1" w:themeShade="A6"/>
            </w:tcBorders>
          </w:tcPr>
          <w:p w:rsidR="00D24919" w:rsidRPr="00D24919" w:rsidRDefault="00D24919" w:rsidP="00FF646B">
            <w:pPr>
              <w:pStyle w:val="TableText"/>
              <w:rPr>
                <w:sz w:val="14"/>
                <w:szCs w:val="14"/>
              </w:rPr>
            </w:pPr>
            <w:r w:rsidRPr="00D24919">
              <w:rPr>
                <w:sz w:val="14"/>
                <w:szCs w:val="14"/>
              </w:rPr>
              <w:t>Pacific</w:t>
            </w:r>
          </w:p>
        </w:tc>
        <w:tc>
          <w:tcPr>
            <w:tcW w:w="1134" w:type="dxa"/>
            <w:tcBorders>
              <w:top w:val="single" w:sz="4" w:space="0" w:color="auto"/>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70.0%</w:t>
            </w:r>
          </w:p>
        </w:tc>
        <w:tc>
          <w:tcPr>
            <w:tcW w:w="1134" w:type="dxa"/>
            <w:tcBorders>
              <w:top w:val="single" w:sz="4" w:space="0" w:color="auto"/>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62.0%</w:t>
            </w:r>
          </w:p>
        </w:tc>
        <w:tc>
          <w:tcPr>
            <w:tcW w:w="1134" w:type="dxa"/>
            <w:tcBorders>
              <w:top w:val="single" w:sz="4" w:space="0" w:color="auto"/>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73.0%</w:t>
            </w:r>
          </w:p>
        </w:tc>
        <w:tc>
          <w:tcPr>
            <w:tcW w:w="1134" w:type="dxa"/>
            <w:tcBorders>
              <w:top w:val="single" w:sz="4" w:space="0" w:color="auto"/>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60.0%</w:t>
            </w:r>
          </w:p>
        </w:tc>
        <w:tc>
          <w:tcPr>
            <w:tcW w:w="1134" w:type="dxa"/>
            <w:tcBorders>
              <w:top w:val="single" w:sz="4" w:space="0" w:color="auto"/>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73.0%</w:t>
            </w:r>
          </w:p>
        </w:tc>
      </w:tr>
      <w:tr w:rsidR="00D24919" w:rsidRPr="00CF2A7A" w:rsidTr="00D24919">
        <w:trPr>
          <w:cantSplit/>
        </w:trPr>
        <w:tc>
          <w:tcPr>
            <w:tcW w:w="1418" w:type="dxa"/>
            <w:tcBorders>
              <w:top w:val="single" w:sz="4" w:space="0" w:color="A6A6A6" w:themeColor="background1" w:themeShade="A6"/>
              <w:bottom w:val="single" w:sz="4" w:space="0" w:color="A6A6A6" w:themeColor="background1" w:themeShade="A6"/>
            </w:tcBorders>
          </w:tcPr>
          <w:p w:rsidR="00D24919" w:rsidRPr="00D24919" w:rsidRDefault="00D24919" w:rsidP="00FF646B">
            <w:pPr>
              <w:pStyle w:val="TableText"/>
              <w:rPr>
                <w:sz w:val="14"/>
                <w:szCs w:val="14"/>
              </w:rPr>
            </w:pPr>
            <w:r w:rsidRPr="00D24919">
              <w:rPr>
                <w:sz w:val="14"/>
                <w:szCs w:val="14"/>
              </w:rPr>
              <w:t>Total New Zealand</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66.0%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63.0%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71.0%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65.0%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74.0%</w:t>
            </w:r>
          </w:p>
        </w:tc>
      </w:tr>
      <w:tr w:rsidR="00D24919" w:rsidRPr="00CF2A7A" w:rsidTr="00D24919">
        <w:trPr>
          <w:cantSplit/>
        </w:trPr>
        <w:tc>
          <w:tcPr>
            <w:tcW w:w="1418" w:type="dxa"/>
            <w:tcBorders>
              <w:top w:val="single" w:sz="4" w:space="0" w:color="A6A6A6" w:themeColor="background1" w:themeShade="A6"/>
              <w:bottom w:val="single" w:sz="4" w:space="0" w:color="A6A6A6" w:themeColor="background1" w:themeShade="A6"/>
            </w:tcBorders>
          </w:tcPr>
          <w:p w:rsidR="00D24919" w:rsidRPr="00D24919" w:rsidRDefault="00D24919" w:rsidP="00FF646B">
            <w:pPr>
              <w:pStyle w:val="TableText"/>
              <w:rPr>
                <w:sz w:val="14"/>
                <w:szCs w:val="14"/>
              </w:rPr>
            </w:pPr>
            <w:r w:rsidRPr="00D24919">
              <w:rPr>
                <w:sz w:val="14"/>
                <w:szCs w:val="14"/>
              </w:rPr>
              <w:t>Old target</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r w:rsidRPr="00D24919">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p>
        </w:tc>
        <w:tc>
          <w:tcPr>
            <w:tcW w:w="1134" w:type="dxa"/>
            <w:tcBorders>
              <w:top w:val="single" w:sz="4" w:space="0" w:color="A6A6A6" w:themeColor="background1" w:themeShade="A6"/>
              <w:bottom w:val="single" w:sz="4" w:space="0" w:color="A6A6A6" w:themeColor="background1" w:themeShade="A6"/>
            </w:tcBorders>
          </w:tcPr>
          <w:p w:rsidR="00D24919" w:rsidRPr="00D24919" w:rsidRDefault="00D24919" w:rsidP="00D24919">
            <w:pPr>
              <w:pStyle w:val="TableText"/>
              <w:jc w:val="center"/>
              <w:rPr>
                <w:sz w:val="14"/>
                <w:szCs w:val="14"/>
              </w:rPr>
            </w:pPr>
          </w:p>
        </w:tc>
      </w:tr>
      <w:tr w:rsidR="00D24919" w:rsidRPr="00CF2A7A" w:rsidTr="00D24919">
        <w:trPr>
          <w:cantSplit/>
        </w:trPr>
        <w:tc>
          <w:tcPr>
            <w:tcW w:w="1418" w:type="dxa"/>
            <w:tcBorders>
              <w:top w:val="single" w:sz="4" w:space="0" w:color="A6A6A6" w:themeColor="background1" w:themeShade="A6"/>
              <w:bottom w:val="single" w:sz="4" w:space="0" w:color="auto"/>
            </w:tcBorders>
          </w:tcPr>
          <w:p w:rsidR="00D24919" w:rsidRPr="00D24919" w:rsidRDefault="00D24919" w:rsidP="00FF646B">
            <w:pPr>
              <w:pStyle w:val="TableText"/>
              <w:rPr>
                <w:sz w:val="14"/>
                <w:szCs w:val="14"/>
              </w:rPr>
            </w:pPr>
            <w:r w:rsidRPr="00D24919">
              <w:rPr>
                <w:sz w:val="14"/>
                <w:szCs w:val="14"/>
              </w:rPr>
              <w:t>New target</w:t>
            </w:r>
          </w:p>
        </w:tc>
        <w:tc>
          <w:tcPr>
            <w:tcW w:w="1134" w:type="dxa"/>
            <w:tcBorders>
              <w:top w:val="single" w:sz="4" w:space="0" w:color="A6A6A6" w:themeColor="background1" w:themeShade="A6"/>
              <w:bottom w:val="single" w:sz="4" w:space="0" w:color="auto"/>
            </w:tcBorders>
          </w:tcPr>
          <w:p w:rsidR="00D24919" w:rsidRPr="00D24919" w:rsidRDefault="00D24919" w:rsidP="00D24919">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D24919" w:rsidRPr="00D24919" w:rsidRDefault="00D24919" w:rsidP="00D24919">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D24919" w:rsidRPr="00D24919" w:rsidRDefault="00D24919" w:rsidP="00D24919">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D24919" w:rsidRPr="00D24919" w:rsidRDefault="00D24919" w:rsidP="00D24919">
            <w:pPr>
              <w:pStyle w:val="TableText"/>
              <w:jc w:val="center"/>
              <w:rPr>
                <w:sz w:val="14"/>
                <w:szCs w:val="14"/>
              </w:rPr>
            </w:pPr>
            <w:r w:rsidRPr="00D24919">
              <w:rPr>
                <w:sz w:val="14"/>
                <w:szCs w:val="14"/>
              </w:rPr>
              <w:t>98.0%</w:t>
            </w:r>
          </w:p>
        </w:tc>
        <w:tc>
          <w:tcPr>
            <w:tcW w:w="1134" w:type="dxa"/>
            <w:tcBorders>
              <w:top w:val="single" w:sz="4" w:space="0" w:color="A6A6A6" w:themeColor="background1" w:themeShade="A6"/>
              <w:bottom w:val="single" w:sz="4" w:space="0" w:color="auto"/>
            </w:tcBorders>
          </w:tcPr>
          <w:p w:rsidR="00D24919" w:rsidRPr="00D24919" w:rsidRDefault="00D24919" w:rsidP="00D24919">
            <w:pPr>
              <w:pStyle w:val="TableText"/>
              <w:jc w:val="center"/>
              <w:rPr>
                <w:sz w:val="14"/>
                <w:szCs w:val="14"/>
              </w:rPr>
            </w:pPr>
            <w:r w:rsidRPr="00D24919">
              <w:rPr>
                <w:sz w:val="14"/>
                <w:szCs w:val="14"/>
              </w:rPr>
              <w:t>98.0%</w:t>
            </w:r>
          </w:p>
        </w:tc>
      </w:tr>
    </w:tbl>
    <w:p w:rsidR="00E2120D" w:rsidRDefault="00E2120D" w:rsidP="00E2120D"/>
    <w:p w:rsidR="0034306E" w:rsidRPr="007A28AF" w:rsidRDefault="00BA14B3" w:rsidP="007A28AF">
      <w:pPr>
        <w:rPr>
          <w:b/>
        </w:rPr>
      </w:pPr>
      <w:r w:rsidRPr="007A28AF">
        <w:rPr>
          <w:b/>
        </w:rPr>
        <w:t>Notes for Figures 7 and 8:</w:t>
      </w:r>
    </w:p>
    <w:p w:rsidR="00BA14B3" w:rsidRPr="00A119E8" w:rsidRDefault="00BA14B3" w:rsidP="007A28AF">
      <w:pPr>
        <w:pStyle w:val="Bullet"/>
      </w:pPr>
      <w:r w:rsidRPr="00A119E8">
        <w:t>Time period: births between 20 February 2015 and 19 May 2015.</w:t>
      </w:r>
    </w:p>
    <w:p w:rsidR="00BA14B3" w:rsidRPr="00A119E8" w:rsidRDefault="00BA14B3" w:rsidP="007A28AF">
      <w:pPr>
        <w:pStyle w:val="Bullet"/>
      </w:pPr>
      <w:r w:rsidRPr="00A119E8">
        <w:t xml:space="preserve">Numerator: enrolments of infants under three months </w:t>
      </w:r>
      <w:r>
        <w:t xml:space="preserve">of age </w:t>
      </w:r>
      <w:r w:rsidRPr="00A119E8">
        <w:t>with a general practice.</w:t>
      </w:r>
    </w:p>
    <w:p w:rsidR="00BA14B3" w:rsidRPr="00A119E8" w:rsidRDefault="00BA14B3" w:rsidP="007A28AF">
      <w:pPr>
        <w:pStyle w:val="Bullet"/>
      </w:pPr>
      <w:r w:rsidRPr="00A119E8">
        <w:t>Denominator: births reported to the National Immunisation Register.</w:t>
      </w:r>
    </w:p>
    <w:p w:rsidR="00BA14B3" w:rsidRPr="00A119E8" w:rsidRDefault="00BA14B3" w:rsidP="007A28AF">
      <w:pPr>
        <w:pStyle w:val="Bullet"/>
      </w:pPr>
      <w:r w:rsidRPr="00A119E8">
        <w:t>Rates greater than 100</w:t>
      </w:r>
      <w:r w:rsidR="00961DB7">
        <w:t xml:space="preserve"> percent</w:t>
      </w:r>
      <w:r w:rsidRPr="00A119E8">
        <w:t xml:space="preserve"> for ethnic subgroups is likely due to variation in ethnicity reporting in different systems.</w:t>
      </w:r>
    </w:p>
    <w:p w:rsidR="00BA14B3" w:rsidRPr="00A119E8" w:rsidRDefault="00BA14B3" w:rsidP="007A28AF">
      <w:pPr>
        <w:rPr>
          <w:highlight w:val="yellow"/>
        </w:rPr>
      </w:pPr>
    </w:p>
    <w:p w:rsidR="00BA14B3" w:rsidRPr="00A119E8" w:rsidRDefault="00BA14B3" w:rsidP="007A28AF">
      <w:r w:rsidRPr="00A119E8">
        <w:lastRenderedPageBreak/>
        <w:t xml:space="preserve">Figure 7 </w:t>
      </w:r>
      <w:r w:rsidRPr="00FD2996">
        <w:t xml:space="preserve">shows that the enrolment rate of infants under three months of age with a general practice </w:t>
      </w:r>
      <w:r>
        <w:t xml:space="preserve">for the Pacific population </w:t>
      </w:r>
      <w:r w:rsidRPr="00FD2996">
        <w:t xml:space="preserve">is very similar to the rate </w:t>
      </w:r>
      <w:r>
        <w:t xml:space="preserve">for the total </w:t>
      </w:r>
      <w:r w:rsidRPr="00FD2996">
        <w:t xml:space="preserve">New Zealand </w:t>
      </w:r>
      <w:r>
        <w:t xml:space="preserve">population </w:t>
      </w:r>
      <w:r w:rsidRPr="00FD2996">
        <w:t>in the same period.</w:t>
      </w:r>
    </w:p>
    <w:p w:rsidR="00BA14B3" w:rsidRPr="00A119E8" w:rsidRDefault="00BA14B3" w:rsidP="007A28AF"/>
    <w:p w:rsidR="00BA14B3" w:rsidRPr="00A119E8" w:rsidRDefault="00BA14B3" w:rsidP="007A28AF">
      <w:r w:rsidRPr="00A119E8">
        <w:t>Both Figures 7</w:t>
      </w:r>
      <w:r w:rsidRPr="00A119E8">
        <w:rPr>
          <w:b/>
        </w:rPr>
        <w:t xml:space="preserve"> </w:t>
      </w:r>
      <w:r w:rsidRPr="00A119E8">
        <w:t>and 8</w:t>
      </w:r>
      <w:r w:rsidRPr="00A119E8">
        <w:rPr>
          <w:b/>
        </w:rPr>
        <w:t xml:space="preserve"> </w:t>
      </w:r>
      <w:r w:rsidRPr="00A119E8">
        <w:t xml:space="preserve">show a pattern of decrease in the September quarters and increase in the March quarters. This pattern is a seasonal effect, due to reporting for </w:t>
      </w:r>
      <w:proofErr w:type="spellStart"/>
      <w:r w:rsidRPr="00A119E8">
        <w:t>newborn</w:t>
      </w:r>
      <w:proofErr w:type="spellEnd"/>
      <w:r w:rsidRPr="00A119E8">
        <w:t xml:space="preserve"> enrolments being recorded prior to the Christmas and New Year’s period, during which providers have two fewer weeks to process enrolments. The Ministry is focused on improving the timeliness of enrolments and is working with GPs to identify ways to do this. Currently</w:t>
      </w:r>
      <w:r>
        <w:t>,</w:t>
      </w:r>
      <w:r w:rsidRPr="00A119E8">
        <w:t xml:space="preserve"> </w:t>
      </w:r>
      <w:proofErr w:type="spellStart"/>
      <w:r w:rsidRPr="00A119E8">
        <w:t>newborn</w:t>
      </w:r>
      <w:proofErr w:type="spellEnd"/>
      <w:r w:rsidRPr="00A119E8">
        <w:t xml:space="preserve"> enrolment champions help GPs in primary health organisations (PHOs)</w:t>
      </w:r>
      <w:r w:rsidRPr="00A119E8" w:rsidDel="00AA2B0B">
        <w:t xml:space="preserve"> </w:t>
      </w:r>
      <w:r w:rsidRPr="00A119E8">
        <w:t>work together to share ideas for improving enrolment.</w:t>
      </w:r>
    </w:p>
    <w:p w:rsidR="00BA14B3" w:rsidRPr="00A119E8" w:rsidRDefault="00BA14B3" w:rsidP="007A28AF"/>
    <w:p w:rsidR="00BA14B3" w:rsidRDefault="00BA14B3" w:rsidP="007A28AF">
      <w:pPr>
        <w:pStyle w:val="Figure"/>
      </w:pPr>
      <w:bookmarkStart w:id="54" w:name="_Toc428368062"/>
      <w:bookmarkStart w:id="55" w:name="_Toc428370440"/>
      <w:bookmarkStart w:id="56" w:name="_Toc428878518"/>
      <w:bookmarkStart w:id="57" w:name="_Toc445801446"/>
      <w:bookmarkStart w:id="58" w:name="_Toc447527144"/>
      <w:r w:rsidRPr="00A119E8">
        <w:t xml:space="preserve">Figure </w:t>
      </w:r>
      <w:fldSimple w:instr=" SEQ Figure \* ARABIC ">
        <w:r w:rsidR="008D5FF2">
          <w:rPr>
            <w:noProof/>
          </w:rPr>
          <w:t>8</w:t>
        </w:r>
      </w:fldSimple>
      <w:r w:rsidRPr="00A119E8">
        <w:t xml:space="preserve">: Percentage of </w:t>
      </w:r>
      <w:proofErr w:type="spellStart"/>
      <w:r w:rsidRPr="00A119E8">
        <w:t>newborn</w:t>
      </w:r>
      <w:proofErr w:type="spellEnd"/>
      <w:r w:rsidRPr="00A119E8">
        <w:t xml:space="preserve"> infants enrolled with a general practice by three months of age, Pacific peoples, by priority DHBs, 2013–2015</w:t>
      </w:r>
      <w:bookmarkEnd w:id="54"/>
      <w:bookmarkEnd w:id="55"/>
      <w:bookmarkEnd w:id="56"/>
      <w:bookmarkEnd w:id="57"/>
      <w:bookmarkEnd w:id="58"/>
    </w:p>
    <w:p w:rsidR="006E2968" w:rsidRDefault="00BE6CA5" w:rsidP="00BE6CA5">
      <w:pPr>
        <w:spacing w:after="120"/>
        <w:rPr>
          <w:noProof/>
          <w:lang w:eastAsia="en-NZ"/>
        </w:rPr>
      </w:pPr>
      <w:r>
        <w:rPr>
          <w:noProof/>
          <w:lang w:eastAsia="en-NZ"/>
        </w:rPr>
        <w:drawing>
          <wp:inline distT="0" distB="0" distL="0" distR="0" wp14:anchorId="3E4F6AFF" wp14:editId="07C89EC5">
            <wp:extent cx="4488873" cy="2742151"/>
            <wp:effectExtent l="0" t="0" r="0" b="1270"/>
            <wp:docPr id="106" name="Picture 106" title="Figure 8: Percentage of newborn infants enrolled with a general practice by three months of ag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0291" cy="2743017"/>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4464BA" w:rsidRPr="00D24919" w:rsidTr="00FF646B">
        <w:trPr>
          <w:cantSplit/>
        </w:trPr>
        <w:tc>
          <w:tcPr>
            <w:tcW w:w="1418" w:type="dxa"/>
            <w:tcBorders>
              <w:top w:val="single" w:sz="4" w:space="0" w:color="auto"/>
              <w:bottom w:val="single" w:sz="4" w:space="0" w:color="auto"/>
            </w:tcBorders>
          </w:tcPr>
          <w:p w:rsidR="004464BA" w:rsidRPr="00D24919" w:rsidRDefault="004464BA" w:rsidP="00FF646B">
            <w:pPr>
              <w:pStyle w:val="TableText"/>
              <w:rPr>
                <w:b/>
                <w:sz w:val="14"/>
                <w:szCs w:val="14"/>
              </w:rPr>
            </w:pP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Sep-15</w:t>
            </w:r>
          </w:p>
        </w:tc>
      </w:tr>
      <w:tr w:rsidR="004464BA" w:rsidRPr="00D24919" w:rsidTr="00FF646B">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Auckland</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68.0%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61.0%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71.5%</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54.0%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70.1%</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Canterbury</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63.0%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60.0%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75.4%</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60.0%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75.0%</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Capital &amp; Coast</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67.0%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70.0%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69.8%</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72.0%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80.3%</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 xml:space="preserve">Counties </w:t>
            </w:r>
            <w:proofErr w:type="spellStart"/>
            <w:r w:rsidRPr="004464BA">
              <w:rPr>
                <w:sz w:val="14"/>
                <w:szCs w:val="14"/>
              </w:rPr>
              <w:t>Manukau</w:t>
            </w:r>
            <w:proofErr w:type="spellEnd"/>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74.0%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79.1%</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61.0%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77.5%</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Hawke's Bay</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75.0%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47.0%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58.3%</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82.0%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110.0%</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Hutt Valley</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74.0%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60.0%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83.3%</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85.0%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94.3%</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r w:rsidRPr="004464BA">
              <w:rPr>
                <w:sz w:val="14"/>
                <w:szCs w:val="14"/>
              </w:rPr>
              <w:t>Waikato</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68.0%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45.0%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64.4%</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55.0%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52.5%</w:t>
            </w:r>
          </w:p>
        </w:tc>
      </w:tr>
      <w:tr w:rsidR="004464BA"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rPr>
                <w:sz w:val="14"/>
                <w:szCs w:val="14"/>
              </w:rPr>
            </w:pPr>
            <w:proofErr w:type="spellStart"/>
            <w:r w:rsidRPr="004464BA">
              <w:rPr>
                <w:sz w:val="14"/>
                <w:szCs w:val="14"/>
              </w:rPr>
              <w:t>Waitemata</w:t>
            </w:r>
            <w:proofErr w:type="spellEnd"/>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69.0%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59.0%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70.5%</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55.0%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4464BA">
            <w:pPr>
              <w:pStyle w:val="TableText"/>
              <w:tabs>
                <w:tab w:val="decimal" w:pos="510"/>
              </w:tabs>
              <w:rPr>
                <w:sz w:val="14"/>
                <w:szCs w:val="14"/>
              </w:rPr>
            </w:pPr>
            <w:r w:rsidRPr="004464BA">
              <w:rPr>
                <w:sz w:val="14"/>
                <w:szCs w:val="14"/>
              </w:rPr>
              <w:t>58.2%</w:t>
            </w:r>
          </w:p>
        </w:tc>
      </w:tr>
      <w:tr w:rsidR="00FA10DF" w:rsidRPr="00D24919" w:rsidTr="004464BA">
        <w:trPr>
          <w:cantSplit/>
        </w:trPr>
        <w:tc>
          <w:tcPr>
            <w:tcW w:w="1418"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rPr>
                <w:sz w:val="14"/>
                <w:szCs w:val="14"/>
              </w:rPr>
            </w:pPr>
            <w:r w:rsidRPr="004464BA">
              <w:rPr>
                <w:sz w:val="14"/>
                <w:szCs w:val="14"/>
              </w:rPr>
              <w:t xml:space="preserve">Old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tabs>
                <w:tab w:val="decimal" w:pos="510"/>
              </w:tabs>
              <w:rPr>
                <w:sz w:val="14"/>
                <w:szCs w:val="14"/>
              </w:rPr>
            </w:pPr>
            <w:r w:rsidRPr="004464BA">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tabs>
                <w:tab w:val="decimal" w:pos="510"/>
              </w:tabs>
              <w:rPr>
                <w:sz w:val="14"/>
                <w:szCs w:val="14"/>
              </w:rPr>
            </w:pPr>
            <w:r w:rsidRPr="004464BA">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tabs>
                <w:tab w:val="decimal" w:pos="510"/>
              </w:tabs>
              <w:rPr>
                <w:sz w:val="14"/>
                <w:szCs w:val="14"/>
              </w:rPr>
            </w:pPr>
            <w:r w:rsidRPr="004464BA">
              <w:rPr>
                <w:sz w:val="14"/>
                <w:szCs w:val="14"/>
              </w:rPr>
              <w:t>88.0%</w:t>
            </w:r>
          </w:p>
        </w:tc>
        <w:tc>
          <w:tcPr>
            <w:tcW w:w="1134" w:type="dxa"/>
            <w:tcBorders>
              <w:top w:val="single" w:sz="4" w:space="0" w:color="A6A6A6" w:themeColor="background1" w:themeShade="A6"/>
              <w:bottom w:val="single" w:sz="4" w:space="0" w:color="A6A6A6" w:themeColor="background1" w:themeShade="A6"/>
            </w:tcBorders>
          </w:tcPr>
          <w:p w:rsidR="00FA10DF" w:rsidRPr="004464BA" w:rsidRDefault="00FA10DF" w:rsidP="00FF646B">
            <w:pPr>
              <w:pStyle w:val="TableText"/>
              <w:tabs>
                <w:tab w:val="decimal" w:pos="510"/>
              </w:tabs>
              <w:rPr>
                <w:sz w:val="14"/>
                <w:szCs w:val="14"/>
              </w:rPr>
            </w:pPr>
          </w:p>
        </w:tc>
        <w:tc>
          <w:tcPr>
            <w:tcW w:w="1134" w:type="dxa"/>
            <w:tcBorders>
              <w:top w:val="single" w:sz="4" w:space="0" w:color="A6A6A6" w:themeColor="background1" w:themeShade="A6"/>
              <w:bottom w:val="single" w:sz="4" w:space="0" w:color="A6A6A6" w:themeColor="background1" w:themeShade="A6"/>
            </w:tcBorders>
          </w:tcPr>
          <w:p w:rsidR="00FA10DF" w:rsidRPr="004464BA" w:rsidRDefault="00FA10DF" w:rsidP="00FF646B">
            <w:pPr>
              <w:pStyle w:val="TableText"/>
              <w:tabs>
                <w:tab w:val="decimal" w:pos="510"/>
              </w:tabs>
              <w:rPr>
                <w:sz w:val="14"/>
                <w:szCs w:val="14"/>
              </w:rPr>
            </w:pPr>
          </w:p>
        </w:tc>
      </w:tr>
      <w:tr w:rsidR="00FA10DF" w:rsidRPr="00D24919" w:rsidTr="004464BA">
        <w:trPr>
          <w:cantSplit/>
        </w:trPr>
        <w:tc>
          <w:tcPr>
            <w:tcW w:w="1418" w:type="dxa"/>
            <w:tcBorders>
              <w:top w:val="single" w:sz="4" w:space="0" w:color="A6A6A6" w:themeColor="background1" w:themeShade="A6"/>
              <w:bottom w:val="single" w:sz="4" w:space="0" w:color="auto"/>
            </w:tcBorders>
          </w:tcPr>
          <w:p w:rsidR="00FA10DF" w:rsidRPr="004464BA" w:rsidRDefault="00FA10DF" w:rsidP="00FA10DF">
            <w:pPr>
              <w:pStyle w:val="TableText"/>
              <w:rPr>
                <w:sz w:val="14"/>
                <w:szCs w:val="14"/>
              </w:rPr>
            </w:pPr>
            <w:r w:rsidRPr="004464BA">
              <w:rPr>
                <w:sz w:val="14"/>
                <w:szCs w:val="14"/>
              </w:rPr>
              <w:t xml:space="preserve">New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uto"/>
            </w:tcBorders>
          </w:tcPr>
          <w:p w:rsidR="00FA10DF" w:rsidRPr="004464BA" w:rsidRDefault="00FA10DF" w:rsidP="00FA10DF">
            <w:pPr>
              <w:pStyle w:val="TableText"/>
              <w:tabs>
                <w:tab w:val="decimal" w:pos="510"/>
              </w:tabs>
              <w:rPr>
                <w:sz w:val="14"/>
                <w:szCs w:val="14"/>
              </w:rPr>
            </w:pPr>
          </w:p>
        </w:tc>
        <w:tc>
          <w:tcPr>
            <w:tcW w:w="1134" w:type="dxa"/>
            <w:tcBorders>
              <w:top w:val="single" w:sz="4" w:space="0" w:color="A6A6A6" w:themeColor="background1" w:themeShade="A6"/>
              <w:bottom w:val="single" w:sz="4" w:space="0" w:color="auto"/>
            </w:tcBorders>
          </w:tcPr>
          <w:p w:rsidR="00FA10DF" w:rsidRPr="004464BA" w:rsidRDefault="00FA10DF" w:rsidP="00FA10DF">
            <w:pPr>
              <w:pStyle w:val="TableText"/>
              <w:tabs>
                <w:tab w:val="decimal" w:pos="510"/>
              </w:tabs>
              <w:rPr>
                <w:sz w:val="14"/>
                <w:szCs w:val="14"/>
              </w:rPr>
            </w:pPr>
          </w:p>
        </w:tc>
        <w:tc>
          <w:tcPr>
            <w:tcW w:w="1134" w:type="dxa"/>
            <w:tcBorders>
              <w:top w:val="single" w:sz="4" w:space="0" w:color="A6A6A6" w:themeColor="background1" w:themeShade="A6"/>
              <w:bottom w:val="single" w:sz="4" w:space="0" w:color="auto"/>
            </w:tcBorders>
          </w:tcPr>
          <w:p w:rsidR="00FA10DF" w:rsidRPr="004464BA" w:rsidRDefault="00FA10DF" w:rsidP="00FA10DF">
            <w:pPr>
              <w:pStyle w:val="TableText"/>
              <w:tabs>
                <w:tab w:val="decimal" w:pos="510"/>
              </w:tabs>
              <w:rPr>
                <w:sz w:val="14"/>
                <w:szCs w:val="14"/>
              </w:rPr>
            </w:pPr>
          </w:p>
        </w:tc>
        <w:tc>
          <w:tcPr>
            <w:tcW w:w="1134" w:type="dxa"/>
            <w:tcBorders>
              <w:top w:val="single" w:sz="4" w:space="0" w:color="A6A6A6" w:themeColor="background1" w:themeShade="A6"/>
              <w:bottom w:val="single" w:sz="4" w:space="0" w:color="auto"/>
            </w:tcBorders>
          </w:tcPr>
          <w:p w:rsidR="00FA10DF" w:rsidRPr="004464BA" w:rsidRDefault="00FA10DF" w:rsidP="00FA10DF">
            <w:pPr>
              <w:pStyle w:val="TableText"/>
              <w:tabs>
                <w:tab w:val="decimal" w:pos="510"/>
              </w:tabs>
              <w:rPr>
                <w:sz w:val="14"/>
                <w:szCs w:val="14"/>
              </w:rPr>
            </w:pPr>
            <w:r w:rsidRPr="004464BA">
              <w:rPr>
                <w:sz w:val="14"/>
                <w:szCs w:val="14"/>
              </w:rPr>
              <w:t>98.0%</w:t>
            </w:r>
          </w:p>
        </w:tc>
        <w:tc>
          <w:tcPr>
            <w:tcW w:w="1134" w:type="dxa"/>
            <w:tcBorders>
              <w:top w:val="single" w:sz="4" w:space="0" w:color="A6A6A6" w:themeColor="background1" w:themeShade="A6"/>
              <w:bottom w:val="single" w:sz="4" w:space="0" w:color="auto"/>
            </w:tcBorders>
          </w:tcPr>
          <w:p w:rsidR="00FA10DF" w:rsidRPr="004464BA" w:rsidRDefault="00FA10DF" w:rsidP="00FA10DF">
            <w:pPr>
              <w:pStyle w:val="TableText"/>
              <w:tabs>
                <w:tab w:val="decimal" w:pos="510"/>
              </w:tabs>
              <w:rPr>
                <w:sz w:val="14"/>
                <w:szCs w:val="14"/>
              </w:rPr>
            </w:pPr>
            <w:r w:rsidRPr="004464BA">
              <w:rPr>
                <w:sz w:val="14"/>
                <w:szCs w:val="14"/>
              </w:rPr>
              <w:t>98.0%</w:t>
            </w:r>
          </w:p>
        </w:tc>
      </w:tr>
    </w:tbl>
    <w:p w:rsidR="00B54E5A" w:rsidRDefault="00B54E5A" w:rsidP="00B54E5A"/>
    <w:p w:rsidR="00BA14B3" w:rsidRPr="00A119E8" w:rsidRDefault="00BA14B3" w:rsidP="007A28AF">
      <w:pPr>
        <w:keepLines/>
      </w:pPr>
      <w:r w:rsidRPr="00A119E8">
        <w:lastRenderedPageBreak/>
        <w:t xml:space="preserve">Figure 8 shows </w:t>
      </w:r>
      <w:r>
        <w:t xml:space="preserve">that </w:t>
      </w:r>
      <w:r w:rsidRPr="00A119E8">
        <w:t xml:space="preserve">Hawke’s Bay </w:t>
      </w:r>
      <w:r>
        <w:t xml:space="preserve">DHB </w:t>
      </w:r>
      <w:r w:rsidRPr="00A119E8">
        <w:t>has achieved the target in this update (110 percent). The denominator used to calculate these percentages are births reported to the National Immunisation Register. The numerator is enrolments of infants under three months</w:t>
      </w:r>
      <w:r>
        <w:t xml:space="preserve"> of age</w:t>
      </w:r>
      <w:r w:rsidRPr="00A119E8">
        <w:t xml:space="preserve"> with a PHO. Hawke’s Bay</w:t>
      </w:r>
      <w:r>
        <w:t xml:space="preserve"> DHB</w:t>
      </w:r>
      <w:r w:rsidRPr="00A119E8">
        <w:t xml:space="preserve"> had 32 enrolled in the PHOs and 29 registered births in the National Immunisation Register. Hawke’s Bay</w:t>
      </w:r>
      <w:r>
        <w:t xml:space="preserve"> DHB</w:t>
      </w:r>
      <w:r w:rsidRPr="00A119E8">
        <w:t>’s improvement in enrolment has been driven by GP facilitators (Champions) performing monthly auditing of practices for new births. A card is sent out to parents/guardians identified through the birth code with an invitation to join the practice and have a six-week immunisation. Hutt Valley DHB is also making noticeable progress in this indicator. Hutt Valley DHB is about four percentage points away from achieving the target of 98</w:t>
      </w:r>
      <w:r w:rsidR="007A28AF">
        <w:t> </w:t>
      </w:r>
      <w:r w:rsidRPr="00A119E8">
        <w:t>percent. Capital &amp; Coast</w:t>
      </w:r>
      <w:r>
        <w:t xml:space="preserve"> DHB</w:t>
      </w:r>
      <w:r w:rsidRPr="00A119E8">
        <w:t xml:space="preserve"> is also improving. The new enrolment scheme implemented by these two DHBs may explain the increase in </w:t>
      </w:r>
      <w:proofErr w:type="spellStart"/>
      <w:r w:rsidRPr="00A119E8">
        <w:t>newborn</w:t>
      </w:r>
      <w:proofErr w:type="spellEnd"/>
      <w:r w:rsidRPr="00A119E8">
        <w:t xml:space="preserve"> enrolments.</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t>Indicator 2b</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percentage of Pacific infants who received all five WCTO core contracts in their first year of life</w:t>
            </w:r>
          </w:p>
        </w:tc>
      </w:tr>
    </w:tbl>
    <w:p w:rsidR="00BA14B3" w:rsidRPr="00A119E8" w:rsidRDefault="00BA14B3" w:rsidP="007A28AF"/>
    <w:p w:rsidR="00BA14B3" w:rsidRPr="00A119E8" w:rsidRDefault="00BA14B3" w:rsidP="007A28AF">
      <w:r w:rsidRPr="007A28AF">
        <w:rPr>
          <w:b/>
        </w:rPr>
        <w:t>Performance:</w:t>
      </w:r>
      <w:r w:rsidR="007A28AF">
        <w:t xml:space="preserve"> </w:t>
      </w:r>
      <w:r>
        <w:t>The i</w:t>
      </w:r>
      <w:r w:rsidRPr="00A119E8">
        <w:t>nterim/</w:t>
      </w:r>
      <w:r>
        <w:t>o</w:t>
      </w:r>
      <w:r w:rsidRPr="00A119E8">
        <w:t xml:space="preserve">ld target of 86 percent was set to be achieved by December 2014. This was set at 90 percent of the </w:t>
      </w:r>
      <w:r>
        <w:t>f</w:t>
      </w:r>
      <w:r w:rsidRPr="00A119E8">
        <w:t>inal/</w:t>
      </w:r>
      <w:r>
        <w:t>n</w:t>
      </w:r>
      <w:r w:rsidRPr="00A119E8">
        <w:t xml:space="preserve">ew target of 95 percent, </w:t>
      </w:r>
      <w:r>
        <w:t>which was</w:t>
      </w:r>
      <w:r w:rsidRPr="00A119E8">
        <w:t xml:space="preserve"> set to be achieved by June 2016.</w:t>
      </w:r>
    </w:p>
    <w:p w:rsidR="00BA14B3" w:rsidRPr="00A119E8" w:rsidRDefault="00BA14B3" w:rsidP="007A28AF"/>
    <w:p w:rsidR="00BA14B3" w:rsidRPr="00A119E8" w:rsidRDefault="00BA14B3" w:rsidP="007A28AF">
      <w:pPr>
        <w:pStyle w:val="Figure"/>
      </w:pPr>
      <w:bookmarkStart w:id="59" w:name="_Toc428368063"/>
      <w:bookmarkStart w:id="60" w:name="_Toc428370441"/>
      <w:bookmarkStart w:id="61" w:name="_Toc428878519"/>
      <w:bookmarkStart w:id="62" w:name="_Toc445801447"/>
      <w:bookmarkStart w:id="63" w:name="_Toc447527145"/>
      <w:r w:rsidRPr="00A119E8">
        <w:t xml:space="preserve">Figure </w:t>
      </w:r>
      <w:fldSimple w:instr=" SEQ Figure \* ARABIC ">
        <w:r w:rsidR="008D5FF2">
          <w:rPr>
            <w:noProof/>
          </w:rPr>
          <w:t>9</w:t>
        </w:r>
      </w:fldSimple>
      <w:r w:rsidRPr="00A119E8">
        <w:t xml:space="preserve">: Percentage of infants who received all WCTO core contacts in their first year of life, Pacific </w:t>
      </w:r>
      <w:proofErr w:type="gramStart"/>
      <w:r w:rsidRPr="00A119E8">
        <w:t>peoples</w:t>
      </w:r>
      <w:proofErr w:type="gramEnd"/>
      <w:r w:rsidRPr="00A119E8">
        <w:t xml:space="preserve"> population and total New Zealand population, 2013–2015</w:t>
      </w:r>
      <w:bookmarkEnd w:id="59"/>
      <w:bookmarkEnd w:id="60"/>
      <w:bookmarkEnd w:id="61"/>
      <w:bookmarkEnd w:id="62"/>
      <w:bookmarkEnd w:id="63"/>
    </w:p>
    <w:p w:rsidR="00BA14B3" w:rsidRDefault="004464BA" w:rsidP="004464BA">
      <w:pPr>
        <w:spacing w:after="120"/>
      </w:pPr>
      <w:r>
        <w:rPr>
          <w:noProof/>
          <w:lang w:eastAsia="en-NZ"/>
        </w:rPr>
        <w:drawing>
          <wp:inline distT="0" distB="0" distL="0" distR="0" wp14:anchorId="367F8EC9" wp14:editId="569576BB">
            <wp:extent cx="4513810" cy="2754273"/>
            <wp:effectExtent l="0" t="0" r="1270" b="8255"/>
            <wp:docPr id="97" name="Picture 97" title="Figure 9: Percentage of infants who received all WCTO core contacts in their first year of life,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5106" cy="2755064"/>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4464BA" w:rsidRPr="00D24919" w:rsidTr="00FF646B">
        <w:trPr>
          <w:cantSplit/>
        </w:trPr>
        <w:tc>
          <w:tcPr>
            <w:tcW w:w="1418" w:type="dxa"/>
            <w:tcBorders>
              <w:top w:val="single" w:sz="4" w:space="0" w:color="auto"/>
              <w:bottom w:val="single" w:sz="4" w:space="0" w:color="auto"/>
            </w:tcBorders>
          </w:tcPr>
          <w:p w:rsidR="004464BA" w:rsidRPr="00D24919" w:rsidRDefault="004464BA" w:rsidP="00FF646B">
            <w:pPr>
              <w:pStyle w:val="TableText"/>
              <w:rPr>
                <w:b/>
                <w:sz w:val="14"/>
                <w:szCs w:val="14"/>
              </w:rPr>
            </w:pP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4464BA" w:rsidRPr="00D24919" w:rsidRDefault="004464BA" w:rsidP="00FF646B">
            <w:pPr>
              <w:pStyle w:val="TableText"/>
              <w:jc w:val="center"/>
              <w:rPr>
                <w:b/>
                <w:sz w:val="14"/>
                <w:szCs w:val="14"/>
              </w:rPr>
            </w:pPr>
            <w:r w:rsidRPr="00D24919">
              <w:rPr>
                <w:b/>
                <w:sz w:val="14"/>
                <w:szCs w:val="14"/>
              </w:rPr>
              <w:t>Sep-15</w:t>
            </w:r>
          </w:p>
        </w:tc>
      </w:tr>
      <w:tr w:rsidR="004464BA" w:rsidRPr="00D24919" w:rsidTr="00FF646B">
        <w:trPr>
          <w:cantSplit/>
        </w:trPr>
        <w:tc>
          <w:tcPr>
            <w:tcW w:w="1418" w:type="dxa"/>
            <w:tcBorders>
              <w:top w:val="single" w:sz="4" w:space="0" w:color="auto"/>
              <w:bottom w:val="single" w:sz="4" w:space="0" w:color="A6A6A6" w:themeColor="background1" w:themeShade="A6"/>
            </w:tcBorders>
          </w:tcPr>
          <w:p w:rsidR="004464BA" w:rsidRPr="00D24919" w:rsidRDefault="004464BA" w:rsidP="00FF646B">
            <w:pPr>
              <w:pStyle w:val="TableText"/>
              <w:rPr>
                <w:sz w:val="14"/>
                <w:szCs w:val="14"/>
              </w:rPr>
            </w:pPr>
            <w:r w:rsidRPr="00D24919">
              <w:rPr>
                <w:sz w:val="14"/>
                <w:szCs w:val="14"/>
              </w:rPr>
              <w:t>Pacific</w:t>
            </w:r>
          </w:p>
        </w:tc>
        <w:tc>
          <w:tcPr>
            <w:tcW w:w="1134" w:type="dxa"/>
            <w:tcBorders>
              <w:top w:val="single" w:sz="4" w:space="0" w:color="auto"/>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65.0%</w:t>
            </w:r>
          </w:p>
        </w:tc>
        <w:tc>
          <w:tcPr>
            <w:tcW w:w="1134" w:type="dxa"/>
            <w:tcBorders>
              <w:top w:val="single" w:sz="4" w:space="0" w:color="auto"/>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65.0%</w:t>
            </w:r>
          </w:p>
        </w:tc>
        <w:tc>
          <w:tcPr>
            <w:tcW w:w="1134" w:type="dxa"/>
            <w:tcBorders>
              <w:top w:val="single" w:sz="4" w:space="0" w:color="auto"/>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61.0%</w:t>
            </w:r>
          </w:p>
        </w:tc>
        <w:tc>
          <w:tcPr>
            <w:tcW w:w="1134" w:type="dxa"/>
            <w:tcBorders>
              <w:top w:val="single" w:sz="4" w:space="0" w:color="auto"/>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63.0%</w:t>
            </w:r>
          </w:p>
        </w:tc>
        <w:tc>
          <w:tcPr>
            <w:tcW w:w="1134" w:type="dxa"/>
            <w:tcBorders>
              <w:top w:val="single" w:sz="4" w:space="0" w:color="auto"/>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53.0%</w:t>
            </w:r>
          </w:p>
        </w:tc>
      </w:tr>
      <w:tr w:rsidR="004464BA" w:rsidRPr="00D24919" w:rsidTr="00FF646B">
        <w:trPr>
          <w:cantSplit/>
        </w:trPr>
        <w:tc>
          <w:tcPr>
            <w:tcW w:w="1418" w:type="dxa"/>
            <w:tcBorders>
              <w:top w:val="single" w:sz="4" w:space="0" w:color="A6A6A6" w:themeColor="background1" w:themeShade="A6"/>
              <w:bottom w:val="single" w:sz="4" w:space="0" w:color="A6A6A6" w:themeColor="background1" w:themeShade="A6"/>
            </w:tcBorders>
          </w:tcPr>
          <w:p w:rsidR="004464BA" w:rsidRPr="00D24919" w:rsidRDefault="004464BA" w:rsidP="00FF646B">
            <w:pPr>
              <w:pStyle w:val="TableText"/>
              <w:rPr>
                <w:sz w:val="14"/>
                <w:szCs w:val="14"/>
              </w:rPr>
            </w:pPr>
            <w:r w:rsidRPr="00D24919">
              <w:rPr>
                <w:sz w:val="14"/>
                <w:szCs w:val="14"/>
              </w:rPr>
              <w:t>Total New Zealand</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74.0%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74.0%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76.0%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76.0%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68.0%</w:t>
            </w:r>
          </w:p>
        </w:tc>
      </w:tr>
      <w:tr w:rsidR="004464BA" w:rsidRPr="00D24919" w:rsidTr="00FF646B">
        <w:trPr>
          <w:cantSplit/>
        </w:trPr>
        <w:tc>
          <w:tcPr>
            <w:tcW w:w="1418" w:type="dxa"/>
            <w:tcBorders>
              <w:top w:val="single" w:sz="4" w:space="0" w:color="A6A6A6" w:themeColor="background1" w:themeShade="A6"/>
              <w:bottom w:val="single" w:sz="4" w:space="0" w:color="A6A6A6" w:themeColor="background1" w:themeShade="A6"/>
            </w:tcBorders>
          </w:tcPr>
          <w:p w:rsidR="004464BA" w:rsidRPr="00D24919" w:rsidRDefault="004464BA" w:rsidP="00FF646B">
            <w:pPr>
              <w:pStyle w:val="TableText"/>
              <w:rPr>
                <w:sz w:val="14"/>
                <w:szCs w:val="14"/>
              </w:rPr>
            </w:pPr>
            <w:r w:rsidRPr="00D24919">
              <w:rPr>
                <w:sz w:val="14"/>
                <w:szCs w:val="14"/>
              </w:rPr>
              <w:t>Old target</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86.0%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86.0%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r w:rsidRPr="004464BA">
              <w:rPr>
                <w:sz w:val="14"/>
              </w:rPr>
              <w:t>86.0%</w:t>
            </w: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p>
        </w:tc>
        <w:tc>
          <w:tcPr>
            <w:tcW w:w="1134" w:type="dxa"/>
            <w:tcBorders>
              <w:top w:val="single" w:sz="4" w:space="0" w:color="A6A6A6" w:themeColor="background1" w:themeShade="A6"/>
              <w:bottom w:val="single" w:sz="4" w:space="0" w:color="A6A6A6" w:themeColor="background1" w:themeShade="A6"/>
            </w:tcBorders>
          </w:tcPr>
          <w:p w:rsidR="004464BA" w:rsidRPr="004464BA" w:rsidRDefault="004464BA" w:rsidP="00FF646B">
            <w:pPr>
              <w:pStyle w:val="TableText"/>
              <w:jc w:val="center"/>
              <w:rPr>
                <w:sz w:val="14"/>
              </w:rPr>
            </w:pPr>
          </w:p>
        </w:tc>
      </w:tr>
      <w:tr w:rsidR="004464BA" w:rsidRPr="00D24919" w:rsidTr="00FF646B">
        <w:trPr>
          <w:cantSplit/>
        </w:trPr>
        <w:tc>
          <w:tcPr>
            <w:tcW w:w="1418" w:type="dxa"/>
            <w:tcBorders>
              <w:top w:val="single" w:sz="4" w:space="0" w:color="A6A6A6" w:themeColor="background1" w:themeShade="A6"/>
              <w:bottom w:val="single" w:sz="4" w:space="0" w:color="auto"/>
            </w:tcBorders>
          </w:tcPr>
          <w:p w:rsidR="004464BA" w:rsidRPr="00D24919" w:rsidRDefault="004464BA" w:rsidP="00FF646B">
            <w:pPr>
              <w:pStyle w:val="TableText"/>
              <w:rPr>
                <w:sz w:val="14"/>
                <w:szCs w:val="14"/>
              </w:rPr>
            </w:pPr>
            <w:r w:rsidRPr="00D24919">
              <w:rPr>
                <w:sz w:val="14"/>
                <w:szCs w:val="14"/>
              </w:rPr>
              <w:t>New target</w:t>
            </w:r>
          </w:p>
        </w:tc>
        <w:tc>
          <w:tcPr>
            <w:tcW w:w="1134" w:type="dxa"/>
            <w:tcBorders>
              <w:top w:val="single" w:sz="4" w:space="0" w:color="A6A6A6" w:themeColor="background1" w:themeShade="A6"/>
              <w:bottom w:val="single" w:sz="4" w:space="0" w:color="auto"/>
            </w:tcBorders>
          </w:tcPr>
          <w:p w:rsidR="004464BA" w:rsidRPr="004464BA" w:rsidRDefault="004464BA"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4464BA" w:rsidRPr="004464BA" w:rsidRDefault="004464BA"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4464BA" w:rsidRPr="004464BA" w:rsidRDefault="004464BA"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4464BA" w:rsidRPr="004464BA" w:rsidRDefault="004464BA" w:rsidP="00FF646B">
            <w:pPr>
              <w:pStyle w:val="TableText"/>
              <w:jc w:val="center"/>
              <w:rPr>
                <w:sz w:val="14"/>
              </w:rPr>
            </w:pPr>
            <w:r w:rsidRPr="004464BA">
              <w:rPr>
                <w:sz w:val="14"/>
              </w:rPr>
              <w:t>95.0%</w:t>
            </w:r>
          </w:p>
        </w:tc>
        <w:tc>
          <w:tcPr>
            <w:tcW w:w="1134" w:type="dxa"/>
            <w:tcBorders>
              <w:top w:val="single" w:sz="4" w:space="0" w:color="A6A6A6" w:themeColor="background1" w:themeShade="A6"/>
              <w:bottom w:val="single" w:sz="4" w:space="0" w:color="auto"/>
            </w:tcBorders>
          </w:tcPr>
          <w:p w:rsidR="004464BA" w:rsidRPr="004464BA" w:rsidRDefault="004464BA" w:rsidP="00FF646B">
            <w:pPr>
              <w:pStyle w:val="TableText"/>
              <w:jc w:val="center"/>
              <w:rPr>
                <w:sz w:val="14"/>
              </w:rPr>
            </w:pPr>
            <w:r w:rsidRPr="004464BA">
              <w:rPr>
                <w:sz w:val="14"/>
              </w:rPr>
              <w:t>95.0%</w:t>
            </w:r>
          </w:p>
        </w:tc>
      </w:tr>
    </w:tbl>
    <w:p w:rsidR="004464BA" w:rsidRDefault="004464BA" w:rsidP="004464BA"/>
    <w:p w:rsidR="00BA14B3" w:rsidRPr="007A28AF" w:rsidRDefault="00BA14B3" w:rsidP="007A28AF">
      <w:pPr>
        <w:rPr>
          <w:b/>
        </w:rPr>
      </w:pPr>
      <w:r w:rsidRPr="007A28AF">
        <w:rPr>
          <w:b/>
        </w:rPr>
        <w:t>Notes for Figures 9 and 10:</w:t>
      </w:r>
    </w:p>
    <w:p w:rsidR="00BA14B3" w:rsidRPr="00A119E8" w:rsidRDefault="00BA14B3" w:rsidP="007A28AF">
      <w:pPr>
        <w:pStyle w:val="Bullet"/>
      </w:pPr>
      <w:r w:rsidRPr="00A119E8">
        <w:t>Time period: children reaching the age band for core contact 6 between January 2015 and June 2015.</w:t>
      </w:r>
    </w:p>
    <w:p w:rsidR="00BA14B3" w:rsidRPr="00A119E8" w:rsidRDefault="00BA14B3" w:rsidP="007A28AF">
      <w:pPr>
        <w:pStyle w:val="Bullet"/>
      </w:pPr>
      <w:r w:rsidRPr="00A119E8">
        <w:t xml:space="preserve">Hawke’s Bay </w:t>
      </w:r>
      <w:r>
        <w:t xml:space="preserve">DHB </w:t>
      </w:r>
      <w:r w:rsidRPr="00A119E8">
        <w:t>had fewer than 20 children in that population in September 2014.</w:t>
      </w:r>
    </w:p>
    <w:p w:rsidR="0034306E" w:rsidRDefault="00BA14B3" w:rsidP="007A28AF">
      <w:pPr>
        <w:pStyle w:val="Bullet"/>
      </w:pPr>
      <w:r w:rsidRPr="00A119E8">
        <w:t>From this report onwards, the data source for this indicator includes reporting from all WCTO providers. Prior to this report, data presented for this indicator was sourced from Plunket alone. This means results for this indicator for the period January–June 2015 are not directly comparable with results from earlier periods.</w:t>
      </w:r>
    </w:p>
    <w:p w:rsidR="00BA14B3" w:rsidRPr="00A119E8" w:rsidRDefault="00BA14B3" w:rsidP="007A28AF">
      <w:pPr>
        <w:pStyle w:val="Bullet"/>
      </w:pPr>
      <w:r w:rsidRPr="00A119E8">
        <w:lastRenderedPageBreak/>
        <w:t>Numerator: number of infants where contact was able to be made by six weeks</w:t>
      </w:r>
      <w:r>
        <w:t xml:space="preserve"> of age</w:t>
      </w:r>
      <w:r w:rsidRPr="00A119E8">
        <w:t xml:space="preserve"> and who received all five contacts (source: WCTO National Health Index (NHI) data set).</w:t>
      </w:r>
    </w:p>
    <w:p w:rsidR="00BA14B3" w:rsidRPr="00A119E8" w:rsidRDefault="00BA14B3" w:rsidP="007A28AF">
      <w:pPr>
        <w:pStyle w:val="Bullet"/>
      </w:pPr>
      <w:r w:rsidRPr="00A119E8">
        <w:t>Denominator: number of infants where contact was able to be made by six weeks</w:t>
      </w:r>
      <w:r>
        <w:t xml:space="preserve"> of age</w:t>
      </w:r>
      <w:r w:rsidRPr="00A119E8">
        <w:t xml:space="preserve"> who reached the age band for core contact 6 (13 months, 4 weeks, 1 day) (source: WCTO NHI data set).</w:t>
      </w:r>
    </w:p>
    <w:p w:rsidR="00BA14B3" w:rsidRPr="00A119E8" w:rsidRDefault="00BA14B3" w:rsidP="007A28AF"/>
    <w:p w:rsidR="0034306E" w:rsidRDefault="00BA14B3" w:rsidP="007A28AF">
      <w:r w:rsidRPr="00A119E8">
        <w:t>Figure 9 shows the percentage</w:t>
      </w:r>
      <w:r>
        <w:t>s</w:t>
      </w:r>
      <w:r w:rsidRPr="00A119E8">
        <w:t xml:space="preserve"> of infants who received all WCTO core contacts in their first year of life for </w:t>
      </w:r>
      <w:r>
        <w:t xml:space="preserve">the </w:t>
      </w:r>
      <w:r w:rsidRPr="00A119E8">
        <w:t xml:space="preserve">Pacific </w:t>
      </w:r>
      <w:r>
        <w:t xml:space="preserve">population </w:t>
      </w:r>
      <w:r w:rsidRPr="00A119E8">
        <w:t>and the total New Zealand population. Both percentages have dropped</w:t>
      </w:r>
      <w:r>
        <w:t>,</w:t>
      </w:r>
      <w:r w:rsidRPr="00A119E8">
        <w:t xml:space="preserve"> and the gap between Pacific </w:t>
      </w:r>
      <w:r>
        <w:t>peoples</w:t>
      </w:r>
      <w:r w:rsidRPr="00A119E8">
        <w:t xml:space="preserve"> and the total New Zealand population remains. This is not the result of lower performance; instead, it reflects a more accurate picture of performance the data now allows. Currently we are only reaching two-thirds of all infants and only around half of Māori, Pacific peoples, and children living in high</w:t>
      </w:r>
      <w:r>
        <w:t>-</w:t>
      </w:r>
      <w:r w:rsidRPr="00A119E8">
        <w:t>deprivation areas. The Ministry is working to build collective responsibility for the WCTO programme acros</w:t>
      </w:r>
      <w:r>
        <w:t>s all providers.</w:t>
      </w:r>
      <w:r w:rsidR="0034306E">
        <w:t xml:space="preserve"> </w:t>
      </w:r>
      <w:r w:rsidRPr="00A119E8">
        <w:t>DHBs and all WCTO providers are to actively collaborate to increase coverage, in particular for our higher</w:t>
      </w:r>
      <w:r>
        <w:t>-</w:t>
      </w:r>
      <w:r w:rsidRPr="00A119E8">
        <w:t>needs populations (Ministry of Health 2016).</w:t>
      </w:r>
    </w:p>
    <w:p w:rsidR="00BA14B3" w:rsidRPr="00A119E8" w:rsidRDefault="00BA14B3" w:rsidP="007A28AF"/>
    <w:p w:rsidR="00BA14B3" w:rsidRDefault="00BA14B3" w:rsidP="007A28AF">
      <w:pPr>
        <w:pStyle w:val="Figure"/>
      </w:pPr>
      <w:bookmarkStart w:id="64" w:name="_Toc428368064"/>
      <w:bookmarkStart w:id="65" w:name="_Toc428370442"/>
      <w:bookmarkStart w:id="66" w:name="_Toc445801448"/>
      <w:bookmarkStart w:id="67" w:name="_Toc447527146"/>
      <w:r w:rsidRPr="00A119E8">
        <w:t xml:space="preserve">Figure </w:t>
      </w:r>
      <w:fldSimple w:instr=" SEQ Figure \* ARABIC ">
        <w:r w:rsidR="008D5FF2">
          <w:rPr>
            <w:noProof/>
          </w:rPr>
          <w:t>10</w:t>
        </w:r>
      </w:fldSimple>
      <w:r w:rsidRPr="00A119E8">
        <w:t>: Percentage of infants who received all WCTO core contacts in their first year of life, Pacific peoples, by priority DHBs, 2013–2015</w:t>
      </w:r>
      <w:bookmarkEnd w:id="64"/>
      <w:bookmarkEnd w:id="65"/>
      <w:bookmarkEnd w:id="66"/>
      <w:bookmarkEnd w:id="67"/>
    </w:p>
    <w:p w:rsidR="00BE6CA5" w:rsidRPr="00BE6CA5" w:rsidRDefault="00BE6CA5" w:rsidP="00BE6CA5">
      <w:pPr>
        <w:spacing w:after="120"/>
      </w:pPr>
      <w:r>
        <w:rPr>
          <w:noProof/>
          <w:lang w:eastAsia="en-NZ"/>
        </w:rPr>
        <w:drawing>
          <wp:inline distT="0" distB="0" distL="0" distR="0" wp14:anchorId="3EF8C93D" wp14:editId="694CF2D0">
            <wp:extent cx="4490589" cy="2743200"/>
            <wp:effectExtent l="0" t="0" r="0" b="0"/>
            <wp:docPr id="108" name="Picture 108" title="Figure 10: Percentage of infants who received all WCTO core contacts in their first year of lif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356" cy="2746112"/>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313657" w:rsidRPr="00D24919" w:rsidTr="00FF646B">
        <w:trPr>
          <w:cantSplit/>
        </w:trPr>
        <w:tc>
          <w:tcPr>
            <w:tcW w:w="1418" w:type="dxa"/>
            <w:tcBorders>
              <w:top w:val="single" w:sz="4" w:space="0" w:color="auto"/>
              <w:bottom w:val="single" w:sz="4" w:space="0" w:color="auto"/>
            </w:tcBorders>
          </w:tcPr>
          <w:p w:rsidR="00313657" w:rsidRPr="00D24919" w:rsidRDefault="00313657" w:rsidP="00FF646B">
            <w:pPr>
              <w:pStyle w:val="TableText"/>
              <w:rPr>
                <w:b/>
                <w:sz w:val="14"/>
                <w:szCs w:val="14"/>
              </w:rPr>
            </w:pPr>
          </w:p>
        </w:tc>
        <w:tc>
          <w:tcPr>
            <w:tcW w:w="1134" w:type="dxa"/>
            <w:tcBorders>
              <w:top w:val="single" w:sz="4" w:space="0" w:color="auto"/>
              <w:bottom w:val="single" w:sz="4" w:space="0" w:color="auto"/>
            </w:tcBorders>
          </w:tcPr>
          <w:p w:rsidR="00313657" w:rsidRPr="00D24919" w:rsidRDefault="00313657"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313657" w:rsidRPr="00D24919" w:rsidRDefault="00313657"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313657" w:rsidRPr="00D24919" w:rsidRDefault="00313657"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313657" w:rsidRPr="00D24919" w:rsidRDefault="00313657"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313657" w:rsidRPr="00D24919" w:rsidRDefault="00313657" w:rsidP="00FF646B">
            <w:pPr>
              <w:pStyle w:val="TableText"/>
              <w:jc w:val="center"/>
              <w:rPr>
                <w:b/>
                <w:sz w:val="14"/>
                <w:szCs w:val="14"/>
              </w:rPr>
            </w:pPr>
            <w:r w:rsidRPr="00D24919">
              <w:rPr>
                <w:b/>
                <w:sz w:val="14"/>
                <w:szCs w:val="14"/>
              </w:rPr>
              <w:t>Sep-15</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Auckland</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62.0%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70.0%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71.0%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70.0%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51.0%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Canterbury</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59.0%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58.0%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56.0%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62.0%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54.0%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Capital &amp; Coast</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79.0%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82.0%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68.0%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76.0%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44.0%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 xml:space="preserve">Counties </w:t>
            </w:r>
            <w:proofErr w:type="spellStart"/>
            <w:r w:rsidRPr="004464BA">
              <w:rPr>
                <w:sz w:val="14"/>
                <w:szCs w:val="14"/>
              </w:rPr>
              <w:t>Manukau</w:t>
            </w:r>
            <w:proofErr w:type="spellEnd"/>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66.0%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61.0%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55.0%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55.0%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51.0%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Hawke's Bay</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61.0%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78.0%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60.0%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44.0%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Hutt Valley</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55.0%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56.0%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80.0%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71.0%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56.0%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r w:rsidRPr="004464BA">
              <w:rPr>
                <w:sz w:val="14"/>
                <w:szCs w:val="14"/>
              </w:rPr>
              <w:t>Waikato</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61.0%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68.0%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63.0%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77.0%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41.0%</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4464BA" w:rsidRDefault="006E2968" w:rsidP="00FF646B">
            <w:pPr>
              <w:pStyle w:val="TableText"/>
              <w:rPr>
                <w:sz w:val="14"/>
                <w:szCs w:val="14"/>
              </w:rPr>
            </w:pPr>
            <w:proofErr w:type="spellStart"/>
            <w:r w:rsidRPr="004464BA">
              <w:rPr>
                <w:sz w:val="14"/>
                <w:szCs w:val="14"/>
              </w:rPr>
              <w:t>Waitemata</w:t>
            </w:r>
            <w:proofErr w:type="spellEnd"/>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62.0%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69.0%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64.0%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70.0%</w:t>
            </w:r>
          </w:p>
        </w:tc>
        <w:tc>
          <w:tcPr>
            <w:tcW w:w="1134" w:type="dxa"/>
            <w:tcBorders>
              <w:top w:val="single" w:sz="4" w:space="0" w:color="A6A6A6" w:themeColor="background1" w:themeShade="A6"/>
              <w:bottom w:val="single" w:sz="4" w:space="0" w:color="A6A6A6" w:themeColor="background1" w:themeShade="A6"/>
            </w:tcBorders>
          </w:tcPr>
          <w:p w:rsidR="006E2968" w:rsidRPr="00313657" w:rsidRDefault="006E2968" w:rsidP="00FF646B">
            <w:pPr>
              <w:pStyle w:val="TableText"/>
              <w:jc w:val="center"/>
              <w:rPr>
                <w:sz w:val="14"/>
                <w:szCs w:val="14"/>
              </w:rPr>
            </w:pPr>
            <w:r w:rsidRPr="00313657">
              <w:rPr>
                <w:sz w:val="14"/>
                <w:szCs w:val="14"/>
              </w:rPr>
              <w:t>70.0%</w:t>
            </w:r>
          </w:p>
        </w:tc>
      </w:tr>
      <w:tr w:rsidR="00FA10DF" w:rsidRPr="004464BA" w:rsidTr="006E2968">
        <w:trPr>
          <w:cantSplit/>
        </w:trPr>
        <w:tc>
          <w:tcPr>
            <w:tcW w:w="1418"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rPr>
                <w:sz w:val="14"/>
                <w:szCs w:val="14"/>
              </w:rPr>
            </w:pPr>
            <w:r w:rsidRPr="004464BA">
              <w:rPr>
                <w:sz w:val="14"/>
                <w:szCs w:val="14"/>
              </w:rPr>
              <w:t xml:space="preserve">Old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6A6A6" w:themeColor="background1" w:themeShade="A6"/>
            </w:tcBorders>
          </w:tcPr>
          <w:p w:rsidR="00FA10DF" w:rsidRPr="00313657" w:rsidRDefault="00FA10DF" w:rsidP="00FA10DF">
            <w:pPr>
              <w:pStyle w:val="TableText"/>
              <w:jc w:val="center"/>
              <w:rPr>
                <w:sz w:val="14"/>
                <w:szCs w:val="14"/>
              </w:rPr>
            </w:pPr>
            <w:r w:rsidRPr="00313657">
              <w:rPr>
                <w:sz w:val="14"/>
                <w:szCs w:val="14"/>
              </w:rPr>
              <w:t>86.0%</w:t>
            </w:r>
          </w:p>
        </w:tc>
        <w:tc>
          <w:tcPr>
            <w:tcW w:w="1134" w:type="dxa"/>
            <w:tcBorders>
              <w:top w:val="single" w:sz="4" w:space="0" w:color="A6A6A6" w:themeColor="background1" w:themeShade="A6"/>
              <w:bottom w:val="single" w:sz="4" w:space="0" w:color="A6A6A6" w:themeColor="background1" w:themeShade="A6"/>
            </w:tcBorders>
          </w:tcPr>
          <w:p w:rsidR="00FA10DF" w:rsidRPr="00313657" w:rsidRDefault="00FA10DF" w:rsidP="00FA10DF">
            <w:pPr>
              <w:pStyle w:val="TableText"/>
              <w:jc w:val="center"/>
              <w:rPr>
                <w:sz w:val="14"/>
                <w:szCs w:val="14"/>
              </w:rPr>
            </w:pPr>
            <w:r w:rsidRPr="00313657">
              <w:rPr>
                <w:sz w:val="14"/>
                <w:szCs w:val="14"/>
              </w:rPr>
              <w:t>86.0%</w:t>
            </w:r>
          </w:p>
        </w:tc>
        <w:tc>
          <w:tcPr>
            <w:tcW w:w="1134" w:type="dxa"/>
            <w:tcBorders>
              <w:top w:val="single" w:sz="4" w:space="0" w:color="A6A6A6" w:themeColor="background1" w:themeShade="A6"/>
              <w:bottom w:val="single" w:sz="4" w:space="0" w:color="A6A6A6" w:themeColor="background1" w:themeShade="A6"/>
            </w:tcBorders>
          </w:tcPr>
          <w:p w:rsidR="00FA10DF" w:rsidRPr="00313657" w:rsidRDefault="00FA10DF" w:rsidP="00FA10DF">
            <w:pPr>
              <w:pStyle w:val="TableText"/>
              <w:jc w:val="center"/>
              <w:rPr>
                <w:sz w:val="14"/>
                <w:szCs w:val="14"/>
              </w:rPr>
            </w:pPr>
            <w:r w:rsidRPr="00313657">
              <w:rPr>
                <w:sz w:val="14"/>
                <w:szCs w:val="14"/>
              </w:rPr>
              <w:t>86.0%</w:t>
            </w:r>
          </w:p>
        </w:tc>
        <w:tc>
          <w:tcPr>
            <w:tcW w:w="1134" w:type="dxa"/>
            <w:tcBorders>
              <w:top w:val="single" w:sz="4" w:space="0" w:color="A6A6A6" w:themeColor="background1" w:themeShade="A6"/>
              <w:bottom w:val="single" w:sz="4" w:space="0" w:color="A6A6A6" w:themeColor="background1" w:themeShade="A6"/>
            </w:tcBorders>
          </w:tcPr>
          <w:p w:rsidR="00FA10DF" w:rsidRPr="00313657" w:rsidRDefault="00FA10DF" w:rsidP="00FF646B">
            <w:pPr>
              <w:pStyle w:val="TableText"/>
              <w:jc w:val="center"/>
              <w:rPr>
                <w:sz w:val="14"/>
                <w:szCs w:val="14"/>
              </w:rPr>
            </w:pPr>
          </w:p>
        </w:tc>
        <w:tc>
          <w:tcPr>
            <w:tcW w:w="1134" w:type="dxa"/>
            <w:tcBorders>
              <w:top w:val="single" w:sz="4" w:space="0" w:color="A6A6A6" w:themeColor="background1" w:themeShade="A6"/>
              <w:bottom w:val="single" w:sz="4" w:space="0" w:color="A6A6A6" w:themeColor="background1" w:themeShade="A6"/>
            </w:tcBorders>
          </w:tcPr>
          <w:p w:rsidR="00FA10DF" w:rsidRPr="00313657" w:rsidRDefault="00FA10DF" w:rsidP="00FF646B">
            <w:pPr>
              <w:pStyle w:val="TableText"/>
              <w:jc w:val="center"/>
              <w:rPr>
                <w:sz w:val="14"/>
                <w:szCs w:val="14"/>
              </w:rPr>
            </w:pPr>
          </w:p>
        </w:tc>
      </w:tr>
      <w:tr w:rsidR="00FA10DF" w:rsidRPr="004464BA" w:rsidTr="006E2968">
        <w:trPr>
          <w:cantSplit/>
        </w:trPr>
        <w:tc>
          <w:tcPr>
            <w:tcW w:w="1418" w:type="dxa"/>
            <w:tcBorders>
              <w:top w:val="single" w:sz="4" w:space="0" w:color="A6A6A6" w:themeColor="background1" w:themeShade="A6"/>
              <w:bottom w:val="single" w:sz="4" w:space="0" w:color="auto"/>
            </w:tcBorders>
          </w:tcPr>
          <w:p w:rsidR="00FA10DF" w:rsidRPr="004464BA" w:rsidRDefault="00FA10DF" w:rsidP="00FF646B">
            <w:pPr>
              <w:pStyle w:val="TableText"/>
              <w:rPr>
                <w:sz w:val="14"/>
                <w:szCs w:val="14"/>
              </w:rPr>
            </w:pPr>
            <w:r w:rsidRPr="004464BA">
              <w:rPr>
                <w:sz w:val="14"/>
                <w:szCs w:val="14"/>
              </w:rPr>
              <w:t xml:space="preserve">New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uto"/>
            </w:tcBorders>
          </w:tcPr>
          <w:p w:rsidR="00FA10DF" w:rsidRPr="00313657" w:rsidRDefault="00FA10DF" w:rsidP="00FF646B">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FA10DF" w:rsidRPr="00313657" w:rsidRDefault="00FA10DF" w:rsidP="00FF646B">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FA10DF" w:rsidRPr="00313657" w:rsidRDefault="00FA10DF" w:rsidP="00FF646B">
            <w:pPr>
              <w:pStyle w:val="TableText"/>
              <w:jc w:val="center"/>
              <w:rPr>
                <w:sz w:val="14"/>
                <w:szCs w:val="14"/>
              </w:rPr>
            </w:pPr>
          </w:p>
        </w:tc>
        <w:tc>
          <w:tcPr>
            <w:tcW w:w="1134" w:type="dxa"/>
            <w:tcBorders>
              <w:top w:val="single" w:sz="4" w:space="0" w:color="A6A6A6" w:themeColor="background1" w:themeShade="A6"/>
              <w:bottom w:val="single" w:sz="4" w:space="0" w:color="auto"/>
            </w:tcBorders>
          </w:tcPr>
          <w:p w:rsidR="00FA10DF" w:rsidRPr="00313657" w:rsidRDefault="00FA10DF" w:rsidP="00FA10DF">
            <w:pPr>
              <w:pStyle w:val="TableText"/>
              <w:jc w:val="center"/>
              <w:rPr>
                <w:sz w:val="14"/>
                <w:szCs w:val="14"/>
              </w:rPr>
            </w:pPr>
            <w:r w:rsidRPr="00313657">
              <w:rPr>
                <w:sz w:val="14"/>
                <w:szCs w:val="14"/>
              </w:rPr>
              <w:t>95.0%</w:t>
            </w:r>
          </w:p>
        </w:tc>
        <w:tc>
          <w:tcPr>
            <w:tcW w:w="1134" w:type="dxa"/>
            <w:tcBorders>
              <w:top w:val="single" w:sz="4" w:space="0" w:color="A6A6A6" w:themeColor="background1" w:themeShade="A6"/>
              <w:bottom w:val="single" w:sz="4" w:space="0" w:color="auto"/>
            </w:tcBorders>
          </w:tcPr>
          <w:p w:rsidR="00FA10DF" w:rsidRPr="00313657" w:rsidRDefault="00FA10DF" w:rsidP="00FA10DF">
            <w:pPr>
              <w:pStyle w:val="TableText"/>
              <w:jc w:val="center"/>
              <w:rPr>
                <w:sz w:val="14"/>
                <w:szCs w:val="14"/>
              </w:rPr>
            </w:pPr>
            <w:r w:rsidRPr="00313657">
              <w:rPr>
                <w:sz w:val="14"/>
                <w:szCs w:val="14"/>
              </w:rPr>
              <w:t>95.0%</w:t>
            </w:r>
          </w:p>
        </w:tc>
      </w:tr>
    </w:tbl>
    <w:p w:rsidR="00313657" w:rsidRDefault="00313657" w:rsidP="00313657"/>
    <w:p w:rsidR="00BA14B3" w:rsidRPr="00A119E8" w:rsidRDefault="00BA14B3" w:rsidP="007A28AF">
      <w:r w:rsidRPr="00A119E8">
        <w:t>Figure 10 shows the percentage</w:t>
      </w:r>
      <w:r>
        <w:t>s</w:t>
      </w:r>
      <w:r w:rsidRPr="00A119E8">
        <w:t xml:space="preserve"> of infants who received all WCTO core contacts in their first year of life for Pacific people</w:t>
      </w:r>
      <w:r>
        <w:t>s</w:t>
      </w:r>
      <w:r w:rsidRPr="00A119E8">
        <w:t xml:space="preserve"> in the eight priority DHBs. Since the June 2015 update, </w:t>
      </w:r>
      <w:proofErr w:type="spellStart"/>
      <w:r w:rsidRPr="00A119E8">
        <w:t>Waitemata</w:t>
      </w:r>
      <w:proofErr w:type="spellEnd"/>
      <w:r w:rsidRPr="00A119E8">
        <w:t xml:space="preserve"> DHB has maintained its percentage. The other seven priority DHBs have been affected by the change of data source noted above.</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2c</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percentage of Pacific children who receive B4SC</w:t>
            </w:r>
          </w:p>
        </w:tc>
      </w:tr>
    </w:tbl>
    <w:p w:rsidR="00BA14B3" w:rsidRPr="00A119E8" w:rsidRDefault="00BA14B3" w:rsidP="007A28AF"/>
    <w:p w:rsidR="00BA14B3" w:rsidRDefault="00BA14B3" w:rsidP="007A28AF">
      <w:r w:rsidRPr="007A28AF">
        <w:rPr>
          <w:b/>
        </w:rPr>
        <w:t>Performance:</w:t>
      </w:r>
      <w:r w:rsidR="007A28AF">
        <w:t xml:space="preserve"> </w:t>
      </w:r>
      <w:r w:rsidRPr="00A119E8">
        <w:t>The target of this indicator was set at 90 percent to be achieved by June 2016.</w:t>
      </w:r>
    </w:p>
    <w:p w:rsidR="007A28AF" w:rsidRPr="00A119E8" w:rsidRDefault="007A28AF" w:rsidP="007A28AF"/>
    <w:p w:rsidR="00BA14B3" w:rsidRPr="00A119E8" w:rsidRDefault="00BA14B3" w:rsidP="007A28AF">
      <w:pPr>
        <w:pStyle w:val="Figure"/>
      </w:pPr>
      <w:bookmarkStart w:id="68" w:name="_Toc428368065"/>
      <w:bookmarkStart w:id="69" w:name="_Toc428370443"/>
      <w:bookmarkStart w:id="70" w:name="_Toc445801449"/>
      <w:bookmarkStart w:id="71" w:name="_Toc447527147"/>
      <w:r w:rsidRPr="00A119E8">
        <w:t xml:space="preserve">Figure </w:t>
      </w:r>
      <w:fldSimple w:instr=" SEQ Figure \* ARABIC ">
        <w:r w:rsidR="008D5FF2">
          <w:rPr>
            <w:noProof/>
          </w:rPr>
          <w:t>11</w:t>
        </w:r>
      </w:fldSimple>
      <w:r w:rsidRPr="00A119E8">
        <w:t xml:space="preserve">: Percentage of four-year-olds who received a B4SC, Pacific </w:t>
      </w:r>
      <w:proofErr w:type="gramStart"/>
      <w:r w:rsidRPr="00A119E8">
        <w:t>peoples</w:t>
      </w:r>
      <w:proofErr w:type="gramEnd"/>
      <w:r w:rsidRPr="00A119E8">
        <w:t xml:space="preserve"> population and total New Zealand population, 2013–2015</w:t>
      </w:r>
      <w:bookmarkEnd w:id="68"/>
      <w:bookmarkEnd w:id="69"/>
      <w:bookmarkEnd w:id="70"/>
      <w:bookmarkEnd w:id="71"/>
    </w:p>
    <w:p w:rsidR="00BA14B3" w:rsidRDefault="006E2968" w:rsidP="006E2968">
      <w:pPr>
        <w:spacing w:after="120"/>
      </w:pPr>
      <w:r>
        <w:rPr>
          <w:noProof/>
          <w:lang w:eastAsia="en-NZ"/>
        </w:rPr>
        <w:drawing>
          <wp:inline distT="0" distB="0" distL="0" distR="0" wp14:anchorId="480C049B" wp14:editId="10198F7E">
            <wp:extent cx="4505498" cy="2749202"/>
            <wp:effectExtent l="0" t="0" r="0" b="0"/>
            <wp:docPr id="100" name="Picture 100" title="Figure 11: Percentage of four-year-olds who received a B4SC,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7832" cy="2750626"/>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6E2968" w:rsidRPr="00D24919" w:rsidTr="00FF646B">
        <w:trPr>
          <w:cantSplit/>
        </w:trPr>
        <w:tc>
          <w:tcPr>
            <w:tcW w:w="1418" w:type="dxa"/>
            <w:tcBorders>
              <w:top w:val="single" w:sz="4" w:space="0" w:color="auto"/>
              <w:bottom w:val="single" w:sz="4" w:space="0" w:color="auto"/>
            </w:tcBorders>
          </w:tcPr>
          <w:p w:rsidR="006E2968" w:rsidRPr="00D24919" w:rsidRDefault="006E2968" w:rsidP="00FF646B">
            <w:pPr>
              <w:pStyle w:val="TableText"/>
              <w:rPr>
                <w:b/>
                <w:sz w:val="14"/>
                <w:szCs w:val="14"/>
              </w:rPr>
            </w:pP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Sep-15</w:t>
            </w:r>
          </w:p>
        </w:tc>
      </w:tr>
      <w:tr w:rsidR="006E2968" w:rsidRPr="004464BA" w:rsidTr="00FF646B">
        <w:trPr>
          <w:cantSplit/>
        </w:trPr>
        <w:tc>
          <w:tcPr>
            <w:tcW w:w="1418" w:type="dxa"/>
            <w:tcBorders>
              <w:top w:val="single" w:sz="4" w:space="0" w:color="auto"/>
              <w:bottom w:val="single" w:sz="4" w:space="0" w:color="A6A6A6" w:themeColor="background1" w:themeShade="A6"/>
            </w:tcBorders>
          </w:tcPr>
          <w:p w:rsidR="006E2968" w:rsidRPr="00D24919" w:rsidRDefault="006E2968" w:rsidP="00FF646B">
            <w:pPr>
              <w:pStyle w:val="TableText"/>
              <w:rPr>
                <w:sz w:val="14"/>
                <w:szCs w:val="14"/>
              </w:rPr>
            </w:pPr>
            <w:r w:rsidRPr="00D24919">
              <w:rPr>
                <w:sz w:val="14"/>
                <w:szCs w:val="14"/>
              </w:rPr>
              <w:t>Pacific</w:t>
            </w:r>
          </w:p>
        </w:tc>
        <w:tc>
          <w:tcPr>
            <w:tcW w:w="1134" w:type="dxa"/>
            <w:tcBorders>
              <w:top w:val="single" w:sz="4" w:space="0" w:color="auto"/>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68</w:t>
            </w:r>
            <w:r w:rsidR="00FA10DF">
              <w:rPr>
                <w:sz w:val="14"/>
              </w:rPr>
              <w:t>.0</w:t>
            </w:r>
            <w:r w:rsidRPr="006E2968">
              <w:rPr>
                <w:sz w:val="14"/>
              </w:rPr>
              <w:t>%</w:t>
            </w:r>
          </w:p>
        </w:tc>
        <w:tc>
          <w:tcPr>
            <w:tcW w:w="1134" w:type="dxa"/>
            <w:tcBorders>
              <w:top w:val="single" w:sz="4" w:space="0" w:color="auto"/>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74</w:t>
            </w:r>
            <w:r w:rsidR="00FA10DF">
              <w:rPr>
                <w:sz w:val="14"/>
              </w:rPr>
              <w:t>.0</w:t>
            </w:r>
            <w:r w:rsidRPr="006E2968">
              <w:rPr>
                <w:sz w:val="14"/>
              </w:rPr>
              <w:t>%</w:t>
            </w:r>
          </w:p>
        </w:tc>
        <w:tc>
          <w:tcPr>
            <w:tcW w:w="1134" w:type="dxa"/>
            <w:tcBorders>
              <w:top w:val="single" w:sz="4" w:space="0" w:color="auto"/>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80</w:t>
            </w:r>
            <w:r w:rsidR="00FA10DF">
              <w:rPr>
                <w:sz w:val="14"/>
              </w:rPr>
              <w:t>.0</w:t>
            </w:r>
            <w:r w:rsidRPr="006E2968">
              <w:rPr>
                <w:sz w:val="14"/>
              </w:rPr>
              <w:t>%</w:t>
            </w:r>
          </w:p>
        </w:tc>
        <w:tc>
          <w:tcPr>
            <w:tcW w:w="1134" w:type="dxa"/>
            <w:tcBorders>
              <w:top w:val="single" w:sz="4" w:space="0" w:color="auto"/>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83</w:t>
            </w:r>
            <w:r w:rsidR="00FA10DF">
              <w:rPr>
                <w:sz w:val="14"/>
              </w:rPr>
              <w:t>.0</w:t>
            </w:r>
            <w:r w:rsidRPr="006E2968">
              <w:rPr>
                <w:sz w:val="14"/>
              </w:rPr>
              <w:t>%</w:t>
            </w:r>
          </w:p>
        </w:tc>
        <w:tc>
          <w:tcPr>
            <w:tcW w:w="1134" w:type="dxa"/>
            <w:tcBorders>
              <w:top w:val="single" w:sz="4" w:space="0" w:color="auto"/>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93</w:t>
            </w:r>
            <w:r w:rsidR="00FA10DF">
              <w:rPr>
                <w:sz w:val="14"/>
              </w:rPr>
              <w:t>.0</w:t>
            </w:r>
            <w:r w:rsidRPr="006E2968">
              <w:rPr>
                <w:sz w:val="14"/>
              </w:rPr>
              <w:t>%</w:t>
            </w:r>
          </w:p>
        </w:tc>
      </w:tr>
      <w:tr w:rsidR="006E2968"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6E2968" w:rsidRPr="00D24919" w:rsidRDefault="006E2968" w:rsidP="00FF646B">
            <w:pPr>
              <w:pStyle w:val="TableText"/>
              <w:rPr>
                <w:sz w:val="14"/>
                <w:szCs w:val="14"/>
              </w:rPr>
            </w:pPr>
            <w:r w:rsidRPr="00D24919">
              <w:rPr>
                <w:sz w:val="14"/>
                <w:szCs w:val="14"/>
              </w:rPr>
              <w:t>Total New Zealand</w:t>
            </w:r>
          </w:p>
        </w:tc>
        <w:tc>
          <w:tcPr>
            <w:tcW w:w="1134" w:type="dxa"/>
            <w:tcBorders>
              <w:top w:val="single" w:sz="4" w:space="0" w:color="A6A6A6" w:themeColor="background1" w:themeShade="A6"/>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80</w:t>
            </w:r>
            <w:r w:rsidR="00FA10DF">
              <w:rPr>
                <w:sz w:val="14"/>
              </w:rPr>
              <w:t>.0</w:t>
            </w:r>
            <w:r w:rsidRPr="006E2968">
              <w:rPr>
                <w:sz w:val="14"/>
              </w:rPr>
              <w:t>%</w:t>
            </w:r>
          </w:p>
        </w:tc>
        <w:tc>
          <w:tcPr>
            <w:tcW w:w="1134" w:type="dxa"/>
            <w:tcBorders>
              <w:top w:val="single" w:sz="4" w:space="0" w:color="A6A6A6" w:themeColor="background1" w:themeShade="A6"/>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89</w:t>
            </w:r>
            <w:r w:rsidR="00FA10DF">
              <w:rPr>
                <w:sz w:val="14"/>
              </w:rPr>
              <w:t>.0</w:t>
            </w:r>
            <w:r w:rsidRPr="006E2968">
              <w:rPr>
                <w:sz w:val="14"/>
              </w:rPr>
              <w:t>%</w:t>
            </w:r>
          </w:p>
        </w:tc>
        <w:tc>
          <w:tcPr>
            <w:tcW w:w="1134" w:type="dxa"/>
            <w:tcBorders>
              <w:top w:val="single" w:sz="4" w:space="0" w:color="A6A6A6" w:themeColor="background1" w:themeShade="A6"/>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91</w:t>
            </w:r>
            <w:r w:rsidR="00FA10DF">
              <w:rPr>
                <w:sz w:val="14"/>
              </w:rPr>
              <w:t>.0</w:t>
            </w:r>
            <w:r w:rsidRPr="006E2968">
              <w:rPr>
                <w:sz w:val="14"/>
              </w:rPr>
              <w:t>%</w:t>
            </w:r>
          </w:p>
        </w:tc>
        <w:tc>
          <w:tcPr>
            <w:tcW w:w="1134" w:type="dxa"/>
            <w:tcBorders>
              <w:top w:val="single" w:sz="4" w:space="0" w:color="A6A6A6" w:themeColor="background1" w:themeShade="A6"/>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93</w:t>
            </w:r>
            <w:r w:rsidR="00FA10DF">
              <w:rPr>
                <w:sz w:val="14"/>
              </w:rPr>
              <w:t>.0</w:t>
            </w:r>
            <w:r w:rsidRPr="006E2968">
              <w:rPr>
                <w:sz w:val="14"/>
              </w:rPr>
              <w:t>%</w:t>
            </w:r>
          </w:p>
        </w:tc>
        <w:tc>
          <w:tcPr>
            <w:tcW w:w="1134" w:type="dxa"/>
            <w:tcBorders>
              <w:top w:val="single" w:sz="4" w:space="0" w:color="A6A6A6" w:themeColor="background1" w:themeShade="A6"/>
              <w:bottom w:val="single" w:sz="4" w:space="0" w:color="A6A6A6" w:themeColor="background1" w:themeShade="A6"/>
            </w:tcBorders>
          </w:tcPr>
          <w:p w:rsidR="006E2968" w:rsidRPr="006E2968" w:rsidRDefault="006E2968" w:rsidP="006E2968">
            <w:pPr>
              <w:pStyle w:val="TableText"/>
              <w:jc w:val="center"/>
              <w:rPr>
                <w:sz w:val="14"/>
              </w:rPr>
            </w:pPr>
            <w:r w:rsidRPr="006E2968">
              <w:rPr>
                <w:sz w:val="14"/>
              </w:rPr>
              <w:t>94</w:t>
            </w:r>
            <w:r w:rsidR="00FA10DF">
              <w:rPr>
                <w:sz w:val="14"/>
              </w:rPr>
              <w:t>.0</w:t>
            </w:r>
            <w:r w:rsidRPr="006E2968">
              <w:rPr>
                <w:sz w:val="14"/>
              </w:rPr>
              <w:t>%</w:t>
            </w:r>
          </w:p>
        </w:tc>
      </w:tr>
      <w:tr w:rsidR="006E2968" w:rsidRPr="004464BA" w:rsidTr="00FF646B">
        <w:trPr>
          <w:cantSplit/>
        </w:trPr>
        <w:tc>
          <w:tcPr>
            <w:tcW w:w="1418" w:type="dxa"/>
            <w:tcBorders>
              <w:top w:val="single" w:sz="4" w:space="0" w:color="A6A6A6" w:themeColor="background1" w:themeShade="A6"/>
              <w:bottom w:val="single" w:sz="4" w:space="0" w:color="auto"/>
            </w:tcBorders>
          </w:tcPr>
          <w:p w:rsidR="006E2968" w:rsidRPr="00D24919" w:rsidRDefault="00FA10DF" w:rsidP="00FF646B">
            <w:pPr>
              <w:pStyle w:val="TableText"/>
              <w:rPr>
                <w:sz w:val="14"/>
                <w:szCs w:val="14"/>
              </w:rPr>
            </w:pPr>
            <w:r>
              <w:rPr>
                <w:sz w:val="14"/>
                <w:szCs w:val="14"/>
              </w:rPr>
              <w:t>T</w:t>
            </w:r>
            <w:r w:rsidR="006E2968" w:rsidRPr="00D24919">
              <w:rPr>
                <w:sz w:val="14"/>
                <w:szCs w:val="14"/>
              </w:rPr>
              <w:t>arget</w:t>
            </w:r>
          </w:p>
        </w:tc>
        <w:tc>
          <w:tcPr>
            <w:tcW w:w="1134" w:type="dxa"/>
            <w:tcBorders>
              <w:top w:val="single" w:sz="4" w:space="0" w:color="A6A6A6" w:themeColor="background1" w:themeShade="A6"/>
              <w:bottom w:val="single" w:sz="4" w:space="0" w:color="auto"/>
            </w:tcBorders>
          </w:tcPr>
          <w:p w:rsidR="006E2968" w:rsidRPr="006E2968" w:rsidRDefault="006E2968" w:rsidP="006E2968">
            <w:pPr>
              <w:pStyle w:val="TableText"/>
              <w:jc w:val="center"/>
              <w:rPr>
                <w:sz w:val="14"/>
              </w:rPr>
            </w:pPr>
            <w:r w:rsidRPr="006E2968">
              <w:rPr>
                <w:sz w:val="14"/>
              </w:rPr>
              <w:t>90</w:t>
            </w:r>
            <w:r w:rsidR="00FA10DF">
              <w:rPr>
                <w:sz w:val="14"/>
              </w:rPr>
              <w:t>.0</w:t>
            </w:r>
            <w:r w:rsidRPr="006E2968">
              <w:rPr>
                <w:sz w:val="14"/>
              </w:rPr>
              <w:t>%</w:t>
            </w:r>
          </w:p>
        </w:tc>
        <w:tc>
          <w:tcPr>
            <w:tcW w:w="1134" w:type="dxa"/>
            <w:tcBorders>
              <w:top w:val="single" w:sz="4" w:space="0" w:color="A6A6A6" w:themeColor="background1" w:themeShade="A6"/>
              <w:bottom w:val="single" w:sz="4" w:space="0" w:color="auto"/>
            </w:tcBorders>
          </w:tcPr>
          <w:p w:rsidR="006E2968" w:rsidRPr="006E2968" w:rsidRDefault="006E2968" w:rsidP="006E2968">
            <w:pPr>
              <w:pStyle w:val="TableText"/>
              <w:jc w:val="center"/>
              <w:rPr>
                <w:sz w:val="14"/>
              </w:rPr>
            </w:pPr>
            <w:r w:rsidRPr="006E2968">
              <w:rPr>
                <w:sz w:val="14"/>
              </w:rPr>
              <w:t>90</w:t>
            </w:r>
            <w:r w:rsidR="00FA10DF">
              <w:rPr>
                <w:sz w:val="14"/>
              </w:rPr>
              <w:t>.0</w:t>
            </w:r>
            <w:r w:rsidRPr="006E2968">
              <w:rPr>
                <w:sz w:val="14"/>
              </w:rPr>
              <w:t>%</w:t>
            </w:r>
          </w:p>
        </w:tc>
        <w:tc>
          <w:tcPr>
            <w:tcW w:w="1134" w:type="dxa"/>
            <w:tcBorders>
              <w:top w:val="single" w:sz="4" w:space="0" w:color="A6A6A6" w:themeColor="background1" w:themeShade="A6"/>
              <w:bottom w:val="single" w:sz="4" w:space="0" w:color="auto"/>
            </w:tcBorders>
          </w:tcPr>
          <w:p w:rsidR="006E2968" w:rsidRPr="006E2968" w:rsidRDefault="006E2968" w:rsidP="006E2968">
            <w:pPr>
              <w:pStyle w:val="TableText"/>
              <w:jc w:val="center"/>
              <w:rPr>
                <w:sz w:val="14"/>
              </w:rPr>
            </w:pPr>
            <w:r w:rsidRPr="006E2968">
              <w:rPr>
                <w:sz w:val="14"/>
              </w:rPr>
              <w:t>90</w:t>
            </w:r>
            <w:r w:rsidR="00FA10DF">
              <w:rPr>
                <w:sz w:val="14"/>
              </w:rPr>
              <w:t>.0</w:t>
            </w:r>
            <w:r w:rsidRPr="006E2968">
              <w:rPr>
                <w:sz w:val="14"/>
              </w:rPr>
              <w:t>%</w:t>
            </w:r>
          </w:p>
        </w:tc>
        <w:tc>
          <w:tcPr>
            <w:tcW w:w="1134" w:type="dxa"/>
            <w:tcBorders>
              <w:top w:val="single" w:sz="4" w:space="0" w:color="A6A6A6" w:themeColor="background1" w:themeShade="A6"/>
              <w:bottom w:val="single" w:sz="4" w:space="0" w:color="auto"/>
            </w:tcBorders>
          </w:tcPr>
          <w:p w:rsidR="006E2968" w:rsidRPr="006E2968" w:rsidRDefault="006E2968" w:rsidP="006E2968">
            <w:pPr>
              <w:pStyle w:val="TableText"/>
              <w:jc w:val="center"/>
              <w:rPr>
                <w:sz w:val="14"/>
              </w:rPr>
            </w:pPr>
            <w:r w:rsidRPr="006E2968">
              <w:rPr>
                <w:sz w:val="14"/>
              </w:rPr>
              <w:t>90</w:t>
            </w:r>
            <w:r w:rsidR="00FA10DF">
              <w:rPr>
                <w:sz w:val="14"/>
              </w:rPr>
              <w:t>.0</w:t>
            </w:r>
            <w:r w:rsidRPr="006E2968">
              <w:rPr>
                <w:sz w:val="14"/>
              </w:rPr>
              <w:t>%</w:t>
            </w:r>
          </w:p>
        </w:tc>
        <w:tc>
          <w:tcPr>
            <w:tcW w:w="1134" w:type="dxa"/>
            <w:tcBorders>
              <w:top w:val="single" w:sz="4" w:space="0" w:color="A6A6A6" w:themeColor="background1" w:themeShade="A6"/>
              <w:bottom w:val="single" w:sz="4" w:space="0" w:color="auto"/>
            </w:tcBorders>
          </w:tcPr>
          <w:p w:rsidR="006E2968" w:rsidRPr="006E2968" w:rsidRDefault="006E2968" w:rsidP="006E2968">
            <w:pPr>
              <w:pStyle w:val="TableText"/>
              <w:jc w:val="center"/>
              <w:rPr>
                <w:sz w:val="14"/>
              </w:rPr>
            </w:pPr>
            <w:r w:rsidRPr="006E2968">
              <w:rPr>
                <w:sz w:val="14"/>
              </w:rPr>
              <w:t>90</w:t>
            </w:r>
            <w:r w:rsidR="00FA10DF">
              <w:rPr>
                <w:sz w:val="14"/>
              </w:rPr>
              <w:t>.0</w:t>
            </w:r>
            <w:r w:rsidRPr="006E2968">
              <w:rPr>
                <w:sz w:val="14"/>
              </w:rPr>
              <w:t>%</w:t>
            </w:r>
          </w:p>
        </w:tc>
      </w:tr>
    </w:tbl>
    <w:p w:rsidR="006E2968" w:rsidRDefault="006E2968" w:rsidP="006E2968"/>
    <w:p w:rsidR="00BA14B3" w:rsidRPr="007A28AF" w:rsidRDefault="00BA14B3" w:rsidP="007A28AF">
      <w:pPr>
        <w:rPr>
          <w:b/>
        </w:rPr>
      </w:pPr>
      <w:r w:rsidRPr="007A28AF">
        <w:rPr>
          <w:b/>
        </w:rPr>
        <w:t>Notes for Figures 11 and 12:</w:t>
      </w:r>
    </w:p>
    <w:p w:rsidR="00BA14B3" w:rsidRPr="00A119E8" w:rsidRDefault="00BA14B3" w:rsidP="007A28AF">
      <w:pPr>
        <w:pStyle w:val="Bullet"/>
      </w:pPr>
      <w:r w:rsidRPr="00A119E8">
        <w:t xml:space="preserve">Time period: checks </w:t>
      </w:r>
      <w:proofErr w:type="gramStart"/>
      <w:r w:rsidRPr="00A119E8">
        <w:t>between January 2015 to June 2015</w:t>
      </w:r>
      <w:proofErr w:type="gramEnd"/>
      <w:r w:rsidRPr="00A119E8">
        <w:t>.</w:t>
      </w:r>
    </w:p>
    <w:p w:rsidR="00BA14B3" w:rsidRPr="00A119E8" w:rsidRDefault="00BA14B3" w:rsidP="007A28AF">
      <w:pPr>
        <w:pStyle w:val="Bullet"/>
      </w:pPr>
      <w:r w:rsidRPr="00A119E8">
        <w:t>DHB is DHB of service.</w:t>
      </w:r>
    </w:p>
    <w:p w:rsidR="00BA14B3" w:rsidRPr="00A119E8" w:rsidRDefault="00BA14B3" w:rsidP="007A28AF">
      <w:pPr>
        <w:pStyle w:val="Bullet"/>
      </w:pPr>
      <w:r w:rsidRPr="00A119E8">
        <w:t>Numerator: number of completed B4</w:t>
      </w:r>
      <w:r>
        <w:t>SC</w:t>
      </w:r>
      <w:r w:rsidRPr="00A119E8">
        <w:t>s (source: B4 School Check).</w:t>
      </w:r>
    </w:p>
    <w:p w:rsidR="00BA14B3" w:rsidRPr="00A119E8" w:rsidRDefault="00BA14B3" w:rsidP="007A28AF">
      <w:pPr>
        <w:pStyle w:val="Bullet"/>
      </w:pPr>
      <w:r w:rsidRPr="00A119E8">
        <w:t>Denominator: number of children eligible for a B4</w:t>
      </w:r>
      <w:r>
        <w:t>SC</w:t>
      </w:r>
      <w:r w:rsidRPr="00A119E8">
        <w:t xml:space="preserve"> (source: PHO).</w:t>
      </w:r>
    </w:p>
    <w:p w:rsidR="00BA14B3" w:rsidRPr="00A119E8" w:rsidRDefault="00BA14B3" w:rsidP="007A28AF">
      <w:pPr>
        <w:pStyle w:val="Bullet"/>
      </w:pPr>
      <w:r w:rsidRPr="00A119E8">
        <w:t>Rates of greater than 100</w:t>
      </w:r>
      <w:r w:rsidR="00961DB7">
        <w:t xml:space="preserve"> percent</w:t>
      </w:r>
      <w:r w:rsidRPr="00A119E8">
        <w:t xml:space="preserve"> for ethnic subgroups is likely due to variation in ethnicity reporting in different systems.</w:t>
      </w:r>
    </w:p>
    <w:p w:rsidR="00BA14B3" w:rsidRPr="00A119E8" w:rsidRDefault="00BA14B3" w:rsidP="007A28AF"/>
    <w:p w:rsidR="0034306E" w:rsidRDefault="00BA14B3" w:rsidP="007A28AF">
      <w:r w:rsidRPr="00A119E8">
        <w:t>Figure 11 shows</w:t>
      </w:r>
      <w:r w:rsidRPr="00606D67">
        <w:t xml:space="preserve"> </w:t>
      </w:r>
      <w:r>
        <w:t xml:space="preserve">that </w:t>
      </w:r>
      <w:r w:rsidRPr="00A119E8">
        <w:t xml:space="preserve">the 90 percent target </w:t>
      </w:r>
      <w:r>
        <w:t xml:space="preserve">was achieved </w:t>
      </w:r>
      <w:r w:rsidRPr="00A119E8">
        <w:t>in this update</w:t>
      </w:r>
      <w:r>
        <w:t xml:space="preserve"> for Pacific children, and the ‘achieved target’ status has been maintained for children in the total New Zealand population</w:t>
      </w:r>
      <w:r w:rsidRPr="00A119E8">
        <w:t>.</w:t>
      </w:r>
    </w:p>
    <w:p w:rsidR="007A28AF" w:rsidRDefault="007A28AF" w:rsidP="007A28AF"/>
    <w:p w:rsidR="00BA14B3" w:rsidRDefault="00BA14B3" w:rsidP="007A28AF">
      <w:pPr>
        <w:pStyle w:val="Figure"/>
      </w:pPr>
      <w:bookmarkStart w:id="72" w:name="_Toc428368066"/>
      <w:bookmarkStart w:id="73" w:name="_Toc428370444"/>
      <w:bookmarkStart w:id="74" w:name="_Toc445801450"/>
      <w:bookmarkStart w:id="75" w:name="_Toc447527148"/>
      <w:r w:rsidRPr="00A119E8">
        <w:lastRenderedPageBreak/>
        <w:t xml:space="preserve">Figure </w:t>
      </w:r>
      <w:fldSimple w:instr=" SEQ Figure \* ARABIC ">
        <w:r w:rsidR="008D5FF2">
          <w:rPr>
            <w:noProof/>
          </w:rPr>
          <w:t>12</w:t>
        </w:r>
      </w:fldSimple>
      <w:r w:rsidRPr="00A119E8">
        <w:t>: Percentage of four-year-olds who received a B4SC, Pacific peoples, by priority DHBs, 2013–2015</w:t>
      </w:r>
      <w:bookmarkEnd w:id="72"/>
      <w:bookmarkEnd w:id="73"/>
      <w:bookmarkEnd w:id="74"/>
      <w:bookmarkEnd w:id="75"/>
    </w:p>
    <w:p w:rsidR="00BE6CA5" w:rsidRPr="00BE6CA5" w:rsidRDefault="00BE6CA5" w:rsidP="00BE6CA5">
      <w:pPr>
        <w:spacing w:after="120"/>
      </w:pPr>
      <w:r>
        <w:rPr>
          <w:noProof/>
          <w:lang w:eastAsia="en-NZ"/>
        </w:rPr>
        <w:drawing>
          <wp:inline distT="0" distB="0" distL="0" distR="0" wp14:anchorId="3FA29ECE" wp14:editId="5CB309FE">
            <wp:extent cx="4504197" cy="2751513"/>
            <wp:effectExtent l="0" t="0" r="0" b="0"/>
            <wp:docPr id="109" name="Picture 109" title="Figure 12: Percentage of four-year-olds who received a B4SC,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4353" cy="2751608"/>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6E2968" w:rsidRPr="00D24919" w:rsidTr="00FF646B">
        <w:trPr>
          <w:cantSplit/>
        </w:trPr>
        <w:tc>
          <w:tcPr>
            <w:tcW w:w="1418" w:type="dxa"/>
            <w:tcBorders>
              <w:top w:val="single" w:sz="4" w:space="0" w:color="auto"/>
              <w:bottom w:val="single" w:sz="4" w:space="0" w:color="auto"/>
            </w:tcBorders>
          </w:tcPr>
          <w:p w:rsidR="006E2968" w:rsidRPr="00D24919" w:rsidRDefault="006E2968" w:rsidP="00FF646B">
            <w:pPr>
              <w:pStyle w:val="TableText"/>
              <w:rPr>
                <w:b/>
                <w:sz w:val="14"/>
                <w:szCs w:val="14"/>
              </w:rPr>
            </w:pP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6E2968" w:rsidRPr="00D24919" w:rsidRDefault="006E2968" w:rsidP="00FF646B">
            <w:pPr>
              <w:pStyle w:val="TableText"/>
              <w:jc w:val="center"/>
              <w:rPr>
                <w:b/>
                <w:sz w:val="14"/>
                <w:szCs w:val="14"/>
              </w:rPr>
            </w:pPr>
            <w:r w:rsidRPr="00D24919">
              <w:rPr>
                <w:b/>
                <w:sz w:val="14"/>
                <w:szCs w:val="14"/>
              </w:rPr>
              <w:t>Sep-15</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Auckland</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57.0%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62.6%</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88.4%</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95.4%</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Canterbury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73.0%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62.0%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74.9%</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97.8%</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90.7%</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Capital &amp; Coast</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68.0%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76.5%</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71.1%</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90.1%</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 xml:space="preserve">Counties </w:t>
            </w:r>
            <w:proofErr w:type="spellStart"/>
            <w:r w:rsidRPr="004464BA">
              <w:rPr>
                <w:sz w:val="14"/>
                <w:szCs w:val="14"/>
              </w:rPr>
              <w:t>Manukau</w:t>
            </w:r>
            <w:proofErr w:type="spellEnd"/>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73.0%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76.0%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83.6%</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74.7%</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89.1%</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Hawke's Bay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83.0%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87.1%</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96.0%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87.1%</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Hutt Valley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75.0%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82.0%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83.0%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100.0%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100.0%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Waikato</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81.0%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78.8%</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75.2%</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75.5%</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proofErr w:type="spellStart"/>
            <w:r w:rsidRPr="004464BA">
              <w:rPr>
                <w:sz w:val="14"/>
                <w:szCs w:val="14"/>
              </w:rPr>
              <w:t>Waitemata</w:t>
            </w:r>
            <w:proofErr w:type="spellEnd"/>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68.0%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80.6%</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92.2%</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tabs>
                <w:tab w:val="decimal" w:pos="510"/>
              </w:tabs>
              <w:rPr>
                <w:sz w:val="14"/>
              </w:rPr>
            </w:pPr>
            <w:r w:rsidRPr="00FF646B">
              <w:rPr>
                <w:sz w:val="14"/>
              </w:rPr>
              <w:t>100.0%</w:t>
            </w:r>
          </w:p>
        </w:tc>
      </w:tr>
      <w:tr w:rsidR="00FF646B" w:rsidRPr="00313657" w:rsidTr="00FF646B">
        <w:trPr>
          <w:cantSplit/>
        </w:trPr>
        <w:tc>
          <w:tcPr>
            <w:tcW w:w="1418" w:type="dxa"/>
            <w:tcBorders>
              <w:top w:val="single" w:sz="4" w:space="0" w:color="A6A6A6" w:themeColor="background1" w:themeShade="A6"/>
              <w:bottom w:val="single" w:sz="4" w:space="0" w:color="auto"/>
            </w:tcBorders>
          </w:tcPr>
          <w:p w:rsidR="00FF646B" w:rsidRPr="004464BA" w:rsidRDefault="00FA10DF" w:rsidP="00FF646B">
            <w:pPr>
              <w:pStyle w:val="TableText"/>
              <w:rPr>
                <w:sz w:val="14"/>
                <w:szCs w:val="14"/>
              </w:rPr>
            </w:pPr>
            <w:r>
              <w:rPr>
                <w:sz w:val="14"/>
                <w:szCs w:val="14"/>
              </w:rPr>
              <w:t>T</w:t>
            </w:r>
            <w:r w:rsidR="00FF646B" w:rsidRPr="004464BA">
              <w:rPr>
                <w:sz w:val="14"/>
                <w:szCs w:val="14"/>
              </w:rPr>
              <w:t>arget</w:t>
            </w:r>
          </w:p>
        </w:tc>
        <w:tc>
          <w:tcPr>
            <w:tcW w:w="1134" w:type="dxa"/>
            <w:tcBorders>
              <w:top w:val="single" w:sz="4" w:space="0" w:color="A6A6A6" w:themeColor="background1" w:themeShade="A6"/>
              <w:bottom w:val="single" w:sz="4" w:space="0" w:color="auto"/>
            </w:tcBorders>
          </w:tcPr>
          <w:p w:rsidR="00FF646B" w:rsidRPr="00313657" w:rsidRDefault="00FF646B" w:rsidP="00FF646B">
            <w:pPr>
              <w:pStyle w:val="TableText"/>
              <w:tabs>
                <w:tab w:val="decimal" w:pos="510"/>
              </w:tabs>
              <w:rPr>
                <w:sz w:val="14"/>
                <w:szCs w:val="14"/>
              </w:rPr>
            </w:pPr>
            <w:r>
              <w:rPr>
                <w:sz w:val="14"/>
                <w:szCs w:val="14"/>
              </w:rPr>
              <w:t>90.0%</w:t>
            </w:r>
          </w:p>
        </w:tc>
        <w:tc>
          <w:tcPr>
            <w:tcW w:w="1134" w:type="dxa"/>
            <w:tcBorders>
              <w:top w:val="single" w:sz="4" w:space="0" w:color="A6A6A6" w:themeColor="background1" w:themeShade="A6"/>
              <w:bottom w:val="single" w:sz="4" w:space="0" w:color="auto"/>
            </w:tcBorders>
          </w:tcPr>
          <w:p w:rsidR="00FF646B" w:rsidRPr="00313657" w:rsidRDefault="00FF646B" w:rsidP="00FF646B">
            <w:pPr>
              <w:pStyle w:val="TableText"/>
              <w:tabs>
                <w:tab w:val="decimal" w:pos="510"/>
              </w:tabs>
              <w:rPr>
                <w:sz w:val="14"/>
                <w:szCs w:val="14"/>
              </w:rPr>
            </w:pPr>
            <w:r>
              <w:rPr>
                <w:sz w:val="14"/>
                <w:szCs w:val="14"/>
              </w:rPr>
              <w:t>90.0%</w:t>
            </w:r>
          </w:p>
        </w:tc>
        <w:tc>
          <w:tcPr>
            <w:tcW w:w="1134" w:type="dxa"/>
            <w:tcBorders>
              <w:top w:val="single" w:sz="4" w:space="0" w:color="A6A6A6" w:themeColor="background1" w:themeShade="A6"/>
              <w:bottom w:val="single" w:sz="4" w:space="0" w:color="auto"/>
            </w:tcBorders>
          </w:tcPr>
          <w:p w:rsidR="00FF646B" w:rsidRPr="00313657" w:rsidRDefault="00FF646B" w:rsidP="00FF646B">
            <w:pPr>
              <w:pStyle w:val="TableText"/>
              <w:tabs>
                <w:tab w:val="decimal" w:pos="510"/>
              </w:tabs>
              <w:rPr>
                <w:sz w:val="14"/>
                <w:szCs w:val="14"/>
              </w:rPr>
            </w:pPr>
            <w:r>
              <w:rPr>
                <w:sz w:val="14"/>
                <w:szCs w:val="14"/>
              </w:rPr>
              <w:t>90.0%</w:t>
            </w:r>
          </w:p>
        </w:tc>
        <w:tc>
          <w:tcPr>
            <w:tcW w:w="1134" w:type="dxa"/>
            <w:tcBorders>
              <w:top w:val="single" w:sz="4" w:space="0" w:color="A6A6A6" w:themeColor="background1" w:themeShade="A6"/>
              <w:bottom w:val="single" w:sz="4" w:space="0" w:color="auto"/>
            </w:tcBorders>
          </w:tcPr>
          <w:p w:rsidR="00FF646B" w:rsidRPr="00313657" w:rsidRDefault="00FF646B" w:rsidP="00FF646B">
            <w:pPr>
              <w:pStyle w:val="TableText"/>
              <w:tabs>
                <w:tab w:val="decimal" w:pos="510"/>
              </w:tabs>
              <w:rPr>
                <w:sz w:val="14"/>
                <w:szCs w:val="14"/>
              </w:rPr>
            </w:pPr>
            <w:r>
              <w:rPr>
                <w:sz w:val="14"/>
                <w:szCs w:val="14"/>
              </w:rPr>
              <w:t>90.0%</w:t>
            </w:r>
          </w:p>
        </w:tc>
        <w:tc>
          <w:tcPr>
            <w:tcW w:w="1134" w:type="dxa"/>
            <w:tcBorders>
              <w:top w:val="single" w:sz="4" w:space="0" w:color="A6A6A6" w:themeColor="background1" w:themeShade="A6"/>
              <w:bottom w:val="single" w:sz="4" w:space="0" w:color="auto"/>
            </w:tcBorders>
          </w:tcPr>
          <w:p w:rsidR="00FF646B" w:rsidRPr="00313657" w:rsidRDefault="00FF646B" w:rsidP="00FF646B">
            <w:pPr>
              <w:pStyle w:val="TableText"/>
              <w:tabs>
                <w:tab w:val="decimal" w:pos="510"/>
              </w:tabs>
              <w:rPr>
                <w:sz w:val="14"/>
                <w:szCs w:val="14"/>
              </w:rPr>
            </w:pPr>
            <w:r>
              <w:rPr>
                <w:sz w:val="14"/>
                <w:szCs w:val="14"/>
              </w:rPr>
              <w:t>90.0%</w:t>
            </w:r>
          </w:p>
        </w:tc>
      </w:tr>
    </w:tbl>
    <w:p w:rsidR="006E2968" w:rsidRDefault="006E2968" w:rsidP="006E2968"/>
    <w:p w:rsidR="00BA14B3" w:rsidRDefault="00BA14B3" w:rsidP="007A28AF">
      <w:r w:rsidRPr="00A119E8">
        <w:t xml:space="preserve">Figure 12 shows </w:t>
      </w:r>
      <w:r>
        <w:t xml:space="preserve">that </w:t>
      </w:r>
      <w:r w:rsidRPr="00A119E8">
        <w:t xml:space="preserve">five out of the eight priority DHBs have achieved the target of 90 percent. These were Auckland, Canterbury, Capital &amp; Coast, Hutt Valley, and </w:t>
      </w:r>
      <w:proofErr w:type="spellStart"/>
      <w:r w:rsidRPr="00A119E8">
        <w:t>Waitemata</w:t>
      </w:r>
      <w:proofErr w:type="spellEnd"/>
      <w:r w:rsidRPr="00A119E8">
        <w:t xml:space="preserve"> DHBs. Capital &amp; Coast </w:t>
      </w:r>
      <w:r>
        <w:t xml:space="preserve">DHB </w:t>
      </w:r>
      <w:r w:rsidRPr="00A119E8">
        <w:t>and Auckland DHB both achieved the target in this progress report</w:t>
      </w:r>
      <w:r>
        <w:t xml:space="preserve"> compared with the previous progress report</w:t>
      </w:r>
      <w:r w:rsidRPr="00A119E8">
        <w:t xml:space="preserve">. Over the years, Auckland and </w:t>
      </w:r>
      <w:proofErr w:type="spellStart"/>
      <w:r w:rsidRPr="00A119E8">
        <w:t>Waitemata</w:t>
      </w:r>
      <w:proofErr w:type="spellEnd"/>
      <w:r w:rsidRPr="00A119E8">
        <w:t xml:space="preserve"> </w:t>
      </w:r>
      <w:r>
        <w:t xml:space="preserve">DHBs </w:t>
      </w:r>
      <w:r w:rsidRPr="00A119E8">
        <w:t xml:space="preserve">have significantly increased their coverage of B4SC rates for Pacific children (54 percent for both DHBs in September 2013 to 95 and 100 percent respectively). Counties </w:t>
      </w:r>
      <w:proofErr w:type="spellStart"/>
      <w:r w:rsidRPr="00A119E8">
        <w:t>Manukau</w:t>
      </w:r>
      <w:proofErr w:type="spellEnd"/>
      <w:r w:rsidRPr="00A119E8">
        <w:t xml:space="preserve"> </w:t>
      </w:r>
      <w:r>
        <w:t>DHB</w:t>
      </w:r>
      <w:r w:rsidRPr="00A119E8">
        <w:t xml:space="preserve"> has also made progress and is on its way to achieving the national target. Hawke’s Bay </w:t>
      </w:r>
      <w:r>
        <w:t xml:space="preserve">DHB </w:t>
      </w:r>
      <w:r w:rsidRPr="00A119E8">
        <w:t>was not able to maintain its achieved status for this update; however, we are working with very small numbers here. Waikato DHB is aware of the need to improve.</w:t>
      </w:r>
    </w:p>
    <w:p w:rsidR="007A28AF" w:rsidRPr="00A119E8" w:rsidRDefault="007A28AF"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2d</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 xml:space="preserve">Increased percentage of Pacific infants who are exclusively or fully breastfed </w:t>
            </w:r>
            <w:r>
              <w:rPr>
                <w:b/>
                <w:color w:val="FFFFFF"/>
                <w:sz w:val="20"/>
                <w:lang w:eastAsia="en-NZ"/>
              </w:rPr>
              <w:t>at</w:t>
            </w:r>
            <w:r w:rsidR="0034306E">
              <w:rPr>
                <w:b/>
                <w:color w:val="FFFFFF"/>
                <w:sz w:val="20"/>
                <w:lang w:eastAsia="en-NZ"/>
              </w:rPr>
              <w:t xml:space="preserve"> </w:t>
            </w:r>
            <w:r w:rsidRPr="00A119E8">
              <w:rPr>
                <w:b/>
                <w:color w:val="FFFFFF"/>
                <w:sz w:val="20"/>
                <w:lang w:eastAsia="en-NZ"/>
              </w:rPr>
              <w:t>three months</w:t>
            </w:r>
            <w:r>
              <w:rPr>
                <w:b/>
                <w:color w:val="FFFFFF"/>
                <w:sz w:val="20"/>
                <w:lang w:eastAsia="en-NZ"/>
              </w:rPr>
              <w:t xml:space="preserve"> of age</w:t>
            </w:r>
          </w:p>
        </w:tc>
      </w:tr>
    </w:tbl>
    <w:p w:rsidR="00BA14B3" w:rsidRPr="00A119E8" w:rsidRDefault="00BA14B3" w:rsidP="00FF646B">
      <w:pPr>
        <w:keepNext/>
      </w:pPr>
    </w:p>
    <w:p w:rsidR="00BA14B3" w:rsidRDefault="00BA14B3" w:rsidP="00FF646B">
      <w:pPr>
        <w:keepNext/>
      </w:pPr>
      <w:r w:rsidRPr="007A28AF">
        <w:rPr>
          <w:b/>
        </w:rPr>
        <w:t>Performance:</w:t>
      </w:r>
      <w:r w:rsidR="007A28AF">
        <w:t xml:space="preserve"> </w:t>
      </w:r>
      <w:r>
        <w:t>The i</w:t>
      </w:r>
      <w:r w:rsidRPr="00A119E8">
        <w:t>nterim/</w:t>
      </w:r>
      <w:r>
        <w:t>o</w:t>
      </w:r>
      <w:r w:rsidRPr="00A119E8">
        <w:t xml:space="preserve">ld target of 54 percent was set to be achieved by December 2014. This target was set at 90 percent of the </w:t>
      </w:r>
      <w:r>
        <w:t>f</w:t>
      </w:r>
      <w:r w:rsidRPr="00A119E8">
        <w:t>inal/</w:t>
      </w:r>
      <w:r>
        <w:t>n</w:t>
      </w:r>
      <w:r w:rsidRPr="00A119E8">
        <w:t xml:space="preserve">ew target of 60 percent, </w:t>
      </w:r>
      <w:r>
        <w:t>which was</w:t>
      </w:r>
      <w:r w:rsidRPr="00A119E8">
        <w:t xml:space="preserve"> set to be achieved by June 2016.</w:t>
      </w:r>
    </w:p>
    <w:p w:rsidR="00BA14B3" w:rsidRPr="00A119E8" w:rsidRDefault="00BA14B3" w:rsidP="00FF646B">
      <w:pPr>
        <w:keepNext/>
      </w:pPr>
    </w:p>
    <w:p w:rsidR="00BA14B3" w:rsidRDefault="00BA14B3" w:rsidP="007A28AF">
      <w:pPr>
        <w:pStyle w:val="Figure"/>
      </w:pPr>
      <w:bookmarkStart w:id="76" w:name="_Toc428368067"/>
      <w:bookmarkStart w:id="77" w:name="_Toc428370445"/>
      <w:bookmarkStart w:id="78" w:name="_Toc445801451"/>
      <w:bookmarkStart w:id="79" w:name="_Toc447527149"/>
      <w:r w:rsidRPr="00A119E8">
        <w:t xml:space="preserve">Figure </w:t>
      </w:r>
      <w:fldSimple w:instr=" SEQ Figure \* ARABIC ">
        <w:r w:rsidR="008D5FF2">
          <w:rPr>
            <w:noProof/>
          </w:rPr>
          <w:t>13</w:t>
        </w:r>
      </w:fldSimple>
      <w:r w:rsidRPr="00A119E8">
        <w:t>: Percentage of infants exclusively or fully breastfed at three months</w:t>
      </w:r>
      <w:r>
        <w:t xml:space="preserve"> of age</w:t>
      </w:r>
      <w:r w:rsidRPr="00A119E8">
        <w:t>, Pacific peoples population and total New Zealand population, 2013–2015</w:t>
      </w:r>
      <w:bookmarkEnd w:id="76"/>
      <w:bookmarkEnd w:id="77"/>
      <w:bookmarkEnd w:id="78"/>
      <w:bookmarkEnd w:id="79"/>
    </w:p>
    <w:p w:rsidR="00CF519B" w:rsidRPr="00CF519B" w:rsidRDefault="00CF519B" w:rsidP="00CF519B">
      <w:pPr>
        <w:spacing w:after="120"/>
      </w:pPr>
      <w:r>
        <w:rPr>
          <w:noProof/>
          <w:lang w:eastAsia="en-NZ"/>
        </w:rPr>
        <w:drawing>
          <wp:inline distT="0" distB="0" distL="0" distR="0" wp14:anchorId="5B934836" wp14:editId="3C4631E2">
            <wp:extent cx="4497185" cy="2744129"/>
            <wp:effectExtent l="0" t="0" r="0" b="0"/>
            <wp:docPr id="110" name="Picture 110" title="Figure 13: Percentage of infants exclusively or fully breastfed at three months of age,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1841" cy="2746970"/>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FF646B" w:rsidRPr="00D24919" w:rsidTr="00FF646B">
        <w:trPr>
          <w:cantSplit/>
        </w:trPr>
        <w:tc>
          <w:tcPr>
            <w:tcW w:w="1418" w:type="dxa"/>
            <w:tcBorders>
              <w:top w:val="single" w:sz="4" w:space="0" w:color="auto"/>
              <w:bottom w:val="single" w:sz="4" w:space="0" w:color="auto"/>
            </w:tcBorders>
          </w:tcPr>
          <w:p w:rsidR="00FF646B" w:rsidRPr="00D24919" w:rsidRDefault="00FF646B" w:rsidP="00FF646B">
            <w:pPr>
              <w:pStyle w:val="TableText"/>
              <w:rPr>
                <w:b/>
                <w:sz w:val="14"/>
                <w:szCs w:val="14"/>
              </w:rPr>
            </w:pP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Sep-15</w:t>
            </w:r>
          </w:p>
        </w:tc>
      </w:tr>
      <w:tr w:rsidR="00FF646B" w:rsidRPr="004464BA" w:rsidTr="00FF646B">
        <w:trPr>
          <w:cantSplit/>
        </w:trPr>
        <w:tc>
          <w:tcPr>
            <w:tcW w:w="1418" w:type="dxa"/>
            <w:tcBorders>
              <w:top w:val="single" w:sz="4" w:space="0" w:color="auto"/>
              <w:bottom w:val="single" w:sz="4" w:space="0" w:color="A6A6A6" w:themeColor="background1" w:themeShade="A6"/>
            </w:tcBorders>
          </w:tcPr>
          <w:p w:rsidR="00FF646B" w:rsidRPr="00D24919" w:rsidRDefault="00FF646B" w:rsidP="00FF646B">
            <w:pPr>
              <w:pStyle w:val="TableText"/>
              <w:rPr>
                <w:sz w:val="14"/>
                <w:szCs w:val="14"/>
              </w:rPr>
            </w:pPr>
            <w:r w:rsidRPr="00D24919">
              <w:rPr>
                <w:sz w:val="14"/>
                <w:szCs w:val="14"/>
              </w:rPr>
              <w:t>Pacific</w:t>
            </w:r>
          </w:p>
        </w:tc>
        <w:tc>
          <w:tcPr>
            <w:tcW w:w="1134" w:type="dxa"/>
            <w:tcBorders>
              <w:top w:val="single" w:sz="4" w:space="0" w:color="auto"/>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48.0%</w:t>
            </w:r>
          </w:p>
        </w:tc>
        <w:tc>
          <w:tcPr>
            <w:tcW w:w="1134" w:type="dxa"/>
            <w:tcBorders>
              <w:top w:val="single" w:sz="4" w:space="0" w:color="auto"/>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45.0%</w:t>
            </w:r>
          </w:p>
        </w:tc>
        <w:tc>
          <w:tcPr>
            <w:tcW w:w="1134" w:type="dxa"/>
            <w:tcBorders>
              <w:top w:val="single" w:sz="4" w:space="0" w:color="auto"/>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45.0%</w:t>
            </w:r>
          </w:p>
        </w:tc>
        <w:tc>
          <w:tcPr>
            <w:tcW w:w="1134" w:type="dxa"/>
            <w:tcBorders>
              <w:top w:val="single" w:sz="4" w:space="0" w:color="auto"/>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46.0%</w:t>
            </w:r>
          </w:p>
        </w:tc>
        <w:tc>
          <w:tcPr>
            <w:tcW w:w="1134" w:type="dxa"/>
            <w:tcBorders>
              <w:top w:val="single" w:sz="4" w:space="0" w:color="auto"/>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47.0%</w:t>
            </w:r>
          </w:p>
        </w:tc>
      </w:tr>
      <w:tr w:rsidR="00FF646B"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D24919" w:rsidRDefault="00FF646B" w:rsidP="00FF646B">
            <w:pPr>
              <w:pStyle w:val="TableText"/>
              <w:rPr>
                <w:sz w:val="14"/>
                <w:szCs w:val="14"/>
              </w:rPr>
            </w:pPr>
            <w:r w:rsidRPr="00D24919">
              <w:rPr>
                <w:sz w:val="14"/>
                <w:szCs w:val="14"/>
              </w:rPr>
              <w:t>Total New Zealand</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55.5%</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54.9%</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55.0%</w:t>
            </w:r>
          </w:p>
        </w:tc>
      </w:tr>
      <w:tr w:rsidR="00FF646B" w:rsidRPr="004464BA"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D24919" w:rsidRDefault="00FF646B" w:rsidP="00FF646B">
            <w:pPr>
              <w:pStyle w:val="TableText"/>
              <w:rPr>
                <w:sz w:val="14"/>
                <w:szCs w:val="14"/>
              </w:rPr>
            </w:pPr>
            <w:r w:rsidRPr="00D24919">
              <w:rPr>
                <w:sz w:val="14"/>
                <w:szCs w:val="14"/>
              </w:rPr>
              <w:t>Old target</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p>
        </w:tc>
      </w:tr>
      <w:tr w:rsidR="00FF646B" w:rsidRPr="004464BA" w:rsidTr="00FF646B">
        <w:trPr>
          <w:cantSplit/>
        </w:trPr>
        <w:tc>
          <w:tcPr>
            <w:tcW w:w="1418" w:type="dxa"/>
            <w:tcBorders>
              <w:top w:val="single" w:sz="4" w:space="0" w:color="A6A6A6" w:themeColor="background1" w:themeShade="A6"/>
              <w:bottom w:val="single" w:sz="4" w:space="0" w:color="auto"/>
            </w:tcBorders>
          </w:tcPr>
          <w:p w:rsidR="00FF646B" w:rsidRPr="00D24919" w:rsidRDefault="00FF646B" w:rsidP="00FF646B">
            <w:pPr>
              <w:pStyle w:val="TableText"/>
              <w:rPr>
                <w:sz w:val="14"/>
                <w:szCs w:val="14"/>
              </w:rPr>
            </w:pPr>
            <w:r w:rsidRPr="00D24919">
              <w:rPr>
                <w:sz w:val="14"/>
                <w:szCs w:val="14"/>
              </w:rPr>
              <w:t>New target</w:t>
            </w: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r w:rsidRPr="00FF646B">
              <w:rPr>
                <w:sz w:val="14"/>
              </w:rPr>
              <w:t>60.0%</w:t>
            </w: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r w:rsidRPr="00FF646B">
              <w:rPr>
                <w:sz w:val="14"/>
              </w:rPr>
              <w:t>60.0%</w:t>
            </w:r>
          </w:p>
        </w:tc>
      </w:tr>
    </w:tbl>
    <w:p w:rsidR="00FF646B" w:rsidRDefault="00FF646B" w:rsidP="00FF646B"/>
    <w:p w:rsidR="00BA14B3" w:rsidRPr="007A28AF" w:rsidRDefault="00BA14B3" w:rsidP="007A28AF">
      <w:pPr>
        <w:rPr>
          <w:b/>
        </w:rPr>
      </w:pPr>
      <w:r w:rsidRPr="007A28AF">
        <w:rPr>
          <w:b/>
        </w:rPr>
        <w:t>Notes for Figures 13 and 14:</w:t>
      </w:r>
    </w:p>
    <w:p w:rsidR="00BA14B3" w:rsidRPr="00A119E8" w:rsidRDefault="00BA14B3" w:rsidP="007A28AF">
      <w:pPr>
        <w:pStyle w:val="Bullet"/>
      </w:pPr>
      <w:r w:rsidRPr="00A119E8">
        <w:t>Time period: infants aged three months between 1 January 2015 t0 30 June 2015.</w:t>
      </w:r>
    </w:p>
    <w:p w:rsidR="00BA14B3" w:rsidRPr="00A119E8" w:rsidRDefault="00BA14B3" w:rsidP="007A28AF">
      <w:pPr>
        <w:pStyle w:val="Bullet"/>
      </w:pPr>
      <w:r w:rsidRPr="00A119E8">
        <w:t xml:space="preserve">Results for this indicator for this period are not directly comparable with results from earlier periods because of the inclusion of data from </w:t>
      </w:r>
      <w:proofErr w:type="spellStart"/>
      <w:r w:rsidRPr="00A119E8">
        <w:t>Tamariki</w:t>
      </w:r>
      <w:proofErr w:type="spellEnd"/>
      <w:r w:rsidRPr="00A119E8">
        <w:t xml:space="preserve"> </w:t>
      </w:r>
      <w:proofErr w:type="spellStart"/>
      <w:r w:rsidRPr="00A119E8">
        <w:t>Ora</w:t>
      </w:r>
      <w:proofErr w:type="spellEnd"/>
      <w:r w:rsidRPr="00A119E8">
        <w:t xml:space="preserve"> providers in addition to Plunket data.</w:t>
      </w:r>
    </w:p>
    <w:p w:rsidR="00BA14B3" w:rsidRPr="00A119E8" w:rsidRDefault="00BA14B3" w:rsidP="007A28AF">
      <w:pPr>
        <w:pStyle w:val="Bullet"/>
      </w:pPr>
      <w:r w:rsidRPr="00A119E8">
        <w:t xml:space="preserve">Numerator: breastfeeding at three months </w:t>
      </w:r>
      <w:r>
        <w:t xml:space="preserve">of age </w:t>
      </w:r>
      <w:r w:rsidRPr="00A119E8">
        <w:t>= exclusive or fully (source: WCTO NHI data set).</w:t>
      </w:r>
    </w:p>
    <w:p w:rsidR="00BA14B3" w:rsidRPr="00A119E8" w:rsidRDefault="00BA14B3" w:rsidP="007A28AF">
      <w:pPr>
        <w:pStyle w:val="Bullet"/>
      </w:pPr>
      <w:r w:rsidRPr="00A119E8">
        <w:t>Denominator: breastfeeding at three months</w:t>
      </w:r>
      <w:r>
        <w:t xml:space="preserve"> of age</w:t>
      </w:r>
      <w:r w:rsidRPr="00A119E8">
        <w:t xml:space="preserve"> = not null (source: WCTO NHI data set).</w:t>
      </w:r>
    </w:p>
    <w:p w:rsidR="00BA14B3" w:rsidRPr="00A119E8" w:rsidRDefault="00BA14B3" w:rsidP="007A28AF"/>
    <w:p w:rsidR="0034306E" w:rsidRDefault="00BA14B3" w:rsidP="007A28AF">
      <w:r w:rsidRPr="00A119E8">
        <w:t xml:space="preserve">Figure 13 shows </w:t>
      </w:r>
      <w:r>
        <w:t xml:space="preserve">that </w:t>
      </w:r>
      <w:r w:rsidRPr="00A119E8">
        <w:t xml:space="preserve">there was not much progress in </w:t>
      </w:r>
      <w:r>
        <w:t>either</w:t>
      </w:r>
      <w:r w:rsidRPr="00A119E8">
        <w:t xml:space="preserve"> population since September 2014. In 2016/17 the Ministry of Health will be updating the National Breastfeeding Strategy to improve rates across the entire population and reduce inequity gaps.</w:t>
      </w:r>
    </w:p>
    <w:p w:rsidR="00BA14B3" w:rsidRPr="00A119E8" w:rsidRDefault="00BA14B3" w:rsidP="007A28AF"/>
    <w:p w:rsidR="00BA14B3" w:rsidRPr="00A119E8" w:rsidRDefault="00BA14B3" w:rsidP="007A28AF">
      <w:pPr>
        <w:pStyle w:val="Figure"/>
      </w:pPr>
      <w:bookmarkStart w:id="80" w:name="_Toc428368068"/>
      <w:bookmarkStart w:id="81" w:name="_Toc428370446"/>
      <w:bookmarkStart w:id="82" w:name="_Toc445801452"/>
      <w:bookmarkStart w:id="83" w:name="_Toc447527150"/>
      <w:r w:rsidRPr="00A119E8">
        <w:lastRenderedPageBreak/>
        <w:t xml:space="preserve">Figure </w:t>
      </w:r>
      <w:fldSimple w:instr=" SEQ Figure \* ARABIC ">
        <w:r w:rsidR="008D5FF2">
          <w:rPr>
            <w:noProof/>
          </w:rPr>
          <w:t>14</w:t>
        </w:r>
      </w:fldSimple>
      <w:r w:rsidRPr="00A119E8">
        <w:t>: Percentage of infants exclusively or fully breastfed at three months</w:t>
      </w:r>
      <w:r>
        <w:t xml:space="preserve"> of age</w:t>
      </w:r>
      <w:r w:rsidRPr="00A119E8">
        <w:t>, Pacific peoples, by priority DHBs, 2013–2015</w:t>
      </w:r>
      <w:bookmarkEnd w:id="80"/>
      <w:bookmarkEnd w:id="81"/>
      <w:bookmarkEnd w:id="82"/>
      <w:bookmarkEnd w:id="83"/>
    </w:p>
    <w:p w:rsidR="00BA14B3" w:rsidRDefault="00FF646B" w:rsidP="00FF646B">
      <w:r>
        <w:rPr>
          <w:noProof/>
          <w:lang w:eastAsia="en-NZ"/>
        </w:rPr>
        <w:drawing>
          <wp:inline distT="0" distB="0" distL="0" distR="0" wp14:anchorId="6BF48503" wp14:editId="1E9FC318">
            <wp:extent cx="4497186" cy="2747230"/>
            <wp:effectExtent l="0" t="0" r="0" b="0"/>
            <wp:docPr id="103" name="Picture 103" title="Figure 14: Percentage of infants exclusively or fully breastfed at three months of ag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393" cy="2749189"/>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FF646B" w:rsidRPr="00D24919" w:rsidTr="00FF646B">
        <w:trPr>
          <w:cantSplit/>
        </w:trPr>
        <w:tc>
          <w:tcPr>
            <w:tcW w:w="1418" w:type="dxa"/>
            <w:tcBorders>
              <w:top w:val="single" w:sz="4" w:space="0" w:color="auto"/>
              <w:bottom w:val="single" w:sz="4" w:space="0" w:color="auto"/>
            </w:tcBorders>
          </w:tcPr>
          <w:p w:rsidR="00FF646B" w:rsidRPr="00D24919" w:rsidRDefault="00FF646B" w:rsidP="00FF646B">
            <w:pPr>
              <w:pStyle w:val="TableText"/>
              <w:rPr>
                <w:b/>
                <w:sz w:val="14"/>
                <w:szCs w:val="14"/>
              </w:rPr>
            </w:pP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FF646B" w:rsidRPr="00D24919" w:rsidRDefault="00FF646B" w:rsidP="00FF646B">
            <w:pPr>
              <w:pStyle w:val="TableText"/>
              <w:jc w:val="center"/>
              <w:rPr>
                <w:b/>
                <w:sz w:val="14"/>
                <w:szCs w:val="14"/>
              </w:rPr>
            </w:pPr>
            <w:r w:rsidRPr="00D24919">
              <w:rPr>
                <w:b/>
                <w:sz w:val="14"/>
                <w:szCs w:val="14"/>
              </w:rPr>
              <w:t>Sep-15</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Auckland</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42.0%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40.8%</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45.4%</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49.0%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Canterbury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46.0%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52.9%</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50.0%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Capital &amp; Coast</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41.1%</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53.7%</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 xml:space="preserve">Counties </w:t>
            </w:r>
            <w:proofErr w:type="spellStart"/>
            <w:r w:rsidRPr="004464BA">
              <w:rPr>
                <w:sz w:val="14"/>
                <w:szCs w:val="14"/>
              </w:rPr>
              <w:t>Manukau</w:t>
            </w:r>
            <w:proofErr w:type="spellEnd"/>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42.0%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41.8%</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43.2%</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44.0%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Hawke's Bay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39.0%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46.0%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39.5%</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55.8%</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62.0%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Hutt Valley</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53.0%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46.0%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43.4%</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36.7%</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50.0%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r w:rsidRPr="004464BA">
              <w:rPr>
                <w:sz w:val="14"/>
                <w:szCs w:val="14"/>
              </w:rPr>
              <w:t>Waikato</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57.0%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47.0%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48.1%</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45.5%</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50.0%</w:t>
            </w:r>
          </w:p>
        </w:tc>
      </w:tr>
      <w:tr w:rsidR="00FF646B" w:rsidRPr="00313657" w:rsidTr="00FF646B">
        <w:trPr>
          <w:cantSplit/>
        </w:trPr>
        <w:tc>
          <w:tcPr>
            <w:tcW w:w="1418" w:type="dxa"/>
            <w:tcBorders>
              <w:top w:val="single" w:sz="4" w:space="0" w:color="A6A6A6" w:themeColor="background1" w:themeShade="A6"/>
              <w:bottom w:val="single" w:sz="4" w:space="0" w:color="A6A6A6" w:themeColor="background1" w:themeShade="A6"/>
            </w:tcBorders>
          </w:tcPr>
          <w:p w:rsidR="00FF646B" w:rsidRPr="004464BA" w:rsidRDefault="00FF646B" w:rsidP="00FF646B">
            <w:pPr>
              <w:pStyle w:val="TableText"/>
              <w:rPr>
                <w:sz w:val="14"/>
                <w:szCs w:val="14"/>
              </w:rPr>
            </w:pPr>
            <w:proofErr w:type="spellStart"/>
            <w:r w:rsidRPr="004464BA">
              <w:rPr>
                <w:sz w:val="14"/>
                <w:szCs w:val="14"/>
              </w:rPr>
              <w:t>Waitemata</w:t>
            </w:r>
            <w:proofErr w:type="spellEnd"/>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55.0%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50.7%</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48.2%</w:t>
            </w:r>
          </w:p>
        </w:tc>
        <w:tc>
          <w:tcPr>
            <w:tcW w:w="1134" w:type="dxa"/>
            <w:tcBorders>
              <w:top w:val="single" w:sz="4" w:space="0" w:color="A6A6A6" w:themeColor="background1" w:themeShade="A6"/>
              <w:bottom w:val="single" w:sz="4" w:space="0" w:color="A6A6A6" w:themeColor="background1" w:themeShade="A6"/>
            </w:tcBorders>
          </w:tcPr>
          <w:p w:rsidR="00FF646B" w:rsidRPr="00FF646B" w:rsidRDefault="00FF646B" w:rsidP="00FF646B">
            <w:pPr>
              <w:pStyle w:val="TableText"/>
              <w:jc w:val="center"/>
              <w:rPr>
                <w:sz w:val="14"/>
              </w:rPr>
            </w:pPr>
            <w:r w:rsidRPr="00FF646B">
              <w:rPr>
                <w:sz w:val="14"/>
              </w:rPr>
              <w:t>49.0%</w:t>
            </w:r>
          </w:p>
        </w:tc>
      </w:tr>
      <w:tr w:rsidR="00CF519B" w:rsidRPr="00313657" w:rsidTr="00CF519B">
        <w:trPr>
          <w:cantSplit/>
        </w:trPr>
        <w:tc>
          <w:tcPr>
            <w:tcW w:w="1418" w:type="dxa"/>
            <w:tcBorders>
              <w:top w:val="single" w:sz="4" w:space="0" w:color="A6A6A6" w:themeColor="background1" w:themeShade="A6"/>
              <w:bottom w:val="single" w:sz="4" w:space="0" w:color="A6A6A6" w:themeColor="background1" w:themeShade="A6"/>
            </w:tcBorders>
          </w:tcPr>
          <w:p w:rsidR="00CF519B" w:rsidRPr="004464BA" w:rsidRDefault="00CF519B" w:rsidP="00FD02A6">
            <w:pPr>
              <w:pStyle w:val="TableText"/>
              <w:rPr>
                <w:sz w:val="14"/>
                <w:szCs w:val="14"/>
              </w:rPr>
            </w:pPr>
            <w:r w:rsidRPr="004464BA">
              <w:rPr>
                <w:sz w:val="14"/>
                <w:szCs w:val="14"/>
              </w:rPr>
              <w:t xml:space="preserve">Old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6A6A6" w:themeColor="background1" w:themeShade="A6"/>
            </w:tcBorders>
          </w:tcPr>
          <w:p w:rsidR="00CF519B" w:rsidRPr="00FF646B" w:rsidRDefault="00CF519B" w:rsidP="00FD02A6">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CF519B" w:rsidRPr="00FF646B" w:rsidRDefault="00CF519B" w:rsidP="00FD02A6">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CF519B" w:rsidRPr="00FF646B" w:rsidRDefault="00CF519B" w:rsidP="00FD02A6">
            <w:pPr>
              <w:pStyle w:val="TableText"/>
              <w:jc w:val="center"/>
              <w:rPr>
                <w:sz w:val="14"/>
              </w:rPr>
            </w:pPr>
            <w:r w:rsidRPr="00FF646B">
              <w:rPr>
                <w:sz w:val="14"/>
              </w:rPr>
              <w:t>54.0%</w:t>
            </w:r>
          </w:p>
        </w:tc>
        <w:tc>
          <w:tcPr>
            <w:tcW w:w="1134" w:type="dxa"/>
            <w:tcBorders>
              <w:top w:val="single" w:sz="4" w:space="0" w:color="A6A6A6" w:themeColor="background1" w:themeShade="A6"/>
              <w:bottom w:val="single" w:sz="4" w:space="0" w:color="A6A6A6" w:themeColor="background1" w:themeShade="A6"/>
            </w:tcBorders>
          </w:tcPr>
          <w:p w:rsidR="00CF519B" w:rsidRPr="00FF646B" w:rsidRDefault="00CF519B" w:rsidP="00FD02A6">
            <w:pPr>
              <w:pStyle w:val="TableText"/>
              <w:jc w:val="center"/>
              <w:rPr>
                <w:sz w:val="14"/>
              </w:rPr>
            </w:pPr>
          </w:p>
        </w:tc>
        <w:tc>
          <w:tcPr>
            <w:tcW w:w="1134" w:type="dxa"/>
            <w:tcBorders>
              <w:top w:val="single" w:sz="4" w:space="0" w:color="A6A6A6" w:themeColor="background1" w:themeShade="A6"/>
              <w:bottom w:val="single" w:sz="4" w:space="0" w:color="A6A6A6" w:themeColor="background1" w:themeShade="A6"/>
            </w:tcBorders>
          </w:tcPr>
          <w:p w:rsidR="00CF519B" w:rsidRPr="00FF646B" w:rsidRDefault="00CF519B" w:rsidP="00FD02A6">
            <w:pPr>
              <w:pStyle w:val="TableText"/>
              <w:jc w:val="center"/>
              <w:rPr>
                <w:sz w:val="14"/>
              </w:rPr>
            </w:pPr>
          </w:p>
        </w:tc>
      </w:tr>
      <w:tr w:rsidR="00FF646B" w:rsidRPr="00313657" w:rsidTr="00CF519B">
        <w:trPr>
          <w:cantSplit/>
        </w:trPr>
        <w:tc>
          <w:tcPr>
            <w:tcW w:w="1418" w:type="dxa"/>
            <w:tcBorders>
              <w:top w:val="single" w:sz="4" w:space="0" w:color="A6A6A6" w:themeColor="background1" w:themeShade="A6"/>
              <w:bottom w:val="single" w:sz="4" w:space="0" w:color="auto"/>
            </w:tcBorders>
          </w:tcPr>
          <w:p w:rsidR="00FF646B" w:rsidRPr="004464BA" w:rsidRDefault="00FF646B" w:rsidP="00FF646B">
            <w:pPr>
              <w:pStyle w:val="TableText"/>
              <w:rPr>
                <w:sz w:val="14"/>
                <w:szCs w:val="14"/>
              </w:rPr>
            </w:pPr>
            <w:r w:rsidRPr="004464BA">
              <w:rPr>
                <w:sz w:val="14"/>
                <w:szCs w:val="14"/>
              </w:rPr>
              <w:t xml:space="preserve">New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r w:rsidRPr="00FF646B">
              <w:rPr>
                <w:sz w:val="14"/>
              </w:rPr>
              <w:t>60.0%</w:t>
            </w:r>
          </w:p>
        </w:tc>
        <w:tc>
          <w:tcPr>
            <w:tcW w:w="1134" w:type="dxa"/>
            <w:tcBorders>
              <w:top w:val="single" w:sz="4" w:space="0" w:color="A6A6A6" w:themeColor="background1" w:themeShade="A6"/>
              <w:bottom w:val="single" w:sz="4" w:space="0" w:color="auto"/>
            </w:tcBorders>
          </w:tcPr>
          <w:p w:rsidR="00FF646B" w:rsidRPr="00FF646B" w:rsidRDefault="00FF646B" w:rsidP="00FF646B">
            <w:pPr>
              <w:pStyle w:val="TableText"/>
              <w:jc w:val="center"/>
              <w:rPr>
                <w:sz w:val="14"/>
              </w:rPr>
            </w:pPr>
            <w:r w:rsidRPr="00FF646B">
              <w:rPr>
                <w:sz w:val="14"/>
              </w:rPr>
              <w:t>60.0%</w:t>
            </w:r>
          </w:p>
        </w:tc>
      </w:tr>
    </w:tbl>
    <w:p w:rsidR="00FF646B" w:rsidRDefault="00FF646B" w:rsidP="00FF646B"/>
    <w:p w:rsidR="00BA14B3" w:rsidRPr="00A119E8" w:rsidRDefault="00BA14B3" w:rsidP="007A28AF">
      <w:r w:rsidRPr="00A119E8">
        <w:t>Figure 14</w:t>
      </w:r>
      <w:r w:rsidRPr="00A119E8">
        <w:rPr>
          <w:b/>
        </w:rPr>
        <w:t xml:space="preserve"> </w:t>
      </w:r>
      <w:r w:rsidRPr="00A119E8">
        <w:t>shows the percentage</w:t>
      </w:r>
      <w:r>
        <w:t>s</w:t>
      </w:r>
      <w:r w:rsidRPr="00A119E8">
        <w:t xml:space="preserve"> of infants exclusively or fully breastfed at three months</w:t>
      </w:r>
      <w:r>
        <w:t xml:space="preserve"> of age</w:t>
      </w:r>
      <w:r w:rsidRPr="00A119E8">
        <w:t xml:space="preserve"> for Pacific peoples in the eight priority DHBs. Hawke’s Bay was the only DHB that had achieved the target of 60 percent. Hutt Valley </w:t>
      </w:r>
      <w:r>
        <w:t xml:space="preserve">DHB </w:t>
      </w:r>
      <w:r w:rsidRPr="00A119E8">
        <w:t>has significantly improved since the last update. The recently published WCTO Quality Improvement Framework report showed that women that live in high</w:t>
      </w:r>
      <w:r>
        <w:t>-</w:t>
      </w:r>
      <w:r w:rsidRPr="00A119E8">
        <w:t>deprivation areas were least likely to breast feed (Ministry of Health 2016).</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2e</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percentage of Pacific children with BMI &gt;99.4th percentile are referred to GP or specialist services</w:t>
            </w:r>
          </w:p>
        </w:tc>
      </w:tr>
    </w:tbl>
    <w:p w:rsidR="00BA14B3" w:rsidRPr="00A119E8" w:rsidRDefault="00BA14B3" w:rsidP="007A28AF">
      <w:pPr>
        <w:keepNext/>
      </w:pPr>
    </w:p>
    <w:p w:rsidR="00BA14B3" w:rsidRDefault="00BA14B3" w:rsidP="007A28AF">
      <w:pPr>
        <w:keepNext/>
      </w:pPr>
      <w:r w:rsidRPr="007A28AF">
        <w:rPr>
          <w:b/>
        </w:rPr>
        <w:t>Performance:</w:t>
      </w:r>
      <w:r w:rsidR="007A28AF">
        <w:t xml:space="preserve"> </w:t>
      </w:r>
      <w:r>
        <w:t>The i</w:t>
      </w:r>
      <w:r w:rsidRPr="00A119E8">
        <w:t>nterim/</w:t>
      </w:r>
      <w:r>
        <w:t>o</w:t>
      </w:r>
      <w:r w:rsidRPr="00A119E8">
        <w:t xml:space="preserve">ld target of 86 percent was set to be achieved by December 2014. This was set at 90 percent of the </w:t>
      </w:r>
      <w:r>
        <w:t>f</w:t>
      </w:r>
      <w:r w:rsidRPr="00A119E8">
        <w:t>inal/</w:t>
      </w:r>
      <w:r>
        <w:t>n</w:t>
      </w:r>
      <w:r w:rsidRPr="00A119E8">
        <w:t xml:space="preserve">ew target of 95 percent, </w:t>
      </w:r>
      <w:r>
        <w:t>which was</w:t>
      </w:r>
      <w:r w:rsidRPr="00A119E8">
        <w:t xml:space="preserve"> set to be achieved by June 2016.</w:t>
      </w:r>
    </w:p>
    <w:p w:rsidR="00BA14B3" w:rsidRPr="00A119E8" w:rsidRDefault="00BA14B3" w:rsidP="00CF519B">
      <w:pPr>
        <w:keepNext/>
      </w:pPr>
    </w:p>
    <w:p w:rsidR="00BA14B3" w:rsidRPr="00A119E8" w:rsidRDefault="00BA14B3" w:rsidP="007A28AF">
      <w:pPr>
        <w:pStyle w:val="Figure"/>
      </w:pPr>
      <w:bookmarkStart w:id="84" w:name="_Toc428368069"/>
      <w:bookmarkStart w:id="85" w:name="_Toc428370447"/>
      <w:bookmarkStart w:id="86" w:name="_Toc445801453"/>
      <w:bookmarkStart w:id="87" w:name="_Toc447527151"/>
      <w:r w:rsidRPr="00A119E8">
        <w:t xml:space="preserve">Figure </w:t>
      </w:r>
      <w:fldSimple w:instr=" SEQ Figure \* ARABIC ">
        <w:r w:rsidR="008D5FF2">
          <w:rPr>
            <w:noProof/>
          </w:rPr>
          <w:t>15</w:t>
        </w:r>
      </w:fldSimple>
      <w:r w:rsidRPr="00A119E8">
        <w:t>: Percentage of children with BMI &gt;99.4th percentile referred to a GP or specialist services, Pacific peoples population and total New Zealand population, 2013–2015</w:t>
      </w:r>
      <w:bookmarkEnd w:id="84"/>
      <w:bookmarkEnd w:id="85"/>
      <w:bookmarkEnd w:id="86"/>
      <w:bookmarkEnd w:id="87"/>
    </w:p>
    <w:p w:rsidR="00BA14B3" w:rsidRDefault="00CF519B" w:rsidP="009E084D">
      <w:pPr>
        <w:spacing w:after="120"/>
      </w:pPr>
      <w:r>
        <w:rPr>
          <w:noProof/>
          <w:lang w:eastAsia="en-NZ"/>
        </w:rPr>
        <w:drawing>
          <wp:inline distT="0" distB="0" distL="0" distR="0" wp14:anchorId="720C450F" wp14:editId="5BC24C61">
            <wp:extent cx="4488872" cy="2739058"/>
            <wp:effectExtent l="0" t="0" r="6985" b="4445"/>
            <wp:docPr id="111" name="Picture 111" title="Figure 15: Percentage of children with BMI &gt;99.4th percentile referred to a GP or specialist services,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37" cy="2740196"/>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9E084D" w:rsidRPr="00D24919" w:rsidTr="00FD02A6">
        <w:trPr>
          <w:cantSplit/>
        </w:trPr>
        <w:tc>
          <w:tcPr>
            <w:tcW w:w="1418" w:type="dxa"/>
            <w:tcBorders>
              <w:top w:val="single" w:sz="4" w:space="0" w:color="auto"/>
              <w:bottom w:val="single" w:sz="4" w:space="0" w:color="auto"/>
            </w:tcBorders>
          </w:tcPr>
          <w:p w:rsidR="009E084D" w:rsidRPr="00D24919" w:rsidRDefault="009E084D" w:rsidP="00FD02A6">
            <w:pPr>
              <w:pStyle w:val="TableText"/>
              <w:rPr>
                <w:b/>
                <w:sz w:val="14"/>
                <w:szCs w:val="14"/>
              </w:rPr>
            </w:pP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Sep-15</w:t>
            </w:r>
          </w:p>
        </w:tc>
      </w:tr>
      <w:tr w:rsidR="009E084D" w:rsidRPr="00FF646B" w:rsidTr="00FD02A6">
        <w:trPr>
          <w:cantSplit/>
        </w:trPr>
        <w:tc>
          <w:tcPr>
            <w:tcW w:w="1418" w:type="dxa"/>
            <w:tcBorders>
              <w:top w:val="single" w:sz="4" w:space="0" w:color="auto"/>
              <w:bottom w:val="single" w:sz="4" w:space="0" w:color="A6A6A6" w:themeColor="background1" w:themeShade="A6"/>
            </w:tcBorders>
          </w:tcPr>
          <w:p w:rsidR="009E084D" w:rsidRPr="00D24919" w:rsidRDefault="009E084D" w:rsidP="00FD02A6">
            <w:pPr>
              <w:pStyle w:val="TableText"/>
              <w:rPr>
                <w:sz w:val="14"/>
                <w:szCs w:val="14"/>
              </w:rPr>
            </w:pPr>
            <w:r w:rsidRPr="00D24919">
              <w:rPr>
                <w:sz w:val="14"/>
                <w:szCs w:val="14"/>
              </w:rPr>
              <w:t>Pacific</w:t>
            </w:r>
          </w:p>
        </w:tc>
        <w:tc>
          <w:tcPr>
            <w:tcW w:w="1134" w:type="dxa"/>
            <w:tcBorders>
              <w:top w:val="single" w:sz="4" w:space="0" w:color="auto"/>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62</w:t>
            </w:r>
            <w:r w:rsidR="004716D8">
              <w:rPr>
                <w:sz w:val="14"/>
              </w:rPr>
              <w:t>.0</w:t>
            </w:r>
            <w:r>
              <w:rPr>
                <w:sz w:val="14"/>
              </w:rPr>
              <w:t>%</w:t>
            </w:r>
          </w:p>
        </w:tc>
        <w:tc>
          <w:tcPr>
            <w:tcW w:w="1134" w:type="dxa"/>
            <w:tcBorders>
              <w:top w:val="single" w:sz="4" w:space="0" w:color="auto"/>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74</w:t>
            </w:r>
            <w:r w:rsidR="004716D8">
              <w:rPr>
                <w:sz w:val="14"/>
              </w:rPr>
              <w:t>.0</w:t>
            </w:r>
            <w:r>
              <w:rPr>
                <w:sz w:val="14"/>
              </w:rPr>
              <w:t>%</w:t>
            </w:r>
          </w:p>
        </w:tc>
        <w:tc>
          <w:tcPr>
            <w:tcW w:w="1134" w:type="dxa"/>
            <w:tcBorders>
              <w:top w:val="single" w:sz="4" w:space="0" w:color="auto"/>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78</w:t>
            </w:r>
            <w:r w:rsidR="004716D8">
              <w:rPr>
                <w:sz w:val="14"/>
              </w:rPr>
              <w:t>.0</w:t>
            </w:r>
            <w:r>
              <w:rPr>
                <w:sz w:val="14"/>
              </w:rPr>
              <w:t>%</w:t>
            </w:r>
          </w:p>
        </w:tc>
        <w:tc>
          <w:tcPr>
            <w:tcW w:w="1134" w:type="dxa"/>
            <w:tcBorders>
              <w:top w:val="single" w:sz="4" w:space="0" w:color="auto"/>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99</w:t>
            </w:r>
            <w:r w:rsidR="004716D8">
              <w:rPr>
                <w:sz w:val="14"/>
              </w:rPr>
              <w:t>.0</w:t>
            </w:r>
            <w:r>
              <w:rPr>
                <w:sz w:val="14"/>
              </w:rPr>
              <w:t>%</w:t>
            </w:r>
          </w:p>
        </w:tc>
        <w:tc>
          <w:tcPr>
            <w:tcW w:w="1134" w:type="dxa"/>
            <w:tcBorders>
              <w:top w:val="single" w:sz="4" w:space="0" w:color="auto"/>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92</w:t>
            </w:r>
            <w:r w:rsidR="004716D8">
              <w:rPr>
                <w:sz w:val="14"/>
              </w:rPr>
              <w:t>.0</w:t>
            </w:r>
            <w:r>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D24919" w:rsidRDefault="009E084D" w:rsidP="00FD02A6">
            <w:pPr>
              <w:pStyle w:val="TableText"/>
              <w:rPr>
                <w:sz w:val="14"/>
                <w:szCs w:val="14"/>
              </w:rPr>
            </w:pPr>
            <w:r w:rsidRPr="00D24919">
              <w:rPr>
                <w:sz w:val="14"/>
                <w:szCs w:val="14"/>
              </w:rPr>
              <w:t>Total New Zealand</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63</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69</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69</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86</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83</w:t>
            </w:r>
            <w:r w:rsidR="004716D8">
              <w:rPr>
                <w:sz w:val="14"/>
              </w:rPr>
              <w:t>.0</w:t>
            </w:r>
            <w:r>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D24919" w:rsidRDefault="009E084D" w:rsidP="00FD02A6">
            <w:pPr>
              <w:pStyle w:val="TableText"/>
              <w:rPr>
                <w:sz w:val="14"/>
                <w:szCs w:val="14"/>
              </w:rPr>
            </w:pPr>
            <w:r w:rsidRPr="00D24919">
              <w:rPr>
                <w:sz w:val="14"/>
                <w:szCs w:val="14"/>
              </w:rPr>
              <w:t>Old target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86</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86</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r w:rsidRPr="009E084D">
              <w:rPr>
                <w:sz w:val="14"/>
              </w:rPr>
              <w:t>86</w:t>
            </w:r>
            <w:r w:rsidR="004716D8">
              <w:rPr>
                <w:sz w:val="14"/>
              </w:rPr>
              <w:t>.0</w:t>
            </w:r>
            <w:r>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FD02A6">
            <w:pPr>
              <w:pStyle w:val="TableText"/>
              <w:jc w:val="center"/>
              <w:rPr>
                <w:sz w:val="14"/>
              </w:rPr>
            </w:pPr>
          </w:p>
        </w:tc>
      </w:tr>
      <w:tr w:rsidR="009E084D" w:rsidRPr="00FF646B" w:rsidTr="00FD02A6">
        <w:trPr>
          <w:cantSplit/>
        </w:trPr>
        <w:tc>
          <w:tcPr>
            <w:tcW w:w="1418" w:type="dxa"/>
            <w:tcBorders>
              <w:top w:val="single" w:sz="4" w:space="0" w:color="A6A6A6" w:themeColor="background1" w:themeShade="A6"/>
              <w:bottom w:val="single" w:sz="4" w:space="0" w:color="auto"/>
            </w:tcBorders>
          </w:tcPr>
          <w:p w:rsidR="009E084D" w:rsidRPr="00D24919" w:rsidRDefault="009E084D" w:rsidP="00FD02A6">
            <w:pPr>
              <w:pStyle w:val="TableText"/>
              <w:rPr>
                <w:sz w:val="14"/>
                <w:szCs w:val="14"/>
              </w:rPr>
            </w:pPr>
            <w:r w:rsidRPr="00D24919">
              <w:rPr>
                <w:sz w:val="14"/>
                <w:szCs w:val="14"/>
              </w:rPr>
              <w:t>New target</w:t>
            </w:r>
          </w:p>
        </w:tc>
        <w:tc>
          <w:tcPr>
            <w:tcW w:w="1134" w:type="dxa"/>
            <w:tcBorders>
              <w:top w:val="single" w:sz="4" w:space="0" w:color="A6A6A6" w:themeColor="background1" w:themeShade="A6"/>
              <w:bottom w:val="single" w:sz="4" w:space="0" w:color="auto"/>
            </w:tcBorders>
          </w:tcPr>
          <w:p w:rsidR="009E084D" w:rsidRPr="009E084D" w:rsidRDefault="009E084D" w:rsidP="00FD02A6">
            <w:pPr>
              <w:pStyle w:val="TableText"/>
              <w:jc w:val="center"/>
              <w:rPr>
                <w:sz w:val="14"/>
              </w:rPr>
            </w:pPr>
          </w:p>
        </w:tc>
        <w:tc>
          <w:tcPr>
            <w:tcW w:w="1134" w:type="dxa"/>
            <w:tcBorders>
              <w:top w:val="single" w:sz="4" w:space="0" w:color="A6A6A6" w:themeColor="background1" w:themeShade="A6"/>
              <w:bottom w:val="single" w:sz="4" w:space="0" w:color="auto"/>
            </w:tcBorders>
          </w:tcPr>
          <w:p w:rsidR="009E084D" w:rsidRPr="009E084D" w:rsidRDefault="009E084D" w:rsidP="00FD02A6">
            <w:pPr>
              <w:pStyle w:val="TableText"/>
              <w:jc w:val="center"/>
              <w:rPr>
                <w:sz w:val="14"/>
              </w:rPr>
            </w:pPr>
          </w:p>
        </w:tc>
        <w:tc>
          <w:tcPr>
            <w:tcW w:w="1134" w:type="dxa"/>
            <w:tcBorders>
              <w:top w:val="single" w:sz="4" w:space="0" w:color="A6A6A6" w:themeColor="background1" w:themeShade="A6"/>
              <w:bottom w:val="single" w:sz="4" w:space="0" w:color="auto"/>
            </w:tcBorders>
          </w:tcPr>
          <w:p w:rsidR="009E084D" w:rsidRPr="009E084D" w:rsidRDefault="009E084D" w:rsidP="00FD02A6">
            <w:pPr>
              <w:pStyle w:val="TableText"/>
              <w:jc w:val="center"/>
              <w:rPr>
                <w:sz w:val="14"/>
              </w:rPr>
            </w:pPr>
          </w:p>
        </w:tc>
        <w:tc>
          <w:tcPr>
            <w:tcW w:w="1134" w:type="dxa"/>
            <w:tcBorders>
              <w:top w:val="single" w:sz="4" w:space="0" w:color="A6A6A6" w:themeColor="background1" w:themeShade="A6"/>
              <w:bottom w:val="single" w:sz="4" w:space="0" w:color="auto"/>
            </w:tcBorders>
          </w:tcPr>
          <w:p w:rsidR="009E084D" w:rsidRPr="009E084D" w:rsidRDefault="009E084D" w:rsidP="00FD02A6">
            <w:pPr>
              <w:pStyle w:val="TableText"/>
              <w:jc w:val="center"/>
              <w:rPr>
                <w:sz w:val="14"/>
              </w:rPr>
            </w:pPr>
            <w:r w:rsidRPr="009E084D">
              <w:rPr>
                <w:sz w:val="14"/>
              </w:rPr>
              <w:t>95</w:t>
            </w:r>
            <w:r w:rsidR="004716D8">
              <w:rPr>
                <w:sz w:val="14"/>
              </w:rPr>
              <w:t>.0</w:t>
            </w:r>
            <w:r>
              <w:rPr>
                <w:sz w:val="14"/>
              </w:rPr>
              <w:t>%</w:t>
            </w:r>
          </w:p>
        </w:tc>
        <w:tc>
          <w:tcPr>
            <w:tcW w:w="1134" w:type="dxa"/>
            <w:tcBorders>
              <w:top w:val="single" w:sz="4" w:space="0" w:color="A6A6A6" w:themeColor="background1" w:themeShade="A6"/>
              <w:bottom w:val="single" w:sz="4" w:space="0" w:color="auto"/>
            </w:tcBorders>
          </w:tcPr>
          <w:p w:rsidR="009E084D" w:rsidRPr="009E084D" w:rsidRDefault="009E084D" w:rsidP="00FD02A6">
            <w:pPr>
              <w:pStyle w:val="TableText"/>
              <w:jc w:val="center"/>
              <w:rPr>
                <w:sz w:val="14"/>
              </w:rPr>
            </w:pPr>
            <w:r w:rsidRPr="009E084D">
              <w:rPr>
                <w:sz w:val="14"/>
              </w:rPr>
              <w:t>95</w:t>
            </w:r>
            <w:r w:rsidR="004716D8">
              <w:rPr>
                <w:sz w:val="14"/>
              </w:rPr>
              <w:t>.0</w:t>
            </w:r>
            <w:r>
              <w:rPr>
                <w:sz w:val="14"/>
              </w:rPr>
              <w:t>%</w:t>
            </w:r>
          </w:p>
        </w:tc>
      </w:tr>
    </w:tbl>
    <w:p w:rsidR="00CF519B" w:rsidRDefault="00CF519B" w:rsidP="00CF519B"/>
    <w:p w:rsidR="00BA14B3" w:rsidRPr="007A28AF" w:rsidRDefault="00BA14B3" w:rsidP="007A28AF">
      <w:pPr>
        <w:rPr>
          <w:b/>
        </w:rPr>
      </w:pPr>
      <w:r w:rsidRPr="007A28AF">
        <w:rPr>
          <w:b/>
        </w:rPr>
        <w:t>Notes for Figures 15 and 16:</w:t>
      </w:r>
    </w:p>
    <w:p w:rsidR="00BA14B3" w:rsidRPr="00A119E8" w:rsidRDefault="00BA14B3" w:rsidP="007A28AF">
      <w:pPr>
        <w:pStyle w:val="Bullet"/>
      </w:pPr>
      <w:r w:rsidRPr="00A119E8">
        <w:t>Time period: children receiving a B4SC between 1 January 2015 and 30 June 2015.</w:t>
      </w:r>
    </w:p>
    <w:p w:rsidR="00BA14B3" w:rsidRPr="00A119E8" w:rsidRDefault="00BA14B3" w:rsidP="007A28AF">
      <w:pPr>
        <w:pStyle w:val="Bullet"/>
      </w:pPr>
      <w:r w:rsidRPr="00A119E8">
        <w:t xml:space="preserve">Hawke’s Bay </w:t>
      </w:r>
      <w:r>
        <w:t xml:space="preserve">DHB </w:t>
      </w:r>
      <w:r w:rsidRPr="00A119E8">
        <w:t>had fewer than 20 children in that population in September 2014.</w:t>
      </w:r>
    </w:p>
    <w:p w:rsidR="00BA14B3" w:rsidRPr="00A119E8" w:rsidRDefault="00BA14B3" w:rsidP="007A28AF">
      <w:pPr>
        <w:pStyle w:val="Bullet"/>
      </w:pPr>
      <w:r w:rsidRPr="00A119E8">
        <w:t>Numerator: number of children with a BMI greater than the 99.4th percentile referred (source: B4 School Check).</w:t>
      </w:r>
    </w:p>
    <w:p w:rsidR="00BA14B3" w:rsidRPr="00A119E8" w:rsidRDefault="00BA14B3" w:rsidP="007A28AF">
      <w:pPr>
        <w:pStyle w:val="Bullet"/>
      </w:pPr>
      <w:r w:rsidRPr="00A119E8">
        <w:t>Denominator: number of children with a BMI greater than the 99.4th percentile (excluding those already under care) (source: B4 School Check).</w:t>
      </w:r>
    </w:p>
    <w:p w:rsidR="0034306E" w:rsidRDefault="00BA14B3" w:rsidP="007A28AF">
      <w:pPr>
        <w:pStyle w:val="Bullet"/>
      </w:pPr>
      <w:r w:rsidRPr="00A119E8">
        <w:t>Caution should be used with interpreting these graphs because of the small numbers involved.</w:t>
      </w:r>
    </w:p>
    <w:p w:rsidR="00BA14B3" w:rsidRPr="00A119E8" w:rsidRDefault="00BA14B3" w:rsidP="007A28AF"/>
    <w:p w:rsidR="0034306E" w:rsidRDefault="00BA14B3" w:rsidP="007A28AF">
      <w:r w:rsidRPr="00A119E8">
        <w:t xml:space="preserve">Figure 15 shows </w:t>
      </w:r>
      <w:r>
        <w:t xml:space="preserve">that </w:t>
      </w:r>
      <w:r w:rsidRPr="00A119E8">
        <w:t>the target was achieved for both populations in the June 2015 progress report</w:t>
      </w:r>
      <w:r>
        <w:t>,</w:t>
      </w:r>
      <w:r w:rsidRPr="00A119E8">
        <w:t xml:space="preserve"> but now both have dropped below the target of 95 percent. </w:t>
      </w:r>
      <w:bookmarkStart w:id="88" w:name="_Toc428368070"/>
      <w:bookmarkStart w:id="89" w:name="_Toc428370448"/>
      <w:bookmarkStart w:id="90" w:name="_Toc428878526"/>
      <w:r w:rsidRPr="00A119E8">
        <w:t xml:space="preserve">A new health target will be implemented from 1 July 2016, announced in the ‘Childhood Obesity Plan’ (refer to </w:t>
      </w:r>
      <w:r>
        <w:t xml:space="preserve">the </w:t>
      </w:r>
      <w:r w:rsidRPr="00A119E8">
        <w:t>‘Action Commentary’ section above).</w:t>
      </w:r>
    </w:p>
    <w:p w:rsidR="00BA14B3" w:rsidRPr="00A119E8" w:rsidRDefault="00BA14B3" w:rsidP="007A28AF"/>
    <w:p w:rsidR="00BA14B3" w:rsidRPr="00A119E8" w:rsidRDefault="00BA14B3" w:rsidP="007A28AF">
      <w:pPr>
        <w:pStyle w:val="Figure"/>
      </w:pPr>
      <w:bookmarkStart w:id="91" w:name="_Toc447527152"/>
      <w:r w:rsidRPr="00A119E8">
        <w:lastRenderedPageBreak/>
        <w:t xml:space="preserve">Figure </w:t>
      </w:r>
      <w:fldSimple w:instr=" SEQ Figure \* ARABIC ">
        <w:r w:rsidR="008D5FF2">
          <w:rPr>
            <w:noProof/>
          </w:rPr>
          <w:t>16</w:t>
        </w:r>
      </w:fldSimple>
      <w:r w:rsidRPr="00A119E8">
        <w:t>: Percentage of children with BMI &gt;99.4th percentile referred to a GP or specialist services, Pacific peoples, by priority DHBs, 2013–2015</w:t>
      </w:r>
      <w:bookmarkEnd w:id="88"/>
      <w:bookmarkEnd w:id="89"/>
      <w:bookmarkEnd w:id="90"/>
      <w:bookmarkEnd w:id="91"/>
    </w:p>
    <w:p w:rsidR="00BA14B3" w:rsidRDefault="009E084D" w:rsidP="009E084D">
      <w:pPr>
        <w:spacing w:after="120"/>
      </w:pPr>
      <w:r>
        <w:rPr>
          <w:noProof/>
          <w:lang w:eastAsia="en-NZ"/>
        </w:rPr>
        <w:drawing>
          <wp:inline distT="0" distB="0" distL="0" distR="0" wp14:anchorId="47F90FDC" wp14:editId="38E256F8">
            <wp:extent cx="4488873" cy="2742152"/>
            <wp:effectExtent l="0" t="0" r="0" b="1270"/>
            <wp:docPr id="112" name="Picture 112" title="Figure 16: Percentage of children with BMI &gt;99.4th percentile referred to a GP or specialist services,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9576" cy="2742582"/>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134"/>
        <w:gridCol w:w="1134"/>
        <w:gridCol w:w="1134"/>
        <w:gridCol w:w="1134"/>
        <w:gridCol w:w="1134"/>
      </w:tblGrid>
      <w:tr w:rsidR="009E084D" w:rsidRPr="00D24919" w:rsidTr="00FD02A6">
        <w:trPr>
          <w:cantSplit/>
        </w:trPr>
        <w:tc>
          <w:tcPr>
            <w:tcW w:w="1418" w:type="dxa"/>
            <w:tcBorders>
              <w:top w:val="single" w:sz="4" w:space="0" w:color="auto"/>
              <w:bottom w:val="single" w:sz="4" w:space="0" w:color="auto"/>
            </w:tcBorders>
          </w:tcPr>
          <w:p w:rsidR="009E084D" w:rsidRPr="00D24919" w:rsidRDefault="009E084D" w:rsidP="00FD02A6">
            <w:pPr>
              <w:pStyle w:val="TableText"/>
              <w:rPr>
                <w:b/>
                <w:sz w:val="14"/>
                <w:szCs w:val="14"/>
              </w:rPr>
            </w:pP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Sep-13</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Mar-14</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Sep-14</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Mar-15</w:t>
            </w:r>
          </w:p>
        </w:tc>
        <w:tc>
          <w:tcPr>
            <w:tcW w:w="1134" w:type="dxa"/>
            <w:tcBorders>
              <w:top w:val="single" w:sz="4" w:space="0" w:color="auto"/>
              <w:bottom w:val="single" w:sz="4" w:space="0" w:color="auto"/>
            </w:tcBorders>
          </w:tcPr>
          <w:p w:rsidR="009E084D" w:rsidRPr="00D24919" w:rsidRDefault="009E084D" w:rsidP="00FD02A6">
            <w:pPr>
              <w:pStyle w:val="TableText"/>
              <w:jc w:val="center"/>
              <w:rPr>
                <w:b/>
                <w:sz w:val="14"/>
                <w:szCs w:val="14"/>
              </w:rPr>
            </w:pPr>
            <w:r w:rsidRPr="00D24919">
              <w:rPr>
                <w:b/>
                <w:sz w:val="14"/>
                <w:szCs w:val="14"/>
              </w:rPr>
              <w:t>Sep-15</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Auckland</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8</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30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4716D8" w:rsidP="009E084D">
            <w:pPr>
              <w:pStyle w:val="TableText"/>
              <w:tabs>
                <w:tab w:val="decimal" w:pos="580"/>
              </w:tabs>
              <w:rPr>
                <w:sz w:val="14"/>
              </w:rPr>
            </w:pPr>
            <w:r>
              <w:rPr>
                <w:sz w:val="14"/>
              </w:rPr>
              <w:t>30.8</w:t>
            </w:r>
            <w:r w:rsidR="009E084D"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83</w:t>
            </w:r>
            <w:r w:rsidR="004716D8">
              <w:rPr>
                <w:sz w:val="14"/>
              </w:rPr>
              <w:t>.3</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4716D8" w:rsidP="009E084D">
            <w:pPr>
              <w:pStyle w:val="TableText"/>
              <w:tabs>
                <w:tab w:val="decimal" w:pos="580"/>
              </w:tabs>
              <w:rPr>
                <w:sz w:val="14"/>
              </w:rPr>
            </w:pPr>
            <w:r>
              <w:rPr>
                <w:sz w:val="14"/>
              </w:rPr>
              <w:t>62.5</w:t>
            </w:r>
            <w:r w:rsidR="009E084D"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Canterbury</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50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33</w:t>
            </w:r>
            <w:r w:rsidR="004716D8">
              <w:rPr>
                <w:sz w:val="14"/>
              </w:rPr>
              <w:t>.3</w:t>
            </w:r>
            <w:r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Capital &amp; Coast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 xml:space="preserve">Counties </w:t>
            </w:r>
            <w:proofErr w:type="spellStart"/>
            <w:r w:rsidRPr="004464BA">
              <w:rPr>
                <w:sz w:val="14"/>
                <w:szCs w:val="14"/>
              </w:rPr>
              <w:t>Manukau</w:t>
            </w:r>
            <w:proofErr w:type="spellEnd"/>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73</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82</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97</w:t>
            </w:r>
            <w:r w:rsidR="004716D8">
              <w:rPr>
                <w:sz w:val="14"/>
              </w:rPr>
              <w:t>.4</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Hawke's Bay</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r w:rsidRPr="004464BA">
              <w:rPr>
                <w:sz w:val="14"/>
                <w:szCs w:val="14"/>
              </w:rPr>
              <w:t>Hutt Valley</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60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r>
      <w:tr w:rsidR="009E084D" w:rsidRPr="00FF646B" w:rsidTr="00FD02A6">
        <w:trPr>
          <w:cantSplit/>
        </w:trPr>
        <w:tc>
          <w:tcPr>
            <w:tcW w:w="1418" w:type="dxa"/>
            <w:tcBorders>
              <w:top w:val="single" w:sz="4" w:space="0" w:color="A6A6A6" w:themeColor="background1" w:themeShade="A6"/>
              <w:bottom w:val="single" w:sz="4" w:space="0" w:color="A6A6A6" w:themeColor="background1" w:themeShade="A6"/>
            </w:tcBorders>
          </w:tcPr>
          <w:p w:rsidR="009E084D" w:rsidRPr="004464BA" w:rsidRDefault="009E084D" w:rsidP="00FD02A6">
            <w:pPr>
              <w:pStyle w:val="TableText"/>
              <w:rPr>
                <w:sz w:val="14"/>
                <w:szCs w:val="14"/>
              </w:rPr>
            </w:pPr>
            <w:proofErr w:type="spellStart"/>
            <w:r w:rsidRPr="004464BA">
              <w:rPr>
                <w:sz w:val="14"/>
                <w:szCs w:val="14"/>
              </w:rPr>
              <w:t>Waitemata</w:t>
            </w:r>
            <w:proofErr w:type="spellEnd"/>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80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73</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4716D8" w:rsidP="009E084D">
            <w:pPr>
              <w:pStyle w:val="TableText"/>
              <w:tabs>
                <w:tab w:val="decimal" w:pos="580"/>
              </w:tabs>
              <w:rPr>
                <w:sz w:val="14"/>
              </w:rPr>
            </w:pPr>
            <w:r>
              <w:rPr>
                <w:sz w:val="14"/>
              </w:rPr>
              <w:t>87.5</w:t>
            </w:r>
            <w:r w:rsidR="009E084D"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9E084D" w:rsidRPr="009E084D" w:rsidRDefault="009E084D" w:rsidP="009E084D">
            <w:pPr>
              <w:pStyle w:val="TableText"/>
              <w:tabs>
                <w:tab w:val="decimal" w:pos="580"/>
              </w:tabs>
              <w:rPr>
                <w:sz w:val="14"/>
              </w:rPr>
            </w:pPr>
            <w:r w:rsidRPr="009E084D">
              <w:rPr>
                <w:sz w:val="14"/>
              </w:rPr>
              <w:t>100</w:t>
            </w:r>
            <w:r w:rsidR="004716D8">
              <w:rPr>
                <w:sz w:val="14"/>
              </w:rPr>
              <w:t>.0</w:t>
            </w:r>
            <w:r w:rsidRPr="009E084D">
              <w:rPr>
                <w:sz w:val="14"/>
              </w:rPr>
              <w:t>%</w:t>
            </w:r>
          </w:p>
        </w:tc>
      </w:tr>
      <w:tr w:rsidR="00FA10DF" w:rsidRPr="00FF646B" w:rsidTr="009E084D">
        <w:trPr>
          <w:cantSplit/>
        </w:trPr>
        <w:tc>
          <w:tcPr>
            <w:tcW w:w="1418" w:type="dxa"/>
            <w:tcBorders>
              <w:top w:val="single" w:sz="4" w:space="0" w:color="A6A6A6" w:themeColor="background1" w:themeShade="A6"/>
              <w:bottom w:val="single" w:sz="4" w:space="0" w:color="A6A6A6" w:themeColor="background1" w:themeShade="A6"/>
            </w:tcBorders>
          </w:tcPr>
          <w:p w:rsidR="00FA10DF" w:rsidRPr="004464BA" w:rsidRDefault="00FA10DF" w:rsidP="00FA10DF">
            <w:pPr>
              <w:pStyle w:val="TableText"/>
              <w:rPr>
                <w:sz w:val="14"/>
                <w:szCs w:val="14"/>
              </w:rPr>
            </w:pPr>
            <w:r w:rsidRPr="004464BA">
              <w:rPr>
                <w:sz w:val="14"/>
                <w:szCs w:val="14"/>
              </w:rPr>
              <w:t xml:space="preserve">Old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6A6A6" w:themeColor="background1" w:themeShade="A6"/>
            </w:tcBorders>
          </w:tcPr>
          <w:p w:rsidR="00FA10DF" w:rsidRPr="009E084D" w:rsidRDefault="00FA10DF" w:rsidP="00FA10DF">
            <w:pPr>
              <w:pStyle w:val="TableText"/>
              <w:tabs>
                <w:tab w:val="decimal" w:pos="580"/>
              </w:tabs>
              <w:rPr>
                <w:sz w:val="14"/>
              </w:rPr>
            </w:pPr>
            <w:r w:rsidRPr="009E084D">
              <w:rPr>
                <w:sz w:val="14"/>
              </w:rPr>
              <w:t>86</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FA10DF" w:rsidRPr="009E084D" w:rsidRDefault="00FA10DF" w:rsidP="00FA10DF">
            <w:pPr>
              <w:pStyle w:val="TableText"/>
              <w:tabs>
                <w:tab w:val="decimal" w:pos="580"/>
              </w:tabs>
              <w:rPr>
                <w:sz w:val="14"/>
              </w:rPr>
            </w:pPr>
            <w:r w:rsidRPr="009E084D">
              <w:rPr>
                <w:sz w:val="14"/>
              </w:rPr>
              <w:t>86</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FA10DF" w:rsidRPr="009E084D" w:rsidRDefault="00FA10DF" w:rsidP="00FA10DF">
            <w:pPr>
              <w:pStyle w:val="TableText"/>
              <w:tabs>
                <w:tab w:val="decimal" w:pos="580"/>
              </w:tabs>
              <w:rPr>
                <w:sz w:val="14"/>
              </w:rPr>
            </w:pPr>
            <w:r w:rsidRPr="009E084D">
              <w:rPr>
                <w:sz w:val="14"/>
              </w:rPr>
              <w:t>86</w:t>
            </w:r>
            <w:r w:rsidR="004716D8">
              <w:rPr>
                <w:sz w:val="14"/>
              </w:rPr>
              <w:t>.0</w:t>
            </w:r>
            <w:r w:rsidRPr="009E084D">
              <w:rPr>
                <w:sz w:val="14"/>
              </w:rPr>
              <w:t>%</w:t>
            </w:r>
          </w:p>
        </w:tc>
        <w:tc>
          <w:tcPr>
            <w:tcW w:w="1134" w:type="dxa"/>
            <w:tcBorders>
              <w:top w:val="single" w:sz="4" w:space="0" w:color="A6A6A6" w:themeColor="background1" w:themeShade="A6"/>
              <w:bottom w:val="single" w:sz="4" w:space="0" w:color="A6A6A6" w:themeColor="background1" w:themeShade="A6"/>
            </w:tcBorders>
          </w:tcPr>
          <w:p w:rsidR="00FA10DF" w:rsidRPr="009E084D" w:rsidRDefault="00FA10DF" w:rsidP="009E084D">
            <w:pPr>
              <w:pStyle w:val="TableText"/>
              <w:tabs>
                <w:tab w:val="decimal" w:pos="580"/>
              </w:tabs>
              <w:rPr>
                <w:sz w:val="14"/>
              </w:rPr>
            </w:pPr>
          </w:p>
        </w:tc>
        <w:tc>
          <w:tcPr>
            <w:tcW w:w="1134" w:type="dxa"/>
            <w:tcBorders>
              <w:top w:val="single" w:sz="4" w:space="0" w:color="A6A6A6" w:themeColor="background1" w:themeShade="A6"/>
              <w:bottom w:val="single" w:sz="4" w:space="0" w:color="A6A6A6" w:themeColor="background1" w:themeShade="A6"/>
            </w:tcBorders>
          </w:tcPr>
          <w:p w:rsidR="00FA10DF" w:rsidRPr="009E084D" w:rsidRDefault="00FA10DF" w:rsidP="009E084D">
            <w:pPr>
              <w:pStyle w:val="TableText"/>
              <w:tabs>
                <w:tab w:val="decimal" w:pos="580"/>
              </w:tabs>
              <w:rPr>
                <w:sz w:val="14"/>
              </w:rPr>
            </w:pPr>
          </w:p>
        </w:tc>
      </w:tr>
      <w:tr w:rsidR="00FA10DF" w:rsidRPr="00FF646B" w:rsidTr="009E084D">
        <w:trPr>
          <w:cantSplit/>
        </w:trPr>
        <w:tc>
          <w:tcPr>
            <w:tcW w:w="1418" w:type="dxa"/>
            <w:tcBorders>
              <w:top w:val="single" w:sz="4" w:space="0" w:color="A6A6A6" w:themeColor="background1" w:themeShade="A6"/>
              <w:bottom w:val="single" w:sz="4" w:space="0" w:color="auto"/>
            </w:tcBorders>
          </w:tcPr>
          <w:p w:rsidR="00FA10DF" w:rsidRPr="004464BA" w:rsidRDefault="00FA10DF" w:rsidP="00FA10DF">
            <w:pPr>
              <w:pStyle w:val="TableText"/>
              <w:rPr>
                <w:sz w:val="14"/>
                <w:szCs w:val="14"/>
              </w:rPr>
            </w:pPr>
            <w:r w:rsidRPr="004464BA">
              <w:rPr>
                <w:sz w:val="14"/>
                <w:szCs w:val="14"/>
              </w:rPr>
              <w:t xml:space="preserve">New </w:t>
            </w:r>
            <w:r>
              <w:rPr>
                <w:sz w:val="14"/>
                <w:szCs w:val="14"/>
              </w:rPr>
              <w:t>t</w:t>
            </w:r>
            <w:r w:rsidRPr="004464BA">
              <w:rPr>
                <w:sz w:val="14"/>
                <w:szCs w:val="14"/>
              </w:rPr>
              <w:t>arget</w:t>
            </w:r>
          </w:p>
        </w:tc>
        <w:tc>
          <w:tcPr>
            <w:tcW w:w="1134" w:type="dxa"/>
            <w:tcBorders>
              <w:top w:val="single" w:sz="4" w:space="0" w:color="A6A6A6" w:themeColor="background1" w:themeShade="A6"/>
              <w:bottom w:val="single" w:sz="4" w:space="0" w:color="auto"/>
            </w:tcBorders>
          </w:tcPr>
          <w:p w:rsidR="00FA10DF" w:rsidRPr="009E084D" w:rsidRDefault="00FA10DF" w:rsidP="00FA10DF">
            <w:pPr>
              <w:pStyle w:val="TableText"/>
              <w:tabs>
                <w:tab w:val="decimal" w:pos="580"/>
              </w:tabs>
              <w:rPr>
                <w:sz w:val="14"/>
              </w:rPr>
            </w:pPr>
          </w:p>
        </w:tc>
        <w:tc>
          <w:tcPr>
            <w:tcW w:w="1134" w:type="dxa"/>
            <w:tcBorders>
              <w:top w:val="single" w:sz="4" w:space="0" w:color="A6A6A6" w:themeColor="background1" w:themeShade="A6"/>
              <w:bottom w:val="single" w:sz="4" w:space="0" w:color="auto"/>
            </w:tcBorders>
          </w:tcPr>
          <w:p w:rsidR="00FA10DF" w:rsidRPr="009E084D" w:rsidRDefault="00FA10DF" w:rsidP="00FA10DF">
            <w:pPr>
              <w:pStyle w:val="TableText"/>
              <w:tabs>
                <w:tab w:val="decimal" w:pos="580"/>
              </w:tabs>
              <w:rPr>
                <w:sz w:val="14"/>
              </w:rPr>
            </w:pPr>
          </w:p>
        </w:tc>
        <w:tc>
          <w:tcPr>
            <w:tcW w:w="1134" w:type="dxa"/>
            <w:tcBorders>
              <w:top w:val="single" w:sz="4" w:space="0" w:color="A6A6A6" w:themeColor="background1" w:themeShade="A6"/>
              <w:bottom w:val="single" w:sz="4" w:space="0" w:color="auto"/>
            </w:tcBorders>
          </w:tcPr>
          <w:p w:rsidR="00FA10DF" w:rsidRPr="009E084D" w:rsidRDefault="00FA10DF" w:rsidP="00FA10DF">
            <w:pPr>
              <w:pStyle w:val="TableText"/>
              <w:tabs>
                <w:tab w:val="decimal" w:pos="580"/>
              </w:tabs>
              <w:rPr>
                <w:sz w:val="14"/>
              </w:rPr>
            </w:pPr>
          </w:p>
        </w:tc>
        <w:tc>
          <w:tcPr>
            <w:tcW w:w="1134" w:type="dxa"/>
            <w:tcBorders>
              <w:top w:val="single" w:sz="4" w:space="0" w:color="A6A6A6" w:themeColor="background1" w:themeShade="A6"/>
              <w:bottom w:val="single" w:sz="4" w:space="0" w:color="auto"/>
            </w:tcBorders>
          </w:tcPr>
          <w:p w:rsidR="00FA10DF" w:rsidRPr="009E084D" w:rsidRDefault="00FA10DF" w:rsidP="00FA10DF">
            <w:pPr>
              <w:pStyle w:val="TableText"/>
              <w:tabs>
                <w:tab w:val="decimal" w:pos="580"/>
              </w:tabs>
              <w:rPr>
                <w:sz w:val="14"/>
              </w:rPr>
            </w:pPr>
            <w:r w:rsidRPr="009E084D">
              <w:rPr>
                <w:sz w:val="14"/>
              </w:rPr>
              <w:t>95</w:t>
            </w:r>
            <w:r w:rsidR="004716D8">
              <w:rPr>
                <w:sz w:val="14"/>
              </w:rPr>
              <w:t>.0</w:t>
            </w:r>
            <w:r w:rsidRPr="009E084D">
              <w:rPr>
                <w:sz w:val="14"/>
              </w:rPr>
              <w:t>%</w:t>
            </w:r>
          </w:p>
        </w:tc>
        <w:tc>
          <w:tcPr>
            <w:tcW w:w="1134" w:type="dxa"/>
            <w:tcBorders>
              <w:top w:val="single" w:sz="4" w:space="0" w:color="A6A6A6" w:themeColor="background1" w:themeShade="A6"/>
              <w:bottom w:val="single" w:sz="4" w:space="0" w:color="auto"/>
            </w:tcBorders>
          </w:tcPr>
          <w:p w:rsidR="00FA10DF" w:rsidRPr="009E084D" w:rsidRDefault="00FA10DF" w:rsidP="00FA10DF">
            <w:pPr>
              <w:pStyle w:val="TableText"/>
              <w:tabs>
                <w:tab w:val="decimal" w:pos="580"/>
              </w:tabs>
              <w:rPr>
                <w:sz w:val="14"/>
              </w:rPr>
            </w:pPr>
            <w:r w:rsidRPr="009E084D">
              <w:rPr>
                <w:sz w:val="14"/>
              </w:rPr>
              <w:t>95</w:t>
            </w:r>
            <w:r w:rsidR="004716D8">
              <w:rPr>
                <w:sz w:val="14"/>
              </w:rPr>
              <w:t>.0</w:t>
            </w:r>
            <w:r w:rsidRPr="009E084D">
              <w:rPr>
                <w:sz w:val="14"/>
              </w:rPr>
              <w:t>%</w:t>
            </w:r>
          </w:p>
        </w:tc>
      </w:tr>
    </w:tbl>
    <w:p w:rsidR="00BA14B3" w:rsidRPr="00A119E8" w:rsidRDefault="00BA14B3" w:rsidP="009E084D"/>
    <w:p w:rsidR="00BA14B3" w:rsidRPr="00A119E8" w:rsidRDefault="00BA14B3" w:rsidP="007A28AF">
      <w:r w:rsidRPr="00A119E8">
        <w:rPr>
          <w:b/>
        </w:rPr>
        <w:t>Note</w:t>
      </w:r>
      <w:r w:rsidRPr="00A119E8">
        <w:t>: Data is unavailable for the September 2014 quarter for Hawke’s Bay DHB and for all quarters for Waikato DHB because there were no reported Pacific children with BMI &gt;99.4th</w:t>
      </w:r>
      <w:r w:rsidR="007A28AF">
        <w:t> </w:t>
      </w:r>
      <w:r w:rsidRPr="00A119E8">
        <w:t>percentile in those populations and time periods.</w:t>
      </w:r>
    </w:p>
    <w:p w:rsidR="00BA14B3" w:rsidRPr="00A119E8" w:rsidRDefault="00BA14B3" w:rsidP="007A28AF"/>
    <w:p w:rsidR="00BA14B3" w:rsidRPr="00A119E8" w:rsidRDefault="00BA14B3" w:rsidP="007A28AF">
      <w:r w:rsidRPr="00A119E8">
        <w:t xml:space="preserve">Figure 16 shows </w:t>
      </w:r>
      <w:r>
        <w:t xml:space="preserve">that </w:t>
      </w:r>
      <w:r w:rsidRPr="00A119E8">
        <w:t xml:space="preserve">Capital &amp; Coast, Counties </w:t>
      </w:r>
      <w:proofErr w:type="spellStart"/>
      <w:r w:rsidRPr="00A119E8">
        <w:t>Manukau</w:t>
      </w:r>
      <w:proofErr w:type="spellEnd"/>
      <w:r w:rsidRPr="00A119E8">
        <w:t xml:space="preserve">, Hawke’s Bay, Hutt Valley and </w:t>
      </w:r>
      <w:proofErr w:type="spellStart"/>
      <w:r w:rsidRPr="00A119E8">
        <w:t>Waitemata</w:t>
      </w:r>
      <w:proofErr w:type="spellEnd"/>
      <w:r w:rsidRPr="00543C98">
        <w:t xml:space="preserve"> DHB</w:t>
      </w:r>
      <w:r>
        <w:t>s</w:t>
      </w:r>
      <w:r w:rsidRPr="00A119E8">
        <w:t xml:space="preserve"> achieved the target in this progress report. Canterbury </w:t>
      </w:r>
      <w:r>
        <w:t xml:space="preserve">DHB </w:t>
      </w:r>
      <w:r w:rsidRPr="00A119E8">
        <w:t>achieved this target in the June 2015 update but has dropped significantly. Auckland DHB has also dropped from the June 2015 update. These significant drops are due to very small numbers (Ministry of Health 2016).</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7A28AF">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2f</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percentage of Pacific children in preschool who are enrolled with the Community Oral Health Service</w:t>
            </w:r>
          </w:p>
        </w:tc>
      </w:tr>
    </w:tbl>
    <w:p w:rsidR="00BA14B3" w:rsidRPr="00A119E8" w:rsidRDefault="00BA14B3" w:rsidP="007A28AF">
      <w:pPr>
        <w:keepNext/>
      </w:pPr>
    </w:p>
    <w:p w:rsidR="00BA14B3" w:rsidRDefault="00BA14B3" w:rsidP="007A28AF">
      <w:pPr>
        <w:keepNext/>
      </w:pPr>
      <w:bookmarkStart w:id="92" w:name="_Toc428368071"/>
      <w:bookmarkStart w:id="93" w:name="_Toc428370449"/>
      <w:r w:rsidRPr="007A28AF">
        <w:rPr>
          <w:b/>
        </w:rPr>
        <w:t>Performance:</w:t>
      </w:r>
      <w:r w:rsidR="007A28AF">
        <w:t xml:space="preserve"> </w:t>
      </w:r>
      <w:r>
        <w:t>The i</w:t>
      </w:r>
      <w:r w:rsidRPr="00A119E8">
        <w:t>nterim/</w:t>
      </w:r>
      <w:r>
        <w:t>o</w:t>
      </w:r>
      <w:r w:rsidRPr="00A119E8">
        <w:t xml:space="preserve">ld target of 86 percent was set to be achieved by December 2014. This was set at 90 percent of the </w:t>
      </w:r>
      <w:r>
        <w:t>f</w:t>
      </w:r>
      <w:r w:rsidRPr="00A119E8">
        <w:t>inal/</w:t>
      </w:r>
      <w:r>
        <w:t>n</w:t>
      </w:r>
      <w:r w:rsidRPr="00A119E8">
        <w:t xml:space="preserve">ew target of 95 percent, </w:t>
      </w:r>
      <w:r>
        <w:t>which was</w:t>
      </w:r>
      <w:r w:rsidRPr="00A119E8">
        <w:t xml:space="preserve"> set to be achieved by June 2016.</w:t>
      </w:r>
    </w:p>
    <w:p w:rsidR="007A28AF" w:rsidRPr="00A119E8" w:rsidRDefault="007A28AF" w:rsidP="00DF6260">
      <w:pPr>
        <w:keepNext/>
      </w:pPr>
    </w:p>
    <w:p w:rsidR="00BA14B3" w:rsidRPr="00A119E8" w:rsidRDefault="00BA14B3" w:rsidP="007A28AF">
      <w:pPr>
        <w:pStyle w:val="Figure"/>
      </w:pPr>
      <w:bookmarkStart w:id="94" w:name="_Toc445801454"/>
      <w:bookmarkStart w:id="95" w:name="_Toc447527153"/>
      <w:r w:rsidRPr="00A119E8">
        <w:t xml:space="preserve">Figure </w:t>
      </w:r>
      <w:fldSimple w:instr=" SEQ Figure \* ARABIC ">
        <w:r w:rsidR="008D5FF2">
          <w:rPr>
            <w:noProof/>
          </w:rPr>
          <w:t>17</w:t>
        </w:r>
      </w:fldSimple>
      <w:r w:rsidRPr="00A119E8">
        <w:t xml:space="preserve">: Percentage of children under five years old enrolled in the Community Oral Health Service, Pacific </w:t>
      </w:r>
      <w:proofErr w:type="gramStart"/>
      <w:r w:rsidRPr="00A119E8">
        <w:t>peoples</w:t>
      </w:r>
      <w:proofErr w:type="gramEnd"/>
      <w:r w:rsidRPr="00A119E8">
        <w:t xml:space="preserve"> population and total New Zealand population, 2007–201</w:t>
      </w:r>
      <w:bookmarkEnd w:id="92"/>
      <w:bookmarkEnd w:id="93"/>
      <w:r w:rsidRPr="00A119E8">
        <w:t>4</w:t>
      </w:r>
      <w:bookmarkEnd w:id="94"/>
      <w:bookmarkEnd w:id="95"/>
    </w:p>
    <w:p w:rsidR="00BA14B3" w:rsidRDefault="00DF6260" w:rsidP="00DF6260">
      <w:pPr>
        <w:spacing w:after="120"/>
      </w:pPr>
      <w:r>
        <w:rPr>
          <w:noProof/>
          <w:lang w:eastAsia="en-NZ"/>
        </w:rPr>
        <w:drawing>
          <wp:inline distT="0" distB="0" distL="0" distR="0" wp14:anchorId="5E2F3F15" wp14:editId="55940469">
            <wp:extent cx="4505498" cy="2749202"/>
            <wp:effectExtent l="0" t="0" r="0" b="0"/>
            <wp:docPr id="113" name="Picture 113" title="Figure 17: Percentage of children under five years old enrolled in the Community Oral Health Service, Pacific peoples population and total New Zealand populatio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2047" cy="2753198"/>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08"/>
        <w:gridCol w:w="709"/>
        <w:gridCol w:w="709"/>
        <w:gridCol w:w="709"/>
        <w:gridCol w:w="708"/>
        <w:gridCol w:w="709"/>
        <w:gridCol w:w="709"/>
        <w:gridCol w:w="709"/>
      </w:tblGrid>
      <w:tr w:rsidR="00DF6260" w:rsidRPr="00D24919" w:rsidTr="00DF6260">
        <w:trPr>
          <w:cantSplit/>
        </w:trPr>
        <w:tc>
          <w:tcPr>
            <w:tcW w:w="1418" w:type="dxa"/>
            <w:tcBorders>
              <w:top w:val="single" w:sz="4" w:space="0" w:color="auto"/>
              <w:bottom w:val="single" w:sz="4" w:space="0" w:color="auto"/>
            </w:tcBorders>
          </w:tcPr>
          <w:p w:rsidR="00DF6260" w:rsidRPr="00D24919" w:rsidRDefault="00DF6260" w:rsidP="00FD02A6">
            <w:pPr>
              <w:pStyle w:val="TableText"/>
              <w:rPr>
                <w:b/>
                <w:sz w:val="14"/>
                <w:szCs w:val="14"/>
              </w:rPr>
            </w:pPr>
          </w:p>
        </w:tc>
        <w:tc>
          <w:tcPr>
            <w:tcW w:w="708"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2007</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2008</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2009</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2010</w:t>
            </w:r>
          </w:p>
        </w:tc>
        <w:tc>
          <w:tcPr>
            <w:tcW w:w="708"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2011</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2012</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2013</w:t>
            </w:r>
          </w:p>
        </w:tc>
        <w:tc>
          <w:tcPr>
            <w:tcW w:w="709" w:type="dxa"/>
            <w:tcBorders>
              <w:top w:val="single" w:sz="4" w:space="0" w:color="auto"/>
              <w:bottom w:val="single" w:sz="4" w:space="0" w:color="auto"/>
            </w:tcBorders>
          </w:tcPr>
          <w:p w:rsidR="00DF6260" w:rsidRPr="00D24919" w:rsidRDefault="00DF6260" w:rsidP="00FD02A6">
            <w:pPr>
              <w:pStyle w:val="TableText"/>
              <w:jc w:val="center"/>
              <w:rPr>
                <w:b/>
                <w:sz w:val="14"/>
                <w:szCs w:val="14"/>
              </w:rPr>
            </w:pPr>
            <w:r>
              <w:rPr>
                <w:b/>
                <w:sz w:val="14"/>
                <w:szCs w:val="14"/>
              </w:rPr>
              <w:t>2014</w:t>
            </w:r>
          </w:p>
        </w:tc>
      </w:tr>
      <w:tr w:rsidR="00DF6260" w:rsidRPr="009E084D" w:rsidTr="00DF6260">
        <w:trPr>
          <w:cantSplit/>
        </w:trPr>
        <w:tc>
          <w:tcPr>
            <w:tcW w:w="1418" w:type="dxa"/>
            <w:tcBorders>
              <w:top w:val="single" w:sz="4" w:space="0" w:color="auto"/>
              <w:bottom w:val="single" w:sz="4" w:space="0" w:color="A6A6A6" w:themeColor="background1" w:themeShade="A6"/>
            </w:tcBorders>
          </w:tcPr>
          <w:p w:rsidR="00DF6260" w:rsidRPr="00D24919" w:rsidRDefault="00DF6260" w:rsidP="00FD02A6">
            <w:pPr>
              <w:pStyle w:val="TableText"/>
              <w:rPr>
                <w:sz w:val="14"/>
                <w:szCs w:val="14"/>
              </w:rPr>
            </w:pPr>
            <w:r w:rsidRPr="00D24919">
              <w:rPr>
                <w:sz w:val="14"/>
                <w:szCs w:val="14"/>
              </w:rPr>
              <w:t>Pacific</w:t>
            </w:r>
          </w:p>
        </w:tc>
        <w:tc>
          <w:tcPr>
            <w:tcW w:w="708"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28.1%</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30.2%</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32.2%</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49.1%</w:t>
            </w:r>
          </w:p>
        </w:tc>
        <w:tc>
          <w:tcPr>
            <w:tcW w:w="708"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59.4%</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66.3%</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67.8%</w:t>
            </w:r>
          </w:p>
        </w:tc>
        <w:tc>
          <w:tcPr>
            <w:tcW w:w="709" w:type="dxa"/>
            <w:tcBorders>
              <w:top w:val="single" w:sz="4" w:space="0" w:color="auto"/>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74.7%</w:t>
            </w:r>
          </w:p>
        </w:tc>
      </w:tr>
      <w:tr w:rsidR="00DF6260" w:rsidRPr="009E084D" w:rsidTr="00DF6260">
        <w:trPr>
          <w:cantSplit/>
        </w:trPr>
        <w:tc>
          <w:tcPr>
            <w:tcW w:w="1418" w:type="dxa"/>
            <w:tcBorders>
              <w:top w:val="single" w:sz="4" w:space="0" w:color="A6A6A6" w:themeColor="background1" w:themeShade="A6"/>
              <w:bottom w:val="single" w:sz="4" w:space="0" w:color="A6A6A6" w:themeColor="background1" w:themeShade="A6"/>
            </w:tcBorders>
          </w:tcPr>
          <w:p w:rsidR="00DF6260" w:rsidRPr="00D24919" w:rsidRDefault="00DF6260" w:rsidP="00FD02A6">
            <w:pPr>
              <w:pStyle w:val="TableText"/>
              <w:rPr>
                <w:sz w:val="14"/>
                <w:szCs w:val="14"/>
              </w:rPr>
            </w:pPr>
            <w:r w:rsidRPr="00D24919">
              <w:rPr>
                <w:sz w:val="14"/>
                <w:szCs w:val="14"/>
              </w:rPr>
              <w:t>Total New Zealand</w:t>
            </w:r>
          </w:p>
        </w:tc>
        <w:tc>
          <w:tcPr>
            <w:tcW w:w="708"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43.2%</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43.0%</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48.9%</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59.8%</w:t>
            </w:r>
          </w:p>
        </w:tc>
        <w:tc>
          <w:tcPr>
            <w:tcW w:w="708"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62.6%</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69.5%</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72.9%</w:t>
            </w:r>
          </w:p>
        </w:tc>
        <w:tc>
          <w:tcPr>
            <w:tcW w:w="709" w:type="dxa"/>
            <w:tcBorders>
              <w:top w:val="single" w:sz="4" w:space="0" w:color="A6A6A6" w:themeColor="background1" w:themeShade="A6"/>
              <w:bottom w:val="single" w:sz="4" w:space="0" w:color="A6A6A6" w:themeColor="background1" w:themeShade="A6"/>
            </w:tcBorders>
          </w:tcPr>
          <w:p w:rsidR="00DF6260" w:rsidRPr="00DF6260" w:rsidRDefault="00DF6260" w:rsidP="00FD02A6">
            <w:pPr>
              <w:pStyle w:val="TableText"/>
              <w:jc w:val="center"/>
              <w:rPr>
                <w:sz w:val="14"/>
              </w:rPr>
            </w:pPr>
            <w:r w:rsidRPr="00DF6260">
              <w:rPr>
                <w:sz w:val="14"/>
              </w:rPr>
              <w:t>75.6%</w:t>
            </w:r>
          </w:p>
        </w:tc>
      </w:tr>
      <w:tr w:rsidR="004716D8" w:rsidRPr="009E084D" w:rsidTr="00FD02A6">
        <w:trPr>
          <w:cantSplit/>
        </w:trPr>
        <w:tc>
          <w:tcPr>
            <w:tcW w:w="1418" w:type="dxa"/>
            <w:tcBorders>
              <w:top w:val="single" w:sz="4" w:space="0" w:color="A6A6A6" w:themeColor="background1" w:themeShade="A6"/>
              <w:bottom w:val="single" w:sz="4" w:space="0" w:color="A6A6A6" w:themeColor="background1" w:themeShade="A6"/>
            </w:tcBorders>
          </w:tcPr>
          <w:p w:rsidR="004716D8" w:rsidRPr="00D24919" w:rsidRDefault="004716D8" w:rsidP="005A4EA5">
            <w:pPr>
              <w:pStyle w:val="TableText"/>
              <w:rPr>
                <w:sz w:val="14"/>
                <w:szCs w:val="14"/>
              </w:rPr>
            </w:pPr>
            <w:r>
              <w:rPr>
                <w:sz w:val="14"/>
                <w:szCs w:val="14"/>
              </w:rPr>
              <w:t>Old</w:t>
            </w:r>
            <w:r w:rsidRPr="00D24919">
              <w:rPr>
                <w:sz w:val="14"/>
                <w:szCs w:val="14"/>
              </w:rPr>
              <w:t xml:space="preserve"> target</w:t>
            </w:r>
          </w:p>
        </w:tc>
        <w:tc>
          <w:tcPr>
            <w:tcW w:w="708"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8"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DF6260" w:rsidRDefault="004716D8" w:rsidP="005A4EA5">
            <w:pPr>
              <w:pStyle w:val="TableText"/>
              <w:jc w:val="center"/>
              <w:rPr>
                <w:sz w:val="14"/>
              </w:rPr>
            </w:pPr>
            <w:r w:rsidRPr="00DF6260">
              <w:rPr>
                <w:sz w:val="14"/>
              </w:rPr>
              <w:t>86.0%</w:t>
            </w:r>
          </w:p>
        </w:tc>
      </w:tr>
      <w:tr w:rsidR="004716D8" w:rsidRPr="009E084D" w:rsidTr="00DF6260">
        <w:trPr>
          <w:cantSplit/>
        </w:trPr>
        <w:tc>
          <w:tcPr>
            <w:tcW w:w="1418" w:type="dxa"/>
            <w:tcBorders>
              <w:top w:val="single" w:sz="4" w:space="0" w:color="A6A6A6" w:themeColor="background1" w:themeShade="A6"/>
              <w:bottom w:val="single" w:sz="4" w:space="0" w:color="auto"/>
            </w:tcBorders>
          </w:tcPr>
          <w:p w:rsidR="004716D8" w:rsidRPr="00D24919" w:rsidRDefault="004716D8" w:rsidP="005A4EA5">
            <w:pPr>
              <w:pStyle w:val="TableText"/>
              <w:rPr>
                <w:sz w:val="14"/>
                <w:szCs w:val="14"/>
              </w:rPr>
            </w:pPr>
            <w:r>
              <w:rPr>
                <w:sz w:val="14"/>
                <w:szCs w:val="14"/>
              </w:rPr>
              <w:t>New</w:t>
            </w:r>
            <w:r w:rsidRPr="00D24919">
              <w:rPr>
                <w:sz w:val="14"/>
                <w:szCs w:val="14"/>
              </w:rPr>
              <w:t xml:space="preserve"> target</w:t>
            </w:r>
          </w:p>
        </w:tc>
        <w:tc>
          <w:tcPr>
            <w:tcW w:w="708"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8"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c>
          <w:tcPr>
            <w:tcW w:w="709" w:type="dxa"/>
            <w:tcBorders>
              <w:top w:val="single" w:sz="4" w:space="0" w:color="A6A6A6" w:themeColor="background1" w:themeShade="A6"/>
              <w:bottom w:val="single" w:sz="4" w:space="0" w:color="auto"/>
            </w:tcBorders>
          </w:tcPr>
          <w:p w:rsidR="004716D8" w:rsidRPr="00DF6260" w:rsidRDefault="004716D8" w:rsidP="005A4EA5">
            <w:pPr>
              <w:pStyle w:val="TableText"/>
              <w:jc w:val="center"/>
              <w:rPr>
                <w:sz w:val="14"/>
              </w:rPr>
            </w:pPr>
            <w:r w:rsidRPr="00DF6260">
              <w:rPr>
                <w:sz w:val="14"/>
              </w:rPr>
              <w:t>95.0%</w:t>
            </w:r>
          </w:p>
        </w:tc>
      </w:tr>
    </w:tbl>
    <w:p w:rsidR="00DF6260" w:rsidRDefault="00DF6260" w:rsidP="00DF6260"/>
    <w:p w:rsidR="00BA14B3" w:rsidRPr="007A28AF" w:rsidRDefault="00BA14B3" w:rsidP="007A28AF">
      <w:pPr>
        <w:rPr>
          <w:b/>
        </w:rPr>
      </w:pPr>
      <w:r w:rsidRPr="007A28AF">
        <w:rPr>
          <w:b/>
        </w:rPr>
        <w:t>Notes for Figures 17 and 18:</w:t>
      </w:r>
    </w:p>
    <w:p w:rsidR="00BA14B3" w:rsidRPr="00A119E8" w:rsidRDefault="00BA14B3" w:rsidP="007A28AF">
      <w:pPr>
        <w:pStyle w:val="Bullet"/>
      </w:pPr>
      <w:r w:rsidRPr="00A119E8">
        <w:t>Time period: 2014</w:t>
      </w:r>
      <w:r>
        <w:t>.</w:t>
      </w:r>
    </w:p>
    <w:p w:rsidR="00BA14B3" w:rsidRPr="00A119E8" w:rsidRDefault="00BA14B3" w:rsidP="007A28AF">
      <w:pPr>
        <w:pStyle w:val="Bullet"/>
      </w:pPr>
      <w:r w:rsidRPr="00A119E8">
        <w:t>Canterbury DHB did not report data by ethnicity f</w:t>
      </w:r>
      <w:r>
        <w:t xml:space="preserve">or this indicator prior to 2010. </w:t>
      </w:r>
      <w:r w:rsidRPr="00F3779F">
        <w:t>Fewer children were examined in Canterbury in 2014 than in 2013 due to the unavailability of mobile dental units during school term 2.</w:t>
      </w:r>
      <w:r w:rsidRPr="00A119E8">
        <w:t xml:space="preserve"> Hawke’s Bay DHB reported no data by ethnicity for the </w:t>
      </w:r>
      <w:r>
        <w:t xml:space="preserve">2007 and </w:t>
      </w:r>
      <w:r w:rsidRPr="00A119E8">
        <w:t>2011 year and Waikato DHB does not report data by ethnicity for this indicator.</w:t>
      </w:r>
    </w:p>
    <w:p w:rsidR="00BA14B3" w:rsidRPr="00A119E8" w:rsidRDefault="00BA14B3" w:rsidP="007A28AF">
      <w:pPr>
        <w:pStyle w:val="Bullet"/>
      </w:pPr>
      <w:r w:rsidRPr="00A119E8">
        <w:t>Numerator: number of children aged under five years enrolled with the Community Oral Health Service (source: DHBs reporting).</w:t>
      </w:r>
    </w:p>
    <w:p w:rsidR="00BA14B3" w:rsidRPr="00A119E8" w:rsidRDefault="00BA14B3" w:rsidP="007A28AF">
      <w:pPr>
        <w:pStyle w:val="Bullet"/>
      </w:pPr>
      <w:r w:rsidRPr="00A119E8">
        <w:t>Denominator: number of children aged under five years (source: Statistics New Zealand population projections based on Census 2013).</w:t>
      </w:r>
    </w:p>
    <w:p w:rsidR="00BA14B3" w:rsidRPr="00A119E8" w:rsidRDefault="00BA14B3" w:rsidP="007A28AF"/>
    <w:p w:rsidR="0034306E" w:rsidRDefault="00BA14B3" w:rsidP="007A28AF">
      <w:r w:rsidRPr="00A119E8">
        <w:t xml:space="preserve">Figure 17 shows that results for this indicator in both </w:t>
      </w:r>
      <w:r>
        <w:t xml:space="preserve">the </w:t>
      </w:r>
      <w:r w:rsidRPr="00A119E8">
        <w:t xml:space="preserve">Pacific </w:t>
      </w:r>
      <w:r>
        <w:t>population</w:t>
      </w:r>
      <w:r w:rsidRPr="00A119E8">
        <w:t xml:space="preserve"> and the total New Zealand population continue to improve, and the equity gap between the two population groups has closed.</w:t>
      </w:r>
    </w:p>
    <w:p w:rsidR="00BA14B3" w:rsidRPr="00A119E8" w:rsidRDefault="00BA14B3" w:rsidP="007A28AF"/>
    <w:p w:rsidR="00BA14B3" w:rsidRPr="00A119E8" w:rsidRDefault="00BA14B3" w:rsidP="007A28AF">
      <w:pPr>
        <w:pStyle w:val="Figure"/>
      </w:pPr>
      <w:bookmarkStart w:id="96" w:name="_Toc428368072"/>
      <w:bookmarkStart w:id="97" w:name="_Toc428370450"/>
      <w:bookmarkStart w:id="98" w:name="_Toc445801455"/>
      <w:bookmarkStart w:id="99" w:name="_Toc447527154"/>
      <w:r w:rsidRPr="00A119E8">
        <w:lastRenderedPageBreak/>
        <w:t xml:space="preserve">Figure </w:t>
      </w:r>
      <w:fldSimple w:instr=" SEQ Figure \* ARABIC ">
        <w:r w:rsidR="008D5FF2">
          <w:rPr>
            <w:noProof/>
          </w:rPr>
          <w:t>18</w:t>
        </w:r>
      </w:fldSimple>
      <w:r w:rsidRPr="00A119E8">
        <w:t>: Percentage of children under five years old enrolled in the Community Oral Health Service, Pacific peoples, by priority DHBs, 2007–201</w:t>
      </w:r>
      <w:bookmarkEnd w:id="96"/>
      <w:bookmarkEnd w:id="97"/>
      <w:r w:rsidRPr="00A119E8">
        <w:t>4</w:t>
      </w:r>
      <w:bookmarkEnd w:id="98"/>
      <w:bookmarkEnd w:id="99"/>
    </w:p>
    <w:p w:rsidR="00BA14B3" w:rsidRDefault="001B473D" w:rsidP="001B473D">
      <w:pPr>
        <w:spacing w:after="120"/>
      </w:pPr>
      <w:r>
        <w:rPr>
          <w:noProof/>
          <w:lang w:eastAsia="en-NZ"/>
        </w:rPr>
        <w:drawing>
          <wp:inline distT="0" distB="0" distL="0" distR="0" wp14:anchorId="2A7A0CAF" wp14:editId="27455591">
            <wp:extent cx="4488873" cy="2742152"/>
            <wp:effectExtent l="0" t="0" r="0" b="1270"/>
            <wp:docPr id="114" name="Picture 114" title="Figure 18: Percentage of children under five years old enrolled in the Community Oral Health Service, Pacific peoples, by priority DHB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9232" cy="2742371"/>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08"/>
        <w:gridCol w:w="709"/>
        <w:gridCol w:w="709"/>
        <w:gridCol w:w="709"/>
        <w:gridCol w:w="708"/>
        <w:gridCol w:w="709"/>
        <w:gridCol w:w="709"/>
        <w:gridCol w:w="709"/>
      </w:tblGrid>
      <w:tr w:rsidR="001B473D" w:rsidRPr="00D24919" w:rsidTr="00FD02A6">
        <w:trPr>
          <w:cantSplit/>
        </w:trPr>
        <w:tc>
          <w:tcPr>
            <w:tcW w:w="1418" w:type="dxa"/>
            <w:tcBorders>
              <w:top w:val="single" w:sz="4" w:space="0" w:color="auto"/>
              <w:bottom w:val="single" w:sz="4" w:space="0" w:color="auto"/>
            </w:tcBorders>
          </w:tcPr>
          <w:p w:rsidR="001B473D" w:rsidRPr="00D24919" w:rsidRDefault="001B473D" w:rsidP="00FD02A6">
            <w:pPr>
              <w:pStyle w:val="TableText"/>
              <w:rPr>
                <w:b/>
                <w:sz w:val="14"/>
                <w:szCs w:val="14"/>
              </w:rPr>
            </w:pPr>
          </w:p>
        </w:tc>
        <w:tc>
          <w:tcPr>
            <w:tcW w:w="708"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2007</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2008</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2009</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2010</w:t>
            </w:r>
          </w:p>
        </w:tc>
        <w:tc>
          <w:tcPr>
            <w:tcW w:w="708"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2011</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2012</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2013</w:t>
            </w:r>
          </w:p>
        </w:tc>
        <w:tc>
          <w:tcPr>
            <w:tcW w:w="709" w:type="dxa"/>
            <w:tcBorders>
              <w:top w:val="single" w:sz="4" w:space="0" w:color="auto"/>
              <w:bottom w:val="single" w:sz="4" w:space="0" w:color="auto"/>
            </w:tcBorders>
          </w:tcPr>
          <w:p w:rsidR="001B473D" w:rsidRPr="00D24919" w:rsidRDefault="001B473D" w:rsidP="00FD02A6">
            <w:pPr>
              <w:pStyle w:val="TableText"/>
              <w:jc w:val="center"/>
              <w:rPr>
                <w:b/>
                <w:sz w:val="14"/>
                <w:szCs w:val="14"/>
              </w:rPr>
            </w:pPr>
            <w:r>
              <w:rPr>
                <w:b/>
                <w:sz w:val="14"/>
                <w:szCs w:val="14"/>
              </w:rPr>
              <w:t>2014</w:t>
            </w:r>
          </w:p>
        </w:tc>
      </w:tr>
      <w:tr w:rsidR="001B473D" w:rsidRPr="00DF6260" w:rsidTr="00FD02A6">
        <w:trPr>
          <w:cantSplit/>
        </w:trPr>
        <w:tc>
          <w:tcPr>
            <w:tcW w:w="1418" w:type="dxa"/>
            <w:tcBorders>
              <w:top w:val="single" w:sz="4" w:space="0" w:color="auto"/>
              <w:bottom w:val="single" w:sz="4" w:space="0" w:color="A6A6A6" w:themeColor="background1" w:themeShade="A6"/>
            </w:tcBorders>
          </w:tcPr>
          <w:p w:rsidR="001B473D" w:rsidRPr="001B473D" w:rsidRDefault="001B473D" w:rsidP="00FD02A6">
            <w:pPr>
              <w:pStyle w:val="TableText"/>
              <w:rPr>
                <w:sz w:val="14"/>
              </w:rPr>
            </w:pPr>
            <w:r w:rsidRPr="001B473D">
              <w:rPr>
                <w:sz w:val="14"/>
              </w:rPr>
              <w:t>Auckland</w:t>
            </w:r>
          </w:p>
        </w:tc>
        <w:tc>
          <w:tcPr>
            <w:tcW w:w="708"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28.6%</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36.8%</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38.6%</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58.2%</w:t>
            </w:r>
          </w:p>
        </w:tc>
        <w:tc>
          <w:tcPr>
            <w:tcW w:w="708"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70.5%</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74.6%</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72.6%</w:t>
            </w:r>
          </w:p>
        </w:tc>
        <w:tc>
          <w:tcPr>
            <w:tcW w:w="709" w:type="dxa"/>
            <w:tcBorders>
              <w:top w:val="single" w:sz="4" w:space="0" w:color="auto"/>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79.0%</w:t>
            </w:r>
          </w:p>
        </w:tc>
      </w:tr>
      <w:tr w:rsidR="001B473D" w:rsidRPr="00DF6260" w:rsidTr="00FD02A6">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r w:rsidRPr="001B473D">
              <w:rPr>
                <w:sz w:val="14"/>
              </w:rPr>
              <w:t>Canterbury</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56.4%</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47.8%</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52.6%</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52.1%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54.0%</w:t>
            </w:r>
          </w:p>
        </w:tc>
      </w:tr>
      <w:tr w:rsidR="001B473D" w:rsidRPr="00DF6260" w:rsidTr="00FD02A6">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r w:rsidRPr="001B473D">
              <w:rPr>
                <w:sz w:val="14"/>
              </w:rPr>
              <w:t>Capital &amp; Coast</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22.7%</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17.9%</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18.4%</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24.6%</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29.2%</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32.7%</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34.2%</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65.0%</w:t>
            </w:r>
          </w:p>
        </w:tc>
      </w:tr>
      <w:tr w:rsidR="001B473D" w:rsidRPr="00DF6260" w:rsidTr="001B473D">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r w:rsidRPr="001B473D">
              <w:rPr>
                <w:sz w:val="14"/>
              </w:rPr>
              <w:t xml:space="preserve">Counties </w:t>
            </w:r>
            <w:proofErr w:type="spellStart"/>
            <w:r w:rsidRPr="001B473D">
              <w:rPr>
                <w:sz w:val="14"/>
              </w:rPr>
              <w:t>Manukau</w:t>
            </w:r>
            <w:proofErr w:type="spellEnd"/>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36.9%</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35.3%</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39.3%</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56.0%</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65.6%</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72.1%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73.5%</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79.0%</w:t>
            </w:r>
          </w:p>
        </w:tc>
      </w:tr>
      <w:tr w:rsidR="001B473D" w:rsidRPr="00DF6260" w:rsidTr="001B473D">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r w:rsidRPr="001B473D">
              <w:rPr>
                <w:sz w:val="14"/>
              </w:rPr>
              <w:t>Hawke's Bay</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45.1%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27.1%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38.3%</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63.3%</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67.4%</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72.0%</w:t>
            </w:r>
          </w:p>
        </w:tc>
      </w:tr>
      <w:tr w:rsidR="001B473D" w:rsidRPr="00DF6260" w:rsidTr="001B473D">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r w:rsidRPr="001B473D">
              <w:rPr>
                <w:sz w:val="14"/>
              </w:rPr>
              <w:t>Hutt Valley</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22.9%</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21.6%</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20.1%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30.0%</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34.4%</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42.8%</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41.1%</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51.0%</w:t>
            </w:r>
          </w:p>
        </w:tc>
      </w:tr>
      <w:tr w:rsidR="001B473D" w:rsidRPr="00DF6260" w:rsidTr="001B473D">
        <w:trPr>
          <w:cantSplit/>
        </w:trPr>
        <w:tc>
          <w:tcPr>
            <w:tcW w:w="1418" w:type="dxa"/>
            <w:tcBorders>
              <w:top w:val="single" w:sz="4" w:space="0" w:color="A6A6A6" w:themeColor="background1" w:themeShade="A6"/>
              <w:bottom w:val="single" w:sz="4" w:space="0" w:color="A6A6A6" w:themeColor="background1" w:themeShade="A6"/>
            </w:tcBorders>
          </w:tcPr>
          <w:p w:rsidR="001B473D" w:rsidRPr="001B473D" w:rsidRDefault="001B473D" w:rsidP="00FD02A6">
            <w:pPr>
              <w:pStyle w:val="TableText"/>
              <w:rPr>
                <w:sz w:val="14"/>
              </w:rPr>
            </w:pPr>
            <w:proofErr w:type="spellStart"/>
            <w:r w:rsidRPr="001B473D">
              <w:rPr>
                <w:sz w:val="14"/>
              </w:rPr>
              <w:t>Waitemata</w:t>
            </w:r>
            <w:proofErr w:type="spellEnd"/>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30.8%</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31.8%</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34.7%</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49.8%</w:t>
            </w:r>
          </w:p>
        </w:tc>
        <w:tc>
          <w:tcPr>
            <w:tcW w:w="708"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63.5%</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65.6%</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66.6%</w:t>
            </w:r>
          </w:p>
        </w:tc>
        <w:tc>
          <w:tcPr>
            <w:tcW w:w="709" w:type="dxa"/>
            <w:tcBorders>
              <w:top w:val="single" w:sz="4" w:space="0" w:color="A6A6A6" w:themeColor="background1" w:themeShade="A6"/>
              <w:bottom w:val="single" w:sz="4" w:space="0" w:color="A6A6A6" w:themeColor="background1" w:themeShade="A6"/>
            </w:tcBorders>
          </w:tcPr>
          <w:p w:rsidR="001B473D" w:rsidRPr="001B473D" w:rsidRDefault="001B473D" w:rsidP="001B473D">
            <w:pPr>
              <w:pStyle w:val="TableText"/>
              <w:jc w:val="center"/>
              <w:rPr>
                <w:sz w:val="14"/>
              </w:rPr>
            </w:pPr>
            <w:r w:rsidRPr="001B473D">
              <w:rPr>
                <w:sz w:val="14"/>
              </w:rPr>
              <w:t>75.0%</w:t>
            </w:r>
          </w:p>
        </w:tc>
      </w:tr>
      <w:tr w:rsidR="004716D8" w:rsidRPr="00DF6260" w:rsidTr="001B473D">
        <w:trPr>
          <w:cantSplit/>
        </w:trPr>
        <w:tc>
          <w:tcPr>
            <w:tcW w:w="1418"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rPr>
                <w:sz w:val="14"/>
              </w:rPr>
            </w:pPr>
            <w:r>
              <w:rPr>
                <w:sz w:val="14"/>
              </w:rPr>
              <w:t>Old target</w:t>
            </w:r>
          </w:p>
        </w:tc>
        <w:tc>
          <w:tcPr>
            <w:tcW w:w="708"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8"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c>
          <w:tcPr>
            <w:tcW w:w="709" w:type="dxa"/>
            <w:tcBorders>
              <w:top w:val="single" w:sz="4" w:space="0" w:color="A6A6A6" w:themeColor="background1" w:themeShade="A6"/>
              <w:bottom w:val="single" w:sz="4" w:space="0" w:color="A6A6A6" w:themeColor="background1" w:themeShade="A6"/>
            </w:tcBorders>
          </w:tcPr>
          <w:p w:rsidR="004716D8" w:rsidRPr="001B473D" w:rsidRDefault="004716D8" w:rsidP="005A4EA5">
            <w:pPr>
              <w:pStyle w:val="TableText"/>
              <w:jc w:val="center"/>
              <w:rPr>
                <w:sz w:val="14"/>
              </w:rPr>
            </w:pPr>
            <w:r w:rsidRPr="001B473D">
              <w:rPr>
                <w:sz w:val="14"/>
              </w:rPr>
              <w:t>86.0%</w:t>
            </w:r>
          </w:p>
        </w:tc>
      </w:tr>
      <w:tr w:rsidR="004716D8" w:rsidRPr="00DF6260" w:rsidTr="00FD02A6">
        <w:trPr>
          <w:cantSplit/>
        </w:trPr>
        <w:tc>
          <w:tcPr>
            <w:tcW w:w="1418" w:type="dxa"/>
            <w:tcBorders>
              <w:top w:val="single" w:sz="4" w:space="0" w:color="A6A6A6" w:themeColor="background1" w:themeShade="A6"/>
              <w:bottom w:val="single" w:sz="4" w:space="0" w:color="auto"/>
            </w:tcBorders>
          </w:tcPr>
          <w:p w:rsidR="004716D8" w:rsidRPr="001B473D" w:rsidRDefault="004716D8" w:rsidP="005A4EA5">
            <w:pPr>
              <w:pStyle w:val="TableText"/>
              <w:rPr>
                <w:sz w:val="14"/>
              </w:rPr>
            </w:pPr>
            <w:r>
              <w:rPr>
                <w:sz w:val="14"/>
              </w:rPr>
              <w:t>New target</w:t>
            </w:r>
          </w:p>
        </w:tc>
        <w:tc>
          <w:tcPr>
            <w:tcW w:w="708"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8"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c>
          <w:tcPr>
            <w:tcW w:w="709" w:type="dxa"/>
            <w:tcBorders>
              <w:top w:val="single" w:sz="4" w:space="0" w:color="A6A6A6" w:themeColor="background1" w:themeShade="A6"/>
              <w:bottom w:val="single" w:sz="4" w:space="0" w:color="auto"/>
            </w:tcBorders>
          </w:tcPr>
          <w:p w:rsidR="004716D8" w:rsidRPr="001B473D" w:rsidRDefault="004716D8" w:rsidP="005A4EA5">
            <w:pPr>
              <w:pStyle w:val="TableText"/>
              <w:jc w:val="center"/>
              <w:rPr>
                <w:sz w:val="14"/>
              </w:rPr>
            </w:pPr>
            <w:r w:rsidRPr="001B473D">
              <w:rPr>
                <w:sz w:val="14"/>
              </w:rPr>
              <w:t>95.0%</w:t>
            </w:r>
          </w:p>
        </w:tc>
      </w:tr>
    </w:tbl>
    <w:p w:rsidR="001B473D" w:rsidRDefault="001B473D" w:rsidP="001B473D"/>
    <w:p w:rsidR="0034306E" w:rsidRDefault="00BA14B3" w:rsidP="007A28AF">
      <w:r w:rsidRPr="00A119E8">
        <w:t xml:space="preserve">Figure 18 shows </w:t>
      </w:r>
      <w:r>
        <w:t xml:space="preserve">that </w:t>
      </w:r>
      <w:r w:rsidRPr="00A119E8">
        <w:t xml:space="preserve">all of the eight </w:t>
      </w:r>
      <w:r>
        <w:t xml:space="preserve">priority </w:t>
      </w:r>
      <w:r w:rsidRPr="00A119E8">
        <w:t xml:space="preserve">DHBs are making progress. The three Auckland DHBs offer shared oral health services through the Auckland Regional Dental Service, which provides free dental care for children in the Auckland region aged 0–17 years. Pacific children’s enrolment for this region is improving as a result of this. Hawke’s Bay </w:t>
      </w:r>
      <w:r>
        <w:t xml:space="preserve">DHB </w:t>
      </w:r>
      <w:r w:rsidRPr="00A119E8">
        <w:t>has improved as well, and Capital &amp; Coast DHB has shifted substantially since the last update.</w:t>
      </w:r>
    </w:p>
    <w:p w:rsidR="00BA14B3" w:rsidRPr="00A119E8" w:rsidRDefault="00BA14B3" w:rsidP="007A28AF"/>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2g</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number of Pacific children caries-free at age five, and rates of DMFT at school year eight at least equivalent to the total population</w:t>
            </w:r>
          </w:p>
        </w:tc>
      </w:tr>
    </w:tbl>
    <w:p w:rsidR="00BA14B3" w:rsidRPr="00A119E8" w:rsidRDefault="00BA14B3" w:rsidP="005857B1">
      <w:pPr>
        <w:keepNext/>
      </w:pPr>
    </w:p>
    <w:p w:rsidR="00BA14B3" w:rsidRPr="00A119E8" w:rsidRDefault="00BA14B3" w:rsidP="005857B1">
      <w:pPr>
        <w:keepNext/>
      </w:pPr>
      <w:r w:rsidRPr="005857B1">
        <w:rPr>
          <w:b/>
        </w:rPr>
        <w:t>Performance:</w:t>
      </w:r>
      <w:r w:rsidR="005857B1">
        <w:t xml:space="preserve"> </w:t>
      </w:r>
      <w:r w:rsidRPr="00A119E8">
        <w:t>The target of this indicator was set at 65 percent to be achieved by June 2016.</w:t>
      </w:r>
    </w:p>
    <w:p w:rsidR="00BA14B3" w:rsidRPr="00A119E8" w:rsidRDefault="00BA14B3" w:rsidP="005857B1">
      <w:pPr>
        <w:keepNext/>
      </w:pPr>
    </w:p>
    <w:p w:rsidR="00BA14B3" w:rsidRPr="00A119E8" w:rsidRDefault="00BA14B3" w:rsidP="005857B1">
      <w:pPr>
        <w:pStyle w:val="Figure"/>
      </w:pPr>
      <w:bookmarkStart w:id="100" w:name="_Toc428368073"/>
      <w:bookmarkStart w:id="101" w:name="_Toc428370451"/>
      <w:bookmarkStart w:id="102" w:name="_Toc445801456"/>
      <w:bookmarkStart w:id="103" w:name="_Toc447527155"/>
      <w:r w:rsidRPr="00A119E8">
        <w:t xml:space="preserve">Figure </w:t>
      </w:r>
      <w:fldSimple w:instr=" SEQ Figure \* ARABIC ">
        <w:r w:rsidR="008D5FF2">
          <w:rPr>
            <w:noProof/>
          </w:rPr>
          <w:t>19</w:t>
        </w:r>
      </w:fldSimple>
      <w:r w:rsidRPr="00A119E8">
        <w:t xml:space="preserve">: Percentage of children caries-free at age five, Pacific </w:t>
      </w:r>
      <w:proofErr w:type="gramStart"/>
      <w:r w:rsidRPr="00A119E8">
        <w:t>peoples</w:t>
      </w:r>
      <w:proofErr w:type="gramEnd"/>
      <w:r w:rsidRPr="00A119E8">
        <w:t xml:space="preserve"> population and total New Zealand population, 2007–201</w:t>
      </w:r>
      <w:bookmarkEnd w:id="100"/>
      <w:bookmarkEnd w:id="101"/>
      <w:r w:rsidRPr="00A119E8">
        <w:t>4</w:t>
      </w:r>
      <w:bookmarkEnd w:id="102"/>
      <w:bookmarkEnd w:id="103"/>
    </w:p>
    <w:p w:rsidR="00BA14B3" w:rsidRDefault="008D0FC7" w:rsidP="008D0FC7">
      <w:pPr>
        <w:spacing w:after="120"/>
      </w:pPr>
      <w:r>
        <w:rPr>
          <w:noProof/>
          <w:lang w:eastAsia="en-NZ"/>
        </w:rPr>
        <w:drawing>
          <wp:inline distT="0" distB="0" distL="0" distR="0" wp14:anchorId="29F053CC" wp14:editId="03CB94D3">
            <wp:extent cx="4497185" cy="2744130"/>
            <wp:effectExtent l="0" t="0" r="0" b="0"/>
            <wp:docPr id="115" name="Picture 115" title="Figure 19: Percentage of children caries-free at age five, Pacific peoples population and total New Zealand populatio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1182" cy="2746569"/>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08"/>
        <w:gridCol w:w="709"/>
        <w:gridCol w:w="709"/>
        <w:gridCol w:w="709"/>
        <w:gridCol w:w="708"/>
        <w:gridCol w:w="709"/>
        <w:gridCol w:w="709"/>
        <w:gridCol w:w="709"/>
      </w:tblGrid>
      <w:tr w:rsidR="003917C3" w:rsidRPr="00D24919" w:rsidTr="00FD02A6">
        <w:trPr>
          <w:cantSplit/>
        </w:trPr>
        <w:tc>
          <w:tcPr>
            <w:tcW w:w="1418" w:type="dxa"/>
            <w:tcBorders>
              <w:top w:val="single" w:sz="4" w:space="0" w:color="auto"/>
              <w:bottom w:val="single" w:sz="4" w:space="0" w:color="auto"/>
            </w:tcBorders>
          </w:tcPr>
          <w:p w:rsidR="003917C3" w:rsidRPr="00D24919" w:rsidRDefault="003917C3" w:rsidP="00FD02A6">
            <w:pPr>
              <w:pStyle w:val="TableText"/>
              <w:rPr>
                <w:b/>
                <w:sz w:val="14"/>
                <w:szCs w:val="14"/>
              </w:rPr>
            </w:pPr>
          </w:p>
        </w:tc>
        <w:tc>
          <w:tcPr>
            <w:tcW w:w="708"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2007</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2008</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2009</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2010</w:t>
            </w:r>
          </w:p>
        </w:tc>
        <w:tc>
          <w:tcPr>
            <w:tcW w:w="708"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2011</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2012</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2013</w:t>
            </w:r>
          </w:p>
        </w:tc>
        <w:tc>
          <w:tcPr>
            <w:tcW w:w="709" w:type="dxa"/>
            <w:tcBorders>
              <w:top w:val="single" w:sz="4" w:space="0" w:color="auto"/>
              <w:bottom w:val="single" w:sz="4" w:space="0" w:color="auto"/>
            </w:tcBorders>
          </w:tcPr>
          <w:p w:rsidR="003917C3" w:rsidRPr="00D24919" w:rsidRDefault="003917C3" w:rsidP="00FD02A6">
            <w:pPr>
              <w:pStyle w:val="TableText"/>
              <w:jc w:val="center"/>
              <w:rPr>
                <w:b/>
                <w:sz w:val="14"/>
                <w:szCs w:val="14"/>
              </w:rPr>
            </w:pPr>
            <w:r>
              <w:rPr>
                <w:b/>
                <w:sz w:val="14"/>
                <w:szCs w:val="14"/>
              </w:rPr>
              <w:t>2014</w:t>
            </w:r>
          </w:p>
        </w:tc>
      </w:tr>
      <w:tr w:rsidR="003917C3" w:rsidRPr="001B473D" w:rsidTr="00FD02A6">
        <w:trPr>
          <w:cantSplit/>
        </w:trPr>
        <w:tc>
          <w:tcPr>
            <w:tcW w:w="1418" w:type="dxa"/>
            <w:tcBorders>
              <w:top w:val="single" w:sz="4" w:space="0" w:color="auto"/>
              <w:bottom w:val="single" w:sz="4" w:space="0" w:color="A6A6A6" w:themeColor="background1" w:themeShade="A6"/>
            </w:tcBorders>
          </w:tcPr>
          <w:p w:rsidR="003917C3" w:rsidRPr="001B473D" w:rsidRDefault="003917C3" w:rsidP="00FD02A6">
            <w:pPr>
              <w:pStyle w:val="TableText"/>
              <w:rPr>
                <w:sz w:val="14"/>
              </w:rPr>
            </w:pPr>
            <w:r>
              <w:rPr>
                <w:sz w:val="14"/>
              </w:rPr>
              <w:t>Pacific</w:t>
            </w:r>
          </w:p>
        </w:tc>
        <w:tc>
          <w:tcPr>
            <w:tcW w:w="708"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28.8%</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32.8%</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31.9%</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32.8%</w:t>
            </w:r>
          </w:p>
        </w:tc>
        <w:tc>
          <w:tcPr>
            <w:tcW w:w="708"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35.3%</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37.0%</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36.3%</w:t>
            </w:r>
          </w:p>
        </w:tc>
        <w:tc>
          <w:tcPr>
            <w:tcW w:w="709" w:type="dxa"/>
            <w:tcBorders>
              <w:top w:val="single" w:sz="4" w:space="0" w:color="auto"/>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35.3%</w:t>
            </w:r>
          </w:p>
        </w:tc>
      </w:tr>
      <w:tr w:rsidR="003917C3" w:rsidRPr="001B473D" w:rsidTr="00FD02A6">
        <w:trPr>
          <w:cantSplit/>
        </w:trPr>
        <w:tc>
          <w:tcPr>
            <w:tcW w:w="1418" w:type="dxa"/>
            <w:tcBorders>
              <w:top w:val="single" w:sz="4" w:space="0" w:color="A6A6A6" w:themeColor="background1" w:themeShade="A6"/>
              <w:bottom w:val="single" w:sz="4" w:space="0" w:color="A6A6A6" w:themeColor="background1" w:themeShade="A6"/>
            </w:tcBorders>
          </w:tcPr>
          <w:p w:rsidR="003917C3" w:rsidRPr="001B473D" w:rsidRDefault="003917C3" w:rsidP="00FD02A6">
            <w:pPr>
              <w:pStyle w:val="TableText"/>
              <w:rPr>
                <w:sz w:val="14"/>
              </w:rPr>
            </w:pPr>
            <w:r>
              <w:rPr>
                <w:sz w:val="14"/>
              </w:rPr>
              <w:t>Total New Zealand</w:t>
            </w:r>
          </w:p>
        </w:tc>
        <w:tc>
          <w:tcPr>
            <w:tcW w:w="708"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51.4%</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57.0%</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55.6%</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57.2%</w:t>
            </w:r>
          </w:p>
        </w:tc>
        <w:tc>
          <w:tcPr>
            <w:tcW w:w="708"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59.6%</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58.9%</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57.5%</w:t>
            </w:r>
          </w:p>
        </w:tc>
        <w:tc>
          <w:tcPr>
            <w:tcW w:w="709" w:type="dxa"/>
            <w:tcBorders>
              <w:top w:val="single" w:sz="4" w:space="0" w:color="A6A6A6" w:themeColor="background1" w:themeShade="A6"/>
              <w:bottom w:val="single" w:sz="4" w:space="0" w:color="A6A6A6" w:themeColor="background1" w:themeShade="A6"/>
            </w:tcBorders>
          </w:tcPr>
          <w:p w:rsidR="003917C3" w:rsidRPr="003917C3" w:rsidRDefault="003917C3" w:rsidP="00FD02A6">
            <w:pPr>
              <w:pStyle w:val="TableText"/>
              <w:jc w:val="center"/>
              <w:rPr>
                <w:sz w:val="14"/>
              </w:rPr>
            </w:pPr>
            <w:r w:rsidRPr="003917C3">
              <w:rPr>
                <w:sz w:val="14"/>
              </w:rPr>
              <w:t>58.6%</w:t>
            </w:r>
          </w:p>
        </w:tc>
      </w:tr>
      <w:tr w:rsidR="003917C3" w:rsidRPr="001B473D" w:rsidTr="00FD02A6">
        <w:trPr>
          <w:cantSplit/>
        </w:trPr>
        <w:tc>
          <w:tcPr>
            <w:tcW w:w="1418" w:type="dxa"/>
            <w:tcBorders>
              <w:top w:val="single" w:sz="4" w:space="0" w:color="A6A6A6" w:themeColor="background1" w:themeShade="A6"/>
              <w:bottom w:val="single" w:sz="4" w:space="0" w:color="auto"/>
            </w:tcBorders>
          </w:tcPr>
          <w:p w:rsidR="003917C3" w:rsidRPr="001B473D" w:rsidRDefault="003917C3" w:rsidP="00FD02A6">
            <w:pPr>
              <w:pStyle w:val="TableText"/>
              <w:rPr>
                <w:sz w:val="14"/>
              </w:rPr>
            </w:pPr>
            <w:r>
              <w:rPr>
                <w:sz w:val="14"/>
              </w:rPr>
              <w:t>Target</w:t>
            </w:r>
          </w:p>
        </w:tc>
        <w:tc>
          <w:tcPr>
            <w:tcW w:w="708"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8"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c>
          <w:tcPr>
            <w:tcW w:w="709" w:type="dxa"/>
            <w:tcBorders>
              <w:top w:val="single" w:sz="4" w:space="0" w:color="A6A6A6" w:themeColor="background1" w:themeShade="A6"/>
              <w:bottom w:val="single" w:sz="4" w:space="0" w:color="auto"/>
            </w:tcBorders>
          </w:tcPr>
          <w:p w:rsidR="003917C3" w:rsidRPr="003917C3" w:rsidRDefault="003917C3" w:rsidP="00FD02A6">
            <w:pPr>
              <w:pStyle w:val="TableText"/>
              <w:jc w:val="center"/>
              <w:rPr>
                <w:sz w:val="14"/>
              </w:rPr>
            </w:pPr>
            <w:r w:rsidRPr="003917C3">
              <w:rPr>
                <w:sz w:val="14"/>
              </w:rPr>
              <w:t>65.0%</w:t>
            </w:r>
          </w:p>
        </w:tc>
      </w:tr>
    </w:tbl>
    <w:p w:rsidR="008D0FC7" w:rsidRDefault="008D0FC7" w:rsidP="008D0FC7"/>
    <w:p w:rsidR="00BA14B3" w:rsidRPr="005857B1" w:rsidRDefault="00BA14B3" w:rsidP="005857B1">
      <w:pPr>
        <w:rPr>
          <w:b/>
        </w:rPr>
      </w:pPr>
      <w:r w:rsidRPr="005857B1">
        <w:rPr>
          <w:b/>
        </w:rPr>
        <w:t>Notes for Figures 19 and 20:</w:t>
      </w:r>
    </w:p>
    <w:p w:rsidR="00BA14B3" w:rsidRPr="00A119E8" w:rsidRDefault="00BA14B3" w:rsidP="005857B1">
      <w:pPr>
        <w:pStyle w:val="Bullet"/>
      </w:pPr>
      <w:r w:rsidRPr="00A119E8">
        <w:t>Time period: children aged five examined between 1 January 2014 and 31 December 2014.</w:t>
      </w:r>
    </w:p>
    <w:p w:rsidR="00BA14B3" w:rsidRPr="00A119E8" w:rsidRDefault="00BA14B3" w:rsidP="005857B1">
      <w:pPr>
        <w:pStyle w:val="Bullet"/>
      </w:pPr>
      <w:r w:rsidRPr="00A119E8">
        <w:t>Numerator: number of five-year-old children caries-free (source: DHB reporting).</w:t>
      </w:r>
    </w:p>
    <w:p w:rsidR="00BA14B3" w:rsidRPr="00A119E8" w:rsidRDefault="00BA14B3" w:rsidP="005857B1">
      <w:pPr>
        <w:pStyle w:val="Bullet"/>
      </w:pPr>
      <w:r w:rsidRPr="00A119E8">
        <w:t>Denominator: number of five-year-old children examined by the Community Oral Health Service with oral health services (source: DHB reporting).</w:t>
      </w:r>
    </w:p>
    <w:p w:rsidR="00BA14B3" w:rsidRPr="00A119E8" w:rsidRDefault="00BA14B3" w:rsidP="005857B1"/>
    <w:p w:rsidR="0034306E" w:rsidRDefault="00BA14B3" w:rsidP="005857B1">
      <w:r w:rsidRPr="00A119E8">
        <w:t>Figure 19 shows</w:t>
      </w:r>
      <w:r>
        <w:t xml:space="preserve"> that</w:t>
      </w:r>
      <w:r w:rsidRPr="00A119E8">
        <w:t xml:space="preserve"> the percentages </w:t>
      </w:r>
      <w:r>
        <w:t xml:space="preserve">have </w:t>
      </w:r>
      <w:r w:rsidRPr="00A119E8">
        <w:t>moved slowly over the years</w:t>
      </w:r>
      <w:r>
        <w:t>,</w:t>
      </w:r>
      <w:r w:rsidRPr="00A119E8">
        <w:t xml:space="preserve"> but the disparity between the two population groups remains largely unchanged.</w:t>
      </w:r>
    </w:p>
    <w:p w:rsidR="005857B1" w:rsidRDefault="005857B1" w:rsidP="005857B1"/>
    <w:p w:rsidR="00BA14B3" w:rsidRPr="00A119E8" w:rsidRDefault="00BA14B3" w:rsidP="005857B1">
      <w:pPr>
        <w:pStyle w:val="Figure"/>
      </w:pPr>
      <w:bookmarkStart w:id="104" w:name="_Toc428368074"/>
      <w:bookmarkStart w:id="105" w:name="_Toc428370452"/>
      <w:bookmarkStart w:id="106" w:name="_Toc445801457"/>
      <w:bookmarkStart w:id="107" w:name="_Toc447527156"/>
      <w:r w:rsidRPr="00A119E8">
        <w:lastRenderedPageBreak/>
        <w:t xml:space="preserve">Figure </w:t>
      </w:r>
      <w:fldSimple w:instr=" SEQ Figure \* ARABIC ">
        <w:r w:rsidR="008D5FF2">
          <w:rPr>
            <w:noProof/>
          </w:rPr>
          <w:t>20</w:t>
        </w:r>
      </w:fldSimple>
      <w:r w:rsidRPr="00A119E8">
        <w:t>: Percentage of children caries-free at age five, Pacific peoples, by priority DHBs, 2007–201</w:t>
      </w:r>
      <w:bookmarkEnd w:id="104"/>
      <w:bookmarkEnd w:id="105"/>
      <w:r w:rsidRPr="00A119E8">
        <w:t>4</w:t>
      </w:r>
      <w:bookmarkEnd w:id="106"/>
      <w:bookmarkEnd w:id="107"/>
    </w:p>
    <w:p w:rsidR="00BA14B3" w:rsidRDefault="00FD02A6" w:rsidP="00FD02A6">
      <w:pPr>
        <w:spacing w:after="120"/>
      </w:pPr>
      <w:r>
        <w:rPr>
          <w:noProof/>
          <w:lang w:eastAsia="en-NZ"/>
        </w:rPr>
        <w:drawing>
          <wp:inline distT="0" distB="0" distL="0" distR="0" wp14:anchorId="341922B8" wp14:editId="4355ABEF">
            <wp:extent cx="4505498" cy="2752308"/>
            <wp:effectExtent l="0" t="0" r="0" b="0"/>
            <wp:docPr id="117" name="Picture 117" title="Figure 20: Percentage of children caries-free at age five, Pacific peoples, by priority DHB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10333" cy="2755262"/>
                    </a:xfrm>
                    <a:prstGeom prst="rect">
                      <a:avLst/>
                    </a:prstGeom>
                    <a:noFill/>
                  </pic:spPr>
                </pic:pic>
              </a:graphicData>
            </a:graphic>
          </wp:inline>
        </w:drawing>
      </w:r>
    </w:p>
    <w:tbl>
      <w:tblPr>
        <w:tblStyle w:val="TableGrid"/>
        <w:tblW w:w="708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08"/>
        <w:gridCol w:w="709"/>
        <w:gridCol w:w="709"/>
        <w:gridCol w:w="709"/>
        <w:gridCol w:w="708"/>
        <w:gridCol w:w="709"/>
        <w:gridCol w:w="709"/>
        <w:gridCol w:w="709"/>
      </w:tblGrid>
      <w:tr w:rsidR="00FD02A6" w:rsidRPr="00D24919" w:rsidTr="00FD02A6">
        <w:trPr>
          <w:cantSplit/>
        </w:trPr>
        <w:tc>
          <w:tcPr>
            <w:tcW w:w="1418" w:type="dxa"/>
            <w:tcBorders>
              <w:top w:val="single" w:sz="4" w:space="0" w:color="auto"/>
              <w:bottom w:val="single" w:sz="4" w:space="0" w:color="auto"/>
            </w:tcBorders>
          </w:tcPr>
          <w:p w:rsidR="00FD02A6" w:rsidRPr="00D24919" w:rsidRDefault="00FD02A6" w:rsidP="00FD02A6">
            <w:pPr>
              <w:pStyle w:val="TableText"/>
              <w:rPr>
                <w:b/>
                <w:sz w:val="14"/>
                <w:szCs w:val="14"/>
              </w:rPr>
            </w:pPr>
          </w:p>
        </w:tc>
        <w:tc>
          <w:tcPr>
            <w:tcW w:w="708"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2007</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2008</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2009</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2010</w:t>
            </w:r>
          </w:p>
        </w:tc>
        <w:tc>
          <w:tcPr>
            <w:tcW w:w="708"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2011</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2012</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2013</w:t>
            </w:r>
          </w:p>
        </w:tc>
        <w:tc>
          <w:tcPr>
            <w:tcW w:w="709" w:type="dxa"/>
            <w:tcBorders>
              <w:top w:val="single" w:sz="4" w:space="0" w:color="auto"/>
              <w:bottom w:val="single" w:sz="4" w:space="0" w:color="auto"/>
            </w:tcBorders>
          </w:tcPr>
          <w:p w:rsidR="00FD02A6" w:rsidRPr="00D24919" w:rsidRDefault="00FD02A6" w:rsidP="00FD02A6">
            <w:pPr>
              <w:pStyle w:val="TableText"/>
              <w:jc w:val="center"/>
              <w:rPr>
                <w:b/>
                <w:sz w:val="14"/>
                <w:szCs w:val="14"/>
              </w:rPr>
            </w:pPr>
            <w:r>
              <w:rPr>
                <w:b/>
                <w:sz w:val="14"/>
                <w:szCs w:val="14"/>
              </w:rPr>
              <w:t>2014</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Auckland</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33.6%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35.6%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36.2%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33.6%</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38.0%</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38.4%</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30.5%</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Canterbury</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20.3%</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26.6%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26.8%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30.7%</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56.1%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26.6%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31.8%</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Capital &amp; Coast</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29.1%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36.3%</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38.5%</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39.9%</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41.0%</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32.4%</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36.4%</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 xml:space="preserve">Counties </w:t>
            </w:r>
            <w:proofErr w:type="spellStart"/>
            <w:r w:rsidRPr="00FD02A6">
              <w:rPr>
                <w:sz w:val="14"/>
              </w:rPr>
              <w:t>Manukau</w:t>
            </w:r>
            <w:proofErr w:type="spellEnd"/>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25.2%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29.6%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26.7%</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28.1%</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32.2%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32.1%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34.7%</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34.0%</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Hawke's Bay</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29.0%</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15.1%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23.4%</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34.2%</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31.2%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38.0%</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Hutt Valley</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29.0%</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40.2%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24.7%</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32.2%</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31.2%</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45.0%</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39.4%</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36.1%</w:t>
            </w:r>
          </w:p>
        </w:tc>
      </w:tr>
      <w:tr w:rsidR="00FD02A6" w:rsidRPr="003917C3" w:rsidTr="00FD02A6">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r w:rsidRPr="00FD02A6">
              <w:rPr>
                <w:sz w:val="14"/>
              </w:rPr>
              <w:t>Waikato</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40.9%</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29.6%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24.1%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28.6%</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51.3%</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32.6%</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51.5%</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40.9%</w:t>
            </w:r>
          </w:p>
        </w:tc>
      </w:tr>
      <w:tr w:rsidR="00FD02A6" w:rsidRPr="003917C3" w:rsidTr="006D0BC5">
        <w:trPr>
          <w:cantSplit/>
        </w:trPr>
        <w:tc>
          <w:tcPr>
            <w:tcW w:w="141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rPr>
                <w:sz w:val="14"/>
              </w:rPr>
            </w:pPr>
            <w:proofErr w:type="spellStart"/>
            <w:r w:rsidRPr="00FD02A6">
              <w:rPr>
                <w:sz w:val="14"/>
              </w:rPr>
              <w:t>Waitemata</w:t>
            </w:r>
            <w:proofErr w:type="spellEnd"/>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30.9%</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34.8%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39.1%</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40.8%</w:t>
            </w:r>
          </w:p>
        </w:tc>
        <w:tc>
          <w:tcPr>
            <w:tcW w:w="708"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42.8%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44.4%</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42.8%</w:t>
            </w:r>
          </w:p>
        </w:tc>
        <w:tc>
          <w:tcPr>
            <w:tcW w:w="709" w:type="dxa"/>
            <w:tcBorders>
              <w:top w:val="single" w:sz="4" w:space="0" w:color="A6A6A6" w:themeColor="background1" w:themeShade="A6"/>
              <w:bottom w:val="single" w:sz="4" w:space="0" w:color="A6A6A6" w:themeColor="background1" w:themeShade="A6"/>
            </w:tcBorders>
          </w:tcPr>
          <w:p w:rsidR="00FD02A6" w:rsidRPr="00FD02A6" w:rsidRDefault="00FD02A6" w:rsidP="00FD02A6">
            <w:pPr>
              <w:pStyle w:val="TableText"/>
              <w:jc w:val="center"/>
              <w:rPr>
                <w:sz w:val="14"/>
              </w:rPr>
            </w:pPr>
            <w:r w:rsidRPr="00FD02A6">
              <w:rPr>
                <w:sz w:val="14"/>
              </w:rPr>
              <w:t>42.5%</w:t>
            </w:r>
          </w:p>
        </w:tc>
      </w:tr>
      <w:tr w:rsidR="006D0BC5" w:rsidRPr="003917C3" w:rsidTr="006D0BC5">
        <w:trPr>
          <w:cantSplit/>
        </w:trPr>
        <w:tc>
          <w:tcPr>
            <w:tcW w:w="1418" w:type="dxa"/>
            <w:tcBorders>
              <w:top w:val="single" w:sz="4" w:space="0" w:color="A6A6A6" w:themeColor="background1" w:themeShade="A6"/>
              <w:bottom w:val="single" w:sz="4" w:space="0" w:color="auto"/>
            </w:tcBorders>
          </w:tcPr>
          <w:p w:rsidR="006D0BC5" w:rsidRPr="00FD02A6" w:rsidRDefault="006D0BC5" w:rsidP="00BC4823">
            <w:pPr>
              <w:pStyle w:val="TableText"/>
              <w:rPr>
                <w:sz w:val="14"/>
              </w:rPr>
            </w:pPr>
            <w:r w:rsidRPr="00FD02A6">
              <w:rPr>
                <w:sz w:val="14"/>
              </w:rPr>
              <w:t>Target</w:t>
            </w:r>
          </w:p>
        </w:tc>
        <w:tc>
          <w:tcPr>
            <w:tcW w:w="708"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8"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c>
          <w:tcPr>
            <w:tcW w:w="709" w:type="dxa"/>
            <w:tcBorders>
              <w:top w:val="single" w:sz="4" w:space="0" w:color="A6A6A6" w:themeColor="background1" w:themeShade="A6"/>
              <w:bottom w:val="single" w:sz="4" w:space="0" w:color="auto"/>
            </w:tcBorders>
          </w:tcPr>
          <w:p w:rsidR="006D0BC5" w:rsidRPr="00FD02A6" w:rsidRDefault="006D0BC5" w:rsidP="00BC4823">
            <w:pPr>
              <w:pStyle w:val="TableText"/>
              <w:jc w:val="center"/>
              <w:rPr>
                <w:sz w:val="14"/>
              </w:rPr>
            </w:pPr>
            <w:r w:rsidRPr="00FD02A6">
              <w:rPr>
                <w:sz w:val="14"/>
              </w:rPr>
              <w:t>65.0%</w:t>
            </w:r>
          </w:p>
        </w:tc>
      </w:tr>
    </w:tbl>
    <w:p w:rsidR="003917C3" w:rsidRDefault="003917C3" w:rsidP="003917C3"/>
    <w:p w:rsidR="0034306E" w:rsidRDefault="00BA14B3" w:rsidP="005857B1">
      <w:r w:rsidRPr="00A119E8">
        <w:t>Figure 20</w:t>
      </w:r>
      <w:r w:rsidRPr="00A119E8">
        <w:rPr>
          <w:b/>
        </w:rPr>
        <w:t xml:space="preserve"> </w:t>
      </w:r>
      <w:r w:rsidRPr="00A119E8">
        <w:t xml:space="preserve">shows </w:t>
      </w:r>
      <w:r>
        <w:t xml:space="preserve">that </w:t>
      </w:r>
      <w:r w:rsidRPr="00A119E8">
        <w:t>less than half of the DHBs have made some progress towards the target. Lower numbers of children were examined in Canterbury in 2014 due to the unavailability of mobile dental units during part of the year.</w:t>
      </w:r>
    </w:p>
    <w:p w:rsidR="005857B1" w:rsidRDefault="005857B1" w:rsidP="005857B1"/>
    <w:p w:rsidR="00BA14B3" w:rsidRPr="00A119E8" w:rsidRDefault="00BA14B3" w:rsidP="005857B1">
      <w:pPr>
        <w:pStyle w:val="Figure"/>
      </w:pPr>
      <w:bookmarkStart w:id="108" w:name="_Toc428368075"/>
      <w:bookmarkStart w:id="109" w:name="_Toc428370453"/>
      <w:bookmarkStart w:id="110" w:name="_Toc445801458"/>
      <w:bookmarkStart w:id="111" w:name="_Toc447527157"/>
      <w:r w:rsidRPr="00A119E8">
        <w:lastRenderedPageBreak/>
        <w:t xml:space="preserve">Figure </w:t>
      </w:r>
      <w:fldSimple w:instr=" SEQ Figure \* ARABIC ">
        <w:r w:rsidR="008D5FF2">
          <w:rPr>
            <w:noProof/>
          </w:rPr>
          <w:t>21</w:t>
        </w:r>
      </w:fldSimple>
      <w:r w:rsidRPr="00A119E8">
        <w:t xml:space="preserve">: Mean rate of DMFT at school year eight, Pacific </w:t>
      </w:r>
      <w:proofErr w:type="gramStart"/>
      <w:r w:rsidRPr="00A119E8">
        <w:t>peoples</w:t>
      </w:r>
      <w:proofErr w:type="gramEnd"/>
      <w:r w:rsidRPr="00A119E8">
        <w:t xml:space="preserve"> population and total New Zealand population, 2007–201</w:t>
      </w:r>
      <w:bookmarkEnd w:id="108"/>
      <w:bookmarkEnd w:id="109"/>
      <w:r w:rsidRPr="00A119E8">
        <w:t>4</w:t>
      </w:r>
      <w:bookmarkEnd w:id="110"/>
      <w:bookmarkEnd w:id="111"/>
    </w:p>
    <w:p w:rsidR="00BA14B3" w:rsidRDefault="006D0BC5" w:rsidP="006D0BC5">
      <w:pPr>
        <w:keepNext/>
        <w:spacing w:after="120"/>
      </w:pPr>
      <w:r>
        <w:rPr>
          <w:noProof/>
          <w:lang w:eastAsia="en-NZ"/>
        </w:rPr>
        <w:drawing>
          <wp:inline distT="0" distB="0" distL="0" distR="0" wp14:anchorId="48B1C76A" wp14:editId="673C144F">
            <wp:extent cx="4505498" cy="2749201"/>
            <wp:effectExtent l="0" t="0" r="0" b="0"/>
            <wp:docPr id="118" name="Picture 118" title="Figure 21: Mean rate of DMFT at school year eight, Pacific peoples population and total New Zealand populatio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6793" cy="2749991"/>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6D0BC5" w:rsidRPr="00D24919" w:rsidTr="00D2207C">
        <w:trPr>
          <w:cantSplit/>
        </w:trPr>
        <w:tc>
          <w:tcPr>
            <w:tcW w:w="1418" w:type="dxa"/>
            <w:tcBorders>
              <w:top w:val="single" w:sz="4" w:space="0" w:color="auto"/>
              <w:bottom w:val="single" w:sz="4" w:space="0" w:color="auto"/>
            </w:tcBorders>
          </w:tcPr>
          <w:p w:rsidR="006D0BC5" w:rsidRPr="00D24919" w:rsidRDefault="006D0BC5" w:rsidP="00BC4823">
            <w:pPr>
              <w:pStyle w:val="TableText"/>
              <w:rPr>
                <w:b/>
                <w:sz w:val="14"/>
                <w:szCs w:val="14"/>
              </w:rPr>
            </w:pP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2007</w:t>
            </w: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2008</w:t>
            </w: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2009</w:t>
            </w:r>
          </w:p>
        </w:tc>
        <w:tc>
          <w:tcPr>
            <w:tcW w:w="674"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2010</w:t>
            </w: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2011</w:t>
            </w: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2012</w:t>
            </w:r>
          </w:p>
        </w:tc>
        <w:tc>
          <w:tcPr>
            <w:tcW w:w="673"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2013</w:t>
            </w:r>
          </w:p>
        </w:tc>
        <w:tc>
          <w:tcPr>
            <w:tcW w:w="674" w:type="dxa"/>
            <w:tcBorders>
              <w:top w:val="single" w:sz="4" w:space="0" w:color="auto"/>
              <w:bottom w:val="single" w:sz="4" w:space="0" w:color="auto"/>
            </w:tcBorders>
          </w:tcPr>
          <w:p w:rsidR="006D0BC5" w:rsidRPr="00D24919" w:rsidRDefault="006D0BC5" w:rsidP="00BC4823">
            <w:pPr>
              <w:pStyle w:val="TableText"/>
              <w:jc w:val="center"/>
              <w:rPr>
                <w:b/>
                <w:sz w:val="14"/>
                <w:szCs w:val="14"/>
              </w:rPr>
            </w:pPr>
            <w:r>
              <w:rPr>
                <w:b/>
                <w:sz w:val="14"/>
                <w:szCs w:val="14"/>
              </w:rPr>
              <w:t>2014</w:t>
            </w:r>
          </w:p>
        </w:tc>
      </w:tr>
      <w:tr w:rsidR="006D0BC5" w:rsidRPr="00FD02A6" w:rsidTr="00D2207C">
        <w:trPr>
          <w:cantSplit/>
        </w:trPr>
        <w:tc>
          <w:tcPr>
            <w:tcW w:w="1418" w:type="dxa"/>
            <w:tcBorders>
              <w:top w:val="single" w:sz="4" w:space="0" w:color="auto"/>
              <w:bottom w:val="single" w:sz="4" w:space="0" w:color="A6A6A6" w:themeColor="background1" w:themeShade="A6"/>
            </w:tcBorders>
          </w:tcPr>
          <w:p w:rsidR="006D0BC5" w:rsidRPr="006D0BC5" w:rsidRDefault="006D0BC5" w:rsidP="00BC4823">
            <w:pPr>
              <w:pStyle w:val="TableText"/>
              <w:rPr>
                <w:sz w:val="14"/>
              </w:rPr>
            </w:pPr>
            <w:r w:rsidRPr="006D0BC5">
              <w:rPr>
                <w:sz w:val="14"/>
              </w:rPr>
              <w:t>Pacific</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1.79</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1.55</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1.73</w:t>
            </w:r>
          </w:p>
        </w:tc>
        <w:tc>
          <w:tcPr>
            <w:tcW w:w="674"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1.67</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1.85</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1.68</w:t>
            </w:r>
          </w:p>
        </w:tc>
        <w:tc>
          <w:tcPr>
            <w:tcW w:w="673"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1.63</w:t>
            </w:r>
          </w:p>
        </w:tc>
        <w:tc>
          <w:tcPr>
            <w:tcW w:w="674" w:type="dxa"/>
            <w:tcBorders>
              <w:top w:val="single" w:sz="4" w:space="0" w:color="auto"/>
              <w:bottom w:val="single" w:sz="4" w:space="0" w:color="A6A6A6" w:themeColor="background1" w:themeShade="A6"/>
            </w:tcBorders>
          </w:tcPr>
          <w:p w:rsidR="006D0BC5" w:rsidRPr="006D0BC5" w:rsidRDefault="006D0BC5" w:rsidP="006D0BC5">
            <w:pPr>
              <w:pStyle w:val="TableText"/>
              <w:jc w:val="center"/>
              <w:rPr>
                <w:sz w:val="14"/>
              </w:rPr>
            </w:pPr>
            <w:r w:rsidRPr="006D0BC5">
              <w:rPr>
                <w:sz w:val="14"/>
              </w:rPr>
              <w:t>1.53</w:t>
            </w:r>
          </w:p>
        </w:tc>
      </w:tr>
      <w:tr w:rsidR="006D0BC5" w:rsidRPr="00FD02A6" w:rsidTr="00D2207C">
        <w:trPr>
          <w:cantSplit/>
        </w:trPr>
        <w:tc>
          <w:tcPr>
            <w:tcW w:w="1418" w:type="dxa"/>
            <w:tcBorders>
              <w:top w:val="single" w:sz="4" w:space="0" w:color="A6A6A6" w:themeColor="background1" w:themeShade="A6"/>
              <w:bottom w:val="single" w:sz="4" w:space="0" w:color="auto"/>
            </w:tcBorders>
          </w:tcPr>
          <w:p w:rsidR="006D0BC5" w:rsidRPr="006D0BC5" w:rsidRDefault="006D0BC5" w:rsidP="00BC4823">
            <w:pPr>
              <w:pStyle w:val="TableText"/>
              <w:rPr>
                <w:sz w:val="14"/>
              </w:rPr>
            </w:pPr>
            <w:r w:rsidRPr="006D0BC5">
              <w:rPr>
                <w:sz w:val="14"/>
              </w:rPr>
              <w:t>Total New Zealand</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1.53</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1.42</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1.36</w:t>
            </w:r>
          </w:p>
        </w:tc>
        <w:tc>
          <w:tcPr>
            <w:tcW w:w="674"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1.23</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1.24</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1.16</w:t>
            </w:r>
          </w:p>
        </w:tc>
        <w:tc>
          <w:tcPr>
            <w:tcW w:w="673"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1.14</w:t>
            </w:r>
          </w:p>
        </w:tc>
        <w:tc>
          <w:tcPr>
            <w:tcW w:w="674" w:type="dxa"/>
            <w:tcBorders>
              <w:top w:val="single" w:sz="4" w:space="0" w:color="A6A6A6" w:themeColor="background1" w:themeShade="A6"/>
              <w:bottom w:val="single" w:sz="4" w:space="0" w:color="auto"/>
            </w:tcBorders>
          </w:tcPr>
          <w:p w:rsidR="006D0BC5" w:rsidRPr="006D0BC5" w:rsidRDefault="006D0BC5" w:rsidP="006D0BC5">
            <w:pPr>
              <w:pStyle w:val="TableText"/>
              <w:jc w:val="center"/>
              <w:rPr>
                <w:sz w:val="14"/>
              </w:rPr>
            </w:pPr>
            <w:r w:rsidRPr="006D0BC5">
              <w:rPr>
                <w:sz w:val="14"/>
              </w:rPr>
              <w:t>1.02</w:t>
            </w:r>
          </w:p>
        </w:tc>
      </w:tr>
    </w:tbl>
    <w:p w:rsidR="006D0BC5" w:rsidRDefault="006D0BC5" w:rsidP="006D0BC5"/>
    <w:p w:rsidR="00BA14B3" w:rsidRPr="00A119E8" w:rsidRDefault="00BA14B3" w:rsidP="006D0BC5">
      <w:r w:rsidRPr="00866035">
        <w:rPr>
          <w:b/>
        </w:rPr>
        <w:t>Note:</w:t>
      </w:r>
      <w:r w:rsidRPr="00A119E8">
        <w:t xml:space="preserve"> The latest data for this indicator is from 2014.</w:t>
      </w:r>
      <w:r w:rsidRPr="006D0BC5">
        <w:t xml:space="preserve"> </w:t>
      </w:r>
      <w:r w:rsidRPr="00A119E8">
        <w:t>There is no set national target.</w:t>
      </w:r>
    </w:p>
    <w:p w:rsidR="00BA14B3" w:rsidRPr="00A119E8" w:rsidRDefault="00BA14B3" w:rsidP="005857B1"/>
    <w:p w:rsidR="00BA14B3" w:rsidRPr="00A119E8" w:rsidRDefault="00BA14B3" w:rsidP="005857B1">
      <w:r w:rsidRPr="00A119E8">
        <w:t xml:space="preserve">Figure 21 shows </w:t>
      </w:r>
      <w:r>
        <w:t xml:space="preserve">that </w:t>
      </w:r>
      <w:r w:rsidRPr="00A119E8">
        <w:t>the mean rate of DMFT is decreasing (improving) for school year eight children</w:t>
      </w:r>
      <w:r>
        <w:t xml:space="preserve"> in both the</w:t>
      </w:r>
      <w:r w:rsidRPr="00A119E8">
        <w:t xml:space="preserve"> Pacific </w:t>
      </w:r>
      <w:r>
        <w:t xml:space="preserve">population </w:t>
      </w:r>
      <w:r w:rsidRPr="00A119E8">
        <w:t xml:space="preserve">and </w:t>
      </w:r>
      <w:r>
        <w:t xml:space="preserve">in </w:t>
      </w:r>
      <w:r w:rsidRPr="00A119E8">
        <w:t xml:space="preserve">the total New Zealand </w:t>
      </w:r>
      <w:r>
        <w:t>population</w:t>
      </w:r>
      <w:r w:rsidRPr="00A119E8">
        <w:t>. However, the equity gap between Pacific peoples and the total New Zealand population has not closed.</w:t>
      </w:r>
    </w:p>
    <w:p w:rsidR="00BA14B3" w:rsidRPr="00A119E8" w:rsidRDefault="00BA14B3" w:rsidP="005857B1"/>
    <w:p w:rsidR="00BA14B3" w:rsidRPr="00A119E8" w:rsidRDefault="00BA14B3" w:rsidP="005857B1">
      <w:pPr>
        <w:pStyle w:val="Figure"/>
        <w:rPr>
          <w:rFonts w:cs="Arial"/>
        </w:rPr>
      </w:pPr>
      <w:bookmarkStart w:id="112" w:name="_Toc428368076"/>
      <w:bookmarkStart w:id="113" w:name="_Toc428370454"/>
      <w:bookmarkStart w:id="114" w:name="_Toc445801459"/>
      <w:bookmarkStart w:id="115" w:name="_Toc447527158"/>
      <w:r w:rsidRPr="00A119E8">
        <w:lastRenderedPageBreak/>
        <w:t xml:space="preserve">Figure </w:t>
      </w:r>
      <w:fldSimple w:instr=" SEQ Figure \* ARABIC ">
        <w:r w:rsidR="008D5FF2">
          <w:rPr>
            <w:noProof/>
          </w:rPr>
          <w:t>22</w:t>
        </w:r>
      </w:fldSimple>
      <w:r w:rsidRPr="00A119E8">
        <w:t>: Mean rate of DMFT at school year eight, Pacific peoples, by priority DHBs, 2007–201</w:t>
      </w:r>
      <w:bookmarkEnd w:id="112"/>
      <w:bookmarkEnd w:id="113"/>
      <w:r w:rsidRPr="00A119E8">
        <w:t>4</w:t>
      </w:r>
      <w:bookmarkEnd w:id="114"/>
      <w:bookmarkEnd w:id="115"/>
    </w:p>
    <w:p w:rsidR="00BA14B3" w:rsidRDefault="006D0BC5" w:rsidP="006D0BC5">
      <w:pPr>
        <w:keepNext/>
        <w:spacing w:after="120"/>
      </w:pPr>
      <w:r>
        <w:rPr>
          <w:noProof/>
          <w:lang w:eastAsia="en-NZ"/>
        </w:rPr>
        <w:drawing>
          <wp:inline distT="0" distB="0" distL="0" distR="0" wp14:anchorId="06E3FCA2" wp14:editId="735F95D6">
            <wp:extent cx="4505498" cy="2752307"/>
            <wp:effectExtent l="0" t="0" r="0" b="0"/>
            <wp:docPr id="119" name="Picture 119" title="Figure 22: Mean rate of DMFT at school year eight, Pacific peoples, by priority DHB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6708" cy="2753046"/>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6D0BC5" w:rsidRPr="00D24919" w:rsidTr="00D2207C">
        <w:trPr>
          <w:cantSplit/>
        </w:trPr>
        <w:tc>
          <w:tcPr>
            <w:tcW w:w="1418" w:type="dxa"/>
            <w:tcBorders>
              <w:top w:val="single" w:sz="4" w:space="0" w:color="auto"/>
              <w:bottom w:val="single" w:sz="4" w:space="0" w:color="auto"/>
            </w:tcBorders>
          </w:tcPr>
          <w:p w:rsidR="006D0BC5" w:rsidRPr="00D24919" w:rsidRDefault="006D0BC5" w:rsidP="006D0BC5">
            <w:pPr>
              <w:pStyle w:val="TableText"/>
              <w:keepNext/>
              <w:rPr>
                <w:b/>
                <w:sz w:val="14"/>
                <w:szCs w:val="14"/>
              </w:rPr>
            </w:pP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2007</w:t>
            </w: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2008</w:t>
            </w: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2009</w:t>
            </w:r>
          </w:p>
        </w:tc>
        <w:tc>
          <w:tcPr>
            <w:tcW w:w="674"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2010</w:t>
            </w: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2011</w:t>
            </w: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2012</w:t>
            </w:r>
          </w:p>
        </w:tc>
        <w:tc>
          <w:tcPr>
            <w:tcW w:w="673"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2013</w:t>
            </w:r>
          </w:p>
        </w:tc>
        <w:tc>
          <w:tcPr>
            <w:tcW w:w="674" w:type="dxa"/>
            <w:tcBorders>
              <w:top w:val="single" w:sz="4" w:space="0" w:color="auto"/>
              <w:bottom w:val="single" w:sz="4" w:space="0" w:color="auto"/>
            </w:tcBorders>
          </w:tcPr>
          <w:p w:rsidR="006D0BC5" w:rsidRPr="00D24919" w:rsidRDefault="006D0BC5" w:rsidP="006D0BC5">
            <w:pPr>
              <w:pStyle w:val="TableText"/>
              <w:keepNext/>
              <w:jc w:val="center"/>
              <w:rPr>
                <w:b/>
                <w:sz w:val="14"/>
                <w:szCs w:val="14"/>
              </w:rPr>
            </w:pPr>
            <w:r>
              <w:rPr>
                <w:b/>
                <w:sz w:val="14"/>
                <w:szCs w:val="14"/>
              </w:rPr>
              <w:t>2014</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6D0BC5">
            <w:pPr>
              <w:pStyle w:val="TableText"/>
              <w:keepNext/>
              <w:rPr>
                <w:sz w:val="14"/>
              </w:rPr>
            </w:pPr>
            <w:r w:rsidRPr="006D0BC5">
              <w:rPr>
                <w:sz w:val="14"/>
              </w:rPr>
              <w:t>Auckland</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1.79</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1.26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1.67</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1.57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1.74</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1.76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1.57</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1.49</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6D0BC5">
            <w:pPr>
              <w:pStyle w:val="TableText"/>
              <w:keepNext/>
              <w:rPr>
                <w:sz w:val="14"/>
              </w:rPr>
            </w:pPr>
            <w:r w:rsidRPr="006D0BC5">
              <w:rPr>
                <w:sz w:val="14"/>
              </w:rPr>
              <w:t>Canterbury</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2.38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2.12</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2.55</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1.52</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1.57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0.81</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1.39</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1.82</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6D0BC5">
            <w:pPr>
              <w:pStyle w:val="TableText"/>
              <w:keepNext/>
              <w:rPr>
                <w:sz w:val="14"/>
              </w:rPr>
            </w:pPr>
            <w:r w:rsidRPr="006D0BC5">
              <w:rPr>
                <w:sz w:val="14"/>
              </w:rPr>
              <w:t>Capital &amp; Coast</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1.19</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1.24</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1.39</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1.25</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1.13</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1.08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1.24</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1.09</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6D0BC5">
            <w:pPr>
              <w:pStyle w:val="TableText"/>
              <w:keepNext/>
              <w:rPr>
                <w:sz w:val="14"/>
              </w:rPr>
            </w:pPr>
            <w:r w:rsidRPr="006D0BC5">
              <w:rPr>
                <w:sz w:val="14"/>
              </w:rPr>
              <w:t xml:space="preserve">Counties </w:t>
            </w:r>
            <w:proofErr w:type="spellStart"/>
            <w:r w:rsidRPr="006D0BC5">
              <w:rPr>
                <w:sz w:val="14"/>
              </w:rPr>
              <w:t>Manukau</w:t>
            </w:r>
            <w:proofErr w:type="spellEnd"/>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1.65</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1.35</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1.61</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1.72</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1.99</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1.88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1.79</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keepNext/>
              <w:jc w:val="center"/>
              <w:rPr>
                <w:sz w:val="14"/>
              </w:rPr>
            </w:pPr>
            <w:r w:rsidRPr="006D0BC5">
              <w:rPr>
                <w:sz w:val="14"/>
              </w:rPr>
              <w:t>1.69</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BC4823">
            <w:pPr>
              <w:pStyle w:val="TableText"/>
              <w:rPr>
                <w:sz w:val="14"/>
              </w:rPr>
            </w:pPr>
            <w:r w:rsidRPr="006D0BC5">
              <w:rPr>
                <w:sz w:val="14"/>
              </w:rPr>
              <w:t>Hawke's Bay</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2.69</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2.23</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3.07</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1.38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2.16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1.61</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1.92</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1.85</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BC4823">
            <w:pPr>
              <w:pStyle w:val="TableText"/>
              <w:rPr>
                <w:sz w:val="14"/>
              </w:rPr>
            </w:pPr>
            <w:r w:rsidRPr="006D0BC5">
              <w:rPr>
                <w:sz w:val="14"/>
              </w:rPr>
              <w:t>Hutt Valley</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1.36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1.20</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1.76</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1.78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1.67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1.12</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0.99</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0.98</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BC4823">
            <w:pPr>
              <w:pStyle w:val="TableText"/>
              <w:rPr>
                <w:sz w:val="14"/>
              </w:rPr>
            </w:pPr>
            <w:r w:rsidRPr="006D0BC5">
              <w:rPr>
                <w:sz w:val="14"/>
              </w:rPr>
              <w:t>Waikato</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2.27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2.58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2.38</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2.27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2.35</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1.98</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1.66</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1.40</w:t>
            </w:r>
          </w:p>
        </w:tc>
      </w:tr>
      <w:tr w:rsidR="006D0BC5" w:rsidRPr="00FD02A6" w:rsidTr="00D2207C">
        <w:trPr>
          <w:cantSplit/>
        </w:trPr>
        <w:tc>
          <w:tcPr>
            <w:tcW w:w="1418" w:type="dxa"/>
            <w:tcBorders>
              <w:top w:val="single" w:sz="4" w:space="0" w:color="A6A6A6" w:themeColor="background1" w:themeShade="A6"/>
              <w:bottom w:val="single" w:sz="4" w:space="0" w:color="A6A6A6" w:themeColor="background1" w:themeShade="A6"/>
            </w:tcBorders>
          </w:tcPr>
          <w:p w:rsidR="006D0BC5" w:rsidRPr="006D0BC5" w:rsidRDefault="006D0BC5" w:rsidP="00BC4823">
            <w:pPr>
              <w:pStyle w:val="TableText"/>
              <w:rPr>
                <w:sz w:val="14"/>
              </w:rPr>
            </w:pPr>
            <w:proofErr w:type="spellStart"/>
            <w:r w:rsidRPr="006D0BC5">
              <w:rPr>
                <w:sz w:val="14"/>
              </w:rPr>
              <w:t>Waitemata</w:t>
            </w:r>
            <w:proofErr w:type="spellEnd"/>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1.40</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1.47</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1.55</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1.56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1.76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1.56</w:t>
            </w:r>
          </w:p>
        </w:tc>
        <w:tc>
          <w:tcPr>
            <w:tcW w:w="673"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1.52</w:t>
            </w:r>
          </w:p>
        </w:tc>
        <w:tc>
          <w:tcPr>
            <w:tcW w:w="674" w:type="dxa"/>
            <w:tcBorders>
              <w:top w:val="single" w:sz="4" w:space="0" w:color="A6A6A6" w:themeColor="background1" w:themeShade="A6"/>
              <w:bottom w:val="single" w:sz="4" w:space="0" w:color="A6A6A6" w:themeColor="background1" w:themeShade="A6"/>
            </w:tcBorders>
          </w:tcPr>
          <w:p w:rsidR="006D0BC5" w:rsidRPr="006D0BC5" w:rsidRDefault="006D0BC5" w:rsidP="0040270A">
            <w:pPr>
              <w:pStyle w:val="TableText"/>
              <w:jc w:val="center"/>
              <w:rPr>
                <w:sz w:val="14"/>
              </w:rPr>
            </w:pPr>
            <w:r w:rsidRPr="006D0BC5">
              <w:rPr>
                <w:sz w:val="14"/>
              </w:rPr>
              <w:t>1.43</w:t>
            </w:r>
          </w:p>
        </w:tc>
      </w:tr>
      <w:tr w:rsidR="006D0BC5" w:rsidRPr="00FD02A6" w:rsidTr="00D2207C">
        <w:trPr>
          <w:cantSplit/>
        </w:trPr>
        <w:tc>
          <w:tcPr>
            <w:tcW w:w="1418" w:type="dxa"/>
            <w:tcBorders>
              <w:top w:val="single" w:sz="4" w:space="0" w:color="A6A6A6" w:themeColor="background1" w:themeShade="A6"/>
              <w:bottom w:val="single" w:sz="4" w:space="0" w:color="auto"/>
            </w:tcBorders>
          </w:tcPr>
          <w:p w:rsidR="006D0BC5" w:rsidRPr="006D0BC5" w:rsidRDefault="006D0BC5" w:rsidP="00BC4823">
            <w:pPr>
              <w:pStyle w:val="TableText"/>
              <w:rPr>
                <w:sz w:val="14"/>
              </w:rPr>
            </w:pPr>
            <w:r w:rsidRPr="006D0BC5">
              <w:rPr>
                <w:sz w:val="14"/>
              </w:rPr>
              <w:t>Total New Zealand</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1.53</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1.42</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1.36</w:t>
            </w:r>
          </w:p>
        </w:tc>
        <w:tc>
          <w:tcPr>
            <w:tcW w:w="674"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1.23</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1.24</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1.16</w:t>
            </w:r>
          </w:p>
        </w:tc>
        <w:tc>
          <w:tcPr>
            <w:tcW w:w="673"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1.14</w:t>
            </w:r>
          </w:p>
        </w:tc>
        <w:tc>
          <w:tcPr>
            <w:tcW w:w="674" w:type="dxa"/>
            <w:tcBorders>
              <w:top w:val="single" w:sz="4" w:space="0" w:color="A6A6A6" w:themeColor="background1" w:themeShade="A6"/>
              <w:bottom w:val="single" w:sz="4" w:space="0" w:color="auto"/>
            </w:tcBorders>
          </w:tcPr>
          <w:p w:rsidR="006D0BC5" w:rsidRPr="006D0BC5" w:rsidRDefault="006D0BC5" w:rsidP="0040270A">
            <w:pPr>
              <w:pStyle w:val="TableText"/>
              <w:jc w:val="center"/>
              <w:rPr>
                <w:sz w:val="14"/>
              </w:rPr>
            </w:pPr>
            <w:r w:rsidRPr="006D0BC5">
              <w:rPr>
                <w:sz w:val="14"/>
              </w:rPr>
              <w:t>1.02</w:t>
            </w:r>
          </w:p>
        </w:tc>
      </w:tr>
    </w:tbl>
    <w:p w:rsidR="003917C3" w:rsidRDefault="003917C3" w:rsidP="00BA14B3">
      <w:pPr>
        <w:widowControl w:val="0"/>
      </w:pPr>
    </w:p>
    <w:p w:rsidR="00BA14B3" w:rsidRPr="00A119E8" w:rsidRDefault="00BA14B3" w:rsidP="005857B1">
      <w:r w:rsidRPr="00A119E8">
        <w:t>Figure 22 shows the mean rate</w:t>
      </w:r>
      <w:r>
        <w:t>s</w:t>
      </w:r>
      <w:r w:rsidRPr="00A119E8">
        <w:t xml:space="preserve"> of DMFT at school year eight for Pacific peoples in the eight priority DHBs. Hutt Valley DHB has a rate lower than the </w:t>
      </w:r>
      <w:r>
        <w:t xml:space="preserve">total </w:t>
      </w:r>
      <w:r w:rsidRPr="00A119E8">
        <w:t>New Zealand population, and the Capital &amp; Coast DHB rate is almost on par with the total New Zealand population. The sharp fluctuations in DHBs like Hawke’s Bay and Canterbury are due to the small numbers.</w:t>
      </w:r>
    </w:p>
    <w:p w:rsidR="00BA14B3" w:rsidRPr="00A119E8" w:rsidRDefault="00BA14B3" w:rsidP="005857B1"/>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lastRenderedPageBreak/>
              <w:t>Action 3</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szCs w:val="24"/>
                <w:lang w:eastAsia="en-NZ"/>
              </w:rPr>
              <w:t>DHBs will improve performance against achieving health targets for Pacific peoples.</w:t>
            </w:r>
          </w:p>
        </w:tc>
      </w:tr>
    </w:tbl>
    <w:p w:rsidR="00BA14B3" w:rsidRPr="00A119E8" w:rsidRDefault="00BA14B3" w:rsidP="00D93430">
      <w:pPr>
        <w:keepNext/>
      </w:pPr>
    </w:p>
    <w:p w:rsidR="00BA14B3" w:rsidRPr="00A119E8" w:rsidRDefault="00BA14B3" w:rsidP="00D93430">
      <w:pPr>
        <w:pStyle w:val="Heading3"/>
      </w:pPr>
      <w:r w:rsidRPr="00A119E8">
        <w:t>Action commentary</w:t>
      </w:r>
    </w:p>
    <w:p w:rsidR="0034306E" w:rsidRDefault="00BA14B3" w:rsidP="00D93430">
      <w:pPr>
        <w:keepNext/>
      </w:pPr>
      <w:r w:rsidRPr="00A119E8">
        <w:t xml:space="preserve">The ‘better help for smokers to quit’ and ‘more heart and diabetes checks’ are two of three health targets that are monitored in </w:t>
      </w:r>
      <w:r w:rsidR="005857B1" w:rsidRPr="00A119E8">
        <w:t>’</w:t>
      </w:r>
      <w:proofErr w:type="spellStart"/>
      <w:r w:rsidR="005857B1">
        <w:rPr>
          <w:i/>
        </w:rPr>
        <w:t>Ala</w:t>
      </w:r>
      <w:proofErr w:type="spellEnd"/>
      <w:r w:rsidR="005857B1">
        <w:rPr>
          <w:i/>
        </w:rPr>
        <w:t xml:space="preserve"> </w:t>
      </w:r>
      <w:proofErr w:type="spellStart"/>
      <w:r w:rsidR="005857B1">
        <w:rPr>
          <w:i/>
        </w:rPr>
        <w:t>Mo</w:t>
      </w:r>
      <w:r w:rsidR="005857B1" w:rsidRPr="00A119E8">
        <w:t>’</w:t>
      </w:r>
      <w:r w:rsidRPr="00866035">
        <w:rPr>
          <w:i/>
        </w:rPr>
        <w:t>ui</w:t>
      </w:r>
      <w:proofErr w:type="spellEnd"/>
      <w:r w:rsidRPr="00A119E8">
        <w:t>.</w:t>
      </w:r>
    </w:p>
    <w:p w:rsidR="005857B1" w:rsidRDefault="005857B1" w:rsidP="00D93430">
      <w:pPr>
        <w:keepNext/>
      </w:pPr>
    </w:p>
    <w:p w:rsidR="00BA14B3" w:rsidRPr="00A119E8" w:rsidRDefault="00BA14B3" w:rsidP="00D93430">
      <w:pPr>
        <w:pStyle w:val="Heading4"/>
      </w:pPr>
      <w:r w:rsidRPr="00A119E8">
        <w:t>Better help for smokers to quit</w:t>
      </w:r>
    </w:p>
    <w:p w:rsidR="0034306E" w:rsidRDefault="00BA14B3" w:rsidP="00D93430">
      <w:pPr>
        <w:keepNext/>
      </w:pPr>
      <w:r w:rsidRPr="00A119E8">
        <w:t>The target is 90 percent of PHO-enrolled patients who smoke have been offered help to quit smoking by a health care practitioner in the last 15 months. From quarter one 2015/2016, the target shifted its focus to the entire enrolled population of people who smoke and not only those seen in primary care. It also covers advice provided over 15 months, instead of 12 months.</w:t>
      </w:r>
    </w:p>
    <w:p w:rsidR="00BA14B3" w:rsidRPr="00A119E8" w:rsidRDefault="00BA14B3" w:rsidP="00D93430">
      <w:pPr>
        <w:keepNext/>
      </w:pPr>
    </w:p>
    <w:p w:rsidR="00BA14B3" w:rsidRPr="00A119E8" w:rsidRDefault="00BA14B3" w:rsidP="005857B1">
      <w:r w:rsidRPr="00A119E8">
        <w:t>The Ministry continues to work closely with DHBs to ensure that providers offer advice and smoking cessation support to Pacific peoples in health care settings. Table 7 sets out the DHBs’ activities for this health target.</w:t>
      </w:r>
    </w:p>
    <w:p w:rsidR="00BA14B3" w:rsidRPr="00A119E8" w:rsidRDefault="00BA14B3" w:rsidP="005857B1"/>
    <w:p w:rsidR="00BA14B3" w:rsidRPr="00A119E8" w:rsidRDefault="00BA14B3" w:rsidP="005857B1">
      <w:pPr>
        <w:pStyle w:val="Table"/>
      </w:pPr>
      <w:bookmarkStart w:id="116" w:name="_Toc445801434"/>
      <w:bookmarkStart w:id="117" w:name="_Toc447527124"/>
      <w:r w:rsidRPr="00A119E8">
        <w:t>Table 7: DHB activities delivered to improve services offering Pacific peoples better help for smokers to quit, as at 31 December 2015</w:t>
      </w:r>
      <w:bookmarkEnd w:id="116"/>
      <w:bookmarkEnd w:id="117"/>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2127"/>
        <w:gridCol w:w="7229"/>
      </w:tblGrid>
      <w:tr w:rsidR="00BA14B3" w:rsidRPr="00A119E8" w:rsidTr="00F07986">
        <w:trPr>
          <w:cantSplit/>
        </w:trPr>
        <w:tc>
          <w:tcPr>
            <w:tcW w:w="2127" w:type="dxa"/>
            <w:tcBorders>
              <w:top w:val="single" w:sz="4" w:space="0" w:color="auto"/>
              <w:bottom w:val="single" w:sz="4" w:space="0" w:color="auto"/>
            </w:tcBorders>
          </w:tcPr>
          <w:p w:rsidR="00BA14B3" w:rsidRPr="00A119E8" w:rsidRDefault="00BA14B3" w:rsidP="00F07986">
            <w:pPr>
              <w:pStyle w:val="TableText"/>
              <w:rPr>
                <w:b/>
              </w:rPr>
            </w:pPr>
            <w:r w:rsidRPr="00A119E8">
              <w:rPr>
                <w:b/>
              </w:rPr>
              <w:t>DHB</w:t>
            </w:r>
          </w:p>
        </w:tc>
        <w:tc>
          <w:tcPr>
            <w:tcW w:w="7229" w:type="dxa"/>
            <w:tcBorders>
              <w:top w:val="single" w:sz="4" w:space="0" w:color="auto"/>
              <w:bottom w:val="single" w:sz="4" w:space="0" w:color="auto"/>
            </w:tcBorders>
          </w:tcPr>
          <w:p w:rsidR="00BA14B3" w:rsidRPr="00A119E8" w:rsidDel="00C76A4C" w:rsidRDefault="00BA14B3" w:rsidP="00F07986">
            <w:pPr>
              <w:pStyle w:val="TableText"/>
              <w:rPr>
                <w:b/>
              </w:rPr>
            </w:pPr>
            <w:r w:rsidRPr="00A119E8">
              <w:rPr>
                <w:b/>
              </w:rPr>
              <w:t>Activities</w:t>
            </w:r>
          </w:p>
        </w:tc>
      </w:tr>
      <w:tr w:rsidR="00BA14B3" w:rsidRPr="00A119E8" w:rsidTr="00F07986">
        <w:trPr>
          <w:cantSplit/>
        </w:trPr>
        <w:tc>
          <w:tcPr>
            <w:tcW w:w="2127" w:type="dxa"/>
            <w:tcBorders>
              <w:top w:val="single" w:sz="4" w:space="0" w:color="auto"/>
              <w:bottom w:val="single" w:sz="4" w:space="0" w:color="A6A6A6"/>
            </w:tcBorders>
          </w:tcPr>
          <w:p w:rsidR="00BA14B3" w:rsidRPr="00A119E8" w:rsidRDefault="00BA14B3" w:rsidP="00F07986">
            <w:pPr>
              <w:pStyle w:val="TableText"/>
            </w:pPr>
            <w:r w:rsidRPr="00A119E8">
              <w:t xml:space="preserve">Auckland and </w:t>
            </w:r>
            <w:proofErr w:type="spellStart"/>
            <w:r w:rsidRPr="00A119E8">
              <w:t>Waitemata</w:t>
            </w:r>
            <w:proofErr w:type="spellEnd"/>
            <w:r w:rsidRPr="00A119E8">
              <w:t xml:space="preserve"> </w:t>
            </w:r>
          </w:p>
        </w:tc>
        <w:tc>
          <w:tcPr>
            <w:tcW w:w="7229" w:type="dxa"/>
            <w:tcBorders>
              <w:top w:val="single" w:sz="4" w:space="0" w:color="auto"/>
              <w:bottom w:val="single" w:sz="4" w:space="0" w:color="A6A6A6"/>
            </w:tcBorders>
          </w:tcPr>
          <w:p w:rsidR="00BA14B3" w:rsidRPr="00A119E8" w:rsidRDefault="00BA14B3" w:rsidP="00F07986">
            <w:pPr>
              <w:pStyle w:val="TableText"/>
            </w:pPr>
            <w:r w:rsidRPr="00A119E8">
              <w:t xml:space="preserve">There are high rates of smoking among the populations of Pacific peoples in both Auckland and </w:t>
            </w:r>
            <w:proofErr w:type="spellStart"/>
            <w:r w:rsidRPr="00A119E8">
              <w:t>Waitemata</w:t>
            </w:r>
            <w:proofErr w:type="spellEnd"/>
            <w:r w:rsidRPr="00A119E8">
              <w:t xml:space="preserve"> DHBs. Both DHBs are among the top performers for the ‘better help for smokers to quit’ health target. The DHBs and their PHOs have invested in many best-practice strategies to ensure that the majority of smokers, including Pacific smokers, receive brief advice and cessation support to quit in primary care.</w:t>
            </w:r>
          </w:p>
          <w:p w:rsidR="00BA14B3" w:rsidRPr="00A119E8" w:rsidRDefault="00BA14B3" w:rsidP="00F07986">
            <w:pPr>
              <w:pStyle w:val="TableText"/>
            </w:pPr>
            <w:r w:rsidRPr="00A119E8">
              <w:t>Recently, the DHBs have been refreshing the smoking cessation training they provide to health professionals, to increase the number of patients that make supported quit attempts, particularly to Māori and Pacific patients.</w:t>
            </w:r>
          </w:p>
        </w:tc>
      </w:tr>
      <w:tr w:rsidR="00BA14B3" w:rsidRPr="00A119E8" w:rsidTr="00F07986">
        <w:trPr>
          <w:cantSplit/>
        </w:trPr>
        <w:tc>
          <w:tcPr>
            <w:tcW w:w="2127" w:type="dxa"/>
            <w:tcBorders>
              <w:top w:val="single" w:sz="4" w:space="0" w:color="A6A6A6"/>
              <w:bottom w:val="single" w:sz="4" w:space="0" w:color="A6A6A6"/>
            </w:tcBorders>
          </w:tcPr>
          <w:p w:rsidR="00BA14B3" w:rsidRPr="00A119E8" w:rsidRDefault="00BA14B3" w:rsidP="00F07986">
            <w:pPr>
              <w:pStyle w:val="TableText"/>
            </w:pPr>
            <w:r w:rsidRPr="00A119E8">
              <w:t xml:space="preserve">Canterbury </w:t>
            </w:r>
          </w:p>
        </w:tc>
        <w:tc>
          <w:tcPr>
            <w:tcW w:w="7229" w:type="dxa"/>
            <w:tcBorders>
              <w:top w:val="single" w:sz="4" w:space="0" w:color="A6A6A6"/>
              <w:bottom w:val="single" w:sz="4" w:space="0" w:color="A6A6A6"/>
            </w:tcBorders>
          </w:tcPr>
          <w:p w:rsidR="00BA14B3" w:rsidRPr="00A119E8" w:rsidRDefault="00BA14B3" w:rsidP="00F07986">
            <w:pPr>
              <w:pStyle w:val="TableText"/>
            </w:pPr>
            <w:r w:rsidRPr="00A119E8">
              <w:t>Canterbury DHB has made significant improvements towards achieving the target.</w:t>
            </w:r>
          </w:p>
          <w:p w:rsidR="00BA14B3" w:rsidRPr="00A119E8" w:rsidRDefault="00BA14B3" w:rsidP="00F07986">
            <w:pPr>
              <w:pStyle w:val="TableText"/>
            </w:pPr>
            <w:r w:rsidRPr="00A119E8">
              <w:t>All PHOs continue to provide cessation programmes; two of the three PHOs have revised and enhanced their cessation programmes extensively. Pacific communities are one of the key audiences for these services.</w:t>
            </w:r>
          </w:p>
          <w:p w:rsidR="00BA14B3" w:rsidRPr="00A119E8" w:rsidRDefault="00BA14B3" w:rsidP="00F07986">
            <w:pPr>
              <w:pStyle w:val="TableText"/>
            </w:pPr>
            <w:r w:rsidRPr="00A119E8">
              <w:t xml:space="preserve">Canterbury </w:t>
            </w:r>
            <w:r>
              <w:t xml:space="preserve">DHB </w:t>
            </w:r>
            <w:r w:rsidRPr="00A119E8">
              <w:t>has integrated delivery of this target and the ‘more heart and diabetes checks’ target. This approach has proven to be effective in reaching Pacific and Māori communities.</w:t>
            </w:r>
          </w:p>
        </w:tc>
      </w:tr>
      <w:tr w:rsidR="00BA14B3" w:rsidRPr="00A119E8" w:rsidTr="00F07986">
        <w:trPr>
          <w:cantSplit/>
        </w:trPr>
        <w:tc>
          <w:tcPr>
            <w:tcW w:w="2127" w:type="dxa"/>
            <w:tcBorders>
              <w:top w:val="single" w:sz="4" w:space="0" w:color="A6A6A6"/>
              <w:bottom w:val="single" w:sz="4" w:space="0" w:color="auto"/>
            </w:tcBorders>
          </w:tcPr>
          <w:p w:rsidR="00BA14B3" w:rsidRPr="00A119E8" w:rsidRDefault="00BA14B3" w:rsidP="00F07986">
            <w:pPr>
              <w:pStyle w:val="TableText"/>
            </w:pPr>
            <w:r w:rsidRPr="00A119E8">
              <w:t xml:space="preserve">Capital &amp; Coast and Hutt Valley </w:t>
            </w:r>
          </w:p>
        </w:tc>
        <w:tc>
          <w:tcPr>
            <w:tcW w:w="7229" w:type="dxa"/>
            <w:tcBorders>
              <w:top w:val="single" w:sz="4" w:space="0" w:color="A6A6A6"/>
              <w:bottom w:val="single" w:sz="4" w:space="0" w:color="auto"/>
            </w:tcBorders>
          </w:tcPr>
          <w:p w:rsidR="00BA14B3" w:rsidRPr="00A119E8" w:rsidRDefault="00BA14B3" w:rsidP="00F07986">
            <w:pPr>
              <w:pStyle w:val="TableText"/>
            </w:pPr>
            <w:r w:rsidRPr="00A119E8">
              <w:t>Capital &amp; Coast and Hutt Valley DHBs have made significant improvements towards achieving the target. Examples of recent work include:</w:t>
            </w:r>
          </w:p>
          <w:p w:rsidR="00BA14B3" w:rsidRPr="00A119E8" w:rsidRDefault="00BA14B3" w:rsidP="00F07986">
            <w:pPr>
              <w:pStyle w:val="TableBullet"/>
            </w:pPr>
            <w:r w:rsidRPr="00A119E8">
              <w:t>systematically ensuring tobacco control is included as a key activity in all DHB health documents, including Pacific health plans</w:t>
            </w:r>
          </w:p>
          <w:p w:rsidR="00BA14B3" w:rsidRPr="00A119E8" w:rsidRDefault="00BA14B3" w:rsidP="00F07986">
            <w:pPr>
              <w:pStyle w:val="TableBullet"/>
            </w:pPr>
            <w:r w:rsidRPr="00A119E8">
              <w:t>supporting clinical and community leadership in tobacco control through the Pacific health unit</w:t>
            </w:r>
          </w:p>
          <w:p w:rsidR="00BA14B3" w:rsidRPr="00A119E8" w:rsidRDefault="00BA14B3" w:rsidP="00F07986">
            <w:pPr>
              <w:pStyle w:val="TableBullet"/>
            </w:pPr>
            <w:r w:rsidRPr="00A119E8">
              <w:t>continuing to collect target results by ethnicity</w:t>
            </w:r>
          </w:p>
          <w:p w:rsidR="00BA14B3" w:rsidRPr="00A119E8" w:rsidRDefault="00BA14B3" w:rsidP="00F07986">
            <w:pPr>
              <w:pStyle w:val="TableBullet"/>
            </w:pPr>
            <w:proofErr w:type="gramStart"/>
            <w:r w:rsidRPr="00A119E8">
              <w:t>promoting</w:t>
            </w:r>
            <w:proofErr w:type="gramEnd"/>
            <w:r w:rsidRPr="00A119E8">
              <w:t xml:space="preserve"> smoking cessation services to increase awareness among Pacific communities.</w:t>
            </w:r>
          </w:p>
          <w:p w:rsidR="00BA14B3" w:rsidRPr="00A119E8" w:rsidRDefault="00BA14B3" w:rsidP="00F07986">
            <w:pPr>
              <w:pStyle w:val="TableText"/>
            </w:pPr>
            <w:r w:rsidRPr="00A119E8">
              <w:t>Pacific Health Services provides a local quitting service targeted at Pacific peoples. It provides face-to-face counselling sessions, free nicotine replacement therapy,</w:t>
            </w:r>
            <w:r w:rsidRPr="00A119E8">
              <w:rPr>
                <w:color w:val="545454"/>
              </w:rPr>
              <w:t xml:space="preserve"> </w:t>
            </w:r>
            <w:r w:rsidRPr="00A119E8">
              <w:t xml:space="preserve">and quit checks at four weeks and three months. </w:t>
            </w:r>
          </w:p>
        </w:tc>
      </w:tr>
    </w:tbl>
    <w:p w:rsidR="00BA14B3" w:rsidRPr="00A119E8" w:rsidRDefault="00BA14B3" w:rsidP="005857B1"/>
    <w:p w:rsidR="00BA14B3" w:rsidRPr="00A119E8" w:rsidRDefault="005857B1" w:rsidP="005857B1">
      <w:pPr>
        <w:pStyle w:val="Heading4"/>
      </w:pPr>
      <w:r>
        <w:lastRenderedPageBreak/>
        <w:t>More heart and diabetes checks</w:t>
      </w:r>
    </w:p>
    <w:p w:rsidR="00BA14B3" w:rsidRPr="00A119E8" w:rsidRDefault="00BA14B3" w:rsidP="00D93430">
      <w:pPr>
        <w:keepLines/>
      </w:pPr>
      <w:r w:rsidRPr="00A119E8">
        <w:t>Cardiovascular disease (CVD) is the leading cause of death in New Zealand; it accounts for 30 percent of deaths annually. Cardiovascular conditions are the leading cause of morbidity in New Zealand, and disproportionately affect Pacific peoples. This health target is that 90 percent of the eligible population will have had their cardiovascular risk assessed in the last five years.</w:t>
      </w:r>
    </w:p>
    <w:p w:rsidR="00BA14B3" w:rsidRPr="00A119E8" w:rsidRDefault="00BA14B3" w:rsidP="005857B1"/>
    <w:p w:rsidR="0034306E" w:rsidRDefault="00BA14B3" w:rsidP="005857B1">
      <w:r w:rsidRPr="00A119E8">
        <w:t>The Ministry continues to work closely with DHBs to ensure early detection of both heart disease and diabetes in Pacific peoples.</w:t>
      </w:r>
    </w:p>
    <w:p w:rsidR="00BA14B3" w:rsidRPr="00A119E8" w:rsidRDefault="00BA14B3" w:rsidP="005857B1"/>
    <w:p w:rsidR="00BA14B3" w:rsidRPr="00A119E8" w:rsidRDefault="00BA14B3" w:rsidP="005857B1">
      <w:r w:rsidRPr="00A119E8">
        <w:t>This section reports on DHBs’ activities relevant to this action for the six months to 31</w:t>
      </w:r>
      <w:r w:rsidR="005857B1">
        <w:t> </w:t>
      </w:r>
      <w:r w:rsidRPr="00A119E8">
        <w:t>December 2015. Table 8 sets out the DHBs activities for this health target.</w:t>
      </w:r>
    </w:p>
    <w:p w:rsidR="00BA14B3" w:rsidRPr="00A119E8" w:rsidRDefault="00BA14B3" w:rsidP="005857B1"/>
    <w:p w:rsidR="00BA14B3" w:rsidRPr="00A119E8" w:rsidRDefault="00BA14B3" w:rsidP="005857B1">
      <w:pPr>
        <w:pStyle w:val="Table"/>
      </w:pPr>
      <w:bookmarkStart w:id="118" w:name="_Toc428878447"/>
      <w:bookmarkStart w:id="119" w:name="_Toc445801435"/>
      <w:bookmarkStart w:id="120" w:name="_Toc447527125"/>
      <w:r w:rsidRPr="00A119E8">
        <w:t>Table 8: DHB work towards offering Pacific peoples more heart and diabetes checks</w:t>
      </w:r>
      <w:bookmarkEnd w:id="118"/>
      <w:r w:rsidRPr="00A119E8">
        <w:t>, as at 31</w:t>
      </w:r>
      <w:r w:rsidR="005857B1">
        <w:t> </w:t>
      </w:r>
      <w:r w:rsidRPr="00A119E8">
        <w:t>December 2015</w:t>
      </w:r>
      <w:bookmarkEnd w:id="119"/>
      <w:bookmarkEnd w:id="12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blHeader/>
        </w:trPr>
        <w:tc>
          <w:tcPr>
            <w:tcW w:w="1560" w:type="dxa"/>
            <w:tcBorders>
              <w:top w:val="single" w:sz="4" w:space="0" w:color="auto"/>
              <w:bottom w:val="single" w:sz="4" w:space="0" w:color="auto"/>
            </w:tcBorders>
          </w:tcPr>
          <w:p w:rsidR="00BA14B3" w:rsidRPr="00A119E8" w:rsidRDefault="00BA14B3" w:rsidP="00F07986">
            <w:pPr>
              <w:pStyle w:val="TableText"/>
              <w:rPr>
                <w:b/>
                <w:lang w:eastAsia="en-NZ"/>
              </w:rPr>
            </w:pPr>
            <w:r w:rsidRPr="00A119E8">
              <w:rPr>
                <w:b/>
                <w:lang w:eastAsia="en-NZ"/>
              </w:rPr>
              <w:t>DHB</w:t>
            </w:r>
          </w:p>
        </w:tc>
        <w:tc>
          <w:tcPr>
            <w:tcW w:w="7796" w:type="dxa"/>
            <w:tcBorders>
              <w:top w:val="single" w:sz="4" w:space="0" w:color="auto"/>
              <w:bottom w:val="single" w:sz="4" w:space="0" w:color="auto"/>
            </w:tcBorders>
          </w:tcPr>
          <w:p w:rsidR="00BA14B3" w:rsidRPr="00A119E8" w:rsidRDefault="00BA14B3" w:rsidP="00F07986">
            <w:pPr>
              <w:pStyle w:val="TableText"/>
              <w:rPr>
                <w:b/>
                <w:lang w:eastAsia="en-NZ"/>
              </w:rPr>
            </w:pPr>
            <w:r w:rsidRPr="00A119E8">
              <w:rPr>
                <w:b/>
              </w:rPr>
              <w:t>Activities</w:t>
            </w:r>
          </w:p>
        </w:tc>
      </w:tr>
      <w:tr w:rsidR="00BA14B3" w:rsidRPr="00A119E8" w:rsidTr="005857B1">
        <w:trPr>
          <w:cantSplit/>
        </w:trPr>
        <w:tc>
          <w:tcPr>
            <w:tcW w:w="1560" w:type="dxa"/>
            <w:tcBorders>
              <w:top w:val="single" w:sz="4" w:space="0" w:color="auto"/>
              <w:bottom w:val="single" w:sz="4" w:space="0" w:color="A6A6A6"/>
            </w:tcBorders>
          </w:tcPr>
          <w:p w:rsidR="00BA14B3" w:rsidRPr="00A119E8" w:rsidRDefault="00BA14B3" w:rsidP="00F07986">
            <w:pPr>
              <w:pStyle w:val="TableText"/>
              <w:rPr>
                <w:lang w:eastAsia="en-NZ"/>
              </w:rPr>
            </w:pPr>
            <w:r w:rsidRPr="00A119E8">
              <w:rPr>
                <w:lang w:eastAsia="en-NZ"/>
              </w:rPr>
              <w:t xml:space="preserve">Auckland </w:t>
            </w:r>
            <w:r>
              <w:rPr>
                <w:lang w:eastAsia="en-NZ"/>
              </w:rPr>
              <w:t xml:space="preserve">and </w:t>
            </w:r>
            <w:proofErr w:type="spellStart"/>
            <w:r>
              <w:rPr>
                <w:lang w:eastAsia="en-NZ"/>
              </w:rPr>
              <w:t>Waitemata</w:t>
            </w:r>
            <w:proofErr w:type="spellEnd"/>
          </w:p>
        </w:tc>
        <w:tc>
          <w:tcPr>
            <w:tcW w:w="7796" w:type="dxa"/>
            <w:tcBorders>
              <w:top w:val="single" w:sz="4" w:space="0" w:color="auto"/>
              <w:bottom w:val="single" w:sz="4" w:space="0" w:color="A6A6A6"/>
            </w:tcBorders>
          </w:tcPr>
          <w:p w:rsidR="00BA14B3" w:rsidRPr="00A119E8" w:rsidRDefault="00BA14B3" w:rsidP="00F07986">
            <w:pPr>
              <w:pStyle w:val="TableText"/>
              <w:rPr>
                <w:lang w:eastAsia="en-NZ"/>
              </w:rPr>
            </w:pPr>
            <w:r>
              <w:rPr>
                <w:lang w:eastAsia="en-NZ"/>
              </w:rPr>
              <w:t xml:space="preserve">Auckland </w:t>
            </w:r>
            <w:r w:rsidRPr="00A119E8">
              <w:rPr>
                <w:lang w:eastAsia="en-NZ"/>
              </w:rPr>
              <w:t xml:space="preserve">DHB continue to provide the Pacific population in the region with education on self-management. The programme is delivered by The </w:t>
            </w:r>
            <w:proofErr w:type="spellStart"/>
            <w:r w:rsidRPr="00A119E8">
              <w:rPr>
                <w:lang w:eastAsia="en-NZ"/>
              </w:rPr>
              <w:t>Fono</w:t>
            </w:r>
            <w:proofErr w:type="spellEnd"/>
            <w:r w:rsidRPr="00A119E8">
              <w:rPr>
                <w:lang w:eastAsia="en-NZ"/>
              </w:rPr>
              <w:t>, a health and social services agency for Pacific peoples.</w:t>
            </w:r>
          </w:p>
          <w:p w:rsidR="00BA14B3" w:rsidRPr="00A119E8" w:rsidRDefault="00BA14B3" w:rsidP="00F07986">
            <w:pPr>
              <w:pStyle w:val="TableText"/>
              <w:rPr>
                <w:lang w:eastAsia="en-NZ"/>
              </w:rPr>
            </w:pPr>
            <w:r w:rsidRPr="00A119E8">
              <w:rPr>
                <w:lang w:eastAsia="en-NZ"/>
              </w:rPr>
              <w:t xml:space="preserve">Seventy-three Pacific people </w:t>
            </w:r>
            <w:r>
              <w:rPr>
                <w:lang w:eastAsia="en-NZ"/>
              </w:rPr>
              <w:t>began a</w:t>
            </w:r>
            <w:r w:rsidRPr="00A119E8">
              <w:rPr>
                <w:lang w:eastAsia="en-NZ"/>
              </w:rPr>
              <w:t xml:space="preserve"> self-management education programme in quarter two; the majority have now had their diabetes annual review and five-year cardiovascular and diabetes risk assessment.</w:t>
            </w:r>
          </w:p>
          <w:p w:rsidR="00BA14B3" w:rsidRPr="00A119E8" w:rsidRDefault="00BA14B3" w:rsidP="00F07986">
            <w:pPr>
              <w:pStyle w:val="TableText"/>
              <w:rPr>
                <w:lang w:eastAsia="en-NZ"/>
              </w:rPr>
            </w:pPr>
            <w:r w:rsidRPr="00A119E8">
              <w:t xml:space="preserve">Auckland </w:t>
            </w:r>
            <w:r>
              <w:t xml:space="preserve">DHB </w:t>
            </w:r>
            <w:r w:rsidRPr="00A119E8">
              <w:t>recently completed its second workplace staff cardiovascular risk assessment (CVRA) project, which focused on Pacific and high-risk staff across three sites. The project assessed over 100 Pacific staff.</w:t>
            </w:r>
          </w:p>
        </w:tc>
      </w:tr>
      <w:tr w:rsidR="00BA14B3" w:rsidRPr="00A119E8" w:rsidTr="005857B1">
        <w:trPr>
          <w:cantSplit/>
        </w:trPr>
        <w:tc>
          <w:tcPr>
            <w:tcW w:w="1560" w:type="dxa"/>
            <w:tcBorders>
              <w:top w:val="single" w:sz="4" w:space="0" w:color="A6A6A6"/>
              <w:bottom w:val="single" w:sz="4" w:space="0" w:color="A6A6A6"/>
            </w:tcBorders>
          </w:tcPr>
          <w:p w:rsidR="00BA14B3" w:rsidRPr="00A119E8" w:rsidRDefault="005857B1" w:rsidP="00F07986">
            <w:pPr>
              <w:pStyle w:val="TableText"/>
              <w:rPr>
                <w:lang w:eastAsia="en-NZ"/>
              </w:rPr>
            </w:pPr>
            <w:r>
              <w:rPr>
                <w:lang w:eastAsia="en-NZ"/>
              </w:rPr>
              <w:t>Canterbury</w:t>
            </w:r>
          </w:p>
        </w:tc>
        <w:tc>
          <w:tcPr>
            <w:tcW w:w="7796" w:type="dxa"/>
            <w:tcBorders>
              <w:top w:val="single" w:sz="4" w:space="0" w:color="A6A6A6"/>
              <w:bottom w:val="single" w:sz="4" w:space="0" w:color="A6A6A6"/>
            </w:tcBorders>
          </w:tcPr>
          <w:p w:rsidR="00BA14B3" w:rsidRPr="00A119E8" w:rsidRDefault="00BA14B3" w:rsidP="00F07986">
            <w:pPr>
              <w:pStyle w:val="TableText"/>
              <w:rPr>
                <w:lang w:eastAsia="en-NZ"/>
              </w:rPr>
            </w:pPr>
            <w:r w:rsidRPr="00A119E8">
              <w:rPr>
                <w:lang w:eastAsia="en-NZ"/>
              </w:rPr>
              <w:t>A range of activities continue to support Canterbury</w:t>
            </w:r>
            <w:r>
              <w:rPr>
                <w:lang w:eastAsia="en-NZ"/>
              </w:rPr>
              <w:t xml:space="preserve"> DHB</w:t>
            </w:r>
            <w:r w:rsidRPr="00A119E8">
              <w:rPr>
                <w:lang w:eastAsia="en-NZ"/>
              </w:rPr>
              <w:t>’s progress towards the target. Over the last 12 months significant increases in the total delivery of CVRA have been made across all ethnic population groups.</w:t>
            </w:r>
          </w:p>
          <w:p w:rsidR="0034306E" w:rsidRDefault="00BA14B3" w:rsidP="00F07986">
            <w:pPr>
              <w:pStyle w:val="TableText"/>
              <w:rPr>
                <w:lang w:eastAsia="en-NZ"/>
              </w:rPr>
            </w:pPr>
            <w:r w:rsidRPr="00A119E8">
              <w:rPr>
                <w:lang w:eastAsia="en-NZ"/>
              </w:rPr>
              <w:t>In addition, the following initiatives that target Māori, Pacific and high-risk populations include:</w:t>
            </w:r>
          </w:p>
          <w:p w:rsidR="0034306E" w:rsidRDefault="00BA14B3" w:rsidP="005857B1">
            <w:pPr>
              <w:pStyle w:val="TableBullet"/>
              <w:rPr>
                <w:lang w:eastAsia="en-NZ"/>
              </w:rPr>
            </w:pPr>
            <w:r w:rsidRPr="00A119E8">
              <w:rPr>
                <w:lang w:eastAsia="en-NZ"/>
              </w:rPr>
              <w:t>PHOs are supporting practices to systematically contact and recall eligible patients who are yet to receive a CVRA.</w:t>
            </w:r>
          </w:p>
          <w:p w:rsidR="00BA14B3" w:rsidRPr="00A119E8" w:rsidRDefault="00BA14B3" w:rsidP="005857B1">
            <w:pPr>
              <w:pStyle w:val="TableBullet"/>
              <w:rPr>
                <w:lang w:eastAsia="en-NZ"/>
              </w:rPr>
            </w:pPr>
            <w:r w:rsidRPr="00A119E8">
              <w:rPr>
                <w:lang w:eastAsia="en-NZ"/>
              </w:rPr>
              <w:t>By providing general practices with lists of their enrolled population discharged from hospital with a clinical risk of &gt;20%, Canterbury DHB is helping engage high-risk patients with their general practice team for follow-up and ongoing management.</w:t>
            </w:r>
          </w:p>
        </w:tc>
      </w:tr>
      <w:tr w:rsidR="00BA14B3" w:rsidRPr="00A119E8" w:rsidTr="005857B1">
        <w:trPr>
          <w:cantSplit/>
        </w:trPr>
        <w:tc>
          <w:tcPr>
            <w:tcW w:w="1560" w:type="dxa"/>
            <w:tcBorders>
              <w:top w:val="single" w:sz="4" w:space="0" w:color="A6A6A6"/>
              <w:bottom w:val="single" w:sz="4" w:space="0" w:color="A6A6A6"/>
            </w:tcBorders>
          </w:tcPr>
          <w:p w:rsidR="00BA14B3" w:rsidRPr="00A119E8" w:rsidRDefault="00BA14B3" w:rsidP="005857B1">
            <w:pPr>
              <w:pStyle w:val="TableText"/>
              <w:rPr>
                <w:lang w:eastAsia="en-NZ"/>
              </w:rPr>
            </w:pPr>
            <w:r w:rsidRPr="00A119E8">
              <w:rPr>
                <w:lang w:eastAsia="en-NZ"/>
              </w:rPr>
              <w:t>Capital &amp; Coast</w:t>
            </w:r>
          </w:p>
        </w:tc>
        <w:tc>
          <w:tcPr>
            <w:tcW w:w="7796" w:type="dxa"/>
            <w:tcBorders>
              <w:top w:val="single" w:sz="4" w:space="0" w:color="A6A6A6"/>
              <w:bottom w:val="single" w:sz="4" w:space="0" w:color="A6A6A6"/>
            </w:tcBorders>
          </w:tcPr>
          <w:p w:rsidR="00BA14B3" w:rsidRPr="00A119E8" w:rsidRDefault="00BA14B3" w:rsidP="00F07986">
            <w:pPr>
              <w:pStyle w:val="TableText"/>
              <w:rPr>
                <w:lang w:eastAsia="en-NZ"/>
              </w:rPr>
            </w:pPr>
            <w:r w:rsidRPr="00A119E8">
              <w:rPr>
                <w:lang w:eastAsia="en-NZ"/>
              </w:rPr>
              <w:t>Capital &amp; Coast DHB has allocated additional nursing time for recalls for Pacific peoples to ensure that these patients receive appropriate medicines and appropriate referrals to podiatry, renal and ophthalmology services.</w:t>
            </w:r>
          </w:p>
          <w:p w:rsidR="00BA14B3" w:rsidRPr="00A119E8" w:rsidRDefault="00BA14B3" w:rsidP="00F07986">
            <w:pPr>
              <w:pStyle w:val="TableText"/>
              <w:rPr>
                <w:lang w:eastAsia="en-NZ"/>
              </w:rPr>
            </w:pPr>
            <w:r w:rsidRPr="00A119E8">
              <w:rPr>
                <w:lang w:eastAsia="en-NZ"/>
              </w:rPr>
              <w:t>Reducing the equity gap of CVRA coverage between total and high-need populations has been a focus. A patient-incentivised initiative was piloted in two practices to help improve CVRA coverage within their respective practices. The focus was on high-need populations as both practices had low CVRA coverage for this group at the beginning of the quarter. Initial discussion with key practice staff was undertaken and an implementation plan agreed. Improvement of CVRA coverage was monitored via a weekly CVRA report. Resources provided to the practices for the pilot initiative included sample invitation letters and SMS texts, vouchers and ongoing support to the team over the quarter. Preliminary feedback from practices is that both practices improved their overall CVRA coverage from 79% to 90% and 85% to 91%, respectively.</w:t>
            </w:r>
          </w:p>
          <w:p w:rsidR="00BA14B3" w:rsidRPr="00A119E8" w:rsidRDefault="00BA14B3" w:rsidP="00F07986">
            <w:pPr>
              <w:pStyle w:val="TableText"/>
              <w:rPr>
                <w:lang w:eastAsia="en-NZ"/>
              </w:rPr>
            </w:pPr>
            <w:r w:rsidRPr="00A119E8">
              <w:rPr>
                <w:lang w:eastAsia="en-NZ"/>
              </w:rPr>
              <w:t xml:space="preserve">In addition, a ‘Virtual CVRA’ report was developed, which showed eligible patients with relevant blood results and blood pressure readings within the last five years due CVRA, and where CVRA was not recorded. Proviso for the use of results up to five years old, as per </w:t>
            </w:r>
            <w:r w:rsidRPr="00717FD9">
              <w:rPr>
                <w:i/>
                <w:lang w:eastAsia="en-NZ"/>
              </w:rPr>
              <w:t>Cardiovascular Disease Risk Assessment: Updated 2013</w:t>
            </w:r>
            <w:r w:rsidRPr="00A119E8">
              <w:rPr>
                <w:lang w:eastAsia="en-NZ"/>
              </w:rPr>
              <w:t>, was communicated out to practices via the weekly mail-out. Preliminary data indicates that 44 practices achieved this indicator in this quarter.</w:t>
            </w:r>
          </w:p>
        </w:tc>
      </w:tr>
      <w:tr w:rsidR="00BA14B3" w:rsidRPr="00A119E8" w:rsidTr="005857B1">
        <w:trPr>
          <w:cantSplit/>
        </w:trPr>
        <w:tc>
          <w:tcPr>
            <w:tcW w:w="1560" w:type="dxa"/>
            <w:tcBorders>
              <w:top w:val="single" w:sz="4" w:space="0" w:color="A6A6A6"/>
              <w:bottom w:val="single" w:sz="4" w:space="0" w:color="A6A6A6"/>
            </w:tcBorders>
          </w:tcPr>
          <w:p w:rsidR="00BA14B3" w:rsidRPr="00A119E8" w:rsidRDefault="005857B1" w:rsidP="00F07986">
            <w:pPr>
              <w:pStyle w:val="TableText"/>
              <w:rPr>
                <w:lang w:eastAsia="en-NZ"/>
              </w:rPr>
            </w:pPr>
            <w:r>
              <w:rPr>
                <w:lang w:eastAsia="en-NZ"/>
              </w:rPr>
              <w:lastRenderedPageBreak/>
              <w:t xml:space="preserve">Counties </w:t>
            </w:r>
            <w:proofErr w:type="spellStart"/>
            <w:r>
              <w:rPr>
                <w:lang w:eastAsia="en-NZ"/>
              </w:rPr>
              <w:t>Manukau</w:t>
            </w:r>
            <w:proofErr w:type="spellEnd"/>
          </w:p>
        </w:tc>
        <w:tc>
          <w:tcPr>
            <w:tcW w:w="7796" w:type="dxa"/>
            <w:tcBorders>
              <w:top w:val="single" w:sz="4" w:space="0" w:color="A6A6A6"/>
              <w:bottom w:val="single" w:sz="4" w:space="0" w:color="A6A6A6"/>
            </w:tcBorders>
          </w:tcPr>
          <w:p w:rsidR="00BA14B3" w:rsidRPr="00A119E8" w:rsidRDefault="00BA14B3" w:rsidP="00F07986">
            <w:pPr>
              <w:pStyle w:val="TableText"/>
              <w:rPr>
                <w:lang w:eastAsia="en-NZ"/>
              </w:rPr>
            </w:pPr>
            <w:r w:rsidRPr="00A119E8">
              <w:rPr>
                <w:lang w:eastAsia="en-NZ"/>
              </w:rPr>
              <w:t xml:space="preserve">Counties </w:t>
            </w:r>
            <w:proofErr w:type="spellStart"/>
            <w:r w:rsidRPr="00A119E8">
              <w:rPr>
                <w:lang w:eastAsia="en-NZ"/>
              </w:rPr>
              <w:t>Manukau</w:t>
            </w:r>
            <w:proofErr w:type="spellEnd"/>
            <w:r w:rsidRPr="00A119E8">
              <w:rPr>
                <w:lang w:eastAsia="en-NZ"/>
              </w:rPr>
              <w:t xml:space="preserve"> DHB’s Diabetes Projects Trust aims to improve the provision of care to diabetes patients through audited services and tailored support for practice staff. The trust’s service is specifically targeted towards practices with high numbers of Pacific patients, as well as those with high diabetes prevalence.</w:t>
            </w:r>
          </w:p>
          <w:p w:rsidR="00BA14B3" w:rsidRPr="00A119E8" w:rsidRDefault="00BA14B3" w:rsidP="00F07986">
            <w:pPr>
              <w:pStyle w:val="TableText"/>
            </w:pPr>
            <w:r w:rsidRPr="00A119E8">
              <w:t xml:space="preserve">Counties </w:t>
            </w:r>
            <w:proofErr w:type="spellStart"/>
            <w:r w:rsidRPr="00A119E8">
              <w:t>Manukau</w:t>
            </w:r>
            <w:proofErr w:type="spellEnd"/>
            <w:r w:rsidRPr="00A119E8">
              <w:t xml:space="preserve"> DHB actively targets Pacific and high-risk populations by using specific practice queries and recall systems, including queries on patients who are turning 35 years old within the next three months, and appointment scanners to identify patients booked for a consultation that day so that providers can offer CVRA opportunistically. Both DHBs are using innovative ways of reaching the last few hard-to-reach patients, including:</w:t>
            </w:r>
          </w:p>
          <w:p w:rsidR="00BA14B3" w:rsidRPr="00A119E8" w:rsidRDefault="00BA14B3" w:rsidP="005857B1">
            <w:pPr>
              <w:pStyle w:val="TableBullet"/>
              <w:rPr>
                <w:lang w:eastAsia="en-NZ"/>
              </w:rPr>
            </w:pPr>
            <w:r w:rsidRPr="00A119E8">
              <w:rPr>
                <w:lang w:eastAsia="en-NZ"/>
              </w:rPr>
              <w:t>creation of regular monthly reports on Māori and Pacific peoples who have not yet had a CVRA or who need to be recalled, including reports for Māori and Pacific men turning 35</w:t>
            </w:r>
            <w:r w:rsidR="005857B1">
              <w:rPr>
                <w:lang w:eastAsia="en-NZ"/>
              </w:rPr>
              <w:t> </w:t>
            </w:r>
            <w:r w:rsidRPr="00A119E8">
              <w:rPr>
                <w:lang w:eastAsia="en-NZ"/>
              </w:rPr>
              <w:t>years old and Māori and Pacific females turning 45 years old within the next three months</w:t>
            </w:r>
          </w:p>
          <w:p w:rsidR="00BA14B3" w:rsidRPr="00A119E8" w:rsidRDefault="00BA14B3" w:rsidP="005857B1">
            <w:pPr>
              <w:pStyle w:val="TableBullet"/>
              <w:rPr>
                <w:lang w:eastAsia="en-NZ"/>
              </w:rPr>
            </w:pPr>
            <w:r w:rsidRPr="00A119E8">
              <w:rPr>
                <w:lang w:eastAsia="en-NZ"/>
              </w:rPr>
              <w:t>funding cardiovascular risk assessments for high-needs patients</w:t>
            </w:r>
          </w:p>
          <w:p w:rsidR="00BA14B3" w:rsidRPr="00A119E8" w:rsidRDefault="00BA14B3" w:rsidP="005857B1">
            <w:pPr>
              <w:pStyle w:val="TableBullet"/>
              <w:rPr>
                <w:lang w:eastAsia="en-NZ"/>
              </w:rPr>
            </w:pPr>
            <w:r w:rsidRPr="00A119E8">
              <w:rPr>
                <w:lang w:eastAsia="en-NZ"/>
              </w:rPr>
              <w:t>funding practice-based phlebotomy and point-of-care testing</w:t>
            </w:r>
          </w:p>
          <w:p w:rsidR="00BA14B3" w:rsidRPr="00A119E8" w:rsidRDefault="00BA14B3" w:rsidP="005857B1">
            <w:pPr>
              <w:pStyle w:val="TableBullet"/>
              <w:rPr>
                <w:lang w:eastAsia="en-NZ"/>
              </w:rPr>
            </w:pPr>
            <w:r w:rsidRPr="00A119E8">
              <w:rPr>
                <w:lang w:eastAsia="en-NZ"/>
              </w:rPr>
              <w:t>assessment of the barriers to accessing/receiving a risk assessment and implementation of initiatives to resolve these issues including offering weekend and after-hours clinics</w:t>
            </w:r>
          </w:p>
          <w:p w:rsidR="00BA14B3" w:rsidRPr="00A119E8" w:rsidRDefault="00BA14B3" w:rsidP="005857B1">
            <w:pPr>
              <w:pStyle w:val="TableBullet"/>
              <w:rPr>
                <w:lang w:eastAsia="en-NZ"/>
              </w:rPr>
            </w:pPr>
            <w:r w:rsidRPr="00A119E8">
              <w:rPr>
                <w:lang w:eastAsia="en-NZ"/>
              </w:rPr>
              <w:t xml:space="preserve">outreach initiatives and use of </w:t>
            </w:r>
            <w:proofErr w:type="spellStart"/>
            <w:r w:rsidRPr="00A119E8">
              <w:rPr>
                <w:lang w:eastAsia="en-NZ"/>
              </w:rPr>
              <w:t>marae</w:t>
            </w:r>
            <w:proofErr w:type="spellEnd"/>
            <w:r w:rsidRPr="00A119E8">
              <w:rPr>
                <w:lang w:eastAsia="en-NZ"/>
              </w:rPr>
              <w:t>-based clinics</w:t>
            </w:r>
          </w:p>
          <w:p w:rsidR="00BA14B3" w:rsidRPr="00A119E8" w:rsidRDefault="00BA14B3" w:rsidP="005857B1">
            <w:pPr>
              <w:pStyle w:val="TableBullet"/>
              <w:rPr>
                <w:lang w:eastAsia="en-NZ"/>
              </w:rPr>
            </w:pPr>
            <w:proofErr w:type="gramStart"/>
            <w:r w:rsidRPr="00A119E8">
              <w:rPr>
                <w:lang w:eastAsia="en-NZ"/>
              </w:rPr>
              <w:t>utilising</w:t>
            </w:r>
            <w:proofErr w:type="gramEnd"/>
            <w:r w:rsidRPr="00A119E8">
              <w:rPr>
                <w:lang w:eastAsia="en-NZ"/>
              </w:rPr>
              <w:t xml:space="preserve"> Test Safe data to complete virtual assessments and ensuring recalls are put in place for those patients with a moderate to high risk.</w:t>
            </w:r>
          </w:p>
        </w:tc>
      </w:tr>
      <w:tr w:rsidR="00BA14B3" w:rsidRPr="00A119E8" w:rsidTr="005857B1">
        <w:trPr>
          <w:cantSplit/>
        </w:trPr>
        <w:tc>
          <w:tcPr>
            <w:tcW w:w="1560" w:type="dxa"/>
            <w:tcBorders>
              <w:top w:val="single" w:sz="4" w:space="0" w:color="A6A6A6"/>
            </w:tcBorders>
          </w:tcPr>
          <w:p w:rsidR="00BA14B3" w:rsidRPr="00A119E8" w:rsidRDefault="005857B1" w:rsidP="00F07986">
            <w:pPr>
              <w:pStyle w:val="TableText"/>
              <w:rPr>
                <w:lang w:eastAsia="en-NZ"/>
              </w:rPr>
            </w:pPr>
            <w:proofErr w:type="spellStart"/>
            <w:r>
              <w:rPr>
                <w:lang w:eastAsia="en-NZ"/>
              </w:rPr>
              <w:t>Waitemata</w:t>
            </w:r>
            <w:proofErr w:type="spellEnd"/>
          </w:p>
        </w:tc>
        <w:tc>
          <w:tcPr>
            <w:tcW w:w="7796" w:type="dxa"/>
            <w:tcBorders>
              <w:top w:val="single" w:sz="4" w:space="0" w:color="A6A6A6"/>
            </w:tcBorders>
          </w:tcPr>
          <w:p w:rsidR="00BA14B3" w:rsidRPr="00A119E8" w:rsidRDefault="00BA14B3" w:rsidP="00F07986">
            <w:pPr>
              <w:pStyle w:val="TableText"/>
              <w:rPr>
                <w:lang w:eastAsia="en-NZ"/>
              </w:rPr>
            </w:pPr>
            <w:proofErr w:type="spellStart"/>
            <w:r w:rsidRPr="00A119E8">
              <w:rPr>
                <w:lang w:eastAsia="en-NZ"/>
              </w:rPr>
              <w:t>Waitemata</w:t>
            </w:r>
            <w:proofErr w:type="spellEnd"/>
            <w:r w:rsidRPr="00A119E8">
              <w:rPr>
                <w:lang w:eastAsia="en-NZ"/>
              </w:rPr>
              <w:t xml:space="preserve"> DHB has contracted retinal screening and education programmes for Pacific peoples under the Ministry of Health’s Diabetes Care Improvement Package. It also runs the self-management education service alongside Auckland DHB (see above).</w:t>
            </w:r>
          </w:p>
          <w:p w:rsidR="0034306E" w:rsidRDefault="00BA14B3" w:rsidP="00F07986">
            <w:pPr>
              <w:pStyle w:val="TableText"/>
              <w:rPr>
                <w:lang w:eastAsia="en-NZ"/>
              </w:rPr>
            </w:pPr>
            <w:r w:rsidRPr="00A119E8">
              <w:rPr>
                <w:lang w:eastAsia="en-NZ"/>
              </w:rPr>
              <w:t>Both PHOs continue to work with their practices to help them identify and screen high-risk populations as well as providing assistance with active recalling and flagging patients for opportunistic assessments.</w:t>
            </w:r>
          </w:p>
          <w:p w:rsidR="00BA14B3" w:rsidRPr="00A119E8" w:rsidRDefault="00BA14B3" w:rsidP="00F07986">
            <w:pPr>
              <w:pStyle w:val="TableText"/>
              <w:rPr>
                <w:lang w:eastAsia="en-NZ"/>
              </w:rPr>
            </w:pPr>
            <w:r w:rsidRPr="00A119E8">
              <w:rPr>
                <w:lang w:eastAsia="en-NZ"/>
              </w:rPr>
              <w:t xml:space="preserve">The Budget 2013 funding has been passed on to the PHOs, which has enabled the PHOs and practices to achieve the CVD </w:t>
            </w:r>
            <w:r>
              <w:rPr>
                <w:lang w:eastAsia="en-NZ"/>
              </w:rPr>
              <w:t>h</w:t>
            </w:r>
            <w:r w:rsidRPr="00A119E8">
              <w:rPr>
                <w:lang w:eastAsia="en-NZ"/>
              </w:rPr>
              <w:t xml:space="preserve">ealth </w:t>
            </w:r>
            <w:r>
              <w:rPr>
                <w:lang w:eastAsia="en-NZ"/>
              </w:rPr>
              <w:t>t</w:t>
            </w:r>
            <w:r w:rsidRPr="00A119E8">
              <w:rPr>
                <w:lang w:eastAsia="en-NZ"/>
              </w:rPr>
              <w:t>arget and maintain the achievement.</w:t>
            </w:r>
          </w:p>
        </w:tc>
      </w:tr>
    </w:tbl>
    <w:p w:rsidR="00BA14B3" w:rsidRPr="00A119E8" w:rsidRDefault="00BA14B3" w:rsidP="005857B1"/>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3a</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Increased number of Pacific peoples who smoke are offered brief advice and support to quit smoking in primary health care</w:t>
            </w:r>
          </w:p>
        </w:tc>
      </w:tr>
    </w:tbl>
    <w:p w:rsidR="00BA14B3" w:rsidRPr="00A119E8" w:rsidRDefault="00BA14B3" w:rsidP="00D93430">
      <w:pPr>
        <w:keepNext/>
      </w:pPr>
    </w:p>
    <w:p w:rsidR="00BA14B3" w:rsidRPr="00A119E8" w:rsidRDefault="00BA14B3" w:rsidP="00D93430">
      <w:pPr>
        <w:keepNext/>
      </w:pPr>
      <w:r w:rsidRPr="005857B1">
        <w:rPr>
          <w:b/>
        </w:rPr>
        <w:t>Performance:</w:t>
      </w:r>
      <w:r w:rsidRPr="005857B1">
        <w:t xml:space="preserve"> The</w:t>
      </w:r>
      <w:r w:rsidRPr="00A119E8">
        <w:t xml:space="preserve"> target for this indicator is 90 percent.</w:t>
      </w:r>
    </w:p>
    <w:p w:rsidR="00BA14B3" w:rsidRPr="00A119E8" w:rsidRDefault="00BA14B3" w:rsidP="00D93430">
      <w:pPr>
        <w:keepNext/>
      </w:pPr>
    </w:p>
    <w:p w:rsidR="00BA14B3" w:rsidRPr="00A119E8" w:rsidRDefault="00BA14B3" w:rsidP="005857B1">
      <w:pPr>
        <w:pStyle w:val="Figure"/>
      </w:pPr>
      <w:bookmarkStart w:id="121" w:name="_Toc428368077"/>
      <w:bookmarkStart w:id="122" w:name="_Toc428370455"/>
      <w:bookmarkStart w:id="123" w:name="_Toc445801460"/>
      <w:bookmarkStart w:id="124" w:name="_Toc447527159"/>
      <w:r w:rsidRPr="00A119E8">
        <w:t xml:space="preserve">Figure </w:t>
      </w:r>
      <w:fldSimple w:instr=" SEQ Figure \* ARABIC ">
        <w:r w:rsidR="008D5FF2">
          <w:rPr>
            <w:noProof/>
          </w:rPr>
          <w:t>23</w:t>
        </w:r>
      </w:fldSimple>
      <w:r w:rsidRPr="00A119E8">
        <w:t>: Percentage of smokers offered brief advice and support to quit in primary health care, Pacific peoples population and total New Zealand population, 2013–2015</w:t>
      </w:r>
      <w:bookmarkEnd w:id="121"/>
      <w:bookmarkEnd w:id="122"/>
      <w:bookmarkEnd w:id="123"/>
      <w:bookmarkEnd w:id="124"/>
    </w:p>
    <w:p w:rsidR="00BA14B3" w:rsidRDefault="0040270A" w:rsidP="0040270A">
      <w:pPr>
        <w:keepNext/>
        <w:spacing w:after="120"/>
      </w:pPr>
      <w:r>
        <w:rPr>
          <w:noProof/>
          <w:lang w:eastAsia="en-NZ"/>
        </w:rPr>
        <w:drawing>
          <wp:inline distT="0" distB="0" distL="0" distR="0" wp14:anchorId="35041B6B" wp14:editId="799CA844">
            <wp:extent cx="4497186" cy="2744130"/>
            <wp:effectExtent l="0" t="0" r="0" b="0"/>
            <wp:docPr id="120" name="Picture 120" title="Figure 23: Percentage of smokers offered brief advice and support to quit in primary health care,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8480" cy="2744920"/>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882"/>
        <w:gridCol w:w="882"/>
        <w:gridCol w:w="882"/>
        <w:gridCol w:w="882"/>
        <w:gridCol w:w="882"/>
        <w:gridCol w:w="882"/>
        <w:gridCol w:w="882"/>
        <w:gridCol w:w="882"/>
        <w:gridCol w:w="882"/>
      </w:tblGrid>
      <w:tr w:rsidR="0040270A" w:rsidRPr="0040270A" w:rsidTr="0040270A">
        <w:trPr>
          <w:cantSplit/>
        </w:trPr>
        <w:tc>
          <w:tcPr>
            <w:tcW w:w="1418" w:type="dxa"/>
            <w:tcBorders>
              <w:top w:val="single" w:sz="4" w:space="0" w:color="auto"/>
              <w:bottom w:val="single" w:sz="4" w:space="0" w:color="auto"/>
            </w:tcBorders>
          </w:tcPr>
          <w:p w:rsidR="0040270A" w:rsidRPr="0040270A" w:rsidRDefault="0040270A" w:rsidP="00BC4823">
            <w:pPr>
              <w:pStyle w:val="TableText"/>
              <w:keepNext/>
              <w:rPr>
                <w:b/>
                <w:sz w:val="14"/>
                <w:szCs w:val="14"/>
              </w:rPr>
            </w:pP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Jun 2013</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Sep 2013</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Dec 2013</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Mar 2014</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Jun 2014</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Sep 2014</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Dec 2014</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Mar 2015</w:t>
            </w:r>
          </w:p>
        </w:tc>
        <w:tc>
          <w:tcPr>
            <w:tcW w:w="882" w:type="dxa"/>
            <w:tcBorders>
              <w:top w:val="single" w:sz="4" w:space="0" w:color="auto"/>
              <w:bottom w:val="single" w:sz="4" w:space="0" w:color="auto"/>
            </w:tcBorders>
          </w:tcPr>
          <w:p w:rsidR="0040270A" w:rsidRPr="0040270A" w:rsidRDefault="0040270A" w:rsidP="0040270A">
            <w:pPr>
              <w:pStyle w:val="TableText"/>
              <w:jc w:val="center"/>
              <w:rPr>
                <w:b/>
                <w:sz w:val="14"/>
              </w:rPr>
            </w:pPr>
            <w:r w:rsidRPr="0040270A">
              <w:rPr>
                <w:b/>
                <w:sz w:val="14"/>
              </w:rPr>
              <w:t>Sep 2015</w:t>
            </w:r>
          </w:p>
        </w:tc>
      </w:tr>
      <w:tr w:rsidR="0040270A" w:rsidRPr="006D0BC5" w:rsidTr="0040270A">
        <w:trPr>
          <w:cantSplit/>
        </w:trPr>
        <w:tc>
          <w:tcPr>
            <w:tcW w:w="1418" w:type="dxa"/>
            <w:tcBorders>
              <w:top w:val="single" w:sz="4" w:space="0" w:color="A6A6A6" w:themeColor="background1" w:themeShade="A6"/>
              <w:bottom w:val="single" w:sz="4" w:space="0" w:color="A6A6A6" w:themeColor="background1" w:themeShade="A6"/>
            </w:tcBorders>
          </w:tcPr>
          <w:p w:rsidR="0040270A" w:rsidRPr="0040270A" w:rsidRDefault="0040270A" w:rsidP="0040270A">
            <w:pPr>
              <w:pStyle w:val="TableText"/>
              <w:keepNext/>
              <w:rPr>
                <w:sz w:val="14"/>
              </w:rPr>
            </w:pPr>
            <w:r w:rsidRPr="0040270A">
              <w:rPr>
                <w:sz w:val="14"/>
              </w:rPr>
              <w:t>Pacific</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48.8%</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52.1%</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59.6%</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64.8%</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83.0%</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83.8%</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83.6%</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82.6%</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82.4%</w:t>
            </w:r>
          </w:p>
        </w:tc>
      </w:tr>
      <w:tr w:rsidR="0040270A" w:rsidRPr="006D0BC5" w:rsidTr="0040270A">
        <w:trPr>
          <w:cantSplit/>
        </w:trPr>
        <w:tc>
          <w:tcPr>
            <w:tcW w:w="1418" w:type="dxa"/>
            <w:tcBorders>
              <w:top w:val="single" w:sz="4" w:space="0" w:color="A6A6A6" w:themeColor="background1" w:themeShade="A6"/>
              <w:bottom w:val="single" w:sz="4" w:space="0" w:color="A6A6A6" w:themeColor="background1" w:themeShade="A6"/>
            </w:tcBorders>
          </w:tcPr>
          <w:p w:rsidR="0040270A" w:rsidRPr="0040270A" w:rsidRDefault="0040270A" w:rsidP="0040270A">
            <w:pPr>
              <w:pStyle w:val="TableText"/>
              <w:keepNext/>
              <w:rPr>
                <w:sz w:val="14"/>
              </w:rPr>
            </w:pPr>
            <w:r w:rsidRPr="0040270A">
              <w:rPr>
                <w:sz w:val="14"/>
              </w:rPr>
              <w:t>Total New Zealand</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56.9%</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60.5%</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66.5%</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71.6%</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85.8%</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88.4%</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88.6%</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90.2%</w:t>
            </w:r>
          </w:p>
        </w:tc>
        <w:tc>
          <w:tcPr>
            <w:tcW w:w="882" w:type="dxa"/>
            <w:tcBorders>
              <w:top w:val="single" w:sz="4" w:space="0" w:color="A6A6A6" w:themeColor="background1" w:themeShade="A6"/>
              <w:bottom w:val="single" w:sz="4" w:space="0" w:color="A6A6A6" w:themeColor="background1" w:themeShade="A6"/>
            </w:tcBorders>
          </w:tcPr>
          <w:p w:rsidR="0040270A" w:rsidRPr="0040270A" w:rsidRDefault="0040270A" w:rsidP="00BC4823">
            <w:pPr>
              <w:pStyle w:val="TableText"/>
              <w:jc w:val="center"/>
              <w:rPr>
                <w:sz w:val="14"/>
              </w:rPr>
            </w:pPr>
            <w:r w:rsidRPr="0040270A">
              <w:rPr>
                <w:sz w:val="14"/>
              </w:rPr>
              <w:t>83.2%</w:t>
            </w:r>
          </w:p>
        </w:tc>
      </w:tr>
      <w:tr w:rsidR="0040270A" w:rsidRPr="006D0BC5" w:rsidTr="0040270A">
        <w:trPr>
          <w:cantSplit/>
        </w:trPr>
        <w:tc>
          <w:tcPr>
            <w:tcW w:w="1418" w:type="dxa"/>
            <w:tcBorders>
              <w:top w:val="single" w:sz="4" w:space="0" w:color="A6A6A6" w:themeColor="background1" w:themeShade="A6"/>
              <w:bottom w:val="single" w:sz="4" w:space="0" w:color="auto"/>
            </w:tcBorders>
          </w:tcPr>
          <w:p w:rsidR="0040270A" w:rsidRPr="0040270A" w:rsidRDefault="0040270A" w:rsidP="00BC4823">
            <w:pPr>
              <w:pStyle w:val="TableText"/>
              <w:rPr>
                <w:sz w:val="14"/>
              </w:rPr>
            </w:pPr>
            <w:r w:rsidRPr="0040270A">
              <w:rPr>
                <w:sz w:val="14"/>
              </w:rPr>
              <w:t>Target</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c>
          <w:tcPr>
            <w:tcW w:w="882" w:type="dxa"/>
            <w:tcBorders>
              <w:top w:val="single" w:sz="4" w:space="0" w:color="A6A6A6" w:themeColor="background1" w:themeShade="A6"/>
              <w:bottom w:val="single" w:sz="4" w:space="0" w:color="auto"/>
            </w:tcBorders>
          </w:tcPr>
          <w:p w:rsidR="0040270A" w:rsidRPr="0040270A" w:rsidRDefault="0040270A" w:rsidP="00BC4823">
            <w:pPr>
              <w:pStyle w:val="TableText"/>
              <w:jc w:val="center"/>
              <w:rPr>
                <w:sz w:val="14"/>
              </w:rPr>
            </w:pPr>
            <w:r w:rsidRPr="0040270A">
              <w:rPr>
                <w:sz w:val="14"/>
              </w:rPr>
              <w:t>90.0%</w:t>
            </w:r>
          </w:p>
        </w:tc>
      </w:tr>
    </w:tbl>
    <w:p w:rsidR="003917C3" w:rsidRDefault="003917C3" w:rsidP="0040270A"/>
    <w:p w:rsidR="0034306E" w:rsidRDefault="00BA14B3" w:rsidP="005857B1">
      <w:r w:rsidRPr="00A119E8">
        <w:t xml:space="preserve">Figure 23 shows that since 2013 there has been an increase in the percentage of smokers offered brief advice and support to quit in primary health care. However, from June 2014, both rates have slowed. In March 2015, there was a marked decrease for the total New Zealand population compared with </w:t>
      </w:r>
      <w:r>
        <w:t xml:space="preserve">the </w:t>
      </w:r>
      <w:r w:rsidRPr="00A119E8">
        <w:t xml:space="preserve">Pacific </w:t>
      </w:r>
      <w:r>
        <w:t>population</w:t>
      </w:r>
      <w:r w:rsidRPr="00A119E8">
        <w:t>. This marked shift can be explained by the target shift in focus to the entire enrolled population of people who smoke, which means the denominator has increased.</w:t>
      </w:r>
    </w:p>
    <w:p w:rsidR="005857B1" w:rsidRDefault="005857B1" w:rsidP="005857B1"/>
    <w:p w:rsidR="00BA14B3" w:rsidRPr="00A119E8" w:rsidRDefault="00BA14B3" w:rsidP="005857B1">
      <w:pPr>
        <w:pStyle w:val="Figure"/>
      </w:pPr>
      <w:bookmarkStart w:id="125" w:name="_Toc428368078"/>
      <w:bookmarkStart w:id="126" w:name="_Toc428370456"/>
      <w:bookmarkStart w:id="127" w:name="_Toc445801461"/>
      <w:bookmarkStart w:id="128" w:name="_Toc447527160"/>
      <w:r w:rsidRPr="00A119E8">
        <w:lastRenderedPageBreak/>
        <w:t xml:space="preserve">Figure </w:t>
      </w:r>
      <w:fldSimple w:instr=" SEQ Figure \* ARABIC ">
        <w:r w:rsidR="008D5FF2">
          <w:rPr>
            <w:noProof/>
          </w:rPr>
          <w:t>24</w:t>
        </w:r>
      </w:fldSimple>
      <w:r w:rsidRPr="00A119E8">
        <w:t>: Percentage of smokers offered brief advice and support to quit in primary health care, Pacific peoples, by priority DHBs, 2013–2015</w:t>
      </w:r>
      <w:bookmarkEnd w:id="125"/>
      <w:bookmarkEnd w:id="126"/>
      <w:bookmarkEnd w:id="127"/>
      <w:bookmarkEnd w:id="128"/>
    </w:p>
    <w:p w:rsidR="00BA14B3" w:rsidRDefault="00DD38BE" w:rsidP="007968B1">
      <w:pPr>
        <w:spacing w:after="120"/>
      </w:pPr>
      <w:r>
        <w:rPr>
          <w:noProof/>
          <w:lang w:eastAsia="en-NZ"/>
        </w:rPr>
        <w:drawing>
          <wp:inline distT="0" distB="0" distL="0" distR="0" wp14:anchorId="09F03516" wp14:editId="5F31548C">
            <wp:extent cx="4497185" cy="2747229"/>
            <wp:effectExtent l="0" t="0" r="0" b="0"/>
            <wp:docPr id="122" name="Picture 122" title="Figure 24: Percentage of smokers offered brief advice and support to quit in primary health car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9292" cy="2748516"/>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882"/>
        <w:gridCol w:w="882"/>
        <w:gridCol w:w="882"/>
        <w:gridCol w:w="882"/>
        <w:gridCol w:w="882"/>
        <w:gridCol w:w="882"/>
        <w:gridCol w:w="882"/>
        <w:gridCol w:w="882"/>
        <w:gridCol w:w="882"/>
      </w:tblGrid>
      <w:tr w:rsidR="007968B1" w:rsidRPr="0040270A" w:rsidTr="00BC4823">
        <w:trPr>
          <w:cantSplit/>
        </w:trPr>
        <w:tc>
          <w:tcPr>
            <w:tcW w:w="1418" w:type="dxa"/>
            <w:tcBorders>
              <w:top w:val="single" w:sz="4" w:space="0" w:color="auto"/>
              <w:bottom w:val="single" w:sz="4" w:space="0" w:color="auto"/>
            </w:tcBorders>
          </w:tcPr>
          <w:p w:rsidR="007968B1" w:rsidRPr="0040270A" w:rsidRDefault="007968B1" w:rsidP="00BC4823">
            <w:pPr>
              <w:pStyle w:val="TableText"/>
              <w:keepNext/>
              <w:rPr>
                <w:b/>
                <w:sz w:val="14"/>
                <w:szCs w:val="14"/>
              </w:rPr>
            </w:pP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Jun 2013</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Sep 2013</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Dec 2013</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Mar 2014</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Jun 2014</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Sep 2014</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Dec 2014</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Mar 2015</w:t>
            </w:r>
          </w:p>
        </w:tc>
        <w:tc>
          <w:tcPr>
            <w:tcW w:w="882" w:type="dxa"/>
            <w:tcBorders>
              <w:top w:val="single" w:sz="4" w:space="0" w:color="auto"/>
              <w:bottom w:val="single" w:sz="4" w:space="0" w:color="auto"/>
            </w:tcBorders>
          </w:tcPr>
          <w:p w:rsidR="007968B1" w:rsidRPr="0040270A" w:rsidRDefault="007968B1" w:rsidP="00BC4823">
            <w:pPr>
              <w:pStyle w:val="TableText"/>
              <w:jc w:val="center"/>
              <w:rPr>
                <w:b/>
                <w:sz w:val="14"/>
              </w:rPr>
            </w:pPr>
            <w:r w:rsidRPr="0040270A">
              <w:rPr>
                <w:b/>
                <w:sz w:val="14"/>
              </w:rPr>
              <w:t>Sep 2015</w:t>
            </w:r>
          </w:p>
        </w:tc>
      </w:tr>
      <w:tr w:rsidR="007968B1" w:rsidRPr="0040270A" w:rsidTr="00BC4823">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Auckland</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45.3%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47.5%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55.5%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59.6%</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82.9%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82.1%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80.6%</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78.2%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83.4%</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Canterbury</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29.2%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30.7%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44.0%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60.4%</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72.8%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88.5%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76.6%</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Capital &amp; Coast</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57.1%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61.5%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68.2%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70.0%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67.5%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71.8%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76.3%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72.4%</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 xml:space="preserve">Counties </w:t>
            </w:r>
            <w:proofErr w:type="spellStart"/>
            <w:r w:rsidRPr="007968B1">
              <w:rPr>
                <w:sz w:val="14"/>
              </w:rPr>
              <w:t>Manukau</w:t>
            </w:r>
            <w:proofErr w:type="spellEnd"/>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50.7%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53.4%</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60.5%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67.0%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85.6%</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82.9%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85.8%</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Hawke's Bay</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79.0%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81.0%</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83.1%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79.4%</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95.9%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96.3%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87.1%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74.6%</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Hutt Valley</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38.5%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51.3%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53.1%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58.8%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69.8%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70.5%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82.3%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75.0%</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r w:rsidRPr="007968B1">
              <w:rPr>
                <w:sz w:val="14"/>
              </w:rPr>
              <w:t>Waikato</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49.5%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52.3%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61.7%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68.8%</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82.9%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88.1%</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90.2%</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81.3%</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rPr>
                <w:sz w:val="14"/>
              </w:rPr>
            </w:pPr>
            <w:proofErr w:type="spellStart"/>
            <w:r w:rsidRPr="007968B1">
              <w:rPr>
                <w:sz w:val="14"/>
              </w:rPr>
              <w:t>Waitemata</w:t>
            </w:r>
            <w:proofErr w:type="spellEnd"/>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40.4%</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44.5%</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54.7%</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59.3%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89.4%</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88.3%</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86.9%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85.9%</w:t>
            </w:r>
          </w:p>
        </w:tc>
        <w:tc>
          <w:tcPr>
            <w:tcW w:w="882"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84.1%</w:t>
            </w:r>
          </w:p>
        </w:tc>
      </w:tr>
      <w:tr w:rsidR="007968B1" w:rsidRPr="0040270A" w:rsidTr="007968B1">
        <w:trPr>
          <w:cantSplit/>
        </w:trPr>
        <w:tc>
          <w:tcPr>
            <w:tcW w:w="1418" w:type="dxa"/>
            <w:tcBorders>
              <w:top w:val="single" w:sz="4" w:space="0" w:color="A6A6A6" w:themeColor="background1" w:themeShade="A6"/>
              <w:bottom w:val="single" w:sz="4" w:space="0" w:color="auto"/>
            </w:tcBorders>
          </w:tcPr>
          <w:p w:rsidR="007968B1" w:rsidRPr="007968B1" w:rsidRDefault="007968B1" w:rsidP="00BC4823">
            <w:pPr>
              <w:pStyle w:val="TableText"/>
              <w:rPr>
                <w:sz w:val="14"/>
              </w:rPr>
            </w:pPr>
            <w:r w:rsidRPr="007968B1">
              <w:rPr>
                <w:sz w:val="14"/>
              </w:rPr>
              <w:t>Target</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c>
          <w:tcPr>
            <w:tcW w:w="882" w:type="dxa"/>
            <w:tcBorders>
              <w:top w:val="single" w:sz="4" w:space="0" w:color="A6A6A6" w:themeColor="background1" w:themeShade="A6"/>
              <w:bottom w:val="single" w:sz="4" w:space="0" w:color="auto"/>
            </w:tcBorders>
          </w:tcPr>
          <w:p w:rsidR="007968B1" w:rsidRPr="007968B1" w:rsidRDefault="007968B1" w:rsidP="00BC4823">
            <w:pPr>
              <w:pStyle w:val="TableText"/>
              <w:jc w:val="center"/>
              <w:rPr>
                <w:sz w:val="14"/>
              </w:rPr>
            </w:pPr>
            <w:r w:rsidRPr="007968B1">
              <w:rPr>
                <w:sz w:val="14"/>
              </w:rPr>
              <w:t>90.0%</w:t>
            </w:r>
          </w:p>
        </w:tc>
      </w:tr>
    </w:tbl>
    <w:p w:rsidR="003917C3" w:rsidRDefault="003917C3" w:rsidP="007968B1"/>
    <w:p w:rsidR="0034306E" w:rsidRDefault="00BA14B3" w:rsidP="005857B1">
      <w:r w:rsidRPr="00A119E8">
        <w:t xml:space="preserve">Figure 24 shows that Counties </w:t>
      </w:r>
      <w:proofErr w:type="spellStart"/>
      <w:r w:rsidRPr="00A119E8">
        <w:t>Manukau</w:t>
      </w:r>
      <w:proofErr w:type="spellEnd"/>
      <w:r w:rsidRPr="00543C98">
        <w:t xml:space="preserve"> DHB</w:t>
      </w:r>
      <w:r w:rsidRPr="00A119E8">
        <w:t xml:space="preserve"> and Auckland</w:t>
      </w:r>
      <w:r w:rsidRPr="00543C98">
        <w:t xml:space="preserve"> DHB</w:t>
      </w:r>
      <w:r w:rsidRPr="00A119E8">
        <w:t xml:space="preserve"> have rebounded and are heading up after the downturn in March 2015. The other six DHBs were affected by the target shift to focus on the entire enrolled population of people who smoke, which means the denominator has increased.</w:t>
      </w:r>
    </w:p>
    <w:p w:rsidR="00BA14B3" w:rsidRPr="00A119E8" w:rsidRDefault="00BA14B3" w:rsidP="005857B1"/>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3b</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Improve management of diabetes by increasing ‘more heart and diabetes checks’</w:t>
            </w:r>
          </w:p>
        </w:tc>
      </w:tr>
    </w:tbl>
    <w:p w:rsidR="00BA14B3" w:rsidRPr="00A119E8" w:rsidRDefault="00BA14B3" w:rsidP="007968B1">
      <w:pPr>
        <w:keepNext/>
      </w:pPr>
    </w:p>
    <w:p w:rsidR="00BA14B3" w:rsidRPr="00A119E8" w:rsidRDefault="00BA14B3" w:rsidP="007968B1">
      <w:pPr>
        <w:keepNext/>
      </w:pPr>
      <w:r w:rsidRPr="005857B1">
        <w:rPr>
          <w:b/>
        </w:rPr>
        <w:t>Performance:</w:t>
      </w:r>
      <w:r w:rsidRPr="005857B1">
        <w:t xml:space="preserve"> The</w:t>
      </w:r>
      <w:r w:rsidRPr="00A119E8">
        <w:t xml:space="preserve"> target for this indicator is 90 percent.</w:t>
      </w:r>
    </w:p>
    <w:p w:rsidR="00BA14B3" w:rsidRPr="00A119E8" w:rsidRDefault="00BA14B3" w:rsidP="007968B1">
      <w:pPr>
        <w:keepNext/>
      </w:pPr>
    </w:p>
    <w:p w:rsidR="00BA14B3" w:rsidRPr="00A119E8" w:rsidRDefault="00BA14B3" w:rsidP="005857B1">
      <w:pPr>
        <w:pStyle w:val="Figure"/>
      </w:pPr>
      <w:bookmarkStart w:id="129" w:name="_Toc428368079"/>
      <w:bookmarkStart w:id="130" w:name="_Toc428370457"/>
      <w:bookmarkStart w:id="131" w:name="_Toc445801462"/>
      <w:bookmarkStart w:id="132" w:name="_Toc447527161"/>
      <w:r w:rsidRPr="00A119E8">
        <w:t xml:space="preserve">Figure </w:t>
      </w:r>
      <w:fldSimple w:instr=" SEQ Figure \* ARABIC ">
        <w:r w:rsidR="008D5FF2">
          <w:rPr>
            <w:noProof/>
          </w:rPr>
          <w:t>25</w:t>
        </w:r>
      </w:fldSimple>
      <w:r w:rsidRPr="00A119E8">
        <w:t xml:space="preserve">: Percentage of eligible adults who had cardiovascular risk assessed, Pacific </w:t>
      </w:r>
      <w:proofErr w:type="gramStart"/>
      <w:r w:rsidRPr="00A119E8">
        <w:t>peoples</w:t>
      </w:r>
      <w:proofErr w:type="gramEnd"/>
      <w:r w:rsidRPr="00A119E8">
        <w:t xml:space="preserve"> population and total New Zealand population, 2013–2015</w:t>
      </w:r>
      <w:bookmarkEnd w:id="129"/>
      <w:bookmarkEnd w:id="130"/>
      <w:bookmarkEnd w:id="131"/>
      <w:bookmarkEnd w:id="132"/>
    </w:p>
    <w:p w:rsidR="00BA14B3" w:rsidRDefault="00DD38BE" w:rsidP="007968B1">
      <w:pPr>
        <w:spacing w:after="120"/>
      </w:pPr>
      <w:r>
        <w:rPr>
          <w:noProof/>
          <w:lang w:eastAsia="en-NZ"/>
        </w:rPr>
        <w:drawing>
          <wp:inline distT="0" distB="0" distL="0" distR="0" wp14:anchorId="02856A9C" wp14:editId="53579DCA">
            <wp:extent cx="4547062" cy="2777698"/>
            <wp:effectExtent l="0" t="0" r="6350" b="3810"/>
            <wp:docPr id="123" name="Picture 123" title="Figure 25: Percentage of eligible adults who had cardiovascular risk assessed,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7774" cy="2778133"/>
                    </a:xfrm>
                    <a:prstGeom prst="rect">
                      <a:avLst/>
                    </a:prstGeom>
                    <a:noFill/>
                  </pic:spPr>
                </pic:pic>
              </a:graphicData>
            </a:graphic>
          </wp:inline>
        </w:drawing>
      </w:r>
    </w:p>
    <w:tbl>
      <w:tblPr>
        <w:tblStyle w:val="TableGrid"/>
        <w:tblW w:w="934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3"/>
        <w:gridCol w:w="793"/>
        <w:gridCol w:w="793"/>
        <w:gridCol w:w="793"/>
        <w:gridCol w:w="793"/>
        <w:gridCol w:w="793"/>
        <w:gridCol w:w="793"/>
        <w:gridCol w:w="793"/>
        <w:gridCol w:w="793"/>
      </w:tblGrid>
      <w:tr w:rsidR="007968B1" w:rsidRPr="007968B1" w:rsidTr="007968B1">
        <w:trPr>
          <w:cantSplit/>
        </w:trPr>
        <w:tc>
          <w:tcPr>
            <w:tcW w:w="1418" w:type="dxa"/>
            <w:tcBorders>
              <w:top w:val="single" w:sz="4" w:space="0" w:color="auto"/>
              <w:bottom w:val="single" w:sz="4" w:space="0" w:color="auto"/>
            </w:tcBorders>
          </w:tcPr>
          <w:p w:rsidR="007968B1" w:rsidRPr="007968B1" w:rsidRDefault="007968B1" w:rsidP="007968B1">
            <w:pPr>
              <w:pStyle w:val="TableText"/>
              <w:rPr>
                <w:b/>
                <w:sz w:val="14"/>
                <w:szCs w:val="14"/>
              </w:rPr>
            </w:pP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Mar 2013</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Jun 2013</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Sep 2013</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Dec 2013</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Mar 2014</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Jun 2014</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Sep 2014</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Dec 2014</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Mar 2015</w:t>
            </w:r>
          </w:p>
        </w:tc>
        <w:tc>
          <w:tcPr>
            <w:tcW w:w="793" w:type="dxa"/>
            <w:tcBorders>
              <w:top w:val="single" w:sz="4" w:space="0" w:color="auto"/>
              <w:bottom w:val="single" w:sz="4" w:space="0" w:color="auto"/>
            </w:tcBorders>
          </w:tcPr>
          <w:p w:rsidR="007968B1" w:rsidRPr="007968B1" w:rsidRDefault="007968B1" w:rsidP="007968B1">
            <w:pPr>
              <w:pStyle w:val="TableText"/>
              <w:jc w:val="center"/>
              <w:rPr>
                <w:b/>
                <w:sz w:val="14"/>
              </w:rPr>
            </w:pPr>
            <w:r w:rsidRPr="007968B1">
              <w:rPr>
                <w:b/>
                <w:sz w:val="14"/>
              </w:rPr>
              <w:t>Sep 2015</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40270A" w:rsidRDefault="007968B1" w:rsidP="007968B1">
            <w:pPr>
              <w:pStyle w:val="TableText"/>
              <w:rPr>
                <w:sz w:val="14"/>
              </w:rPr>
            </w:pPr>
            <w:r w:rsidRPr="0040270A">
              <w:rPr>
                <w:sz w:val="14"/>
              </w:rPr>
              <w:t>Pacific</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65.3%</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74.3%</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75.5%</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78.5%</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80.7%</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86.4%</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86.7%</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87.3%</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87.9%</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89.2%</w:t>
            </w:r>
          </w:p>
        </w:tc>
      </w:tr>
      <w:tr w:rsidR="007968B1" w:rsidRPr="0040270A" w:rsidTr="007968B1">
        <w:trPr>
          <w:cantSplit/>
        </w:trPr>
        <w:tc>
          <w:tcPr>
            <w:tcW w:w="1418" w:type="dxa"/>
            <w:tcBorders>
              <w:top w:val="single" w:sz="4" w:space="0" w:color="A6A6A6" w:themeColor="background1" w:themeShade="A6"/>
              <w:bottom w:val="single" w:sz="4" w:space="0" w:color="A6A6A6" w:themeColor="background1" w:themeShade="A6"/>
            </w:tcBorders>
          </w:tcPr>
          <w:p w:rsidR="007968B1" w:rsidRPr="0040270A" w:rsidRDefault="007968B1" w:rsidP="007968B1">
            <w:pPr>
              <w:pStyle w:val="TableText"/>
              <w:rPr>
                <w:sz w:val="14"/>
              </w:rPr>
            </w:pPr>
            <w:r w:rsidRPr="0040270A">
              <w:rPr>
                <w:sz w:val="14"/>
              </w:rPr>
              <w:t>Total New Zealand</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58.8%</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67.1%</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69.1%</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73.0%</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77.6%</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83.7%</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84.9%</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86.1%</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86.9%</w:t>
            </w:r>
          </w:p>
        </w:tc>
        <w:tc>
          <w:tcPr>
            <w:tcW w:w="793" w:type="dxa"/>
            <w:tcBorders>
              <w:top w:val="single" w:sz="4" w:space="0" w:color="A6A6A6" w:themeColor="background1" w:themeShade="A6"/>
              <w:bottom w:val="single" w:sz="4" w:space="0" w:color="A6A6A6" w:themeColor="background1" w:themeShade="A6"/>
            </w:tcBorders>
          </w:tcPr>
          <w:p w:rsidR="007968B1" w:rsidRPr="007968B1" w:rsidRDefault="007968B1" w:rsidP="007968B1">
            <w:pPr>
              <w:pStyle w:val="TableText"/>
              <w:jc w:val="center"/>
              <w:rPr>
                <w:sz w:val="14"/>
              </w:rPr>
            </w:pPr>
            <w:r w:rsidRPr="007968B1">
              <w:rPr>
                <w:sz w:val="14"/>
              </w:rPr>
              <w:t>89.8%</w:t>
            </w:r>
          </w:p>
        </w:tc>
      </w:tr>
      <w:tr w:rsidR="007968B1" w:rsidRPr="0040270A" w:rsidTr="007968B1">
        <w:trPr>
          <w:cantSplit/>
        </w:trPr>
        <w:tc>
          <w:tcPr>
            <w:tcW w:w="1418" w:type="dxa"/>
            <w:tcBorders>
              <w:top w:val="single" w:sz="4" w:space="0" w:color="A6A6A6" w:themeColor="background1" w:themeShade="A6"/>
              <w:bottom w:val="single" w:sz="4" w:space="0" w:color="auto"/>
            </w:tcBorders>
          </w:tcPr>
          <w:p w:rsidR="007968B1" w:rsidRPr="0040270A" w:rsidRDefault="007968B1" w:rsidP="00BC4823">
            <w:pPr>
              <w:pStyle w:val="TableText"/>
              <w:rPr>
                <w:sz w:val="14"/>
              </w:rPr>
            </w:pPr>
            <w:r w:rsidRPr="0040270A">
              <w:rPr>
                <w:sz w:val="14"/>
              </w:rPr>
              <w:t>Target</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c>
          <w:tcPr>
            <w:tcW w:w="793" w:type="dxa"/>
            <w:tcBorders>
              <w:top w:val="single" w:sz="4" w:space="0" w:color="A6A6A6" w:themeColor="background1" w:themeShade="A6"/>
              <w:bottom w:val="single" w:sz="4" w:space="0" w:color="auto"/>
            </w:tcBorders>
          </w:tcPr>
          <w:p w:rsidR="007968B1" w:rsidRPr="007968B1" w:rsidRDefault="007968B1" w:rsidP="007968B1">
            <w:pPr>
              <w:pStyle w:val="TableText"/>
              <w:jc w:val="center"/>
              <w:rPr>
                <w:sz w:val="14"/>
              </w:rPr>
            </w:pPr>
            <w:r w:rsidRPr="007968B1">
              <w:rPr>
                <w:sz w:val="14"/>
              </w:rPr>
              <w:t>90.0%</w:t>
            </w:r>
          </w:p>
        </w:tc>
      </w:tr>
    </w:tbl>
    <w:p w:rsidR="007968B1" w:rsidRDefault="007968B1" w:rsidP="007968B1"/>
    <w:p w:rsidR="0034306E" w:rsidRDefault="00BA14B3" w:rsidP="007968B1">
      <w:r w:rsidRPr="00A119E8">
        <w:t xml:space="preserve">Figure 25 shows that both </w:t>
      </w:r>
      <w:r>
        <w:t xml:space="preserve">the </w:t>
      </w:r>
      <w:r w:rsidRPr="00A119E8">
        <w:t>Pacific</w:t>
      </w:r>
      <w:r>
        <w:t xml:space="preserve"> population </w:t>
      </w:r>
      <w:r w:rsidRPr="00A119E8">
        <w:t xml:space="preserve">and </w:t>
      </w:r>
      <w:r>
        <w:t xml:space="preserve">the </w:t>
      </w:r>
      <w:r w:rsidRPr="00A119E8">
        <w:t xml:space="preserve">total New Zealand population continue to improve. The target of 90 percent is close to being achieved for </w:t>
      </w:r>
      <w:r>
        <w:t xml:space="preserve">the </w:t>
      </w:r>
      <w:r w:rsidRPr="00A119E8">
        <w:t xml:space="preserve">Pacific </w:t>
      </w:r>
      <w:r>
        <w:t xml:space="preserve">population </w:t>
      </w:r>
      <w:r w:rsidRPr="00A119E8">
        <w:t>(89.2%) and the total New Zealand population (89.8%). The disparity between the populations is diminishing.</w:t>
      </w:r>
    </w:p>
    <w:p w:rsidR="00BA14B3" w:rsidRPr="00A119E8" w:rsidRDefault="00BA14B3" w:rsidP="005857B1"/>
    <w:p w:rsidR="00BA14B3" w:rsidRPr="00A119E8" w:rsidRDefault="00BA14B3" w:rsidP="005857B1">
      <w:pPr>
        <w:pStyle w:val="Figure"/>
      </w:pPr>
      <w:bookmarkStart w:id="133" w:name="_Toc428368080"/>
      <w:bookmarkStart w:id="134" w:name="_Toc428370458"/>
      <w:bookmarkStart w:id="135" w:name="_Toc445801463"/>
      <w:bookmarkStart w:id="136" w:name="_Toc447527162"/>
      <w:r w:rsidRPr="00A119E8">
        <w:lastRenderedPageBreak/>
        <w:t xml:space="preserve">Figure </w:t>
      </w:r>
      <w:fldSimple w:instr=" SEQ Figure \* ARABIC ">
        <w:r w:rsidR="008D5FF2">
          <w:rPr>
            <w:noProof/>
          </w:rPr>
          <w:t>26</w:t>
        </w:r>
      </w:fldSimple>
      <w:r w:rsidRPr="00A119E8">
        <w:t>: Percentage of eligible adults who had cardiovascular risk assessed, Pacific peoples, by priority DHBs, 2013–2015</w:t>
      </w:r>
      <w:bookmarkEnd w:id="133"/>
      <w:bookmarkEnd w:id="134"/>
      <w:bookmarkEnd w:id="135"/>
      <w:bookmarkEnd w:id="136"/>
    </w:p>
    <w:p w:rsidR="00BA14B3" w:rsidRDefault="00DD38BE" w:rsidP="007968B1">
      <w:pPr>
        <w:keepNext/>
        <w:spacing w:after="120"/>
      </w:pPr>
      <w:r>
        <w:rPr>
          <w:noProof/>
          <w:lang w:eastAsia="en-NZ"/>
        </w:rPr>
        <w:drawing>
          <wp:inline distT="0" distB="0" distL="0" distR="0" wp14:anchorId="634D3449" wp14:editId="23DBC690">
            <wp:extent cx="4505498" cy="2752308"/>
            <wp:effectExtent l="0" t="0" r="0" b="0"/>
            <wp:docPr id="124" name="Picture 124" title="Figure 26: Percentage of eligible adults who had cardiovascular risk assessed,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6204" cy="2752739"/>
                    </a:xfrm>
                    <a:prstGeom prst="rect">
                      <a:avLst/>
                    </a:prstGeom>
                    <a:noFill/>
                  </pic:spPr>
                </pic:pic>
              </a:graphicData>
            </a:graphic>
          </wp:inline>
        </w:drawing>
      </w:r>
    </w:p>
    <w:tbl>
      <w:tblPr>
        <w:tblStyle w:val="TableGrid"/>
        <w:tblW w:w="934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3"/>
        <w:gridCol w:w="793"/>
        <w:gridCol w:w="793"/>
        <w:gridCol w:w="793"/>
        <w:gridCol w:w="793"/>
        <w:gridCol w:w="793"/>
        <w:gridCol w:w="793"/>
        <w:gridCol w:w="793"/>
        <w:gridCol w:w="793"/>
      </w:tblGrid>
      <w:tr w:rsidR="007968B1" w:rsidRPr="007968B1" w:rsidTr="00BC4823">
        <w:trPr>
          <w:cantSplit/>
        </w:trPr>
        <w:tc>
          <w:tcPr>
            <w:tcW w:w="1418" w:type="dxa"/>
            <w:tcBorders>
              <w:top w:val="single" w:sz="4" w:space="0" w:color="auto"/>
              <w:bottom w:val="single" w:sz="4" w:space="0" w:color="auto"/>
            </w:tcBorders>
          </w:tcPr>
          <w:p w:rsidR="007968B1" w:rsidRPr="007968B1" w:rsidRDefault="007968B1" w:rsidP="00BC4823">
            <w:pPr>
              <w:pStyle w:val="TableText"/>
              <w:rPr>
                <w:b/>
                <w:sz w:val="14"/>
                <w:szCs w:val="14"/>
              </w:rPr>
            </w:pP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Mar 2013</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Jun 2013</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Sep 2013</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Dec 2013</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Mar 2014</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Jun 2014</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Sep 2014</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Dec 2014</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Mar 2015</w:t>
            </w:r>
          </w:p>
        </w:tc>
        <w:tc>
          <w:tcPr>
            <w:tcW w:w="793" w:type="dxa"/>
            <w:tcBorders>
              <w:top w:val="single" w:sz="4" w:space="0" w:color="auto"/>
              <w:bottom w:val="single" w:sz="4" w:space="0" w:color="auto"/>
            </w:tcBorders>
          </w:tcPr>
          <w:p w:rsidR="007968B1" w:rsidRPr="007968B1" w:rsidRDefault="007968B1" w:rsidP="00BC4823">
            <w:pPr>
              <w:pStyle w:val="TableText"/>
              <w:jc w:val="center"/>
              <w:rPr>
                <w:b/>
                <w:sz w:val="14"/>
              </w:rPr>
            </w:pPr>
            <w:r w:rsidRPr="007968B1">
              <w:rPr>
                <w:b/>
                <w:sz w:val="14"/>
              </w:rPr>
              <w:t>Sep 2015</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Auckland</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77.2%</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86.6%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82.3%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85.5%</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97.3%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93.7%</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94.0%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90.0%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90.3%</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Canterbury</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25.0%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28.3%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30.1%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37.0%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45.9%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54.0%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51.2%</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55.6%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71.0%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78.1%</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Capital &amp; Coast</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65.9%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72.3%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74.1%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75.9%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77.4%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80.8%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84.0%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85.0%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85.0%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87.0%</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 xml:space="preserve">Counties </w:t>
            </w:r>
            <w:proofErr w:type="spellStart"/>
            <w:r w:rsidRPr="007968B1">
              <w:rPr>
                <w:sz w:val="14"/>
              </w:rPr>
              <w:t>Manukau</w:t>
            </w:r>
            <w:proofErr w:type="spellEnd"/>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64.8%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75.9%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80.9%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82.6%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81.6%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85.4%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87.8%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88.1%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91.0%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92.2%</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Hawke's Bay</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65.6%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69.2%</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70.4%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71.0%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74.2%</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79.0%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82.4%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83.8%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86.0%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86.5%</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Hutt Valley</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51.6%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57.6%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62.6%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67.1%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73.3%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78.7%</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81.7%</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82.8%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84.0%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86.7%</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r w:rsidRPr="007968B1">
              <w:rPr>
                <w:sz w:val="14"/>
              </w:rPr>
              <w:t>Waikato</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57.3%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64.0%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66.1%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67.9%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70.6%</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79.1%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80.4%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83.1%</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85.0%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87.8%</w:t>
            </w:r>
          </w:p>
        </w:tc>
      </w:tr>
      <w:tr w:rsidR="001B4D12" w:rsidRPr="007968B1" w:rsidTr="001B4D12">
        <w:trPr>
          <w:cantSplit/>
        </w:trPr>
        <w:tc>
          <w:tcPr>
            <w:tcW w:w="1418" w:type="dxa"/>
            <w:tcBorders>
              <w:top w:val="single" w:sz="4" w:space="0" w:color="A6A6A6" w:themeColor="background1" w:themeShade="A6"/>
              <w:bottom w:val="single" w:sz="4" w:space="0" w:color="A6A6A6" w:themeColor="background1" w:themeShade="A6"/>
            </w:tcBorders>
          </w:tcPr>
          <w:p w:rsidR="001B4D12" w:rsidRPr="007968B1" w:rsidRDefault="001B4D12" w:rsidP="007968B1">
            <w:pPr>
              <w:pStyle w:val="TableText"/>
              <w:rPr>
                <w:sz w:val="14"/>
              </w:rPr>
            </w:pPr>
            <w:proofErr w:type="spellStart"/>
            <w:r w:rsidRPr="007968B1">
              <w:rPr>
                <w:sz w:val="14"/>
              </w:rPr>
              <w:t>Waitemata</w:t>
            </w:r>
            <w:proofErr w:type="spellEnd"/>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62.0%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71.9%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71.3%</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77.4%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78.9%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87.8%</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87.9%</w:t>
            </w:r>
          </w:p>
        </w:tc>
        <w:tc>
          <w:tcPr>
            <w:tcW w:w="793" w:type="dxa"/>
            <w:tcBorders>
              <w:top w:val="single" w:sz="4" w:space="0" w:color="A6A6A6" w:themeColor="background1" w:themeShade="A6"/>
              <w:bottom w:val="single" w:sz="4" w:space="0" w:color="A6A6A6" w:themeColor="background1" w:themeShade="A6"/>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88.4%</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88.0%</w:t>
            </w:r>
          </w:p>
        </w:tc>
        <w:tc>
          <w:tcPr>
            <w:tcW w:w="793"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88.5%</w:t>
            </w:r>
          </w:p>
        </w:tc>
      </w:tr>
      <w:tr w:rsidR="001B4D12" w:rsidRPr="007968B1" w:rsidTr="001B4D12">
        <w:trPr>
          <w:cantSplit/>
        </w:trPr>
        <w:tc>
          <w:tcPr>
            <w:tcW w:w="1418" w:type="dxa"/>
            <w:tcBorders>
              <w:top w:val="single" w:sz="4" w:space="0" w:color="A6A6A6" w:themeColor="background1" w:themeShade="A6"/>
              <w:bottom w:val="single" w:sz="4" w:space="0" w:color="auto"/>
            </w:tcBorders>
          </w:tcPr>
          <w:p w:rsidR="001B4D12" w:rsidRPr="007968B1" w:rsidRDefault="001B4D12" w:rsidP="007968B1">
            <w:pPr>
              <w:pStyle w:val="TableText"/>
              <w:rPr>
                <w:sz w:val="14"/>
              </w:rPr>
            </w:pPr>
            <w:r w:rsidRPr="007968B1">
              <w:rPr>
                <w:sz w:val="14"/>
              </w:rPr>
              <w:t>Target</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sz w:val="14"/>
                <w:szCs w:val="14"/>
              </w:rPr>
            </w:pPr>
            <w:r w:rsidRPr="00CD15C4">
              <w:rPr>
                <w:rFonts w:ascii="Arial" w:hAnsi="Arial" w:cs="Arial"/>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CD15C4">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CD15C4" w:rsidRDefault="001B4D12" w:rsidP="001B4D12">
            <w:pPr>
              <w:jc w:val="center"/>
              <w:rPr>
                <w:rFonts w:ascii="Arial" w:hAnsi="Arial" w:cs="Arial"/>
                <w:color w:val="000000"/>
                <w:sz w:val="14"/>
                <w:szCs w:val="14"/>
              </w:rPr>
            </w:pPr>
            <w:r w:rsidRPr="00CD15C4">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90.0%</w:t>
            </w:r>
          </w:p>
        </w:tc>
        <w:tc>
          <w:tcPr>
            <w:tcW w:w="793"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90.0%</w:t>
            </w:r>
          </w:p>
        </w:tc>
      </w:tr>
    </w:tbl>
    <w:p w:rsidR="00BA14B3" w:rsidRPr="00A119E8" w:rsidRDefault="00BA14B3" w:rsidP="007968B1"/>
    <w:p w:rsidR="0034306E" w:rsidRDefault="00BA14B3" w:rsidP="005857B1">
      <w:r w:rsidRPr="00A119E8">
        <w:t xml:space="preserve">Figure 26 shows </w:t>
      </w:r>
      <w:r>
        <w:t xml:space="preserve">that </w:t>
      </w:r>
      <w:r w:rsidRPr="00A119E8">
        <w:t xml:space="preserve">all DHBs are making positive progress and are converging around the target of 90 percent. Auckland </w:t>
      </w:r>
      <w:r>
        <w:t xml:space="preserve">DHB </w:t>
      </w:r>
      <w:r w:rsidRPr="00A119E8">
        <w:t xml:space="preserve">and Counties </w:t>
      </w:r>
      <w:proofErr w:type="spellStart"/>
      <w:r w:rsidRPr="00A119E8">
        <w:t>Manukau</w:t>
      </w:r>
      <w:proofErr w:type="spellEnd"/>
      <w:r w:rsidRPr="00A119E8">
        <w:t xml:space="preserve"> DHB have achieved the target and maintained this achieved status in the last update. Canterbury DHB is also making progress. In the June 2015 update they have progressed from about 20 percentage points away from the target to 13 percentage points away.</w:t>
      </w:r>
    </w:p>
    <w:p w:rsidR="00BA14B3" w:rsidRPr="00A119E8" w:rsidRDefault="00BA14B3" w:rsidP="005857B1"/>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lastRenderedPageBreak/>
              <w:t>Action 4</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szCs w:val="24"/>
                <w:lang w:eastAsia="en-NZ"/>
              </w:rPr>
              <w:t xml:space="preserve">DHBs will support the Pacific </w:t>
            </w:r>
            <w:proofErr w:type="spellStart"/>
            <w:r w:rsidRPr="00A119E8">
              <w:rPr>
                <w:b/>
                <w:sz w:val="24"/>
                <w:szCs w:val="24"/>
                <w:lang w:eastAsia="en-NZ"/>
              </w:rPr>
              <w:t>Whānau</w:t>
            </w:r>
            <w:proofErr w:type="spellEnd"/>
            <w:r w:rsidRPr="00A119E8">
              <w:rPr>
                <w:b/>
                <w:sz w:val="24"/>
                <w:szCs w:val="24"/>
                <w:lang w:eastAsia="en-NZ"/>
              </w:rPr>
              <w:t xml:space="preserve"> </w:t>
            </w:r>
            <w:proofErr w:type="spellStart"/>
            <w:r w:rsidRPr="00A119E8">
              <w:rPr>
                <w:b/>
                <w:sz w:val="24"/>
                <w:szCs w:val="24"/>
                <w:lang w:eastAsia="en-NZ"/>
              </w:rPr>
              <w:t>Ora</w:t>
            </w:r>
            <w:proofErr w:type="spellEnd"/>
            <w:r w:rsidRPr="00A119E8">
              <w:rPr>
                <w:b/>
                <w:sz w:val="24"/>
                <w:szCs w:val="24"/>
                <w:lang w:eastAsia="en-NZ"/>
              </w:rPr>
              <w:t xml:space="preserve"> Commissioning Agency.</w:t>
            </w:r>
          </w:p>
        </w:tc>
      </w:tr>
    </w:tbl>
    <w:p w:rsidR="00BA14B3" w:rsidRPr="00A119E8" w:rsidRDefault="00BA14B3" w:rsidP="007968B1">
      <w:pPr>
        <w:keepNext/>
      </w:pPr>
    </w:p>
    <w:p w:rsidR="00BA14B3" w:rsidRPr="00A119E8" w:rsidRDefault="00BA14B3" w:rsidP="007968B1">
      <w:pPr>
        <w:pStyle w:val="Heading3"/>
      </w:pPr>
      <w:r w:rsidRPr="00A119E8">
        <w:t>Action commentary</w:t>
      </w:r>
    </w:p>
    <w:p w:rsidR="00BA14B3" w:rsidRPr="00A119E8" w:rsidRDefault="00BA14B3" w:rsidP="007968B1">
      <w:pPr>
        <w:keepNext/>
      </w:pPr>
      <w:r w:rsidRPr="00A119E8">
        <w:t xml:space="preserve">In their 2015/2016 annual plans, all priority DHBs have committed to working with </w:t>
      </w:r>
      <w:proofErr w:type="spellStart"/>
      <w:r w:rsidRPr="00A119E8">
        <w:t>Whānau</w:t>
      </w:r>
      <w:proofErr w:type="spellEnd"/>
      <w:r w:rsidRPr="00A119E8">
        <w:t xml:space="preserve"> </w:t>
      </w:r>
      <w:proofErr w:type="spellStart"/>
      <w:r w:rsidRPr="00A119E8">
        <w:t>Ora</w:t>
      </w:r>
      <w:proofErr w:type="spellEnd"/>
      <w:r w:rsidRPr="00A119E8">
        <w:t xml:space="preserve"> commissioning agencies. The Auckland, Counties </w:t>
      </w:r>
      <w:proofErr w:type="spellStart"/>
      <w:r w:rsidRPr="00A119E8">
        <w:t>Manukau</w:t>
      </w:r>
      <w:proofErr w:type="spellEnd"/>
      <w:r w:rsidRPr="00A119E8">
        <w:t xml:space="preserve"> and </w:t>
      </w:r>
      <w:proofErr w:type="spellStart"/>
      <w:r w:rsidRPr="00A119E8">
        <w:t>Waitemata</w:t>
      </w:r>
      <w:proofErr w:type="spellEnd"/>
      <w:r w:rsidRPr="00A119E8">
        <w:t xml:space="preserve"> DHBs’ annual plans make specific reference to working with </w:t>
      </w:r>
      <w:proofErr w:type="spellStart"/>
      <w:r w:rsidRPr="00A119E8">
        <w:t>Pasifika</w:t>
      </w:r>
      <w:proofErr w:type="spellEnd"/>
      <w:r w:rsidRPr="00A119E8">
        <w:t xml:space="preserve"> Futures (the </w:t>
      </w:r>
      <w:r>
        <w:t xml:space="preserve">Pacific </w:t>
      </w:r>
      <w:proofErr w:type="spellStart"/>
      <w:r w:rsidRPr="00A119E8">
        <w:t>Whānau</w:t>
      </w:r>
      <w:proofErr w:type="spellEnd"/>
      <w:r w:rsidRPr="00A119E8">
        <w:t xml:space="preserve"> </w:t>
      </w:r>
      <w:proofErr w:type="spellStart"/>
      <w:r w:rsidRPr="00A119E8">
        <w:t>Ora</w:t>
      </w:r>
      <w:proofErr w:type="spellEnd"/>
      <w:r w:rsidRPr="00A119E8">
        <w:t xml:space="preserve"> Commissioning Agency) to ensure effective integration between </w:t>
      </w:r>
      <w:proofErr w:type="spellStart"/>
      <w:r w:rsidRPr="00A119E8">
        <w:t>Whānau</w:t>
      </w:r>
      <w:proofErr w:type="spellEnd"/>
      <w:r w:rsidRPr="00A119E8">
        <w:t xml:space="preserve"> </w:t>
      </w:r>
      <w:proofErr w:type="spellStart"/>
      <w:r w:rsidRPr="00A119E8">
        <w:t>Ora</w:t>
      </w:r>
      <w:proofErr w:type="spellEnd"/>
      <w:r w:rsidRPr="00A119E8">
        <w:t xml:space="preserve"> and DHB-funded family support services, and to quarterly meetings.</w:t>
      </w:r>
    </w:p>
    <w:p w:rsidR="00BA14B3" w:rsidRPr="00A119E8" w:rsidRDefault="00BA14B3" w:rsidP="007968B1">
      <w:pPr>
        <w:keepNext/>
      </w:pPr>
    </w:p>
    <w:p w:rsidR="00BA14B3" w:rsidRPr="00A119E8" w:rsidRDefault="00BA14B3" w:rsidP="007968B1">
      <w:pPr>
        <w:keepNext/>
      </w:pPr>
      <w:r w:rsidRPr="00A119E8">
        <w:t xml:space="preserve">The Ministry has invested in Pacific health collectives, networks and eligible Pacific health providers through the Pacific Provider Workforce Development Fund. Providers have reported that, as a result, they are better placed to deliver on their contracts with </w:t>
      </w:r>
      <w:proofErr w:type="spellStart"/>
      <w:r w:rsidRPr="00A119E8">
        <w:t>Pasifika</w:t>
      </w:r>
      <w:proofErr w:type="spellEnd"/>
      <w:r w:rsidRPr="00A119E8">
        <w:t xml:space="preserve"> Futures.</w:t>
      </w:r>
    </w:p>
    <w:p w:rsidR="00BA14B3" w:rsidRPr="00A119E8" w:rsidRDefault="00BA14B3" w:rsidP="007968B1">
      <w:pPr>
        <w:keepNext/>
      </w:pPr>
    </w:p>
    <w:p w:rsidR="00BA14B3" w:rsidRPr="00A119E8" w:rsidRDefault="00BA14B3" w:rsidP="005857B1">
      <w:r w:rsidRPr="00A119E8">
        <w:t xml:space="preserve">Currently </w:t>
      </w:r>
      <w:proofErr w:type="spellStart"/>
      <w:r w:rsidRPr="00A119E8">
        <w:t>Pasifika</w:t>
      </w:r>
      <w:proofErr w:type="spellEnd"/>
      <w:r w:rsidRPr="00A119E8">
        <w:t xml:space="preserve"> Futures mainly works directly with contracted community providers. However, the agency is looking to begin working closer with DHBs.</w:t>
      </w:r>
    </w:p>
    <w:p w:rsidR="00BA14B3" w:rsidRPr="00A119E8" w:rsidRDefault="00BA14B3" w:rsidP="005857B1"/>
    <w:p w:rsidR="00BA14B3" w:rsidRPr="00A119E8" w:rsidRDefault="00BA14B3" w:rsidP="005857B1">
      <w:r w:rsidRPr="00A119E8">
        <w:t xml:space="preserve">One of the health outcomes </w:t>
      </w:r>
      <w:proofErr w:type="spellStart"/>
      <w:r w:rsidRPr="00A119E8">
        <w:t>Pasifika</w:t>
      </w:r>
      <w:proofErr w:type="spellEnd"/>
      <w:r w:rsidRPr="00A119E8">
        <w:t xml:space="preserve"> Futures aims to achieve in the next three to five years is for ‘Pacific peoples to be physically active and make healthy eating choices’.</w:t>
      </w:r>
    </w:p>
    <w:p w:rsidR="00BA14B3" w:rsidRPr="00A119E8" w:rsidRDefault="00BA14B3" w:rsidP="005857B1"/>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spacing w:before="120" w:after="120"/>
              <w:rPr>
                <w:b/>
                <w:color w:val="FFFFFF"/>
                <w:sz w:val="20"/>
                <w:lang w:eastAsia="en-NZ"/>
              </w:rPr>
            </w:pPr>
            <w:r w:rsidRPr="00A119E8">
              <w:rPr>
                <w:b/>
                <w:color w:val="FFFFFF"/>
                <w:sz w:val="20"/>
                <w:lang w:eastAsia="en-NZ"/>
              </w:rPr>
              <w:t>Indicator 4a</w:t>
            </w:r>
          </w:p>
        </w:tc>
        <w:tc>
          <w:tcPr>
            <w:tcW w:w="7796" w:type="dxa"/>
            <w:shd w:val="clear" w:color="auto" w:fill="A6A6A6" w:themeFill="background1" w:themeFillShade="A6"/>
          </w:tcPr>
          <w:p w:rsidR="00BA14B3" w:rsidRPr="00A119E8" w:rsidRDefault="00BA14B3" w:rsidP="00F07986">
            <w:pPr>
              <w:pStyle w:val="TableText"/>
              <w:spacing w:before="120" w:after="120"/>
              <w:ind w:left="142"/>
              <w:rPr>
                <w:b/>
                <w:color w:val="FFFFFF"/>
                <w:sz w:val="20"/>
                <w:lang w:eastAsia="en-NZ"/>
              </w:rPr>
            </w:pPr>
            <w:r>
              <w:rPr>
                <w:b/>
                <w:color w:val="FFFFFF"/>
                <w:sz w:val="20"/>
                <w:lang w:eastAsia="en-NZ"/>
              </w:rPr>
              <w:t>DHB</w:t>
            </w:r>
            <w:r w:rsidRPr="00A119E8">
              <w:rPr>
                <w:b/>
                <w:color w:val="FFFFFF"/>
                <w:sz w:val="20"/>
                <w:lang w:eastAsia="en-NZ"/>
              </w:rPr>
              <w:t xml:space="preserve"> annual plans report on extent of support for the Pacific </w:t>
            </w:r>
            <w:proofErr w:type="spellStart"/>
            <w:r w:rsidRPr="00A119E8">
              <w:rPr>
                <w:b/>
                <w:color w:val="FFFFFF"/>
                <w:sz w:val="20"/>
                <w:lang w:eastAsia="en-NZ"/>
              </w:rPr>
              <w:t>Whānau</w:t>
            </w:r>
            <w:proofErr w:type="spellEnd"/>
            <w:r w:rsidRPr="00A119E8">
              <w:rPr>
                <w:b/>
                <w:color w:val="FFFFFF"/>
                <w:sz w:val="20"/>
                <w:lang w:eastAsia="en-NZ"/>
              </w:rPr>
              <w:t xml:space="preserve"> </w:t>
            </w:r>
            <w:proofErr w:type="spellStart"/>
            <w:r w:rsidRPr="00A119E8">
              <w:rPr>
                <w:b/>
                <w:color w:val="FFFFFF"/>
                <w:sz w:val="20"/>
                <w:lang w:eastAsia="en-NZ"/>
              </w:rPr>
              <w:t>Ora</w:t>
            </w:r>
            <w:proofErr w:type="spellEnd"/>
            <w:r w:rsidRPr="00A119E8">
              <w:rPr>
                <w:b/>
                <w:color w:val="FFFFFF"/>
                <w:sz w:val="20"/>
                <w:lang w:eastAsia="en-NZ"/>
              </w:rPr>
              <w:t xml:space="preserve"> Commissioning Agency</w:t>
            </w:r>
          </w:p>
        </w:tc>
      </w:tr>
    </w:tbl>
    <w:p w:rsidR="00BA14B3" w:rsidRPr="00A119E8" w:rsidRDefault="00BA14B3" w:rsidP="005857B1"/>
    <w:p w:rsidR="00BA14B3" w:rsidRPr="00A119E8" w:rsidRDefault="00BA14B3" w:rsidP="005857B1">
      <w:pPr>
        <w:pStyle w:val="Heading4"/>
      </w:pPr>
      <w:r w:rsidRPr="00A119E8">
        <w:t xml:space="preserve">Counties </w:t>
      </w:r>
      <w:proofErr w:type="spellStart"/>
      <w:r w:rsidRPr="00A119E8">
        <w:t>Manukau</w:t>
      </w:r>
      <w:proofErr w:type="spellEnd"/>
      <w:r w:rsidRPr="00A119E8">
        <w:t xml:space="preserve"> DHB</w:t>
      </w:r>
    </w:p>
    <w:p w:rsidR="00BA14B3" w:rsidRPr="00A119E8" w:rsidRDefault="00BA14B3" w:rsidP="005857B1">
      <w:r w:rsidRPr="00A119E8">
        <w:t xml:space="preserve">Counties </w:t>
      </w:r>
      <w:proofErr w:type="spellStart"/>
      <w:r w:rsidRPr="00A119E8">
        <w:t>Manukau</w:t>
      </w:r>
      <w:proofErr w:type="spellEnd"/>
      <w:r w:rsidRPr="00A119E8">
        <w:t xml:space="preserve"> DHB has embedded a </w:t>
      </w:r>
      <w:proofErr w:type="spellStart"/>
      <w:r w:rsidRPr="00A119E8">
        <w:t>Fanau</w:t>
      </w:r>
      <w:proofErr w:type="spellEnd"/>
      <w:r w:rsidRPr="00A119E8">
        <w:t xml:space="preserve"> Ola (Pacific </w:t>
      </w:r>
      <w:proofErr w:type="spellStart"/>
      <w:r w:rsidRPr="00A119E8">
        <w:t>Whānau</w:t>
      </w:r>
      <w:proofErr w:type="spellEnd"/>
      <w:r w:rsidRPr="00A119E8">
        <w:t xml:space="preserve"> </w:t>
      </w:r>
      <w:proofErr w:type="spellStart"/>
      <w:r w:rsidRPr="00A119E8">
        <w:t>Ora</w:t>
      </w:r>
      <w:proofErr w:type="spellEnd"/>
      <w:r w:rsidRPr="00A119E8">
        <w:t xml:space="preserve">) approach in its work in the hospital and through the integrated Pacific provider contracts. This is linked to Counties </w:t>
      </w:r>
      <w:proofErr w:type="spellStart"/>
      <w:r w:rsidRPr="00A119E8">
        <w:t>Manukau</w:t>
      </w:r>
      <w:proofErr w:type="spellEnd"/>
      <w:r w:rsidRPr="00A119E8">
        <w:t xml:space="preserve"> DHB’s Health Accelerating Pacific Health Gain Plan 2017. There are a number of ‘Actions’ and ‘Measures’ set</w:t>
      </w:r>
      <w:r>
        <w:t xml:space="preserve"> (Counties </w:t>
      </w:r>
      <w:proofErr w:type="spellStart"/>
      <w:r>
        <w:t>Manukau</w:t>
      </w:r>
      <w:proofErr w:type="spellEnd"/>
      <w:r>
        <w:t xml:space="preserve"> Health, Annual Plan 2015/2016)</w:t>
      </w:r>
      <w:r w:rsidRPr="00A119E8">
        <w:t>.</w:t>
      </w:r>
    </w:p>
    <w:p w:rsidR="00BA14B3" w:rsidRPr="00A119E8" w:rsidRDefault="00BA14B3" w:rsidP="005857B1"/>
    <w:p w:rsidR="00BA14B3" w:rsidRPr="00A119E8" w:rsidRDefault="00BA14B3" w:rsidP="005857B1">
      <w:pPr>
        <w:pStyle w:val="Heading4"/>
      </w:pPr>
      <w:r w:rsidRPr="00A119E8">
        <w:t>Auckland DHB</w:t>
      </w:r>
    </w:p>
    <w:p w:rsidR="00BA14B3" w:rsidRPr="00A119E8" w:rsidRDefault="00BA14B3" w:rsidP="005857B1">
      <w:pPr>
        <w:rPr>
          <w:szCs w:val="22"/>
        </w:rPr>
      </w:pPr>
      <w:r w:rsidRPr="00A119E8">
        <w:t xml:space="preserve">Auckland DHB will work with </w:t>
      </w:r>
      <w:proofErr w:type="spellStart"/>
      <w:r w:rsidRPr="00A119E8">
        <w:t>Pasifika</w:t>
      </w:r>
      <w:proofErr w:type="spellEnd"/>
      <w:r w:rsidRPr="00A119E8">
        <w:t xml:space="preserve"> Futures to ensure effective integration between </w:t>
      </w:r>
      <w:proofErr w:type="spellStart"/>
      <w:r w:rsidRPr="00A119E8">
        <w:t>Whānau</w:t>
      </w:r>
      <w:proofErr w:type="spellEnd"/>
      <w:r w:rsidRPr="00A119E8">
        <w:t xml:space="preserve"> </w:t>
      </w:r>
      <w:proofErr w:type="spellStart"/>
      <w:r w:rsidRPr="00A119E8">
        <w:t>Ora</w:t>
      </w:r>
      <w:proofErr w:type="spellEnd"/>
      <w:r w:rsidRPr="00A119E8">
        <w:t xml:space="preserve"> and Auckland DHB-funded family support services and will continue to identify outcomes for</w:t>
      </w:r>
      <w:r>
        <w:t xml:space="preserve"> Pacific</w:t>
      </w:r>
      <w:r w:rsidRPr="00A119E8">
        <w:t xml:space="preserve"> families. Auckland DHB will </w:t>
      </w:r>
      <w:r w:rsidRPr="00A119E8">
        <w:rPr>
          <w:szCs w:val="22"/>
        </w:rPr>
        <w:t xml:space="preserve">establish a </w:t>
      </w:r>
      <w:proofErr w:type="spellStart"/>
      <w:r w:rsidRPr="00A119E8">
        <w:rPr>
          <w:szCs w:val="22"/>
        </w:rPr>
        <w:t>Whānau</w:t>
      </w:r>
      <w:proofErr w:type="spellEnd"/>
      <w:r w:rsidRPr="00A119E8">
        <w:rPr>
          <w:szCs w:val="22"/>
        </w:rPr>
        <w:t xml:space="preserve"> </w:t>
      </w:r>
      <w:proofErr w:type="spellStart"/>
      <w:r w:rsidRPr="00A119E8">
        <w:rPr>
          <w:szCs w:val="22"/>
        </w:rPr>
        <w:t>Ora</w:t>
      </w:r>
      <w:proofErr w:type="spellEnd"/>
      <w:r w:rsidRPr="00A119E8">
        <w:rPr>
          <w:szCs w:val="22"/>
        </w:rPr>
        <w:t xml:space="preserve"> network in </w:t>
      </w:r>
      <w:proofErr w:type="spellStart"/>
      <w:r w:rsidRPr="00A119E8">
        <w:rPr>
          <w:szCs w:val="22"/>
        </w:rPr>
        <w:t>Tāmaki</w:t>
      </w:r>
      <w:proofErr w:type="spellEnd"/>
      <w:r w:rsidRPr="00A119E8">
        <w:rPr>
          <w:szCs w:val="22"/>
        </w:rPr>
        <w:t>. Services and programmes to improve outcomes for Māori and Pacific children, including immunisations, healthy lifestyles initiatives and PHO enrolment, have been prioritised. Auckland DHB will continue to implement the objectives described in the Pacific Health Action Plan.</w:t>
      </w:r>
    </w:p>
    <w:p w:rsidR="00BA14B3" w:rsidRPr="00A119E8" w:rsidRDefault="00BA14B3" w:rsidP="005857B1"/>
    <w:p w:rsidR="00BA14B3" w:rsidRPr="00A119E8" w:rsidRDefault="00BA14B3" w:rsidP="005857B1">
      <w:pPr>
        <w:pStyle w:val="Heading4"/>
      </w:pPr>
      <w:proofErr w:type="spellStart"/>
      <w:r w:rsidRPr="00A119E8">
        <w:t>Waitemata</w:t>
      </w:r>
      <w:proofErr w:type="spellEnd"/>
      <w:r w:rsidRPr="00A119E8">
        <w:t xml:space="preserve"> DHB</w:t>
      </w:r>
    </w:p>
    <w:p w:rsidR="00BA14B3" w:rsidRDefault="00BA14B3" w:rsidP="005857B1">
      <w:proofErr w:type="spellStart"/>
      <w:r w:rsidRPr="00A119E8">
        <w:t>Waitemata</w:t>
      </w:r>
      <w:proofErr w:type="spellEnd"/>
      <w:r w:rsidRPr="00A119E8">
        <w:t xml:space="preserve"> DHB will continue to implement the objectives described in the Pacific Health Action Plan, work with </w:t>
      </w:r>
      <w:proofErr w:type="spellStart"/>
      <w:r w:rsidRPr="00A119E8">
        <w:t>Pasifika</w:t>
      </w:r>
      <w:proofErr w:type="spellEnd"/>
      <w:r w:rsidRPr="00A119E8">
        <w:t xml:space="preserve"> Futures to ensure effective integration between </w:t>
      </w:r>
      <w:proofErr w:type="spellStart"/>
      <w:r w:rsidRPr="00A119E8">
        <w:t>Whānau</w:t>
      </w:r>
      <w:proofErr w:type="spellEnd"/>
      <w:r w:rsidRPr="00A119E8">
        <w:t xml:space="preserve"> </w:t>
      </w:r>
      <w:proofErr w:type="spellStart"/>
      <w:r w:rsidRPr="00A119E8">
        <w:t>Ora</w:t>
      </w:r>
      <w:proofErr w:type="spellEnd"/>
      <w:r w:rsidRPr="00A119E8">
        <w:t xml:space="preserve"> and </w:t>
      </w:r>
      <w:proofErr w:type="spellStart"/>
      <w:r w:rsidRPr="00A119E8">
        <w:t>Waitemata</w:t>
      </w:r>
      <w:proofErr w:type="spellEnd"/>
      <w:r w:rsidRPr="00A119E8">
        <w:t xml:space="preserve"> DHB-funded family support services, and identify outcomes for families at quarterly meetings with West </w:t>
      </w:r>
      <w:proofErr w:type="spellStart"/>
      <w:r w:rsidRPr="00A119E8">
        <w:t>Fono</w:t>
      </w:r>
      <w:proofErr w:type="spellEnd"/>
      <w:r w:rsidRPr="00A119E8">
        <w:t xml:space="preserve"> Health Trust (the Pacific </w:t>
      </w:r>
      <w:proofErr w:type="spellStart"/>
      <w:r w:rsidRPr="00A119E8">
        <w:t>Whānau</w:t>
      </w:r>
      <w:proofErr w:type="spellEnd"/>
      <w:r w:rsidRPr="00A119E8">
        <w:t xml:space="preserve"> </w:t>
      </w:r>
      <w:proofErr w:type="spellStart"/>
      <w:r w:rsidRPr="00A119E8">
        <w:t>Ora</w:t>
      </w:r>
      <w:proofErr w:type="spellEnd"/>
      <w:r w:rsidRPr="00A119E8">
        <w:t xml:space="preserve"> provider for the DHB).</w:t>
      </w:r>
    </w:p>
    <w:p w:rsidR="005857B1" w:rsidRPr="00A119E8" w:rsidRDefault="005857B1" w:rsidP="005857B1"/>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4b</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lang w:eastAsia="en-NZ"/>
              </w:rPr>
              <w:t>Decrease the number of Pacific children aged 2–14 years who are obese</w:t>
            </w:r>
          </w:p>
        </w:tc>
      </w:tr>
    </w:tbl>
    <w:p w:rsidR="00BA14B3" w:rsidRPr="00A119E8" w:rsidRDefault="00BA14B3" w:rsidP="007968B1">
      <w:pPr>
        <w:keepNext/>
      </w:pPr>
    </w:p>
    <w:p w:rsidR="00BA14B3" w:rsidRPr="00A119E8" w:rsidRDefault="00BA14B3" w:rsidP="007968B1">
      <w:pPr>
        <w:keepNext/>
      </w:pPr>
      <w:r w:rsidRPr="005857B1">
        <w:rPr>
          <w:b/>
        </w:rPr>
        <w:t>Performance:</w:t>
      </w:r>
      <w:r w:rsidR="005857B1">
        <w:rPr>
          <w:color w:val="8064A2"/>
        </w:rPr>
        <w:t xml:space="preserve"> </w:t>
      </w:r>
      <w:r w:rsidRPr="00A119E8">
        <w:t xml:space="preserve">There is no target </w:t>
      </w:r>
      <w:r>
        <w:t xml:space="preserve">set </w:t>
      </w:r>
      <w:r w:rsidRPr="00A119E8">
        <w:t>for this indicator.</w:t>
      </w:r>
    </w:p>
    <w:p w:rsidR="00BA14B3" w:rsidRPr="00A119E8" w:rsidRDefault="00BA14B3" w:rsidP="005857B1"/>
    <w:p w:rsidR="00BA14B3" w:rsidRPr="00A119E8" w:rsidRDefault="00BA14B3" w:rsidP="005857B1">
      <w:pPr>
        <w:pStyle w:val="Figure"/>
      </w:pPr>
      <w:bookmarkStart w:id="137" w:name="_Toc428368081"/>
      <w:bookmarkStart w:id="138" w:name="_Toc428370459"/>
      <w:bookmarkStart w:id="139" w:name="_Toc445801464"/>
      <w:bookmarkStart w:id="140" w:name="_Toc447527163"/>
      <w:bookmarkStart w:id="141" w:name="OLE_LINK1"/>
      <w:r w:rsidRPr="00A119E8">
        <w:t xml:space="preserve">Figure </w:t>
      </w:r>
      <w:fldSimple w:instr=" SEQ Figure \* ARABIC ">
        <w:r w:rsidR="008D5FF2">
          <w:rPr>
            <w:noProof/>
          </w:rPr>
          <w:t>27</w:t>
        </w:r>
      </w:fldSimple>
      <w:r w:rsidRPr="00A119E8">
        <w:t>: Percentage of children who are obese (BMI &gt;/= Cole cut-offs),</w:t>
      </w:r>
      <w:r w:rsidRPr="005857B1">
        <w:rPr>
          <w:rStyle w:val="FootnoteReference"/>
          <w:b w:val="0"/>
        </w:rPr>
        <w:footnoteReference w:id="4"/>
      </w:r>
      <w:r w:rsidRPr="00A119E8">
        <w:t xml:space="preserve"> Pacific peoples population and total New Zealand population, 2006–2014</w:t>
      </w:r>
      <w:bookmarkEnd w:id="137"/>
      <w:bookmarkEnd w:id="138"/>
      <w:bookmarkEnd w:id="139"/>
      <w:bookmarkEnd w:id="140"/>
      <w:bookmarkEnd w:id="141"/>
    </w:p>
    <w:p w:rsidR="00BA14B3" w:rsidRDefault="00DD38BE" w:rsidP="004F143D">
      <w:pPr>
        <w:spacing w:after="120"/>
      </w:pPr>
      <w:r>
        <w:rPr>
          <w:noProof/>
          <w:lang w:eastAsia="en-NZ"/>
        </w:rPr>
        <w:drawing>
          <wp:inline distT="0" distB="0" distL="0" distR="0" wp14:anchorId="415D4752" wp14:editId="3285F9CB">
            <wp:extent cx="4497185" cy="2744128"/>
            <wp:effectExtent l="0" t="0" r="0" b="0"/>
            <wp:docPr id="125" name="Picture 125" title="Figure 27: Percentage of children who are obese (BMI &gt;/= Cole cut-offs),  Pacific peoples population and total New Zealand population, 200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98478" cy="2744917"/>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346"/>
        <w:gridCol w:w="1347"/>
        <w:gridCol w:w="1346"/>
        <w:gridCol w:w="1347"/>
      </w:tblGrid>
      <w:tr w:rsidR="004F143D" w:rsidRPr="00D24919" w:rsidTr="00F540C4">
        <w:trPr>
          <w:cantSplit/>
        </w:trPr>
        <w:tc>
          <w:tcPr>
            <w:tcW w:w="1418" w:type="dxa"/>
            <w:tcBorders>
              <w:top w:val="single" w:sz="4" w:space="0" w:color="auto"/>
              <w:bottom w:val="single" w:sz="4" w:space="0" w:color="auto"/>
            </w:tcBorders>
          </w:tcPr>
          <w:p w:rsidR="004F143D" w:rsidRPr="00D24919" w:rsidRDefault="004F143D" w:rsidP="00BC4823">
            <w:pPr>
              <w:pStyle w:val="TableText"/>
              <w:rPr>
                <w:b/>
                <w:sz w:val="14"/>
                <w:szCs w:val="14"/>
              </w:rPr>
            </w:pPr>
          </w:p>
        </w:tc>
        <w:tc>
          <w:tcPr>
            <w:tcW w:w="1346" w:type="dxa"/>
            <w:tcBorders>
              <w:top w:val="single" w:sz="4" w:space="0" w:color="auto"/>
              <w:bottom w:val="single" w:sz="4" w:space="0" w:color="auto"/>
            </w:tcBorders>
          </w:tcPr>
          <w:p w:rsidR="004F143D" w:rsidRPr="004F143D" w:rsidRDefault="004F143D" w:rsidP="00BC4823">
            <w:pPr>
              <w:pStyle w:val="TableText"/>
              <w:jc w:val="center"/>
              <w:rPr>
                <w:b/>
                <w:sz w:val="14"/>
              </w:rPr>
            </w:pPr>
            <w:r w:rsidRPr="004F143D">
              <w:rPr>
                <w:b/>
                <w:sz w:val="14"/>
              </w:rPr>
              <w:t>2006/2007</w:t>
            </w:r>
          </w:p>
        </w:tc>
        <w:tc>
          <w:tcPr>
            <w:tcW w:w="1347" w:type="dxa"/>
            <w:tcBorders>
              <w:top w:val="single" w:sz="4" w:space="0" w:color="auto"/>
              <w:bottom w:val="single" w:sz="4" w:space="0" w:color="auto"/>
            </w:tcBorders>
          </w:tcPr>
          <w:p w:rsidR="004F143D" w:rsidRPr="004F143D" w:rsidRDefault="004F143D" w:rsidP="00BC4823">
            <w:pPr>
              <w:pStyle w:val="TableText"/>
              <w:jc w:val="center"/>
              <w:rPr>
                <w:b/>
                <w:sz w:val="14"/>
              </w:rPr>
            </w:pPr>
            <w:r w:rsidRPr="004F143D">
              <w:rPr>
                <w:b/>
                <w:sz w:val="14"/>
              </w:rPr>
              <w:t>2011/2012</w:t>
            </w:r>
          </w:p>
        </w:tc>
        <w:tc>
          <w:tcPr>
            <w:tcW w:w="1346" w:type="dxa"/>
            <w:tcBorders>
              <w:top w:val="single" w:sz="4" w:space="0" w:color="auto"/>
              <w:bottom w:val="single" w:sz="4" w:space="0" w:color="auto"/>
            </w:tcBorders>
          </w:tcPr>
          <w:p w:rsidR="004F143D" w:rsidRPr="004F143D" w:rsidRDefault="004F143D" w:rsidP="00BC4823">
            <w:pPr>
              <w:pStyle w:val="TableText"/>
              <w:jc w:val="center"/>
              <w:rPr>
                <w:b/>
                <w:sz w:val="14"/>
              </w:rPr>
            </w:pPr>
            <w:r w:rsidRPr="004F143D">
              <w:rPr>
                <w:b/>
                <w:sz w:val="14"/>
              </w:rPr>
              <w:t>2012/2013</w:t>
            </w:r>
          </w:p>
        </w:tc>
        <w:tc>
          <w:tcPr>
            <w:tcW w:w="1347" w:type="dxa"/>
            <w:tcBorders>
              <w:top w:val="single" w:sz="4" w:space="0" w:color="auto"/>
              <w:bottom w:val="single" w:sz="4" w:space="0" w:color="auto"/>
            </w:tcBorders>
          </w:tcPr>
          <w:p w:rsidR="004F143D" w:rsidRPr="004F143D" w:rsidRDefault="004F143D" w:rsidP="00BC4823">
            <w:pPr>
              <w:pStyle w:val="TableText"/>
              <w:jc w:val="center"/>
              <w:rPr>
                <w:b/>
                <w:sz w:val="14"/>
              </w:rPr>
            </w:pPr>
            <w:r w:rsidRPr="004F143D">
              <w:rPr>
                <w:b/>
                <w:sz w:val="14"/>
              </w:rPr>
              <w:t>2013/2014</w:t>
            </w:r>
          </w:p>
        </w:tc>
      </w:tr>
      <w:tr w:rsidR="001B4D12" w:rsidRPr="006D0BC5" w:rsidTr="001B4D12">
        <w:trPr>
          <w:cantSplit/>
        </w:trPr>
        <w:tc>
          <w:tcPr>
            <w:tcW w:w="1418" w:type="dxa"/>
            <w:tcBorders>
              <w:top w:val="single" w:sz="4" w:space="0" w:color="auto"/>
              <w:bottom w:val="single" w:sz="4" w:space="0" w:color="A6A6A6" w:themeColor="background1" w:themeShade="A6"/>
            </w:tcBorders>
          </w:tcPr>
          <w:p w:rsidR="001B4D12" w:rsidRPr="006D0BC5" w:rsidRDefault="001B4D12" w:rsidP="00BC4823">
            <w:pPr>
              <w:pStyle w:val="TableText"/>
              <w:rPr>
                <w:sz w:val="14"/>
              </w:rPr>
            </w:pPr>
            <w:r w:rsidRPr="006D0BC5">
              <w:rPr>
                <w:sz w:val="14"/>
              </w:rPr>
              <w:t>Pacific</w:t>
            </w:r>
          </w:p>
        </w:tc>
        <w:tc>
          <w:tcPr>
            <w:tcW w:w="1346"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18.7%</w:t>
            </w:r>
          </w:p>
        </w:tc>
        <w:tc>
          <w:tcPr>
            <w:tcW w:w="1347"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23.5%</w:t>
            </w:r>
          </w:p>
        </w:tc>
        <w:tc>
          <w:tcPr>
            <w:tcW w:w="1346"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27.1%</w:t>
            </w:r>
          </w:p>
        </w:tc>
        <w:tc>
          <w:tcPr>
            <w:tcW w:w="1347"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24.8%</w:t>
            </w:r>
          </w:p>
        </w:tc>
      </w:tr>
      <w:tr w:rsidR="001B4D12" w:rsidRPr="006D0BC5" w:rsidTr="001B4D12">
        <w:trPr>
          <w:cantSplit/>
        </w:trPr>
        <w:tc>
          <w:tcPr>
            <w:tcW w:w="1418" w:type="dxa"/>
            <w:tcBorders>
              <w:top w:val="single" w:sz="4" w:space="0" w:color="A6A6A6" w:themeColor="background1" w:themeShade="A6"/>
              <w:bottom w:val="single" w:sz="4" w:space="0" w:color="auto"/>
            </w:tcBorders>
          </w:tcPr>
          <w:p w:rsidR="001B4D12" w:rsidRPr="006D0BC5" w:rsidRDefault="001B4D12" w:rsidP="00BC4823">
            <w:pPr>
              <w:pStyle w:val="TableText"/>
              <w:rPr>
                <w:sz w:val="14"/>
              </w:rPr>
            </w:pPr>
            <w:r w:rsidRPr="006D0BC5">
              <w:rPr>
                <w:sz w:val="14"/>
              </w:rPr>
              <w:t>Total New Zealand</w:t>
            </w:r>
          </w:p>
        </w:tc>
        <w:tc>
          <w:tcPr>
            <w:tcW w:w="1346"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8.3%</w:t>
            </w:r>
          </w:p>
        </w:tc>
        <w:tc>
          <w:tcPr>
            <w:tcW w:w="1347"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10.2%</w:t>
            </w:r>
          </w:p>
        </w:tc>
        <w:tc>
          <w:tcPr>
            <w:tcW w:w="1346"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11.1%</w:t>
            </w:r>
          </w:p>
        </w:tc>
        <w:tc>
          <w:tcPr>
            <w:tcW w:w="1347"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10.8%</w:t>
            </w:r>
          </w:p>
        </w:tc>
      </w:tr>
    </w:tbl>
    <w:p w:rsidR="004F143D" w:rsidRPr="00A119E8" w:rsidRDefault="004F143D" w:rsidP="00DD38BE"/>
    <w:p w:rsidR="00BA14B3" w:rsidRPr="00A119E8" w:rsidRDefault="00BA14B3" w:rsidP="005857B1">
      <w:r w:rsidRPr="00A119E8">
        <w:t>Figure 27 shows obesity rates for children between 2006 and 2014. There was no change from the June 2015 progress report</w:t>
      </w:r>
      <w:r w:rsidRPr="00A119E8">
        <w:rPr>
          <w:color w:val="000000"/>
          <w:lang w:eastAsia="en-NZ"/>
        </w:rPr>
        <w:t>.</w:t>
      </w:r>
    </w:p>
    <w:p w:rsidR="00BA14B3" w:rsidRPr="00A119E8" w:rsidRDefault="00BA14B3" w:rsidP="005857B1"/>
    <w:p w:rsidR="00BA14B3" w:rsidRPr="00A119E8" w:rsidRDefault="00BA14B3" w:rsidP="005857B1">
      <w:pPr>
        <w:pStyle w:val="Figure"/>
        <w:rPr>
          <w:rFonts w:cs="Arial"/>
        </w:rPr>
      </w:pPr>
      <w:bookmarkStart w:id="142" w:name="_Toc428368082"/>
      <w:bookmarkStart w:id="143" w:name="_Toc428370460"/>
      <w:bookmarkStart w:id="144" w:name="_Toc445801465"/>
      <w:bookmarkStart w:id="145" w:name="_Toc447527164"/>
      <w:r w:rsidRPr="00A119E8">
        <w:lastRenderedPageBreak/>
        <w:t xml:space="preserve">Figure </w:t>
      </w:r>
      <w:fldSimple w:instr=" SEQ Figure \* ARABIC ">
        <w:r w:rsidR="008D5FF2">
          <w:rPr>
            <w:noProof/>
          </w:rPr>
          <w:t>28</w:t>
        </w:r>
      </w:fldSimple>
      <w:r w:rsidRPr="00A119E8">
        <w:t>: Percentage of children who are obese (BMI &gt;/= Cole cut-offs), Pacific peoples, by priority DHBs, 2006–201</w:t>
      </w:r>
      <w:bookmarkEnd w:id="142"/>
      <w:bookmarkEnd w:id="143"/>
      <w:bookmarkEnd w:id="144"/>
      <w:r>
        <w:t>4</w:t>
      </w:r>
      <w:bookmarkEnd w:id="145"/>
    </w:p>
    <w:p w:rsidR="00BA14B3" w:rsidRDefault="00DD38BE" w:rsidP="00F540C4">
      <w:pPr>
        <w:keepNext/>
        <w:spacing w:after="120"/>
      </w:pPr>
      <w:r>
        <w:rPr>
          <w:noProof/>
          <w:lang w:eastAsia="en-NZ"/>
        </w:rPr>
        <w:drawing>
          <wp:inline distT="0" distB="0" distL="0" distR="0" wp14:anchorId="58CCB4E4" wp14:editId="404467FE">
            <wp:extent cx="4497185" cy="2744129"/>
            <wp:effectExtent l="0" t="0" r="0" b="0"/>
            <wp:docPr id="126" name="Picture 126" title="Figure 28: Percentage of children who are obese (BMI &gt;/= Cole cut-offs), Pacific peoples, by priority DHBs, 200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97289" cy="2744192"/>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2338"/>
        <w:gridCol w:w="2339"/>
      </w:tblGrid>
      <w:tr w:rsidR="00F540C4" w:rsidRPr="00F540C4" w:rsidTr="00F540C4">
        <w:trPr>
          <w:cantSplit/>
        </w:trPr>
        <w:tc>
          <w:tcPr>
            <w:tcW w:w="2127" w:type="dxa"/>
            <w:tcBorders>
              <w:top w:val="single" w:sz="4" w:space="0" w:color="auto"/>
              <w:bottom w:val="single" w:sz="4" w:space="0" w:color="auto"/>
            </w:tcBorders>
          </w:tcPr>
          <w:p w:rsidR="00F540C4" w:rsidRPr="00F540C4" w:rsidRDefault="00F540C4" w:rsidP="00F540C4">
            <w:pPr>
              <w:pStyle w:val="TableText"/>
              <w:keepNext/>
              <w:rPr>
                <w:b/>
                <w:sz w:val="14"/>
                <w:szCs w:val="14"/>
              </w:rPr>
            </w:pPr>
          </w:p>
        </w:tc>
        <w:tc>
          <w:tcPr>
            <w:tcW w:w="2338" w:type="dxa"/>
            <w:tcBorders>
              <w:top w:val="single" w:sz="4" w:space="0" w:color="auto"/>
              <w:bottom w:val="single" w:sz="4" w:space="0" w:color="auto"/>
            </w:tcBorders>
          </w:tcPr>
          <w:p w:rsidR="00F540C4" w:rsidRPr="00F540C4" w:rsidRDefault="00F540C4" w:rsidP="00F540C4">
            <w:pPr>
              <w:pStyle w:val="TableText"/>
              <w:jc w:val="center"/>
              <w:rPr>
                <w:b/>
                <w:sz w:val="14"/>
              </w:rPr>
            </w:pPr>
            <w:r w:rsidRPr="00F540C4">
              <w:rPr>
                <w:b/>
                <w:sz w:val="14"/>
              </w:rPr>
              <w:t>2006/2007</w:t>
            </w:r>
          </w:p>
        </w:tc>
        <w:tc>
          <w:tcPr>
            <w:tcW w:w="2339" w:type="dxa"/>
            <w:tcBorders>
              <w:top w:val="single" w:sz="4" w:space="0" w:color="auto"/>
              <w:bottom w:val="single" w:sz="4" w:space="0" w:color="auto"/>
            </w:tcBorders>
          </w:tcPr>
          <w:p w:rsidR="00F540C4" w:rsidRPr="00F540C4" w:rsidRDefault="00F540C4" w:rsidP="00F540C4">
            <w:pPr>
              <w:pStyle w:val="TableText"/>
              <w:jc w:val="center"/>
              <w:rPr>
                <w:b/>
                <w:sz w:val="14"/>
              </w:rPr>
            </w:pPr>
            <w:r w:rsidRPr="00F540C4">
              <w:rPr>
                <w:b/>
                <w:sz w:val="14"/>
              </w:rPr>
              <w:t>2011-2013*</w:t>
            </w:r>
          </w:p>
        </w:tc>
      </w:tr>
      <w:tr w:rsidR="001B4D12" w:rsidRPr="004F143D" w:rsidTr="001B4D12">
        <w:trPr>
          <w:cantSplit/>
        </w:trPr>
        <w:tc>
          <w:tcPr>
            <w:tcW w:w="2127" w:type="dxa"/>
            <w:tcBorders>
              <w:top w:val="single" w:sz="4" w:space="0" w:color="auto"/>
              <w:bottom w:val="single" w:sz="4" w:space="0" w:color="A6A6A6" w:themeColor="background1" w:themeShade="A6"/>
            </w:tcBorders>
          </w:tcPr>
          <w:p w:rsidR="001B4D12" w:rsidRPr="00F540C4" w:rsidRDefault="001B4D12" w:rsidP="00BC4823">
            <w:pPr>
              <w:pStyle w:val="TableText"/>
              <w:rPr>
                <w:sz w:val="14"/>
              </w:rPr>
            </w:pPr>
            <w:r w:rsidRPr="00F540C4">
              <w:rPr>
                <w:sz w:val="14"/>
              </w:rPr>
              <w:t>Auckland</w:t>
            </w:r>
          </w:p>
        </w:tc>
        <w:tc>
          <w:tcPr>
            <w:tcW w:w="2338"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31.0%</w:t>
            </w:r>
          </w:p>
        </w:tc>
        <w:tc>
          <w:tcPr>
            <w:tcW w:w="2339" w:type="dxa"/>
            <w:tcBorders>
              <w:top w:val="single" w:sz="4" w:space="0" w:color="auto"/>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29.3%</w:t>
            </w:r>
          </w:p>
        </w:tc>
      </w:tr>
      <w:tr w:rsidR="001B4D12" w:rsidRPr="004F143D" w:rsidTr="001B4D12">
        <w:trPr>
          <w:cantSplit/>
        </w:trPr>
        <w:tc>
          <w:tcPr>
            <w:tcW w:w="2127" w:type="dxa"/>
            <w:tcBorders>
              <w:top w:val="single" w:sz="4" w:space="0" w:color="A6A6A6" w:themeColor="background1" w:themeShade="A6"/>
              <w:bottom w:val="single" w:sz="4" w:space="0" w:color="A6A6A6" w:themeColor="background1" w:themeShade="A6"/>
            </w:tcBorders>
          </w:tcPr>
          <w:p w:rsidR="001B4D12" w:rsidRPr="00F540C4" w:rsidRDefault="001B4D12" w:rsidP="00BC4823">
            <w:pPr>
              <w:pStyle w:val="TableText"/>
              <w:rPr>
                <w:sz w:val="14"/>
              </w:rPr>
            </w:pPr>
            <w:r w:rsidRPr="00F540C4">
              <w:rPr>
                <w:sz w:val="14"/>
              </w:rPr>
              <w:t>Capital &amp; Coast</w:t>
            </w:r>
          </w:p>
        </w:tc>
        <w:tc>
          <w:tcPr>
            <w:tcW w:w="2338"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11.4%</w:t>
            </w:r>
          </w:p>
        </w:tc>
        <w:tc>
          <w:tcPr>
            <w:tcW w:w="2339"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31.1%</w:t>
            </w:r>
          </w:p>
        </w:tc>
      </w:tr>
      <w:tr w:rsidR="001B4D12" w:rsidRPr="004F143D" w:rsidTr="001B4D12">
        <w:trPr>
          <w:cantSplit/>
        </w:trPr>
        <w:tc>
          <w:tcPr>
            <w:tcW w:w="2127" w:type="dxa"/>
            <w:tcBorders>
              <w:top w:val="single" w:sz="4" w:space="0" w:color="A6A6A6" w:themeColor="background1" w:themeShade="A6"/>
              <w:bottom w:val="single" w:sz="4" w:space="0" w:color="A6A6A6" w:themeColor="background1" w:themeShade="A6"/>
            </w:tcBorders>
          </w:tcPr>
          <w:p w:rsidR="001B4D12" w:rsidRPr="00F540C4" w:rsidRDefault="001B4D12" w:rsidP="00BC4823">
            <w:pPr>
              <w:pStyle w:val="TableText"/>
              <w:rPr>
                <w:sz w:val="14"/>
              </w:rPr>
            </w:pPr>
            <w:r w:rsidRPr="00F540C4">
              <w:rPr>
                <w:sz w:val="14"/>
              </w:rPr>
              <w:t xml:space="preserve">Counties </w:t>
            </w:r>
            <w:proofErr w:type="spellStart"/>
            <w:r w:rsidRPr="00F540C4">
              <w:rPr>
                <w:sz w:val="14"/>
              </w:rPr>
              <w:t>Manukau</w:t>
            </w:r>
            <w:proofErr w:type="spellEnd"/>
          </w:p>
        </w:tc>
        <w:tc>
          <w:tcPr>
            <w:tcW w:w="2338"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23.0%</w:t>
            </w:r>
          </w:p>
        </w:tc>
        <w:tc>
          <w:tcPr>
            <w:tcW w:w="2339"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28.3%</w:t>
            </w:r>
          </w:p>
        </w:tc>
      </w:tr>
      <w:tr w:rsidR="001B4D12" w:rsidRPr="004F143D" w:rsidTr="001B4D12">
        <w:trPr>
          <w:cantSplit/>
        </w:trPr>
        <w:tc>
          <w:tcPr>
            <w:tcW w:w="2127" w:type="dxa"/>
            <w:tcBorders>
              <w:top w:val="single" w:sz="4" w:space="0" w:color="A6A6A6" w:themeColor="background1" w:themeShade="A6"/>
              <w:bottom w:val="single" w:sz="4" w:space="0" w:color="A6A6A6" w:themeColor="background1" w:themeShade="A6"/>
            </w:tcBorders>
          </w:tcPr>
          <w:p w:rsidR="001B4D12" w:rsidRPr="00F540C4" w:rsidRDefault="001B4D12" w:rsidP="00BC4823">
            <w:pPr>
              <w:pStyle w:val="TableText"/>
              <w:rPr>
                <w:sz w:val="14"/>
              </w:rPr>
            </w:pPr>
            <w:r w:rsidRPr="00F540C4">
              <w:rPr>
                <w:sz w:val="14"/>
              </w:rPr>
              <w:t>Waikato</w:t>
            </w:r>
          </w:p>
        </w:tc>
        <w:tc>
          <w:tcPr>
            <w:tcW w:w="2338"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20.6%</w:t>
            </w:r>
          </w:p>
        </w:tc>
        <w:tc>
          <w:tcPr>
            <w:tcW w:w="2339"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20.5%</w:t>
            </w:r>
          </w:p>
        </w:tc>
      </w:tr>
      <w:tr w:rsidR="001B4D12" w:rsidRPr="004F143D" w:rsidTr="001B4D12">
        <w:trPr>
          <w:cantSplit/>
        </w:trPr>
        <w:tc>
          <w:tcPr>
            <w:tcW w:w="2127" w:type="dxa"/>
            <w:tcBorders>
              <w:top w:val="single" w:sz="4" w:space="0" w:color="A6A6A6" w:themeColor="background1" w:themeShade="A6"/>
              <w:bottom w:val="single" w:sz="4" w:space="0" w:color="A6A6A6" w:themeColor="background1" w:themeShade="A6"/>
            </w:tcBorders>
          </w:tcPr>
          <w:p w:rsidR="001B4D12" w:rsidRPr="00F540C4" w:rsidRDefault="001B4D12" w:rsidP="00BC4823">
            <w:pPr>
              <w:pStyle w:val="TableText"/>
              <w:rPr>
                <w:sz w:val="14"/>
              </w:rPr>
            </w:pPr>
            <w:proofErr w:type="spellStart"/>
            <w:r w:rsidRPr="00F540C4">
              <w:rPr>
                <w:sz w:val="14"/>
              </w:rPr>
              <w:t>Waitemata</w:t>
            </w:r>
            <w:proofErr w:type="spellEnd"/>
          </w:p>
        </w:tc>
        <w:tc>
          <w:tcPr>
            <w:tcW w:w="2338"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17.2%</w:t>
            </w:r>
          </w:p>
        </w:tc>
        <w:tc>
          <w:tcPr>
            <w:tcW w:w="2339" w:type="dxa"/>
            <w:tcBorders>
              <w:top w:val="single" w:sz="4" w:space="0" w:color="A6A6A6" w:themeColor="background1" w:themeShade="A6"/>
              <w:bottom w:val="single" w:sz="4" w:space="0" w:color="A6A6A6" w:themeColor="background1" w:themeShade="A6"/>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19.0%</w:t>
            </w:r>
          </w:p>
        </w:tc>
      </w:tr>
      <w:tr w:rsidR="001B4D12" w:rsidRPr="004F143D" w:rsidTr="001B4D12">
        <w:trPr>
          <w:cantSplit/>
        </w:trPr>
        <w:tc>
          <w:tcPr>
            <w:tcW w:w="2127" w:type="dxa"/>
            <w:tcBorders>
              <w:top w:val="single" w:sz="4" w:space="0" w:color="A6A6A6" w:themeColor="background1" w:themeShade="A6"/>
              <w:bottom w:val="single" w:sz="4" w:space="0" w:color="auto"/>
            </w:tcBorders>
          </w:tcPr>
          <w:p w:rsidR="001B4D12" w:rsidRPr="00F540C4" w:rsidRDefault="001B4D12" w:rsidP="00BC4823">
            <w:pPr>
              <w:pStyle w:val="TableText"/>
              <w:rPr>
                <w:sz w:val="14"/>
              </w:rPr>
            </w:pPr>
            <w:r w:rsidRPr="00F540C4">
              <w:rPr>
                <w:sz w:val="14"/>
              </w:rPr>
              <w:t>Total New Zealand</w:t>
            </w:r>
          </w:p>
        </w:tc>
        <w:tc>
          <w:tcPr>
            <w:tcW w:w="2338"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8.3%</w:t>
            </w:r>
          </w:p>
        </w:tc>
        <w:tc>
          <w:tcPr>
            <w:tcW w:w="2339" w:type="dxa"/>
            <w:tcBorders>
              <w:top w:val="single" w:sz="4" w:space="0" w:color="A6A6A6" w:themeColor="background1" w:themeShade="A6"/>
              <w:bottom w:val="single" w:sz="4" w:space="0" w:color="auto"/>
            </w:tcBorders>
            <w:vAlign w:val="center"/>
          </w:tcPr>
          <w:p w:rsidR="001B4D12" w:rsidRPr="001B4D12" w:rsidRDefault="001B4D12" w:rsidP="001B4D12">
            <w:pPr>
              <w:jc w:val="center"/>
              <w:rPr>
                <w:rFonts w:ascii="Arial" w:hAnsi="Arial" w:cs="Arial"/>
                <w:color w:val="000000"/>
                <w:sz w:val="14"/>
                <w:szCs w:val="14"/>
              </w:rPr>
            </w:pPr>
            <w:r w:rsidRPr="001B4D12">
              <w:rPr>
                <w:rFonts w:ascii="Arial" w:hAnsi="Arial" w:cs="Arial"/>
                <w:color w:val="000000"/>
                <w:sz w:val="14"/>
                <w:szCs w:val="14"/>
              </w:rPr>
              <w:t>10.4%</w:t>
            </w:r>
          </w:p>
        </w:tc>
      </w:tr>
    </w:tbl>
    <w:p w:rsidR="00BA14B3" w:rsidRPr="00F540C4" w:rsidRDefault="00BA14B3" w:rsidP="00F540C4">
      <w:pPr>
        <w:pStyle w:val="Note"/>
      </w:pPr>
      <w:r w:rsidRPr="00BD00EA">
        <w:t>*</w:t>
      </w:r>
      <w:r w:rsidR="005857B1">
        <w:tab/>
      </w:r>
      <w:r w:rsidRPr="00BD00EA">
        <w:t>This is data pooled from three consecutive surveys 2011/2012, 2012/2013 and 2013/2014.</w:t>
      </w:r>
    </w:p>
    <w:p w:rsidR="003917C3" w:rsidRDefault="003917C3" w:rsidP="00F540C4"/>
    <w:p w:rsidR="00BA14B3" w:rsidRPr="00A119E8" w:rsidRDefault="00BA14B3" w:rsidP="005857B1">
      <w:pPr>
        <w:rPr>
          <w:highlight w:val="yellow"/>
        </w:rPr>
      </w:pPr>
      <w:r w:rsidRPr="00866035">
        <w:rPr>
          <w:b/>
        </w:rPr>
        <w:t>Note:</w:t>
      </w:r>
      <w:r w:rsidRPr="00A119E8">
        <w:t xml:space="preserve"> The la</w:t>
      </w:r>
      <w:r>
        <w:t xml:space="preserve">test data for this indicator </w:t>
      </w:r>
      <w:r w:rsidRPr="00A119E8">
        <w:t xml:space="preserve">from </w:t>
      </w:r>
      <w:r>
        <w:t xml:space="preserve">the </w:t>
      </w:r>
      <w:r w:rsidRPr="00A119E8">
        <w:t>2014</w:t>
      </w:r>
      <w:r>
        <w:t>/2015 was not available in time for this report</w:t>
      </w:r>
      <w:r w:rsidRPr="00A119E8">
        <w:t>.</w:t>
      </w:r>
      <w:r w:rsidRPr="00A119E8">
        <w:rPr>
          <w:b/>
        </w:rPr>
        <w:t xml:space="preserve"> </w:t>
      </w:r>
      <w:r w:rsidRPr="00A119E8">
        <w:t>There is no set national target.</w:t>
      </w:r>
    </w:p>
    <w:p w:rsidR="00BA14B3" w:rsidRDefault="00BA14B3" w:rsidP="005857B1"/>
    <w:p w:rsidR="0034306E" w:rsidRDefault="00BA14B3" w:rsidP="005857B1">
      <w:pPr>
        <w:rPr>
          <w:color w:val="000000"/>
          <w:lang w:eastAsia="en-NZ"/>
        </w:rPr>
      </w:pPr>
      <w:r w:rsidRPr="00A119E8">
        <w:t>Figure 28 shows obesity rates for Pacific children by priority DHBs. There was no change from the June 2015 progress report</w:t>
      </w:r>
      <w:r w:rsidRPr="00A119E8">
        <w:rPr>
          <w:color w:val="000000"/>
          <w:lang w:eastAsia="en-NZ"/>
        </w:rPr>
        <w:t>.</w:t>
      </w:r>
    </w:p>
    <w:p w:rsidR="00BA14B3" w:rsidRPr="00A119E8" w:rsidRDefault="00BA14B3" w:rsidP="005857B1"/>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lastRenderedPageBreak/>
              <w:t>Action 5</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rPr>
              <w:t>DHBs, PHOs and other providers will maximise coverage and participation of Pacific peoples in the national screening programmes.</w:t>
            </w:r>
          </w:p>
        </w:tc>
      </w:tr>
    </w:tbl>
    <w:p w:rsidR="00BA14B3" w:rsidRPr="00A119E8" w:rsidRDefault="00BA14B3" w:rsidP="00483AAD">
      <w:pPr>
        <w:keepNext/>
      </w:pPr>
    </w:p>
    <w:p w:rsidR="00BA14B3" w:rsidRPr="00A119E8" w:rsidRDefault="00BA14B3" w:rsidP="005857B1">
      <w:pPr>
        <w:pStyle w:val="Heading3"/>
      </w:pPr>
      <w:r w:rsidRPr="00A119E8">
        <w:t>Action commentary</w:t>
      </w:r>
    </w:p>
    <w:p w:rsidR="0034306E" w:rsidRDefault="00BA14B3" w:rsidP="00483AAD">
      <w:pPr>
        <w:keepLines/>
      </w:pPr>
      <w:r w:rsidRPr="00A119E8">
        <w:t>The Report of the Parliamentary Review Committee regarding the New Zealand Cervical Screening Programme June 2015 was released online in July 2015 (Tan et al 2015). Age</w:t>
      </w:r>
      <w:r w:rsidR="005857B1">
        <w:noBreakHyphen/>
      </w:r>
      <w:r w:rsidRPr="00A119E8">
        <w:t>standardised cervical cancer incidence rates have been decreasing since they peaked in 2009 at about 15 new cases to about 8 cases per 100,000 in 2012. For all women in New Zealand, the incidence rate was about 6 per 100,000 compared with about 8 per 100,000 for Pacific</w:t>
      </w:r>
      <w:r>
        <w:t xml:space="preserve"> women</w:t>
      </w:r>
      <w:r w:rsidRPr="00A119E8">
        <w:t>. Between 1998 and 2010 cervical cancer mortality has declined from 3.2 to 1.7 per 100,000 for women of all ethnicities, but not so for Pacific women. The age-standardised cervical cancer mortality rate for Pacific women is the highest in New Zealand at 9 deaths per 100,000. Pacific women are least likely to have follow-up after a high-grade cytology report compared with all women in New Zealand. After three months, 1 in 4 (24.4%) Pacific women are not followed up compared with 1 in 10 (10.0%) for the total population. After six months, 1 in 6 (16.3%) Pacific women are not followed up compared with 1 in 20 (6.7%) for total population.</w:t>
      </w:r>
    </w:p>
    <w:p w:rsidR="00BA14B3" w:rsidRPr="00A119E8" w:rsidRDefault="00BA14B3" w:rsidP="005857B1"/>
    <w:p w:rsidR="00BA14B3" w:rsidRPr="00A119E8" w:rsidRDefault="00BA14B3" w:rsidP="005857B1">
      <w:r w:rsidRPr="00A119E8">
        <w:t>Some of the recommendations to improve equity in this report are listed below.</w:t>
      </w:r>
    </w:p>
    <w:p w:rsidR="00BA14B3" w:rsidRPr="00A119E8" w:rsidRDefault="00BA14B3" w:rsidP="005857B1"/>
    <w:p w:rsidR="00BA14B3" w:rsidRPr="00A119E8" w:rsidRDefault="00BA14B3" w:rsidP="005857B1">
      <w:pPr>
        <w:pStyle w:val="Heading4"/>
      </w:pPr>
      <w:r w:rsidRPr="00A119E8">
        <w:t>Coverage, participation, equity and access</w:t>
      </w:r>
    </w:p>
    <w:p w:rsidR="0034306E" w:rsidRDefault="00BA14B3" w:rsidP="005857B1">
      <w:r>
        <w:t>C</w:t>
      </w:r>
      <w:r w:rsidRPr="00A119E8">
        <w:t xml:space="preserve">lear strategies </w:t>
      </w:r>
      <w:r>
        <w:t xml:space="preserve">are needed </w:t>
      </w:r>
      <w:r w:rsidRPr="00A119E8">
        <w:t>to ensure that access to free smears is appropriately targeted to the women in highest need. To improve coverage for high-priority women, the cost of smears must not be a barrier. Cultural competency is vitally important and ongoing education is needed to ensure that smear takers are attuned to cultural sensitivities. The National Screening Unit has undertaken an open tender for future purchasing of outreach services to support Pacific women’s participation in the screening programme.</w:t>
      </w:r>
    </w:p>
    <w:p w:rsidR="00BA14B3" w:rsidRPr="00A119E8" w:rsidRDefault="00BA14B3" w:rsidP="005857B1"/>
    <w:p w:rsidR="00BA14B3" w:rsidRPr="00A119E8" w:rsidRDefault="00BA14B3" w:rsidP="005857B1">
      <w:pPr>
        <w:pStyle w:val="Heading4"/>
      </w:pPr>
      <w:r w:rsidRPr="00A119E8">
        <w:t>Monitoring and evaluation</w:t>
      </w:r>
    </w:p>
    <w:p w:rsidR="00BA14B3" w:rsidRPr="00A119E8" w:rsidRDefault="00BA14B3" w:rsidP="005857B1">
      <w:r w:rsidRPr="00A119E8">
        <w:t xml:space="preserve">The proportion of women who did not have a follow-up test reported within 90 days after a high-grade cytological abnormality varied significantly across DHBs and by ethnicity. The National Screening </w:t>
      </w:r>
      <w:r>
        <w:t xml:space="preserve">Unit </w:t>
      </w:r>
      <w:r w:rsidRPr="00A119E8">
        <w:t>is investigating the barriers to attendances that are preventing timely investigations and treatment, and will develop strategies to improve outcomes for these women.</w:t>
      </w:r>
    </w:p>
    <w:p w:rsidR="00BA14B3" w:rsidRPr="00A119E8" w:rsidRDefault="00BA14B3" w:rsidP="005857B1"/>
    <w:p w:rsidR="00BA14B3" w:rsidRPr="00A119E8" w:rsidRDefault="00BA14B3" w:rsidP="005857B1">
      <w:pPr>
        <w:pStyle w:val="Heading4"/>
      </w:pPr>
      <w:r w:rsidRPr="00A119E8">
        <w:t>Organisational and structural issues</w:t>
      </w:r>
    </w:p>
    <w:p w:rsidR="00BA14B3" w:rsidRPr="00A119E8" w:rsidRDefault="00BA14B3" w:rsidP="005857B1">
      <w:r w:rsidRPr="00A119E8">
        <w:t>The NCSP must address the variable achievement of the target rate of 80 percent for Māori, Pacific and Asian women by producing Action Plans for each of the priority groups that can demonstrate progressive reduction in disparities for each of these groups.</w:t>
      </w:r>
    </w:p>
    <w:p w:rsidR="00BA14B3" w:rsidRPr="00A119E8" w:rsidRDefault="00BA14B3" w:rsidP="005857B1"/>
    <w:p w:rsidR="00BA14B3" w:rsidRPr="00A119E8" w:rsidRDefault="00BA14B3" w:rsidP="005857B1">
      <w:pPr>
        <w:pStyle w:val="Heading4"/>
      </w:pPr>
      <w:r w:rsidRPr="00A119E8">
        <w:t>Ethnicity data</w:t>
      </w:r>
    </w:p>
    <w:p w:rsidR="00BA14B3" w:rsidRPr="00A119E8" w:rsidRDefault="00BA14B3" w:rsidP="00483AAD">
      <w:pPr>
        <w:spacing w:after="240"/>
      </w:pPr>
      <w:r w:rsidRPr="00A119E8">
        <w:t>The National Screening Unit, NCSP portfolio managers and DHB managers need to collaborate with independent service providers and PHOs (general practices) regarding data sharing between the agencies to identify unscreened women in the regions. The NCSP should ensure that DHBs provide Action Plans for each of the priority groups. In particular, DHBs should develop an annual Pacific Action Plan and an annual Asian Action Plan to address inequities and disparities in cervical screening for each of these priority groups. The NCSP is encouraging PHOs to proactively refer women to independent service providers where women are overdue for screening and have not responded to general practice recalls for screening.</w:t>
      </w:r>
    </w:p>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5857B1">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5</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rPr>
              <w:t>Increase percentage of enrolled Pacific women aged 25–69 years old to receive a cervical smear in the past three years to at least equal to the rate of the total population</w:t>
            </w:r>
          </w:p>
        </w:tc>
      </w:tr>
    </w:tbl>
    <w:p w:rsidR="00BA14B3" w:rsidRPr="00A119E8" w:rsidRDefault="00BA14B3" w:rsidP="005857B1"/>
    <w:p w:rsidR="00BA14B3" w:rsidRPr="00A119E8" w:rsidRDefault="00BA14B3" w:rsidP="005857B1">
      <w:r w:rsidRPr="005857B1">
        <w:rPr>
          <w:b/>
        </w:rPr>
        <w:t>Performance:</w:t>
      </w:r>
      <w:r w:rsidRPr="005857B1">
        <w:t xml:space="preserve"> The</w:t>
      </w:r>
      <w:r w:rsidRPr="00A119E8">
        <w:t xml:space="preserve"> target for this indicator is 80 percent.</w:t>
      </w:r>
    </w:p>
    <w:p w:rsidR="00BA14B3" w:rsidRPr="00A119E8" w:rsidRDefault="00BA14B3" w:rsidP="005857B1"/>
    <w:p w:rsidR="00BA14B3" w:rsidRPr="00A119E8" w:rsidRDefault="00BA14B3" w:rsidP="005857B1">
      <w:pPr>
        <w:pStyle w:val="Figure"/>
      </w:pPr>
      <w:bookmarkStart w:id="146" w:name="_Toc428368083"/>
      <w:bookmarkStart w:id="147" w:name="_Toc428370461"/>
      <w:bookmarkStart w:id="148" w:name="_Toc445801466"/>
      <w:bookmarkStart w:id="149" w:name="_Toc447527165"/>
      <w:r w:rsidRPr="00A119E8">
        <w:t xml:space="preserve">Figure </w:t>
      </w:r>
      <w:fldSimple w:instr=" SEQ Figure \* ARABIC ">
        <w:r w:rsidR="008D5FF2">
          <w:rPr>
            <w:noProof/>
          </w:rPr>
          <w:t>29</w:t>
        </w:r>
      </w:fldSimple>
      <w:r w:rsidRPr="00A119E8">
        <w:t xml:space="preserve">: Percentage of enrolled women aged 25–69 years who received a cervical smear in the past three years, Pacific </w:t>
      </w:r>
      <w:proofErr w:type="gramStart"/>
      <w:r w:rsidRPr="00A119E8">
        <w:t>peoples</w:t>
      </w:r>
      <w:proofErr w:type="gramEnd"/>
      <w:r w:rsidRPr="00A119E8">
        <w:t xml:space="preserve"> population and total New Zealand population, 2013–2015</w:t>
      </w:r>
      <w:bookmarkEnd w:id="146"/>
      <w:bookmarkEnd w:id="147"/>
      <w:bookmarkEnd w:id="148"/>
      <w:bookmarkEnd w:id="149"/>
    </w:p>
    <w:p w:rsidR="00BA14B3" w:rsidRDefault="00DD38BE" w:rsidP="00023B19">
      <w:pPr>
        <w:spacing w:after="120"/>
        <w:rPr>
          <w:highlight w:val="yellow"/>
        </w:rPr>
      </w:pPr>
      <w:r>
        <w:rPr>
          <w:noProof/>
          <w:lang w:eastAsia="en-NZ"/>
        </w:rPr>
        <w:drawing>
          <wp:inline distT="0" distB="0" distL="0" distR="0" wp14:anchorId="1B565AF6" wp14:editId="5AEC411E">
            <wp:extent cx="4497186" cy="2747230"/>
            <wp:effectExtent l="0" t="0" r="0" b="0"/>
            <wp:docPr id="127" name="Picture 127" title="Figure 29: Percentage of enrolled women aged 25–69 years who received a cervical smear in the past three years,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07062" cy="2753263"/>
                    </a:xfrm>
                    <a:prstGeom prst="rect">
                      <a:avLst/>
                    </a:prstGeom>
                    <a:noFill/>
                  </pic:spPr>
                </pic:pic>
              </a:graphicData>
            </a:graphic>
          </wp:inline>
        </w:drawing>
      </w:r>
    </w:p>
    <w:tbl>
      <w:tblPr>
        <w:tblStyle w:val="TableGrid"/>
        <w:tblW w:w="934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3"/>
        <w:gridCol w:w="793"/>
        <w:gridCol w:w="793"/>
        <w:gridCol w:w="793"/>
        <w:gridCol w:w="793"/>
        <w:gridCol w:w="793"/>
        <w:gridCol w:w="793"/>
        <w:gridCol w:w="793"/>
        <w:gridCol w:w="793"/>
      </w:tblGrid>
      <w:tr w:rsidR="00023B19" w:rsidRPr="007968B1" w:rsidTr="00BC4823">
        <w:trPr>
          <w:cantSplit/>
        </w:trPr>
        <w:tc>
          <w:tcPr>
            <w:tcW w:w="1418" w:type="dxa"/>
            <w:tcBorders>
              <w:top w:val="single" w:sz="4" w:space="0" w:color="auto"/>
              <w:bottom w:val="single" w:sz="4" w:space="0" w:color="auto"/>
            </w:tcBorders>
          </w:tcPr>
          <w:p w:rsidR="00023B19" w:rsidRPr="007968B1" w:rsidRDefault="00023B19" w:rsidP="00BC4823">
            <w:pPr>
              <w:pStyle w:val="TableText"/>
              <w:rPr>
                <w:b/>
                <w:sz w:val="14"/>
                <w:szCs w:val="14"/>
              </w:rPr>
            </w:pP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Jun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Dec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Jun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Dec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2015</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2015</w:t>
            </w:r>
          </w:p>
        </w:tc>
      </w:tr>
      <w:tr w:rsidR="00023B19" w:rsidRPr="007968B1" w:rsidTr="00BC4823">
        <w:trPr>
          <w:cantSplit/>
        </w:trPr>
        <w:tc>
          <w:tcPr>
            <w:tcW w:w="1418" w:type="dxa"/>
            <w:tcBorders>
              <w:top w:val="single" w:sz="4" w:space="0" w:color="A6A6A6" w:themeColor="background1" w:themeShade="A6"/>
              <w:bottom w:val="single" w:sz="4" w:space="0" w:color="A6A6A6" w:themeColor="background1" w:themeShade="A6"/>
            </w:tcBorders>
          </w:tcPr>
          <w:p w:rsidR="00023B19" w:rsidRPr="00023B19" w:rsidRDefault="00023B19" w:rsidP="00BC4823">
            <w:pPr>
              <w:pStyle w:val="TableText"/>
              <w:rPr>
                <w:sz w:val="14"/>
              </w:rPr>
            </w:pPr>
            <w:r w:rsidRPr="00023B19">
              <w:rPr>
                <w:sz w:val="14"/>
              </w:rPr>
              <w:t>Pacific</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63.1%</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63.2%</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63.6%</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63.0%</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67.7%</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68.0%</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67.6%</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67.8%</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68.2%</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73.9%</w:t>
            </w:r>
          </w:p>
        </w:tc>
      </w:tr>
      <w:tr w:rsidR="00023B19" w:rsidRPr="007968B1" w:rsidTr="00BC4823">
        <w:trPr>
          <w:cantSplit/>
        </w:trPr>
        <w:tc>
          <w:tcPr>
            <w:tcW w:w="1418" w:type="dxa"/>
            <w:tcBorders>
              <w:top w:val="single" w:sz="4" w:space="0" w:color="A6A6A6" w:themeColor="background1" w:themeShade="A6"/>
              <w:bottom w:val="single" w:sz="4" w:space="0" w:color="A6A6A6" w:themeColor="background1" w:themeShade="A6"/>
            </w:tcBorders>
          </w:tcPr>
          <w:p w:rsidR="00023B19" w:rsidRPr="00023B19" w:rsidRDefault="00023B19" w:rsidP="00BC4823">
            <w:pPr>
              <w:pStyle w:val="TableText"/>
              <w:rPr>
                <w:sz w:val="14"/>
              </w:rPr>
            </w:pPr>
            <w:r w:rsidRPr="00023B19">
              <w:rPr>
                <w:sz w:val="14"/>
              </w:rPr>
              <w:t>Total New Zealand</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76.6%</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76.7%</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77.0%</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76.9%</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79.5%</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79.7%</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79.1%</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79.1%</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79.5%</w:t>
            </w:r>
          </w:p>
        </w:tc>
        <w:tc>
          <w:tcPr>
            <w:tcW w:w="793" w:type="dxa"/>
            <w:tcBorders>
              <w:top w:val="single" w:sz="4" w:space="0" w:color="A6A6A6" w:themeColor="background1" w:themeShade="A6"/>
              <w:bottom w:val="single" w:sz="4" w:space="0" w:color="A6A6A6" w:themeColor="background1" w:themeShade="A6"/>
            </w:tcBorders>
          </w:tcPr>
          <w:p w:rsidR="00023B19" w:rsidRPr="00023B19" w:rsidRDefault="00023B19" w:rsidP="00023B19">
            <w:pPr>
              <w:pStyle w:val="TableText"/>
              <w:jc w:val="center"/>
              <w:rPr>
                <w:sz w:val="14"/>
              </w:rPr>
            </w:pPr>
            <w:r w:rsidRPr="00023B19">
              <w:rPr>
                <w:sz w:val="14"/>
              </w:rPr>
              <w:t>76.6%</w:t>
            </w:r>
          </w:p>
        </w:tc>
      </w:tr>
      <w:tr w:rsidR="00023B19" w:rsidRPr="007968B1" w:rsidTr="00BC4823">
        <w:trPr>
          <w:cantSplit/>
        </w:trPr>
        <w:tc>
          <w:tcPr>
            <w:tcW w:w="1418" w:type="dxa"/>
            <w:tcBorders>
              <w:top w:val="single" w:sz="4" w:space="0" w:color="A6A6A6" w:themeColor="background1" w:themeShade="A6"/>
              <w:bottom w:val="single" w:sz="4" w:space="0" w:color="auto"/>
            </w:tcBorders>
          </w:tcPr>
          <w:p w:rsidR="00023B19" w:rsidRPr="00023B19" w:rsidRDefault="00023B19" w:rsidP="00BC4823">
            <w:pPr>
              <w:pStyle w:val="TableText"/>
              <w:rPr>
                <w:sz w:val="14"/>
              </w:rPr>
            </w:pPr>
            <w:r w:rsidRPr="00023B19">
              <w:rPr>
                <w:sz w:val="14"/>
              </w:rPr>
              <w:t>Target</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c>
          <w:tcPr>
            <w:tcW w:w="793" w:type="dxa"/>
            <w:tcBorders>
              <w:top w:val="single" w:sz="4" w:space="0" w:color="A6A6A6" w:themeColor="background1" w:themeShade="A6"/>
              <w:bottom w:val="single" w:sz="4" w:space="0" w:color="auto"/>
            </w:tcBorders>
          </w:tcPr>
          <w:p w:rsidR="00023B19" w:rsidRPr="00023B19" w:rsidRDefault="00023B19" w:rsidP="00023B19">
            <w:pPr>
              <w:pStyle w:val="TableText"/>
              <w:jc w:val="center"/>
              <w:rPr>
                <w:sz w:val="14"/>
              </w:rPr>
            </w:pPr>
            <w:r w:rsidRPr="00023B19">
              <w:rPr>
                <w:sz w:val="14"/>
              </w:rPr>
              <w:t>80.0%</w:t>
            </w:r>
          </w:p>
        </w:tc>
      </w:tr>
    </w:tbl>
    <w:p w:rsidR="00023B19" w:rsidRDefault="00023B19" w:rsidP="00BA14B3">
      <w:pPr>
        <w:rPr>
          <w:highlight w:val="yellow"/>
        </w:rPr>
      </w:pPr>
    </w:p>
    <w:p w:rsidR="0034306E" w:rsidRPr="005857B1" w:rsidRDefault="00BA14B3" w:rsidP="005857B1">
      <w:pPr>
        <w:rPr>
          <w:b/>
        </w:rPr>
      </w:pPr>
      <w:r w:rsidRPr="005857B1">
        <w:rPr>
          <w:b/>
        </w:rPr>
        <w:t>Notes for Figures 29 and 30:</w:t>
      </w:r>
    </w:p>
    <w:p w:rsidR="0034306E" w:rsidRDefault="00BA14B3" w:rsidP="005857B1">
      <w:pPr>
        <w:pStyle w:val="Bullet"/>
      </w:pPr>
      <w:r w:rsidRPr="00A119E8">
        <w:t>The age range for the cervical screening eligibility monitoring target was 20–69 years prior to 2014, and then changed to 25–69 years in January 2014. This change aligns with international best practice, and allows for international comparison of screening programme performance.</w:t>
      </w:r>
    </w:p>
    <w:p w:rsidR="00BA14B3" w:rsidRPr="00A119E8" w:rsidRDefault="00BA14B3" w:rsidP="005857B1">
      <w:pPr>
        <w:pStyle w:val="Bullet"/>
      </w:pPr>
      <w:r w:rsidRPr="00A119E8">
        <w:t>These percentages are calculated using the PHO population as the denominator.</w:t>
      </w:r>
    </w:p>
    <w:p w:rsidR="00BA14B3" w:rsidRPr="00A119E8" w:rsidRDefault="00BA14B3" w:rsidP="005857B1">
      <w:pPr>
        <w:pStyle w:val="Bullet"/>
      </w:pPr>
      <w:r w:rsidRPr="00A119E8">
        <w:t>These percentages may not be the same as the ones reported online by the NCSP that uses the Population Projections provided by Statistics New Zealand based on Census 2013.</w:t>
      </w:r>
    </w:p>
    <w:p w:rsidR="00BA14B3" w:rsidRPr="00A119E8" w:rsidRDefault="00BA14B3" w:rsidP="005857B1"/>
    <w:p w:rsidR="00BA14B3" w:rsidRPr="00A119E8" w:rsidRDefault="00BA14B3" w:rsidP="005857B1">
      <w:r w:rsidRPr="00A119E8">
        <w:t>Figure 29 shows there has been improvement in the cervical screening percentages</w:t>
      </w:r>
      <w:r>
        <w:t xml:space="preserve"> for Pacific women</w:t>
      </w:r>
      <w:r w:rsidRPr="00A119E8">
        <w:t xml:space="preserve"> from the last update in June 2015. The inclusion of cervical screening as a target in the Integrated Performance Indicator Framework (IPIF) in primary care has increased PHO engagement and interest in increasing cervical screening coverage.</w:t>
      </w:r>
    </w:p>
    <w:p w:rsidR="00BA14B3" w:rsidRPr="00A119E8" w:rsidRDefault="00BA14B3" w:rsidP="005857B1"/>
    <w:p w:rsidR="00BA14B3" w:rsidRPr="00A119E8" w:rsidRDefault="00BA14B3" w:rsidP="005857B1">
      <w:pPr>
        <w:pStyle w:val="Figure"/>
      </w:pPr>
      <w:bookmarkStart w:id="150" w:name="_Toc428368084"/>
      <w:bookmarkStart w:id="151" w:name="_Toc428370462"/>
      <w:bookmarkStart w:id="152" w:name="_Toc445801467"/>
      <w:bookmarkStart w:id="153" w:name="_Toc447527166"/>
      <w:r w:rsidRPr="00A119E8">
        <w:lastRenderedPageBreak/>
        <w:t xml:space="preserve">Figure </w:t>
      </w:r>
      <w:fldSimple w:instr=" SEQ Figure \* ARABIC ">
        <w:r w:rsidR="008D5FF2">
          <w:rPr>
            <w:noProof/>
          </w:rPr>
          <w:t>30</w:t>
        </w:r>
      </w:fldSimple>
      <w:r w:rsidRPr="00A119E8">
        <w:t>: Percentage of enrolled women aged 25–69 years who received a cervical smear in the past three years, Pacific peoples, by priority DHBs, 2013–2015</w:t>
      </w:r>
      <w:bookmarkEnd w:id="150"/>
      <w:bookmarkEnd w:id="151"/>
      <w:bookmarkEnd w:id="152"/>
      <w:bookmarkEnd w:id="153"/>
    </w:p>
    <w:p w:rsidR="00BA14B3" w:rsidRDefault="00DD38BE" w:rsidP="00023B19">
      <w:pPr>
        <w:spacing w:after="120"/>
      </w:pPr>
      <w:r>
        <w:rPr>
          <w:noProof/>
          <w:lang w:eastAsia="en-NZ"/>
        </w:rPr>
        <w:drawing>
          <wp:inline distT="0" distB="0" distL="0" distR="0" wp14:anchorId="2058EE7A" wp14:editId="0EC1746C">
            <wp:extent cx="4513810" cy="2757384"/>
            <wp:effectExtent l="0" t="0" r="0" b="5080"/>
            <wp:docPr id="128" name="Picture 128" title="Figure 30: Percentage of enrolled women aged 25–69 years who received a cervical smear in the past three years,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16480" cy="2759015"/>
                    </a:xfrm>
                    <a:prstGeom prst="rect">
                      <a:avLst/>
                    </a:prstGeom>
                    <a:noFill/>
                  </pic:spPr>
                </pic:pic>
              </a:graphicData>
            </a:graphic>
          </wp:inline>
        </w:drawing>
      </w:r>
    </w:p>
    <w:tbl>
      <w:tblPr>
        <w:tblStyle w:val="TableGrid"/>
        <w:tblW w:w="934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3"/>
        <w:gridCol w:w="793"/>
        <w:gridCol w:w="793"/>
        <w:gridCol w:w="793"/>
        <w:gridCol w:w="793"/>
        <w:gridCol w:w="793"/>
        <w:gridCol w:w="793"/>
        <w:gridCol w:w="793"/>
        <w:gridCol w:w="793"/>
      </w:tblGrid>
      <w:tr w:rsidR="00023B19" w:rsidRPr="007968B1" w:rsidTr="00BC4823">
        <w:trPr>
          <w:cantSplit/>
        </w:trPr>
        <w:tc>
          <w:tcPr>
            <w:tcW w:w="1418" w:type="dxa"/>
            <w:tcBorders>
              <w:top w:val="single" w:sz="4" w:space="0" w:color="auto"/>
              <w:bottom w:val="single" w:sz="4" w:space="0" w:color="auto"/>
            </w:tcBorders>
          </w:tcPr>
          <w:p w:rsidR="00023B19" w:rsidRPr="007968B1" w:rsidRDefault="00023B19" w:rsidP="00BC4823">
            <w:pPr>
              <w:pStyle w:val="TableText"/>
              <w:rPr>
                <w:b/>
                <w:sz w:val="14"/>
                <w:szCs w:val="14"/>
              </w:rPr>
            </w:pP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Jun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Dec 2013</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Jun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Dec 2014</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Mar 2015</w:t>
            </w:r>
          </w:p>
        </w:tc>
        <w:tc>
          <w:tcPr>
            <w:tcW w:w="793" w:type="dxa"/>
            <w:tcBorders>
              <w:top w:val="single" w:sz="4" w:space="0" w:color="auto"/>
              <w:bottom w:val="single" w:sz="4" w:space="0" w:color="auto"/>
            </w:tcBorders>
          </w:tcPr>
          <w:p w:rsidR="00023B19" w:rsidRPr="007968B1" w:rsidRDefault="00023B19" w:rsidP="00BC4823">
            <w:pPr>
              <w:pStyle w:val="TableText"/>
              <w:jc w:val="center"/>
              <w:rPr>
                <w:b/>
                <w:sz w:val="14"/>
              </w:rPr>
            </w:pPr>
            <w:r w:rsidRPr="007968B1">
              <w:rPr>
                <w:b/>
                <w:sz w:val="14"/>
              </w:rPr>
              <w:t>Sep 2015</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Auckland</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64.7%</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65.2%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63.8%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69.9%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70.0%</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68.6%</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68.8%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69.4%</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80.9%</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Canterbury</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61.1%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61.1%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61.4%</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61.2%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66.0%</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73.2%</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Capital &amp; Coast</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63.6%</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63.2%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63.5%</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62.9%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67.0%</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66.6%</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66.7%</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66.1%</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 xml:space="preserve">Counties </w:t>
            </w:r>
            <w:proofErr w:type="spellStart"/>
            <w:r w:rsidRPr="00023B19">
              <w:rPr>
                <w:sz w:val="14"/>
              </w:rPr>
              <w:t>Manukau</w:t>
            </w:r>
            <w:proofErr w:type="spellEnd"/>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60.2%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60.3%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60.4%</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59.9%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64.3%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64.8%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64.2%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64.9%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65.1%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75.3%</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Hawke's Bay</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71.9%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73.1%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73.9%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74.2%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76.2%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76.5%</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76.1%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73.9%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74.4%</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71.2%</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Hutt Valley</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64.7%</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63.4%</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62.5%</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66.6%</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67.8%</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69.2%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68.9%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71.5%</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r w:rsidRPr="00023B19">
              <w:rPr>
                <w:sz w:val="14"/>
              </w:rPr>
              <w:t>Waikato</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64.7%</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64.9%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65.3%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66.3%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70.7%</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71.6%</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73.3%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65.7%</w:t>
            </w:r>
          </w:p>
        </w:tc>
      </w:tr>
      <w:tr w:rsidR="00690C4E" w:rsidRPr="00023B19" w:rsidTr="00690C4E">
        <w:trPr>
          <w:cantSplit/>
        </w:trPr>
        <w:tc>
          <w:tcPr>
            <w:tcW w:w="1418"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rPr>
                <w:sz w:val="14"/>
              </w:rPr>
            </w:pPr>
            <w:proofErr w:type="spellStart"/>
            <w:r w:rsidRPr="00023B19">
              <w:rPr>
                <w:sz w:val="14"/>
              </w:rPr>
              <w:t>Waitemata</w:t>
            </w:r>
            <w:proofErr w:type="spellEnd"/>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65.1%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65.0%</w:t>
            </w:r>
          </w:p>
        </w:tc>
        <w:tc>
          <w:tcPr>
            <w:tcW w:w="793" w:type="dxa"/>
            <w:tcBorders>
              <w:top w:val="single" w:sz="4" w:space="0" w:color="A6A6A6" w:themeColor="background1" w:themeShade="A6"/>
              <w:bottom w:val="single" w:sz="4" w:space="0" w:color="A6A6A6" w:themeColor="background1" w:themeShade="A6"/>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66.4%</w:t>
            </w:r>
          </w:p>
        </w:tc>
        <w:tc>
          <w:tcPr>
            <w:tcW w:w="793" w:type="dxa"/>
            <w:tcBorders>
              <w:top w:val="single" w:sz="4" w:space="0" w:color="A6A6A6" w:themeColor="background1" w:themeShade="A6"/>
              <w:bottom w:val="single" w:sz="4" w:space="0" w:color="A6A6A6" w:themeColor="background1" w:themeShade="A6"/>
            </w:tcBorders>
          </w:tcPr>
          <w:p w:rsidR="00690C4E" w:rsidRPr="00023B19" w:rsidRDefault="00690C4E" w:rsidP="00023B19">
            <w:pPr>
              <w:pStyle w:val="TableText"/>
              <w:jc w:val="center"/>
              <w:rPr>
                <w:sz w:val="14"/>
              </w:rPr>
            </w:pPr>
            <w:r>
              <w:rPr>
                <w:sz w:val="14"/>
              </w:rPr>
              <w:t>65.7</w:t>
            </w:r>
            <w:r w:rsidRPr="00023B19">
              <w:rPr>
                <w:sz w:val="14"/>
              </w:rPr>
              <w:t>%</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70.2%</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71.3%</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71.1%</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71.0%</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71.9%</w:t>
            </w:r>
          </w:p>
        </w:tc>
        <w:tc>
          <w:tcPr>
            <w:tcW w:w="793" w:type="dxa"/>
            <w:tcBorders>
              <w:top w:val="single" w:sz="4" w:space="0" w:color="A6A6A6" w:themeColor="background1" w:themeShade="A6"/>
              <w:bottom w:val="single" w:sz="4" w:space="0" w:color="A6A6A6" w:themeColor="background1" w:themeShade="A6"/>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72.6%</w:t>
            </w:r>
          </w:p>
        </w:tc>
      </w:tr>
      <w:tr w:rsidR="00690C4E" w:rsidRPr="00023B19" w:rsidTr="00690C4E">
        <w:trPr>
          <w:cantSplit/>
        </w:trPr>
        <w:tc>
          <w:tcPr>
            <w:tcW w:w="1418" w:type="dxa"/>
            <w:tcBorders>
              <w:top w:val="single" w:sz="4" w:space="0" w:color="A6A6A6" w:themeColor="background1" w:themeShade="A6"/>
              <w:bottom w:val="single" w:sz="4" w:space="0" w:color="auto"/>
            </w:tcBorders>
          </w:tcPr>
          <w:p w:rsidR="00690C4E" w:rsidRPr="00023B19" w:rsidRDefault="00690C4E" w:rsidP="00023B19">
            <w:pPr>
              <w:pStyle w:val="TableText"/>
              <w:rPr>
                <w:sz w:val="14"/>
              </w:rPr>
            </w:pPr>
            <w:r w:rsidRPr="00023B19">
              <w:rPr>
                <w:sz w:val="14"/>
              </w:rPr>
              <w:t>Target</w:t>
            </w:r>
          </w:p>
        </w:tc>
        <w:tc>
          <w:tcPr>
            <w:tcW w:w="793" w:type="dxa"/>
            <w:tcBorders>
              <w:top w:val="single" w:sz="4" w:space="0" w:color="A6A6A6" w:themeColor="background1" w:themeShade="A6"/>
              <w:bottom w:val="single" w:sz="4" w:space="0" w:color="auto"/>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1B4D12" w:rsidRDefault="00690C4E" w:rsidP="001B4D12">
            <w:pPr>
              <w:jc w:val="center"/>
              <w:rPr>
                <w:rFonts w:ascii="Arial" w:hAnsi="Arial" w:cs="Arial"/>
                <w:color w:val="000000"/>
                <w:sz w:val="14"/>
                <w:szCs w:val="14"/>
              </w:rPr>
            </w:pPr>
            <w:r w:rsidRPr="001B4D12">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tcPr>
          <w:p w:rsidR="00690C4E" w:rsidRPr="00023B19" w:rsidRDefault="00690C4E" w:rsidP="00023B19">
            <w:pPr>
              <w:pStyle w:val="TableText"/>
              <w:jc w:val="center"/>
              <w:rPr>
                <w:sz w:val="14"/>
              </w:rPr>
            </w:pPr>
            <w:r w:rsidRPr="00023B19">
              <w:rPr>
                <w:sz w:val="14"/>
              </w:rPr>
              <w:t>80</w:t>
            </w:r>
            <w:r>
              <w:rPr>
                <w:sz w:val="14"/>
              </w:rPr>
              <w:t>.0</w:t>
            </w:r>
            <w:r w:rsidRPr="00023B19">
              <w:rPr>
                <w:sz w:val="14"/>
              </w:rPr>
              <w:t>%</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c>
          <w:tcPr>
            <w:tcW w:w="793" w:type="dxa"/>
            <w:tcBorders>
              <w:top w:val="single" w:sz="4" w:space="0" w:color="A6A6A6" w:themeColor="background1" w:themeShade="A6"/>
              <w:bottom w:val="single" w:sz="4" w:space="0" w:color="auto"/>
            </w:tcBorders>
            <w:vAlign w:val="center"/>
          </w:tcPr>
          <w:p w:rsidR="00690C4E" w:rsidRPr="00690C4E" w:rsidRDefault="00690C4E" w:rsidP="00690C4E">
            <w:pPr>
              <w:jc w:val="center"/>
              <w:rPr>
                <w:rFonts w:ascii="Arial" w:hAnsi="Arial" w:cs="Arial"/>
                <w:color w:val="000000"/>
                <w:sz w:val="14"/>
                <w:szCs w:val="14"/>
              </w:rPr>
            </w:pPr>
            <w:r w:rsidRPr="00690C4E">
              <w:rPr>
                <w:rFonts w:ascii="Arial" w:hAnsi="Arial" w:cs="Arial"/>
                <w:color w:val="000000"/>
                <w:sz w:val="14"/>
                <w:szCs w:val="14"/>
              </w:rPr>
              <w:t>80.0%</w:t>
            </w:r>
          </w:p>
        </w:tc>
      </w:tr>
    </w:tbl>
    <w:p w:rsidR="00023B19" w:rsidRPr="00A119E8" w:rsidRDefault="00023B19" w:rsidP="00DD38BE"/>
    <w:p w:rsidR="00BA14B3" w:rsidRPr="00A119E8" w:rsidRDefault="00BA14B3" w:rsidP="00023B19">
      <w:r w:rsidRPr="00A119E8">
        <w:t>Figure 30 shows that overall, the priority DHBs are making good progress to</w:t>
      </w:r>
      <w:r>
        <w:t>wards</w:t>
      </w:r>
      <w:r w:rsidRPr="00A119E8">
        <w:t xml:space="preserve"> achieving the 80 percent target. Auckland DHB has achieved the goal in this update, which is the first time any of the priority DHBs have achieved this target. Counties </w:t>
      </w:r>
      <w:proofErr w:type="spellStart"/>
      <w:r w:rsidRPr="00A119E8">
        <w:t>Manukau</w:t>
      </w:r>
      <w:proofErr w:type="spellEnd"/>
      <w:r w:rsidRPr="00A119E8">
        <w:t xml:space="preserve"> </w:t>
      </w:r>
      <w:r w:rsidRPr="007D7AD0">
        <w:t xml:space="preserve">DHB </w:t>
      </w:r>
      <w:r w:rsidRPr="00A119E8">
        <w:t xml:space="preserve">and Canterbury </w:t>
      </w:r>
      <w:r w:rsidRPr="007D7AD0">
        <w:t xml:space="preserve">DHB </w:t>
      </w:r>
      <w:r w:rsidRPr="00A119E8">
        <w:t xml:space="preserve">are making progress. Waikato </w:t>
      </w:r>
      <w:r w:rsidRPr="007D7AD0">
        <w:t xml:space="preserve">DHB </w:t>
      </w:r>
      <w:r w:rsidRPr="00A119E8">
        <w:t xml:space="preserve">has had a 10 percentage point drop since the June 2015 progress report. It is very likely this is due to an under-count in the denominator for Waikato DHB, which uses PHO population, compared with the NCSP, which uses all eligible women between 25 and 69 years old obtained from Statistics New Zealand population projection figures. For example, the March 2015 figure for Waikato </w:t>
      </w:r>
      <w:r>
        <w:t xml:space="preserve">DHB </w:t>
      </w:r>
      <w:r w:rsidRPr="00A119E8">
        <w:t xml:space="preserve">is 73.3 percent </w:t>
      </w:r>
      <w:r>
        <w:t>(</w:t>
      </w:r>
      <w:r w:rsidRPr="00A119E8">
        <w:t>reported above</w:t>
      </w:r>
      <w:r>
        <w:t>)</w:t>
      </w:r>
      <w:r w:rsidRPr="00A119E8">
        <w:t>, compared with the NCSP figure of 65.0 percent of the same period.</w:t>
      </w:r>
    </w:p>
    <w:p w:rsidR="00BA14B3" w:rsidRPr="00A119E8" w:rsidRDefault="00BA14B3" w:rsidP="005857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56"/>
      </w:tblGrid>
      <w:tr w:rsidR="005857B1" w:rsidRPr="005857B1" w:rsidTr="005857B1">
        <w:trPr>
          <w:cantSplit/>
        </w:trPr>
        <w:tc>
          <w:tcPr>
            <w:tcW w:w="9356" w:type="dxa"/>
            <w:shd w:val="clear" w:color="auto" w:fill="FFFFFF" w:themeFill="background1"/>
          </w:tcPr>
          <w:p w:rsidR="00BA14B3" w:rsidRPr="005857B1" w:rsidRDefault="00BA14B3" w:rsidP="00F07986">
            <w:pPr>
              <w:pStyle w:val="TableText"/>
              <w:spacing w:before="240"/>
              <w:jc w:val="center"/>
              <w:rPr>
                <w:rFonts w:ascii="Georgia" w:hAnsi="Georgia"/>
                <w:b/>
                <w:sz w:val="24"/>
                <w:szCs w:val="24"/>
              </w:rPr>
            </w:pPr>
            <w:r w:rsidRPr="005857B1">
              <w:rPr>
                <w:rFonts w:ascii="Georgia" w:hAnsi="Georgia"/>
                <w:b/>
                <w:sz w:val="24"/>
                <w:szCs w:val="24"/>
              </w:rPr>
              <w:lastRenderedPageBreak/>
              <w:t>Priority outcome 2 –</w:t>
            </w:r>
            <w:r w:rsidRPr="005857B1">
              <w:rPr>
                <w:rFonts w:ascii="Georgia" w:hAnsi="Georgia"/>
                <w:b/>
                <w:sz w:val="24"/>
                <w:szCs w:val="24"/>
              </w:rPr>
              <w:br/>
              <w:t>More services are delivered locally in the community and in primary care</w:t>
            </w:r>
          </w:p>
          <w:p w:rsidR="00BA14B3" w:rsidRPr="005857B1" w:rsidRDefault="00BA14B3" w:rsidP="00B324FB">
            <w:pPr>
              <w:spacing w:before="180"/>
            </w:pPr>
            <w:r w:rsidRPr="005857B1">
              <w:t>The following presents a brief summary of performance indicator results in priority outcome 2 for this reporting period.</w:t>
            </w:r>
          </w:p>
          <w:p w:rsidR="00BA14B3" w:rsidRPr="005857B1" w:rsidRDefault="00BA14B3" w:rsidP="00B324FB">
            <w:pPr>
              <w:spacing w:before="180"/>
            </w:pPr>
            <w:r w:rsidRPr="005857B1">
              <w:t>The four national Pacific collectives are making good progress towards this priority outcome, through collaborations with their respective DHB alliances.</w:t>
            </w:r>
          </w:p>
          <w:p w:rsidR="00BA14B3" w:rsidRPr="005857B1" w:rsidRDefault="00BA14B3" w:rsidP="00B324FB">
            <w:pPr>
              <w:spacing w:before="180"/>
            </w:pPr>
            <w:r w:rsidRPr="005857B1">
              <w:t>The only indicator with a quantitative measure in this priority outcome section for which the rates have reached equity (that is, the rate for Pacific peoples has met or exceeded the total population rate), if not the target, is increased utilisation rates of primary health care, as Table 9 shows.</w:t>
            </w:r>
          </w:p>
          <w:p w:rsidR="00BA14B3" w:rsidRPr="005857B1" w:rsidRDefault="00BA14B3" w:rsidP="00F07986">
            <w:pPr>
              <w:pStyle w:val="Table"/>
              <w:spacing w:before="360"/>
            </w:pPr>
            <w:bookmarkStart w:id="154" w:name="_Toc428878448"/>
            <w:bookmarkStart w:id="155" w:name="_Toc445801436"/>
            <w:bookmarkStart w:id="156" w:name="_Toc447527126"/>
            <w:r w:rsidRPr="005857B1">
              <w:t>Table 9: Performance against priority outcome 2 indicators, as at 31 December 2015</w:t>
            </w:r>
            <w:bookmarkEnd w:id="154"/>
            <w:bookmarkEnd w:id="155"/>
            <w:bookmarkEnd w:id="156"/>
          </w:p>
          <w:tbl>
            <w:tblPr>
              <w:tblW w:w="0" w:type="auto"/>
              <w:tblBorders>
                <w:top w:val="single" w:sz="4" w:space="0" w:color="FFFFFF"/>
                <w:bottom w:val="single" w:sz="4" w:space="0" w:color="FFFFFF"/>
              </w:tblBorders>
              <w:tblLayout w:type="fixed"/>
              <w:tblLook w:val="04A0" w:firstRow="1" w:lastRow="0" w:firstColumn="1" w:lastColumn="0" w:noHBand="0" w:noVBand="1"/>
            </w:tblPr>
            <w:tblGrid>
              <w:gridCol w:w="2586"/>
              <w:gridCol w:w="1842"/>
              <w:gridCol w:w="2410"/>
            </w:tblGrid>
            <w:tr w:rsidR="005857B1" w:rsidRPr="005857B1" w:rsidTr="00B324FB">
              <w:tc>
                <w:tcPr>
                  <w:tcW w:w="2586" w:type="dxa"/>
                  <w:tcBorders>
                    <w:top w:val="single" w:sz="4" w:space="0" w:color="auto"/>
                    <w:bottom w:val="single" w:sz="4" w:space="0" w:color="auto"/>
                  </w:tcBorders>
                  <w:shd w:val="clear" w:color="auto" w:fill="auto"/>
                </w:tcPr>
                <w:p w:rsidR="00BA14B3" w:rsidRPr="00B324FB" w:rsidRDefault="00BA14B3" w:rsidP="00B324FB">
                  <w:pPr>
                    <w:pStyle w:val="TableText"/>
                    <w:rPr>
                      <w:b/>
                    </w:rPr>
                  </w:pPr>
                  <w:r w:rsidRPr="00B324FB">
                    <w:rPr>
                      <w:b/>
                    </w:rPr>
                    <w:t>Indicator</w:t>
                  </w:r>
                </w:p>
              </w:tc>
              <w:tc>
                <w:tcPr>
                  <w:tcW w:w="1842" w:type="dxa"/>
                  <w:tcBorders>
                    <w:top w:val="single" w:sz="4" w:space="0" w:color="auto"/>
                    <w:bottom w:val="single" w:sz="4" w:space="0" w:color="auto"/>
                  </w:tcBorders>
                  <w:shd w:val="clear" w:color="auto" w:fill="auto"/>
                </w:tcPr>
                <w:p w:rsidR="00BA14B3" w:rsidRPr="00B324FB" w:rsidRDefault="00BA14B3" w:rsidP="00B324FB">
                  <w:pPr>
                    <w:pStyle w:val="TableText"/>
                    <w:jc w:val="center"/>
                    <w:rPr>
                      <w:b/>
                    </w:rPr>
                  </w:pPr>
                  <w:r w:rsidRPr="00B324FB">
                    <w:rPr>
                      <w:b/>
                    </w:rPr>
                    <w:t>Pacific rate</w:t>
                  </w:r>
                </w:p>
              </w:tc>
              <w:tc>
                <w:tcPr>
                  <w:tcW w:w="2410" w:type="dxa"/>
                  <w:tcBorders>
                    <w:top w:val="single" w:sz="4" w:space="0" w:color="auto"/>
                    <w:bottom w:val="single" w:sz="4" w:space="0" w:color="auto"/>
                  </w:tcBorders>
                  <w:shd w:val="clear" w:color="auto" w:fill="auto"/>
                </w:tcPr>
                <w:p w:rsidR="00BA14B3" w:rsidRPr="00B324FB" w:rsidRDefault="00BA14B3" w:rsidP="00B324FB">
                  <w:pPr>
                    <w:pStyle w:val="TableText"/>
                    <w:jc w:val="center"/>
                    <w:rPr>
                      <w:b/>
                    </w:rPr>
                  </w:pPr>
                  <w:r w:rsidRPr="00B324FB">
                    <w:rPr>
                      <w:b/>
                    </w:rPr>
                    <w:t>Total New Zealand rate</w:t>
                  </w:r>
                </w:p>
              </w:tc>
            </w:tr>
            <w:tr w:rsidR="005857B1" w:rsidRPr="005857B1" w:rsidTr="00B324FB">
              <w:tc>
                <w:tcPr>
                  <w:tcW w:w="2586" w:type="dxa"/>
                  <w:tcBorders>
                    <w:top w:val="single" w:sz="4" w:space="0" w:color="auto"/>
                    <w:bottom w:val="single" w:sz="4" w:space="0" w:color="A6A6A6" w:themeColor="background1" w:themeShade="A6"/>
                  </w:tcBorders>
                </w:tcPr>
                <w:p w:rsidR="00BA14B3" w:rsidRPr="005857B1" w:rsidRDefault="00BA14B3" w:rsidP="00B324FB">
                  <w:pPr>
                    <w:pStyle w:val="TableText"/>
                  </w:pPr>
                  <w:r w:rsidRPr="005857B1">
                    <w:t>GP utilisation</w:t>
                  </w:r>
                </w:p>
              </w:tc>
              <w:tc>
                <w:tcPr>
                  <w:tcW w:w="1842" w:type="dxa"/>
                  <w:tcBorders>
                    <w:top w:val="single" w:sz="4" w:space="0" w:color="auto"/>
                    <w:bottom w:val="single" w:sz="4" w:space="0" w:color="A6A6A6" w:themeColor="background1" w:themeShade="A6"/>
                  </w:tcBorders>
                </w:tcPr>
                <w:p w:rsidR="00BA14B3" w:rsidRPr="005857B1" w:rsidRDefault="00BA14B3" w:rsidP="00B324FB">
                  <w:pPr>
                    <w:pStyle w:val="TableText"/>
                    <w:jc w:val="center"/>
                  </w:pPr>
                  <w:r w:rsidRPr="005857B1">
                    <w:t>3.01</w:t>
                  </w:r>
                </w:p>
              </w:tc>
              <w:tc>
                <w:tcPr>
                  <w:tcW w:w="2410" w:type="dxa"/>
                  <w:tcBorders>
                    <w:top w:val="single" w:sz="4" w:space="0" w:color="auto"/>
                    <w:bottom w:val="single" w:sz="4" w:space="0" w:color="A6A6A6" w:themeColor="background1" w:themeShade="A6"/>
                  </w:tcBorders>
                </w:tcPr>
                <w:p w:rsidR="00BA14B3" w:rsidRPr="005857B1" w:rsidRDefault="00BA14B3" w:rsidP="00B324FB">
                  <w:pPr>
                    <w:pStyle w:val="TableText"/>
                    <w:jc w:val="center"/>
                  </w:pPr>
                  <w:r w:rsidRPr="005857B1">
                    <w:t>2.95</w:t>
                  </w:r>
                </w:p>
              </w:tc>
            </w:tr>
            <w:tr w:rsidR="005857B1" w:rsidRPr="005857B1" w:rsidTr="00B324FB">
              <w:tc>
                <w:tcPr>
                  <w:tcW w:w="2586" w:type="dxa"/>
                  <w:tcBorders>
                    <w:top w:val="single" w:sz="4" w:space="0" w:color="A6A6A6" w:themeColor="background1" w:themeShade="A6"/>
                    <w:bottom w:val="single" w:sz="4" w:space="0" w:color="A6A6A6" w:themeColor="background1" w:themeShade="A6"/>
                  </w:tcBorders>
                </w:tcPr>
                <w:p w:rsidR="00BA14B3" w:rsidRPr="005857B1" w:rsidRDefault="00BA14B3" w:rsidP="00B324FB">
                  <w:pPr>
                    <w:pStyle w:val="TableText"/>
                  </w:pPr>
                  <w:r w:rsidRPr="005857B1">
                    <w:t>Nurse utilisation</w:t>
                  </w:r>
                </w:p>
              </w:tc>
              <w:tc>
                <w:tcPr>
                  <w:tcW w:w="1842" w:type="dxa"/>
                  <w:tcBorders>
                    <w:top w:val="single" w:sz="4" w:space="0" w:color="A6A6A6" w:themeColor="background1" w:themeShade="A6"/>
                    <w:bottom w:val="single" w:sz="4" w:space="0" w:color="A6A6A6" w:themeColor="background1" w:themeShade="A6"/>
                  </w:tcBorders>
                </w:tcPr>
                <w:p w:rsidR="00BA14B3" w:rsidRPr="005857B1" w:rsidRDefault="00BA14B3" w:rsidP="00B324FB">
                  <w:pPr>
                    <w:pStyle w:val="TableText"/>
                    <w:jc w:val="center"/>
                  </w:pPr>
                  <w:r w:rsidRPr="005857B1">
                    <w:t>0.76</w:t>
                  </w:r>
                </w:p>
              </w:tc>
              <w:tc>
                <w:tcPr>
                  <w:tcW w:w="2410" w:type="dxa"/>
                  <w:tcBorders>
                    <w:top w:val="single" w:sz="4" w:space="0" w:color="A6A6A6" w:themeColor="background1" w:themeShade="A6"/>
                    <w:bottom w:val="single" w:sz="4" w:space="0" w:color="A6A6A6" w:themeColor="background1" w:themeShade="A6"/>
                  </w:tcBorders>
                </w:tcPr>
                <w:p w:rsidR="00BA14B3" w:rsidRPr="005857B1" w:rsidRDefault="00BA14B3" w:rsidP="00B324FB">
                  <w:pPr>
                    <w:pStyle w:val="TableText"/>
                    <w:jc w:val="center"/>
                  </w:pPr>
                  <w:r w:rsidRPr="005857B1">
                    <w:t>0.68</w:t>
                  </w:r>
                </w:p>
              </w:tc>
            </w:tr>
            <w:tr w:rsidR="005857B1" w:rsidRPr="005857B1" w:rsidTr="00B324FB">
              <w:tc>
                <w:tcPr>
                  <w:tcW w:w="2586" w:type="dxa"/>
                  <w:tcBorders>
                    <w:top w:val="single" w:sz="4" w:space="0" w:color="A6A6A6" w:themeColor="background1" w:themeShade="A6"/>
                    <w:bottom w:val="single" w:sz="4" w:space="0" w:color="auto"/>
                  </w:tcBorders>
                </w:tcPr>
                <w:p w:rsidR="00BA14B3" w:rsidRPr="005857B1" w:rsidRDefault="00BA14B3" w:rsidP="00B324FB">
                  <w:pPr>
                    <w:pStyle w:val="TableText"/>
                  </w:pPr>
                  <w:r w:rsidRPr="005857B1">
                    <w:t>Total GP and nurse</w:t>
                  </w:r>
                </w:p>
              </w:tc>
              <w:tc>
                <w:tcPr>
                  <w:tcW w:w="1842" w:type="dxa"/>
                  <w:tcBorders>
                    <w:top w:val="single" w:sz="4" w:space="0" w:color="A6A6A6" w:themeColor="background1" w:themeShade="A6"/>
                    <w:bottom w:val="single" w:sz="4" w:space="0" w:color="auto"/>
                  </w:tcBorders>
                </w:tcPr>
                <w:p w:rsidR="00BA14B3" w:rsidRPr="005857B1" w:rsidRDefault="00BA14B3" w:rsidP="00B324FB">
                  <w:pPr>
                    <w:pStyle w:val="TableText"/>
                    <w:jc w:val="center"/>
                  </w:pPr>
                  <w:r w:rsidRPr="005857B1">
                    <w:t>3.77</w:t>
                  </w:r>
                </w:p>
              </w:tc>
              <w:tc>
                <w:tcPr>
                  <w:tcW w:w="2410" w:type="dxa"/>
                  <w:tcBorders>
                    <w:top w:val="single" w:sz="4" w:space="0" w:color="A6A6A6" w:themeColor="background1" w:themeShade="A6"/>
                    <w:bottom w:val="single" w:sz="4" w:space="0" w:color="auto"/>
                  </w:tcBorders>
                </w:tcPr>
                <w:p w:rsidR="00BA14B3" w:rsidRPr="005857B1" w:rsidRDefault="00BA14B3" w:rsidP="00B324FB">
                  <w:pPr>
                    <w:pStyle w:val="TableText"/>
                    <w:jc w:val="center"/>
                  </w:pPr>
                  <w:r w:rsidRPr="005857B1">
                    <w:t>3.62</w:t>
                  </w:r>
                </w:p>
              </w:tc>
            </w:tr>
          </w:tbl>
          <w:p w:rsidR="00BA14B3" w:rsidRPr="005857B1" w:rsidRDefault="00BA14B3" w:rsidP="00B324FB">
            <w:pPr>
              <w:spacing w:before="180" w:after="240"/>
            </w:pPr>
            <w:r w:rsidRPr="005857B1">
              <w:t xml:space="preserve">The latest results to December 2015 show that Pacific peoples’ rate of primary care utilisation (for both GPs and nurses) has increased over the years, and is now higher than that of the total New Zealand population. There is an assumption that increased access to primary health care leads to improved health outcomes and a reduction in ASH rates. We are unable to update the ASH rates for this progress report. ASH rates will be reported differently in the next progress report update (June 2016) as Child ASH (0–4 years) and Adult </w:t>
            </w:r>
            <w:proofErr w:type="gramStart"/>
            <w:r w:rsidRPr="005857B1">
              <w:t>ASH</w:t>
            </w:r>
            <w:proofErr w:type="gramEnd"/>
            <w:r w:rsidR="00B324FB">
              <w:br/>
            </w:r>
            <w:r w:rsidRPr="005857B1">
              <w:t>(45–64 years).</w:t>
            </w:r>
          </w:p>
        </w:tc>
      </w:tr>
    </w:tbl>
    <w:p w:rsidR="00BA14B3" w:rsidRPr="00A119E8" w:rsidRDefault="00BA14B3" w:rsidP="00B324FB"/>
    <w:p w:rsidR="00BA14B3" w:rsidRPr="00A119E8" w:rsidRDefault="00BA14B3" w:rsidP="00B324FB">
      <w:pPr>
        <w:pStyle w:val="Heading1"/>
      </w:pPr>
      <w:r w:rsidRPr="00A119E8">
        <w:rPr>
          <w:rFonts w:ascii="Times New Roman" w:hAnsi="Times New Roman"/>
        </w:rPr>
        <w:br w:type="page"/>
      </w:r>
      <w:bookmarkStart w:id="157" w:name="_Toc425012023"/>
      <w:bookmarkStart w:id="158" w:name="_Toc445823334"/>
      <w:bookmarkStart w:id="159" w:name="_Toc447565083"/>
      <w:r w:rsidRPr="00A119E8">
        <w:lastRenderedPageBreak/>
        <w:t>Priority outcome 2 – More services are delivered locally in the community and in primary care</w:t>
      </w:r>
      <w:bookmarkEnd w:id="157"/>
      <w:bookmarkEnd w:id="158"/>
      <w:bookmarkEnd w:id="159"/>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hemeFill="background1" w:themeFillShade="D9"/>
          </w:tcPr>
          <w:p w:rsidR="00BA14B3" w:rsidRPr="00A119E8" w:rsidRDefault="00BA14B3" w:rsidP="00F07986">
            <w:pPr>
              <w:pStyle w:val="TableText"/>
              <w:spacing w:before="120" w:after="120"/>
              <w:ind w:left="142"/>
              <w:rPr>
                <w:b/>
                <w:sz w:val="24"/>
                <w:szCs w:val="24"/>
                <w:lang w:eastAsia="en-NZ"/>
              </w:rPr>
            </w:pPr>
            <w:r w:rsidRPr="00A119E8">
              <w:rPr>
                <w:b/>
                <w:sz w:val="24"/>
              </w:rPr>
              <w:t>The four Pacific health collectives will be part of relevant DHB alliances.</w:t>
            </w:r>
          </w:p>
        </w:tc>
      </w:tr>
    </w:tbl>
    <w:p w:rsidR="00BA14B3" w:rsidRPr="00A119E8" w:rsidRDefault="00BA14B3" w:rsidP="00B324FB"/>
    <w:p w:rsidR="00BA14B3" w:rsidRPr="00A119E8" w:rsidRDefault="00BA14B3" w:rsidP="00B324FB">
      <w:r w:rsidRPr="00A119E8">
        <w:t xml:space="preserve">Nationally, there are four Pacific health collectives, each with memberships of three to 12 Pacific providers who deliver a range of primary care, community-based health care and social services. They are based in Auckland (led by Alliance Health </w:t>
      </w:r>
      <w:proofErr w:type="gramStart"/>
      <w:r w:rsidRPr="00A119E8">
        <w:t>Plus</w:t>
      </w:r>
      <w:proofErr w:type="gramEnd"/>
      <w:r w:rsidRPr="00A119E8">
        <w:t xml:space="preserve"> Trust),</w:t>
      </w:r>
      <w:r w:rsidRPr="00A119E8">
        <w:rPr>
          <w:rStyle w:val="FootnoteReference"/>
        </w:rPr>
        <w:footnoteReference w:id="5"/>
      </w:r>
      <w:r w:rsidRPr="00A119E8">
        <w:t xml:space="preserve"> Midlands (led by </w:t>
      </w:r>
      <w:proofErr w:type="spellStart"/>
      <w:r w:rsidRPr="00A119E8">
        <w:t>K</w:t>
      </w:r>
      <w:r w:rsidR="00082A0E">
        <w:t>’</w:t>
      </w:r>
      <w:r w:rsidRPr="00A119E8">
        <w:t>aute</w:t>
      </w:r>
      <w:proofErr w:type="spellEnd"/>
      <w:r w:rsidRPr="00A119E8">
        <w:t xml:space="preserve"> Pacific Services), Wellington (led by the Central Pacific Collective) and the South Island (led by Pacific Trust Canterbury). All of the collective members use Ministry of Health funds to strengthen funding capability, infrastructure, IT frameworks, and policies and systems to provide improved health services to the Pacific peoples they serve.</w:t>
      </w:r>
    </w:p>
    <w:p w:rsidR="00BA14B3" w:rsidRPr="00A119E8" w:rsidRDefault="00BA14B3" w:rsidP="00B324FB"/>
    <w:p w:rsidR="00BA14B3" w:rsidRPr="00A119E8" w:rsidRDefault="00BA14B3" w:rsidP="00B324FB">
      <w:pPr>
        <w:pStyle w:val="Heading3"/>
      </w:pPr>
      <w:r w:rsidRPr="00A119E8">
        <w:t>Action commentary</w:t>
      </w:r>
    </w:p>
    <w:p w:rsidR="00BA14B3" w:rsidRPr="00A119E8" w:rsidRDefault="00BA14B3" w:rsidP="00B324FB">
      <w:r w:rsidRPr="00A119E8">
        <w:t xml:space="preserve">The Auckland Region Pacific Provider Network, </w:t>
      </w:r>
      <w:proofErr w:type="spellStart"/>
      <w:r w:rsidRPr="00A119E8">
        <w:t>Tangata</w:t>
      </w:r>
      <w:proofErr w:type="spellEnd"/>
      <w:r w:rsidRPr="00A119E8">
        <w:t xml:space="preserve"> o le </w:t>
      </w:r>
      <w:proofErr w:type="spellStart"/>
      <w:r w:rsidRPr="00A119E8">
        <w:t>Moana</w:t>
      </w:r>
      <w:proofErr w:type="spellEnd"/>
      <w:r w:rsidRPr="00A119E8">
        <w:t xml:space="preserve">, has been working closely with the Pacific health divisions of Counties </w:t>
      </w:r>
      <w:proofErr w:type="spellStart"/>
      <w:r w:rsidRPr="00A119E8">
        <w:t>Manukau</w:t>
      </w:r>
      <w:proofErr w:type="spellEnd"/>
      <w:r w:rsidRPr="00A119E8">
        <w:t xml:space="preserve">, Auckland and </w:t>
      </w:r>
      <w:proofErr w:type="spellStart"/>
      <w:r w:rsidRPr="00A119E8">
        <w:t>Waitemata</w:t>
      </w:r>
      <w:proofErr w:type="spellEnd"/>
      <w:r w:rsidRPr="00A119E8">
        <w:t xml:space="preserve"> DHBs. In May 2015, all three DHBs met with </w:t>
      </w:r>
      <w:proofErr w:type="spellStart"/>
      <w:r w:rsidRPr="00A119E8">
        <w:t>Tangata</w:t>
      </w:r>
      <w:proofErr w:type="spellEnd"/>
      <w:r w:rsidRPr="00A119E8">
        <w:t xml:space="preserve"> o le </w:t>
      </w:r>
      <w:proofErr w:type="spellStart"/>
      <w:r w:rsidRPr="00A119E8">
        <w:t>Moana</w:t>
      </w:r>
      <w:proofErr w:type="spellEnd"/>
      <w:r w:rsidRPr="00A119E8">
        <w:t xml:space="preserve"> providers. There, DHB representatives signalled to </w:t>
      </w:r>
      <w:proofErr w:type="spellStart"/>
      <w:r w:rsidRPr="00A119E8">
        <w:t>Tangata</w:t>
      </w:r>
      <w:proofErr w:type="spellEnd"/>
      <w:r w:rsidRPr="00A119E8">
        <w:t xml:space="preserve"> o le </w:t>
      </w:r>
      <w:proofErr w:type="spellStart"/>
      <w:r w:rsidRPr="00A119E8">
        <w:t>Moana</w:t>
      </w:r>
      <w:proofErr w:type="spellEnd"/>
      <w:r w:rsidRPr="00A119E8">
        <w:t xml:space="preserve"> that they were interested in the demonstration projects currently under development within the network. Through </w:t>
      </w:r>
      <w:proofErr w:type="spellStart"/>
      <w:r w:rsidRPr="00A119E8">
        <w:t>Tangata</w:t>
      </w:r>
      <w:proofErr w:type="spellEnd"/>
      <w:r w:rsidRPr="00A119E8">
        <w:t xml:space="preserve"> o le </w:t>
      </w:r>
      <w:proofErr w:type="spellStart"/>
      <w:r w:rsidRPr="00A119E8">
        <w:t>Moana</w:t>
      </w:r>
      <w:proofErr w:type="spellEnd"/>
      <w:r w:rsidRPr="00A119E8">
        <w:t xml:space="preserve"> members, providers maintain several alliance arrangements. For example, Alliance Health Plus is engaged in the District Alliance for Counties </w:t>
      </w:r>
      <w:proofErr w:type="spellStart"/>
      <w:r w:rsidRPr="00A119E8">
        <w:t>Manukau</w:t>
      </w:r>
      <w:proofErr w:type="spellEnd"/>
      <w:r w:rsidRPr="00A119E8">
        <w:t xml:space="preserve"> DHB, and there is a Rheumatic Fever Rapid Response Alliance within Auckland DHB.</w:t>
      </w:r>
    </w:p>
    <w:p w:rsidR="00BA14B3" w:rsidRPr="00A119E8" w:rsidRDefault="00BA14B3" w:rsidP="00B324FB"/>
    <w:p w:rsidR="00BA14B3" w:rsidRPr="00A119E8" w:rsidRDefault="00BA14B3" w:rsidP="00BA14B3">
      <w:proofErr w:type="spellStart"/>
      <w:r w:rsidRPr="00A119E8">
        <w:t>K</w:t>
      </w:r>
      <w:r w:rsidR="00B324FB" w:rsidRPr="00A119E8">
        <w:t>’</w:t>
      </w:r>
      <w:r w:rsidRPr="00A119E8">
        <w:t>aute</w:t>
      </w:r>
      <w:proofErr w:type="spellEnd"/>
      <w:r w:rsidRPr="00A119E8">
        <w:t xml:space="preserve"> </w:t>
      </w:r>
      <w:proofErr w:type="spellStart"/>
      <w:r w:rsidRPr="00A119E8">
        <w:t>Pasifika</w:t>
      </w:r>
      <w:proofErr w:type="spellEnd"/>
      <w:r w:rsidRPr="00A119E8">
        <w:t xml:space="preserve"> maintains a close working relationship with Waikato DHB, and is member of a number of the DHB’s working groups, including the Rheumatic Fever Stakeholder Group, the Sore Throat Management Steering Group, the Immunisation Stakeholder Group and the Children’s Action team.</w:t>
      </w:r>
    </w:p>
    <w:p w:rsidR="00BA14B3" w:rsidRPr="00A119E8" w:rsidRDefault="00BA14B3" w:rsidP="00B324FB"/>
    <w:p w:rsidR="00BA14B3" w:rsidRPr="00A119E8" w:rsidRDefault="00BA14B3" w:rsidP="00B324FB">
      <w:r>
        <w:t>In Wellington, the Pacific Health and Wellbeing C</w:t>
      </w:r>
      <w:r w:rsidRPr="00A119E8">
        <w:t>ollective has established a strong working relationship with Capital &amp; Coast and Hutt Valley DHBs and holds regular monthly meetings with both.</w:t>
      </w:r>
    </w:p>
    <w:p w:rsidR="00BA14B3" w:rsidRPr="00A119E8" w:rsidRDefault="00BA14B3" w:rsidP="00B324FB"/>
    <w:p w:rsidR="00BA14B3" w:rsidRDefault="00BA14B3" w:rsidP="00B324FB">
      <w:pPr>
        <w:keepLines/>
      </w:pPr>
      <w:r w:rsidRPr="00A119E8">
        <w:lastRenderedPageBreak/>
        <w:t>Pacific Trust Canterbury works closely with Canterbury DHB, and also holds various primary health care, social services and education contracts that support improving Pacific peoples’ wellbeing in the Canterbury region. Pacific Trust Canterbury is part of the Pacific Reference Group, a forum which has representatives from Canterbury DHB, Pegasus PHO, the Ministry for Pacific Peoples and the youth community. The forum is chaired by Canterbury DHB and administered by the Pacific manager for Pegasus PHO.</w:t>
      </w:r>
    </w:p>
    <w:p w:rsidR="00B324FB" w:rsidRPr="00A119E8" w:rsidRDefault="00B324FB" w:rsidP="00B324FB"/>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A6A6A6" w:themeFill="background1" w:themeFillShade="A6"/>
          </w:tcPr>
          <w:p w:rsidR="00BA14B3" w:rsidRPr="00A119E8" w:rsidRDefault="00BA14B3" w:rsidP="00F07986">
            <w:pPr>
              <w:pStyle w:val="TableText"/>
              <w:spacing w:before="120" w:after="120"/>
              <w:rPr>
                <w:b/>
                <w:color w:val="FFFFFF"/>
                <w:sz w:val="20"/>
                <w:lang w:eastAsia="en-NZ"/>
              </w:rPr>
            </w:pPr>
            <w:r w:rsidRPr="00A119E8">
              <w:rPr>
                <w:b/>
                <w:color w:val="FFFFFF"/>
                <w:sz w:val="20"/>
                <w:lang w:eastAsia="en-NZ"/>
              </w:rPr>
              <w:t>Indicator 1</w:t>
            </w:r>
          </w:p>
        </w:tc>
        <w:tc>
          <w:tcPr>
            <w:tcW w:w="7796" w:type="dxa"/>
            <w:shd w:val="clear" w:color="auto" w:fill="A6A6A6" w:themeFill="background1" w:themeFillShade="A6"/>
          </w:tcPr>
          <w:p w:rsidR="00BA14B3" w:rsidRPr="00A119E8" w:rsidRDefault="00BA14B3" w:rsidP="00F07986">
            <w:pPr>
              <w:pStyle w:val="TableText"/>
              <w:spacing w:before="120" w:after="120"/>
              <w:ind w:left="142"/>
              <w:rPr>
                <w:b/>
                <w:color w:val="FFFFFF"/>
                <w:sz w:val="20"/>
                <w:lang w:eastAsia="en-NZ"/>
              </w:rPr>
            </w:pPr>
            <w:r w:rsidRPr="00A119E8">
              <w:rPr>
                <w:b/>
                <w:color w:val="FFFFFF"/>
                <w:sz w:val="20"/>
              </w:rPr>
              <w:t>Monitor the number of Pacific collectives/networks involved in DHB alliances through collective and network monitoring reports</w:t>
            </w:r>
          </w:p>
        </w:tc>
      </w:tr>
    </w:tbl>
    <w:p w:rsidR="00BA14B3" w:rsidRPr="00A119E8" w:rsidRDefault="00BA14B3" w:rsidP="00B324FB"/>
    <w:p w:rsidR="00BA14B3" w:rsidRPr="00A119E8" w:rsidRDefault="00BA14B3" w:rsidP="00B324FB">
      <w:r w:rsidRPr="00A119E8">
        <w:t>Refer to ‘Action Commentary</w:t>
      </w:r>
      <w:r>
        <w:t>’</w:t>
      </w:r>
      <w:r w:rsidRPr="00A119E8">
        <w:t xml:space="preserve"> above.</w:t>
      </w:r>
    </w:p>
    <w:p w:rsidR="00BA14B3" w:rsidRPr="00A119E8" w:rsidRDefault="00BA14B3" w:rsidP="00B324FB"/>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spacing w:before="120" w:after="120"/>
              <w:rPr>
                <w:b/>
                <w:sz w:val="24"/>
                <w:szCs w:val="24"/>
                <w:lang w:eastAsia="en-NZ"/>
              </w:rPr>
            </w:pPr>
            <w:r w:rsidRPr="00A119E8">
              <w:rPr>
                <w:b/>
                <w:sz w:val="24"/>
                <w:szCs w:val="24"/>
                <w:lang w:eastAsia="en-NZ"/>
              </w:rPr>
              <w:t>Action 2</w:t>
            </w:r>
          </w:p>
        </w:tc>
        <w:tc>
          <w:tcPr>
            <w:tcW w:w="7796" w:type="dxa"/>
            <w:shd w:val="clear" w:color="auto" w:fill="D9D9D9" w:themeFill="background1" w:themeFillShade="D9"/>
          </w:tcPr>
          <w:p w:rsidR="00BA14B3" w:rsidRPr="00A119E8" w:rsidRDefault="00BA14B3" w:rsidP="00F07986">
            <w:pPr>
              <w:pStyle w:val="TableText"/>
              <w:spacing w:before="120" w:after="120"/>
              <w:ind w:left="142"/>
              <w:rPr>
                <w:b/>
                <w:sz w:val="24"/>
                <w:szCs w:val="24"/>
                <w:lang w:eastAsia="en-NZ"/>
              </w:rPr>
            </w:pPr>
            <w:r w:rsidRPr="00A119E8">
              <w:rPr>
                <w:b/>
                <w:sz w:val="24"/>
              </w:rPr>
              <w:t>The new Integrated Performance and Incentive Framework (IPIF) will facilitate improved health outcomes for Pacific peoples.</w:t>
            </w:r>
          </w:p>
        </w:tc>
      </w:tr>
    </w:tbl>
    <w:p w:rsidR="00BA14B3" w:rsidRPr="00A119E8" w:rsidRDefault="00BA14B3" w:rsidP="00B324FB"/>
    <w:p w:rsidR="00BA14B3" w:rsidRPr="00A119E8" w:rsidRDefault="00BA14B3" w:rsidP="00B324FB">
      <w:pPr>
        <w:pStyle w:val="Heading3"/>
      </w:pPr>
      <w:r w:rsidRPr="00A119E8">
        <w:t>Action commentary</w:t>
      </w:r>
    </w:p>
    <w:p w:rsidR="00BA14B3" w:rsidRPr="00A119E8" w:rsidRDefault="00BA14B3" w:rsidP="00B324FB">
      <w:r w:rsidRPr="00A119E8">
        <w:t>IPIF has been established to support the health system to address equity, safety, quality, access and cost of services. It is a quality and performance improvement programme that will reward good performance and will be developed and implemented over several years.</w:t>
      </w:r>
    </w:p>
    <w:p w:rsidR="00BA14B3" w:rsidRPr="00A119E8" w:rsidRDefault="00BA14B3" w:rsidP="00B324FB"/>
    <w:p w:rsidR="00BA14B3" w:rsidRPr="00A119E8" w:rsidRDefault="00BA14B3" w:rsidP="00B324FB">
      <w:r w:rsidRPr="00A119E8">
        <w:t>The five system-level measures that commenced in 2014 have been confirmed for the 2015/2016 year. They are:</w:t>
      </w:r>
    </w:p>
    <w:p w:rsidR="00BA14B3" w:rsidRPr="00A119E8" w:rsidRDefault="00BA14B3" w:rsidP="00B324FB">
      <w:pPr>
        <w:pStyle w:val="Bullet"/>
      </w:pPr>
      <w:r w:rsidRPr="00A119E8">
        <w:t>more heart and diabetes checks (target = 90% of the relevant enrolled population)</w:t>
      </w:r>
    </w:p>
    <w:p w:rsidR="00BA14B3" w:rsidRPr="00A119E8" w:rsidRDefault="00BA14B3" w:rsidP="00B324FB">
      <w:pPr>
        <w:pStyle w:val="Bullet"/>
      </w:pPr>
      <w:proofErr w:type="gramStart"/>
      <w:r w:rsidRPr="00A119E8">
        <w:t>better</w:t>
      </w:r>
      <w:proofErr w:type="gramEnd"/>
      <w:r w:rsidRPr="00A119E8">
        <w:t xml:space="preserve"> help for smokers to quit (target = 90%)</w:t>
      </w:r>
    </w:p>
    <w:p w:rsidR="00BA14B3" w:rsidRPr="00A119E8" w:rsidRDefault="00BA14B3" w:rsidP="00B324FB">
      <w:pPr>
        <w:pStyle w:val="Bullet"/>
      </w:pPr>
      <w:proofErr w:type="gramStart"/>
      <w:r w:rsidRPr="00A119E8">
        <w:t>increased</w:t>
      </w:r>
      <w:proofErr w:type="gramEnd"/>
      <w:r w:rsidRPr="00A119E8">
        <w:t xml:space="preserve"> immunisation rates at eight months old (target = 95%)</w:t>
      </w:r>
    </w:p>
    <w:p w:rsidR="00BA14B3" w:rsidRPr="00A119E8" w:rsidRDefault="00BA14B3" w:rsidP="00B324FB">
      <w:pPr>
        <w:pStyle w:val="Bullet"/>
      </w:pPr>
      <w:proofErr w:type="gramStart"/>
      <w:r w:rsidRPr="00A119E8">
        <w:t>increased</w:t>
      </w:r>
      <w:proofErr w:type="gramEnd"/>
      <w:r w:rsidRPr="00A119E8">
        <w:t xml:space="preserve"> immunisation rates at two years old (target = 95%)</w:t>
      </w:r>
    </w:p>
    <w:p w:rsidR="00BA14B3" w:rsidRPr="00A119E8" w:rsidRDefault="00BA14B3" w:rsidP="00B324FB">
      <w:pPr>
        <w:pStyle w:val="Bullet"/>
      </w:pPr>
      <w:proofErr w:type="gramStart"/>
      <w:r w:rsidRPr="00A119E8">
        <w:t>increased</w:t>
      </w:r>
      <w:proofErr w:type="gramEnd"/>
      <w:r w:rsidRPr="00A119E8">
        <w:t xml:space="preserve"> cervical screening coverage (target = 80%).</w:t>
      </w:r>
    </w:p>
    <w:p w:rsidR="00BA14B3" w:rsidRPr="00A119E8" w:rsidRDefault="00BA14B3" w:rsidP="00B324FB"/>
    <w:p w:rsidR="00BA14B3" w:rsidRPr="00A119E8" w:rsidRDefault="00BA14B3" w:rsidP="00B324FB">
      <w:r w:rsidRPr="00A119E8">
        <w:t>To demonstrate their commitment to high standards of care, PHOs are carrying out self-assessments.</w:t>
      </w:r>
    </w:p>
    <w:p w:rsidR="00BA14B3" w:rsidRPr="00A119E8" w:rsidRDefault="00BA14B3" w:rsidP="00B324FB"/>
    <w:p w:rsidR="00BA14B3" w:rsidRPr="00A119E8" w:rsidRDefault="00BA14B3" w:rsidP="00B324FB">
      <w:r w:rsidRPr="00A119E8">
        <w:t>In addition, the Ministry and the Health Quality &amp; Safety Commission are introducing patient experience measures for primary care using online surveys. The information gathered in this way will be used to improve the quality and safety of services, and define one of the IPIF’s measures of patient care.</w:t>
      </w:r>
    </w:p>
    <w:p w:rsidR="00BA14B3" w:rsidRPr="00A119E8" w:rsidRDefault="00BA14B3" w:rsidP="00B324FB"/>
    <w:p w:rsidR="00BA14B3" w:rsidRPr="00A119E8" w:rsidRDefault="00BA14B3" w:rsidP="00B324FB">
      <w:r w:rsidRPr="00A119E8">
        <w:t>The IPIF continues to have an equity focus; all measures will include ethnicity breakdowns.</w:t>
      </w:r>
    </w:p>
    <w:p w:rsidR="00BA14B3" w:rsidRPr="00A119E8" w:rsidRDefault="00BA14B3" w:rsidP="00B324FB"/>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A6A6A6" w:themeFill="background1" w:themeFillShade="A6"/>
          </w:tcPr>
          <w:p w:rsidR="00BA14B3" w:rsidRPr="00A119E8" w:rsidRDefault="00BA14B3" w:rsidP="00F07986">
            <w:pPr>
              <w:pStyle w:val="TableText"/>
              <w:spacing w:before="120" w:after="120"/>
              <w:rPr>
                <w:b/>
                <w:color w:val="FFFFFF"/>
                <w:sz w:val="20"/>
                <w:lang w:eastAsia="en-NZ"/>
              </w:rPr>
            </w:pPr>
            <w:r w:rsidRPr="00A119E8">
              <w:rPr>
                <w:b/>
                <w:color w:val="FFFFFF"/>
                <w:sz w:val="20"/>
                <w:lang w:eastAsia="en-NZ"/>
              </w:rPr>
              <w:t>Indicator 2a</w:t>
            </w:r>
          </w:p>
        </w:tc>
        <w:tc>
          <w:tcPr>
            <w:tcW w:w="7796" w:type="dxa"/>
            <w:shd w:val="clear" w:color="auto" w:fill="A6A6A6" w:themeFill="background1" w:themeFillShade="A6"/>
          </w:tcPr>
          <w:p w:rsidR="00BA14B3" w:rsidRPr="00A119E8" w:rsidRDefault="00BA14B3" w:rsidP="00B324FB">
            <w:pPr>
              <w:pStyle w:val="TableText"/>
              <w:spacing w:before="120" w:after="120"/>
              <w:ind w:left="142"/>
              <w:rPr>
                <w:b/>
                <w:color w:val="FFFFFF"/>
                <w:sz w:val="20"/>
                <w:lang w:eastAsia="en-NZ"/>
              </w:rPr>
            </w:pPr>
            <w:r w:rsidRPr="00A119E8">
              <w:rPr>
                <w:b/>
                <w:color w:val="FFFFFF"/>
                <w:sz w:val="20"/>
              </w:rPr>
              <w:t>Equity in all system measures for Pacific peoples (</w:t>
            </w:r>
            <w:proofErr w:type="spellStart"/>
            <w:r w:rsidRPr="00A119E8">
              <w:rPr>
                <w:b/>
                <w:color w:val="FFFFFF"/>
                <w:sz w:val="20"/>
              </w:rPr>
              <w:t>i</w:t>
            </w:r>
            <w:r>
              <w:rPr>
                <w:b/>
                <w:color w:val="FFFFFF"/>
                <w:sz w:val="20"/>
              </w:rPr>
              <w:t>e</w:t>
            </w:r>
            <w:proofErr w:type="spellEnd"/>
            <w:r w:rsidR="00B324FB">
              <w:rPr>
                <w:b/>
                <w:color w:val="FFFFFF"/>
                <w:sz w:val="20"/>
              </w:rPr>
              <w:t>,</w:t>
            </w:r>
            <w:r w:rsidRPr="00A119E8">
              <w:rPr>
                <w:b/>
                <w:color w:val="FFFFFF"/>
                <w:sz w:val="20"/>
              </w:rPr>
              <w:t xml:space="preserve"> healthy start measures, healthy child measures and healthy adult measures)</w:t>
            </w:r>
          </w:p>
        </w:tc>
      </w:tr>
    </w:tbl>
    <w:p w:rsidR="00BA14B3" w:rsidRPr="00A119E8" w:rsidRDefault="00BA14B3" w:rsidP="00B324FB"/>
    <w:p w:rsidR="00BA14B3" w:rsidRPr="00A119E8" w:rsidRDefault="00BA14B3" w:rsidP="00B324FB">
      <w:r w:rsidRPr="00A119E8">
        <w:t>Refer to ‘Action Commentary’ above, and to Figures 24, 25 and 30.</w:t>
      </w:r>
    </w:p>
    <w:p w:rsidR="00BA14B3" w:rsidRPr="00A119E8" w:rsidRDefault="00BA14B3" w:rsidP="00B324FB"/>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A6A6A6" w:themeFill="background1" w:themeFillShade="A6"/>
          </w:tcPr>
          <w:p w:rsidR="00BA14B3" w:rsidRPr="00A119E8" w:rsidRDefault="00BA14B3" w:rsidP="00D2207C">
            <w:pPr>
              <w:pStyle w:val="TableText"/>
              <w:keepNext/>
              <w:spacing w:before="120" w:after="120"/>
              <w:rPr>
                <w:b/>
                <w:color w:val="FFFFFF"/>
                <w:sz w:val="20"/>
                <w:lang w:eastAsia="en-NZ"/>
              </w:rPr>
            </w:pPr>
            <w:r w:rsidRPr="00A119E8">
              <w:rPr>
                <w:b/>
                <w:color w:val="FFFFFF"/>
                <w:sz w:val="20"/>
                <w:lang w:eastAsia="en-NZ"/>
              </w:rPr>
              <w:lastRenderedPageBreak/>
              <w:t>Indicator 2b</w:t>
            </w:r>
          </w:p>
        </w:tc>
        <w:tc>
          <w:tcPr>
            <w:tcW w:w="7796" w:type="dxa"/>
            <w:shd w:val="clear" w:color="auto" w:fill="A6A6A6" w:themeFill="background1" w:themeFillShade="A6"/>
          </w:tcPr>
          <w:p w:rsidR="00BA14B3" w:rsidRPr="00A119E8" w:rsidRDefault="00BA14B3" w:rsidP="00D2207C">
            <w:pPr>
              <w:pStyle w:val="TableText"/>
              <w:keepNext/>
              <w:spacing w:before="120" w:after="120"/>
              <w:ind w:left="142"/>
              <w:rPr>
                <w:b/>
                <w:color w:val="FFFFFF"/>
                <w:sz w:val="20"/>
                <w:lang w:eastAsia="en-NZ"/>
              </w:rPr>
            </w:pPr>
            <w:r w:rsidRPr="00A119E8">
              <w:rPr>
                <w:b/>
                <w:color w:val="FFFFFF"/>
                <w:sz w:val="20"/>
              </w:rPr>
              <w:t>Increased utilisation rates of primary health care providers in the eight priority DHBs</w:t>
            </w:r>
          </w:p>
        </w:tc>
      </w:tr>
    </w:tbl>
    <w:p w:rsidR="00BA14B3" w:rsidRPr="00A119E8" w:rsidRDefault="00BA14B3" w:rsidP="00D2207C">
      <w:pPr>
        <w:keepNext/>
      </w:pPr>
    </w:p>
    <w:p w:rsidR="00BA14B3" w:rsidRPr="00A119E8" w:rsidRDefault="00BA14B3" w:rsidP="00D2207C">
      <w:pPr>
        <w:keepNext/>
      </w:pPr>
      <w:r w:rsidRPr="00B324FB">
        <w:rPr>
          <w:b/>
        </w:rPr>
        <w:t>Performance:</w:t>
      </w:r>
      <w:r w:rsidRPr="00A119E8">
        <w:t xml:space="preserve"> There is no target set for this indicator.</w:t>
      </w:r>
    </w:p>
    <w:p w:rsidR="00BA14B3" w:rsidRPr="00A119E8" w:rsidRDefault="00BA14B3" w:rsidP="00D2207C">
      <w:pPr>
        <w:keepNext/>
      </w:pPr>
    </w:p>
    <w:p w:rsidR="00BA14B3" w:rsidRPr="00A119E8" w:rsidRDefault="00BA14B3" w:rsidP="00B324FB">
      <w:pPr>
        <w:pStyle w:val="Figure"/>
      </w:pPr>
      <w:bookmarkStart w:id="160" w:name="_Toc428368085"/>
      <w:bookmarkStart w:id="161" w:name="_Toc428370463"/>
      <w:bookmarkStart w:id="162" w:name="_Toc445801468"/>
      <w:bookmarkStart w:id="163" w:name="_Toc447527167"/>
      <w:r w:rsidRPr="00A119E8">
        <w:t xml:space="preserve">Figure </w:t>
      </w:r>
      <w:fldSimple w:instr=" SEQ Figure \* ARABIC ">
        <w:r w:rsidR="008D5FF2">
          <w:rPr>
            <w:noProof/>
          </w:rPr>
          <w:t>31</w:t>
        </w:r>
      </w:fldSimple>
      <w:r w:rsidRPr="00A119E8">
        <w:t>: GP utilisation rate (average visits per person per year), Pacific peoples population and total New Zealand population, 2008–201</w:t>
      </w:r>
      <w:bookmarkEnd w:id="160"/>
      <w:bookmarkEnd w:id="161"/>
      <w:r w:rsidRPr="00A119E8">
        <w:t>5</w:t>
      </w:r>
      <w:bookmarkEnd w:id="162"/>
      <w:bookmarkEnd w:id="163"/>
    </w:p>
    <w:p w:rsidR="00BA14B3" w:rsidRDefault="00DD38BE" w:rsidP="00F455A1">
      <w:pPr>
        <w:spacing w:after="120"/>
        <w:rPr>
          <w:lang w:eastAsia="en-NZ"/>
        </w:rPr>
      </w:pPr>
      <w:r>
        <w:rPr>
          <w:noProof/>
          <w:lang w:eastAsia="en-NZ"/>
        </w:rPr>
        <w:drawing>
          <wp:inline distT="0" distB="0" distL="0" distR="0" wp14:anchorId="2E9C0C42" wp14:editId="338EFC38">
            <wp:extent cx="4522909" cy="2759826"/>
            <wp:effectExtent l="0" t="0" r="0" b="0"/>
            <wp:docPr id="129" name="Picture 129" title="Figure 31: GP utilisation rate (average visits per person per year), Pacific peoples population and total New Zealand population,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2959" cy="2759856"/>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F455A1" w:rsidRPr="00F455A1" w:rsidTr="00F455A1">
        <w:trPr>
          <w:cantSplit/>
        </w:trPr>
        <w:tc>
          <w:tcPr>
            <w:tcW w:w="1418" w:type="dxa"/>
            <w:tcBorders>
              <w:top w:val="single" w:sz="4" w:space="0" w:color="auto"/>
              <w:bottom w:val="single" w:sz="4" w:space="0" w:color="auto"/>
            </w:tcBorders>
          </w:tcPr>
          <w:p w:rsidR="00F455A1" w:rsidRPr="00F455A1" w:rsidRDefault="00F455A1" w:rsidP="00BC4823">
            <w:pPr>
              <w:pStyle w:val="TableText"/>
              <w:rPr>
                <w:b/>
                <w:sz w:val="14"/>
                <w:szCs w:val="14"/>
              </w:rPr>
            </w:pP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2008</w:t>
            </w: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2009</w:t>
            </w: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2010</w:t>
            </w:r>
          </w:p>
        </w:tc>
        <w:tc>
          <w:tcPr>
            <w:tcW w:w="674"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2011</w:t>
            </w: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2012</w:t>
            </w: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2013</w:t>
            </w:r>
          </w:p>
        </w:tc>
        <w:tc>
          <w:tcPr>
            <w:tcW w:w="673"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2014</w:t>
            </w:r>
          </w:p>
        </w:tc>
        <w:tc>
          <w:tcPr>
            <w:tcW w:w="674" w:type="dxa"/>
            <w:tcBorders>
              <w:top w:val="single" w:sz="4" w:space="0" w:color="auto"/>
              <w:bottom w:val="single" w:sz="4" w:space="0" w:color="auto"/>
            </w:tcBorders>
          </w:tcPr>
          <w:p w:rsidR="00F455A1" w:rsidRPr="00F455A1" w:rsidRDefault="00F455A1" w:rsidP="00F455A1">
            <w:pPr>
              <w:pStyle w:val="TableText"/>
              <w:jc w:val="center"/>
              <w:rPr>
                <w:b/>
                <w:sz w:val="14"/>
              </w:rPr>
            </w:pPr>
            <w:r w:rsidRPr="00F455A1">
              <w:rPr>
                <w:b/>
                <w:sz w:val="14"/>
              </w:rPr>
              <w:t>2015*</w:t>
            </w:r>
          </w:p>
        </w:tc>
      </w:tr>
      <w:tr w:rsidR="00F455A1" w:rsidRPr="00023B19" w:rsidTr="00F455A1">
        <w:trPr>
          <w:cantSplit/>
        </w:trPr>
        <w:tc>
          <w:tcPr>
            <w:tcW w:w="1418" w:type="dxa"/>
            <w:tcBorders>
              <w:top w:val="single" w:sz="4" w:space="0" w:color="A6A6A6" w:themeColor="background1" w:themeShade="A6"/>
              <w:bottom w:val="single" w:sz="4" w:space="0" w:color="A6A6A6" w:themeColor="background1" w:themeShade="A6"/>
            </w:tcBorders>
          </w:tcPr>
          <w:p w:rsidR="00F455A1" w:rsidRPr="00F455A1" w:rsidRDefault="00F455A1" w:rsidP="00BC4823">
            <w:pPr>
              <w:pStyle w:val="TableText"/>
              <w:rPr>
                <w:sz w:val="14"/>
              </w:rPr>
            </w:pPr>
            <w:r w:rsidRPr="00F455A1">
              <w:rPr>
                <w:sz w:val="14"/>
              </w:rPr>
              <w:t>Pacific</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2.84</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2.89</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2.74</w:t>
            </w:r>
          </w:p>
        </w:tc>
        <w:tc>
          <w:tcPr>
            <w:tcW w:w="674"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2.93</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2.86</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2.88</w:t>
            </w:r>
          </w:p>
        </w:tc>
        <w:tc>
          <w:tcPr>
            <w:tcW w:w="673"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2.98</w:t>
            </w:r>
          </w:p>
        </w:tc>
        <w:tc>
          <w:tcPr>
            <w:tcW w:w="674" w:type="dxa"/>
            <w:tcBorders>
              <w:top w:val="single" w:sz="4" w:space="0" w:color="A6A6A6" w:themeColor="background1" w:themeShade="A6"/>
              <w:bottom w:val="single" w:sz="4" w:space="0" w:color="A6A6A6" w:themeColor="background1" w:themeShade="A6"/>
            </w:tcBorders>
          </w:tcPr>
          <w:p w:rsidR="00F455A1" w:rsidRPr="00F455A1" w:rsidRDefault="00F455A1" w:rsidP="00F455A1">
            <w:pPr>
              <w:pStyle w:val="TableText"/>
              <w:jc w:val="center"/>
              <w:rPr>
                <w:sz w:val="14"/>
              </w:rPr>
            </w:pPr>
            <w:r w:rsidRPr="00F455A1">
              <w:rPr>
                <w:sz w:val="14"/>
              </w:rPr>
              <w:t>3.01</w:t>
            </w:r>
          </w:p>
        </w:tc>
      </w:tr>
      <w:tr w:rsidR="00F455A1" w:rsidRPr="00023B19" w:rsidTr="00F455A1">
        <w:trPr>
          <w:cantSplit/>
        </w:trPr>
        <w:tc>
          <w:tcPr>
            <w:tcW w:w="1418" w:type="dxa"/>
            <w:tcBorders>
              <w:top w:val="single" w:sz="4" w:space="0" w:color="A6A6A6" w:themeColor="background1" w:themeShade="A6"/>
              <w:bottom w:val="single" w:sz="4" w:space="0" w:color="auto"/>
            </w:tcBorders>
          </w:tcPr>
          <w:p w:rsidR="00F455A1" w:rsidRPr="00F455A1" w:rsidRDefault="00F455A1" w:rsidP="00BC4823">
            <w:pPr>
              <w:pStyle w:val="TableText"/>
              <w:rPr>
                <w:sz w:val="14"/>
              </w:rPr>
            </w:pPr>
            <w:r w:rsidRPr="00F455A1">
              <w:rPr>
                <w:sz w:val="14"/>
              </w:rPr>
              <w:t>Total New Zealand</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2.91</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2.90</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2.90</w:t>
            </w:r>
          </w:p>
        </w:tc>
        <w:tc>
          <w:tcPr>
            <w:tcW w:w="674"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2.90</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2.87</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2.90</w:t>
            </w:r>
          </w:p>
        </w:tc>
        <w:tc>
          <w:tcPr>
            <w:tcW w:w="673"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2.93</w:t>
            </w:r>
          </w:p>
        </w:tc>
        <w:tc>
          <w:tcPr>
            <w:tcW w:w="674" w:type="dxa"/>
            <w:tcBorders>
              <w:top w:val="single" w:sz="4" w:space="0" w:color="A6A6A6" w:themeColor="background1" w:themeShade="A6"/>
              <w:bottom w:val="single" w:sz="4" w:space="0" w:color="auto"/>
            </w:tcBorders>
          </w:tcPr>
          <w:p w:rsidR="00F455A1" w:rsidRPr="00F455A1" w:rsidRDefault="00F455A1" w:rsidP="00F455A1">
            <w:pPr>
              <w:pStyle w:val="TableText"/>
              <w:jc w:val="center"/>
              <w:rPr>
                <w:sz w:val="14"/>
              </w:rPr>
            </w:pPr>
            <w:r w:rsidRPr="00F455A1">
              <w:rPr>
                <w:sz w:val="14"/>
              </w:rPr>
              <w:t>2.95</w:t>
            </w:r>
          </w:p>
        </w:tc>
      </w:tr>
    </w:tbl>
    <w:p w:rsidR="00BA14B3" w:rsidRPr="00F455A1" w:rsidRDefault="00BA14B3" w:rsidP="00F455A1">
      <w:pPr>
        <w:pStyle w:val="Note"/>
        <w:rPr>
          <w:sz w:val="14"/>
        </w:rPr>
      </w:pPr>
      <w:r w:rsidRPr="00F455A1">
        <w:rPr>
          <w:sz w:val="14"/>
        </w:rPr>
        <w:t>*</w:t>
      </w:r>
      <w:r w:rsidR="00B324FB" w:rsidRPr="00F455A1">
        <w:rPr>
          <w:sz w:val="14"/>
        </w:rPr>
        <w:tab/>
      </w:r>
      <w:r w:rsidRPr="00F455A1">
        <w:rPr>
          <w:sz w:val="14"/>
        </w:rPr>
        <w:t xml:space="preserve">Financial </w:t>
      </w:r>
      <w:r w:rsidR="00B324FB" w:rsidRPr="00F455A1">
        <w:rPr>
          <w:sz w:val="14"/>
        </w:rPr>
        <w:t>y</w:t>
      </w:r>
      <w:r w:rsidRPr="00F455A1">
        <w:rPr>
          <w:sz w:val="14"/>
        </w:rPr>
        <w:t>ear 2014/2015</w:t>
      </w:r>
    </w:p>
    <w:p w:rsidR="003917C3" w:rsidRPr="00A119E8" w:rsidRDefault="003917C3" w:rsidP="00F455A1"/>
    <w:p w:rsidR="0034306E" w:rsidRDefault="00BA14B3" w:rsidP="00F455A1">
      <w:r w:rsidRPr="00A119E8">
        <w:t xml:space="preserve">Figure 31 shows </w:t>
      </w:r>
      <w:r>
        <w:t xml:space="preserve">that </w:t>
      </w:r>
      <w:r w:rsidRPr="00A119E8">
        <w:t>Pacific peoples were more likely to have accessed their GPs than the total New Zealand population. The introduction of the Very Low Cost Access (VLCA) scheme has helped achieve equity for Pacific peoples’ GP utilisation in New Zealand. The VLCA scheme was introduced in October 2006. This is a voluntary scheme that general practices can opt out of at any time if they find it is no longer appropriate for them. From October 2009, eligibility for the VLCA payment was limited to PHOs and contracted general practices with an enrolled population of 50 percent or more high-needs patients</w:t>
      </w:r>
      <w:r w:rsidRPr="00A119E8" w:rsidDel="003D3639">
        <w:t xml:space="preserve"> </w:t>
      </w:r>
      <w:r w:rsidRPr="00A119E8">
        <w:t>(defined as Māori, Pacific or New Zealand Deprivation Index quintile 5).</w:t>
      </w:r>
    </w:p>
    <w:p w:rsidR="00B324FB" w:rsidRDefault="00B324FB" w:rsidP="00B324FB"/>
    <w:p w:rsidR="00BA14B3" w:rsidRPr="00A119E8" w:rsidRDefault="00BA14B3" w:rsidP="00B324FB">
      <w:pPr>
        <w:pStyle w:val="Figure"/>
      </w:pPr>
      <w:bookmarkStart w:id="164" w:name="_Toc428368086"/>
      <w:bookmarkStart w:id="165" w:name="_Toc428370464"/>
      <w:bookmarkStart w:id="166" w:name="_Toc445801469"/>
      <w:bookmarkStart w:id="167" w:name="_Toc447527168"/>
      <w:r w:rsidRPr="00A119E8">
        <w:lastRenderedPageBreak/>
        <w:t xml:space="preserve">Figure </w:t>
      </w:r>
      <w:fldSimple w:instr=" SEQ Figure \* ARABIC ">
        <w:r w:rsidR="008D5FF2">
          <w:rPr>
            <w:noProof/>
          </w:rPr>
          <w:t>32</w:t>
        </w:r>
      </w:fldSimple>
      <w:r w:rsidRPr="00A119E8">
        <w:t>: GP utilisation rate (average visits per person), Pacific peoples, by priority DHBs, 2008–201</w:t>
      </w:r>
      <w:r>
        <w:t>5</w:t>
      </w:r>
      <w:bookmarkEnd w:id="164"/>
      <w:bookmarkEnd w:id="165"/>
      <w:bookmarkEnd w:id="166"/>
      <w:bookmarkEnd w:id="167"/>
    </w:p>
    <w:p w:rsidR="00BA14B3" w:rsidRDefault="00DD38BE" w:rsidP="00187396">
      <w:pPr>
        <w:keepNext/>
        <w:spacing w:after="120"/>
      </w:pPr>
      <w:r>
        <w:rPr>
          <w:noProof/>
          <w:lang w:eastAsia="en-NZ"/>
        </w:rPr>
        <w:drawing>
          <wp:inline distT="0" distB="0" distL="0" distR="0" wp14:anchorId="0F6ECBAF" wp14:editId="2888BC29">
            <wp:extent cx="4488873" cy="2742152"/>
            <wp:effectExtent l="0" t="0" r="6985" b="0"/>
            <wp:docPr id="130" name="Picture 130" title="Figure 32: GP utilisation rate (average visits per person), Pacific peoples, by priority DHBs,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1291" cy="2743629"/>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187396" w:rsidRPr="00F455A1" w:rsidTr="00BC4823">
        <w:trPr>
          <w:cantSplit/>
        </w:trPr>
        <w:tc>
          <w:tcPr>
            <w:tcW w:w="1418" w:type="dxa"/>
            <w:tcBorders>
              <w:top w:val="single" w:sz="4" w:space="0" w:color="auto"/>
              <w:bottom w:val="single" w:sz="4" w:space="0" w:color="auto"/>
            </w:tcBorders>
          </w:tcPr>
          <w:p w:rsidR="00187396" w:rsidRPr="00F455A1" w:rsidRDefault="00187396" w:rsidP="00187396">
            <w:pPr>
              <w:pStyle w:val="TableText"/>
              <w:keepNext/>
              <w:rPr>
                <w:b/>
                <w:sz w:val="14"/>
                <w:szCs w:val="14"/>
              </w:rPr>
            </w:pP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2008</w:t>
            </w: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2009</w:t>
            </w: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2010</w:t>
            </w:r>
          </w:p>
        </w:tc>
        <w:tc>
          <w:tcPr>
            <w:tcW w:w="674"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2011</w:t>
            </w: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2012</w:t>
            </w: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2013</w:t>
            </w:r>
          </w:p>
        </w:tc>
        <w:tc>
          <w:tcPr>
            <w:tcW w:w="673"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2014</w:t>
            </w:r>
          </w:p>
        </w:tc>
        <w:tc>
          <w:tcPr>
            <w:tcW w:w="674" w:type="dxa"/>
            <w:tcBorders>
              <w:top w:val="single" w:sz="4" w:space="0" w:color="auto"/>
              <w:bottom w:val="single" w:sz="4" w:space="0" w:color="auto"/>
            </w:tcBorders>
          </w:tcPr>
          <w:p w:rsidR="00187396" w:rsidRPr="00F455A1" w:rsidRDefault="00187396" w:rsidP="00187396">
            <w:pPr>
              <w:pStyle w:val="TableText"/>
              <w:keepNext/>
              <w:jc w:val="center"/>
              <w:rPr>
                <w:b/>
                <w:sz w:val="14"/>
              </w:rPr>
            </w:pPr>
            <w:r w:rsidRPr="00F455A1">
              <w:rPr>
                <w:b/>
                <w:sz w:val="14"/>
              </w:rPr>
              <w:t>2015*</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Auckland</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2.79</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2.50</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2.85</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2.97</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Canterbury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1.86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1.95</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1.64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1.89</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1.96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2.04</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2.04</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Capital &amp; Coast</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2.72</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2.80</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2.90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2.90</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 xml:space="preserve">Counties </w:t>
            </w:r>
            <w:proofErr w:type="spellStart"/>
            <w:r w:rsidRPr="00187396">
              <w:rPr>
                <w:sz w:val="14"/>
              </w:rPr>
              <w:t>Manukau</w:t>
            </w:r>
            <w:proofErr w:type="spellEnd"/>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3.31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3.31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3.01</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3.62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3.36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3.58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3.59</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3.55</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Hawke's Bay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2.69</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2.84</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2.91</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Hutt Valley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2.10</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2.11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2.08</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2.13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2.05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2.22</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2.20</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r w:rsidRPr="00187396">
              <w:rPr>
                <w:sz w:val="14"/>
              </w:rPr>
              <w:t>Waikato</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1.82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2.26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2.52</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2.33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2.37</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2.30</w:t>
            </w:r>
          </w:p>
        </w:tc>
      </w:tr>
      <w:tr w:rsidR="00187396" w:rsidRPr="00F455A1"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6C213B">
            <w:pPr>
              <w:pStyle w:val="TableText"/>
              <w:rPr>
                <w:sz w:val="14"/>
              </w:rPr>
            </w:pPr>
            <w:proofErr w:type="spellStart"/>
            <w:r w:rsidRPr="00187396">
              <w:rPr>
                <w:sz w:val="14"/>
              </w:rPr>
              <w:t>Waitemata</w:t>
            </w:r>
            <w:proofErr w:type="spellEnd"/>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2.65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2.52</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2.47</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2.30</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2.58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2.77</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2.78</w:t>
            </w:r>
          </w:p>
        </w:tc>
      </w:tr>
      <w:tr w:rsidR="00187396" w:rsidRPr="00F455A1" w:rsidTr="00187396">
        <w:trPr>
          <w:cantSplit/>
        </w:trPr>
        <w:tc>
          <w:tcPr>
            <w:tcW w:w="1418" w:type="dxa"/>
            <w:tcBorders>
              <w:top w:val="single" w:sz="4" w:space="0" w:color="A6A6A6" w:themeColor="background1" w:themeShade="A6"/>
              <w:bottom w:val="single" w:sz="4" w:space="0" w:color="auto"/>
            </w:tcBorders>
          </w:tcPr>
          <w:p w:rsidR="00187396" w:rsidRPr="00187396" w:rsidRDefault="00187396" w:rsidP="006C213B">
            <w:pPr>
              <w:pStyle w:val="TableText"/>
              <w:rPr>
                <w:sz w:val="14"/>
              </w:rPr>
            </w:pPr>
            <w:r w:rsidRPr="00187396">
              <w:rPr>
                <w:sz w:val="14"/>
              </w:rPr>
              <w:t>Total New Zealand</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2.91</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2.90</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2.90</w:t>
            </w:r>
          </w:p>
        </w:tc>
        <w:tc>
          <w:tcPr>
            <w:tcW w:w="674"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2.90</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2.87</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2.90</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2.93</w:t>
            </w:r>
          </w:p>
        </w:tc>
        <w:tc>
          <w:tcPr>
            <w:tcW w:w="674"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2.95</w:t>
            </w:r>
          </w:p>
        </w:tc>
      </w:tr>
    </w:tbl>
    <w:p w:rsidR="00BA14B3" w:rsidRPr="00A119E8" w:rsidRDefault="00BA14B3" w:rsidP="00B324FB">
      <w:pPr>
        <w:pStyle w:val="Note"/>
      </w:pPr>
      <w:r w:rsidRPr="00A119E8">
        <w:t>*</w:t>
      </w:r>
      <w:r w:rsidR="00B324FB">
        <w:tab/>
      </w:r>
      <w:r w:rsidRPr="00A119E8">
        <w:t xml:space="preserve">Financial </w:t>
      </w:r>
      <w:r w:rsidR="00B324FB">
        <w:t>y</w:t>
      </w:r>
      <w:r w:rsidRPr="00A119E8">
        <w:t>ear 2014/2015</w:t>
      </w:r>
    </w:p>
    <w:p w:rsidR="003917C3" w:rsidRPr="00A119E8" w:rsidRDefault="003917C3" w:rsidP="00B324FB"/>
    <w:p w:rsidR="00BA14B3" w:rsidRPr="00A119E8" w:rsidRDefault="00BA14B3" w:rsidP="00B324FB">
      <w:r w:rsidRPr="00A119E8">
        <w:t xml:space="preserve">Figure 32 shows </w:t>
      </w:r>
      <w:r>
        <w:t xml:space="preserve">that </w:t>
      </w:r>
      <w:r w:rsidRPr="00A119E8">
        <w:t xml:space="preserve">Counties </w:t>
      </w:r>
      <w:proofErr w:type="spellStart"/>
      <w:r w:rsidRPr="00A119E8">
        <w:t>Manukau</w:t>
      </w:r>
      <w:proofErr w:type="spellEnd"/>
      <w:r w:rsidRPr="00A119E8">
        <w:t xml:space="preserve">, the DHB with the largest enrolled Pacific population, had the highest average visit per person, followed by Auckland. They were the only two DHBs that had achieved equity. Other DHBs (Hawke’s Bay, Capital &amp; Coast and </w:t>
      </w:r>
      <w:proofErr w:type="spellStart"/>
      <w:r w:rsidRPr="00A119E8">
        <w:t>Waitemata</w:t>
      </w:r>
      <w:proofErr w:type="spellEnd"/>
      <w:r w:rsidRPr="00A119E8">
        <w:t>) have also been improving and are not far away from achieving equity.</w:t>
      </w:r>
    </w:p>
    <w:p w:rsidR="00BA14B3" w:rsidRPr="00A119E8" w:rsidRDefault="00BA14B3" w:rsidP="00B324FB"/>
    <w:p w:rsidR="00BA14B3" w:rsidRPr="00A119E8" w:rsidRDefault="00BA14B3" w:rsidP="00B324FB">
      <w:pPr>
        <w:pStyle w:val="Figure"/>
      </w:pPr>
      <w:bookmarkStart w:id="168" w:name="_Toc428368087"/>
      <w:bookmarkStart w:id="169" w:name="_Toc428370465"/>
      <w:bookmarkStart w:id="170" w:name="_Toc445801470"/>
      <w:bookmarkStart w:id="171" w:name="_Toc447527169"/>
      <w:r w:rsidRPr="00A119E8">
        <w:lastRenderedPageBreak/>
        <w:t xml:space="preserve">Figure </w:t>
      </w:r>
      <w:fldSimple w:instr=" SEQ Figure \* ARABIC ">
        <w:r w:rsidR="008D5FF2">
          <w:rPr>
            <w:noProof/>
          </w:rPr>
          <w:t>33</w:t>
        </w:r>
      </w:fldSimple>
      <w:r w:rsidRPr="00A119E8">
        <w:t xml:space="preserve">: Nurse </w:t>
      </w:r>
      <w:proofErr w:type="gramStart"/>
      <w:r w:rsidRPr="00A119E8">
        <w:t>utilisation</w:t>
      </w:r>
      <w:proofErr w:type="gramEnd"/>
      <w:r w:rsidRPr="00A119E8">
        <w:t xml:space="preserve"> rate (average visits per person), Pacific peoples population and total New Zealand population, 2008–201</w:t>
      </w:r>
      <w:bookmarkEnd w:id="168"/>
      <w:bookmarkEnd w:id="169"/>
      <w:r w:rsidRPr="00A119E8">
        <w:t>5</w:t>
      </w:r>
      <w:bookmarkEnd w:id="170"/>
      <w:bookmarkEnd w:id="171"/>
    </w:p>
    <w:p w:rsidR="00BA14B3" w:rsidRDefault="00DD38BE" w:rsidP="00187396">
      <w:pPr>
        <w:keepNext/>
        <w:spacing w:after="120"/>
      </w:pPr>
      <w:r>
        <w:rPr>
          <w:noProof/>
          <w:lang w:eastAsia="en-NZ"/>
        </w:rPr>
        <w:drawing>
          <wp:inline distT="0" distB="0" distL="0" distR="0" wp14:anchorId="20A74497" wp14:editId="4BFF2A93">
            <wp:extent cx="4509288" cy="2751513"/>
            <wp:effectExtent l="0" t="0" r="0" b="0"/>
            <wp:docPr id="131" name="Picture 131" title="Figure 33: Nurse utilisation rate (average visits per person), Pacific peoples population and total New Zealand population,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20943" cy="2758625"/>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187396" w:rsidRPr="00F455A1" w:rsidTr="00BC4823">
        <w:trPr>
          <w:cantSplit/>
        </w:trPr>
        <w:tc>
          <w:tcPr>
            <w:tcW w:w="1418" w:type="dxa"/>
            <w:tcBorders>
              <w:top w:val="single" w:sz="4" w:space="0" w:color="auto"/>
              <w:bottom w:val="single" w:sz="4" w:space="0" w:color="auto"/>
            </w:tcBorders>
          </w:tcPr>
          <w:p w:rsidR="00187396" w:rsidRPr="00F455A1" w:rsidRDefault="00187396" w:rsidP="00BC4823">
            <w:pPr>
              <w:pStyle w:val="TableText"/>
              <w:rPr>
                <w:b/>
                <w:sz w:val="14"/>
                <w:szCs w:val="14"/>
              </w:rPr>
            </w:pP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2008</w:t>
            </w: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2009</w:t>
            </w: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2010</w:t>
            </w:r>
          </w:p>
        </w:tc>
        <w:tc>
          <w:tcPr>
            <w:tcW w:w="674"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2011</w:t>
            </w: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2012</w:t>
            </w: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2013</w:t>
            </w:r>
          </w:p>
        </w:tc>
        <w:tc>
          <w:tcPr>
            <w:tcW w:w="673"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2014</w:t>
            </w:r>
          </w:p>
        </w:tc>
        <w:tc>
          <w:tcPr>
            <w:tcW w:w="674" w:type="dxa"/>
            <w:tcBorders>
              <w:top w:val="single" w:sz="4" w:space="0" w:color="auto"/>
              <w:bottom w:val="single" w:sz="4" w:space="0" w:color="auto"/>
            </w:tcBorders>
          </w:tcPr>
          <w:p w:rsidR="00187396" w:rsidRPr="00F455A1" w:rsidRDefault="00187396" w:rsidP="00BC4823">
            <w:pPr>
              <w:pStyle w:val="TableText"/>
              <w:jc w:val="center"/>
              <w:rPr>
                <w:b/>
                <w:sz w:val="14"/>
              </w:rPr>
            </w:pPr>
            <w:r w:rsidRPr="00F455A1">
              <w:rPr>
                <w:b/>
                <w:sz w:val="14"/>
              </w:rPr>
              <w:t>2015*</w:t>
            </w:r>
          </w:p>
        </w:tc>
      </w:tr>
      <w:tr w:rsidR="00187396"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F455A1" w:rsidRDefault="00187396" w:rsidP="00BC4823">
            <w:pPr>
              <w:pStyle w:val="TableText"/>
              <w:rPr>
                <w:sz w:val="14"/>
              </w:rPr>
            </w:pPr>
            <w:r w:rsidRPr="00F455A1">
              <w:rPr>
                <w:sz w:val="14"/>
              </w:rPr>
              <w:t>Pacific</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0.51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0.59</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0.64</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0.73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0.72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0.69</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0.75</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BC4823">
            <w:pPr>
              <w:pStyle w:val="TableText"/>
              <w:jc w:val="center"/>
              <w:rPr>
                <w:sz w:val="14"/>
              </w:rPr>
            </w:pPr>
            <w:r w:rsidRPr="00187396">
              <w:rPr>
                <w:sz w:val="14"/>
              </w:rPr>
              <w:t>0.76</w:t>
            </w:r>
          </w:p>
        </w:tc>
      </w:tr>
      <w:tr w:rsidR="00187396" w:rsidRPr="00023B19" w:rsidTr="00BC4823">
        <w:trPr>
          <w:cantSplit/>
        </w:trPr>
        <w:tc>
          <w:tcPr>
            <w:tcW w:w="1418" w:type="dxa"/>
            <w:tcBorders>
              <w:top w:val="single" w:sz="4" w:space="0" w:color="A6A6A6" w:themeColor="background1" w:themeShade="A6"/>
              <w:bottom w:val="single" w:sz="4" w:space="0" w:color="auto"/>
            </w:tcBorders>
          </w:tcPr>
          <w:p w:rsidR="00187396" w:rsidRPr="00F455A1" w:rsidRDefault="00187396" w:rsidP="00BC4823">
            <w:pPr>
              <w:pStyle w:val="TableText"/>
              <w:rPr>
                <w:sz w:val="14"/>
              </w:rPr>
            </w:pPr>
            <w:r w:rsidRPr="00F455A1">
              <w:rPr>
                <w:sz w:val="14"/>
              </w:rPr>
              <w:t>Total New Zealand</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0.40</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0.43</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0.50</w:t>
            </w:r>
          </w:p>
        </w:tc>
        <w:tc>
          <w:tcPr>
            <w:tcW w:w="674"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0.55</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0.56</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0.60</w:t>
            </w:r>
          </w:p>
        </w:tc>
        <w:tc>
          <w:tcPr>
            <w:tcW w:w="673"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0.64</w:t>
            </w:r>
          </w:p>
        </w:tc>
        <w:tc>
          <w:tcPr>
            <w:tcW w:w="674" w:type="dxa"/>
            <w:tcBorders>
              <w:top w:val="single" w:sz="4" w:space="0" w:color="A6A6A6" w:themeColor="background1" w:themeShade="A6"/>
              <w:bottom w:val="single" w:sz="4" w:space="0" w:color="auto"/>
            </w:tcBorders>
          </w:tcPr>
          <w:p w:rsidR="00187396" w:rsidRPr="00187396" w:rsidRDefault="00187396" w:rsidP="00BC4823">
            <w:pPr>
              <w:pStyle w:val="TableText"/>
              <w:jc w:val="center"/>
              <w:rPr>
                <w:sz w:val="14"/>
              </w:rPr>
            </w:pPr>
            <w:r w:rsidRPr="00187396">
              <w:rPr>
                <w:sz w:val="14"/>
              </w:rPr>
              <w:t>0.68</w:t>
            </w:r>
          </w:p>
        </w:tc>
      </w:tr>
    </w:tbl>
    <w:p w:rsidR="00BA14B3" w:rsidRPr="00A119E8" w:rsidRDefault="00BA14B3" w:rsidP="00B324FB">
      <w:pPr>
        <w:pStyle w:val="Note"/>
      </w:pPr>
      <w:r w:rsidRPr="00A119E8">
        <w:t>*</w:t>
      </w:r>
      <w:r w:rsidR="00B324FB">
        <w:tab/>
      </w:r>
      <w:r w:rsidRPr="00A119E8">
        <w:t xml:space="preserve">Financial </w:t>
      </w:r>
      <w:r w:rsidR="00B324FB">
        <w:t>y</w:t>
      </w:r>
      <w:r w:rsidRPr="00A119E8">
        <w:t>ear 2014/2015</w:t>
      </w:r>
    </w:p>
    <w:p w:rsidR="00BA14B3" w:rsidRPr="00A119E8" w:rsidRDefault="00BA14B3" w:rsidP="00B324FB"/>
    <w:p w:rsidR="0034306E" w:rsidRDefault="00BA14B3" w:rsidP="00B324FB">
      <w:r w:rsidRPr="00A119E8">
        <w:t>Figure 33 shows that the rates of utilisation of primary health nursing services were higher for Pacific peoples compared with the total New Zealand population. The rates dropped from 2011 until 2013, then increased again. This could be explained by the additional funding (to the VLCA scheme) available during 2013 and 2014 to fund graduate nurses to work in VLCA practices for one year.</w:t>
      </w:r>
    </w:p>
    <w:p w:rsidR="00BA14B3" w:rsidRPr="00A119E8" w:rsidRDefault="00BA14B3" w:rsidP="00B324FB"/>
    <w:p w:rsidR="00BA14B3" w:rsidRPr="00A119E8" w:rsidRDefault="00BA14B3" w:rsidP="00B324FB">
      <w:pPr>
        <w:pStyle w:val="Figure"/>
      </w:pPr>
      <w:bookmarkStart w:id="172" w:name="_Toc428368088"/>
      <w:bookmarkStart w:id="173" w:name="_Toc428370466"/>
      <w:bookmarkStart w:id="174" w:name="_Toc445801471"/>
      <w:bookmarkStart w:id="175" w:name="_Toc447527170"/>
      <w:r w:rsidRPr="00A119E8">
        <w:lastRenderedPageBreak/>
        <w:t xml:space="preserve">Figure </w:t>
      </w:r>
      <w:fldSimple w:instr=" SEQ Figure \* ARABIC ">
        <w:r w:rsidR="008D5FF2">
          <w:rPr>
            <w:noProof/>
          </w:rPr>
          <w:t>34</w:t>
        </w:r>
      </w:fldSimple>
      <w:r w:rsidRPr="00A119E8">
        <w:t xml:space="preserve">: Nurse </w:t>
      </w:r>
      <w:proofErr w:type="gramStart"/>
      <w:r w:rsidRPr="00A119E8">
        <w:t>utilisation</w:t>
      </w:r>
      <w:proofErr w:type="gramEnd"/>
      <w:r w:rsidRPr="00A119E8">
        <w:t xml:space="preserve"> rate (average visits per person), Pacific peoples, by priority DHBs, 2008–201</w:t>
      </w:r>
      <w:bookmarkEnd w:id="172"/>
      <w:bookmarkEnd w:id="173"/>
      <w:r w:rsidRPr="00A119E8">
        <w:t>5</w:t>
      </w:r>
      <w:bookmarkEnd w:id="174"/>
      <w:bookmarkEnd w:id="175"/>
    </w:p>
    <w:p w:rsidR="00BA14B3" w:rsidRDefault="00DD38BE" w:rsidP="00187396">
      <w:pPr>
        <w:keepNext/>
        <w:spacing w:after="120"/>
        <w:rPr>
          <w:highlight w:val="yellow"/>
        </w:rPr>
      </w:pPr>
      <w:r>
        <w:rPr>
          <w:noProof/>
          <w:lang w:eastAsia="en-NZ"/>
        </w:rPr>
        <w:drawing>
          <wp:inline distT="0" distB="0" distL="0" distR="0" wp14:anchorId="0647D605" wp14:editId="0CEA3604">
            <wp:extent cx="4504197" cy="2751513"/>
            <wp:effectExtent l="0" t="0" r="0" b="0"/>
            <wp:docPr id="132" name="Picture 132" title="Figure 34: Nurse utilisation rate (average visits per person), Pacific peoples, by priority DHBs,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17368" cy="2759559"/>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187396" w:rsidRPr="00F455A1" w:rsidTr="00BC4823">
        <w:trPr>
          <w:cantSplit/>
        </w:trPr>
        <w:tc>
          <w:tcPr>
            <w:tcW w:w="1418" w:type="dxa"/>
            <w:tcBorders>
              <w:top w:val="single" w:sz="4" w:space="0" w:color="auto"/>
              <w:bottom w:val="single" w:sz="4" w:space="0" w:color="auto"/>
            </w:tcBorders>
          </w:tcPr>
          <w:p w:rsidR="00187396" w:rsidRPr="00F455A1" w:rsidRDefault="00187396" w:rsidP="00BC4823">
            <w:pPr>
              <w:pStyle w:val="TableText"/>
              <w:keepNext/>
              <w:rPr>
                <w:b/>
                <w:sz w:val="14"/>
                <w:szCs w:val="14"/>
              </w:rPr>
            </w:pP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2008</w:t>
            </w: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2009</w:t>
            </w: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2010</w:t>
            </w:r>
          </w:p>
        </w:tc>
        <w:tc>
          <w:tcPr>
            <w:tcW w:w="674"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2011</w:t>
            </w: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2012</w:t>
            </w: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2013</w:t>
            </w:r>
          </w:p>
        </w:tc>
        <w:tc>
          <w:tcPr>
            <w:tcW w:w="673"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2014</w:t>
            </w:r>
          </w:p>
        </w:tc>
        <w:tc>
          <w:tcPr>
            <w:tcW w:w="674" w:type="dxa"/>
            <w:tcBorders>
              <w:top w:val="single" w:sz="4" w:space="0" w:color="auto"/>
              <w:bottom w:val="single" w:sz="4" w:space="0" w:color="auto"/>
            </w:tcBorders>
          </w:tcPr>
          <w:p w:rsidR="00187396" w:rsidRPr="00F455A1" w:rsidRDefault="00187396" w:rsidP="00BC4823">
            <w:pPr>
              <w:pStyle w:val="TableText"/>
              <w:keepNext/>
              <w:jc w:val="center"/>
              <w:rPr>
                <w:b/>
                <w:sz w:val="14"/>
              </w:rPr>
            </w:pPr>
            <w:r w:rsidRPr="00F455A1">
              <w:rPr>
                <w:b/>
                <w:sz w:val="14"/>
              </w:rPr>
              <w:t>2015*</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rPr>
                <w:sz w:val="14"/>
              </w:rPr>
            </w:pPr>
            <w:r w:rsidRPr="00187396">
              <w:rPr>
                <w:sz w:val="14"/>
              </w:rPr>
              <w:t>Auckland</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0.46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0.48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0.64</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0.33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0.31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0.34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0.42</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0.49</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rPr>
                <w:sz w:val="14"/>
              </w:rPr>
            </w:pPr>
            <w:r w:rsidRPr="00187396">
              <w:rPr>
                <w:sz w:val="14"/>
              </w:rPr>
              <w:t>Canterbury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0.04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0.07</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0.10</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rPr>
                <w:sz w:val="14"/>
              </w:rPr>
            </w:pPr>
            <w:r w:rsidRPr="00187396">
              <w:rPr>
                <w:sz w:val="14"/>
              </w:rPr>
              <w:t>Capital &amp; Coast</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1.06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1.21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1.20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1.24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1.39</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1.21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1.30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keepNext/>
              <w:jc w:val="center"/>
              <w:rPr>
                <w:sz w:val="14"/>
              </w:rPr>
            </w:pPr>
            <w:r w:rsidRPr="00187396">
              <w:rPr>
                <w:sz w:val="14"/>
              </w:rPr>
              <w:t>1.36</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rPr>
                <w:sz w:val="14"/>
              </w:rPr>
            </w:pPr>
            <w:r w:rsidRPr="00187396">
              <w:rPr>
                <w:sz w:val="14"/>
              </w:rPr>
              <w:t xml:space="preserve">Counties </w:t>
            </w:r>
            <w:proofErr w:type="spellStart"/>
            <w:r w:rsidRPr="00187396">
              <w:rPr>
                <w:sz w:val="14"/>
              </w:rPr>
              <w:t>Manukau</w:t>
            </w:r>
            <w:proofErr w:type="spellEnd"/>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0.46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0.57</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0.57</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1.22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0.83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1.01</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0.92</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rPr>
                <w:sz w:val="14"/>
              </w:rPr>
            </w:pPr>
            <w:r w:rsidRPr="00187396">
              <w:rPr>
                <w:sz w:val="14"/>
              </w:rPr>
              <w:t>Hawke's Bay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0.72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0.93</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1.15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1.24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1.24</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1.14</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1.15</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rPr>
                <w:sz w:val="14"/>
              </w:rPr>
            </w:pPr>
            <w:r w:rsidRPr="00187396">
              <w:rPr>
                <w:sz w:val="14"/>
              </w:rPr>
              <w:t>Hutt Valley</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0.71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0.97</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1.07</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0.85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1.07</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1.08</w:t>
            </w:r>
          </w:p>
        </w:tc>
      </w:tr>
      <w:tr w:rsidR="0018739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rPr>
                <w:sz w:val="14"/>
              </w:rPr>
            </w:pPr>
            <w:r w:rsidRPr="00187396">
              <w:rPr>
                <w:sz w:val="14"/>
              </w:rPr>
              <w:t>Waikato</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0.08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0.31</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0.46</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0.50</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0.42</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0.73</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0.90</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0.98</w:t>
            </w:r>
          </w:p>
        </w:tc>
      </w:tr>
      <w:tr w:rsidR="00187396" w:rsidRPr="00187396" w:rsidTr="00187396">
        <w:trPr>
          <w:cantSplit/>
        </w:trPr>
        <w:tc>
          <w:tcPr>
            <w:tcW w:w="1418"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rPr>
                <w:sz w:val="14"/>
              </w:rPr>
            </w:pPr>
            <w:proofErr w:type="spellStart"/>
            <w:r w:rsidRPr="00187396">
              <w:rPr>
                <w:sz w:val="14"/>
              </w:rPr>
              <w:t>Waitemata</w:t>
            </w:r>
            <w:proofErr w:type="spellEnd"/>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0.66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0.66</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0.69</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0.79</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0.75</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0.98</w:t>
            </w:r>
          </w:p>
        </w:tc>
        <w:tc>
          <w:tcPr>
            <w:tcW w:w="673"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1.29</w:t>
            </w:r>
          </w:p>
        </w:tc>
        <w:tc>
          <w:tcPr>
            <w:tcW w:w="674" w:type="dxa"/>
            <w:tcBorders>
              <w:top w:val="single" w:sz="4" w:space="0" w:color="A6A6A6" w:themeColor="background1" w:themeShade="A6"/>
              <w:bottom w:val="single" w:sz="4" w:space="0" w:color="A6A6A6" w:themeColor="background1" w:themeShade="A6"/>
            </w:tcBorders>
          </w:tcPr>
          <w:p w:rsidR="00187396" w:rsidRPr="00187396" w:rsidRDefault="00187396" w:rsidP="00187396">
            <w:pPr>
              <w:pStyle w:val="TableText"/>
              <w:jc w:val="center"/>
              <w:rPr>
                <w:sz w:val="14"/>
              </w:rPr>
            </w:pPr>
            <w:r w:rsidRPr="00187396">
              <w:rPr>
                <w:sz w:val="14"/>
              </w:rPr>
              <w:t>1.35</w:t>
            </w:r>
          </w:p>
        </w:tc>
      </w:tr>
      <w:tr w:rsidR="00187396" w:rsidRPr="00187396" w:rsidTr="00187396">
        <w:trPr>
          <w:cantSplit/>
        </w:trPr>
        <w:tc>
          <w:tcPr>
            <w:tcW w:w="1418" w:type="dxa"/>
            <w:tcBorders>
              <w:top w:val="single" w:sz="4" w:space="0" w:color="A6A6A6" w:themeColor="background1" w:themeShade="A6"/>
              <w:bottom w:val="single" w:sz="4" w:space="0" w:color="auto"/>
            </w:tcBorders>
          </w:tcPr>
          <w:p w:rsidR="00187396" w:rsidRPr="00187396" w:rsidRDefault="00187396" w:rsidP="00187396">
            <w:pPr>
              <w:pStyle w:val="TableText"/>
              <w:rPr>
                <w:sz w:val="14"/>
              </w:rPr>
            </w:pPr>
            <w:r w:rsidRPr="00187396">
              <w:rPr>
                <w:sz w:val="14"/>
              </w:rPr>
              <w:t>Total New Zealand</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0.40</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0.43</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0.50</w:t>
            </w:r>
          </w:p>
        </w:tc>
        <w:tc>
          <w:tcPr>
            <w:tcW w:w="674"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0.55</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0.56</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0.60</w:t>
            </w:r>
          </w:p>
        </w:tc>
        <w:tc>
          <w:tcPr>
            <w:tcW w:w="673"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0.64</w:t>
            </w:r>
          </w:p>
        </w:tc>
        <w:tc>
          <w:tcPr>
            <w:tcW w:w="674" w:type="dxa"/>
            <w:tcBorders>
              <w:top w:val="single" w:sz="4" w:space="0" w:color="A6A6A6" w:themeColor="background1" w:themeShade="A6"/>
              <w:bottom w:val="single" w:sz="4" w:space="0" w:color="auto"/>
            </w:tcBorders>
          </w:tcPr>
          <w:p w:rsidR="00187396" w:rsidRPr="00187396" w:rsidRDefault="00187396" w:rsidP="00187396">
            <w:pPr>
              <w:pStyle w:val="TableText"/>
              <w:jc w:val="center"/>
              <w:rPr>
                <w:sz w:val="14"/>
              </w:rPr>
            </w:pPr>
            <w:r w:rsidRPr="00187396">
              <w:rPr>
                <w:sz w:val="14"/>
              </w:rPr>
              <w:t>0.68</w:t>
            </w:r>
          </w:p>
        </w:tc>
      </w:tr>
    </w:tbl>
    <w:p w:rsidR="00BA14B3" w:rsidRPr="00A119E8" w:rsidRDefault="00BA14B3" w:rsidP="00B324FB">
      <w:pPr>
        <w:pStyle w:val="Note"/>
      </w:pPr>
      <w:r w:rsidRPr="00A119E8">
        <w:t>*</w:t>
      </w:r>
      <w:r w:rsidR="00B324FB">
        <w:tab/>
      </w:r>
      <w:r w:rsidRPr="00A119E8">
        <w:t xml:space="preserve">Financial </w:t>
      </w:r>
      <w:r w:rsidR="00B324FB">
        <w:t>y</w:t>
      </w:r>
      <w:r w:rsidRPr="00A119E8">
        <w:t>ear 2014/2015</w:t>
      </w:r>
    </w:p>
    <w:p w:rsidR="00BA14B3" w:rsidRDefault="00BA14B3" w:rsidP="00B324FB"/>
    <w:p w:rsidR="00BA14B3" w:rsidRDefault="00BA14B3" w:rsidP="00B324FB">
      <w:r w:rsidRPr="00A119E8">
        <w:t xml:space="preserve">Figure 34 shows </w:t>
      </w:r>
      <w:r w:rsidRPr="00CA1939">
        <w:t xml:space="preserve">that Capital &amp; Coast DHB had the highest nurse utilisation rate by Pacific peoples, followed by </w:t>
      </w:r>
      <w:proofErr w:type="spellStart"/>
      <w:r w:rsidRPr="00CA1939">
        <w:t>Waitemata</w:t>
      </w:r>
      <w:proofErr w:type="spellEnd"/>
      <w:r>
        <w:t xml:space="preserve">, </w:t>
      </w:r>
      <w:r w:rsidRPr="00CA1939">
        <w:t xml:space="preserve">Hawke’s Bay, Hutt Valley, Waikato and Counties </w:t>
      </w:r>
      <w:proofErr w:type="spellStart"/>
      <w:r w:rsidRPr="00CA1939">
        <w:t>Manukau</w:t>
      </w:r>
      <w:proofErr w:type="spellEnd"/>
      <w:r w:rsidRPr="00CA1939">
        <w:t xml:space="preserve"> DHBs. In all six of these six DHBs the rates for Pacific peoples were higher than for the total New Zealand population.</w:t>
      </w:r>
    </w:p>
    <w:p w:rsidR="00B324FB" w:rsidRPr="00A119E8" w:rsidRDefault="00B324FB" w:rsidP="00B324FB"/>
    <w:p w:rsidR="00BA14B3" w:rsidRPr="00A119E8" w:rsidRDefault="00BA14B3" w:rsidP="00B324FB">
      <w:pPr>
        <w:pStyle w:val="Figure"/>
        <w:rPr>
          <w:rFonts w:cs="Arial"/>
          <w:highlight w:val="yellow"/>
        </w:rPr>
      </w:pPr>
      <w:bookmarkStart w:id="176" w:name="_Toc428368089"/>
      <w:bookmarkStart w:id="177" w:name="_Toc428370467"/>
      <w:bookmarkStart w:id="178" w:name="_Toc445801472"/>
      <w:bookmarkStart w:id="179" w:name="_Toc447527171"/>
      <w:r w:rsidRPr="00A119E8">
        <w:lastRenderedPageBreak/>
        <w:t xml:space="preserve">Figure </w:t>
      </w:r>
      <w:fldSimple w:instr=" SEQ Figure \* ARABIC ">
        <w:r w:rsidR="008D5FF2">
          <w:rPr>
            <w:noProof/>
          </w:rPr>
          <w:t>35</w:t>
        </w:r>
      </w:fldSimple>
      <w:r w:rsidRPr="00A119E8">
        <w:t>: Total GP and nurse utilisation rate (average visits per person), Pacific peoples population and total New Zealand population, 2008–201</w:t>
      </w:r>
      <w:bookmarkEnd w:id="176"/>
      <w:bookmarkEnd w:id="177"/>
      <w:r w:rsidRPr="00A119E8">
        <w:t>5</w:t>
      </w:r>
      <w:bookmarkEnd w:id="178"/>
      <w:bookmarkEnd w:id="179"/>
    </w:p>
    <w:p w:rsidR="00BA14B3" w:rsidRDefault="00DD38BE" w:rsidP="001F1606">
      <w:pPr>
        <w:spacing w:after="120"/>
        <w:rPr>
          <w:highlight w:val="yellow"/>
        </w:rPr>
      </w:pPr>
      <w:r>
        <w:rPr>
          <w:noProof/>
          <w:lang w:eastAsia="en-NZ"/>
        </w:rPr>
        <w:drawing>
          <wp:inline distT="0" distB="0" distL="0" distR="0" wp14:anchorId="1026F3C6" wp14:editId="4162AEDF">
            <wp:extent cx="4505498" cy="2749202"/>
            <wp:effectExtent l="0" t="0" r="0" b="0"/>
            <wp:docPr id="134" name="Picture 134" title="Figure 35: Total GP and nurse utilisation rate (average visits per person), Pacific peoples population and total New Zealand population,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09068" cy="2751380"/>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1F1606" w:rsidRPr="00F455A1" w:rsidTr="00BC4823">
        <w:trPr>
          <w:cantSplit/>
        </w:trPr>
        <w:tc>
          <w:tcPr>
            <w:tcW w:w="1418" w:type="dxa"/>
            <w:tcBorders>
              <w:top w:val="single" w:sz="4" w:space="0" w:color="auto"/>
              <w:bottom w:val="single" w:sz="4" w:space="0" w:color="auto"/>
            </w:tcBorders>
          </w:tcPr>
          <w:p w:rsidR="001F1606" w:rsidRPr="00F455A1" w:rsidRDefault="001F1606" w:rsidP="00BC4823">
            <w:pPr>
              <w:pStyle w:val="TableText"/>
              <w:rPr>
                <w:b/>
                <w:sz w:val="14"/>
                <w:szCs w:val="14"/>
              </w:rPr>
            </w:pP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2008</w:t>
            </w: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2009</w:t>
            </w: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2010</w:t>
            </w:r>
          </w:p>
        </w:tc>
        <w:tc>
          <w:tcPr>
            <w:tcW w:w="674"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2011</w:t>
            </w: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2012</w:t>
            </w: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2013</w:t>
            </w:r>
          </w:p>
        </w:tc>
        <w:tc>
          <w:tcPr>
            <w:tcW w:w="673"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2014</w:t>
            </w:r>
          </w:p>
        </w:tc>
        <w:tc>
          <w:tcPr>
            <w:tcW w:w="674" w:type="dxa"/>
            <w:tcBorders>
              <w:top w:val="single" w:sz="4" w:space="0" w:color="auto"/>
              <w:bottom w:val="single" w:sz="4" w:space="0" w:color="auto"/>
            </w:tcBorders>
          </w:tcPr>
          <w:p w:rsidR="001F1606" w:rsidRPr="00F455A1" w:rsidRDefault="001F1606" w:rsidP="00BC4823">
            <w:pPr>
              <w:pStyle w:val="TableText"/>
              <w:jc w:val="center"/>
              <w:rPr>
                <w:b/>
                <w:sz w:val="14"/>
              </w:rPr>
            </w:pPr>
            <w:r w:rsidRPr="00F455A1">
              <w:rPr>
                <w:b/>
                <w:sz w:val="14"/>
              </w:rPr>
              <w:t>2015*</w:t>
            </w:r>
          </w:p>
        </w:tc>
      </w:tr>
      <w:tr w:rsidR="001F1606"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1F1606" w:rsidRPr="00F455A1" w:rsidRDefault="001F1606" w:rsidP="00BC4823">
            <w:pPr>
              <w:pStyle w:val="TableText"/>
              <w:rPr>
                <w:sz w:val="14"/>
              </w:rPr>
            </w:pPr>
            <w:r w:rsidRPr="00F455A1">
              <w:rPr>
                <w:sz w:val="14"/>
              </w:rPr>
              <w:t>Pacific</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3.35</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3.48</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3.38</w:t>
            </w:r>
          </w:p>
        </w:tc>
        <w:tc>
          <w:tcPr>
            <w:tcW w:w="674"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3.67</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3.58</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3.57</w:t>
            </w:r>
          </w:p>
        </w:tc>
        <w:tc>
          <w:tcPr>
            <w:tcW w:w="673"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3.74</w:t>
            </w:r>
          </w:p>
        </w:tc>
        <w:tc>
          <w:tcPr>
            <w:tcW w:w="674" w:type="dxa"/>
            <w:tcBorders>
              <w:top w:val="single" w:sz="4" w:space="0" w:color="A6A6A6" w:themeColor="background1" w:themeShade="A6"/>
              <w:bottom w:val="single" w:sz="4" w:space="0" w:color="A6A6A6" w:themeColor="background1" w:themeShade="A6"/>
            </w:tcBorders>
          </w:tcPr>
          <w:p w:rsidR="001F1606" w:rsidRPr="001F1606" w:rsidRDefault="001F1606" w:rsidP="001F1606">
            <w:pPr>
              <w:pStyle w:val="TableText"/>
              <w:jc w:val="center"/>
              <w:rPr>
                <w:sz w:val="14"/>
              </w:rPr>
            </w:pPr>
            <w:r w:rsidRPr="001F1606">
              <w:rPr>
                <w:sz w:val="14"/>
              </w:rPr>
              <w:t>3.77</w:t>
            </w:r>
          </w:p>
        </w:tc>
      </w:tr>
      <w:tr w:rsidR="001F1606" w:rsidRPr="00187396" w:rsidTr="00BC4823">
        <w:trPr>
          <w:cantSplit/>
        </w:trPr>
        <w:tc>
          <w:tcPr>
            <w:tcW w:w="1418" w:type="dxa"/>
            <w:tcBorders>
              <w:top w:val="single" w:sz="4" w:space="0" w:color="A6A6A6" w:themeColor="background1" w:themeShade="A6"/>
              <w:bottom w:val="single" w:sz="4" w:space="0" w:color="auto"/>
            </w:tcBorders>
          </w:tcPr>
          <w:p w:rsidR="001F1606" w:rsidRPr="00F455A1" w:rsidRDefault="001F1606" w:rsidP="00BC4823">
            <w:pPr>
              <w:pStyle w:val="TableText"/>
              <w:rPr>
                <w:sz w:val="14"/>
              </w:rPr>
            </w:pPr>
            <w:r w:rsidRPr="00F455A1">
              <w:rPr>
                <w:sz w:val="14"/>
              </w:rPr>
              <w:t>Total New Zealand</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3.26</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3.33</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3.41</w:t>
            </w:r>
          </w:p>
        </w:tc>
        <w:tc>
          <w:tcPr>
            <w:tcW w:w="674"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3.45</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3.44</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3.50</w:t>
            </w:r>
          </w:p>
        </w:tc>
        <w:tc>
          <w:tcPr>
            <w:tcW w:w="673"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3.58</w:t>
            </w:r>
          </w:p>
        </w:tc>
        <w:tc>
          <w:tcPr>
            <w:tcW w:w="674" w:type="dxa"/>
            <w:tcBorders>
              <w:top w:val="single" w:sz="4" w:space="0" w:color="A6A6A6" w:themeColor="background1" w:themeShade="A6"/>
              <w:bottom w:val="single" w:sz="4" w:space="0" w:color="auto"/>
            </w:tcBorders>
          </w:tcPr>
          <w:p w:rsidR="001F1606" w:rsidRPr="001F1606" w:rsidRDefault="001F1606" w:rsidP="001F1606">
            <w:pPr>
              <w:pStyle w:val="TableText"/>
              <w:jc w:val="center"/>
              <w:rPr>
                <w:sz w:val="14"/>
              </w:rPr>
            </w:pPr>
            <w:r w:rsidRPr="001F1606">
              <w:rPr>
                <w:sz w:val="14"/>
              </w:rPr>
              <w:t>3.62</w:t>
            </w:r>
          </w:p>
        </w:tc>
      </w:tr>
    </w:tbl>
    <w:p w:rsidR="00BA14B3" w:rsidRPr="00A119E8" w:rsidRDefault="00BA14B3" w:rsidP="00B324FB">
      <w:pPr>
        <w:pStyle w:val="Note"/>
      </w:pPr>
      <w:r w:rsidRPr="00A119E8">
        <w:t>*</w:t>
      </w:r>
      <w:r w:rsidR="00B324FB">
        <w:tab/>
      </w:r>
      <w:r w:rsidRPr="00A119E8">
        <w:t xml:space="preserve">Financial </w:t>
      </w:r>
      <w:r w:rsidR="00B324FB">
        <w:t>y</w:t>
      </w:r>
      <w:r w:rsidRPr="00A119E8">
        <w:t>ear 2014/2015</w:t>
      </w:r>
    </w:p>
    <w:p w:rsidR="00BA14B3" w:rsidRDefault="00BA14B3" w:rsidP="00B324FB"/>
    <w:p w:rsidR="00BA14B3" w:rsidRPr="00A119E8" w:rsidRDefault="00BA14B3" w:rsidP="00B324FB">
      <w:r w:rsidRPr="00A119E8">
        <w:t xml:space="preserve">Figure 35 shows </w:t>
      </w:r>
      <w:r>
        <w:t xml:space="preserve">that </w:t>
      </w:r>
      <w:r w:rsidRPr="00A119E8">
        <w:t>the rates for both populations have been improving. The Pacific population rates have been consistently higher than those of the total New Zealand population. These results suggest that Pacific peoples are accessing both GPs and nurses more on average than the total New Zealand population. That said, the access rates are inconsistent when compared with the high ASH rates for Pacific peoples compared with the total New Zealand population.</w:t>
      </w:r>
    </w:p>
    <w:p w:rsidR="00BA14B3" w:rsidRPr="00A119E8" w:rsidRDefault="00BA14B3" w:rsidP="00B324FB"/>
    <w:p w:rsidR="00BA14B3" w:rsidRPr="00A119E8" w:rsidRDefault="00BA14B3" w:rsidP="00B324FB">
      <w:pPr>
        <w:pStyle w:val="Figure"/>
        <w:rPr>
          <w:rFonts w:cs="Arial"/>
          <w:highlight w:val="yellow"/>
        </w:rPr>
      </w:pPr>
      <w:bookmarkStart w:id="180" w:name="_Toc428368090"/>
      <w:bookmarkStart w:id="181" w:name="_Toc428370468"/>
      <w:bookmarkStart w:id="182" w:name="_Toc445801473"/>
      <w:bookmarkStart w:id="183" w:name="_Toc447527172"/>
      <w:r w:rsidRPr="00A119E8">
        <w:lastRenderedPageBreak/>
        <w:t xml:space="preserve">Figure </w:t>
      </w:r>
      <w:fldSimple w:instr=" SEQ Figure \* ARABIC ">
        <w:r w:rsidR="008D5FF2">
          <w:rPr>
            <w:noProof/>
          </w:rPr>
          <w:t>36</w:t>
        </w:r>
      </w:fldSimple>
      <w:r w:rsidRPr="00A119E8">
        <w:t>: Total GP and nurse utilisation rate (average visits per person), Pacific peoples, by priority DHBs, 2008–201</w:t>
      </w:r>
      <w:bookmarkEnd w:id="180"/>
      <w:bookmarkEnd w:id="181"/>
      <w:r w:rsidRPr="00A119E8">
        <w:t>5</w:t>
      </w:r>
      <w:bookmarkEnd w:id="182"/>
      <w:bookmarkEnd w:id="183"/>
    </w:p>
    <w:p w:rsidR="00BA14B3" w:rsidRDefault="00DD38BE" w:rsidP="00A7111C">
      <w:pPr>
        <w:keepNext/>
        <w:spacing w:after="120"/>
      </w:pPr>
      <w:r>
        <w:rPr>
          <w:noProof/>
          <w:lang w:eastAsia="en-NZ"/>
        </w:rPr>
        <w:drawing>
          <wp:inline distT="0" distB="0" distL="0" distR="0" wp14:anchorId="01DB86D8" wp14:editId="5DD0BA2C">
            <wp:extent cx="4497186" cy="2747230"/>
            <wp:effectExtent l="0" t="0" r="0" b="0"/>
            <wp:docPr id="135" name="Picture 135" title="Figure 36: Total GP and nurse utilisation rate (average visits per person), Pacific peoples, by priority DHBs,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97889" cy="2747660"/>
                    </a:xfrm>
                    <a:prstGeom prst="rect">
                      <a:avLst/>
                    </a:prstGeom>
                    <a:noFill/>
                  </pic:spPr>
                </pic:pic>
              </a:graphicData>
            </a:graphic>
          </wp:inline>
        </w:drawing>
      </w:r>
    </w:p>
    <w:tbl>
      <w:tblPr>
        <w:tblStyle w:val="TableGrid"/>
        <w:tblW w:w="6804"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673"/>
        <w:gridCol w:w="673"/>
        <w:gridCol w:w="673"/>
        <w:gridCol w:w="674"/>
        <w:gridCol w:w="673"/>
        <w:gridCol w:w="673"/>
        <w:gridCol w:w="673"/>
        <w:gridCol w:w="674"/>
      </w:tblGrid>
      <w:tr w:rsidR="007E507F" w:rsidRPr="00F455A1" w:rsidTr="00BC4823">
        <w:trPr>
          <w:cantSplit/>
        </w:trPr>
        <w:tc>
          <w:tcPr>
            <w:tcW w:w="1418" w:type="dxa"/>
            <w:tcBorders>
              <w:top w:val="single" w:sz="4" w:space="0" w:color="auto"/>
              <w:bottom w:val="single" w:sz="4" w:space="0" w:color="auto"/>
            </w:tcBorders>
          </w:tcPr>
          <w:p w:rsidR="007E507F" w:rsidRPr="00F455A1" w:rsidRDefault="007E507F" w:rsidP="00BC4823">
            <w:pPr>
              <w:pStyle w:val="TableText"/>
              <w:keepNext/>
              <w:rPr>
                <w:b/>
                <w:sz w:val="14"/>
                <w:szCs w:val="14"/>
              </w:rPr>
            </w:pP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2008</w:t>
            </w: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2009</w:t>
            </w: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2010</w:t>
            </w:r>
          </w:p>
        </w:tc>
        <w:tc>
          <w:tcPr>
            <w:tcW w:w="674"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2011</w:t>
            </w: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2012</w:t>
            </w: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2013</w:t>
            </w:r>
          </w:p>
        </w:tc>
        <w:tc>
          <w:tcPr>
            <w:tcW w:w="673"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2014</w:t>
            </w:r>
          </w:p>
        </w:tc>
        <w:tc>
          <w:tcPr>
            <w:tcW w:w="674" w:type="dxa"/>
            <w:tcBorders>
              <w:top w:val="single" w:sz="4" w:space="0" w:color="auto"/>
              <w:bottom w:val="single" w:sz="4" w:space="0" w:color="auto"/>
            </w:tcBorders>
          </w:tcPr>
          <w:p w:rsidR="007E507F" w:rsidRPr="00F455A1" w:rsidRDefault="007E507F" w:rsidP="00BC4823">
            <w:pPr>
              <w:pStyle w:val="TableText"/>
              <w:keepNext/>
              <w:jc w:val="center"/>
              <w:rPr>
                <w:b/>
                <w:sz w:val="14"/>
              </w:rPr>
            </w:pPr>
            <w:r w:rsidRPr="00F455A1">
              <w:rPr>
                <w:b/>
                <w:sz w:val="14"/>
              </w:rPr>
              <w:t>2015*</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keepNext/>
              <w:rPr>
                <w:sz w:val="14"/>
              </w:rPr>
            </w:pPr>
            <w:r w:rsidRPr="00187396">
              <w:rPr>
                <w:sz w:val="14"/>
              </w:rPr>
              <w:t>Auckland</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3.17</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3.36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3.42</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3.17</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2.81</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2.99</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3.28</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3.46</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keepNext/>
              <w:rPr>
                <w:sz w:val="14"/>
              </w:rPr>
            </w:pPr>
            <w:r w:rsidRPr="00187396">
              <w:rPr>
                <w:sz w:val="14"/>
              </w:rPr>
              <w:t>Canterbury</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2.16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1.98</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2.05</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1.69</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1.96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2.10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2.14</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2.14</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keepNext/>
              <w:rPr>
                <w:sz w:val="14"/>
              </w:rPr>
            </w:pPr>
            <w:r w:rsidRPr="00187396">
              <w:rPr>
                <w:sz w:val="14"/>
              </w:rPr>
              <w:t>Capital &amp; Coast</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3.64</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3.85</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3.92</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4.20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4.01</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4.20</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4.25</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rPr>
                <w:sz w:val="14"/>
              </w:rPr>
            </w:pPr>
            <w:r w:rsidRPr="00187396">
              <w:rPr>
                <w:sz w:val="14"/>
              </w:rPr>
              <w:t xml:space="preserve">Counties </w:t>
            </w:r>
            <w:proofErr w:type="spellStart"/>
            <w:r w:rsidRPr="00187396">
              <w:rPr>
                <w:sz w:val="14"/>
              </w:rPr>
              <w:t>Manukau</w:t>
            </w:r>
            <w:proofErr w:type="spellEnd"/>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3.77</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3.88</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3.58</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4.84</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4.20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4.60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4.60</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4.47</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rPr>
                <w:sz w:val="14"/>
              </w:rPr>
            </w:pPr>
            <w:r w:rsidRPr="00187396">
              <w:rPr>
                <w:sz w:val="14"/>
              </w:rPr>
              <w:t>Hawke's Bay</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3.54</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3.55</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3.62</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3.82</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4.09</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3.98</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4.06</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rPr>
                <w:sz w:val="14"/>
              </w:rPr>
            </w:pPr>
            <w:r w:rsidRPr="00187396">
              <w:rPr>
                <w:sz w:val="14"/>
              </w:rPr>
              <w:t>Hutt Valley</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2.81</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3.08</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3.15</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3.14</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3.02</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2.90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3.28</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3.28</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rPr>
                <w:sz w:val="14"/>
              </w:rPr>
            </w:pPr>
            <w:r w:rsidRPr="00187396">
              <w:rPr>
                <w:sz w:val="14"/>
              </w:rPr>
              <w:t>Waikato</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1.90</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2.57</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2.98</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3.04</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2.75</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3.28</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3.27</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3.28</w:t>
            </w:r>
          </w:p>
        </w:tc>
      </w:tr>
      <w:tr w:rsidR="007E507F"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7E507F" w:rsidRPr="00187396" w:rsidRDefault="007E507F" w:rsidP="00BC4823">
            <w:pPr>
              <w:pStyle w:val="TableText"/>
              <w:rPr>
                <w:sz w:val="14"/>
              </w:rPr>
            </w:pPr>
            <w:proofErr w:type="spellStart"/>
            <w:r w:rsidRPr="00187396">
              <w:rPr>
                <w:sz w:val="14"/>
              </w:rPr>
              <w:t>Waitemata</w:t>
            </w:r>
            <w:proofErr w:type="spellEnd"/>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3.27</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3.31</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3.21</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3.26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3.06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3.56</w:t>
            </w:r>
          </w:p>
        </w:tc>
        <w:tc>
          <w:tcPr>
            <w:tcW w:w="673"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4.06</w:t>
            </w:r>
          </w:p>
        </w:tc>
        <w:tc>
          <w:tcPr>
            <w:tcW w:w="674" w:type="dxa"/>
            <w:tcBorders>
              <w:top w:val="single" w:sz="4" w:space="0" w:color="A6A6A6" w:themeColor="background1" w:themeShade="A6"/>
              <w:bottom w:val="single" w:sz="4" w:space="0" w:color="A6A6A6" w:themeColor="background1" w:themeShade="A6"/>
            </w:tcBorders>
          </w:tcPr>
          <w:p w:rsidR="007E507F" w:rsidRPr="007E507F" w:rsidRDefault="007E507F" w:rsidP="007E507F">
            <w:pPr>
              <w:pStyle w:val="TableText"/>
              <w:jc w:val="center"/>
              <w:rPr>
                <w:sz w:val="14"/>
              </w:rPr>
            </w:pPr>
            <w:r w:rsidRPr="007E507F">
              <w:rPr>
                <w:sz w:val="14"/>
              </w:rPr>
              <w:t>4.12</w:t>
            </w:r>
          </w:p>
        </w:tc>
      </w:tr>
      <w:tr w:rsidR="007E507F" w:rsidRPr="00187396" w:rsidTr="00BC4823">
        <w:trPr>
          <w:cantSplit/>
        </w:trPr>
        <w:tc>
          <w:tcPr>
            <w:tcW w:w="1418" w:type="dxa"/>
            <w:tcBorders>
              <w:top w:val="single" w:sz="4" w:space="0" w:color="A6A6A6" w:themeColor="background1" w:themeShade="A6"/>
              <w:bottom w:val="single" w:sz="4" w:space="0" w:color="auto"/>
            </w:tcBorders>
          </w:tcPr>
          <w:p w:rsidR="007E507F" w:rsidRPr="00187396" w:rsidRDefault="007E507F" w:rsidP="00BC4823">
            <w:pPr>
              <w:pStyle w:val="TableText"/>
              <w:rPr>
                <w:sz w:val="14"/>
              </w:rPr>
            </w:pPr>
            <w:r w:rsidRPr="00187396">
              <w:rPr>
                <w:sz w:val="14"/>
              </w:rPr>
              <w:t>Total New Zealand</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3.26</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3.33</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3.41</w:t>
            </w:r>
          </w:p>
        </w:tc>
        <w:tc>
          <w:tcPr>
            <w:tcW w:w="674"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3.45</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3.44</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3.50</w:t>
            </w:r>
          </w:p>
        </w:tc>
        <w:tc>
          <w:tcPr>
            <w:tcW w:w="673"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3.58</w:t>
            </w:r>
          </w:p>
        </w:tc>
        <w:tc>
          <w:tcPr>
            <w:tcW w:w="674" w:type="dxa"/>
            <w:tcBorders>
              <w:top w:val="single" w:sz="4" w:space="0" w:color="A6A6A6" w:themeColor="background1" w:themeShade="A6"/>
              <w:bottom w:val="single" w:sz="4" w:space="0" w:color="auto"/>
            </w:tcBorders>
          </w:tcPr>
          <w:p w:rsidR="007E507F" w:rsidRPr="007E507F" w:rsidRDefault="007E507F" w:rsidP="007E507F">
            <w:pPr>
              <w:pStyle w:val="TableText"/>
              <w:jc w:val="center"/>
              <w:rPr>
                <w:sz w:val="14"/>
              </w:rPr>
            </w:pPr>
            <w:r w:rsidRPr="007E507F">
              <w:rPr>
                <w:sz w:val="14"/>
              </w:rPr>
              <w:t>3.62</w:t>
            </w:r>
          </w:p>
        </w:tc>
      </w:tr>
    </w:tbl>
    <w:p w:rsidR="00BA14B3" w:rsidRPr="00A119E8" w:rsidRDefault="00BA14B3" w:rsidP="00B324FB">
      <w:pPr>
        <w:pStyle w:val="Note"/>
      </w:pPr>
      <w:r w:rsidRPr="00A119E8">
        <w:t>*</w:t>
      </w:r>
      <w:r w:rsidR="00B324FB">
        <w:tab/>
      </w:r>
      <w:r w:rsidRPr="00A119E8">
        <w:t xml:space="preserve">Financial </w:t>
      </w:r>
      <w:r w:rsidR="00B324FB">
        <w:t>y</w:t>
      </w:r>
      <w:r w:rsidRPr="00A119E8">
        <w:t>ear 2014/2015</w:t>
      </w:r>
    </w:p>
    <w:p w:rsidR="003917C3" w:rsidRPr="00A119E8" w:rsidRDefault="003917C3" w:rsidP="00B324FB"/>
    <w:p w:rsidR="00BA14B3" w:rsidRPr="00A119E8" w:rsidRDefault="00BA14B3" w:rsidP="00B324FB">
      <w:r w:rsidRPr="00A119E8">
        <w:t>Figure 36 shows the total GP and nurse utilisation rate</w:t>
      </w:r>
      <w:r>
        <w:t>s</w:t>
      </w:r>
      <w:r w:rsidRPr="00A119E8">
        <w:t xml:space="preserve"> (average visits per person) for </w:t>
      </w:r>
      <w:r>
        <w:t xml:space="preserve">the </w:t>
      </w:r>
      <w:r w:rsidRPr="00A119E8">
        <w:t>Pacific</w:t>
      </w:r>
      <w:r>
        <w:t xml:space="preserve"> population </w:t>
      </w:r>
      <w:r w:rsidRPr="00A119E8">
        <w:t>and the total New Zealand population.</w:t>
      </w:r>
      <w:r w:rsidR="0034306E">
        <w:t xml:space="preserve"> </w:t>
      </w:r>
      <w:r w:rsidRPr="00932C64">
        <w:t xml:space="preserve">The access rates for Pacific peoples in Counties </w:t>
      </w:r>
      <w:proofErr w:type="spellStart"/>
      <w:r w:rsidRPr="00932C64">
        <w:t>Manukau</w:t>
      </w:r>
      <w:proofErr w:type="spellEnd"/>
      <w:r w:rsidRPr="00932C64">
        <w:t xml:space="preserve">, Capital &amp; Coast, </w:t>
      </w:r>
      <w:proofErr w:type="spellStart"/>
      <w:r w:rsidRPr="00932C64">
        <w:t>Waitemata</w:t>
      </w:r>
      <w:proofErr w:type="spellEnd"/>
      <w:r w:rsidRPr="00932C64">
        <w:t xml:space="preserve"> and Hawke’s Bay DHBs were generally higher than for the total New Zealand population.</w:t>
      </w:r>
    </w:p>
    <w:p w:rsidR="00BA14B3" w:rsidRPr="00A119E8" w:rsidRDefault="00BA14B3" w:rsidP="00B324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56"/>
      </w:tblGrid>
      <w:tr w:rsidR="00B324FB" w:rsidRPr="00B324FB" w:rsidTr="00B324FB">
        <w:trPr>
          <w:cantSplit/>
        </w:trPr>
        <w:tc>
          <w:tcPr>
            <w:tcW w:w="9356" w:type="dxa"/>
            <w:shd w:val="clear" w:color="auto" w:fill="FFFFFF" w:themeFill="background1"/>
          </w:tcPr>
          <w:p w:rsidR="00BA14B3" w:rsidRPr="00B324FB" w:rsidRDefault="00BA14B3" w:rsidP="00F07986">
            <w:pPr>
              <w:pStyle w:val="TableText"/>
              <w:spacing w:before="240"/>
              <w:jc w:val="center"/>
              <w:rPr>
                <w:rFonts w:ascii="Georgia" w:hAnsi="Georgia"/>
                <w:b/>
                <w:sz w:val="24"/>
              </w:rPr>
            </w:pPr>
            <w:r w:rsidRPr="00B324FB">
              <w:rPr>
                <w:rFonts w:ascii="Georgia" w:hAnsi="Georgia"/>
                <w:b/>
                <w:sz w:val="24"/>
                <w:szCs w:val="24"/>
              </w:rPr>
              <w:lastRenderedPageBreak/>
              <w:t>Priority outcome 3 –</w:t>
            </w:r>
            <w:r w:rsidRPr="00B324FB">
              <w:rPr>
                <w:rFonts w:ascii="Georgia" w:hAnsi="Georgia"/>
                <w:b/>
                <w:sz w:val="24"/>
                <w:szCs w:val="24"/>
              </w:rPr>
              <w:br/>
            </w:r>
            <w:r w:rsidRPr="00B324FB">
              <w:rPr>
                <w:rFonts w:ascii="Georgia" w:hAnsi="Georgia"/>
                <w:b/>
                <w:sz w:val="24"/>
              </w:rPr>
              <w:t>Pacific peoples are better supported to be healthy</w:t>
            </w:r>
          </w:p>
          <w:p w:rsidR="00BA14B3" w:rsidRPr="00B324FB" w:rsidRDefault="00BA14B3" w:rsidP="00B324FB">
            <w:pPr>
              <w:spacing w:before="180"/>
            </w:pPr>
            <w:r w:rsidRPr="00B324FB">
              <w:t>The following presents a brief summary of performance indicator results and activities delivered in priority outcome 3 for this reporting period.</w:t>
            </w:r>
          </w:p>
          <w:p w:rsidR="0034306E" w:rsidRPr="00B324FB" w:rsidRDefault="00BA14B3" w:rsidP="00B324FB">
            <w:pPr>
              <w:spacing w:before="180"/>
            </w:pPr>
            <w:r w:rsidRPr="00B324FB">
              <w:t>There are three actions to ensure that Pacific peoples are better supported to be healthy in this priority outcome.</w:t>
            </w:r>
          </w:p>
          <w:p w:rsidR="00BA14B3" w:rsidRPr="00B324FB" w:rsidRDefault="00B324FB" w:rsidP="00B324FB">
            <w:pPr>
              <w:spacing w:before="90"/>
              <w:ind w:left="567" w:hanging="567"/>
            </w:pPr>
            <w:r>
              <w:t>1.</w:t>
            </w:r>
            <w:r>
              <w:tab/>
            </w:r>
            <w:r w:rsidR="00BA14B3" w:rsidRPr="00B324FB">
              <w:t>Improve the health literacy of Pacific peoples so that they make healthy choices.</w:t>
            </w:r>
          </w:p>
          <w:p w:rsidR="0034306E" w:rsidRPr="00B324FB" w:rsidRDefault="00B324FB" w:rsidP="00B324FB">
            <w:pPr>
              <w:spacing w:before="90"/>
              <w:ind w:left="567" w:hanging="567"/>
            </w:pPr>
            <w:r>
              <w:t>2.</w:t>
            </w:r>
            <w:r>
              <w:tab/>
            </w:r>
            <w:r w:rsidR="00BA14B3" w:rsidRPr="00B324FB">
              <w:t>Decrease the number of Pacific children (aged 2–14 years) who are obese.</w:t>
            </w:r>
          </w:p>
          <w:p w:rsidR="0034306E" w:rsidRPr="00B324FB" w:rsidRDefault="00B324FB" w:rsidP="00B324FB">
            <w:pPr>
              <w:spacing w:before="90"/>
              <w:ind w:left="567" w:hanging="567"/>
            </w:pPr>
            <w:r>
              <w:t>3.</w:t>
            </w:r>
            <w:r>
              <w:tab/>
            </w:r>
            <w:r w:rsidR="00BA14B3" w:rsidRPr="00B324FB">
              <w:t>Improve the management of diabetes by increasing ‘More heart and diabetes checks’.</w:t>
            </w:r>
          </w:p>
          <w:p w:rsidR="0034306E" w:rsidRPr="00B324FB" w:rsidRDefault="00BA14B3" w:rsidP="00B324FB">
            <w:pPr>
              <w:spacing w:before="240"/>
              <w:rPr>
                <w:b/>
              </w:rPr>
            </w:pPr>
            <w:r w:rsidRPr="00B324FB">
              <w:rPr>
                <w:b/>
              </w:rPr>
              <w:t>Improve the health literacy</w:t>
            </w:r>
          </w:p>
          <w:p w:rsidR="0034306E" w:rsidRPr="00B324FB" w:rsidRDefault="00BA14B3" w:rsidP="00B324FB">
            <w:pPr>
              <w:spacing w:before="120"/>
            </w:pPr>
            <w:r w:rsidRPr="00B324FB">
              <w:t xml:space="preserve">Improving health literacy for Pacific peoples is crucial in improving their health. The Ministry has released the health literacy framework and a review guide (Ministry of Health 2015a). These documents promote ways in which the health sector can address health literacy issues. The next phase was putting Action Plans in place. A number of DHBs have chosen areas where they piloted their Action Plans. For example, Counties </w:t>
            </w:r>
            <w:proofErr w:type="spellStart"/>
            <w:r w:rsidRPr="00B324FB">
              <w:t>Manukau</w:t>
            </w:r>
            <w:proofErr w:type="spellEnd"/>
            <w:r w:rsidRPr="00B324FB">
              <w:t xml:space="preserve"> DHB has chosen an Action Plan for oral health.</w:t>
            </w:r>
          </w:p>
          <w:p w:rsidR="00BA14B3" w:rsidRPr="00B324FB" w:rsidRDefault="00BA14B3" w:rsidP="00B324FB">
            <w:pPr>
              <w:spacing w:before="240"/>
              <w:rPr>
                <w:b/>
              </w:rPr>
            </w:pPr>
            <w:r w:rsidRPr="00B324FB">
              <w:rPr>
                <w:b/>
              </w:rPr>
              <w:t>Decrease the number of obese Pacific children</w:t>
            </w:r>
          </w:p>
          <w:p w:rsidR="00BA14B3" w:rsidRPr="00B324FB" w:rsidRDefault="00BA14B3" w:rsidP="00B324FB">
            <w:pPr>
              <w:spacing w:before="120"/>
            </w:pPr>
            <w:r w:rsidRPr="00B324FB">
              <w:t>In October 2015 the Government announced a package of initiatives to prevent and manage obesity in children and young people up to 18 years of age. The package has three focus areas, made up of 22 initiatives, which are either new or an expansion of existing initiatives:</w:t>
            </w:r>
          </w:p>
          <w:p w:rsidR="00BA14B3" w:rsidRPr="00B324FB" w:rsidRDefault="00BA14B3" w:rsidP="00B324FB">
            <w:pPr>
              <w:pStyle w:val="Bullet"/>
            </w:pPr>
            <w:r w:rsidRPr="00B324FB">
              <w:t>targeted interventions for those who are obese</w:t>
            </w:r>
          </w:p>
          <w:p w:rsidR="00BA14B3" w:rsidRPr="00B324FB" w:rsidRDefault="00BA14B3" w:rsidP="00B324FB">
            <w:pPr>
              <w:pStyle w:val="Bullet"/>
            </w:pPr>
            <w:r w:rsidRPr="00B324FB">
              <w:t>increased support for those at risk of becoming obese</w:t>
            </w:r>
          </w:p>
          <w:p w:rsidR="00BA14B3" w:rsidRPr="00B324FB" w:rsidRDefault="00BA14B3" w:rsidP="00B324FB">
            <w:pPr>
              <w:pStyle w:val="Bullet"/>
            </w:pPr>
            <w:proofErr w:type="gramStart"/>
            <w:r w:rsidRPr="00B324FB">
              <w:t>broad</w:t>
            </w:r>
            <w:proofErr w:type="gramEnd"/>
            <w:r w:rsidRPr="00B324FB">
              <w:t xml:space="preserve"> approaches to make healthier choices easier for all New Zealanders.</w:t>
            </w:r>
          </w:p>
          <w:p w:rsidR="00BA14B3" w:rsidRPr="00B324FB" w:rsidRDefault="00BA14B3" w:rsidP="00B324FB">
            <w:pPr>
              <w:spacing w:before="180"/>
            </w:pPr>
            <w:r w:rsidRPr="00B324FB">
              <w:t xml:space="preserve">The focus is on food, the environment and being active at each life stage, starting during pregnancy and early childhood. The package brings together initiatives across government agencies, the private sector, communities, schools, and families and </w:t>
            </w:r>
            <w:proofErr w:type="spellStart"/>
            <w:r w:rsidRPr="00B324FB">
              <w:t>whānau</w:t>
            </w:r>
            <w:proofErr w:type="spellEnd"/>
            <w:r w:rsidRPr="00B324FB">
              <w:t>.</w:t>
            </w:r>
          </w:p>
          <w:p w:rsidR="00BA14B3" w:rsidRPr="00B324FB" w:rsidRDefault="00BA14B3" w:rsidP="00B324FB">
            <w:pPr>
              <w:spacing w:before="240"/>
              <w:rPr>
                <w:b/>
              </w:rPr>
            </w:pPr>
            <w:r w:rsidRPr="00B324FB">
              <w:rPr>
                <w:b/>
              </w:rPr>
              <w:t>Improve the management of diabetes by increasing ‘More heart and diabetes checks’</w:t>
            </w:r>
          </w:p>
          <w:p w:rsidR="00BA14B3" w:rsidRPr="00B324FB" w:rsidRDefault="00BA14B3" w:rsidP="00B324FB">
            <w:pPr>
              <w:spacing w:before="120" w:after="120" w:line="240" w:lineRule="auto"/>
            </w:pPr>
            <w:r w:rsidRPr="00B324FB">
              <w:t>The Ministry released</w:t>
            </w:r>
            <w:r w:rsidRPr="00B324FB">
              <w:rPr>
                <w:i/>
              </w:rPr>
              <w:t xml:space="preserve"> Living Well with Diabetes: A Plan for People at High Risk of or Living with Diabetes 2015–2020 </w:t>
            </w:r>
            <w:r w:rsidRPr="00B324FB">
              <w:t>in October 2015. The Ministry continues to identify those at risk of developing diabetes sooner and improve the quality of services for people already living with diabetes.</w:t>
            </w:r>
          </w:p>
        </w:tc>
      </w:tr>
    </w:tbl>
    <w:p w:rsidR="00BA14B3" w:rsidRPr="00A119E8" w:rsidRDefault="00BA14B3" w:rsidP="00B324FB"/>
    <w:p w:rsidR="00BA14B3" w:rsidRPr="00A119E8" w:rsidRDefault="00BA14B3" w:rsidP="00BA14B3">
      <w:bookmarkStart w:id="184" w:name="_Toc425012024"/>
      <w:r w:rsidRPr="00A119E8">
        <w:br w:type="page"/>
      </w:r>
    </w:p>
    <w:p w:rsidR="00BA14B3" w:rsidRPr="00A119E8" w:rsidRDefault="00BA14B3" w:rsidP="00B324FB">
      <w:pPr>
        <w:pStyle w:val="Heading1"/>
      </w:pPr>
      <w:bookmarkStart w:id="185" w:name="_Toc445823335"/>
      <w:bookmarkStart w:id="186" w:name="_Toc447565084"/>
      <w:r w:rsidRPr="00A119E8">
        <w:lastRenderedPageBreak/>
        <w:t>Priority outcome 3 – Pacific peoples are better supported to be healthy</w:t>
      </w:r>
      <w:bookmarkEnd w:id="184"/>
      <w:bookmarkEnd w:id="185"/>
      <w:bookmarkEnd w:id="186"/>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hemeFill="background1" w:themeFillShade="D9"/>
          </w:tcPr>
          <w:p w:rsidR="00BA14B3" w:rsidRPr="00A119E8" w:rsidRDefault="00BA14B3" w:rsidP="00F07986">
            <w:pPr>
              <w:pStyle w:val="TableText"/>
              <w:spacing w:before="120" w:after="120"/>
              <w:ind w:left="142"/>
              <w:rPr>
                <w:b/>
                <w:sz w:val="24"/>
                <w:szCs w:val="24"/>
                <w:lang w:eastAsia="en-NZ"/>
              </w:rPr>
            </w:pPr>
            <w:r w:rsidRPr="00A119E8">
              <w:rPr>
                <w:b/>
                <w:sz w:val="24"/>
              </w:rPr>
              <w:t>Improve the health literacy of Pacific peoples so they can make healthy choices and gain better access to the health and disability system, by supporting research on effective approaches to strengthen health literacy.</w:t>
            </w:r>
          </w:p>
        </w:tc>
      </w:tr>
    </w:tbl>
    <w:p w:rsidR="00BA14B3" w:rsidRPr="00A119E8" w:rsidRDefault="00BA14B3" w:rsidP="00B324FB"/>
    <w:p w:rsidR="00BA14B3" w:rsidRPr="00A119E8" w:rsidRDefault="00BA14B3" w:rsidP="00BA14B3">
      <w:r w:rsidRPr="00B324FB">
        <w:rPr>
          <w:b/>
        </w:rPr>
        <w:t>Performance:</w:t>
      </w:r>
      <w:r w:rsidRPr="00B324FB">
        <w:t xml:space="preserve"> The Ministry will conduct a qualitative survey to measure the health literacy of </w:t>
      </w:r>
      <w:r w:rsidRPr="00A119E8">
        <w:t>Pacific peoples in New Zealand, and will continue to monitor the impact of the actions and activities being delivered.</w:t>
      </w:r>
    </w:p>
    <w:p w:rsidR="00BA14B3" w:rsidRPr="00A119E8" w:rsidRDefault="00BA14B3" w:rsidP="00B324FB"/>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t>Action 2</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rPr>
              <w:t>Ensure that health programmes work for people with low levels of health literacy</w:t>
            </w:r>
            <w:r>
              <w:rPr>
                <w:b/>
                <w:sz w:val="24"/>
              </w:rPr>
              <w:t>,</w:t>
            </w:r>
            <w:r w:rsidRPr="00A119E8">
              <w:rPr>
                <w:b/>
                <w:sz w:val="24"/>
              </w:rPr>
              <w:t xml:space="preserve"> and raise health literacy awareness.</w:t>
            </w:r>
          </w:p>
        </w:tc>
      </w:tr>
    </w:tbl>
    <w:p w:rsidR="00BA14B3" w:rsidRPr="00A119E8" w:rsidRDefault="00BA14B3" w:rsidP="00B324FB"/>
    <w:p w:rsidR="00BA14B3" w:rsidRPr="00A119E8" w:rsidRDefault="00BA14B3" w:rsidP="00B324FB">
      <w:r w:rsidRPr="00B324FB">
        <w:rPr>
          <w:b/>
        </w:rPr>
        <w:t>Performance:</w:t>
      </w:r>
      <w:r w:rsidRPr="00A119E8">
        <w:rPr>
          <w:color w:val="8064A2"/>
        </w:rPr>
        <w:t xml:space="preserve"> </w:t>
      </w:r>
      <w:r w:rsidRPr="00A119E8">
        <w:t>See performance notes for Action 1 above.</w:t>
      </w:r>
    </w:p>
    <w:p w:rsidR="00BA14B3" w:rsidRPr="00A119E8" w:rsidRDefault="00BA14B3" w:rsidP="00B324FB"/>
    <w:p w:rsidR="00BA14B3" w:rsidRPr="00A119E8" w:rsidRDefault="00BA14B3" w:rsidP="00B324FB">
      <w:pPr>
        <w:pStyle w:val="Heading3"/>
        <w:rPr>
          <w:color w:val="1F497D"/>
          <w:u w:val="single"/>
        </w:rPr>
      </w:pPr>
      <w:r w:rsidRPr="00A119E8">
        <w:t>Rheumatic fever</w:t>
      </w:r>
    </w:p>
    <w:p w:rsidR="0034306E" w:rsidRDefault="00BA14B3" w:rsidP="00B324FB">
      <w:r w:rsidRPr="00A119E8">
        <w:t>The Rheumatic Fever Prevention Programme has three main strategies to reduce rheumatic fever rates throughout New Zealand, and a number of initiatives for each. They are:</w:t>
      </w:r>
    </w:p>
    <w:p w:rsidR="00BA14B3" w:rsidRPr="00A119E8" w:rsidRDefault="00B324FB" w:rsidP="00B324FB">
      <w:pPr>
        <w:spacing w:before="120"/>
        <w:ind w:left="567" w:hanging="567"/>
      </w:pPr>
      <w:r>
        <w:t>1)</w:t>
      </w:r>
      <w:r>
        <w:tab/>
      </w:r>
      <w:proofErr w:type="gramStart"/>
      <w:r w:rsidR="00BA14B3" w:rsidRPr="00A119E8">
        <w:t>increase</w:t>
      </w:r>
      <w:proofErr w:type="gramEnd"/>
      <w:r w:rsidR="00BA14B3" w:rsidRPr="00A119E8">
        <w:t xml:space="preserve"> awareness of rheumatic fever, what causes it and how to prevent it</w:t>
      </w:r>
    </w:p>
    <w:p w:rsidR="00BA14B3" w:rsidRPr="00A119E8" w:rsidRDefault="00B324FB" w:rsidP="00B324FB">
      <w:pPr>
        <w:spacing w:before="120"/>
        <w:ind w:left="567" w:hanging="567"/>
      </w:pPr>
      <w:r>
        <w:t>2)</w:t>
      </w:r>
      <w:r>
        <w:tab/>
      </w:r>
      <w:proofErr w:type="gramStart"/>
      <w:r w:rsidR="00BA14B3" w:rsidRPr="00A119E8">
        <w:t>reduce</w:t>
      </w:r>
      <w:proofErr w:type="gramEnd"/>
      <w:r w:rsidR="00BA14B3" w:rsidRPr="00A119E8">
        <w:t xml:space="preserve"> household crowding and therefore reduce household transmission of strep throat bacteria within households</w:t>
      </w:r>
    </w:p>
    <w:p w:rsidR="00BA14B3" w:rsidRPr="00A119E8" w:rsidRDefault="00B324FB" w:rsidP="00B324FB">
      <w:pPr>
        <w:spacing w:before="120"/>
        <w:ind w:left="567" w:hanging="567"/>
      </w:pPr>
      <w:r>
        <w:t>3)</w:t>
      </w:r>
      <w:r>
        <w:tab/>
      </w:r>
      <w:proofErr w:type="gramStart"/>
      <w:r w:rsidR="00BA14B3" w:rsidRPr="00A119E8">
        <w:t>improve</w:t>
      </w:r>
      <w:proofErr w:type="gramEnd"/>
      <w:r w:rsidR="00BA14B3" w:rsidRPr="00A119E8">
        <w:t xml:space="preserve"> access to timely and effective treatment for strep throat infections in priority communities.</w:t>
      </w:r>
    </w:p>
    <w:p w:rsidR="00BA14B3" w:rsidRPr="00A119E8" w:rsidRDefault="00BA14B3" w:rsidP="00B324FB"/>
    <w:p w:rsidR="00BA14B3" w:rsidRPr="00A119E8" w:rsidRDefault="00BA14B3" w:rsidP="00B324FB">
      <w:pPr>
        <w:pStyle w:val="Heading4"/>
      </w:pPr>
      <w:r w:rsidRPr="00A119E8">
        <w:t>Increase awareness of rheumatic fever, what causes it and how to prevent it</w:t>
      </w:r>
    </w:p>
    <w:p w:rsidR="00BA14B3" w:rsidRDefault="00BA14B3" w:rsidP="00B324FB">
      <w:r w:rsidRPr="00B324FB">
        <w:rPr>
          <w:b/>
        </w:rPr>
        <w:t>Awareness Campaign</w:t>
      </w:r>
      <w:r w:rsidR="00B324FB" w:rsidRPr="00B324FB">
        <w:rPr>
          <w:b/>
        </w:rPr>
        <w:t>:</w:t>
      </w:r>
      <w:r w:rsidR="00B324FB">
        <w:t xml:space="preserve"> </w:t>
      </w:r>
      <w:r w:rsidRPr="00A119E8">
        <w:t>The 2015 Rheumatic Fever Awareness Campaign was launched on 28 April 2015 and ran until the end of August 2015 across a range of marketing channels. It was built on the 2014 Winter Rheumatic Fever Awareness Campaign which ran from May to August 2014</w:t>
      </w:r>
      <w:r>
        <w:t>,</w:t>
      </w:r>
      <w:r w:rsidRPr="00A119E8">
        <w:t xml:space="preserve"> and again targeted Māori and Pacific parents and caregivers of at-risk Māori and Pacific children and young people. Another awareness campaign aimed at Māori and Pacific youth aged 13–19 years was rolled out, initially in Auckland and Northland. It includes youth ambassadors, social media, theatre in schools, development of short films on prevention, and involvement in a range of youth events. The campaign is jointly designed and delivered by the Ministry of Health, </w:t>
      </w:r>
      <w:r>
        <w:t xml:space="preserve">the </w:t>
      </w:r>
      <w:r w:rsidRPr="00A119E8">
        <w:t>Ministry of Youth Development and the Ministry for Pacific Peoples.</w:t>
      </w:r>
    </w:p>
    <w:p w:rsidR="00B324FB" w:rsidRPr="00A119E8" w:rsidRDefault="00B324FB" w:rsidP="00B324FB"/>
    <w:p w:rsidR="00BA14B3" w:rsidRPr="00A119E8" w:rsidRDefault="00BA14B3" w:rsidP="00B324FB">
      <w:pPr>
        <w:keepLines/>
      </w:pPr>
      <w:r w:rsidRPr="00B324FB">
        <w:rPr>
          <w:b/>
        </w:rPr>
        <w:lastRenderedPageBreak/>
        <w:t>Pacific engagement service</w:t>
      </w:r>
      <w:r w:rsidR="00B324FB" w:rsidRPr="00B324FB">
        <w:rPr>
          <w:b/>
        </w:rPr>
        <w:t>:</w:t>
      </w:r>
      <w:r w:rsidR="00B324FB" w:rsidRPr="00B324FB">
        <w:t xml:space="preserve"> </w:t>
      </w:r>
      <w:r w:rsidRPr="00B324FB">
        <w:t>A Pacific engagement service in Auckland and Wellington which provides face-to-face awareness raising and education for Pacific families on the importance of getting sore throats checked and the link between strep throat and r</w:t>
      </w:r>
      <w:r w:rsidRPr="00A119E8">
        <w:t>heumatic fever. It is delivered by existing Pacific health providers already making health visits to homes and in community sessions.</w:t>
      </w:r>
    </w:p>
    <w:p w:rsidR="00BA14B3" w:rsidRPr="00A119E8" w:rsidRDefault="00BA14B3" w:rsidP="00B324FB"/>
    <w:p w:rsidR="00BA14B3" w:rsidRPr="00A119E8" w:rsidRDefault="00BA14B3" w:rsidP="00B324FB">
      <w:r w:rsidRPr="00B324FB">
        <w:rPr>
          <w:b/>
        </w:rPr>
        <w:t>Community Innovations Fund</w:t>
      </w:r>
      <w:r w:rsidR="00B324FB" w:rsidRPr="00B324FB">
        <w:rPr>
          <w:b/>
        </w:rPr>
        <w:t>:</w:t>
      </w:r>
      <w:r w:rsidR="00B324FB">
        <w:t xml:space="preserve"> </w:t>
      </w:r>
      <w:r w:rsidRPr="00A119E8">
        <w:t>In 2014/15, one-off funding was provided through the Pacific Community Innovations Fund to support Pacific community groups to create and put into action their own ideas to improve awareness and help to reduce rheumatic fever.</w:t>
      </w:r>
    </w:p>
    <w:p w:rsidR="00BA14B3" w:rsidRPr="00A119E8" w:rsidRDefault="00BA14B3" w:rsidP="00B324FB"/>
    <w:p w:rsidR="00BA14B3" w:rsidRPr="00A119E8" w:rsidRDefault="00BA14B3" w:rsidP="00B324FB">
      <w:r w:rsidRPr="004B2644">
        <w:rPr>
          <w:b/>
        </w:rPr>
        <w:t>Online learning</w:t>
      </w:r>
      <w:r w:rsidR="004B2644" w:rsidRPr="004B2644">
        <w:rPr>
          <w:b/>
        </w:rPr>
        <w:t>:</w:t>
      </w:r>
      <w:r w:rsidR="004B2644">
        <w:t xml:space="preserve"> </w:t>
      </w:r>
      <w:r w:rsidRPr="00A119E8">
        <w:t>A new rheumatic fever e-learning course is now available at Learnonline.health.nz. The course is free and is aimed at primary care nurses, public health nurses and community health workers who work with families whose children are at risk of developing rheumatic fever.</w:t>
      </w:r>
    </w:p>
    <w:p w:rsidR="00BA14B3" w:rsidRPr="00A119E8" w:rsidRDefault="00BA14B3" w:rsidP="00B324FB"/>
    <w:p w:rsidR="00BA14B3" w:rsidRPr="00A119E8" w:rsidRDefault="00BA14B3" w:rsidP="004B2644">
      <w:pPr>
        <w:pStyle w:val="Heading3"/>
      </w:pPr>
      <w:r w:rsidRPr="00A119E8">
        <w:t>B4 School Checks</w:t>
      </w:r>
    </w:p>
    <w:p w:rsidR="00BA14B3" w:rsidRPr="00A119E8" w:rsidRDefault="00BA14B3" w:rsidP="00B324FB">
      <w:r w:rsidRPr="00A119E8">
        <w:t>The Ministry has refreshed the messages being provided in its B4SCs. It has developed new promotional material and tools, with a focus on increasing the participation of Māori and Pacific families. Tools and materials now include:</w:t>
      </w:r>
    </w:p>
    <w:p w:rsidR="00BA14B3" w:rsidRPr="00A119E8" w:rsidRDefault="00BA14B3" w:rsidP="00B324FB">
      <w:pPr>
        <w:pStyle w:val="Bullet"/>
      </w:pPr>
      <w:r w:rsidRPr="00A119E8">
        <w:t>videos of Pacific families talking about the importance of B4SC</w:t>
      </w:r>
    </w:p>
    <w:p w:rsidR="00BA14B3" w:rsidRPr="00A119E8" w:rsidRDefault="00BA14B3" w:rsidP="00B324FB">
      <w:pPr>
        <w:pStyle w:val="Bullet"/>
      </w:pPr>
      <w:r w:rsidRPr="00A119E8">
        <w:t>new web content</w:t>
      </w:r>
    </w:p>
    <w:p w:rsidR="00BA14B3" w:rsidRPr="00A119E8" w:rsidRDefault="00BA14B3" w:rsidP="00B324FB">
      <w:pPr>
        <w:pStyle w:val="Bullet"/>
      </w:pPr>
      <w:r w:rsidRPr="00A119E8">
        <w:t xml:space="preserve">print material for parents/caregivers and the early education sector, including translations in </w:t>
      </w:r>
      <w:proofErr w:type="spellStart"/>
      <w:r w:rsidRPr="00A119E8">
        <w:t>te</w:t>
      </w:r>
      <w:proofErr w:type="spellEnd"/>
      <w:r>
        <w:t> </w:t>
      </w:r>
      <w:r w:rsidRPr="00A119E8">
        <w:t>reo Māori, Samoan and Tongan</w:t>
      </w:r>
    </w:p>
    <w:p w:rsidR="00BA14B3" w:rsidRPr="00A119E8" w:rsidRDefault="00BA14B3" w:rsidP="00B324FB">
      <w:pPr>
        <w:pStyle w:val="Bullet"/>
      </w:pPr>
      <w:proofErr w:type="gramStart"/>
      <w:r w:rsidRPr="00A119E8">
        <w:t>short-term</w:t>
      </w:r>
      <w:proofErr w:type="gramEnd"/>
      <w:r w:rsidRPr="00A119E8">
        <w:t xml:space="preserve"> targeted media activity over April 2015 (on radio, through outdoor advertisements and on Facebook) in regions with proportionally higher Māori and Pacific families and families living in high-deprivation areas. Families who were less likely to access the B4SC (including Pacific and Māori, and families living in high deprivation areas) were involved in developing the material, to gain an understanding of barriers to accessing the B4SC.</w:t>
      </w:r>
    </w:p>
    <w:p w:rsidR="00BA14B3" w:rsidRPr="00A119E8" w:rsidRDefault="00BA14B3" w:rsidP="00B324FB">
      <w:pPr>
        <w:pStyle w:val="Bullet"/>
      </w:pPr>
      <w:proofErr w:type="gramStart"/>
      <w:r w:rsidRPr="00A119E8">
        <w:t>a</w:t>
      </w:r>
      <w:proofErr w:type="gramEnd"/>
      <w:r w:rsidRPr="00A119E8">
        <w:t xml:space="preserve"> toolkit for providers to support their promotional activity.</w:t>
      </w:r>
    </w:p>
    <w:p w:rsidR="00BA14B3" w:rsidRPr="00A119E8" w:rsidRDefault="00BA14B3" w:rsidP="00B324FB"/>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t>Action 3</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rPr>
              <w:t>Strengthen the practice of health literacy in the health workforce through cultural competency education (Pacific Analysis Framework training, Ministry for Pacific Peoples).</w:t>
            </w:r>
          </w:p>
        </w:tc>
      </w:tr>
    </w:tbl>
    <w:p w:rsidR="00BA14B3" w:rsidRPr="00A119E8" w:rsidRDefault="00BA14B3" w:rsidP="00B324FB"/>
    <w:p w:rsidR="00BA14B3" w:rsidRPr="00A119E8" w:rsidRDefault="00BA14B3" w:rsidP="004B2644">
      <w:pPr>
        <w:pStyle w:val="Heading3"/>
      </w:pPr>
      <w:r w:rsidRPr="00A119E8">
        <w:t>Action commentary</w:t>
      </w:r>
    </w:p>
    <w:p w:rsidR="0034306E" w:rsidRDefault="00BA14B3" w:rsidP="004B2644">
      <w:pPr>
        <w:pStyle w:val="Heading4"/>
      </w:pPr>
      <w:r w:rsidRPr="00A119E8">
        <w:t>Ministry for Pacific Peoples</w:t>
      </w:r>
    </w:p>
    <w:p w:rsidR="00BA14B3" w:rsidRPr="00A119E8" w:rsidRDefault="00BA14B3" w:rsidP="004B2644">
      <w:r w:rsidRPr="00A119E8">
        <w:t xml:space="preserve">The Pacific Analysis Framework (PAF) is a tool for incorporating Pacific perspectives into the policy processes of Government agencies. In 2014, the Ministry of Pacific Island Affairs (now </w:t>
      </w:r>
      <w:r>
        <w:t xml:space="preserve">the </w:t>
      </w:r>
      <w:r w:rsidRPr="00A119E8">
        <w:t>Ministry for Pacific Peoples) began work to review and refresh this tool. To date, the review has included consultation with Government agencies, including non-Pacific policy practitioners (the key target audience for the PAF). The Ministry for Pacific Peoples has updated the PAF with more up-to-date demographic data, updated the language to reflect today’s public service and restructured the PAF to make it more user-friendly. Sitting alongside the PAF is a companion document, the Pacific Engagement Guidelines, which the Ministry for Pacific Peoples is also reviewing and updating.</w:t>
      </w:r>
    </w:p>
    <w:p w:rsidR="00BA14B3" w:rsidRPr="00A119E8" w:rsidRDefault="00BA14B3" w:rsidP="00B324FB">
      <w:pPr>
        <w:rPr>
          <w:highlight w:val="yellow"/>
        </w:rPr>
      </w:pPr>
    </w:p>
    <w:p w:rsidR="00BA14B3" w:rsidRPr="00A119E8" w:rsidRDefault="00BA14B3" w:rsidP="00B324FB">
      <w:r w:rsidRPr="00A119E8">
        <w:lastRenderedPageBreak/>
        <w:t xml:space="preserve">As new work priorities have emerged for the Ministry for Pacific Peoples policy team, the Ministry for Pacific Peoples has deferred the roll-out of the revised </w:t>
      </w:r>
      <w:r>
        <w:t>PAF</w:t>
      </w:r>
      <w:r w:rsidRPr="00A119E8">
        <w:t xml:space="preserve"> until the 2016/17 financial year.</w:t>
      </w:r>
    </w:p>
    <w:p w:rsidR="00BA14B3" w:rsidRPr="00A119E8" w:rsidRDefault="00BA14B3" w:rsidP="00B324FB"/>
    <w:p w:rsidR="00BA14B3" w:rsidRPr="00A119E8" w:rsidRDefault="00BA14B3" w:rsidP="004B2644">
      <w:pPr>
        <w:pStyle w:val="Heading4"/>
      </w:pPr>
      <w:r w:rsidRPr="00A119E8">
        <w:t>Ministry of Health</w:t>
      </w:r>
    </w:p>
    <w:p w:rsidR="00BA14B3" w:rsidRPr="00A119E8" w:rsidRDefault="00BA14B3" w:rsidP="004B2644">
      <w:r w:rsidRPr="00DA4190">
        <w:rPr>
          <w:i/>
        </w:rPr>
        <w:t>Rising to the Challenge: The Mental Health and Addiction Service Development Plan</w:t>
      </w:r>
      <w:r w:rsidR="00B324FB">
        <w:rPr>
          <w:i/>
        </w:rPr>
        <w:br/>
      </w:r>
      <w:r w:rsidRPr="00DA4190">
        <w:rPr>
          <w:i/>
        </w:rPr>
        <w:t xml:space="preserve">2012–2017 </w:t>
      </w:r>
      <w:r w:rsidRPr="00A119E8">
        <w:t>provides a strong vision to guide the mental health and addiction sector, as well as clear direction to planners, funders and providers of mental health and addiction services on Government priority areas for service development over the next five years. The plan has eight priority actions for the next five years to make better use of current resources for Pacific peoples. The first action is to fund mental health literacy programmes in Pacific and vulnerable communities. These evidence-informed, culturally appropriate programmes are aimed at increasing awareness of how to recognise and respond to mental health and addiction issues for communities that have a high prevalence of mental health and addiction issues, or a low rate of using health services, or that are experiencing disparities in health outcomes. Where possible, these programmes will be linked to wider health literacy programmes.</w:t>
      </w:r>
    </w:p>
    <w:p w:rsidR="00BA14B3" w:rsidRPr="00A119E8" w:rsidRDefault="00BA14B3" w:rsidP="00B324FB"/>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B324FB">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t>Action 4</w:t>
            </w:r>
          </w:p>
        </w:tc>
        <w:tc>
          <w:tcPr>
            <w:tcW w:w="7796" w:type="dxa"/>
            <w:shd w:val="clear" w:color="auto" w:fill="D9D9D9" w:themeFill="background1" w:themeFillShade="D9"/>
          </w:tcPr>
          <w:p w:rsidR="00BA14B3" w:rsidRPr="00A119E8" w:rsidRDefault="00BA14B3" w:rsidP="00F07986">
            <w:pPr>
              <w:pStyle w:val="TableText"/>
              <w:keepNext/>
              <w:spacing w:before="120" w:after="120"/>
              <w:ind w:left="142"/>
              <w:rPr>
                <w:b/>
                <w:sz w:val="24"/>
                <w:szCs w:val="24"/>
                <w:lang w:eastAsia="en-NZ"/>
              </w:rPr>
            </w:pPr>
            <w:r w:rsidRPr="00A119E8">
              <w:rPr>
                <w:b/>
                <w:sz w:val="24"/>
              </w:rPr>
              <w:t>Work with lead providers of the Healthy Families New Zealand Initiative to implement programmes that enable Pacific families and communities to live healthier lives.</w:t>
            </w:r>
          </w:p>
        </w:tc>
      </w:tr>
    </w:tbl>
    <w:p w:rsidR="00BA14B3" w:rsidRPr="00A119E8" w:rsidRDefault="00BA14B3" w:rsidP="00B324FB"/>
    <w:p w:rsidR="00BA14B3" w:rsidRPr="00A119E8" w:rsidRDefault="00BA14B3" w:rsidP="004B2644">
      <w:pPr>
        <w:pStyle w:val="Heading3"/>
      </w:pPr>
      <w:r w:rsidRPr="00A119E8">
        <w:t>Action commentary</w:t>
      </w:r>
    </w:p>
    <w:p w:rsidR="00BA14B3" w:rsidRPr="00A119E8" w:rsidRDefault="00BA14B3" w:rsidP="004B2644">
      <w:r w:rsidRPr="00A119E8">
        <w:t>Healthy Families New Zealand (HFNZ) is a large-scale initiative that brings community leadership together in a united effort for better health. It aims to improve people’s health where they live, learn, work and play, in order to prevent chronic disease.</w:t>
      </w:r>
    </w:p>
    <w:p w:rsidR="00BA14B3" w:rsidRPr="00A119E8" w:rsidRDefault="00BA14B3" w:rsidP="004B2644">
      <w:pPr>
        <w:rPr>
          <w:highlight w:val="yellow"/>
        </w:rPr>
      </w:pPr>
    </w:p>
    <w:p w:rsidR="00BA14B3" w:rsidRPr="00A119E8" w:rsidRDefault="00BA14B3" w:rsidP="004B2644">
      <w:r w:rsidRPr="00A119E8">
        <w:t xml:space="preserve">HFNZ is the Government’s flagship prevention platform – a key part of the Government’s wider approach to helping New Zealanders live healthy, active lives. HFNZ is challenging communities to think differently about the underlying causes of poor health, and to make changes – in our schools, workplaces, sports clubs, </w:t>
      </w:r>
      <w:proofErr w:type="spellStart"/>
      <w:r w:rsidRPr="00A119E8">
        <w:t>marae</w:t>
      </w:r>
      <w:proofErr w:type="spellEnd"/>
      <w:r w:rsidRPr="00A119E8">
        <w:t xml:space="preserve"> and other key community settings – that will help people make healthier choices.</w:t>
      </w:r>
    </w:p>
    <w:p w:rsidR="00BA14B3" w:rsidRPr="00A119E8" w:rsidRDefault="00BA14B3" w:rsidP="004B2644"/>
    <w:p w:rsidR="00BA14B3" w:rsidRPr="00A119E8" w:rsidRDefault="00BA14B3" w:rsidP="004B2644">
      <w:r w:rsidRPr="00A119E8">
        <w:t xml:space="preserve">Led by the Ministry of Health, the initiative will focus on </w:t>
      </w:r>
      <w:r>
        <w:t>10</w:t>
      </w:r>
      <w:r w:rsidRPr="00A119E8">
        <w:t xml:space="preserve"> locations in New Zealand in the first instance. It has the potential to impact the lives of over a million New Zealanders. In each location, a skilled prevention workforce </w:t>
      </w:r>
      <w:r>
        <w:t xml:space="preserve">will </w:t>
      </w:r>
      <w:r w:rsidRPr="00A119E8">
        <w:t xml:space="preserve">work with local leaders to create healthy change. The Government has allocated $40 million over four years to support </w:t>
      </w:r>
      <w:r>
        <w:t>HF</w:t>
      </w:r>
      <w:r w:rsidRPr="00A119E8">
        <w:t>NZ.</w:t>
      </w:r>
    </w:p>
    <w:p w:rsidR="00BA14B3" w:rsidRPr="00A119E8" w:rsidRDefault="00BA14B3" w:rsidP="004B2644"/>
    <w:p w:rsidR="00BA14B3" w:rsidRPr="00A119E8" w:rsidRDefault="00BA14B3" w:rsidP="004B2644">
      <w:r w:rsidRPr="00A119E8">
        <w:t xml:space="preserve">The HFNZ teams will work collaboratively with local leaders and organisations to identify, design and implement changes to help people make healthier choices and live healthier lives. This will involve working with early childhood education, schools, workplaces, food outlets, sports clubs, </w:t>
      </w:r>
      <w:proofErr w:type="spellStart"/>
      <w:r w:rsidRPr="00A119E8">
        <w:t>marae</w:t>
      </w:r>
      <w:proofErr w:type="spellEnd"/>
      <w:r w:rsidRPr="00A119E8">
        <w:t>, businesses, places of worship, local governments, health professionals and more to create healthier environments for all.</w:t>
      </w:r>
    </w:p>
    <w:p w:rsidR="00BA14B3" w:rsidRPr="00A119E8" w:rsidRDefault="00BA14B3" w:rsidP="004B2644">
      <w:pPr>
        <w:rPr>
          <w:highlight w:val="yellow"/>
        </w:rPr>
      </w:pPr>
    </w:p>
    <w:p w:rsidR="00BA14B3" w:rsidRPr="00A119E8" w:rsidRDefault="00BA14B3" w:rsidP="004B2644">
      <w:r w:rsidRPr="00A119E8">
        <w:t xml:space="preserve">Pacific Trust Canterbury is the lead provider for Healthy Families </w:t>
      </w:r>
      <w:proofErr w:type="spellStart"/>
      <w:r w:rsidRPr="00A119E8">
        <w:t>Spreydon-Heathcote</w:t>
      </w:r>
      <w:proofErr w:type="spellEnd"/>
      <w:r w:rsidRPr="00A119E8">
        <w:t xml:space="preserve">. The lead provider for Healthy Families </w:t>
      </w:r>
      <w:proofErr w:type="spellStart"/>
      <w:r w:rsidRPr="00A119E8">
        <w:t>Manukau</w:t>
      </w:r>
      <w:proofErr w:type="spellEnd"/>
      <w:r w:rsidRPr="00A119E8">
        <w:t xml:space="preserve"> and Healthy Families </w:t>
      </w:r>
      <w:proofErr w:type="spellStart"/>
      <w:r w:rsidRPr="00A119E8">
        <w:t>Manurewa-Papakura</w:t>
      </w:r>
      <w:proofErr w:type="spellEnd"/>
      <w:r w:rsidRPr="00A119E8">
        <w:t xml:space="preserve"> is the Auckland Council, in partnership with Alliance Health </w:t>
      </w:r>
      <w:proofErr w:type="gramStart"/>
      <w:r w:rsidRPr="00A119E8">
        <w:t>Plus</w:t>
      </w:r>
      <w:proofErr w:type="gramEnd"/>
      <w:r w:rsidRPr="00A119E8">
        <w:t xml:space="preserve"> Trust. Pacific leaders are active on the governance groups for many of the other seven Healthy Families communities.</w:t>
      </w:r>
    </w:p>
    <w:p w:rsidR="00BA14B3" w:rsidRPr="00A119E8" w:rsidRDefault="00BA14B3" w:rsidP="004B2644"/>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4B2644">
        <w:trPr>
          <w:cantSplit/>
        </w:trPr>
        <w:tc>
          <w:tcPr>
            <w:tcW w:w="1560" w:type="dxa"/>
            <w:shd w:val="clear" w:color="auto" w:fill="A6A6A6" w:themeFill="background1" w:themeFillShade="A6"/>
          </w:tcPr>
          <w:p w:rsidR="00BA14B3" w:rsidRPr="00A119E8" w:rsidRDefault="00BA14B3" w:rsidP="004B2644">
            <w:pPr>
              <w:pStyle w:val="TableText"/>
              <w:keepNext/>
              <w:spacing w:before="120" w:after="120"/>
              <w:rPr>
                <w:b/>
                <w:color w:val="FFFFFF"/>
                <w:sz w:val="20"/>
                <w:lang w:eastAsia="en-NZ"/>
              </w:rPr>
            </w:pPr>
            <w:r w:rsidRPr="00A119E8">
              <w:rPr>
                <w:b/>
                <w:color w:val="FFFFFF"/>
                <w:sz w:val="20"/>
                <w:lang w:eastAsia="en-NZ"/>
              </w:rPr>
              <w:lastRenderedPageBreak/>
              <w:t>Indicator 4a</w:t>
            </w:r>
          </w:p>
        </w:tc>
        <w:tc>
          <w:tcPr>
            <w:tcW w:w="7796" w:type="dxa"/>
            <w:shd w:val="clear" w:color="auto" w:fill="A6A6A6" w:themeFill="background1" w:themeFillShade="A6"/>
          </w:tcPr>
          <w:p w:rsidR="00BA14B3" w:rsidRPr="00A119E8" w:rsidRDefault="00BA14B3" w:rsidP="004B2644">
            <w:pPr>
              <w:pStyle w:val="TableText"/>
              <w:keepNext/>
              <w:spacing w:before="120" w:after="120"/>
              <w:ind w:left="142"/>
              <w:rPr>
                <w:b/>
                <w:color w:val="FFFFFF"/>
                <w:sz w:val="20"/>
                <w:lang w:eastAsia="en-NZ"/>
              </w:rPr>
            </w:pPr>
            <w:r w:rsidRPr="00A119E8">
              <w:rPr>
                <w:b/>
                <w:color w:val="FFFFFF"/>
                <w:sz w:val="20"/>
              </w:rPr>
              <w:t>Decrease the number of Pacific children aged 2–14 years who are obese</w:t>
            </w:r>
          </w:p>
        </w:tc>
      </w:tr>
    </w:tbl>
    <w:p w:rsidR="00BA14B3" w:rsidRPr="00A119E8" w:rsidRDefault="00BA14B3" w:rsidP="004B2644">
      <w:pPr>
        <w:keepNext/>
      </w:pPr>
    </w:p>
    <w:p w:rsidR="00BA14B3" w:rsidRPr="00E65F1D" w:rsidRDefault="00BA14B3" w:rsidP="004B2644">
      <w:r w:rsidRPr="004B2644">
        <w:rPr>
          <w:b/>
        </w:rPr>
        <w:t>Performance:</w:t>
      </w:r>
      <w:r w:rsidRPr="00A119E8">
        <w:rPr>
          <w:color w:val="8064A2"/>
        </w:rPr>
        <w:t xml:space="preserve"> </w:t>
      </w:r>
      <w:r w:rsidRPr="00A119E8">
        <w:t>There is no</w:t>
      </w:r>
      <w:r>
        <w:t xml:space="preserve"> target set for this indicator.</w:t>
      </w:r>
      <w:r w:rsidR="0034306E">
        <w:t xml:space="preserve"> </w:t>
      </w:r>
      <w:r w:rsidRPr="00A119E8">
        <w:rPr>
          <w:rFonts w:cs="Arial"/>
        </w:rPr>
        <w:t>R</w:t>
      </w:r>
      <w:r w:rsidRPr="00A119E8">
        <w:rPr>
          <w:lang w:eastAsia="en-NZ"/>
        </w:rPr>
        <w:t>efer to Figures 27</w:t>
      </w:r>
      <w:r w:rsidRPr="004B2644">
        <w:t xml:space="preserve"> </w:t>
      </w:r>
      <w:r w:rsidRPr="00A119E8">
        <w:rPr>
          <w:lang w:eastAsia="en-NZ"/>
        </w:rPr>
        <w:t>and 28.</w:t>
      </w:r>
    </w:p>
    <w:p w:rsidR="00BA14B3" w:rsidRPr="00A119E8" w:rsidRDefault="00BA14B3" w:rsidP="004B2644"/>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4B2644">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t>Indicator 4b</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rPr>
              <w:t>Improve management of diabetes by providing ‘more heart and diabetes checks’</w:t>
            </w:r>
          </w:p>
        </w:tc>
      </w:tr>
    </w:tbl>
    <w:p w:rsidR="00BA14B3" w:rsidRPr="00A119E8" w:rsidRDefault="00BA14B3" w:rsidP="004B2644"/>
    <w:p w:rsidR="00BA14B3" w:rsidRPr="00A119E8" w:rsidRDefault="00BA14B3" w:rsidP="004B2644">
      <w:pPr>
        <w:rPr>
          <w:lang w:eastAsia="en-NZ"/>
        </w:rPr>
      </w:pPr>
      <w:r w:rsidRPr="004B2644">
        <w:rPr>
          <w:b/>
        </w:rPr>
        <w:t>Performance:</w:t>
      </w:r>
      <w:r w:rsidRPr="00A119E8">
        <w:rPr>
          <w:color w:val="8064A2"/>
          <w:lang w:eastAsia="en-NZ"/>
        </w:rPr>
        <w:t xml:space="preserve"> </w:t>
      </w:r>
      <w:r w:rsidRPr="00A119E8">
        <w:rPr>
          <w:lang w:eastAsia="en-NZ"/>
        </w:rPr>
        <w:t>The target for this indicator is 90 percent. Refer to Figures 25 and 26</w:t>
      </w:r>
      <w:r w:rsidRPr="00A119E8">
        <w:rPr>
          <w:rFonts w:cs="Arial"/>
        </w:rPr>
        <w:t>.</w:t>
      </w:r>
    </w:p>
    <w:p w:rsidR="00BA14B3" w:rsidRPr="00A119E8" w:rsidRDefault="00BA14B3" w:rsidP="004B2644"/>
    <w:p w:rsidR="00BA14B3" w:rsidRPr="00A119E8" w:rsidRDefault="00BA14B3" w:rsidP="004B2644">
      <w:pPr>
        <w:pStyle w:val="Heading3"/>
      </w:pPr>
      <w:r w:rsidRPr="00A119E8">
        <w:t>Action commentary</w:t>
      </w:r>
    </w:p>
    <w:p w:rsidR="00BA14B3" w:rsidRPr="00A119E8" w:rsidRDefault="00BA14B3" w:rsidP="004B2644">
      <w:r w:rsidRPr="00A119E8">
        <w:t>Diabetes is a priority long</w:t>
      </w:r>
      <w:r>
        <w:t>-</w:t>
      </w:r>
      <w:r w:rsidRPr="00A119E8">
        <w:t xml:space="preserve">term condition affecting an estimated 257,000 New Zealanders. In 2014 the number of people with diabetes grew by nearly 40 people per day. In 2015, the Ministry released </w:t>
      </w:r>
      <w:r w:rsidRPr="00A119E8">
        <w:rPr>
          <w:i/>
        </w:rPr>
        <w:t xml:space="preserve">Living Well with Diabetes: A </w:t>
      </w:r>
      <w:r>
        <w:rPr>
          <w:i/>
        </w:rPr>
        <w:t>H</w:t>
      </w:r>
      <w:r w:rsidRPr="00A119E8">
        <w:rPr>
          <w:i/>
        </w:rPr>
        <w:t xml:space="preserve">ealth </w:t>
      </w:r>
      <w:r>
        <w:rPr>
          <w:i/>
        </w:rPr>
        <w:t>C</w:t>
      </w:r>
      <w:r w:rsidRPr="00A119E8">
        <w:rPr>
          <w:i/>
        </w:rPr>
        <w:t xml:space="preserve">are </w:t>
      </w:r>
      <w:r>
        <w:rPr>
          <w:i/>
        </w:rPr>
        <w:t>P</w:t>
      </w:r>
      <w:r w:rsidRPr="00A119E8">
        <w:rPr>
          <w:i/>
        </w:rPr>
        <w:t xml:space="preserve">lan for </w:t>
      </w:r>
      <w:r>
        <w:rPr>
          <w:i/>
        </w:rPr>
        <w:t>P</w:t>
      </w:r>
      <w:r w:rsidRPr="00A119E8">
        <w:rPr>
          <w:i/>
        </w:rPr>
        <w:t xml:space="preserve">eople at </w:t>
      </w:r>
      <w:r>
        <w:rPr>
          <w:i/>
        </w:rPr>
        <w:t>H</w:t>
      </w:r>
      <w:r w:rsidRPr="00A119E8">
        <w:rPr>
          <w:i/>
        </w:rPr>
        <w:t xml:space="preserve">igh </w:t>
      </w:r>
      <w:r>
        <w:rPr>
          <w:i/>
        </w:rPr>
        <w:t>R</w:t>
      </w:r>
      <w:r w:rsidRPr="00A119E8">
        <w:rPr>
          <w:i/>
        </w:rPr>
        <w:t xml:space="preserve">isk of or </w:t>
      </w:r>
      <w:r>
        <w:rPr>
          <w:i/>
        </w:rPr>
        <w:t>L</w:t>
      </w:r>
      <w:r w:rsidRPr="00A119E8">
        <w:rPr>
          <w:i/>
        </w:rPr>
        <w:t xml:space="preserve">iving with </w:t>
      </w:r>
      <w:r>
        <w:rPr>
          <w:i/>
        </w:rPr>
        <w:t>D</w:t>
      </w:r>
      <w:r w:rsidRPr="00A119E8">
        <w:rPr>
          <w:i/>
        </w:rPr>
        <w:t>iabetes 2015–2020</w:t>
      </w:r>
      <w:r w:rsidRPr="00A119E8">
        <w:t xml:space="preserve"> (Ministry of Health 2015</w:t>
      </w:r>
      <w:r>
        <w:t>c</w:t>
      </w:r>
      <w:r w:rsidRPr="00A119E8">
        <w:t>).</w:t>
      </w:r>
    </w:p>
    <w:p w:rsidR="00BA14B3" w:rsidRPr="00A119E8" w:rsidRDefault="00BA14B3" w:rsidP="00420610"/>
    <w:p w:rsidR="00BA14B3" w:rsidRPr="00A119E8" w:rsidRDefault="00BA14B3" w:rsidP="00420610">
      <w:r w:rsidRPr="00A119E8">
        <w:t>The plan’s overarching objectives are to:</w:t>
      </w:r>
    </w:p>
    <w:p w:rsidR="00BA14B3" w:rsidRPr="00A119E8" w:rsidRDefault="00BA14B3" w:rsidP="00420610">
      <w:pPr>
        <w:pStyle w:val="Bullet"/>
      </w:pPr>
      <w:r w:rsidRPr="00A119E8">
        <w:t>reduce the personal burden of disease for people with diabetes by providing integrated services along with the tools and support that people need to manage their health</w:t>
      </w:r>
    </w:p>
    <w:p w:rsidR="00BA14B3" w:rsidRPr="00A119E8" w:rsidRDefault="00BA14B3" w:rsidP="00420610">
      <w:pPr>
        <w:pStyle w:val="Bullet"/>
      </w:pPr>
      <w:r w:rsidRPr="00A119E8">
        <w:t>provide consistent and sustainable services across the country that improve health outcomes and equity for all New Zealanders, and better use of health information</w:t>
      </w:r>
    </w:p>
    <w:p w:rsidR="00BA14B3" w:rsidRPr="00A119E8" w:rsidRDefault="00BA14B3" w:rsidP="00420610">
      <w:pPr>
        <w:pStyle w:val="Bullet"/>
      </w:pPr>
      <w:proofErr w:type="gramStart"/>
      <w:r w:rsidRPr="00A119E8">
        <w:t>reduce</w:t>
      </w:r>
      <w:proofErr w:type="gramEnd"/>
      <w:r w:rsidRPr="00A119E8">
        <w:t xml:space="preserve"> the cost of diabetes on the public health system and the broader societal impact in the longer term.</w:t>
      </w:r>
    </w:p>
    <w:p w:rsidR="00BA14B3" w:rsidRPr="00A119E8" w:rsidRDefault="00BA14B3" w:rsidP="00420610"/>
    <w:p w:rsidR="00BA14B3" w:rsidRPr="00A119E8" w:rsidRDefault="00BA14B3" w:rsidP="00420610">
      <w:pPr>
        <w:pStyle w:val="Figure"/>
      </w:pPr>
      <w:bookmarkStart w:id="187" w:name="_Toc428368091"/>
      <w:bookmarkStart w:id="188" w:name="_Toc428370469"/>
      <w:bookmarkStart w:id="189" w:name="_Toc445801474"/>
      <w:bookmarkStart w:id="190" w:name="_Toc447527173"/>
      <w:r w:rsidRPr="00A119E8">
        <w:t xml:space="preserve">Figure </w:t>
      </w:r>
      <w:fldSimple w:instr=" SEQ Figure \* ARABIC ">
        <w:r w:rsidR="008D5FF2">
          <w:rPr>
            <w:noProof/>
          </w:rPr>
          <w:t>37</w:t>
        </w:r>
      </w:fldSimple>
      <w:r w:rsidRPr="00A119E8">
        <w:t xml:space="preserve">: Estimated percentage of people with diabetes, Pacific </w:t>
      </w:r>
      <w:proofErr w:type="gramStart"/>
      <w:r w:rsidRPr="00A119E8">
        <w:t>peoples</w:t>
      </w:r>
      <w:proofErr w:type="gramEnd"/>
      <w:r w:rsidRPr="00A119E8">
        <w:t xml:space="preserve"> population and total New Zealand population, 2010–2014</w:t>
      </w:r>
      <w:bookmarkEnd w:id="187"/>
      <w:bookmarkEnd w:id="188"/>
      <w:bookmarkEnd w:id="189"/>
      <w:bookmarkEnd w:id="190"/>
    </w:p>
    <w:p w:rsidR="00BA14B3" w:rsidRDefault="00DD38BE" w:rsidP="00A7111C">
      <w:pPr>
        <w:keepNext/>
        <w:spacing w:after="120"/>
      </w:pPr>
      <w:r>
        <w:rPr>
          <w:noProof/>
          <w:lang w:eastAsia="en-NZ"/>
        </w:rPr>
        <w:drawing>
          <wp:inline distT="0" distB="0" distL="0" distR="0" wp14:anchorId="2B83228C" wp14:editId="60D1294D">
            <wp:extent cx="4497185" cy="2744129"/>
            <wp:effectExtent l="0" t="0" r="0" b="0"/>
            <wp:docPr id="136" name="Picture 136" title="Figure 37: Estimated percentage of people with diabetes, Pacific peoples population and total New Zealand population,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3553" cy="2748015"/>
                    </a:xfrm>
                    <a:prstGeom prst="rect">
                      <a:avLst/>
                    </a:prstGeom>
                    <a:noFill/>
                  </pic:spPr>
                </pic:pic>
              </a:graphicData>
            </a:graphic>
          </wp:inline>
        </w:drawing>
      </w:r>
    </w:p>
    <w:tbl>
      <w:tblPr>
        <w:tblStyle w:val="TableGrid"/>
        <w:tblW w:w="6803"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077"/>
        <w:gridCol w:w="1077"/>
        <w:gridCol w:w="1077"/>
        <w:gridCol w:w="1077"/>
        <w:gridCol w:w="1077"/>
      </w:tblGrid>
      <w:tr w:rsidR="003B5EE5" w:rsidRPr="003B5EE5" w:rsidTr="00A7111C">
        <w:trPr>
          <w:cantSplit/>
        </w:trPr>
        <w:tc>
          <w:tcPr>
            <w:tcW w:w="1418" w:type="dxa"/>
            <w:tcBorders>
              <w:top w:val="single" w:sz="4" w:space="0" w:color="auto"/>
              <w:bottom w:val="single" w:sz="4" w:space="0" w:color="auto"/>
            </w:tcBorders>
          </w:tcPr>
          <w:p w:rsidR="003B5EE5" w:rsidRPr="003B5EE5" w:rsidRDefault="003B5EE5" w:rsidP="00BC4823">
            <w:pPr>
              <w:pStyle w:val="TableText"/>
              <w:rPr>
                <w:b/>
                <w:sz w:val="14"/>
                <w:szCs w:val="14"/>
              </w:rPr>
            </w:pP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2010</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2011</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2012</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2013</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2014</w:t>
            </w:r>
          </w:p>
        </w:tc>
      </w:tr>
      <w:tr w:rsidR="00A7111C" w:rsidRPr="00187396" w:rsidTr="00A7111C">
        <w:trPr>
          <w:cantSplit/>
        </w:trPr>
        <w:tc>
          <w:tcPr>
            <w:tcW w:w="1418" w:type="dxa"/>
            <w:tcBorders>
              <w:top w:val="single" w:sz="4" w:space="0" w:color="A6A6A6" w:themeColor="background1" w:themeShade="A6"/>
              <w:bottom w:val="single" w:sz="4" w:space="0" w:color="A6A6A6" w:themeColor="background1" w:themeShade="A6"/>
            </w:tcBorders>
          </w:tcPr>
          <w:p w:rsidR="00A7111C" w:rsidRPr="00F455A1" w:rsidRDefault="00A7111C" w:rsidP="00BC4823">
            <w:pPr>
              <w:pStyle w:val="TableText"/>
              <w:rPr>
                <w:sz w:val="14"/>
              </w:rPr>
            </w:pPr>
            <w:r w:rsidRPr="00F455A1">
              <w:rPr>
                <w:sz w:val="14"/>
              </w:rPr>
              <w:t>Pacific</w:t>
            </w:r>
          </w:p>
        </w:tc>
        <w:tc>
          <w:tcPr>
            <w:tcW w:w="1077" w:type="dxa"/>
            <w:tcBorders>
              <w:top w:val="single" w:sz="4" w:space="0" w:color="A6A6A6" w:themeColor="background1" w:themeShade="A6"/>
              <w:bottom w:val="single" w:sz="4" w:space="0" w:color="A6A6A6" w:themeColor="background1" w:themeShade="A6"/>
            </w:tcBorders>
          </w:tcPr>
          <w:p w:rsidR="00A7111C" w:rsidRPr="00A7111C" w:rsidRDefault="00A7111C" w:rsidP="00BC4823">
            <w:pPr>
              <w:pStyle w:val="TableText"/>
              <w:jc w:val="center"/>
              <w:rPr>
                <w:sz w:val="14"/>
              </w:rPr>
            </w:pPr>
            <w:r w:rsidRPr="00A7111C">
              <w:rPr>
                <w:sz w:val="14"/>
              </w:rPr>
              <w:t>7.1%</w:t>
            </w:r>
          </w:p>
        </w:tc>
        <w:tc>
          <w:tcPr>
            <w:tcW w:w="1077" w:type="dxa"/>
            <w:tcBorders>
              <w:top w:val="single" w:sz="4" w:space="0" w:color="A6A6A6" w:themeColor="background1" w:themeShade="A6"/>
              <w:bottom w:val="single" w:sz="4" w:space="0" w:color="A6A6A6" w:themeColor="background1" w:themeShade="A6"/>
            </w:tcBorders>
          </w:tcPr>
          <w:p w:rsidR="00A7111C" w:rsidRPr="00A7111C" w:rsidRDefault="00A7111C" w:rsidP="00BC4823">
            <w:pPr>
              <w:pStyle w:val="TableText"/>
              <w:jc w:val="center"/>
              <w:rPr>
                <w:sz w:val="14"/>
              </w:rPr>
            </w:pPr>
            <w:r w:rsidRPr="00A7111C">
              <w:rPr>
                <w:sz w:val="14"/>
              </w:rPr>
              <w:t>7.7%</w:t>
            </w:r>
          </w:p>
        </w:tc>
        <w:tc>
          <w:tcPr>
            <w:tcW w:w="1077" w:type="dxa"/>
            <w:tcBorders>
              <w:top w:val="single" w:sz="4" w:space="0" w:color="A6A6A6" w:themeColor="background1" w:themeShade="A6"/>
              <w:bottom w:val="single" w:sz="4" w:space="0" w:color="A6A6A6" w:themeColor="background1" w:themeShade="A6"/>
            </w:tcBorders>
          </w:tcPr>
          <w:p w:rsidR="00A7111C" w:rsidRPr="00A7111C" w:rsidRDefault="00A7111C" w:rsidP="00BC4823">
            <w:pPr>
              <w:pStyle w:val="TableText"/>
              <w:jc w:val="center"/>
              <w:rPr>
                <w:sz w:val="14"/>
              </w:rPr>
            </w:pPr>
            <w:r w:rsidRPr="00A7111C">
              <w:rPr>
                <w:sz w:val="14"/>
              </w:rPr>
              <w:t>8.3%</w:t>
            </w:r>
          </w:p>
        </w:tc>
        <w:tc>
          <w:tcPr>
            <w:tcW w:w="1077" w:type="dxa"/>
            <w:tcBorders>
              <w:top w:val="single" w:sz="4" w:space="0" w:color="A6A6A6" w:themeColor="background1" w:themeShade="A6"/>
              <w:bottom w:val="single" w:sz="4" w:space="0" w:color="A6A6A6" w:themeColor="background1" w:themeShade="A6"/>
            </w:tcBorders>
          </w:tcPr>
          <w:p w:rsidR="00A7111C" w:rsidRPr="00A7111C" w:rsidRDefault="00A7111C" w:rsidP="00BC4823">
            <w:pPr>
              <w:pStyle w:val="TableText"/>
              <w:jc w:val="center"/>
              <w:rPr>
                <w:sz w:val="14"/>
              </w:rPr>
            </w:pPr>
            <w:r w:rsidRPr="00A7111C">
              <w:rPr>
                <w:sz w:val="14"/>
              </w:rPr>
              <w:t>8.9%</w:t>
            </w:r>
          </w:p>
        </w:tc>
        <w:tc>
          <w:tcPr>
            <w:tcW w:w="1077" w:type="dxa"/>
            <w:tcBorders>
              <w:top w:val="single" w:sz="4" w:space="0" w:color="A6A6A6" w:themeColor="background1" w:themeShade="A6"/>
              <w:bottom w:val="single" w:sz="4" w:space="0" w:color="A6A6A6" w:themeColor="background1" w:themeShade="A6"/>
            </w:tcBorders>
          </w:tcPr>
          <w:p w:rsidR="00A7111C" w:rsidRPr="00A7111C" w:rsidRDefault="00A7111C" w:rsidP="00BC4823">
            <w:pPr>
              <w:pStyle w:val="TableText"/>
              <w:jc w:val="center"/>
              <w:rPr>
                <w:sz w:val="14"/>
              </w:rPr>
            </w:pPr>
            <w:r w:rsidRPr="00A7111C">
              <w:rPr>
                <w:sz w:val="14"/>
              </w:rPr>
              <w:t>9.6%</w:t>
            </w:r>
          </w:p>
        </w:tc>
      </w:tr>
      <w:tr w:rsidR="00A7111C" w:rsidRPr="00187396" w:rsidTr="00A7111C">
        <w:trPr>
          <w:cantSplit/>
        </w:trPr>
        <w:tc>
          <w:tcPr>
            <w:tcW w:w="1418" w:type="dxa"/>
            <w:tcBorders>
              <w:top w:val="single" w:sz="4" w:space="0" w:color="A6A6A6" w:themeColor="background1" w:themeShade="A6"/>
              <w:bottom w:val="single" w:sz="4" w:space="0" w:color="auto"/>
            </w:tcBorders>
          </w:tcPr>
          <w:p w:rsidR="00A7111C" w:rsidRPr="00F455A1" w:rsidRDefault="00A7111C" w:rsidP="00BC4823">
            <w:pPr>
              <w:pStyle w:val="TableText"/>
              <w:rPr>
                <w:sz w:val="14"/>
              </w:rPr>
            </w:pPr>
            <w:r w:rsidRPr="00F455A1">
              <w:rPr>
                <w:sz w:val="14"/>
              </w:rPr>
              <w:t>Total New Zealand</w:t>
            </w:r>
          </w:p>
        </w:tc>
        <w:tc>
          <w:tcPr>
            <w:tcW w:w="1077" w:type="dxa"/>
            <w:tcBorders>
              <w:top w:val="single" w:sz="4" w:space="0" w:color="A6A6A6" w:themeColor="background1" w:themeShade="A6"/>
              <w:bottom w:val="single" w:sz="4" w:space="0" w:color="auto"/>
            </w:tcBorders>
          </w:tcPr>
          <w:p w:rsidR="00A7111C" w:rsidRPr="001F1606" w:rsidRDefault="00A7111C" w:rsidP="00BC4823">
            <w:pPr>
              <w:pStyle w:val="TableText"/>
              <w:jc w:val="center"/>
              <w:rPr>
                <w:sz w:val="14"/>
              </w:rPr>
            </w:pPr>
            <w:r>
              <w:rPr>
                <w:sz w:val="14"/>
              </w:rPr>
              <w:t>4.5%</w:t>
            </w:r>
          </w:p>
        </w:tc>
        <w:tc>
          <w:tcPr>
            <w:tcW w:w="1077" w:type="dxa"/>
            <w:tcBorders>
              <w:top w:val="single" w:sz="4" w:space="0" w:color="A6A6A6" w:themeColor="background1" w:themeShade="A6"/>
              <w:bottom w:val="single" w:sz="4" w:space="0" w:color="auto"/>
            </w:tcBorders>
          </w:tcPr>
          <w:p w:rsidR="00A7111C" w:rsidRPr="001F1606" w:rsidRDefault="00A7111C" w:rsidP="00BC4823">
            <w:pPr>
              <w:pStyle w:val="TableText"/>
              <w:jc w:val="center"/>
              <w:rPr>
                <w:sz w:val="14"/>
              </w:rPr>
            </w:pPr>
            <w:r>
              <w:rPr>
                <w:sz w:val="14"/>
              </w:rPr>
              <w:t>4.9%</w:t>
            </w:r>
          </w:p>
        </w:tc>
        <w:tc>
          <w:tcPr>
            <w:tcW w:w="1077" w:type="dxa"/>
            <w:tcBorders>
              <w:top w:val="single" w:sz="4" w:space="0" w:color="A6A6A6" w:themeColor="background1" w:themeShade="A6"/>
              <w:bottom w:val="single" w:sz="4" w:space="0" w:color="auto"/>
            </w:tcBorders>
          </w:tcPr>
          <w:p w:rsidR="00A7111C" w:rsidRPr="001F1606" w:rsidRDefault="00A7111C" w:rsidP="00BC4823">
            <w:pPr>
              <w:pStyle w:val="TableText"/>
              <w:jc w:val="center"/>
              <w:rPr>
                <w:sz w:val="14"/>
              </w:rPr>
            </w:pPr>
            <w:r>
              <w:rPr>
                <w:sz w:val="14"/>
              </w:rPr>
              <w:t>5.3%</w:t>
            </w:r>
          </w:p>
        </w:tc>
        <w:tc>
          <w:tcPr>
            <w:tcW w:w="1077" w:type="dxa"/>
            <w:tcBorders>
              <w:top w:val="single" w:sz="4" w:space="0" w:color="A6A6A6" w:themeColor="background1" w:themeShade="A6"/>
              <w:bottom w:val="single" w:sz="4" w:space="0" w:color="auto"/>
            </w:tcBorders>
          </w:tcPr>
          <w:p w:rsidR="00A7111C" w:rsidRPr="001F1606" w:rsidRDefault="00A7111C" w:rsidP="00BC4823">
            <w:pPr>
              <w:pStyle w:val="TableText"/>
              <w:jc w:val="center"/>
              <w:rPr>
                <w:sz w:val="14"/>
              </w:rPr>
            </w:pPr>
            <w:r>
              <w:rPr>
                <w:sz w:val="14"/>
              </w:rPr>
              <w:t>5.5%</w:t>
            </w:r>
          </w:p>
        </w:tc>
        <w:tc>
          <w:tcPr>
            <w:tcW w:w="1077" w:type="dxa"/>
            <w:tcBorders>
              <w:top w:val="single" w:sz="4" w:space="0" w:color="A6A6A6" w:themeColor="background1" w:themeShade="A6"/>
              <w:bottom w:val="single" w:sz="4" w:space="0" w:color="auto"/>
            </w:tcBorders>
          </w:tcPr>
          <w:p w:rsidR="00A7111C" w:rsidRPr="001F1606" w:rsidRDefault="00A7111C" w:rsidP="00BC4823">
            <w:pPr>
              <w:pStyle w:val="TableText"/>
              <w:jc w:val="center"/>
              <w:rPr>
                <w:sz w:val="14"/>
              </w:rPr>
            </w:pPr>
            <w:r>
              <w:rPr>
                <w:sz w:val="14"/>
              </w:rPr>
              <w:t>6.0%</w:t>
            </w:r>
          </w:p>
        </w:tc>
      </w:tr>
    </w:tbl>
    <w:p w:rsidR="00A7111C" w:rsidRDefault="00A7111C" w:rsidP="00DD38BE"/>
    <w:p w:rsidR="00BA14B3" w:rsidRPr="00A119E8" w:rsidRDefault="00BA14B3" w:rsidP="00420610">
      <w:r w:rsidRPr="00A119E8">
        <w:rPr>
          <w:b/>
        </w:rPr>
        <w:t>Note</w:t>
      </w:r>
      <w:r w:rsidRPr="00A119E8">
        <w:t xml:space="preserve">: This indicator is only reported on annually. </w:t>
      </w:r>
      <w:r>
        <w:t>There was n</w:t>
      </w:r>
      <w:r w:rsidRPr="00A119E8">
        <w:t>o change from the June 2015 progress report.</w:t>
      </w:r>
    </w:p>
    <w:p w:rsidR="00BA14B3" w:rsidRPr="00A119E8" w:rsidRDefault="00BA14B3" w:rsidP="00420610"/>
    <w:p w:rsidR="00BA14B3" w:rsidRPr="00A119E8" w:rsidRDefault="00BA14B3" w:rsidP="00420610">
      <w:pPr>
        <w:pStyle w:val="Figure"/>
        <w:rPr>
          <w:lang w:eastAsia="en-NZ"/>
        </w:rPr>
      </w:pPr>
      <w:bookmarkStart w:id="191" w:name="_Toc428368092"/>
      <w:bookmarkStart w:id="192" w:name="_Toc428370470"/>
      <w:bookmarkStart w:id="193" w:name="_Toc445801475"/>
      <w:bookmarkStart w:id="194" w:name="_Toc447527174"/>
      <w:r w:rsidRPr="00A119E8">
        <w:lastRenderedPageBreak/>
        <w:t xml:space="preserve">Figure </w:t>
      </w:r>
      <w:fldSimple w:instr=" SEQ Figure \* ARABIC ">
        <w:r w:rsidR="008D5FF2">
          <w:rPr>
            <w:noProof/>
          </w:rPr>
          <w:t>38</w:t>
        </w:r>
      </w:fldSimple>
      <w:r w:rsidRPr="00A119E8">
        <w:t>: Estimated percentage of people with diabetes, Pacific peoples, by priority DHBs, 2010–2014</w:t>
      </w:r>
      <w:bookmarkEnd w:id="191"/>
      <w:bookmarkEnd w:id="192"/>
      <w:bookmarkEnd w:id="193"/>
      <w:bookmarkEnd w:id="194"/>
    </w:p>
    <w:p w:rsidR="00BA14B3" w:rsidRDefault="00DD38BE" w:rsidP="003B5EE5">
      <w:pPr>
        <w:spacing w:after="120"/>
        <w:rPr>
          <w:lang w:eastAsia="en-NZ"/>
        </w:rPr>
      </w:pPr>
      <w:r>
        <w:rPr>
          <w:noProof/>
          <w:lang w:eastAsia="en-NZ"/>
        </w:rPr>
        <w:drawing>
          <wp:inline distT="0" distB="0" distL="0" distR="0" wp14:anchorId="532A6403" wp14:editId="1C4B964B">
            <wp:extent cx="4497186" cy="2747229"/>
            <wp:effectExtent l="0" t="0" r="0" b="0"/>
            <wp:docPr id="137" name="Picture 137" title="Figure 38: Estimated percentage of people with diabetes, Pacific peoples, by priority DHBs,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97890" cy="2747659"/>
                    </a:xfrm>
                    <a:prstGeom prst="rect">
                      <a:avLst/>
                    </a:prstGeom>
                    <a:noFill/>
                  </pic:spPr>
                </pic:pic>
              </a:graphicData>
            </a:graphic>
          </wp:inline>
        </w:drawing>
      </w:r>
    </w:p>
    <w:tbl>
      <w:tblPr>
        <w:tblStyle w:val="TableGrid"/>
        <w:tblW w:w="6803"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077"/>
        <w:gridCol w:w="1077"/>
        <w:gridCol w:w="1077"/>
        <w:gridCol w:w="1077"/>
        <w:gridCol w:w="1077"/>
      </w:tblGrid>
      <w:tr w:rsidR="003B5EE5" w:rsidRPr="003B5EE5" w:rsidTr="00BC4823">
        <w:trPr>
          <w:cantSplit/>
        </w:trPr>
        <w:tc>
          <w:tcPr>
            <w:tcW w:w="1418" w:type="dxa"/>
            <w:tcBorders>
              <w:top w:val="single" w:sz="4" w:space="0" w:color="auto"/>
              <w:bottom w:val="single" w:sz="4" w:space="0" w:color="auto"/>
            </w:tcBorders>
          </w:tcPr>
          <w:p w:rsidR="003B5EE5" w:rsidRPr="003B5EE5" w:rsidRDefault="003B5EE5" w:rsidP="00BC4823">
            <w:pPr>
              <w:pStyle w:val="TableText"/>
              <w:rPr>
                <w:b/>
                <w:sz w:val="14"/>
                <w:szCs w:val="14"/>
              </w:rPr>
            </w:pP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2010</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2011</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2012</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2013</w:t>
            </w:r>
          </w:p>
        </w:tc>
        <w:tc>
          <w:tcPr>
            <w:tcW w:w="1077" w:type="dxa"/>
            <w:tcBorders>
              <w:top w:val="single" w:sz="4" w:space="0" w:color="auto"/>
              <w:bottom w:val="single" w:sz="4" w:space="0" w:color="auto"/>
            </w:tcBorders>
          </w:tcPr>
          <w:p w:rsidR="003B5EE5" w:rsidRPr="003B5EE5" w:rsidRDefault="003B5EE5" w:rsidP="00BC4823">
            <w:pPr>
              <w:pStyle w:val="TableText"/>
              <w:jc w:val="center"/>
              <w:rPr>
                <w:b/>
                <w:sz w:val="14"/>
              </w:rPr>
            </w:pPr>
            <w:r w:rsidRPr="003B5EE5">
              <w:rPr>
                <w:b/>
                <w:sz w:val="14"/>
              </w:rPr>
              <w:t>2014</w:t>
            </w:r>
          </w:p>
        </w:tc>
      </w:tr>
      <w:tr w:rsidR="003B5EE5" w:rsidRPr="00187396" w:rsidTr="00BC4823">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Auckland</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7.7%</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8.3%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9.0%</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9.7%</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10.1%</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Canterbury</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6.1%</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6.6%</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7.0%</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7.5%</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Capital &amp; Coast</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6.7%</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8.1%</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9.2%</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9.6%</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 xml:space="preserve">Counties </w:t>
            </w:r>
            <w:proofErr w:type="spellStart"/>
            <w:r w:rsidRPr="003B5EE5">
              <w:rPr>
                <w:sz w:val="14"/>
              </w:rPr>
              <w:t>Manukau</w:t>
            </w:r>
            <w:proofErr w:type="spellEnd"/>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7.8%</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8.5%</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9.3%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10.1%</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Hawke's Bay</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6.3%</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6.6%</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7.0%</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7.5%</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7.7%</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Hutt Valley</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7.0%</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7.6%</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7.9%</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8.5%</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9.7%</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r w:rsidRPr="003B5EE5">
              <w:rPr>
                <w:sz w:val="14"/>
              </w:rPr>
              <w:t>Waikato</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5.9%</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6.6%</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7.4%</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7.8%</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8.6%</w:t>
            </w:r>
          </w:p>
        </w:tc>
      </w:tr>
      <w:tr w:rsidR="003B5EE5" w:rsidRPr="00187396" w:rsidTr="003B5EE5">
        <w:trPr>
          <w:cantSplit/>
        </w:trPr>
        <w:tc>
          <w:tcPr>
            <w:tcW w:w="1418" w:type="dxa"/>
            <w:tcBorders>
              <w:top w:val="single" w:sz="4" w:space="0" w:color="A6A6A6" w:themeColor="background1" w:themeShade="A6"/>
              <w:bottom w:val="single" w:sz="4" w:space="0" w:color="A6A6A6" w:themeColor="background1" w:themeShade="A6"/>
            </w:tcBorders>
          </w:tcPr>
          <w:p w:rsidR="003B5EE5" w:rsidRPr="003B5EE5" w:rsidRDefault="003B5EE5" w:rsidP="00BC4823">
            <w:pPr>
              <w:pStyle w:val="TableText"/>
              <w:rPr>
                <w:sz w:val="14"/>
              </w:rPr>
            </w:pPr>
            <w:proofErr w:type="spellStart"/>
            <w:r w:rsidRPr="003B5EE5">
              <w:rPr>
                <w:sz w:val="14"/>
              </w:rPr>
              <w:t>Waitemata</w:t>
            </w:r>
            <w:proofErr w:type="spellEnd"/>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7.0%</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7.8%</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8.4%</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jc w:val="center"/>
              <w:rPr>
                <w:sz w:val="14"/>
              </w:rPr>
            </w:pPr>
            <w:r w:rsidRPr="003B5EE5">
              <w:rPr>
                <w:sz w:val="14"/>
              </w:rPr>
              <w:t>9.1%</w:t>
            </w:r>
          </w:p>
        </w:tc>
        <w:tc>
          <w:tcPr>
            <w:tcW w:w="1077" w:type="dxa"/>
            <w:tcBorders>
              <w:top w:val="single" w:sz="4" w:space="0" w:color="A6A6A6" w:themeColor="background1" w:themeShade="A6"/>
              <w:bottom w:val="single" w:sz="4" w:space="0" w:color="A6A6A6" w:themeColor="background1" w:themeShade="A6"/>
            </w:tcBorders>
          </w:tcPr>
          <w:p w:rsidR="003B5EE5" w:rsidRPr="003B5EE5" w:rsidRDefault="003B5EE5" w:rsidP="003B5EE5">
            <w:pPr>
              <w:pStyle w:val="TableText"/>
              <w:tabs>
                <w:tab w:val="decimal" w:pos="454"/>
              </w:tabs>
              <w:rPr>
                <w:sz w:val="14"/>
              </w:rPr>
            </w:pPr>
            <w:r w:rsidRPr="003B5EE5">
              <w:rPr>
                <w:sz w:val="14"/>
              </w:rPr>
              <w:t>9.6%</w:t>
            </w:r>
          </w:p>
        </w:tc>
      </w:tr>
      <w:tr w:rsidR="003B5EE5" w:rsidRPr="00187396" w:rsidTr="003B5EE5">
        <w:trPr>
          <w:cantSplit/>
        </w:trPr>
        <w:tc>
          <w:tcPr>
            <w:tcW w:w="1418" w:type="dxa"/>
            <w:tcBorders>
              <w:top w:val="single" w:sz="4" w:space="0" w:color="A6A6A6" w:themeColor="background1" w:themeShade="A6"/>
              <w:bottom w:val="single" w:sz="4" w:space="0" w:color="auto"/>
            </w:tcBorders>
          </w:tcPr>
          <w:p w:rsidR="003B5EE5" w:rsidRPr="003B5EE5" w:rsidRDefault="003B5EE5" w:rsidP="00BC4823">
            <w:pPr>
              <w:pStyle w:val="TableText"/>
              <w:rPr>
                <w:sz w:val="14"/>
              </w:rPr>
            </w:pPr>
            <w:r w:rsidRPr="003B5EE5">
              <w:rPr>
                <w:sz w:val="14"/>
              </w:rPr>
              <w:t>Total New Zealand</w:t>
            </w:r>
          </w:p>
        </w:tc>
        <w:tc>
          <w:tcPr>
            <w:tcW w:w="1077" w:type="dxa"/>
            <w:tcBorders>
              <w:top w:val="single" w:sz="4" w:space="0" w:color="A6A6A6" w:themeColor="background1" w:themeShade="A6"/>
              <w:bottom w:val="single" w:sz="4" w:space="0" w:color="auto"/>
            </w:tcBorders>
          </w:tcPr>
          <w:p w:rsidR="003B5EE5" w:rsidRPr="003B5EE5" w:rsidRDefault="003B5EE5" w:rsidP="003B5EE5">
            <w:pPr>
              <w:pStyle w:val="TableText"/>
              <w:jc w:val="center"/>
              <w:rPr>
                <w:sz w:val="14"/>
              </w:rPr>
            </w:pPr>
            <w:r w:rsidRPr="003B5EE5">
              <w:rPr>
                <w:sz w:val="14"/>
              </w:rPr>
              <w:t>4.5%</w:t>
            </w:r>
          </w:p>
        </w:tc>
        <w:tc>
          <w:tcPr>
            <w:tcW w:w="1077" w:type="dxa"/>
            <w:tcBorders>
              <w:top w:val="single" w:sz="4" w:space="0" w:color="A6A6A6" w:themeColor="background1" w:themeShade="A6"/>
              <w:bottom w:val="single" w:sz="4" w:space="0" w:color="auto"/>
            </w:tcBorders>
          </w:tcPr>
          <w:p w:rsidR="003B5EE5" w:rsidRPr="003B5EE5" w:rsidRDefault="003B5EE5" w:rsidP="003B5EE5">
            <w:pPr>
              <w:pStyle w:val="TableText"/>
              <w:jc w:val="center"/>
              <w:rPr>
                <w:sz w:val="14"/>
              </w:rPr>
            </w:pPr>
            <w:r w:rsidRPr="003B5EE5">
              <w:rPr>
                <w:sz w:val="14"/>
              </w:rPr>
              <w:t>4.9%</w:t>
            </w:r>
          </w:p>
        </w:tc>
        <w:tc>
          <w:tcPr>
            <w:tcW w:w="1077" w:type="dxa"/>
            <w:tcBorders>
              <w:top w:val="single" w:sz="4" w:space="0" w:color="A6A6A6" w:themeColor="background1" w:themeShade="A6"/>
              <w:bottom w:val="single" w:sz="4" w:space="0" w:color="auto"/>
            </w:tcBorders>
          </w:tcPr>
          <w:p w:rsidR="003B5EE5" w:rsidRPr="003B5EE5" w:rsidRDefault="003B5EE5" w:rsidP="003B5EE5">
            <w:pPr>
              <w:pStyle w:val="TableText"/>
              <w:jc w:val="center"/>
              <w:rPr>
                <w:sz w:val="14"/>
              </w:rPr>
            </w:pPr>
            <w:r w:rsidRPr="003B5EE5">
              <w:rPr>
                <w:sz w:val="14"/>
              </w:rPr>
              <w:t>5.3%</w:t>
            </w:r>
          </w:p>
        </w:tc>
        <w:tc>
          <w:tcPr>
            <w:tcW w:w="1077" w:type="dxa"/>
            <w:tcBorders>
              <w:top w:val="single" w:sz="4" w:space="0" w:color="A6A6A6" w:themeColor="background1" w:themeShade="A6"/>
              <w:bottom w:val="single" w:sz="4" w:space="0" w:color="auto"/>
            </w:tcBorders>
          </w:tcPr>
          <w:p w:rsidR="003B5EE5" w:rsidRPr="003B5EE5" w:rsidRDefault="003B5EE5" w:rsidP="003B5EE5">
            <w:pPr>
              <w:pStyle w:val="TableText"/>
              <w:jc w:val="center"/>
              <w:rPr>
                <w:sz w:val="14"/>
              </w:rPr>
            </w:pPr>
            <w:r w:rsidRPr="003B5EE5">
              <w:rPr>
                <w:sz w:val="14"/>
              </w:rPr>
              <w:t>5.5%</w:t>
            </w:r>
          </w:p>
        </w:tc>
        <w:tc>
          <w:tcPr>
            <w:tcW w:w="1077" w:type="dxa"/>
            <w:tcBorders>
              <w:top w:val="single" w:sz="4" w:space="0" w:color="A6A6A6" w:themeColor="background1" w:themeShade="A6"/>
              <w:bottom w:val="single" w:sz="4" w:space="0" w:color="auto"/>
            </w:tcBorders>
          </w:tcPr>
          <w:p w:rsidR="003B5EE5" w:rsidRPr="003B5EE5" w:rsidRDefault="003B5EE5" w:rsidP="003B5EE5">
            <w:pPr>
              <w:pStyle w:val="TableText"/>
              <w:tabs>
                <w:tab w:val="decimal" w:pos="454"/>
              </w:tabs>
              <w:rPr>
                <w:sz w:val="14"/>
              </w:rPr>
            </w:pPr>
            <w:r w:rsidRPr="003B5EE5">
              <w:rPr>
                <w:sz w:val="14"/>
              </w:rPr>
              <w:t>6.0%</w:t>
            </w:r>
          </w:p>
        </w:tc>
      </w:tr>
    </w:tbl>
    <w:p w:rsidR="003B5EE5" w:rsidRDefault="003B5EE5" w:rsidP="003B5EE5">
      <w:pPr>
        <w:rPr>
          <w:lang w:eastAsia="en-NZ"/>
        </w:rPr>
      </w:pPr>
    </w:p>
    <w:p w:rsidR="00BA14B3" w:rsidRPr="00A119E8" w:rsidRDefault="00BA14B3" w:rsidP="00420610">
      <w:r w:rsidRPr="00A119E8">
        <w:t>Figure 38 shows the estimated percentage of Pacific people with diabetes in the eight priority DHBs.</w:t>
      </w:r>
      <w:r>
        <w:t xml:space="preserve"> There was n</w:t>
      </w:r>
      <w:r w:rsidRPr="00A119E8">
        <w:t>o change from the June 2015 progress report.</w:t>
      </w:r>
    </w:p>
    <w:p w:rsidR="00BA14B3" w:rsidRPr="00A119E8" w:rsidRDefault="00BA14B3" w:rsidP="00420610"/>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56"/>
      </w:tblGrid>
      <w:tr w:rsidR="00420610" w:rsidRPr="00420610" w:rsidTr="00420610">
        <w:trPr>
          <w:cantSplit/>
        </w:trPr>
        <w:tc>
          <w:tcPr>
            <w:tcW w:w="9356" w:type="dxa"/>
            <w:shd w:val="clear" w:color="auto" w:fill="auto"/>
          </w:tcPr>
          <w:p w:rsidR="00BA14B3" w:rsidRPr="00420610" w:rsidRDefault="00BA14B3" w:rsidP="00F07986">
            <w:pPr>
              <w:pStyle w:val="TableText"/>
              <w:spacing w:before="240"/>
              <w:jc w:val="center"/>
              <w:rPr>
                <w:rFonts w:ascii="Georgia" w:hAnsi="Georgia"/>
                <w:b/>
                <w:sz w:val="24"/>
                <w:szCs w:val="24"/>
              </w:rPr>
            </w:pPr>
            <w:r w:rsidRPr="00420610">
              <w:rPr>
                <w:rFonts w:ascii="Georgia" w:hAnsi="Georgia"/>
                <w:b/>
                <w:sz w:val="24"/>
                <w:szCs w:val="24"/>
              </w:rPr>
              <w:t>Priority outcome 4 –</w:t>
            </w:r>
            <w:r w:rsidRPr="00420610">
              <w:rPr>
                <w:rFonts w:ascii="Georgia" w:hAnsi="Georgia"/>
                <w:b/>
                <w:sz w:val="24"/>
                <w:szCs w:val="24"/>
              </w:rPr>
              <w:br/>
              <w:t>Pacific peoples experience improved broader determinants of health</w:t>
            </w:r>
          </w:p>
          <w:p w:rsidR="00BA14B3" w:rsidRPr="00420610" w:rsidRDefault="00BA14B3" w:rsidP="00420610">
            <w:pPr>
              <w:spacing w:before="180"/>
            </w:pPr>
            <w:r w:rsidRPr="00420610">
              <w:t>There are two quantitative indicators in this priority outcome; rates for neither of those two have reached equity with rates for the total New Zealand population. However, progress has been made in terms of both.</w:t>
            </w:r>
          </w:p>
          <w:p w:rsidR="00BA14B3" w:rsidRPr="00420610" w:rsidRDefault="00BA14B3" w:rsidP="00420610">
            <w:pPr>
              <w:spacing w:before="180"/>
            </w:pPr>
            <w:r w:rsidRPr="00420610">
              <w:t>There has been a small reduction in the rate of rheumatic fever hospitalisations among Pacific peoples, and the rate of childhood immunisations at six months of age among Pacific peoples is only 3 percent away from the rate for the total population (at March 2015).</w:t>
            </w:r>
          </w:p>
          <w:p w:rsidR="00BA14B3" w:rsidRPr="00420610" w:rsidRDefault="00BA14B3" w:rsidP="00420610">
            <w:pPr>
              <w:pStyle w:val="Table"/>
              <w:spacing w:before="240"/>
            </w:pPr>
            <w:bookmarkStart w:id="195" w:name="_Toc445801437"/>
            <w:bookmarkStart w:id="196" w:name="_Toc447527127"/>
            <w:r w:rsidRPr="00420610">
              <w:t>Table 10: Performance against priority outcome 4 indicators, as at 31 December 2015</w:t>
            </w:r>
            <w:bookmarkEnd w:id="195"/>
            <w:bookmarkEnd w:id="196"/>
          </w:p>
          <w:tbl>
            <w:tblPr>
              <w:tblW w:w="0" w:type="auto"/>
              <w:tblBorders>
                <w:top w:val="single" w:sz="4" w:space="0" w:color="FFFFFF"/>
                <w:bottom w:val="single" w:sz="4" w:space="0" w:color="FFFFFF"/>
              </w:tblBorders>
              <w:tblLayout w:type="fixed"/>
              <w:tblLook w:val="04A0" w:firstRow="1" w:lastRow="0" w:firstColumn="1" w:lastColumn="0" w:noHBand="0" w:noVBand="1"/>
            </w:tblPr>
            <w:tblGrid>
              <w:gridCol w:w="3019"/>
              <w:gridCol w:w="1997"/>
              <w:gridCol w:w="1997"/>
              <w:gridCol w:w="1997"/>
            </w:tblGrid>
            <w:tr w:rsidR="00420610" w:rsidRPr="00420610" w:rsidTr="00420610">
              <w:trPr>
                <w:cantSplit/>
              </w:trPr>
              <w:tc>
                <w:tcPr>
                  <w:tcW w:w="3019" w:type="dxa"/>
                  <w:tcBorders>
                    <w:top w:val="single" w:sz="4" w:space="0" w:color="auto"/>
                    <w:bottom w:val="single" w:sz="4" w:space="0" w:color="auto"/>
                  </w:tcBorders>
                  <w:shd w:val="clear" w:color="auto" w:fill="auto"/>
                </w:tcPr>
                <w:p w:rsidR="00BA14B3" w:rsidRPr="00420610" w:rsidRDefault="00BA14B3" w:rsidP="00ED619E">
                  <w:pPr>
                    <w:pStyle w:val="TableText"/>
                    <w:rPr>
                      <w:b/>
                    </w:rPr>
                  </w:pPr>
                  <w:r w:rsidRPr="00420610">
                    <w:rPr>
                      <w:b/>
                    </w:rPr>
                    <w:t>Indicator</w:t>
                  </w:r>
                </w:p>
              </w:tc>
              <w:tc>
                <w:tcPr>
                  <w:tcW w:w="1997" w:type="dxa"/>
                  <w:tcBorders>
                    <w:top w:val="single" w:sz="4" w:space="0" w:color="auto"/>
                    <w:bottom w:val="single" w:sz="4" w:space="0" w:color="auto"/>
                  </w:tcBorders>
                  <w:shd w:val="clear" w:color="auto" w:fill="auto"/>
                </w:tcPr>
                <w:p w:rsidR="00BA14B3" w:rsidRPr="00420610" w:rsidRDefault="00BA14B3" w:rsidP="00ED619E">
                  <w:pPr>
                    <w:pStyle w:val="TableText"/>
                    <w:jc w:val="center"/>
                    <w:rPr>
                      <w:b/>
                    </w:rPr>
                  </w:pPr>
                  <w:r w:rsidRPr="00420610">
                    <w:rPr>
                      <w:b/>
                    </w:rPr>
                    <w:t>Pacific</w:t>
                  </w:r>
                </w:p>
              </w:tc>
              <w:tc>
                <w:tcPr>
                  <w:tcW w:w="1997" w:type="dxa"/>
                  <w:tcBorders>
                    <w:top w:val="single" w:sz="4" w:space="0" w:color="auto"/>
                    <w:bottom w:val="single" w:sz="4" w:space="0" w:color="auto"/>
                  </w:tcBorders>
                  <w:shd w:val="clear" w:color="auto" w:fill="auto"/>
                </w:tcPr>
                <w:p w:rsidR="00BA14B3" w:rsidRPr="00420610" w:rsidRDefault="00BA14B3" w:rsidP="00ED619E">
                  <w:pPr>
                    <w:pStyle w:val="TableText"/>
                    <w:jc w:val="center"/>
                    <w:rPr>
                      <w:b/>
                    </w:rPr>
                  </w:pPr>
                  <w:r w:rsidRPr="00420610">
                    <w:rPr>
                      <w:b/>
                    </w:rPr>
                    <w:t>Total New Zealand population</w:t>
                  </w:r>
                </w:p>
              </w:tc>
              <w:tc>
                <w:tcPr>
                  <w:tcW w:w="1997" w:type="dxa"/>
                  <w:tcBorders>
                    <w:top w:val="single" w:sz="4" w:space="0" w:color="auto"/>
                    <w:bottom w:val="single" w:sz="4" w:space="0" w:color="auto"/>
                  </w:tcBorders>
                  <w:shd w:val="clear" w:color="auto" w:fill="auto"/>
                </w:tcPr>
                <w:p w:rsidR="00BA14B3" w:rsidRPr="00420610" w:rsidRDefault="00BA14B3" w:rsidP="00ED619E">
                  <w:pPr>
                    <w:pStyle w:val="TableText"/>
                    <w:jc w:val="center"/>
                    <w:rPr>
                      <w:b/>
                    </w:rPr>
                  </w:pPr>
                  <w:r w:rsidRPr="00420610">
                    <w:rPr>
                      <w:b/>
                    </w:rPr>
                    <w:t>Target</w:t>
                  </w:r>
                </w:p>
              </w:tc>
            </w:tr>
            <w:tr w:rsidR="00420610" w:rsidRPr="00420610" w:rsidTr="00420610">
              <w:trPr>
                <w:cantSplit/>
              </w:trPr>
              <w:tc>
                <w:tcPr>
                  <w:tcW w:w="3019" w:type="dxa"/>
                  <w:tcBorders>
                    <w:top w:val="single" w:sz="4" w:space="0" w:color="auto"/>
                    <w:bottom w:val="single" w:sz="4" w:space="0" w:color="A6A6A6" w:themeColor="background1" w:themeShade="A6"/>
                  </w:tcBorders>
                </w:tcPr>
                <w:p w:rsidR="00BA14B3" w:rsidRPr="00420610" w:rsidRDefault="00BA14B3" w:rsidP="00ED619E">
                  <w:pPr>
                    <w:pStyle w:val="TableText"/>
                  </w:pPr>
                  <w:r w:rsidRPr="00420610">
                    <w:t>Reduce Pacific rheumatic fever hospitalisation rates by June 2017</w:t>
                  </w:r>
                </w:p>
              </w:tc>
              <w:tc>
                <w:tcPr>
                  <w:tcW w:w="1997" w:type="dxa"/>
                  <w:tcBorders>
                    <w:top w:val="single" w:sz="4" w:space="0" w:color="auto"/>
                    <w:bottom w:val="single" w:sz="4" w:space="0" w:color="A6A6A6" w:themeColor="background1" w:themeShade="A6"/>
                  </w:tcBorders>
                </w:tcPr>
                <w:p w:rsidR="00BA14B3" w:rsidRPr="00420610" w:rsidRDefault="00BA14B3" w:rsidP="00ED619E">
                  <w:pPr>
                    <w:pStyle w:val="TableText"/>
                    <w:jc w:val="center"/>
                  </w:pPr>
                  <w:r w:rsidRPr="00420610">
                    <w:t>22.1 per 100,000</w:t>
                  </w:r>
                </w:p>
              </w:tc>
              <w:tc>
                <w:tcPr>
                  <w:tcW w:w="1997" w:type="dxa"/>
                  <w:tcBorders>
                    <w:top w:val="single" w:sz="4" w:space="0" w:color="auto"/>
                    <w:bottom w:val="single" w:sz="4" w:space="0" w:color="A6A6A6" w:themeColor="background1" w:themeShade="A6"/>
                  </w:tcBorders>
                </w:tcPr>
                <w:p w:rsidR="00BA14B3" w:rsidRPr="00420610" w:rsidRDefault="00BA14B3" w:rsidP="00ED619E">
                  <w:pPr>
                    <w:pStyle w:val="TableText"/>
                    <w:jc w:val="center"/>
                  </w:pPr>
                  <w:r w:rsidRPr="00420610">
                    <w:t>3.0 per 100,000</w:t>
                  </w:r>
                </w:p>
              </w:tc>
              <w:tc>
                <w:tcPr>
                  <w:tcW w:w="1997" w:type="dxa"/>
                  <w:tcBorders>
                    <w:top w:val="single" w:sz="4" w:space="0" w:color="auto"/>
                    <w:bottom w:val="single" w:sz="4" w:space="0" w:color="A6A6A6" w:themeColor="background1" w:themeShade="A6"/>
                  </w:tcBorders>
                </w:tcPr>
                <w:p w:rsidR="00BA14B3" w:rsidRPr="00420610" w:rsidRDefault="00BA14B3" w:rsidP="00ED619E">
                  <w:pPr>
                    <w:pStyle w:val="TableText"/>
                    <w:jc w:val="center"/>
                  </w:pPr>
                  <w:r w:rsidRPr="00420610">
                    <w:t>8 per 100,000 (Pacific)</w:t>
                  </w:r>
                </w:p>
              </w:tc>
            </w:tr>
            <w:tr w:rsidR="00420610" w:rsidRPr="00420610" w:rsidTr="00420610">
              <w:trPr>
                <w:cantSplit/>
              </w:trPr>
              <w:tc>
                <w:tcPr>
                  <w:tcW w:w="3019" w:type="dxa"/>
                  <w:tcBorders>
                    <w:top w:val="single" w:sz="4" w:space="0" w:color="A6A6A6" w:themeColor="background1" w:themeShade="A6"/>
                    <w:bottom w:val="single" w:sz="4" w:space="0" w:color="auto"/>
                  </w:tcBorders>
                </w:tcPr>
                <w:p w:rsidR="00BA14B3" w:rsidRPr="00420610" w:rsidRDefault="00BA14B3" w:rsidP="00ED619E">
                  <w:pPr>
                    <w:pStyle w:val="TableText"/>
                  </w:pPr>
                  <w:r w:rsidRPr="00420610">
                    <w:t>Increase infant immunisation rates at six months of age</w:t>
                  </w:r>
                </w:p>
              </w:tc>
              <w:tc>
                <w:tcPr>
                  <w:tcW w:w="1997" w:type="dxa"/>
                  <w:tcBorders>
                    <w:top w:val="single" w:sz="4" w:space="0" w:color="A6A6A6" w:themeColor="background1" w:themeShade="A6"/>
                    <w:bottom w:val="single" w:sz="4" w:space="0" w:color="auto"/>
                  </w:tcBorders>
                </w:tcPr>
                <w:p w:rsidR="00BA14B3" w:rsidRPr="00420610" w:rsidRDefault="00BA14B3" w:rsidP="00ED619E">
                  <w:pPr>
                    <w:pStyle w:val="TableText"/>
                    <w:jc w:val="center"/>
                  </w:pPr>
                  <w:r w:rsidRPr="00420610">
                    <w:t>78.7% coverage</w:t>
                  </w:r>
                </w:p>
              </w:tc>
              <w:tc>
                <w:tcPr>
                  <w:tcW w:w="1997" w:type="dxa"/>
                  <w:tcBorders>
                    <w:top w:val="single" w:sz="4" w:space="0" w:color="A6A6A6" w:themeColor="background1" w:themeShade="A6"/>
                    <w:bottom w:val="single" w:sz="4" w:space="0" w:color="auto"/>
                  </w:tcBorders>
                </w:tcPr>
                <w:p w:rsidR="00BA14B3" w:rsidRPr="00420610" w:rsidRDefault="00BA14B3" w:rsidP="00ED619E">
                  <w:pPr>
                    <w:pStyle w:val="TableText"/>
                    <w:jc w:val="center"/>
                  </w:pPr>
                  <w:r w:rsidRPr="00420610">
                    <w:t>80.6% coverage</w:t>
                  </w:r>
                </w:p>
              </w:tc>
              <w:tc>
                <w:tcPr>
                  <w:tcW w:w="1997" w:type="dxa"/>
                  <w:tcBorders>
                    <w:top w:val="single" w:sz="4" w:space="0" w:color="A6A6A6" w:themeColor="background1" w:themeShade="A6"/>
                    <w:bottom w:val="single" w:sz="4" w:space="0" w:color="auto"/>
                  </w:tcBorders>
                </w:tcPr>
                <w:p w:rsidR="00BA14B3" w:rsidRPr="00420610" w:rsidRDefault="00BA14B3" w:rsidP="00ED619E">
                  <w:pPr>
                    <w:pStyle w:val="TableText"/>
                    <w:jc w:val="center"/>
                  </w:pPr>
                  <w:r w:rsidRPr="00420610">
                    <w:t>95% coverage</w:t>
                  </w:r>
                </w:p>
              </w:tc>
            </w:tr>
            <w:tr w:rsidR="00420610" w:rsidRPr="00420610" w:rsidTr="00420610">
              <w:tc>
                <w:tcPr>
                  <w:tcW w:w="9010" w:type="dxa"/>
                  <w:gridSpan w:val="4"/>
                  <w:tcBorders>
                    <w:top w:val="single" w:sz="4" w:space="0" w:color="auto"/>
                  </w:tcBorders>
                  <w:vAlign w:val="center"/>
                </w:tcPr>
                <w:p w:rsidR="00BA14B3" w:rsidRPr="00420610" w:rsidRDefault="00BA14B3" w:rsidP="00420610">
                  <w:pPr>
                    <w:rPr>
                      <w:sz w:val="2"/>
                      <w:szCs w:val="2"/>
                    </w:rPr>
                  </w:pPr>
                </w:p>
                <w:p w:rsidR="00BA14B3" w:rsidRPr="00420610" w:rsidRDefault="00BA14B3" w:rsidP="00420610"/>
              </w:tc>
            </w:tr>
          </w:tbl>
          <w:p w:rsidR="00BA14B3" w:rsidRPr="00420610" w:rsidRDefault="00BA14B3" w:rsidP="00F07986">
            <w:pPr>
              <w:spacing w:before="240" w:after="240"/>
            </w:pPr>
          </w:p>
        </w:tc>
      </w:tr>
    </w:tbl>
    <w:p w:rsidR="00BA14B3" w:rsidRPr="00A119E8" w:rsidRDefault="00BA14B3" w:rsidP="00BA14B3">
      <w:pPr>
        <w:spacing w:line="240" w:lineRule="auto"/>
        <w:rPr>
          <w:rFonts w:cs="Arial"/>
        </w:rPr>
      </w:pPr>
      <w:r w:rsidRPr="00A119E8">
        <w:rPr>
          <w:rFonts w:cs="Arial"/>
        </w:rPr>
        <w:br w:type="page"/>
      </w:r>
    </w:p>
    <w:p w:rsidR="00BA14B3" w:rsidRPr="0005294C" w:rsidRDefault="00BA14B3" w:rsidP="00D951A4">
      <w:pPr>
        <w:pStyle w:val="Heading1"/>
      </w:pPr>
      <w:bookmarkStart w:id="197" w:name="_Toc425012025"/>
      <w:bookmarkStart w:id="198" w:name="_Toc428878437"/>
      <w:bookmarkStart w:id="199" w:name="_Toc445823336"/>
      <w:bookmarkStart w:id="200" w:name="_Toc447565085"/>
      <w:r w:rsidRPr="0005294C">
        <w:lastRenderedPageBreak/>
        <w:t xml:space="preserve">Priority outcome 4 – Pacific </w:t>
      </w:r>
      <w:r w:rsidRPr="00DA4190">
        <w:t>peoples</w:t>
      </w:r>
      <w:r w:rsidRPr="0005294C">
        <w:t xml:space="preserve"> experience improved broader determinants of health</w:t>
      </w:r>
      <w:bookmarkEnd w:id="197"/>
      <w:bookmarkEnd w:id="198"/>
      <w:bookmarkEnd w:id="199"/>
      <w:bookmarkEnd w:id="200"/>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D951A4">
        <w:trPr>
          <w:cantSplit/>
        </w:trPr>
        <w:tc>
          <w:tcPr>
            <w:tcW w:w="1560" w:type="dxa"/>
            <w:shd w:val="clear" w:color="auto" w:fill="D9D9D9" w:themeFill="background1" w:themeFillShade="D9"/>
          </w:tcPr>
          <w:p w:rsidR="00BA14B3" w:rsidRPr="00A119E8" w:rsidRDefault="00BA14B3" w:rsidP="00F07986">
            <w:pPr>
              <w:pStyle w:val="TableText"/>
              <w:spacing w:before="120" w:after="120"/>
              <w:rPr>
                <w:b/>
                <w:sz w:val="24"/>
                <w:szCs w:val="24"/>
                <w:lang w:eastAsia="en-NZ"/>
              </w:rPr>
            </w:pPr>
            <w:r w:rsidRPr="00A119E8">
              <w:rPr>
                <w:b/>
                <w:sz w:val="24"/>
                <w:szCs w:val="24"/>
                <w:lang w:eastAsia="en-NZ"/>
              </w:rPr>
              <w:t>Action 1</w:t>
            </w:r>
          </w:p>
        </w:tc>
        <w:tc>
          <w:tcPr>
            <w:tcW w:w="7796" w:type="dxa"/>
            <w:shd w:val="clear" w:color="auto" w:fill="D9D9D9" w:themeFill="background1" w:themeFillShade="D9"/>
          </w:tcPr>
          <w:p w:rsidR="00BA14B3" w:rsidRPr="00A119E8" w:rsidRDefault="00BA14B3" w:rsidP="00F07986">
            <w:pPr>
              <w:pStyle w:val="TableText"/>
              <w:spacing w:before="120" w:after="120"/>
              <w:ind w:left="142"/>
              <w:rPr>
                <w:b/>
                <w:sz w:val="24"/>
                <w:szCs w:val="24"/>
                <w:lang w:eastAsia="en-NZ"/>
              </w:rPr>
            </w:pPr>
            <w:r w:rsidRPr="00A119E8">
              <w:rPr>
                <w:b/>
                <w:sz w:val="24"/>
              </w:rPr>
              <w:t>The health and disability sector will work across government to decrease overcrowding in Pacific homes and increase access to healthy housing.</w:t>
            </w:r>
          </w:p>
        </w:tc>
      </w:tr>
    </w:tbl>
    <w:p w:rsidR="00BA14B3" w:rsidRPr="00A119E8" w:rsidRDefault="00BA14B3" w:rsidP="00D951A4"/>
    <w:p w:rsidR="00BA14B3" w:rsidRPr="00A119E8" w:rsidRDefault="00BA14B3" w:rsidP="00D951A4">
      <w:pPr>
        <w:pStyle w:val="Heading3"/>
      </w:pPr>
      <w:r w:rsidRPr="00A119E8">
        <w:t>Action commentary</w:t>
      </w:r>
    </w:p>
    <w:p w:rsidR="0034306E" w:rsidRDefault="00BA14B3" w:rsidP="00D951A4">
      <w:pPr>
        <w:pStyle w:val="Heading4"/>
      </w:pPr>
      <w:r w:rsidRPr="00A119E8">
        <w:t>Healthy Homes Initiatives</w:t>
      </w:r>
    </w:p>
    <w:p w:rsidR="00BA14B3" w:rsidRPr="00A119E8" w:rsidRDefault="00BA14B3" w:rsidP="00D951A4">
      <w:r w:rsidRPr="00A119E8">
        <w:t>Through the Rheumatic Fever Prevention Programme, the Ministry is administering Healthy Homes Initiatives (HHI</w:t>
      </w:r>
      <w:r>
        <w:t>s</w:t>
      </w:r>
      <w:r w:rsidRPr="00A119E8">
        <w:t>) across the 11 DHBs in which there is a high incidence of rheumatic fever. HHI</w:t>
      </w:r>
      <w:r>
        <w:t>s</w:t>
      </w:r>
      <w:r w:rsidRPr="00A119E8">
        <w:t xml:space="preserve"> systematically identify families with children at risk of getting rheumatic fever who are living in crowded households and facilitate access to a range of interventions to reduce that crowding. The first of these initiatives was in Auckland and services have been expanded to Northland, Waikato, </w:t>
      </w:r>
      <w:proofErr w:type="gramStart"/>
      <w:r w:rsidRPr="00A119E8">
        <w:t>Wellington</w:t>
      </w:r>
      <w:proofErr w:type="gramEnd"/>
      <w:r w:rsidRPr="00A119E8">
        <w:t xml:space="preserve">, Lakes, Bay of Plenty, Hawke’s Bay and </w:t>
      </w:r>
      <w:proofErr w:type="spellStart"/>
      <w:r w:rsidRPr="00A119E8">
        <w:t>Tair</w:t>
      </w:r>
      <w:r w:rsidR="00BC4823">
        <w:t>ā</w:t>
      </w:r>
      <w:r w:rsidRPr="00A119E8">
        <w:t>whiti</w:t>
      </w:r>
      <w:proofErr w:type="spellEnd"/>
      <w:r w:rsidRPr="00A119E8">
        <w:t xml:space="preserve"> DHB regions. </w:t>
      </w:r>
      <w:r>
        <w:t xml:space="preserve">HHIs </w:t>
      </w:r>
      <w:r w:rsidRPr="00A119E8">
        <w:t>enabled housing assistance for up to 3500 families in 2015/16. Where families are current Housing New Zealand Corporation tenants, household crowding may swiftly be addressed through capital interventions. Interventions for private tenants are more challenging – there are few levers with which to influence landlord behaviour, and tenants are often fearful of rising rents should the quality of their rented house improve.</w:t>
      </w:r>
    </w:p>
    <w:p w:rsidR="00BA14B3" w:rsidRPr="00A119E8" w:rsidRDefault="00BA14B3" w:rsidP="00D951A4"/>
    <w:p w:rsidR="00BA14B3" w:rsidRPr="00A119E8" w:rsidRDefault="00BA14B3" w:rsidP="00D951A4">
      <w:r w:rsidRPr="00A119E8">
        <w:t xml:space="preserve">The Auckland-Wide Healthy Homes Initiative service was the first HHI to be launched; it has been operational since December 2013. In its first 16 months, the </w:t>
      </w:r>
      <w:r w:rsidRPr="00675E3D">
        <w:t xml:space="preserve">Auckland-Wide Healthy Homes Initiative </w:t>
      </w:r>
      <w:r w:rsidRPr="00A119E8">
        <w:t>had assessed more than 1200 vulnerable families in Auckland, and over 650 changes had been made in their homes as a result.</w:t>
      </w:r>
    </w:p>
    <w:p w:rsidR="00BA14B3" w:rsidRPr="00A119E8" w:rsidRDefault="00BA14B3" w:rsidP="00D951A4"/>
    <w:p w:rsidR="0034306E" w:rsidRDefault="00BA14B3" w:rsidP="00D951A4">
      <w:pPr>
        <w:pStyle w:val="Heading4"/>
      </w:pPr>
      <w:r w:rsidRPr="00A119E8">
        <w:t>Cross-agency action</w:t>
      </w:r>
    </w:p>
    <w:p w:rsidR="00BA14B3" w:rsidRPr="00A119E8" w:rsidRDefault="00BA14B3" w:rsidP="00D951A4">
      <w:r w:rsidRPr="00A119E8">
        <w:t>Reducing household crowding has resulted in the Ministry</w:t>
      </w:r>
      <w:r>
        <w:t xml:space="preserve"> of Health; the Ministry</w:t>
      </w:r>
      <w:r w:rsidRPr="00A119E8">
        <w:t xml:space="preserve"> of Social Development</w:t>
      </w:r>
      <w:r>
        <w:t>;</w:t>
      </w:r>
      <w:r w:rsidRPr="00A119E8">
        <w:t xml:space="preserve"> </w:t>
      </w:r>
      <w:r>
        <w:t xml:space="preserve">the Ministry of </w:t>
      </w:r>
      <w:r w:rsidRPr="00A119E8">
        <w:t>Business, Innovation and Employment</w:t>
      </w:r>
      <w:r>
        <w:t>;</w:t>
      </w:r>
      <w:r w:rsidRPr="00A119E8">
        <w:t xml:space="preserve"> and Housing New Zealand working closely together. The resulting partnerships also include the private and philanthropic sectors.</w:t>
      </w:r>
    </w:p>
    <w:p w:rsidR="00BA14B3" w:rsidRPr="00A119E8" w:rsidRDefault="00BA14B3" w:rsidP="00D951A4"/>
    <w:p w:rsidR="00BA14B3" w:rsidRPr="00A119E8" w:rsidRDefault="00BA14B3" w:rsidP="00D951A4">
      <w:pPr>
        <w:pStyle w:val="Heading4"/>
      </w:pPr>
      <w:r w:rsidRPr="00A119E8">
        <w:t>Social housing fast track scheme</w:t>
      </w:r>
    </w:p>
    <w:p w:rsidR="00BA14B3" w:rsidRPr="00A119E8" w:rsidRDefault="00BA14B3" w:rsidP="00D951A4">
      <w:r w:rsidRPr="00A119E8">
        <w:t>This Ministry of Social Development</w:t>
      </w:r>
      <w:r>
        <w:t xml:space="preserve"> </w:t>
      </w:r>
      <w:r w:rsidRPr="00A119E8">
        <w:t>administered programme addresses the impact that poor housing and crowded conditions have on the rate of rheumatic fever. The scheme aims to give families with children at</w:t>
      </w:r>
      <w:r>
        <w:t xml:space="preserve"> </w:t>
      </w:r>
      <w:r w:rsidRPr="00A119E8">
        <w:t>risk of rheumatic fever priority for appropriately sized state homes.</w:t>
      </w:r>
    </w:p>
    <w:p w:rsidR="00BA14B3" w:rsidRPr="00A119E8" w:rsidRDefault="00BA14B3" w:rsidP="00D951A4"/>
    <w:p w:rsidR="00BA14B3" w:rsidRPr="00A119E8" w:rsidRDefault="00BA14B3" w:rsidP="00D951A4">
      <w:pPr>
        <w:pStyle w:val="Heading4"/>
      </w:pPr>
      <w:r>
        <w:lastRenderedPageBreak/>
        <w:t>Rental h</w:t>
      </w:r>
      <w:r w:rsidRPr="00A119E8">
        <w:t xml:space="preserve">ousing </w:t>
      </w:r>
      <w:r>
        <w:t>W</w:t>
      </w:r>
      <w:r w:rsidRPr="00FF16B5">
        <w:t xml:space="preserve">arrant of </w:t>
      </w:r>
      <w:r>
        <w:t>F</w:t>
      </w:r>
      <w:r w:rsidRPr="00FF16B5">
        <w:t>itness</w:t>
      </w:r>
      <w:r w:rsidRPr="00A119E8">
        <w:t xml:space="preserve"> </w:t>
      </w:r>
      <w:r>
        <w:t>f</w:t>
      </w:r>
      <w:r w:rsidRPr="00A119E8">
        <w:t xml:space="preserve">ield </w:t>
      </w:r>
      <w:r>
        <w:t>t</w:t>
      </w:r>
      <w:r w:rsidRPr="00A119E8">
        <w:t xml:space="preserve">ests through </w:t>
      </w:r>
      <w:r>
        <w:t>c</w:t>
      </w:r>
      <w:r w:rsidRPr="00A119E8">
        <w:t xml:space="preserve">ity </w:t>
      </w:r>
      <w:r>
        <w:t>c</w:t>
      </w:r>
      <w:r w:rsidRPr="00A119E8">
        <w:t>ouncils</w:t>
      </w:r>
    </w:p>
    <w:p w:rsidR="0034306E" w:rsidRDefault="00BA14B3" w:rsidP="00D951A4">
      <w:pPr>
        <w:rPr>
          <w:szCs w:val="22"/>
        </w:rPr>
      </w:pPr>
      <w:r w:rsidRPr="00A119E8">
        <w:t xml:space="preserve">The </w:t>
      </w:r>
      <w:r>
        <w:t>r</w:t>
      </w:r>
      <w:r w:rsidRPr="00A119E8">
        <w:t xml:space="preserve">ental </w:t>
      </w:r>
      <w:r>
        <w:t>h</w:t>
      </w:r>
      <w:r w:rsidRPr="00A119E8">
        <w:t xml:space="preserve">ousing Warrant of Fitness </w:t>
      </w:r>
      <w:r>
        <w:t xml:space="preserve">project </w:t>
      </w:r>
      <w:r w:rsidRPr="00A119E8">
        <w:t>is based on over a decade of publicly</w:t>
      </w:r>
      <w:r>
        <w:t xml:space="preserve"> </w:t>
      </w:r>
      <w:r w:rsidRPr="00A119E8">
        <w:t xml:space="preserve">funded housing research and was developed by the University of </w:t>
      </w:r>
      <w:proofErr w:type="spellStart"/>
      <w:r w:rsidRPr="00A119E8">
        <w:t>Otago</w:t>
      </w:r>
      <w:proofErr w:type="spellEnd"/>
      <w:r w:rsidRPr="00A119E8">
        <w:t xml:space="preserve"> Wellington and the New Zealand Green Building Council in collaboration with five councils (Auckland, Tauranga, Wellington, Christchurch and Dunedin) and the Accident Compensation Corporation.</w:t>
      </w:r>
      <w:r w:rsidRPr="005A6734">
        <w:t xml:space="preserve"> </w:t>
      </w:r>
      <w:r>
        <w:t>Councils were interested in developing a WOF tool that will assist in improving the quality of the rental housing stock, which would result in improved health outcomes and a reduction in household injuries. A WOF for housing would provide a minimum standard for rental dwellings or be an information tool for tenants and landlords to understand the performance of a dwelling.</w:t>
      </w:r>
      <w:r w:rsidRPr="00A119E8">
        <w:rPr>
          <w:szCs w:val="22"/>
        </w:rPr>
        <w:t xml:space="preserve"> </w:t>
      </w:r>
      <w:r>
        <w:t>The current regulations for rental housing quality have not been amended since 1947.</w:t>
      </w:r>
      <w:r w:rsidRPr="00A119E8">
        <w:t xml:space="preserve"> </w:t>
      </w:r>
      <w:r w:rsidRPr="00A119E8">
        <w:rPr>
          <w:szCs w:val="22"/>
        </w:rPr>
        <w:t>Of the 144</w:t>
      </w:r>
      <w:r w:rsidR="00D951A4">
        <w:rPr>
          <w:szCs w:val="22"/>
        </w:rPr>
        <w:t> </w:t>
      </w:r>
      <w:r w:rsidRPr="00A119E8">
        <w:rPr>
          <w:szCs w:val="22"/>
        </w:rPr>
        <w:t>houses that were assessed</w:t>
      </w:r>
      <w:r>
        <w:rPr>
          <w:szCs w:val="22"/>
        </w:rPr>
        <w:t xml:space="preserve"> in the project</w:t>
      </w:r>
      <w:r w:rsidRPr="00A119E8">
        <w:rPr>
          <w:szCs w:val="22"/>
        </w:rPr>
        <w:t xml:space="preserve">, eight (6%) passed the </w:t>
      </w:r>
      <w:r w:rsidRPr="00684CA5">
        <w:rPr>
          <w:szCs w:val="22"/>
        </w:rPr>
        <w:t>Warrant of Fitness</w:t>
      </w:r>
      <w:r>
        <w:rPr>
          <w:szCs w:val="22"/>
        </w:rPr>
        <w:t xml:space="preserve"> (</w:t>
      </w:r>
      <w:r>
        <w:t>Bennett et</w:t>
      </w:r>
      <w:r w:rsidR="00D951A4">
        <w:t> </w:t>
      </w:r>
      <w:r>
        <w:t>al 2014)</w:t>
      </w:r>
      <w:r w:rsidRPr="00A119E8">
        <w:rPr>
          <w:szCs w:val="22"/>
        </w:rPr>
        <w:t>.</w:t>
      </w:r>
    </w:p>
    <w:p w:rsidR="00BA14B3" w:rsidRPr="00A119E8" w:rsidRDefault="00BA14B3" w:rsidP="00D951A4"/>
    <w:p w:rsidR="00BA14B3" w:rsidRPr="00A119E8" w:rsidRDefault="00BA14B3" w:rsidP="00D951A4">
      <w:r>
        <w:t xml:space="preserve">The </w:t>
      </w:r>
      <w:r w:rsidRPr="00A119E8">
        <w:t xml:space="preserve">Government announced the Residential Tenancies Act in 2015. This will </w:t>
      </w:r>
      <w:r>
        <w:t>help</w:t>
      </w:r>
      <w:r w:rsidRPr="00A119E8">
        <w:t xml:space="preserve"> to make rental homes warmer, drier and safer with new regulations to take effect next year making it compulsory for landlords to insulate their properties and provide smoke alarms.</w:t>
      </w:r>
    </w:p>
    <w:p w:rsidR="00BA14B3" w:rsidRPr="00A119E8" w:rsidRDefault="00BA14B3" w:rsidP="00D951A4"/>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D951A4">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t>Indicator 1</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rPr>
              <w:t>Reduction in Pacific rheumatic fever hospitalisation rates by June 2017</w:t>
            </w:r>
          </w:p>
        </w:tc>
      </w:tr>
    </w:tbl>
    <w:p w:rsidR="00BA14B3" w:rsidRPr="00A119E8" w:rsidRDefault="00BA14B3" w:rsidP="00D951A4"/>
    <w:p w:rsidR="0034306E" w:rsidRDefault="00BA14B3" w:rsidP="00D951A4">
      <w:r w:rsidRPr="00D951A4">
        <w:rPr>
          <w:b/>
        </w:rPr>
        <w:t>Performance:</w:t>
      </w:r>
      <w:r w:rsidRPr="00A119E8">
        <w:rPr>
          <w:color w:val="8064A2"/>
        </w:rPr>
        <w:t xml:space="preserve"> </w:t>
      </w:r>
      <w:r w:rsidRPr="00A119E8">
        <w:t>The national target for this indicator is 1.4 per 100,000. The Pacific target for this indicator is 8 per 100,000 by June 2017. This target is based on the two-thirds reduction from baseline rate (2009/2010–2011/2012) as per the target for the total New Zealand population.</w:t>
      </w:r>
    </w:p>
    <w:p w:rsidR="00BA14B3" w:rsidRPr="00A119E8" w:rsidRDefault="00BA14B3" w:rsidP="00D951A4"/>
    <w:p w:rsidR="00BA14B3" w:rsidRPr="00A119E8" w:rsidRDefault="00BA14B3" w:rsidP="00D951A4">
      <w:pPr>
        <w:pStyle w:val="Figure"/>
      </w:pPr>
      <w:bookmarkStart w:id="201" w:name="_Toc428368093"/>
      <w:bookmarkStart w:id="202" w:name="_Toc428370471"/>
      <w:bookmarkStart w:id="203" w:name="_Toc445801476"/>
      <w:bookmarkStart w:id="204" w:name="_Toc447527175"/>
      <w:r w:rsidRPr="00A119E8">
        <w:t xml:space="preserve">Figure </w:t>
      </w:r>
      <w:fldSimple w:instr=" SEQ Figure \* ARABIC ">
        <w:r w:rsidR="008D5FF2">
          <w:rPr>
            <w:noProof/>
          </w:rPr>
          <w:t>39</w:t>
        </w:r>
      </w:fldSimple>
      <w:r w:rsidRPr="00A119E8">
        <w:t>: Rheumatic fever hospitalisation rates, Pacific peoples, 2011–201</w:t>
      </w:r>
      <w:bookmarkEnd w:id="201"/>
      <w:bookmarkEnd w:id="202"/>
      <w:r w:rsidRPr="00A119E8">
        <w:t>5</w:t>
      </w:r>
      <w:bookmarkEnd w:id="203"/>
      <w:bookmarkEnd w:id="204"/>
    </w:p>
    <w:p w:rsidR="00BA14B3" w:rsidRDefault="00DD38BE" w:rsidP="00ED619E">
      <w:pPr>
        <w:spacing w:after="120"/>
      </w:pPr>
      <w:r>
        <w:rPr>
          <w:noProof/>
          <w:lang w:eastAsia="en-NZ"/>
        </w:rPr>
        <w:drawing>
          <wp:inline distT="0" distB="0" distL="0" distR="0" wp14:anchorId="1AD16E80" wp14:editId="6F88E144">
            <wp:extent cx="4522123" cy="2759346"/>
            <wp:effectExtent l="0" t="0" r="0" b="0"/>
            <wp:docPr id="138" name="Picture 138" title="Figure 39: Rheumatic fever hospitalisation rates, Pacific peoples,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22451" cy="2759546"/>
                    </a:xfrm>
                    <a:prstGeom prst="rect">
                      <a:avLst/>
                    </a:prstGeom>
                    <a:noFill/>
                  </pic:spPr>
                </pic:pic>
              </a:graphicData>
            </a:graphic>
          </wp:inline>
        </w:drawing>
      </w:r>
    </w:p>
    <w:tbl>
      <w:tblPr>
        <w:tblStyle w:val="TableGrid"/>
        <w:tblW w:w="6803"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077"/>
        <w:gridCol w:w="1077"/>
        <w:gridCol w:w="1077"/>
        <w:gridCol w:w="1077"/>
        <w:gridCol w:w="1077"/>
      </w:tblGrid>
      <w:tr w:rsidR="00ED619E" w:rsidRPr="003B5EE5" w:rsidTr="00BC4823">
        <w:trPr>
          <w:cantSplit/>
        </w:trPr>
        <w:tc>
          <w:tcPr>
            <w:tcW w:w="1418" w:type="dxa"/>
            <w:tcBorders>
              <w:top w:val="single" w:sz="4" w:space="0" w:color="auto"/>
              <w:bottom w:val="single" w:sz="4" w:space="0" w:color="auto"/>
            </w:tcBorders>
          </w:tcPr>
          <w:p w:rsidR="00ED619E" w:rsidRPr="003B5EE5" w:rsidRDefault="00ED619E" w:rsidP="00BC4823">
            <w:pPr>
              <w:pStyle w:val="TableText"/>
              <w:rPr>
                <w:b/>
                <w:sz w:val="14"/>
                <w:szCs w:val="14"/>
              </w:rPr>
            </w:pPr>
          </w:p>
        </w:tc>
        <w:tc>
          <w:tcPr>
            <w:tcW w:w="1077"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2011</w:t>
            </w:r>
          </w:p>
        </w:tc>
        <w:tc>
          <w:tcPr>
            <w:tcW w:w="1077"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2012</w:t>
            </w:r>
          </w:p>
        </w:tc>
        <w:tc>
          <w:tcPr>
            <w:tcW w:w="1077"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2013</w:t>
            </w:r>
          </w:p>
        </w:tc>
        <w:tc>
          <w:tcPr>
            <w:tcW w:w="1077"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2014</w:t>
            </w:r>
          </w:p>
        </w:tc>
        <w:tc>
          <w:tcPr>
            <w:tcW w:w="1077"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2015*</w:t>
            </w:r>
          </w:p>
        </w:tc>
      </w:tr>
      <w:tr w:rsidR="00ED619E" w:rsidRPr="00A7111C"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F455A1" w:rsidRDefault="00ED619E" w:rsidP="00BC4823">
            <w:pPr>
              <w:pStyle w:val="TableText"/>
              <w:rPr>
                <w:sz w:val="14"/>
              </w:rPr>
            </w:pPr>
            <w:r w:rsidRPr="00F455A1">
              <w:rPr>
                <w:sz w:val="14"/>
              </w:rPr>
              <w:t>Pacific</w:t>
            </w:r>
          </w:p>
        </w:tc>
        <w:tc>
          <w:tcPr>
            <w:tcW w:w="1077"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26.1</w:t>
            </w:r>
          </w:p>
        </w:tc>
        <w:tc>
          <w:tcPr>
            <w:tcW w:w="1077"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19.3</w:t>
            </w:r>
          </w:p>
        </w:tc>
        <w:tc>
          <w:tcPr>
            <w:tcW w:w="1077"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32.5</w:t>
            </w:r>
          </w:p>
        </w:tc>
        <w:tc>
          <w:tcPr>
            <w:tcW w:w="1077"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26.8</w:t>
            </w:r>
          </w:p>
        </w:tc>
        <w:tc>
          <w:tcPr>
            <w:tcW w:w="1077"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16.6</w:t>
            </w:r>
          </w:p>
        </w:tc>
      </w:tr>
      <w:tr w:rsidR="00ED619E" w:rsidRPr="001F1606" w:rsidTr="00BC4823">
        <w:trPr>
          <w:cantSplit/>
        </w:trPr>
        <w:tc>
          <w:tcPr>
            <w:tcW w:w="1418" w:type="dxa"/>
            <w:tcBorders>
              <w:top w:val="single" w:sz="4" w:space="0" w:color="A6A6A6" w:themeColor="background1" w:themeShade="A6"/>
              <w:bottom w:val="single" w:sz="4" w:space="0" w:color="auto"/>
            </w:tcBorders>
          </w:tcPr>
          <w:p w:rsidR="00ED619E" w:rsidRPr="00F455A1" w:rsidRDefault="00ED619E" w:rsidP="00BC4823">
            <w:pPr>
              <w:pStyle w:val="TableText"/>
              <w:rPr>
                <w:sz w:val="14"/>
              </w:rPr>
            </w:pPr>
            <w:r>
              <w:rPr>
                <w:sz w:val="14"/>
              </w:rPr>
              <w:t>Target</w:t>
            </w:r>
          </w:p>
        </w:tc>
        <w:tc>
          <w:tcPr>
            <w:tcW w:w="1077"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24.1</w:t>
            </w:r>
          </w:p>
        </w:tc>
        <w:tc>
          <w:tcPr>
            <w:tcW w:w="1077"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24.1</w:t>
            </w:r>
          </w:p>
        </w:tc>
        <w:tc>
          <w:tcPr>
            <w:tcW w:w="1077"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24.1</w:t>
            </w:r>
          </w:p>
        </w:tc>
        <w:tc>
          <w:tcPr>
            <w:tcW w:w="1077"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21.7</w:t>
            </w:r>
          </w:p>
        </w:tc>
        <w:tc>
          <w:tcPr>
            <w:tcW w:w="1077"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14.5</w:t>
            </w:r>
          </w:p>
        </w:tc>
      </w:tr>
    </w:tbl>
    <w:p w:rsidR="00ED619E" w:rsidRDefault="00ED619E" w:rsidP="00ED619E"/>
    <w:p w:rsidR="0034306E" w:rsidRDefault="00BA14B3" w:rsidP="00ED619E">
      <w:r w:rsidRPr="00A119E8">
        <w:t xml:space="preserve">Figure 39 shows </w:t>
      </w:r>
      <w:r>
        <w:t>that r</w:t>
      </w:r>
      <w:r w:rsidRPr="00A119E8">
        <w:t xml:space="preserve">heumatic fever hospitalisation rates for Pacific peoples have been declining steadily over the years. The decline between 2014 and 2015 has been statistically significant. Overall, there has been a decline of 27 percent for Pacific </w:t>
      </w:r>
      <w:r>
        <w:t xml:space="preserve">peoples </w:t>
      </w:r>
      <w:r w:rsidRPr="00A119E8">
        <w:t>compared with 45</w:t>
      </w:r>
      <w:r w:rsidR="00D951A4">
        <w:t> </w:t>
      </w:r>
      <w:r w:rsidRPr="00A119E8">
        <w:t xml:space="preserve">percent for </w:t>
      </w:r>
      <w:r>
        <w:t xml:space="preserve">the </w:t>
      </w:r>
      <w:r w:rsidRPr="00A119E8">
        <w:t>total New Zealand population from baseline. Both declines were statistically significant.</w:t>
      </w:r>
    </w:p>
    <w:p w:rsidR="00BA14B3" w:rsidRPr="00A119E8" w:rsidRDefault="00BA14B3" w:rsidP="00D951A4"/>
    <w:p w:rsidR="00BA14B3" w:rsidRPr="00A119E8" w:rsidRDefault="00BA14B3" w:rsidP="00D951A4">
      <w:r w:rsidRPr="00A119E8">
        <w:rPr>
          <w:b/>
        </w:rPr>
        <w:lastRenderedPageBreak/>
        <w:t>Note</w:t>
      </w:r>
      <w:r w:rsidRPr="00A119E8">
        <w:t>: We have not reported on this indicator by DHB, as the numbers of new cases for some DHBs are very small.</w:t>
      </w:r>
    </w:p>
    <w:p w:rsidR="00BA14B3" w:rsidRPr="00A119E8" w:rsidRDefault="00BA14B3" w:rsidP="00D951A4"/>
    <w:tbl>
      <w:tblPr>
        <w:tblW w:w="0" w:type="auto"/>
        <w:tblInd w:w="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FFFFFF"/>
          <w:insideV w:val="single" w:sz="4" w:space="0" w:color="FFFFFF"/>
        </w:tblBorders>
        <w:shd w:val="clear" w:color="auto" w:fill="D9D9D9" w:themeFill="background1" w:themeFillShade="D9"/>
        <w:tblLayout w:type="fixed"/>
        <w:tblCellMar>
          <w:left w:w="57" w:type="dxa"/>
          <w:right w:w="57" w:type="dxa"/>
        </w:tblCellMar>
        <w:tblLook w:val="04A0" w:firstRow="1" w:lastRow="0" w:firstColumn="1" w:lastColumn="0" w:noHBand="0" w:noVBand="1"/>
      </w:tblPr>
      <w:tblGrid>
        <w:gridCol w:w="1560"/>
        <w:gridCol w:w="7796"/>
      </w:tblGrid>
      <w:tr w:rsidR="00BA14B3" w:rsidRPr="00A119E8" w:rsidTr="00D951A4">
        <w:trPr>
          <w:cantSplit/>
        </w:trPr>
        <w:tc>
          <w:tcPr>
            <w:tcW w:w="1560" w:type="dxa"/>
            <w:shd w:val="clear" w:color="auto" w:fill="D9D9D9" w:themeFill="background1" w:themeFillShade="D9"/>
          </w:tcPr>
          <w:p w:rsidR="00BA14B3" w:rsidRPr="00A119E8" w:rsidRDefault="00BA14B3" w:rsidP="00F07986">
            <w:pPr>
              <w:pStyle w:val="TableText"/>
              <w:keepNext/>
              <w:spacing w:before="120" w:after="120"/>
              <w:rPr>
                <w:b/>
                <w:sz w:val="24"/>
                <w:szCs w:val="24"/>
                <w:lang w:eastAsia="en-NZ"/>
              </w:rPr>
            </w:pPr>
            <w:r w:rsidRPr="00A119E8">
              <w:rPr>
                <w:b/>
                <w:sz w:val="24"/>
                <w:szCs w:val="24"/>
                <w:lang w:eastAsia="en-NZ"/>
              </w:rPr>
              <w:t>Action 2</w:t>
            </w:r>
          </w:p>
        </w:tc>
        <w:tc>
          <w:tcPr>
            <w:tcW w:w="7796" w:type="dxa"/>
            <w:shd w:val="clear" w:color="auto" w:fill="D9D9D9" w:themeFill="background1" w:themeFillShade="D9"/>
          </w:tcPr>
          <w:p w:rsidR="00BA14B3" w:rsidRPr="00A119E8" w:rsidRDefault="00BA14B3" w:rsidP="00F07986">
            <w:pPr>
              <w:pStyle w:val="TableText"/>
              <w:keepNext/>
              <w:rPr>
                <w:b/>
                <w:sz w:val="24"/>
              </w:rPr>
            </w:pPr>
            <w:r w:rsidRPr="00A119E8">
              <w:rPr>
                <w:b/>
                <w:sz w:val="24"/>
              </w:rPr>
              <w:t xml:space="preserve">The Ministry of Health will work in partnership with the </w:t>
            </w:r>
            <w:r w:rsidRPr="00447356">
              <w:rPr>
                <w:b/>
                <w:sz w:val="24"/>
              </w:rPr>
              <w:t>Ministr</w:t>
            </w:r>
            <w:r>
              <w:rPr>
                <w:b/>
                <w:sz w:val="24"/>
              </w:rPr>
              <w:t>y</w:t>
            </w:r>
            <w:r w:rsidRPr="00447356">
              <w:rPr>
                <w:b/>
                <w:sz w:val="24"/>
              </w:rPr>
              <w:t xml:space="preserve"> of Social Development; </w:t>
            </w:r>
            <w:r>
              <w:rPr>
                <w:b/>
                <w:sz w:val="24"/>
              </w:rPr>
              <w:t xml:space="preserve">Ministry of </w:t>
            </w:r>
            <w:r w:rsidRPr="00447356">
              <w:rPr>
                <w:b/>
                <w:sz w:val="24"/>
              </w:rPr>
              <w:t xml:space="preserve">Business, Innovation and Employment; </w:t>
            </w:r>
            <w:r>
              <w:rPr>
                <w:b/>
                <w:sz w:val="24"/>
              </w:rPr>
              <w:t>Ministry of</w:t>
            </w:r>
            <w:r w:rsidRPr="00447356">
              <w:rPr>
                <w:b/>
                <w:sz w:val="24"/>
              </w:rPr>
              <w:t xml:space="preserve"> Education</w:t>
            </w:r>
            <w:r>
              <w:rPr>
                <w:b/>
                <w:sz w:val="24"/>
              </w:rPr>
              <w:t>;</w:t>
            </w:r>
            <w:r w:rsidRPr="00447356">
              <w:rPr>
                <w:b/>
                <w:sz w:val="24"/>
              </w:rPr>
              <w:t xml:space="preserve"> and New Zealand Police</w:t>
            </w:r>
            <w:r w:rsidRPr="00A119E8">
              <w:rPr>
                <w:b/>
                <w:sz w:val="24"/>
              </w:rPr>
              <w:t xml:space="preserve"> on the following Better Public Service</w:t>
            </w:r>
            <w:r>
              <w:rPr>
                <w:b/>
                <w:sz w:val="24"/>
              </w:rPr>
              <w:t>s</w:t>
            </w:r>
            <w:r w:rsidRPr="00A119E8">
              <w:rPr>
                <w:b/>
                <w:sz w:val="24"/>
              </w:rPr>
              <w:t xml:space="preserve"> priorities, targeting vulnerable children:</w:t>
            </w:r>
          </w:p>
          <w:p w:rsidR="00BA14B3" w:rsidRPr="00A119E8" w:rsidRDefault="00BA14B3" w:rsidP="00F07986">
            <w:pPr>
              <w:pStyle w:val="TableBullet"/>
              <w:keepNext/>
              <w:rPr>
                <w:b/>
                <w:sz w:val="24"/>
              </w:rPr>
            </w:pPr>
            <w:r w:rsidRPr="00A119E8">
              <w:rPr>
                <w:b/>
                <w:sz w:val="24"/>
              </w:rPr>
              <w:t>increase participation in early childhood education</w:t>
            </w:r>
          </w:p>
          <w:p w:rsidR="00BA14B3" w:rsidRPr="00A119E8" w:rsidRDefault="00BA14B3" w:rsidP="00F07986">
            <w:pPr>
              <w:pStyle w:val="TableBullet"/>
              <w:keepNext/>
              <w:rPr>
                <w:b/>
                <w:sz w:val="24"/>
              </w:rPr>
            </w:pPr>
            <w:r w:rsidRPr="00A119E8">
              <w:rPr>
                <w:b/>
                <w:sz w:val="24"/>
              </w:rPr>
              <w:t>increase infant immunisation rates</w:t>
            </w:r>
          </w:p>
          <w:p w:rsidR="00BA14B3" w:rsidRPr="00A119E8" w:rsidRDefault="00BA14B3" w:rsidP="00F07986">
            <w:pPr>
              <w:pStyle w:val="TableBullet"/>
              <w:keepNext/>
              <w:rPr>
                <w:b/>
                <w:sz w:val="24"/>
              </w:rPr>
            </w:pPr>
            <w:r w:rsidRPr="00A119E8">
              <w:rPr>
                <w:b/>
                <w:sz w:val="24"/>
              </w:rPr>
              <w:t>reduce the incidence of rheumatic fever</w:t>
            </w:r>
          </w:p>
          <w:p w:rsidR="00BA14B3" w:rsidRPr="00A119E8" w:rsidRDefault="00BA14B3" w:rsidP="00F07986">
            <w:pPr>
              <w:pStyle w:val="TableBullet"/>
              <w:keepNext/>
              <w:rPr>
                <w:szCs w:val="24"/>
                <w:lang w:eastAsia="en-NZ"/>
              </w:rPr>
            </w:pPr>
            <w:proofErr w:type="gramStart"/>
            <w:r w:rsidRPr="00A119E8">
              <w:rPr>
                <w:b/>
                <w:sz w:val="24"/>
              </w:rPr>
              <w:t>reduce</w:t>
            </w:r>
            <w:proofErr w:type="gramEnd"/>
            <w:r w:rsidRPr="00A119E8">
              <w:rPr>
                <w:b/>
                <w:sz w:val="24"/>
              </w:rPr>
              <w:t xml:space="preserve"> the number of assaults on children.</w:t>
            </w:r>
          </w:p>
        </w:tc>
      </w:tr>
    </w:tbl>
    <w:p w:rsidR="00BA14B3" w:rsidRPr="00A119E8" w:rsidRDefault="00BA14B3" w:rsidP="00D951A4"/>
    <w:p w:rsidR="00BA14B3" w:rsidRPr="00A119E8" w:rsidRDefault="00BA14B3" w:rsidP="00D951A4">
      <w:pPr>
        <w:pStyle w:val="Heading3"/>
      </w:pPr>
      <w:r w:rsidRPr="00A119E8">
        <w:t>Action commentary</w:t>
      </w:r>
    </w:p>
    <w:p w:rsidR="0034306E" w:rsidRDefault="00BA14B3" w:rsidP="00D951A4">
      <w:pPr>
        <w:pStyle w:val="Heading4"/>
      </w:pPr>
      <w:r w:rsidRPr="00A119E8">
        <w:t xml:space="preserve">Prior </w:t>
      </w:r>
      <w:r>
        <w:t>e</w:t>
      </w:r>
      <w:r w:rsidRPr="00A119E8">
        <w:t xml:space="preserve">arly </w:t>
      </w:r>
      <w:r>
        <w:t>c</w:t>
      </w:r>
      <w:r w:rsidRPr="00A119E8">
        <w:t xml:space="preserve">hildhood </w:t>
      </w:r>
      <w:r>
        <w:t>e</w:t>
      </w:r>
      <w:r w:rsidRPr="00A119E8">
        <w:t xml:space="preserve">ducation </w:t>
      </w:r>
      <w:r>
        <w:t>p</w:t>
      </w:r>
      <w:r w:rsidRPr="00A119E8">
        <w:t>articipation</w:t>
      </w:r>
    </w:p>
    <w:p w:rsidR="00BA14B3" w:rsidRDefault="00BA14B3" w:rsidP="00D951A4">
      <w:r w:rsidRPr="00A119E8">
        <w:t xml:space="preserve">The prior </w:t>
      </w:r>
      <w:r w:rsidRPr="00705791">
        <w:t>early childhood education</w:t>
      </w:r>
      <w:r>
        <w:t xml:space="preserve"> (</w:t>
      </w:r>
      <w:r w:rsidRPr="00A119E8">
        <w:t>ECE</w:t>
      </w:r>
      <w:r>
        <w:t>)</w:t>
      </w:r>
      <w:r w:rsidRPr="00A119E8">
        <w:t xml:space="preserve"> participation rate is defined as</w:t>
      </w:r>
      <w:r>
        <w:t>:</w:t>
      </w:r>
    </w:p>
    <w:p w:rsidR="0034306E" w:rsidRDefault="00BA14B3" w:rsidP="00D951A4">
      <w:pPr>
        <w:pStyle w:val="Quote"/>
      </w:pPr>
      <w:r w:rsidRPr="00A119E8">
        <w:t>(</w:t>
      </w:r>
      <w:proofErr w:type="gramStart"/>
      <w:r w:rsidRPr="00A119E8">
        <w:t>number</w:t>
      </w:r>
      <w:proofErr w:type="gramEnd"/>
      <w:r w:rsidRPr="00A119E8">
        <w:t xml:space="preserve"> who had regularly attended ECE</w:t>
      </w:r>
      <w:r>
        <w:t xml:space="preserve"> ÷ </w:t>
      </w:r>
      <w:r w:rsidRPr="00A119E8">
        <w:t>(number who had regularly attended ECE +</w:t>
      </w:r>
      <w:r w:rsidR="00D951A4">
        <w:t> </w:t>
      </w:r>
      <w:r w:rsidRPr="00A119E8">
        <w:t>number who had not regularly attended ECE))</w:t>
      </w:r>
      <w:r>
        <w:t xml:space="preserve"> × </w:t>
      </w:r>
      <w:r w:rsidRPr="00A119E8">
        <w:t>100</w:t>
      </w:r>
    </w:p>
    <w:p w:rsidR="00BA14B3" w:rsidRDefault="00BA14B3" w:rsidP="00D951A4"/>
    <w:p w:rsidR="00BA14B3" w:rsidRPr="00A119E8" w:rsidRDefault="00BA14B3" w:rsidP="00D951A4">
      <w:r w:rsidRPr="00A119E8">
        <w:t xml:space="preserve">The number of students with unknown prior ECE attendance has been excluded (from both the numerator and denominator) when calculating participation rates. The most recent rate for Pacific children is 91.7 percent compared with 96.3 percent for total New Zealand children. The target is 98.0 percent by 2016. To help achieve this target, the Ministry of Education has several participation initiatives that make it easier for families to find an ECE service they like that meets their needs. It has also set up the Early Learning Taskforce. The Taskforce works with communities to help more children participate in early learning. The Ministry </w:t>
      </w:r>
      <w:r>
        <w:t xml:space="preserve">of Education </w:t>
      </w:r>
      <w:r w:rsidRPr="00A119E8">
        <w:t>focuses on making ECE participation easier. Two examples of participation initiatives are Engaging Priority Families (which is mainly Māori, Pacific and high</w:t>
      </w:r>
      <w:r>
        <w:t>-</w:t>
      </w:r>
      <w:r w:rsidRPr="00A119E8">
        <w:t>deprivation families) and Targeted Assistance for Provision.</w:t>
      </w:r>
    </w:p>
    <w:p w:rsidR="00BA14B3" w:rsidRPr="00A119E8" w:rsidRDefault="00BA14B3" w:rsidP="00D951A4"/>
    <w:p w:rsidR="00BA14B3" w:rsidRPr="00A119E8" w:rsidRDefault="00BA14B3" w:rsidP="00D951A4">
      <w:pPr>
        <w:pStyle w:val="Heading4"/>
      </w:pPr>
      <w:r w:rsidRPr="00A119E8">
        <w:t xml:space="preserve">Increase </w:t>
      </w:r>
      <w:r>
        <w:t>i</w:t>
      </w:r>
      <w:r w:rsidRPr="00A119E8">
        <w:t xml:space="preserve">nfant </w:t>
      </w:r>
      <w:r>
        <w:t>i</w:t>
      </w:r>
      <w:r w:rsidRPr="00A119E8">
        <w:t xml:space="preserve">mmunisation </w:t>
      </w:r>
      <w:r>
        <w:t>r</w:t>
      </w:r>
      <w:r w:rsidRPr="00A119E8">
        <w:t>ates</w:t>
      </w:r>
    </w:p>
    <w:p w:rsidR="00BA14B3" w:rsidRPr="00A119E8" w:rsidRDefault="00BA14B3" w:rsidP="00D951A4">
      <w:r w:rsidRPr="00A119E8">
        <w:t>The Ministry of Health and DHBs are continuing to push hard to achieve the target of 95</w:t>
      </w:r>
      <w:r w:rsidR="00D951A4">
        <w:t> </w:t>
      </w:r>
      <w:r w:rsidRPr="00A119E8">
        <w:t xml:space="preserve">percent immunisation coverage </w:t>
      </w:r>
      <w:r>
        <w:t>at eight months of age</w:t>
      </w:r>
      <w:r w:rsidRPr="00CE3ADC" w:rsidDel="00CE3ADC">
        <w:t xml:space="preserve"> </w:t>
      </w:r>
      <w:r w:rsidRPr="00A119E8">
        <w:t xml:space="preserve">later this year. </w:t>
      </w:r>
      <w:r>
        <w:t>In</w:t>
      </w:r>
      <w:r w:rsidRPr="00A119E8">
        <w:t xml:space="preserve"> September 2015, the immunisation coverage </w:t>
      </w:r>
      <w:r>
        <w:t>at six months of age</w:t>
      </w:r>
      <w:r w:rsidRPr="00CE3ADC" w:rsidDel="00CE3ADC">
        <w:t xml:space="preserve"> </w:t>
      </w:r>
      <w:r w:rsidRPr="00A119E8">
        <w:t xml:space="preserve">for Pacific </w:t>
      </w:r>
      <w:r>
        <w:t xml:space="preserve">peoples </w:t>
      </w:r>
      <w:r w:rsidRPr="00A119E8">
        <w:t>was at 78.7 percent compared with 80.6 percent for the total New Zealand population. On the other hand</w:t>
      </w:r>
      <w:r>
        <w:t>,</w:t>
      </w:r>
      <w:r w:rsidRPr="00A119E8">
        <w:t xml:space="preserve"> the immunisation coverage </w:t>
      </w:r>
      <w:r w:rsidRPr="001D1995">
        <w:t xml:space="preserve">at eight months of age </w:t>
      </w:r>
      <w:r w:rsidRPr="00A119E8">
        <w:t>for Pacific</w:t>
      </w:r>
      <w:r>
        <w:t xml:space="preserve"> peoples</w:t>
      </w:r>
      <w:r w:rsidRPr="00A119E8">
        <w:t xml:space="preserve"> was 96.3 percent compared with 93.4 percent for the total New Zealand population.</w:t>
      </w:r>
    </w:p>
    <w:p w:rsidR="00BA14B3" w:rsidRPr="00A119E8" w:rsidRDefault="00BA14B3" w:rsidP="00D951A4"/>
    <w:p w:rsidR="00BA14B3" w:rsidRPr="00A119E8" w:rsidRDefault="00BA14B3" w:rsidP="00D951A4">
      <w:pPr>
        <w:pStyle w:val="Heading4"/>
      </w:pPr>
      <w:r w:rsidRPr="00A119E8">
        <w:t>Reducing the incidence of rheumatic fever</w:t>
      </w:r>
    </w:p>
    <w:p w:rsidR="0034306E" w:rsidRDefault="00BA14B3" w:rsidP="00ED619E">
      <w:r w:rsidRPr="00A119E8">
        <w:t xml:space="preserve">In December 2015, the Ministry of Health </w:t>
      </w:r>
      <w:r>
        <w:t>r</w:t>
      </w:r>
      <w:r w:rsidRPr="00A119E8">
        <w:t xml:space="preserve">heumatic fever campaign evaluation came back positive. The independent evaluation by Allen + Clarke Policy and Regulatory Specialists Ltd describes the rheumatic fever campaign as </w:t>
      </w:r>
      <w:r>
        <w:t>‘</w:t>
      </w:r>
      <w:r w:rsidRPr="00A119E8">
        <w:t>efficient, effective and relevant</w:t>
      </w:r>
      <w:r>
        <w:t>’</w:t>
      </w:r>
      <w:r w:rsidRPr="00A119E8">
        <w:t xml:space="preserve">. The campaign exceeded the expected level of reach amongst the target Māori and </w:t>
      </w:r>
      <w:proofErr w:type="spellStart"/>
      <w:r w:rsidRPr="00A119E8">
        <w:t>Pasifika</w:t>
      </w:r>
      <w:proofErr w:type="spellEnd"/>
      <w:r w:rsidRPr="00A119E8">
        <w:t xml:space="preserve"> audience, with about 95 percent having seen or heard the campaign. They also had a good understanding of the issue, and the campaign was promoting positive health behaviour and discussions. Other prevention activities in high</w:t>
      </w:r>
      <w:r>
        <w:t>-</w:t>
      </w:r>
      <w:r w:rsidRPr="00A119E8">
        <w:t>incidence areas include targeted sore throat drop-in clinics, school</w:t>
      </w:r>
      <w:r>
        <w:t>-</w:t>
      </w:r>
      <w:r w:rsidRPr="00A119E8">
        <w:t xml:space="preserve">based services, </w:t>
      </w:r>
      <w:r>
        <w:t>HHIs</w:t>
      </w:r>
      <w:r w:rsidRPr="00A119E8">
        <w:t>, and Pacific engagement services. The combination effect of these initiatives is making a difference. Rheumatic fever rates are trending down.</w:t>
      </w:r>
    </w:p>
    <w:p w:rsidR="00BA14B3" w:rsidRPr="00A119E8" w:rsidRDefault="00BA14B3" w:rsidP="00ED619E">
      <w:pPr>
        <w:pStyle w:val="Heading4"/>
        <w:spacing w:before="360"/>
      </w:pPr>
      <w:r w:rsidRPr="00A119E8">
        <w:lastRenderedPageBreak/>
        <w:t>Reducing the number of assaults on children</w:t>
      </w:r>
    </w:p>
    <w:p w:rsidR="00BA14B3" w:rsidRPr="00A119E8" w:rsidRDefault="00BA14B3" w:rsidP="00D951A4">
      <w:r w:rsidRPr="00A119E8">
        <w:t>The Children’s Action Plan contributes to the Government’s Better Public Services under the result area Supporting Vulnerable Children. The plan implements initiatives to reduce the number of assaults on children. The Ministry of Health continues to collaborate with other agencies (Ministr</w:t>
      </w:r>
      <w:r>
        <w:t>y</w:t>
      </w:r>
      <w:r w:rsidRPr="00A119E8">
        <w:t xml:space="preserve"> of Social Development</w:t>
      </w:r>
      <w:r>
        <w:t>;</w:t>
      </w:r>
      <w:r w:rsidRPr="00A119E8">
        <w:t xml:space="preserve"> </w:t>
      </w:r>
      <w:r>
        <w:t xml:space="preserve">Ministry of </w:t>
      </w:r>
      <w:r w:rsidRPr="00A119E8">
        <w:t>Education</w:t>
      </w:r>
      <w:r>
        <w:t>;</w:t>
      </w:r>
      <w:r w:rsidRPr="00A119E8">
        <w:t xml:space="preserve"> </w:t>
      </w:r>
      <w:r>
        <w:t xml:space="preserve">Ministry of </w:t>
      </w:r>
      <w:r w:rsidRPr="00A119E8">
        <w:t>Justice</w:t>
      </w:r>
      <w:r>
        <w:t>;</w:t>
      </w:r>
      <w:r w:rsidRPr="00A119E8">
        <w:t xml:space="preserve"> </w:t>
      </w:r>
      <w:r>
        <w:t xml:space="preserve">Ministry of </w:t>
      </w:r>
      <w:r w:rsidRPr="00A119E8">
        <w:t>Business, Innovation, and Employment (Housing)</w:t>
      </w:r>
      <w:r>
        <w:t>;</w:t>
      </w:r>
      <w:r w:rsidRPr="00A119E8">
        <w:t xml:space="preserve"> New Zealand Police</w:t>
      </w:r>
      <w:r>
        <w:t>;</w:t>
      </w:r>
      <w:r w:rsidRPr="00A119E8">
        <w:t xml:space="preserve"> and </w:t>
      </w:r>
      <w:proofErr w:type="spellStart"/>
      <w:r w:rsidRPr="00A119E8">
        <w:t>Te</w:t>
      </w:r>
      <w:proofErr w:type="spellEnd"/>
      <w:r w:rsidRPr="00A119E8">
        <w:t xml:space="preserve"> </w:t>
      </w:r>
      <w:proofErr w:type="spellStart"/>
      <w:r w:rsidRPr="00A119E8">
        <w:t>Puni</w:t>
      </w:r>
      <w:proofErr w:type="spellEnd"/>
      <w:r w:rsidRPr="00A119E8">
        <w:t xml:space="preserve"> </w:t>
      </w:r>
      <w:proofErr w:type="spellStart"/>
      <w:r w:rsidRPr="00A119E8">
        <w:t>Kōkiri</w:t>
      </w:r>
      <w:proofErr w:type="spellEnd"/>
      <w:r w:rsidRPr="00A119E8">
        <w:t>) to deliver the actions</w:t>
      </w:r>
      <w:r>
        <w:t>.</w:t>
      </w:r>
      <w:r w:rsidRPr="00A119E8">
        <w:t xml:space="preserve"> </w:t>
      </w:r>
      <w:r>
        <w:t>This</w:t>
      </w:r>
      <w:r w:rsidRPr="00A119E8">
        <w:t xml:space="preserve"> is the Ministry</w:t>
      </w:r>
      <w:r>
        <w:t xml:space="preserve"> of Health</w:t>
      </w:r>
      <w:r w:rsidRPr="00A119E8">
        <w:t>’s response to actions outlined in the Government’s White Paper for Vulnerable Children</w:t>
      </w:r>
      <w:r>
        <w:t>,</w:t>
      </w:r>
      <w:r w:rsidRPr="00A119E8">
        <w:t xml:space="preserve"> which include:</w:t>
      </w:r>
    </w:p>
    <w:p w:rsidR="00BA14B3" w:rsidRPr="00A119E8" w:rsidRDefault="00BA14B3" w:rsidP="00D951A4">
      <w:pPr>
        <w:pStyle w:val="Bullet"/>
      </w:pPr>
      <w:r w:rsidRPr="00A119E8">
        <w:t>better screening of children for vulnerability</w:t>
      </w:r>
    </w:p>
    <w:p w:rsidR="00BA14B3" w:rsidRPr="00A119E8" w:rsidRDefault="00BA14B3" w:rsidP="00D951A4">
      <w:pPr>
        <w:pStyle w:val="Bullet"/>
      </w:pPr>
      <w:r w:rsidRPr="00A119E8">
        <w:t>fully assessing the needs of vulnerable children</w:t>
      </w:r>
    </w:p>
    <w:p w:rsidR="00BA14B3" w:rsidRPr="00A119E8" w:rsidRDefault="00BA14B3" w:rsidP="00D951A4">
      <w:pPr>
        <w:pStyle w:val="Bullet"/>
      </w:pPr>
      <w:r w:rsidRPr="00A119E8">
        <w:t>better enabling frontline workers and communities to communicate concerns about children</w:t>
      </w:r>
    </w:p>
    <w:p w:rsidR="00BA14B3" w:rsidRPr="00A119E8" w:rsidRDefault="00BA14B3" w:rsidP="00D951A4">
      <w:pPr>
        <w:pStyle w:val="Bullet"/>
      </w:pPr>
      <w:proofErr w:type="gramStart"/>
      <w:r w:rsidRPr="00A119E8">
        <w:t>making</w:t>
      </w:r>
      <w:proofErr w:type="gramEnd"/>
      <w:r w:rsidRPr="00A119E8">
        <w:t xml:space="preserve"> services more focused on results.</w:t>
      </w:r>
    </w:p>
    <w:p w:rsidR="00BA14B3" w:rsidRPr="00A119E8" w:rsidRDefault="00BA14B3" w:rsidP="00D951A4"/>
    <w:p w:rsidR="00BA14B3" w:rsidRPr="00A119E8" w:rsidRDefault="00BA14B3" w:rsidP="00D951A4">
      <w:r w:rsidRPr="00A119E8">
        <w:t>Meeting this target means bringing the projected number of approximately 4000 children expected to experience substantiated physical abuse down to less than 3000 by June 2017, which is a reduction of approximately 25 percent in projected numbers. In the 12 months to September 2015, 3011 children experienced substantiated physical abuse. This was a 3.2 percent decrease on the year to September 2014 (3110).</w:t>
      </w:r>
    </w:p>
    <w:p w:rsidR="00BA14B3" w:rsidRPr="00A119E8" w:rsidRDefault="00BA14B3" w:rsidP="00D951A4"/>
    <w:p w:rsidR="00BA14B3" w:rsidRPr="00A119E8" w:rsidRDefault="00BA14B3" w:rsidP="00D951A4">
      <w:r w:rsidRPr="00A119E8">
        <w:t>The overall trend is that substantiated findings of physical abuse of children appear to be stabilising and even slightly declining. The proportions of the total by ethnic group have remained fairly stable over the past five years. The breakdown of these proportions is:</w:t>
      </w:r>
    </w:p>
    <w:p w:rsidR="00BA14B3" w:rsidRPr="00A119E8" w:rsidRDefault="00BA14B3" w:rsidP="00D951A4">
      <w:pPr>
        <w:pStyle w:val="Bullet"/>
      </w:pPr>
      <w:r w:rsidRPr="00A119E8">
        <w:t>Māori – 49 percent</w:t>
      </w:r>
    </w:p>
    <w:p w:rsidR="00BA14B3" w:rsidRPr="00A119E8" w:rsidRDefault="00BA14B3" w:rsidP="00D951A4">
      <w:pPr>
        <w:pStyle w:val="Bullet"/>
      </w:pPr>
      <w:r w:rsidRPr="00A119E8">
        <w:t>NZ European – 26 percent</w:t>
      </w:r>
    </w:p>
    <w:p w:rsidR="00BA14B3" w:rsidRPr="00A119E8" w:rsidRDefault="00BA14B3" w:rsidP="00D951A4">
      <w:pPr>
        <w:pStyle w:val="Bullet"/>
      </w:pPr>
      <w:proofErr w:type="spellStart"/>
      <w:r w:rsidRPr="00A119E8">
        <w:t>Pasifika</w:t>
      </w:r>
      <w:proofErr w:type="spellEnd"/>
      <w:r w:rsidRPr="00A119E8">
        <w:t xml:space="preserve"> – 19 percent</w:t>
      </w:r>
    </w:p>
    <w:p w:rsidR="00BA14B3" w:rsidRPr="00A119E8" w:rsidRDefault="00BA14B3" w:rsidP="00D951A4">
      <w:pPr>
        <w:pStyle w:val="Bullet"/>
      </w:pPr>
      <w:r w:rsidRPr="00A119E8">
        <w:t>Asian – 4 percent</w:t>
      </w:r>
    </w:p>
    <w:p w:rsidR="00BA14B3" w:rsidRPr="00A119E8" w:rsidRDefault="00BA14B3" w:rsidP="00D951A4">
      <w:pPr>
        <w:pStyle w:val="Bullet"/>
      </w:pPr>
      <w:r w:rsidRPr="00A119E8">
        <w:t>Other ethnic groups – 3 percent.</w:t>
      </w:r>
    </w:p>
    <w:p w:rsidR="00BA14B3" w:rsidRPr="00A119E8" w:rsidRDefault="00BA14B3" w:rsidP="00D951A4"/>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shd w:val="clear" w:color="auto" w:fill="A6A6A6" w:themeFill="background1" w:themeFillShade="A6"/>
        <w:tblLayout w:type="fixed"/>
        <w:tblCellMar>
          <w:left w:w="57" w:type="dxa"/>
          <w:right w:w="57" w:type="dxa"/>
        </w:tblCellMar>
        <w:tblLook w:val="04A0" w:firstRow="1" w:lastRow="0" w:firstColumn="1" w:lastColumn="0" w:noHBand="0" w:noVBand="1"/>
      </w:tblPr>
      <w:tblGrid>
        <w:gridCol w:w="1560"/>
        <w:gridCol w:w="7796"/>
      </w:tblGrid>
      <w:tr w:rsidR="00BA14B3" w:rsidRPr="00A119E8" w:rsidTr="00D951A4">
        <w:trPr>
          <w:cantSplit/>
        </w:trPr>
        <w:tc>
          <w:tcPr>
            <w:tcW w:w="1560" w:type="dxa"/>
            <w:shd w:val="clear" w:color="auto" w:fill="A6A6A6" w:themeFill="background1" w:themeFillShade="A6"/>
          </w:tcPr>
          <w:p w:rsidR="00BA14B3" w:rsidRPr="00A119E8" w:rsidRDefault="00BA14B3" w:rsidP="00F07986">
            <w:pPr>
              <w:pStyle w:val="TableText"/>
              <w:keepNext/>
              <w:spacing w:before="120" w:after="120"/>
              <w:rPr>
                <w:b/>
                <w:color w:val="FFFFFF"/>
                <w:sz w:val="20"/>
                <w:lang w:eastAsia="en-NZ"/>
              </w:rPr>
            </w:pPr>
            <w:r w:rsidRPr="00A119E8">
              <w:rPr>
                <w:b/>
                <w:color w:val="FFFFFF"/>
                <w:sz w:val="20"/>
                <w:lang w:eastAsia="en-NZ"/>
              </w:rPr>
              <w:lastRenderedPageBreak/>
              <w:t>Indicator 2</w:t>
            </w:r>
          </w:p>
        </w:tc>
        <w:tc>
          <w:tcPr>
            <w:tcW w:w="7796" w:type="dxa"/>
            <w:shd w:val="clear" w:color="auto" w:fill="A6A6A6" w:themeFill="background1" w:themeFillShade="A6"/>
          </w:tcPr>
          <w:p w:rsidR="00BA14B3" w:rsidRPr="00A119E8" w:rsidRDefault="00BA14B3" w:rsidP="00F07986">
            <w:pPr>
              <w:pStyle w:val="TableText"/>
              <w:keepNext/>
              <w:spacing w:before="120" w:after="120"/>
              <w:ind w:left="142"/>
              <w:rPr>
                <w:b/>
                <w:color w:val="FFFFFF"/>
                <w:sz w:val="20"/>
                <w:lang w:eastAsia="en-NZ"/>
              </w:rPr>
            </w:pPr>
            <w:r w:rsidRPr="00A119E8">
              <w:rPr>
                <w:b/>
                <w:color w:val="FFFFFF"/>
                <w:sz w:val="20"/>
              </w:rPr>
              <w:t>Increase infant immunisation rates</w:t>
            </w:r>
          </w:p>
        </w:tc>
      </w:tr>
    </w:tbl>
    <w:p w:rsidR="00BA14B3" w:rsidRPr="00A119E8" w:rsidRDefault="00BA14B3" w:rsidP="00D951A4">
      <w:pPr>
        <w:keepNext/>
      </w:pPr>
    </w:p>
    <w:p w:rsidR="00BA14B3" w:rsidRPr="00A119E8" w:rsidRDefault="00BA14B3" w:rsidP="00D951A4">
      <w:pPr>
        <w:keepNext/>
      </w:pPr>
      <w:r w:rsidRPr="00D951A4">
        <w:rPr>
          <w:b/>
        </w:rPr>
        <w:t>Performance</w:t>
      </w:r>
      <w:r w:rsidRPr="00D951A4">
        <w:t xml:space="preserve">: </w:t>
      </w:r>
      <w:r w:rsidRPr="00A119E8">
        <w:t>The target for this indicator is 95 percent.</w:t>
      </w:r>
    </w:p>
    <w:p w:rsidR="00BA14B3" w:rsidRPr="00A119E8" w:rsidRDefault="00BA14B3" w:rsidP="00D951A4">
      <w:pPr>
        <w:keepNext/>
      </w:pPr>
    </w:p>
    <w:p w:rsidR="00BA14B3" w:rsidRPr="00A119E8" w:rsidRDefault="00BA14B3" w:rsidP="00D951A4">
      <w:pPr>
        <w:pStyle w:val="Figure"/>
      </w:pPr>
      <w:bookmarkStart w:id="205" w:name="_Toc428368094"/>
      <w:bookmarkStart w:id="206" w:name="_Toc428370472"/>
      <w:bookmarkStart w:id="207" w:name="_Toc445801477"/>
      <w:bookmarkStart w:id="208" w:name="_Toc447527176"/>
      <w:r w:rsidRPr="00A119E8">
        <w:t xml:space="preserve">Figure </w:t>
      </w:r>
      <w:fldSimple w:instr=" SEQ Figure \* ARABIC ">
        <w:r w:rsidR="008D5FF2">
          <w:rPr>
            <w:noProof/>
          </w:rPr>
          <w:t>40</w:t>
        </w:r>
      </w:fldSimple>
      <w:r w:rsidRPr="00A119E8">
        <w:t xml:space="preserve">: Immunisation coverage (percent) at six months of age (three-month reporting), Pacific </w:t>
      </w:r>
      <w:proofErr w:type="gramStart"/>
      <w:r w:rsidRPr="00A119E8">
        <w:t>peoples</w:t>
      </w:r>
      <w:proofErr w:type="gramEnd"/>
      <w:r w:rsidRPr="00A119E8">
        <w:t xml:space="preserve"> population and total New Zealand population, 2013–2015</w:t>
      </w:r>
      <w:bookmarkEnd w:id="205"/>
      <w:bookmarkEnd w:id="206"/>
      <w:bookmarkEnd w:id="207"/>
      <w:bookmarkEnd w:id="208"/>
    </w:p>
    <w:p w:rsidR="00BA14B3" w:rsidRDefault="00DD38BE" w:rsidP="00ED619E">
      <w:pPr>
        <w:spacing w:after="120"/>
      </w:pPr>
      <w:r>
        <w:rPr>
          <w:noProof/>
          <w:lang w:eastAsia="en-NZ"/>
        </w:rPr>
        <w:drawing>
          <wp:inline distT="0" distB="0" distL="0" distR="0" wp14:anchorId="7136D374" wp14:editId="5F5AFCC1">
            <wp:extent cx="4497186" cy="2747230"/>
            <wp:effectExtent l="0" t="0" r="0" b="0"/>
            <wp:docPr id="139" name="Picture 139" title="Figure 40: Immunisation coverage (percent) at six months of age (three-month reporting),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97891" cy="2747661"/>
                    </a:xfrm>
                    <a:prstGeom prst="rect">
                      <a:avLst/>
                    </a:prstGeom>
                    <a:noFill/>
                  </pic:spPr>
                </pic:pic>
              </a:graphicData>
            </a:graphic>
          </wp:inline>
        </w:drawing>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4"/>
        <w:gridCol w:w="794"/>
        <w:gridCol w:w="794"/>
        <w:gridCol w:w="794"/>
        <w:gridCol w:w="793"/>
        <w:gridCol w:w="794"/>
        <w:gridCol w:w="794"/>
        <w:gridCol w:w="794"/>
        <w:gridCol w:w="794"/>
      </w:tblGrid>
      <w:tr w:rsidR="00ED619E" w:rsidRPr="00ED619E" w:rsidTr="00ED619E">
        <w:trPr>
          <w:cantSplit/>
        </w:trPr>
        <w:tc>
          <w:tcPr>
            <w:tcW w:w="1418" w:type="dxa"/>
            <w:tcBorders>
              <w:top w:val="single" w:sz="4" w:space="0" w:color="auto"/>
              <w:bottom w:val="single" w:sz="4" w:space="0" w:color="auto"/>
            </w:tcBorders>
          </w:tcPr>
          <w:p w:rsidR="00ED619E" w:rsidRPr="00ED619E" w:rsidRDefault="00ED619E" w:rsidP="00ED619E">
            <w:pPr>
              <w:pStyle w:val="TableText"/>
              <w:rPr>
                <w:b/>
                <w:sz w:val="14"/>
              </w:rPr>
            </w:pPr>
          </w:p>
        </w:tc>
        <w:tc>
          <w:tcPr>
            <w:tcW w:w="793"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Mar 2013</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Jun 2013</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Sep 2013</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Dec 2013</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Mar 2014</w:t>
            </w:r>
          </w:p>
        </w:tc>
        <w:tc>
          <w:tcPr>
            <w:tcW w:w="793"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Jun 2014</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Sep 2014</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Dec 2014</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Mar 2015</w:t>
            </w:r>
          </w:p>
        </w:tc>
        <w:tc>
          <w:tcPr>
            <w:tcW w:w="794" w:type="dxa"/>
            <w:tcBorders>
              <w:top w:val="single" w:sz="4" w:space="0" w:color="auto"/>
              <w:bottom w:val="single" w:sz="4" w:space="0" w:color="auto"/>
            </w:tcBorders>
          </w:tcPr>
          <w:p w:rsidR="00ED619E" w:rsidRPr="00ED619E" w:rsidRDefault="00ED619E" w:rsidP="00ED619E">
            <w:pPr>
              <w:pStyle w:val="TableText"/>
              <w:jc w:val="center"/>
              <w:rPr>
                <w:b/>
                <w:sz w:val="14"/>
              </w:rPr>
            </w:pPr>
            <w:r w:rsidRPr="00ED619E">
              <w:rPr>
                <w:b/>
                <w:sz w:val="14"/>
              </w:rPr>
              <w:t>Sep 2015</w:t>
            </w:r>
          </w:p>
        </w:tc>
      </w:tr>
      <w:tr w:rsidR="00ED619E" w:rsidRPr="00023B19" w:rsidTr="00ED619E">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Pacific</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72.2%</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72.3%</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75.6%</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74.3%</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75.2%</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76.2%</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77.7%</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77.3%</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76.1%</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78.7%</w:t>
            </w:r>
          </w:p>
        </w:tc>
      </w:tr>
      <w:tr w:rsidR="00ED619E" w:rsidRPr="00023B19" w:rsidTr="00ED619E">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Total New Zealand</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75.1%</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76.8%</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76.4%</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77.4%</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76.2%</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78.6%</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79.0%</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79.8%</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79.3%</w:t>
            </w:r>
          </w:p>
        </w:tc>
        <w:tc>
          <w:tcPr>
            <w:tcW w:w="794"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80.6%</w:t>
            </w:r>
          </w:p>
        </w:tc>
      </w:tr>
      <w:tr w:rsidR="00ED619E" w:rsidRPr="00023B19" w:rsidTr="00ED619E">
        <w:trPr>
          <w:cantSplit/>
        </w:trPr>
        <w:tc>
          <w:tcPr>
            <w:tcW w:w="1418" w:type="dxa"/>
            <w:tcBorders>
              <w:top w:val="single" w:sz="4" w:space="0" w:color="A6A6A6" w:themeColor="background1" w:themeShade="A6"/>
              <w:bottom w:val="single" w:sz="4" w:space="0" w:color="auto"/>
            </w:tcBorders>
          </w:tcPr>
          <w:p w:rsidR="00ED619E" w:rsidRPr="00ED619E" w:rsidRDefault="00ED619E" w:rsidP="00BC4823">
            <w:pPr>
              <w:pStyle w:val="TableText"/>
              <w:rPr>
                <w:sz w:val="14"/>
              </w:rPr>
            </w:pPr>
            <w:r w:rsidRPr="00ED619E">
              <w:rPr>
                <w:sz w:val="14"/>
              </w:rPr>
              <w:t>Target</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4"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r>
    </w:tbl>
    <w:p w:rsidR="003917C3" w:rsidRPr="00A119E8" w:rsidRDefault="003917C3" w:rsidP="00D951A4"/>
    <w:p w:rsidR="0034306E" w:rsidRDefault="00BA14B3" w:rsidP="00D951A4">
      <w:r w:rsidRPr="00A119E8">
        <w:t xml:space="preserve">Figure 40 </w:t>
      </w:r>
      <w:r w:rsidRPr="00932C64">
        <w:t>shows that immunisation coverage at six months of age is increasing in both the Pacific population and the total New Zealand population</w:t>
      </w:r>
      <w:r w:rsidRPr="00A119E8">
        <w:t xml:space="preserve">. However, </w:t>
      </w:r>
      <w:r>
        <w:t xml:space="preserve">neither population is </w:t>
      </w:r>
      <w:r w:rsidRPr="00A119E8">
        <w:t>close to achieving the target of 95 percent coverage at this stage.</w:t>
      </w:r>
    </w:p>
    <w:p w:rsidR="00BA14B3" w:rsidRPr="00A119E8" w:rsidRDefault="00BA14B3" w:rsidP="00D951A4"/>
    <w:p w:rsidR="00BA14B3" w:rsidRPr="00A119E8" w:rsidRDefault="00BA14B3" w:rsidP="00D951A4">
      <w:pPr>
        <w:pStyle w:val="Figure"/>
      </w:pPr>
      <w:bookmarkStart w:id="209" w:name="_Toc428368095"/>
      <w:bookmarkStart w:id="210" w:name="_Toc428370473"/>
      <w:bookmarkStart w:id="211" w:name="_Toc445801478"/>
      <w:bookmarkStart w:id="212" w:name="_Toc447527177"/>
      <w:r w:rsidRPr="00A119E8">
        <w:lastRenderedPageBreak/>
        <w:t xml:space="preserve">Figure </w:t>
      </w:r>
      <w:fldSimple w:instr=" SEQ Figure \* ARABIC ">
        <w:r w:rsidR="008D5FF2">
          <w:rPr>
            <w:noProof/>
          </w:rPr>
          <w:t>41</w:t>
        </w:r>
      </w:fldSimple>
      <w:r w:rsidRPr="00A119E8">
        <w:t>: Immunisation coverage (percent) at six months of age (three-month reporting), Pacific peoples, by priority DHBs, 2013–2015</w:t>
      </w:r>
      <w:bookmarkEnd w:id="209"/>
      <w:bookmarkEnd w:id="210"/>
      <w:bookmarkEnd w:id="211"/>
      <w:bookmarkEnd w:id="212"/>
    </w:p>
    <w:p w:rsidR="00BA14B3" w:rsidRDefault="00DD38BE" w:rsidP="00ED619E">
      <w:pPr>
        <w:keepNext/>
        <w:spacing w:after="120"/>
      </w:pPr>
      <w:r>
        <w:rPr>
          <w:noProof/>
          <w:lang w:eastAsia="en-NZ"/>
        </w:rPr>
        <w:drawing>
          <wp:inline distT="0" distB="0" distL="0" distR="0" wp14:anchorId="409F5C71" wp14:editId="3CAA3D35">
            <wp:extent cx="4497185" cy="2747230"/>
            <wp:effectExtent l="0" t="0" r="0" b="0"/>
            <wp:docPr id="140" name="Picture 140" title="Figure 41: Immunisation coverage (percent) at six months of age (three-month reporting),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97890" cy="2747661"/>
                    </a:xfrm>
                    <a:prstGeom prst="rect">
                      <a:avLst/>
                    </a:prstGeom>
                    <a:noFill/>
                  </pic:spPr>
                </pic:pic>
              </a:graphicData>
            </a:graphic>
          </wp:inline>
        </w:drawing>
      </w:r>
    </w:p>
    <w:tbl>
      <w:tblPr>
        <w:tblStyle w:val="TableGrid"/>
        <w:tblW w:w="9348"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793"/>
        <w:gridCol w:w="793"/>
        <w:gridCol w:w="793"/>
        <w:gridCol w:w="793"/>
        <w:gridCol w:w="793"/>
        <w:gridCol w:w="793"/>
        <w:gridCol w:w="793"/>
        <w:gridCol w:w="793"/>
        <w:gridCol w:w="793"/>
        <w:gridCol w:w="793"/>
      </w:tblGrid>
      <w:tr w:rsidR="00ED619E" w:rsidRPr="007968B1" w:rsidTr="00BC4823">
        <w:trPr>
          <w:cantSplit/>
        </w:trPr>
        <w:tc>
          <w:tcPr>
            <w:tcW w:w="1418" w:type="dxa"/>
            <w:tcBorders>
              <w:top w:val="single" w:sz="4" w:space="0" w:color="auto"/>
              <w:bottom w:val="single" w:sz="4" w:space="0" w:color="auto"/>
            </w:tcBorders>
          </w:tcPr>
          <w:p w:rsidR="00ED619E" w:rsidRPr="007968B1" w:rsidRDefault="00ED619E" w:rsidP="00ED619E">
            <w:pPr>
              <w:pStyle w:val="TableText"/>
              <w:keepNext/>
              <w:rPr>
                <w:b/>
                <w:sz w:val="14"/>
                <w:szCs w:val="14"/>
              </w:rPr>
            </w:pP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Mar 2013</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Jun 2013</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Sep 2013</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Dec 2013</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Mar 2014</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Jun 2014</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Sep 2014</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Dec 2014</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Mar 2015</w:t>
            </w:r>
          </w:p>
        </w:tc>
        <w:tc>
          <w:tcPr>
            <w:tcW w:w="793" w:type="dxa"/>
            <w:tcBorders>
              <w:top w:val="single" w:sz="4" w:space="0" w:color="auto"/>
              <w:bottom w:val="single" w:sz="4" w:space="0" w:color="auto"/>
            </w:tcBorders>
          </w:tcPr>
          <w:p w:rsidR="00ED619E" w:rsidRPr="00ED619E" w:rsidRDefault="00ED619E" w:rsidP="00ED619E">
            <w:pPr>
              <w:pStyle w:val="TableText"/>
              <w:keepNext/>
              <w:jc w:val="center"/>
              <w:rPr>
                <w:b/>
                <w:sz w:val="14"/>
              </w:rPr>
            </w:pPr>
            <w:r w:rsidRPr="00ED619E">
              <w:rPr>
                <w:b/>
                <w:sz w:val="14"/>
              </w:rPr>
              <w:t>Sep 2015</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Auckland</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74.4%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81.1%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74.0%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73.5%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79.2%</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76.4%</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Canterbury</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75.9%</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85.1%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82.2%</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83.1%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84.5%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86.5%</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Capital &amp; Coast</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68.9%</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74.2%</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85.9%</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81.1%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81.0%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87.0%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77.9%</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77.5%</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 xml:space="preserve">Counties </w:t>
            </w:r>
            <w:proofErr w:type="spellStart"/>
            <w:r w:rsidRPr="00ED619E">
              <w:rPr>
                <w:sz w:val="14"/>
              </w:rPr>
              <w:t>Manukau</w:t>
            </w:r>
            <w:proofErr w:type="spellEnd"/>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69.1%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71.5%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73.8%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78.3%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79.4%</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Hawke's Bay</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63.3%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82.1%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66.7%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78.6%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82.1%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66.7%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89.5%</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Hutt Valley</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81.0%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84.4%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75.4%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83.3%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80.0%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82.6%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83.3%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86.0%</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71.7%</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r w:rsidRPr="00ED619E">
              <w:rPr>
                <w:sz w:val="14"/>
              </w:rPr>
              <w:t>Waikato</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65.6%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69.7%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76.1%</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69.4%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68.8%</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67.3%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68.5%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70.9%</w:t>
            </w:r>
          </w:p>
        </w:tc>
      </w:tr>
      <w:tr w:rsidR="00ED619E" w:rsidRPr="00023B19" w:rsidTr="00BC4823">
        <w:trPr>
          <w:cantSplit/>
        </w:trPr>
        <w:tc>
          <w:tcPr>
            <w:tcW w:w="1418" w:type="dxa"/>
            <w:tcBorders>
              <w:top w:val="single" w:sz="4" w:space="0" w:color="A6A6A6" w:themeColor="background1" w:themeShade="A6"/>
              <w:bottom w:val="single" w:sz="4" w:space="0" w:color="A6A6A6" w:themeColor="background1" w:themeShade="A6"/>
            </w:tcBorders>
          </w:tcPr>
          <w:p w:rsidR="00ED619E" w:rsidRPr="00ED619E" w:rsidRDefault="00ED619E" w:rsidP="00BC4823">
            <w:pPr>
              <w:pStyle w:val="TableText"/>
              <w:rPr>
                <w:sz w:val="14"/>
              </w:rPr>
            </w:pPr>
            <w:proofErr w:type="spellStart"/>
            <w:r w:rsidRPr="00ED619E">
              <w:rPr>
                <w:sz w:val="14"/>
              </w:rPr>
              <w:t>Waitemata</w:t>
            </w:r>
            <w:proofErr w:type="spellEnd"/>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68.7%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69.4%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70.6%</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72.5%</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73.4%</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72.9%</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73.3%</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72.7%</w:t>
            </w:r>
          </w:p>
        </w:tc>
        <w:tc>
          <w:tcPr>
            <w:tcW w:w="793" w:type="dxa"/>
            <w:tcBorders>
              <w:top w:val="single" w:sz="4" w:space="0" w:color="A6A6A6" w:themeColor="background1" w:themeShade="A6"/>
              <w:bottom w:val="single" w:sz="4" w:space="0" w:color="A6A6A6" w:themeColor="background1" w:themeShade="A6"/>
            </w:tcBorders>
          </w:tcPr>
          <w:p w:rsidR="00ED619E" w:rsidRPr="00ED619E" w:rsidRDefault="00ED619E" w:rsidP="00ED619E">
            <w:pPr>
              <w:pStyle w:val="TableText"/>
              <w:jc w:val="center"/>
              <w:rPr>
                <w:sz w:val="14"/>
              </w:rPr>
            </w:pPr>
            <w:r w:rsidRPr="00ED619E">
              <w:rPr>
                <w:sz w:val="14"/>
              </w:rPr>
              <w:t>77.8%</w:t>
            </w:r>
          </w:p>
        </w:tc>
      </w:tr>
      <w:tr w:rsidR="00ED619E" w:rsidRPr="00023B19" w:rsidTr="00BC4823">
        <w:trPr>
          <w:cantSplit/>
        </w:trPr>
        <w:tc>
          <w:tcPr>
            <w:tcW w:w="1418" w:type="dxa"/>
            <w:tcBorders>
              <w:top w:val="single" w:sz="4" w:space="0" w:color="A6A6A6" w:themeColor="background1" w:themeShade="A6"/>
              <w:bottom w:val="single" w:sz="4" w:space="0" w:color="auto"/>
            </w:tcBorders>
          </w:tcPr>
          <w:p w:rsidR="00ED619E" w:rsidRPr="00ED619E" w:rsidRDefault="00ED619E" w:rsidP="00BC4823">
            <w:pPr>
              <w:pStyle w:val="TableText"/>
              <w:rPr>
                <w:sz w:val="14"/>
              </w:rPr>
            </w:pPr>
            <w:r w:rsidRPr="00ED619E">
              <w:rPr>
                <w:sz w:val="14"/>
              </w:rPr>
              <w:t>Target</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c>
          <w:tcPr>
            <w:tcW w:w="793" w:type="dxa"/>
            <w:tcBorders>
              <w:top w:val="single" w:sz="4" w:space="0" w:color="A6A6A6" w:themeColor="background1" w:themeShade="A6"/>
              <w:bottom w:val="single" w:sz="4" w:space="0" w:color="auto"/>
            </w:tcBorders>
          </w:tcPr>
          <w:p w:rsidR="00ED619E" w:rsidRPr="00ED619E" w:rsidRDefault="00ED619E" w:rsidP="00ED619E">
            <w:pPr>
              <w:pStyle w:val="TableText"/>
              <w:jc w:val="center"/>
              <w:rPr>
                <w:sz w:val="14"/>
              </w:rPr>
            </w:pPr>
            <w:r w:rsidRPr="00ED619E">
              <w:rPr>
                <w:sz w:val="14"/>
              </w:rPr>
              <w:t>95.0%</w:t>
            </w:r>
          </w:p>
        </w:tc>
      </w:tr>
    </w:tbl>
    <w:p w:rsidR="00ED619E" w:rsidRDefault="00ED619E" w:rsidP="00ED619E"/>
    <w:p w:rsidR="0034306E" w:rsidRDefault="00BA14B3" w:rsidP="00D951A4">
      <w:r w:rsidRPr="00A119E8">
        <w:t xml:space="preserve">Figure 41 shows </w:t>
      </w:r>
      <w:r>
        <w:t xml:space="preserve">that </w:t>
      </w:r>
      <w:r w:rsidRPr="00A119E8">
        <w:t xml:space="preserve">most of the priority DHBs are making progress. Hawke’s </w:t>
      </w:r>
      <w:r>
        <w:t>B</w:t>
      </w:r>
      <w:r w:rsidRPr="00A119E8">
        <w:t>ay and Canterbury are the two leading DHBs towards achieving this target.</w:t>
      </w:r>
    </w:p>
    <w:p w:rsidR="00BA14B3" w:rsidRPr="00A119E8" w:rsidRDefault="00BA14B3" w:rsidP="00D951A4"/>
    <w:p w:rsidR="00BA14B3" w:rsidRPr="00A119E8" w:rsidRDefault="00BA14B3" w:rsidP="00D951A4">
      <w:r w:rsidRPr="00A119E8">
        <w:rPr>
          <w:b/>
        </w:rPr>
        <w:t>Note</w:t>
      </w:r>
      <w:r w:rsidRPr="00A119E8">
        <w:t xml:space="preserve">: Immunisation coverage was chosen to be monitored in </w:t>
      </w:r>
      <w:r>
        <w:rPr>
          <w:i/>
        </w:rPr>
        <w:t>’</w:t>
      </w:r>
      <w:proofErr w:type="spellStart"/>
      <w:r>
        <w:rPr>
          <w:i/>
        </w:rPr>
        <w:t>Ala</w:t>
      </w:r>
      <w:proofErr w:type="spellEnd"/>
      <w:r>
        <w:rPr>
          <w:i/>
        </w:rPr>
        <w:t xml:space="preserve"> </w:t>
      </w:r>
      <w:proofErr w:type="spellStart"/>
      <w:r>
        <w:rPr>
          <w:i/>
        </w:rPr>
        <w:t>Mo’ui</w:t>
      </w:r>
      <w:proofErr w:type="spellEnd"/>
      <w:r w:rsidRPr="00A119E8">
        <w:t xml:space="preserve"> at six months</w:t>
      </w:r>
      <w:r>
        <w:t xml:space="preserve"> of age</w:t>
      </w:r>
      <w:r w:rsidRPr="00A119E8">
        <w:t xml:space="preserve"> (as opposed to eight or 12 months) as this is the age at which coverage for Pacific</w:t>
      </w:r>
      <w:r>
        <w:t xml:space="preserve"> infants </w:t>
      </w:r>
      <w:r w:rsidRPr="00A119E8">
        <w:t xml:space="preserve">is the lowest. Immunisation coverage for Pacific </w:t>
      </w:r>
      <w:r>
        <w:t xml:space="preserve">infants </w:t>
      </w:r>
      <w:r w:rsidRPr="00A119E8">
        <w:t xml:space="preserve">at eight months of age is 96.3 percent, compared to 93.4 percent for the total New Zealand population. Six out of the </w:t>
      </w:r>
      <w:r>
        <w:t>eight</w:t>
      </w:r>
      <w:r w:rsidRPr="00A119E8">
        <w:t xml:space="preserve"> </w:t>
      </w:r>
      <w:r>
        <w:t>p</w:t>
      </w:r>
      <w:r w:rsidRPr="00A119E8">
        <w:t xml:space="preserve">riority DHBs achieved this target over the same period. Immunisation coverage at eight months of age is a Government target. The </w:t>
      </w:r>
      <w:r>
        <w:t>eight</w:t>
      </w:r>
      <w:r w:rsidRPr="00A119E8">
        <w:t xml:space="preserve"> </w:t>
      </w:r>
      <w:r>
        <w:t xml:space="preserve">priority </w:t>
      </w:r>
      <w:r w:rsidRPr="00A119E8">
        <w:t>DHBs are supporting a shift to monitor the immunisation coverage</w:t>
      </w:r>
      <w:r>
        <w:t xml:space="preserve"> at </w:t>
      </w:r>
      <w:r w:rsidRPr="00F171DB">
        <w:t>eight months</w:t>
      </w:r>
      <w:r>
        <w:t xml:space="preserve"> of age</w:t>
      </w:r>
      <w:r w:rsidRPr="00F171DB">
        <w:t xml:space="preserve"> instead of six month</w:t>
      </w:r>
      <w:r>
        <w:t>s</w:t>
      </w:r>
      <w:r w:rsidRPr="00A119E8">
        <w:t xml:space="preserve">. In the next update, </w:t>
      </w:r>
      <w:r w:rsidR="00A96290">
        <w:rPr>
          <w:i/>
        </w:rPr>
        <w:t>’</w:t>
      </w:r>
      <w:proofErr w:type="spellStart"/>
      <w:r w:rsidR="00A96290">
        <w:rPr>
          <w:i/>
        </w:rPr>
        <w:t>Ala</w:t>
      </w:r>
      <w:proofErr w:type="spellEnd"/>
      <w:r w:rsidR="00A96290">
        <w:rPr>
          <w:i/>
        </w:rPr>
        <w:t xml:space="preserve"> </w:t>
      </w:r>
      <w:proofErr w:type="spellStart"/>
      <w:r w:rsidR="00A96290">
        <w:rPr>
          <w:i/>
        </w:rPr>
        <w:t>Mo’ui</w:t>
      </w:r>
      <w:proofErr w:type="spellEnd"/>
      <w:r w:rsidRPr="00A119E8">
        <w:t xml:space="preserve"> </w:t>
      </w:r>
      <w:r>
        <w:t>will</w:t>
      </w:r>
      <w:r w:rsidRPr="00A119E8">
        <w:t xml:space="preserve"> be shifting to monitoring the immunisation coverage </w:t>
      </w:r>
      <w:r>
        <w:t xml:space="preserve">at </w:t>
      </w:r>
      <w:r w:rsidRPr="00F171DB">
        <w:t>eight month</w:t>
      </w:r>
      <w:r>
        <w:t>s of age</w:t>
      </w:r>
      <w:r w:rsidRPr="00F171DB">
        <w:t xml:space="preserve"> </w:t>
      </w:r>
      <w:r w:rsidRPr="00A119E8">
        <w:t xml:space="preserve">to be in line </w:t>
      </w:r>
      <w:r>
        <w:t>with</w:t>
      </w:r>
      <w:r w:rsidRPr="00A119E8">
        <w:t xml:space="preserve"> the </w:t>
      </w:r>
      <w:r>
        <w:t>h</w:t>
      </w:r>
      <w:r w:rsidRPr="00A119E8">
        <w:t>ealth target.</w:t>
      </w:r>
    </w:p>
    <w:p w:rsidR="00BA14B3" w:rsidRPr="00A119E8" w:rsidRDefault="00BA14B3" w:rsidP="00A96290"/>
    <w:p w:rsidR="00BA14B3" w:rsidRPr="00A119E8" w:rsidRDefault="00BA14B3" w:rsidP="00BA14B3">
      <w:r w:rsidRPr="00A119E8">
        <w:br w:type="page"/>
      </w:r>
    </w:p>
    <w:p w:rsidR="00BA14B3" w:rsidRPr="00A119E8" w:rsidRDefault="00BA14B3" w:rsidP="00525D6F">
      <w:pPr>
        <w:pStyle w:val="Heading1"/>
      </w:pPr>
      <w:bookmarkStart w:id="213" w:name="_Toc445823337"/>
      <w:bookmarkStart w:id="214" w:name="_Toc447565086"/>
      <w:r w:rsidRPr="00A119E8">
        <w:lastRenderedPageBreak/>
        <w:t>References</w:t>
      </w:r>
      <w:bookmarkEnd w:id="213"/>
      <w:bookmarkEnd w:id="214"/>
    </w:p>
    <w:p w:rsidR="006641D1" w:rsidRDefault="006641D1" w:rsidP="006641D1">
      <w:pPr>
        <w:pStyle w:val="References"/>
      </w:pPr>
      <w:r>
        <w:t xml:space="preserve">Bennett J, Chisholm E, Hansen R, Howden-Chapman P. 2014. </w:t>
      </w:r>
      <w:r w:rsidRPr="00975F44">
        <w:rPr>
          <w:i/>
        </w:rPr>
        <w:t>Results from a Rental Housing Warrant of Fitness Pre-Test</w:t>
      </w:r>
      <w:r>
        <w:t xml:space="preserve">. Wellington: University of </w:t>
      </w:r>
      <w:proofErr w:type="spellStart"/>
      <w:r>
        <w:t>Otago</w:t>
      </w:r>
      <w:proofErr w:type="spellEnd"/>
      <w:r>
        <w:t>.</w:t>
      </w:r>
    </w:p>
    <w:p w:rsidR="00BA14B3" w:rsidRDefault="00BA14B3" w:rsidP="00525D6F">
      <w:pPr>
        <w:pStyle w:val="References"/>
      </w:pPr>
      <w:r w:rsidRPr="00057C47">
        <w:t xml:space="preserve">Counties </w:t>
      </w:r>
      <w:proofErr w:type="spellStart"/>
      <w:r w:rsidRPr="00057C47">
        <w:t>Manukau</w:t>
      </w:r>
      <w:proofErr w:type="spellEnd"/>
      <w:r w:rsidRPr="00057C47">
        <w:t xml:space="preserve"> Health. </w:t>
      </w:r>
      <w:r w:rsidR="006641D1">
        <w:t xml:space="preserve">2016. </w:t>
      </w:r>
      <w:r w:rsidR="006641D1">
        <w:rPr>
          <w:i/>
        </w:rPr>
        <w:t xml:space="preserve">Counties </w:t>
      </w:r>
      <w:proofErr w:type="spellStart"/>
      <w:r w:rsidR="006641D1">
        <w:rPr>
          <w:i/>
        </w:rPr>
        <w:t>Manukau</w:t>
      </w:r>
      <w:proofErr w:type="spellEnd"/>
      <w:r w:rsidR="006641D1">
        <w:rPr>
          <w:i/>
        </w:rPr>
        <w:t xml:space="preserve"> District Health Board </w:t>
      </w:r>
      <w:r w:rsidRPr="00057C47">
        <w:rPr>
          <w:i/>
        </w:rPr>
        <w:t>Annual Plan 2015/2016</w:t>
      </w:r>
      <w:r w:rsidRPr="00057C47">
        <w:t>.</w:t>
      </w:r>
      <w:r w:rsidR="006641D1">
        <w:t xml:space="preserve"> Auckland: Counties </w:t>
      </w:r>
      <w:proofErr w:type="spellStart"/>
      <w:r w:rsidR="006641D1">
        <w:t>Manukau</w:t>
      </w:r>
      <w:proofErr w:type="spellEnd"/>
      <w:r w:rsidR="006641D1">
        <w:t xml:space="preserve"> Health.</w:t>
      </w:r>
    </w:p>
    <w:p w:rsidR="006641D1" w:rsidRPr="00057C47" w:rsidRDefault="006641D1" w:rsidP="006641D1">
      <w:pPr>
        <w:pStyle w:val="References"/>
      </w:pPr>
      <w:r w:rsidRPr="00057C47">
        <w:t>Ministry of Health. 2012</w:t>
      </w:r>
      <w:r>
        <w:t>a</w:t>
      </w:r>
      <w:r w:rsidRPr="00057C47">
        <w:t xml:space="preserve">. </w:t>
      </w:r>
      <w:r w:rsidRPr="00057C47">
        <w:rPr>
          <w:i/>
        </w:rPr>
        <w:t xml:space="preserve">Rising to the Challenge: The Mental Health and Addictions Service Development Plan 2012–2017. </w:t>
      </w:r>
      <w:r w:rsidRPr="00057C47">
        <w:t>Wellington: Ministry of Health.</w:t>
      </w:r>
    </w:p>
    <w:p w:rsidR="00BA14B3" w:rsidRPr="00057C47" w:rsidRDefault="00BA14B3" w:rsidP="00525D6F">
      <w:pPr>
        <w:pStyle w:val="References"/>
      </w:pPr>
      <w:r w:rsidRPr="00057C47">
        <w:t>Ministry of Health. 2012</w:t>
      </w:r>
      <w:r w:rsidR="006641D1">
        <w:t>b</w:t>
      </w:r>
      <w:r w:rsidRPr="00057C47">
        <w:t xml:space="preserve">. </w:t>
      </w:r>
      <w:proofErr w:type="spellStart"/>
      <w:r w:rsidRPr="00057C47">
        <w:rPr>
          <w:i/>
        </w:rPr>
        <w:t>Tupu</w:t>
      </w:r>
      <w:proofErr w:type="spellEnd"/>
      <w:r w:rsidRPr="00057C47">
        <w:rPr>
          <w:i/>
        </w:rPr>
        <w:t xml:space="preserve"> Ola </w:t>
      </w:r>
      <w:proofErr w:type="spellStart"/>
      <w:r w:rsidRPr="00057C47">
        <w:rPr>
          <w:i/>
        </w:rPr>
        <w:t>Moui</w:t>
      </w:r>
      <w:proofErr w:type="spellEnd"/>
      <w:r w:rsidRPr="00057C47">
        <w:rPr>
          <w:i/>
        </w:rPr>
        <w:t xml:space="preserve">: Pacific Health Chart Book 2012. </w:t>
      </w:r>
      <w:r w:rsidRPr="00057C47">
        <w:t>Wellington: Ministry of Health.</w:t>
      </w:r>
    </w:p>
    <w:p w:rsidR="00BA14B3" w:rsidRPr="00A119E8" w:rsidRDefault="00BA14B3" w:rsidP="00525D6F">
      <w:pPr>
        <w:pStyle w:val="References"/>
        <w:rPr>
          <w:rFonts w:cs="Arial"/>
        </w:rPr>
      </w:pPr>
      <w:r w:rsidRPr="00A119E8">
        <w:t xml:space="preserve">Ministry of Health. 2014. </w:t>
      </w:r>
      <w:r>
        <w:rPr>
          <w:i/>
          <w:iCs/>
        </w:rPr>
        <w:t>’</w:t>
      </w:r>
      <w:proofErr w:type="spellStart"/>
      <w:r>
        <w:rPr>
          <w:i/>
          <w:iCs/>
        </w:rPr>
        <w:t>Ala</w:t>
      </w:r>
      <w:proofErr w:type="spellEnd"/>
      <w:r>
        <w:rPr>
          <w:i/>
          <w:iCs/>
        </w:rPr>
        <w:t xml:space="preserve"> </w:t>
      </w:r>
      <w:proofErr w:type="spellStart"/>
      <w:r>
        <w:rPr>
          <w:i/>
          <w:iCs/>
        </w:rPr>
        <w:t>Mo’ui</w:t>
      </w:r>
      <w:proofErr w:type="spellEnd"/>
      <w:r w:rsidRPr="00A119E8">
        <w:rPr>
          <w:i/>
          <w:iCs/>
        </w:rPr>
        <w:t>: Pathways to Pacific Health and Wellbeing 2014–2018</w:t>
      </w:r>
      <w:r w:rsidRPr="00A119E8">
        <w:t>. Wellington: Ministry of Health.</w:t>
      </w:r>
    </w:p>
    <w:p w:rsidR="00BA14B3" w:rsidRPr="00A119E8" w:rsidRDefault="00BA14B3" w:rsidP="00525D6F">
      <w:pPr>
        <w:pStyle w:val="References"/>
      </w:pPr>
      <w:r w:rsidRPr="00A119E8">
        <w:t xml:space="preserve">Ministry of Health. 2015a. </w:t>
      </w:r>
      <w:proofErr w:type="gramStart"/>
      <w:r w:rsidRPr="00A119E8">
        <w:rPr>
          <w:i/>
        </w:rPr>
        <w:t>A</w:t>
      </w:r>
      <w:proofErr w:type="gramEnd"/>
      <w:r w:rsidRPr="00A119E8">
        <w:rPr>
          <w:i/>
        </w:rPr>
        <w:t xml:space="preserve"> Framework for Health Literacy.</w:t>
      </w:r>
      <w:r w:rsidRPr="00A119E8">
        <w:t xml:space="preserve"> Wellington: Ministry of Health.</w:t>
      </w:r>
    </w:p>
    <w:p w:rsidR="00BA14B3" w:rsidRPr="00A119E8" w:rsidRDefault="00BA14B3" w:rsidP="00525D6F">
      <w:pPr>
        <w:pStyle w:val="References"/>
      </w:pPr>
      <w:r w:rsidRPr="00A119E8">
        <w:t>Ministry of Health. 2015</w:t>
      </w:r>
      <w:r>
        <w:t>b</w:t>
      </w:r>
      <w:r w:rsidRPr="00A119E8">
        <w:t xml:space="preserve">. </w:t>
      </w:r>
      <w:r w:rsidRPr="00057C47">
        <w:rPr>
          <w:i/>
        </w:rPr>
        <w:t>Independent Life Expectancy in New Zealand 2013</w:t>
      </w:r>
      <w:r w:rsidRPr="00A119E8">
        <w:t>. Wellington: Ministry of Health.</w:t>
      </w:r>
    </w:p>
    <w:p w:rsidR="00BA14B3" w:rsidRPr="00A119E8" w:rsidRDefault="00BA14B3" w:rsidP="00525D6F">
      <w:pPr>
        <w:pStyle w:val="References"/>
      </w:pPr>
      <w:r w:rsidRPr="00A119E8">
        <w:t>Ministry of Health</w:t>
      </w:r>
      <w:r>
        <w:t>.</w:t>
      </w:r>
      <w:r w:rsidRPr="00A119E8">
        <w:t xml:space="preserve"> 2015</w:t>
      </w:r>
      <w:r>
        <w:t>c</w:t>
      </w:r>
      <w:r w:rsidRPr="00A119E8">
        <w:t xml:space="preserve">. </w:t>
      </w:r>
      <w:r w:rsidRPr="00057C47">
        <w:rPr>
          <w:i/>
        </w:rPr>
        <w:t xml:space="preserve">Living Well with Diabetes: A </w:t>
      </w:r>
      <w:r>
        <w:rPr>
          <w:i/>
        </w:rPr>
        <w:t xml:space="preserve">health care </w:t>
      </w:r>
      <w:r w:rsidRPr="00057C47">
        <w:rPr>
          <w:i/>
        </w:rPr>
        <w:t>plan for people at high risk of or living with diabetes 2015–2020</w:t>
      </w:r>
      <w:r w:rsidRPr="00A119E8">
        <w:t>. Wellington: Ministry of Health.</w:t>
      </w:r>
    </w:p>
    <w:p w:rsidR="00BA14B3" w:rsidRPr="00A119E8" w:rsidRDefault="00BA14B3" w:rsidP="00525D6F">
      <w:pPr>
        <w:pStyle w:val="References"/>
      </w:pPr>
      <w:r w:rsidRPr="00A119E8">
        <w:t>Ministry of Health</w:t>
      </w:r>
      <w:r>
        <w:t>.</w:t>
      </w:r>
      <w:r w:rsidRPr="00A119E8">
        <w:t xml:space="preserve"> 2015</w:t>
      </w:r>
      <w:r>
        <w:t>d</w:t>
      </w:r>
      <w:r w:rsidRPr="00A119E8">
        <w:t xml:space="preserve">. </w:t>
      </w:r>
      <w:r w:rsidRPr="00A119E8">
        <w:rPr>
          <w:i/>
        </w:rPr>
        <w:t>National Maternity Monitoring Group Annual Report 2015</w:t>
      </w:r>
      <w:r w:rsidRPr="00A119E8">
        <w:t>. Wellington: Ministry of Health.</w:t>
      </w:r>
    </w:p>
    <w:p w:rsidR="00BA14B3" w:rsidRPr="00A119E8" w:rsidRDefault="00BA14B3" w:rsidP="00525D6F">
      <w:pPr>
        <w:pStyle w:val="References"/>
      </w:pPr>
      <w:r w:rsidRPr="00A119E8">
        <w:t>Ministry of Health</w:t>
      </w:r>
      <w:r>
        <w:t>.</w:t>
      </w:r>
      <w:r w:rsidRPr="00A119E8">
        <w:t xml:space="preserve"> 2016. </w:t>
      </w:r>
      <w:r w:rsidRPr="00A119E8">
        <w:rPr>
          <w:i/>
        </w:rPr>
        <w:t>Indicators for the Well Child/</w:t>
      </w:r>
      <w:proofErr w:type="spellStart"/>
      <w:r w:rsidRPr="00A119E8">
        <w:rPr>
          <w:i/>
        </w:rPr>
        <w:t>Tamariki</w:t>
      </w:r>
      <w:proofErr w:type="spellEnd"/>
      <w:r w:rsidRPr="00A119E8">
        <w:rPr>
          <w:i/>
        </w:rPr>
        <w:t xml:space="preserve"> </w:t>
      </w:r>
      <w:proofErr w:type="spellStart"/>
      <w:r w:rsidRPr="00A119E8">
        <w:rPr>
          <w:i/>
        </w:rPr>
        <w:t>Ora</w:t>
      </w:r>
      <w:proofErr w:type="spellEnd"/>
      <w:r w:rsidRPr="00A119E8">
        <w:rPr>
          <w:i/>
        </w:rPr>
        <w:t xml:space="preserve"> Quality Improvement Framework – September 2015. </w:t>
      </w:r>
      <w:r w:rsidRPr="00A119E8">
        <w:t>Wellington: Min</w:t>
      </w:r>
      <w:r>
        <w:t>istry of Health.</w:t>
      </w:r>
    </w:p>
    <w:p w:rsidR="00BA14B3" w:rsidRPr="00A119E8" w:rsidRDefault="00BA14B3" w:rsidP="00525D6F">
      <w:pPr>
        <w:pStyle w:val="References"/>
        <w:rPr>
          <w:rFonts w:cs="Arial"/>
        </w:rPr>
      </w:pPr>
      <w:r w:rsidRPr="00A119E8">
        <w:rPr>
          <w:rFonts w:cs="Arial"/>
        </w:rPr>
        <w:t xml:space="preserve">Statistics New Zealand. 2015. </w:t>
      </w:r>
      <w:r w:rsidRPr="00BE6BFA">
        <w:rPr>
          <w:rFonts w:cs="Arial"/>
          <w:i/>
        </w:rPr>
        <w:t>New Zealand Period Life Tables: 2012–14</w:t>
      </w:r>
      <w:r w:rsidRPr="00A119E8">
        <w:rPr>
          <w:rFonts w:cs="Arial"/>
        </w:rPr>
        <w:t xml:space="preserve">. URL: </w:t>
      </w:r>
      <w:hyperlink r:id="rId64" w:history="1">
        <w:r w:rsidRPr="00A119E8">
          <w:rPr>
            <w:rStyle w:val="Hyperlink"/>
            <w:rFonts w:cs="Arial"/>
            <w:szCs w:val="22"/>
          </w:rPr>
          <w:t>www.stats.govt.nz/browse_for_stats/health/life_expectancy/NZLifeTables_HOTP12-14.aspx</w:t>
        </w:r>
      </w:hyperlink>
      <w:r w:rsidRPr="00A119E8">
        <w:rPr>
          <w:rFonts w:cs="Arial"/>
        </w:rPr>
        <w:t xml:space="preserve"> (accessed 28 August 2015).</w:t>
      </w:r>
    </w:p>
    <w:p w:rsidR="00BA14B3" w:rsidRPr="00A119E8" w:rsidRDefault="00BA14B3" w:rsidP="00525D6F">
      <w:pPr>
        <w:pStyle w:val="References"/>
      </w:pPr>
      <w:r w:rsidRPr="00A119E8">
        <w:t xml:space="preserve">Tan J, Ward G, Thompson L. 2015. </w:t>
      </w:r>
      <w:r w:rsidRPr="005A6734">
        <w:rPr>
          <w:i/>
        </w:rPr>
        <w:t>Report of the Parliamentary Review Committee regarding the New Zealand Cervical Screening Programme</w:t>
      </w:r>
      <w:r w:rsidRPr="00A119E8">
        <w:t>. Wellington: Ministry of Health.</w:t>
      </w:r>
    </w:p>
    <w:p w:rsidR="00BA14B3" w:rsidRDefault="00BA14B3" w:rsidP="00525D6F"/>
    <w:p w:rsidR="00BA14B3" w:rsidRPr="00A119E8" w:rsidRDefault="00BA14B3" w:rsidP="00BA14B3">
      <w:r w:rsidRPr="00A119E8">
        <w:br w:type="page"/>
      </w:r>
    </w:p>
    <w:p w:rsidR="00BA14B3" w:rsidRPr="00A119E8" w:rsidRDefault="00BA14B3" w:rsidP="007D2C6B">
      <w:pPr>
        <w:pStyle w:val="Heading1"/>
      </w:pPr>
      <w:bookmarkStart w:id="215" w:name="_Toc445823338"/>
      <w:bookmarkStart w:id="216" w:name="_Toc447565087"/>
      <w:r w:rsidRPr="00A119E8">
        <w:lastRenderedPageBreak/>
        <w:t>Appendix</w:t>
      </w:r>
      <w:bookmarkEnd w:id="215"/>
      <w:bookmarkEnd w:id="216"/>
    </w:p>
    <w:p w:rsidR="00BA14B3" w:rsidRPr="00A119E8" w:rsidRDefault="00BA14B3" w:rsidP="007D2C6B">
      <w:pPr>
        <w:pStyle w:val="Table"/>
      </w:pPr>
      <w:bookmarkStart w:id="217" w:name="_Toc445801438"/>
      <w:bookmarkStart w:id="218" w:name="_Toc447527128"/>
      <w:r w:rsidRPr="00A119E8">
        <w:t>Table A1: Projected Pacific peoples population for 2015/16 by DHB based on the 2013 Census</w:t>
      </w:r>
      <w:bookmarkEnd w:id="217"/>
      <w:bookmarkEnd w:id="21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828"/>
        <w:gridCol w:w="2976"/>
        <w:gridCol w:w="2552"/>
      </w:tblGrid>
      <w:tr w:rsidR="00BA14B3" w:rsidRPr="007D2C6B" w:rsidTr="007D2C6B">
        <w:trPr>
          <w:cantSplit/>
        </w:trPr>
        <w:tc>
          <w:tcPr>
            <w:tcW w:w="3828" w:type="dxa"/>
            <w:tcBorders>
              <w:top w:val="single" w:sz="4" w:space="0" w:color="auto"/>
              <w:bottom w:val="single" w:sz="4" w:space="0" w:color="auto"/>
            </w:tcBorders>
            <w:shd w:val="clear" w:color="auto" w:fill="auto"/>
            <w:noWrap/>
            <w:hideMark/>
          </w:tcPr>
          <w:p w:rsidR="00BA14B3" w:rsidRPr="007D2C6B" w:rsidRDefault="00BA14B3" w:rsidP="007D2C6B">
            <w:pPr>
              <w:pStyle w:val="TableText"/>
              <w:rPr>
                <w:b/>
              </w:rPr>
            </w:pPr>
            <w:r w:rsidRPr="007D2C6B">
              <w:rPr>
                <w:b/>
              </w:rPr>
              <w:t>DHB</w:t>
            </w:r>
          </w:p>
        </w:tc>
        <w:tc>
          <w:tcPr>
            <w:tcW w:w="2976" w:type="dxa"/>
            <w:tcBorders>
              <w:top w:val="single" w:sz="4" w:space="0" w:color="auto"/>
              <w:bottom w:val="single" w:sz="4" w:space="0" w:color="auto"/>
            </w:tcBorders>
            <w:shd w:val="clear" w:color="auto" w:fill="auto"/>
            <w:noWrap/>
            <w:hideMark/>
          </w:tcPr>
          <w:p w:rsidR="00BA14B3" w:rsidRPr="007D2C6B" w:rsidRDefault="00BA14B3" w:rsidP="007D2C6B">
            <w:pPr>
              <w:pStyle w:val="TableText"/>
              <w:jc w:val="center"/>
              <w:rPr>
                <w:b/>
              </w:rPr>
            </w:pPr>
            <w:r w:rsidRPr="007D2C6B">
              <w:rPr>
                <w:b/>
              </w:rPr>
              <w:t>Population</w:t>
            </w:r>
          </w:p>
        </w:tc>
        <w:tc>
          <w:tcPr>
            <w:tcW w:w="2552" w:type="dxa"/>
            <w:tcBorders>
              <w:top w:val="single" w:sz="4" w:space="0" w:color="auto"/>
              <w:bottom w:val="single" w:sz="4" w:space="0" w:color="auto"/>
            </w:tcBorders>
            <w:shd w:val="clear" w:color="auto" w:fill="auto"/>
            <w:noWrap/>
            <w:hideMark/>
          </w:tcPr>
          <w:p w:rsidR="00BA14B3" w:rsidRPr="007D2C6B" w:rsidRDefault="00BA14B3" w:rsidP="007D2C6B">
            <w:pPr>
              <w:pStyle w:val="TableText"/>
              <w:jc w:val="center"/>
              <w:rPr>
                <w:b/>
              </w:rPr>
            </w:pPr>
            <w:r w:rsidRPr="007D2C6B">
              <w:rPr>
                <w:b/>
              </w:rPr>
              <w:t>Percentage</w:t>
            </w:r>
          </w:p>
        </w:tc>
      </w:tr>
      <w:tr w:rsidR="00BA14B3" w:rsidRPr="00A119E8" w:rsidTr="007D2C6B">
        <w:trPr>
          <w:cantSplit/>
        </w:trPr>
        <w:tc>
          <w:tcPr>
            <w:tcW w:w="3828" w:type="dxa"/>
            <w:tcBorders>
              <w:top w:val="single" w:sz="4" w:space="0" w:color="auto"/>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 xml:space="preserve">Counties </w:t>
            </w:r>
            <w:proofErr w:type="spellStart"/>
            <w:r w:rsidRPr="006641D1">
              <w:rPr>
                <w:rFonts w:cs="Arial"/>
                <w:b/>
                <w:szCs w:val="18"/>
              </w:rPr>
              <w:t>Manukau</w:t>
            </w:r>
            <w:proofErr w:type="spellEnd"/>
          </w:p>
        </w:tc>
        <w:tc>
          <w:tcPr>
            <w:tcW w:w="2976" w:type="dxa"/>
            <w:tcBorders>
              <w:top w:val="single" w:sz="4" w:space="0" w:color="auto"/>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111,910</w:t>
            </w:r>
          </w:p>
        </w:tc>
        <w:tc>
          <w:tcPr>
            <w:tcW w:w="2552" w:type="dxa"/>
            <w:tcBorders>
              <w:top w:val="single" w:sz="4" w:space="0" w:color="auto"/>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37.4%</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Auckland</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53,870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18.0%</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proofErr w:type="spellStart"/>
            <w:r w:rsidRPr="006641D1">
              <w:rPr>
                <w:rFonts w:cs="Arial"/>
                <w:b/>
                <w:szCs w:val="18"/>
              </w:rPr>
              <w:t>Waitemata</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41,430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13.8%</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Capital &amp; Coast</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21,410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7.2%</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Canterbury</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12,910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4.3%</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Hutt Valley</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11,420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3.8%</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Waikato</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11,290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3.8%</w:t>
            </w:r>
          </w:p>
        </w:tc>
      </w:tr>
      <w:tr w:rsidR="00BA14B3" w:rsidRPr="006641D1"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rPr>
                <w:rFonts w:cs="Arial"/>
                <w:b/>
                <w:szCs w:val="18"/>
              </w:rPr>
            </w:pPr>
            <w:r w:rsidRPr="006641D1">
              <w:rPr>
                <w:rFonts w:cs="Arial"/>
                <w:b/>
                <w:szCs w:val="18"/>
              </w:rPr>
              <w:t>Hawke’s Bay</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785"/>
              </w:tabs>
              <w:rPr>
                <w:b/>
              </w:rPr>
            </w:pPr>
            <w:r w:rsidRPr="006641D1">
              <w:rPr>
                <w:b/>
              </w:rPr>
              <w:t>6,010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6641D1" w:rsidRDefault="00BA14B3" w:rsidP="007D2C6B">
            <w:pPr>
              <w:pStyle w:val="TableText"/>
              <w:tabs>
                <w:tab w:val="decimal" w:pos="1219"/>
              </w:tabs>
              <w:rPr>
                <w:b/>
              </w:rPr>
            </w:pPr>
            <w:r w:rsidRPr="006641D1">
              <w:rPr>
                <w:b/>
              </w:rPr>
              <w:t>2.0%</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Southern</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6,000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2.0%</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proofErr w:type="spellStart"/>
            <w:r w:rsidRPr="00A119E8">
              <w:rPr>
                <w:rFonts w:cs="Arial"/>
                <w:szCs w:val="18"/>
              </w:rPr>
              <w:t>MidCentral</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5,060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1.7%</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Bay of Plenty</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3,890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1.3%</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Northland</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3,300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1.1%</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Lakes</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2,480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0.8%</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Nelson Marlborough</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2,330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0.8%</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proofErr w:type="spellStart"/>
            <w:r w:rsidRPr="00A119E8">
              <w:rPr>
                <w:rFonts w:cs="Arial"/>
                <w:szCs w:val="18"/>
              </w:rPr>
              <w:t>Taranaki</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1,535</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0.5%</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proofErr w:type="spellStart"/>
            <w:r w:rsidRPr="00A119E8">
              <w:rPr>
                <w:rFonts w:cs="Arial"/>
                <w:szCs w:val="18"/>
              </w:rPr>
              <w:t>Whanganui</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1,330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0.4%</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124FB4">
            <w:pPr>
              <w:pStyle w:val="TableText"/>
              <w:rPr>
                <w:rFonts w:cs="Arial"/>
                <w:szCs w:val="18"/>
              </w:rPr>
            </w:pPr>
            <w:proofErr w:type="spellStart"/>
            <w:r w:rsidRPr="00A119E8">
              <w:rPr>
                <w:rFonts w:cs="Arial"/>
                <w:szCs w:val="18"/>
              </w:rPr>
              <w:t>Tair</w:t>
            </w:r>
            <w:r w:rsidR="00124FB4">
              <w:rPr>
                <w:rFonts w:cs="Arial"/>
                <w:szCs w:val="18"/>
              </w:rPr>
              <w:t>ā</w:t>
            </w:r>
            <w:r w:rsidRPr="00A119E8">
              <w:rPr>
                <w:rFonts w:cs="Arial"/>
                <w:szCs w:val="18"/>
              </w:rPr>
              <w:t>whiti</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1,185</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0.4%</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proofErr w:type="spellStart"/>
            <w:r w:rsidRPr="00A119E8">
              <w:rPr>
                <w:rFonts w:cs="Arial"/>
                <w:szCs w:val="18"/>
              </w:rPr>
              <w:t>Wairarapa</w:t>
            </w:r>
            <w:proofErr w:type="spellEnd"/>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875</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0.3%</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South Canterbury</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590</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0.2%</w:t>
            </w:r>
          </w:p>
        </w:tc>
      </w:tr>
      <w:tr w:rsidR="00BA14B3" w:rsidRPr="00A119E8" w:rsidTr="007D2C6B">
        <w:trPr>
          <w:cantSplit/>
        </w:trPr>
        <w:tc>
          <w:tcPr>
            <w:tcW w:w="3828"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West Coast</w:t>
            </w:r>
          </w:p>
        </w:tc>
        <w:tc>
          <w:tcPr>
            <w:tcW w:w="2976"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365</w:t>
            </w:r>
          </w:p>
        </w:tc>
        <w:tc>
          <w:tcPr>
            <w:tcW w:w="2552" w:type="dxa"/>
            <w:tcBorders>
              <w:top w:val="single" w:sz="4" w:space="0" w:color="A6A6A6" w:themeColor="background1" w:themeShade="A6"/>
              <w:bottom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0.1%</w:t>
            </w:r>
          </w:p>
        </w:tc>
      </w:tr>
      <w:tr w:rsidR="00BA14B3" w:rsidRPr="00A119E8" w:rsidTr="007D2C6B">
        <w:trPr>
          <w:cantSplit/>
        </w:trPr>
        <w:tc>
          <w:tcPr>
            <w:tcW w:w="3828" w:type="dxa"/>
            <w:tcBorders>
              <w:top w:val="single" w:sz="4" w:space="0" w:color="A6A6A6" w:themeColor="background1" w:themeShade="A6"/>
            </w:tcBorders>
            <w:shd w:val="clear" w:color="auto" w:fill="auto"/>
            <w:noWrap/>
            <w:hideMark/>
          </w:tcPr>
          <w:p w:rsidR="00BA14B3" w:rsidRPr="00A119E8" w:rsidRDefault="00BA14B3" w:rsidP="007D2C6B">
            <w:pPr>
              <w:pStyle w:val="TableText"/>
              <w:rPr>
                <w:rFonts w:cs="Arial"/>
                <w:szCs w:val="18"/>
              </w:rPr>
            </w:pPr>
            <w:r w:rsidRPr="00A119E8">
              <w:rPr>
                <w:rFonts w:cs="Arial"/>
                <w:szCs w:val="18"/>
              </w:rPr>
              <w:t>Total</w:t>
            </w:r>
          </w:p>
        </w:tc>
        <w:tc>
          <w:tcPr>
            <w:tcW w:w="2976" w:type="dxa"/>
            <w:tcBorders>
              <w:top w:val="single" w:sz="4" w:space="0" w:color="A6A6A6" w:themeColor="background1" w:themeShade="A6"/>
            </w:tcBorders>
            <w:shd w:val="clear" w:color="auto" w:fill="auto"/>
            <w:noWrap/>
            <w:hideMark/>
          </w:tcPr>
          <w:p w:rsidR="00BA14B3" w:rsidRPr="00A119E8" w:rsidRDefault="00BA14B3" w:rsidP="007D2C6B">
            <w:pPr>
              <w:pStyle w:val="TableText"/>
              <w:tabs>
                <w:tab w:val="decimal" w:pos="1785"/>
              </w:tabs>
            </w:pPr>
            <w:r w:rsidRPr="00A119E8">
              <w:t>299,190</w:t>
            </w:r>
          </w:p>
        </w:tc>
        <w:tc>
          <w:tcPr>
            <w:tcW w:w="2552" w:type="dxa"/>
            <w:tcBorders>
              <w:top w:val="single" w:sz="4" w:space="0" w:color="A6A6A6" w:themeColor="background1" w:themeShade="A6"/>
            </w:tcBorders>
            <w:shd w:val="clear" w:color="auto" w:fill="auto"/>
            <w:noWrap/>
            <w:hideMark/>
          </w:tcPr>
          <w:p w:rsidR="00BA14B3" w:rsidRPr="00A119E8" w:rsidRDefault="00BA14B3" w:rsidP="007D2C6B">
            <w:pPr>
              <w:pStyle w:val="TableText"/>
              <w:tabs>
                <w:tab w:val="decimal" w:pos="1219"/>
              </w:tabs>
            </w:pPr>
            <w:r w:rsidRPr="00A119E8">
              <w:t>100%</w:t>
            </w:r>
          </w:p>
        </w:tc>
      </w:tr>
    </w:tbl>
    <w:p w:rsidR="00BA14B3" w:rsidRPr="00A119E8" w:rsidRDefault="00BA14B3" w:rsidP="007D2C6B">
      <w:pPr>
        <w:pStyle w:val="Note"/>
        <w:ind w:right="0"/>
      </w:pPr>
      <w:r w:rsidRPr="00A119E8">
        <w:t>Note: Percentages have been rounded. The eight priority DHBs are in bold.</w:t>
      </w:r>
    </w:p>
    <w:p w:rsidR="00F25970" w:rsidRPr="00E76D66" w:rsidRDefault="00F25970" w:rsidP="00E76D66"/>
    <w:sectPr w:rsidR="00F25970" w:rsidRPr="00E76D66" w:rsidSect="009D5125">
      <w:headerReference w:type="default" r:id="rId65"/>
      <w:footerReference w:type="default" r:id="rId66"/>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0DF" w:rsidRDefault="00FA10DF">
      <w:pPr>
        <w:spacing w:line="240" w:lineRule="auto"/>
      </w:pPr>
      <w:r>
        <w:separator/>
      </w:r>
    </w:p>
    <w:p w:rsidR="00FA10DF" w:rsidRDefault="00FA10DF"/>
  </w:endnote>
  <w:endnote w:type="continuationSeparator" w:id="0">
    <w:p w:rsidR="00FA10DF" w:rsidRDefault="00FA10DF">
      <w:pPr>
        <w:spacing w:line="240" w:lineRule="auto"/>
      </w:pPr>
      <w:r>
        <w:continuationSeparator/>
      </w:r>
    </w:p>
    <w:p w:rsidR="00FA10DF" w:rsidRDefault="00FA1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Pr="00581136" w:rsidRDefault="00FA10DF"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Pr="00275D08" w:rsidRDefault="00FA10D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672AB">
      <w:rPr>
        <w:rStyle w:val="PageNumber"/>
        <w:noProof/>
      </w:rPr>
      <w:t>iv</w:t>
    </w:r>
    <w:r w:rsidRPr="00FC46E7">
      <w:rPr>
        <w:rStyle w:val="PageNumber"/>
      </w:rPr>
      <w:fldChar w:fldCharType="end"/>
    </w:r>
    <w:r>
      <w:tab/>
      <w:t>’</w:t>
    </w:r>
    <w:proofErr w:type="spellStart"/>
    <w:r>
      <w:t>Ala</w:t>
    </w:r>
    <w:proofErr w:type="spellEnd"/>
    <w:r>
      <w:t xml:space="preserve"> </w:t>
    </w:r>
    <w:proofErr w:type="spellStart"/>
    <w:r>
      <w:t>Mo’ui</w:t>
    </w:r>
    <w:proofErr w:type="spellEnd"/>
    <w:r>
      <w:t xml:space="preserve"> Progress Report: December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533B90">
    <w:pPr>
      <w:pStyle w:val="RectoFooter"/>
    </w:pPr>
    <w:r>
      <w:tab/>
      <w:t>’</w:t>
    </w:r>
    <w:proofErr w:type="spellStart"/>
    <w:r>
      <w:t>Ala</w:t>
    </w:r>
    <w:proofErr w:type="spellEnd"/>
    <w:r>
      <w:t xml:space="preserve"> </w:t>
    </w:r>
    <w:proofErr w:type="spellStart"/>
    <w:r>
      <w:t>Mo’ui</w:t>
    </w:r>
    <w:proofErr w:type="spellEnd"/>
    <w:r>
      <w:t xml:space="preserve"> Progress Report: December 2015</w:t>
    </w:r>
    <w:r>
      <w:tab/>
    </w:r>
    <w:r>
      <w:rPr>
        <w:rStyle w:val="PageNumber"/>
      </w:rPr>
      <w:fldChar w:fldCharType="begin"/>
    </w:r>
    <w:r>
      <w:rPr>
        <w:rStyle w:val="PageNumber"/>
      </w:rPr>
      <w:instrText xml:space="preserve"> PAGE </w:instrText>
    </w:r>
    <w:r>
      <w:rPr>
        <w:rStyle w:val="PageNumber"/>
      </w:rPr>
      <w:fldChar w:fldCharType="separate"/>
    </w:r>
    <w:r w:rsidR="002F10F7">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Pr="00C17175" w:rsidRDefault="00FA10DF" w:rsidP="00C17175">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Pr="00275D08" w:rsidRDefault="00FA10D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2F10F7">
      <w:rPr>
        <w:rStyle w:val="PageNumber"/>
        <w:noProof/>
      </w:rPr>
      <w:t>8</w:t>
    </w:r>
    <w:r w:rsidRPr="00FC46E7">
      <w:rPr>
        <w:rStyle w:val="PageNumber"/>
      </w:rPr>
      <w:fldChar w:fldCharType="end"/>
    </w:r>
    <w:r>
      <w:tab/>
      <w:t>’</w:t>
    </w:r>
    <w:proofErr w:type="spellStart"/>
    <w:r>
      <w:t>Ala</w:t>
    </w:r>
    <w:proofErr w:type="spellEnd"/>
    <w:r>
      <w:t xml:space="preserve"> </w:t>
    </w:r>
    <w:proofErr w:type="spellStart"/>
    <w:r>
      <w:t>Mo’ui</w:t>
    </w:r>
    <w:proofErr w:type="spellEnd"/>
    <w:r>
      <w:t xml:space="preserve"> Progress Report: December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9E3C8C">
    <w:pPr>
      <w:pStyle w:val="RectoFooter"/>
    </w:pPr>
    <w:r>
      <w:tab/>
      <w:t>’</w:t>
    </w:r>
    <w:proofErr w:type="spellStart"/>
    <w:r>
      <w:t>Ala</w:t>
    </w:r>
    <w:proofErr w:type="spellEnd"/>
    <w:r>
      <w:t xml:space="preserve"> </w:t>
    </w:r>
    <w:proofErr w:type="spellStart"/>
    <w:r>
      <w:t>Mo’ui</w:t>
    </w:r>
    <w:proofErr w:type="spellEnd"/>
    <w:r>
      <w:t xml:space="preserve"> Progress Report: December 2015</w:t>
    </w:r>
    <w:r>
      <w:tab/>
    </w:r>
    <w:r>
      <w:rPr>
        <w:rStyle w:val="PageNumber"/>
      </w:rPr>
      <w:fldChar w:fldCharType="begin"/>
    </w:r>
    <w:r>
      <w:rPr>
        <w:rStyle w:val="PageNumber"/>
      </w:rPr>
      <w:instrText xml:space="preserve"> PAGE </w:instrText>
    </w:r>
    <w:r>
      <w:rPr>
        <w:rStyle w:val="PageNumber"/>
      </w:rPr>
      <w:fldChar w:fldCharType="separate"/>
    </w:r>
    <w:r w:rsidR="002F10F7">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0DF" w:rsidRPr="00A26E6B" w:rsidRDefault="00FA10DF" w:rsidP="00A26E6B"/>
  </w:footnote>
  <w:footnote w:type="continuationSeparator" w:id="0">
    <w:p w:rsidR="00FA10DF" w:rsidRDefault="00FA10DF">
      <w:pPr>
        <w:spacing w:line="240" w:lineRule="auto"/>
      </w:pPr>
      <w:r>
        <w:continuationSeparator/>
      </w:r>
    </w:p>
    <w:p w:rsidR="00FA10DF" w:rsidRDefault="00FA10DF"/>
  </w:footnote>
  <w:footnote w:id="1">
    <w:p w:rsidR="00FA10DF" w:rsidRDefault="00FA10DF" w:rsidP="004E4307">
      <w:pPr>
        <w:pStyle w:val="FootnoteText"/>
      </w:pPr>
      <w:r w:rsidRPr="004E4307">
        <w:rPr>
          <w:rStyle w:val="FootnoteReference"/>
        </w:rPr>
        <w:footnoteRef/>
      </w:r>
      <w:r>
        <w:tab/>
        <w:t>T</w:t>
      </w:r>
      <w:r w:rsidRPr="001061A4">
        <w:t>he first progress report</w:t>
      </w:r>
      <w:r>
        <w:t xml:space="preserve"> on</w:t>
      </w:r>
      <w:r>
        <w:rPr>
          <w:rFonts w:ascii="Times New Roman" w:hAnsi="Times New Roman"/>
        </w:rPr>
        <w:t xml:space="preserve"> </w:t>
      </w:r>
      <w:r>
        <w:rPr>
          <w:i/>
        </w:rPr>
        <w:t>’</w:t>
      </w:r>
      <w:proofErr w:type="spellStart"/>
      <w:r w:rsidRPr="007431FC">
        <w:rPr>
          <w:i/>
        </w:rPr>
        <w:t>Ala</w:t>
      </w:r>
      <w:proofErr w:type="spellEnd"/>
      <w:r w:rsidRPr="007431FC">
        <w:rPr>
          <w:i/>
        </w:rPr>
        <w:t xml:space="preserve"> </w:t>
      </w:r>
      <w:proofErr w:type="spellStart"/>
      <w:r w:rsidRPr="007431FC">
        <w:rPr>
          <w:i/>
        </w:rPr>
        <w:t>Mo</w:t>
      </w:r>
      <w:r>
        <w:rPr>
          <w:i/>
        </w:rPr>
        <w:t>’</w:t>
      </w:r>
      <w:r w:rsidRPr="007431FC">
        <w:rPr>
          <w:i/>
        </w:rPr>
        <w:t>ui</w:t>
      </w:r>
      <w:proofErr w:type="spellEnd"/>
      <w:r w:rsidRPr="001061A4">
        <w:t xml:space="preserve"> tracked and monitored 23 indicator measures. The two indicator measures </w:t>
      </w:r>
      <w:r>
        <w:t xml:space="preserve">no longer </w:t>
      </w:r>
      <w:r w:rsidRPr="001061A4">
        <w:t>being monitored and tracked are ‘Pacific caries</w:t>
      </w:r>
      <w:r>
        <w:t>-</w:t>
      </w:r>
      <w:r w:rsidRPr="001061A4">
        <w:t>free at year eight’ and ‘Pacific d</w:t>
      </w:r>
      <w:r>
        <w:t xml:space="preserve">ecayed, missing, or </w:t>
      </w:r>
      <w:r w:rsidRPr="001061A4">
        <w:t>f</w:t>
      </w:r>
      <w:r>
        <w:t xml:space="preserve">illed </w:t>
      </w:r>
      <w:r w:rsidRPr="001061A4">
        <w:t>t</w:t>
      </w:r>
      <w:r>
        <w:t>eeth (DMFT)</w:t>
      </w:r>
      <w:r w:rsidRPr="001061A4">
        <w:t xml:space="preserve"> rates at age five’. </w:t>
      </w:r>
      <w:r>
        <w:t>The Ministry has decided that</w:t>
      </w:r>
      <w:r w:rsidRPr="001061A4">
        <w:t xml:space="preserve"> </w:t>
      </w:r>
      <w:r>
        <w:t xml:space="preserve">the two indicator measures </w:t>
      </w:r>
      <w:r w:rsidRPr="001061A4">
        <w:t>‘Pacific caries</w:t>
      </w:r>
      <w:r>
        <w:t>-</w:t>
      </w:r>
      <w:r w:rsidRPr="001061A4">
        <w:t>free a</w:t>
      </w:r>
      <w:r>
        <w:t xml:space="preserve">t age five’ and ‘Pacific </w:t>
      </w:r>
      <w:r w:rsidRPr="001061A4">
        <w:t xml:space="preserve">DMFT rates at </w:t>
      </w:r>
      <w:r>
        <w:t xml:space="preserve">school </w:t>
      </w:r>
      <w:r w:rsidRPr="001061A4">
        <w:t xml:space="preserve">year eight’ suffice </w:t>
      </w:r>
      <w:r>
        <w:t xml:space="preserve">for </w:t>
      </w:r>
      <w:r w:rsidRPr="001061A4">
        <w:t xml:space="preserve">monitoring oral health </w:t>
      </w:r>
      <w:r>
        <w:t>outcomes for Pacific children.</w:t>
      </w:r>
    </w:p>
  </w:footnote>
  <w:footnote w:id="2">
    <w:p w:rsidR="00FA10DF" w:rsidRDefault="00FA10DF" w:rsidP="004E4307">
      <w:pPr>
        <w:pStyle w:val="FootnoteText"/>
      </w:pPr>
      <w:r w:rsidRPr="004E4307">
        <w:rPr>
          <w:rStyle w:val="FootnoteReference"/>
        </w:rPr>
        <w:footnoteRef/>
      </w:r>
      <w:r>
        <w:tab/>
        <w:t xml:space="preserve">Nine out of the total of 21 indicators that are monitored in </w:t>
      </w:r>
      <w:r>
        <w:rPr>
          <w:i/>
        </w:rPr>
        <w:t>’</w:t>
      </w:r>
      <w:proofErr w:type="spellStart"/>
      <w:r w:rsidRPr="007431FC">
        <w:rPr>
          <w:i/>
        </w:rPr>
        <w:t>Ala</w:t>
      </w:r>
      <w:proofErr w:type="spellEnd"/>
      <w:r w:rsidRPr="007431FC">
        <w:rPr>
          <w:i/>
        </w:rPr>
        <w:t xml:space="preserve"> </w:t>
      </w:r>
      <w:proofErr w:type="spellStart"/>
      <w:r w:rsidRPr="007431FC">
        <w:rPr>
          <w:i/>
        </w:rPr>
        <w:t>Mo</w:t>
      </w:r>
      <w:r>
        <w:rPr>
          <w:i/>
        </w:rPr>
        <w:t>’</w:t>
      </w:r>
      <w:r w:rsidRPr="007431FC">
        <w:rPr>
          <w:i/>
        </w:rPr>
        <w:t>ui</w:t>
      </w:r>
      <w:proofErr w:type="spellEnd"/>
      <w:r w:rsidRPr="001061A4">
        <w:t xml:space="preserve"> </w:t>
      </w:r>
      <w:r>
        <w:t xml:space="preserve">currently do not have set national targets. The difference between </w:t>
      </w:r>
      <w:r w:rsidRPr="004F5D22">
        <w:t xml:space="preserve">the Pacific population </w:t>
      </w:r>
      <w:r>
        <w:t>and the total New Zealand population is used as a measure of equity.</w:t>
      </w:r>
    </w:p>
  </w:footnote>
  <w:footnote w:id="3">
    <w:p w:rsidR="00FA10DF" w:rsidRDefault="00FA10DF" w:rsidP="00F07986">
      <w:pPr>
        <w:pStyle w:val="FootnoteText"/>
      </w:pPr>
      <w:r w:rsidRPr="00F07986">
        <w:rPr>
          <w:rStyle w:val="FootnoteReference"/>
        </w:rPr>
        <w:footnoteRef/>
      </w:r>
      <w:r>
        <w:tab/>
      </w:r>
      <w:proofErr w:type="spellStart"/>
      <w:r w:rsidRPr="004473E7">
        <w:t>Wh</w:t>
      </w:r>
      <w:r>
        <w:rPr>
          <w:rFonts w:cs="Arial"/>
        </w:rPr>
        <w:t>ā</w:t>
      </w:r>
      <w:r w:rsidRPr="004473E7">
        <w:t>nau</w:t>
      </w:r>
      <w:proofErr w:type="spellEnd"/>
      <w:r w:rsidRPr="004473E7">
        <w:t xml:space="preserve"> House is operated by </w:t>
      </w:r>
      <w:proofErr w:type="spellStart"/>
      <w:r w:rsidRPr="004473E7">
        <w:t>Te</w:t>
      </w:r>
      <w:proofErr w:type="spellEnd"/>
      <w:r w:rsidRPr="004473E7">
        <w:t xml:space="preserve"> </w:t>
      </w:r>
      <w:proofErr w:type="spellStart"/>
      <w:r w:rsidRPr="004473E7">
        <w:t>Wh</w:t>
      </w:r>
      <w:r>
        <w:rPr>
          <w:rFonts w:cs="Arial"/>
        </w:rPr>
        <w:t>ā</w:t>
      </w:r>
      <w:r w:rsidRPr="004473E7">
        <w:t>nau</w:t>
      </w:r>
      <w:proofErr w:type="spellEnd"/>
      <w:r w:rsidRPr="004473E7">
        <w:t xml:space="preserve"> o </w:t>
      </w:r>
      <w:proofErr w:type="spellStart"/>
      <w:r w:rsidRPr="004473E7">
        <w:t>Waipareira</w:t>
      </w:r>
      <w:proofErr w:type="spellEnd"/>
      <w:r w:rsidRPr="004473E7">
        <w:t xml:space="preserve"> Trust</w:t>
      </w:r>
      <w:r>
        <w:t xml:space="preserve"> and offers families ‘wrap-around’ integrated services (health, social, justice and education) tailored to their needs.</w:t>
      </w:r>
    </w:p>
  </w:footnote>
  <w:footnote w:id="4">
    <w:p w:rsidR="00FA10DF" w:rsidRDefault="00FA10DF" w:rsidP="005857B1">
      <w:pPr>
        <w:pStyle w:val="FootnoteText"/>
      </w:pPr>
      <w:r w:rsidRPr="005857B1">
        <w:rPr>
          <w:rStyle w:val="FootnoteReference"/>
        </w:rPr>
        <w:footnoteRef/>
      </w:r>
      <w:r>
        <w:tab/>
        <w:t>Cole cut-offs are BMI for overweight and obesity by gender and age.</w:t>
      </w:r>
    </w:p>
  </w:footnote>
  <w:footnote w:id="5">
    <w:p w:rsidR="00FA10DF" w:rsidRDefault="00FA10DF" w:rsidP="00B324FB">
      <w:pPr>
        <w:pStyle w:val="FootnoteText"/>
      </w:pPr>
      <w:r w:rsidRPr="00B324FB">
        <w:rPr>
          <w:rStyle w:val="FootnoteReference"/>
        </w:rPr>
        <w:footnoteRef/>
      </w:r>
      <w:r>
        <w:tab/>
      </w:r>
      <w:r w:rsidRPr="001C0917">
        <w:t xml:space="preserve">Alliance Health </w:t>
      </w:r>
      <w:r>
        <w:t>Plus</w:t>
      </w:r>
      <w:r w:rsidRPr="001C0917">
        <w:t xml:space="preserve"> is the only Pacific PHO. </w:t>
      </w:r>
      <w:r>
        <w:t xml:space="preserve">Its </w:t>
      </w:r>
      <w:r w:rsidRPr="001C0917">
        <w:t xml:space="preserve">enrolled population </w:t>
      </w:r>
      <w:r>
        <w:t xml:space="preserve">was </w:t>
      </w:r>
      <w:r w:rsidRPr="001C0917">
        <w:t xml:space="preserve">approximately 90,000 as at </w:t>
      </w:r>
      <w:r>
        <w:t xml:space="preserve">30 </w:t>
      </w:r>
      <w:r w:rsidRPr="001C0917">
        <w:t>June 2014</w:t>
      </w:r>
      <w:r>
        <w:t xml:space="preserve">. Its </w:t>
      </w:r>
      <w:r w:rsidRPr="001C0917">
        <w:t xml:space="preserve">performance against aggregate health targets </w:t>
      </w:r>
      <w:r>
        <w:t xml:space="preserve">in 2014 </w:t>
      </w:r>
      <w:r w:rsidRPr="001C0917">
        <w:t>was in the top quartile of PHOs nationally.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9216CC">
    <w:pPr>
      <w:pStyle w:val="Header"/>
      <w:ind w:left="-1559"/>
    </w:pPr>
    <w:r>
      <w:rPr>
        <w:noProof/>
        <w:lang w:eastAsia="en-NZ"/>
      </w:rPr>
      <w:drawing>
        <wp:inline distT="0" distB="0" distL="0" distR="0" wp14:anchorId="243B4310" wp14:editId="1088930F">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DF" w:rsidRDefault="00FA10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4E91B7E"/>
    <w:multiLevelType w:val="hybridMultilevel"/>
    <w:tmpl w:val="D64A55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1C9537EE"/>
    <w:multiLevelType w:val="hybridMultilevel"/>
    <w:tmpl w:val="E45E7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2BB7139"/>
    <w:multiLevelType w:val="hybridMultilevel"/>
    <w:tmpl w:val="AACE3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4264691"/>
    <w:multiLevelType w:val="hybridMultilevel"/>
    <w:tmpl w:val="D94CD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564D76"/>
    <w:multiLevelType w:val="hybridMultilevel"/>
    <w:tmpl w:val="CDDE4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41CE43B3"/>
    <w:multiLevelType w:val="hybridMultilevel"/>
    <w:tmpl w:val="F14201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9447C51"/>
    <w:multiLevelType w:val="hybridMultilevel"/>
    <w:tmpl w:val="7B665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E567E41"/>
    <w:multiLevelType w:val="hybridMultilevel"/>
    <w:tmpl w:val="D548A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5B3F5490"/>
    <w:multiLevelType w:val="hybridMultilevel"/>
    <w:tmpl w:val="E1621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11B11CD"/>
    <w:multiLevelType w:val="hybridMultilevel"/>
    <w:tmpl w:val="54B28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490284A"/>
    <w:multiLevelType w:val="hybridMultilevel"/>
    <w:tmpl w:val="356CF06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61C0BC0"/>
    <w:multiLevelType w:val="hybridMultilevel"/>
    <w:tmpl w:val="D4FC5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2">
    <w:nsid w:val="6999671D"/>
    <w:multiLevelType w:val="hybridMultilevel"/>
    <w:tmpl w:val="0EBEFF2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6A8C50F6"/>
    <w:multiLevelType w:val="hybridMultilevel"/>
    <w:tmpl w:val="88E64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CD74DF7"/>
    <w:multiLevelType w:val="hybridMultilevel"/>
    <w:tmpl w:val="ED022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E266EBA"/>
    <w:multiLevelType w:val="hybridMultilevel"/>
    <w:tmpl w:val="3FB2F2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6F747F50"/>
    <w:multiLevelType w:val="hybridMultilevel"/>
    <w:tmpl w:val="E98C4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8"/>
  </w:num>
  <w:num w:numId="2">
    <w:abstractNumId w:val="21"/>
  </w:num>
  <w:num w:numId="3">
    <w:abstractNumId w:val="10"/>
  </w:num>
  <w:num w:numId="4">
    <w:abstractNumId w:val="11"/>
  </w:num>
  <w:num w:numId="5">
    <w:abstractNumId w:val="1"/>
  </w:num>
  <w:num w:numId="6">
    <w:abstractNumId w:val="16"/>
  </w:num>
  <w:num w:numId="7">
    <w:abstractNumId w:val="4"/>
  </w:num>
  <w:num w:numId="8">
    <w:abstractNumId w:val="27"/>
  </w:num>
  <w:num w:numId="9">
    <w:abstractNumId w:val="3"/>
  </w:num>
  <w:num w:numId="10">
    <w:abstractNumId w:val="6"/>
  </w:num>
  <w:num w:numId="11">
    <w:abstractNumId w:val="12"/>
  </w:num>
  <w:num w:numId="12">
    <w:abstractNumId w:val="0"/>
  </w:num>
  <w:num w:numId="13">
    <w:abstractNumId w:val="20"/>
  </w:num>
  <w:num w:numId="14">
    <w:abstractNumId w:val="14"/>
  </w:num>
  <w:num w:numId="15">
    <w:abstractNumId w:val="17"/>
  </w:num>
  <w:num w:numId="16">
    <w:abstractNumId w:val="15"/>
  </w:num>
  <w:num w:numId="17">
    <w:abstractNumId w:val="23"/>
  </w:num>
  <w:num w:numId="18">
    <w:abstractNumId w:val="13"/>
  </w:num>
  <w:num w:numId="19">
    <w:abstractNumId w:val="26"/>
  </w:num>
  <w:num w:numId="20">
    <w:abstractNumId w:val="2"/>
  </w:num>
  <w:num w:numId="21">
    <w:abstractNumId w:val="9"/>
  </w:num>
  <w:num w:numId="22">
    <w:abstractNumId w:val="18"/>
  </w:num>
  <w:num w:numId="23">
    <w:abstractNumId w:val="5"/>
  </w:num>
  <w:num w:numId="24">
    <w:abstractNumId w:val="7"/>
  </w:num>
  <w:num w:numId="25">
    <w:abstractNumId w:val="8"/>
  </w:num>
  <w:num w:numId="26">
    <w:abstractNumId w:val="24"/>
  </w:num>
  <w:num w:numId="27">
    <w:abstractNumId w:val="25"/>
  </w:num>
  <w:num w:numId="28">
    <w:abstractNumId w:val="19"/>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23B19"/>
    <w:rsid w:val="00030B26"/>
    <w:rsid w:val="000364E0"/>
    <w:rsid w:val="00042DFC"/>
    <w:rsid w:val="0006228D"/>
    <w:rsid w:val="00072BD6"/>
    <w:rsid w:val="00075B78"/>
    <w:rsid w:val="00082A0E"/>
    <w:rsid w:val="00082CD6"/>
    <w:rsid w:val="00085AFE"/>
    <w:rsid w:val="000B029C"/>
    <w:rsid w:val="000B0730"/>
    <w:rsid w:val="000F2AE2"/>
    <w:rsid w:val="00102063"/>
    <w:rsid w:val="0010541C"/>
    <w:rsid w:val="00106F93"/>
    <w:rsid w:val="00111D50"/>
    <w:rsid w:val="00113B8E"/>
    <w:rsid w:val="00124FB4"/>
    <w:rsid w:val="001342C7"/>
    <w:rsid w:val="0013585C"/>
    <w:rsid w:val="00142954"/>
    <w:rsid w:val="001460E0"/>
    <w:rsid w:val="00147F71"/>
    <w:rsid w:val="00150A6E"/>
    <w:rsid w:val="0016468A"/>
    <w:rsid w:val="00166745"/>
    <w:rsid w:val="00187396"/>
    <w:rsid w:val="001A5CF5"/>
    <w:rsid w:val="001B39D2"/>
    <w:rsid w:val="001B473D"/>
    <w:rsid w:val="001B4BF8"/>
    <w:rsid w:val="001B4D12"/>
    <w:rsid w:val="001C4326"/>
    <w:rsid w:val="001D3541"/>
    <w:rsid w:val="001F1606"/>
    <w:rsid w:val="00201A01"/>
    <w:rsid w:val="002104D3"/>
    <w:rsid w:val="00213A33"/>
    <w:rsid w:val="0021763B"/>
    <w:rsid w:val="00246DB1"/>
    <w:rsid w:val="002476B5"/>
    <w:rsid w:val="00253ECF"/>
    <w:rsid w:val="002546A1"/>
    <w:rsid w:val="00275D08"/>
    <w:rsid w:val="002858E3"/>
    <w:rsid w:val="0029190A"/>
    <w:rsid w:val="00292C5A"/>
    <w:rsid w:val="00295241"/>
    <w:rsid w:val="002B047D"/>
    <w:rsid w:val="002B732B"/>
    <w:rsid w:val="002C2219"/>
    <w:rsid w:val="002D0DF2"/>
    <w:rsid w:val="002D23BD"/>
    <w:rsid w:val="002E0B47"/>
    <w:rsid w:val="002E4949"/>
    <w:rsid w:val="002F10F7"/>
    <w:rsid w:val="002F7213"/>
    <w:rsid w:val="0030382F"/>
    <w:rsid w:val="0030408D"/>
    <w:rsid w:val="003060E4"/>
    <w:rsid w:val="00313657"/>
    <w:rsid w:val="003160E7"/>
    <w:rsid w:val="0031739E"/>
    <w:rsid w:val="003325AB"/>
    <w:rsid w:val="0033412B"/>
    <w:rsid w:val="0034306E"/>
    <w:rsid w:val="00343365"/>
    <w:rsid w:val="00353501"/>
    <w:rsid w:val="003606F8"/>
    <w:rsid w:val="00363850"/>
    <w:rsid w:val="003648EF"/>
    <w:rsid w:val="003673E6"/>
    <w:rsid w:val="00377264"/>
    <w:rsid w:val="003917C3"/>
    <w:rsid w:val="003A26A5"/>
    <w:rsid w:val="003A3761"/>
    <w:rsid w:val="003A5FEA"/>
    <w:rsid w:val="003B1D10"/>
    <w:rsid w:val="003B2B1E"/>
    <w:rsid w:val="003B5EE5"/>
    <w:rsid w:val="003C76D4"/>
    <w:rsid w:val="003D2CC5"/>
    <w:rsid w:val="003E7C46"/>
    <w:rsid w:val="003F52A7"/>
    <w:rsid w:val="0040240C"/>
    <w:rsid w:val="0040270A"/>
    <w:rsid w:val="00413021"/>
    <w:rsid w:val="00420610"/>
    <w:rsid w:val="00440BE0"/>
    <w:rsid w:val="00442C1C"/>
    <w:rsid w:val="0044584B"/>
    <w:rsid w:val="004464BA"/>
    <w:rsid w:val="00447CB7"/>
    <w:rsid w:val="00460826"/>
    <w:rsid w:val="00460EA7"/>
    <w:rsid w:val="0046195B"/>
    <w:rsid w:val="0046596D"/>
    <w:rsid w:val="004716D8"/>
    <w:rsid w:val="00483AAD"/>
    <w:rsid w:val="00487C04"/>
    <w:rsid w:val="004907E1"/>
    <w:rsid w:val="004A035B"/>
    <w:rsid w:val="004A38D7"/>
    <w:rsid w:val="004A778C"/>
    <w:rsid w:val="004B2644"/>
    <w:rsid w:val="004C2E6A"/>
    <w:rsid w:val="004C64B8"/>
    <w:rsid w:val="004D2A2D"/>
    <w:rsid w:val="004D6689"/>
    <w:rsid w:val="004E1D1D"/>
    <w:rsid w:val="004E4307"/>
    <w:rsid w:val="004E7AC8"/>
    <w:rsid w:val="004F0C94"/>
    <w:rsid w:val="004F143D"/>
    <w:rsid w:val="005019AE"/>
    <w:rsid w:val="00503749"/>
    <w:rsid w:val="00504CF4"/>
    <w:rsid w:val="0050635B"/>
    <w:rsid w:val="00525D6F"/>
    <w:rsid w:val="0053199F"/>
    <w:rsid w:val="00533B90"/>
    <w:rsid w:val="005410F8"/>
    <w:rsid w:val="005448EC"/>
    <w:rsid w:val="00545963"/>
    <w:rsid w:val="00550256"/>
    <w:rsid w:val="00553958"/>
    <w:rsid w:val="0055763D"/>
    <w:rsid w:val="005621F2"/>
    <w:rsid w:val="00567B58"/>
    <w:rsid w:val="005763E0"/>
    <w:rsid w:val="00581136"/>
    <w:rsid w:val="005857B1"/>
    <w:rsid w:val="005A27CA"/>
    <w:rsid w:val="005A43BD"/>
    <w:rsid w:val="005E226E"/>
    <w:rsid w:val="006015D7"/>
    <w:rsid w:val="00601B21"/>
    <w:rsid w:val="00626CF8"/>
    <w:rsid w:val="00636D7D"/>
    <w:rsid w:val="00637408"/>
    <w:rsid w:val="00642868"/>
    <w:rsid w:val="00647AFE"/>
    <w:rsid w:val="006512BC"/>
    <w:rsid w:val="00653A5A"/>
    <w:rsid w:val="006575F4"/>
    <w:rsid w:val="006579E6"/>
    <w:rsid w:val="00663EDC"/>
    <w:rsid w:val="006641D1"/>
    <w:rsid w:val="00664C83"/>
    <w:rsid w:val="00671078"/>
    <w:rsid w:val="006758CA"/>
    <w:rsid w:val="00680A04"/>
    <w:rsid w:val="00683E18"/>
    <w:rsid w:val="00686D80"/>
    <w:rsid w:val="00690C4E"/>
    <w:rsid w:val="00694895"/>
    <w:rsid w:val="00697E2E"/>
    <w:rsid w:val="006A25A2"/>
    <w:rsid w:val="006B0E73"/>
    <w:rsid w:val="006B4A4D"/>
    <w:rsid w:val="006B5695"/>
    <w:rsid w:val="006C213B"/>
    <w:rsid w:val="006C78EB"/>
    <w:rsid w:val="006D0BC5"/>
    <w:rsid w:val="006D1660"/>
    <w:rsid w:val="006D34A9"/>
    <w:rsid w:val="006E2968"/>
    <w:rsid w:val="006F1B67"/>
    <w:rsid w:val="0070091D"/>
    <w:rsid w:val="00702854"/>
    <w:rsid w:val="0071741C"/>
    <w:rsid w:val="00742B90"/>
    <w:rsid w:val="0074434D"/>
    <w:rsid w:val="00771B1E"/>
    <w:rsid w:val="00773C95"/>
    <w:rsid w:val="0078171E"/>
    <w:rsid w:val="00795B34"/>
    <w:rsid w:val="007968B1"/>
    <w:rsid w:val="007A28AF"/>
    <w:rsid w:val="007B1770"/>
    <w:rsid w:val="007B4D3E"/>
    <w:rsid w:val="007B7C70"/>
    <w:rsid w:val="007D2151"/>
    <w:rsid w:val="007D2C6B"/>
    <w:rsid w:val="007D42CC"/>
    <w:rsid w:val="007D5DE4"/>
    <w:rsid w:val="007E0777"/>
    <w:rsid w:val="007E1341"/>
    <w:rsid w:val="007E1B41"/>
    <w:rsid w:val="007E30B9"/>
    <w:rsid w:val="007E507F"/>
    <w:rsid w:val="007E74F1"/>
    <w:rsid w:val="007F0F0C"/>
    <w:rsid w:val="007F1288"/>
    <w:rsid w:val="00800A8A"/>
    <w:rsid w:val="0080155C"/>
    <w:rsid w:val="008052E1"/>
    <w:rsid w:val="00822F2C"/>
    <w:rsid w:val="008305E8"/>
    <w:rsid w:val="00831E1C"/>
    <w:rsid w:val="00845A91"/>
    <w:rsid w:val="00860826"/>
    <w:rsid w:val="00860E21"/>
    <w:rsid w:val="00863117"/>
    <w:rsid w:val="0086388B"/>
    <w:rsid w:val="008642E5"/>
    <w:rsid w:val="008672AB"/>
    <w:rsid w:val="00872D93"/>
    <w:rsid w:val="00880470"/>
    <w:rsid w:val="00880D94"/>
    <w:rsid w:val="008924DE"/>
    <w:rsid w:val="008A3755"/>
    <w:rsid w:val="008B264F"/>
    <w:rsid w:val="008B3BFD"/>
    <w:rsid w:val="008B6F83"/>
    <w:rsid w:val="008B7FD8"/>
    <w:rsid w:val="008C2973"/>
    <w:rsid w:val="008C64C4"/>
    <w:rsid w:val="008D0FC7"/>
    <w:rsid w:val="008D3479"/>
    <w:rsid w:val="008D5FF2"/>
    <w:rsid w:val="008D74D5"/>
    <w:rsid w:val="008F29BE"/>
    <w:rsid w:val="008F4087"/>
    <w:rsid w:val="008F4AE5"/>
    <w:rsid w:val="008F51EB"/>
    <w:rsid w:val="00900197"/>
    <w:rsid w:val="00902F55"/>
    <w:rsid w:val="0090582B"/>
    <w:rsid w:val="009060C0"/>
    <w:rsid w:val="009133F5"/>
    <w:rsid w:val="00920A27"/>
    <w:rsid w:val="00921216"/>
    <w:rsid w:val="009216CC"/>
    <w:rsid w:val="00932D69"/>
    <w:rsid w:val="00944647"/>
    <w:rsid w:val="00961DB7"/>
    <w:rsid w:val="00977B8A"/>
    <w:rsid w:val="0098284D"/>
    <w:rsid w:val="00982971"/>
    <w:rsid w:val="009845AD"/>
    <w:rsid w:val="00995BA0"/>
    <w:rsid w:val="009A418B"/>
    <w:rsid w:val="009A4473"/>
    <w:rsid w:val="009C151C"/>
    <w:rsid w:val="009D5125"/>
    <w:rsid w:val="009D60B8"/>
    <w:rsid w:val="009D7D4B"/>
    <w:rsid w:val="009E084D"/>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3B3F"/>
    <w:rsid w:val="00A553CE"/>
    <w:rsid w:val="00A5677A"/>
    <w:rsid w:val="00A57051"/>
    <w:rsid w:val="00A6490D"/>
    <w:rsid w:val="00A7111C"/>
    <w:rsid w:val="00A71DCC"/>
    <w:rsid w:val="00A80363"/>
    <w:rsid w:val="00A9169D"/>
    <w:rsid w:val="00A96290"/>
    <w:rsid w:val="00AA240C"/>
    <w:rsid w:val="00AC101C"/>
    <w:rsid w:val="00AD4CF1"/>
    <w:rsid w:val="00AD5988"/>
    <w:rsid w:val="00AF7800"/>
    <w:rsid w:val="00B072E0"/>
    <w:rsid w:val="00B253F6"/>
    <w:rsid w:val="00B305DB"/>
    <w:rsid w:val="00B324FB"/>
    <w:rsid w:val="00B332F8"/>
    <w:rsid w:val="00B3492B"/>
    <w:rsid w:val="00B4646F"/>
    <w:rsid w:val="00B54E5A"/>
    <w:rsid w:val="00B55C7D"/>
    <w:rsid w:val="00B63038"/>
    <w:rsid w:val="00B64BD8"/>
    <w:rsid w:val="00B701D1"/>
    <w:rsid w:val="00B73AF2"/>
    <w:rsid w:val="00B7551A"/>
    <w:rsid w:val="00BA14B3"/>
    <w:rsid w:val="00BC08D9"/>
    <w:rsid w:val="00BC4823"/>
    <w:rsid w:val="00BC59F1"/>
    <w:rsid w:val="00BD4CEB"/>
    <w:rsid w:val="00BE6A52"/>
    <w:rsid w:val="00BE6CA5"/>
    <w:rsid w:val="00BF3DE1"/>
    <w:rsid w:val="00BF4843"/>
    <w:rsid w:val="00BF5205"/>
    <w:rsid w:val="00C00FE3"/>
    <w:rsid w:val="00C12508"/>
    <w:rsid w:val="00C17175"/>
    <w:rsid w:val="00C44449"/>
    <w:rsid w:val="00C45AA2"/>
    <w:rsid w:val="00C66296"/>
    <w:rsid w:val="00C67180"/>
    <w:rsid w:val="00C77282"/>
    <w:rsid w:val="00C84DE5"/>
    <w:rsid w:val="00C86248"/>
    <w:rsid w:val="00CA4C33"/>
    <w:rsid w:val="00CA6F4A"/>
    <w:rsid w:val="00CD15C4"/>
    <w:rsid w:val="00CD2119"/>
    <w:rsid w:val="00CD237A"/>
    <w:rsid w:val="00CD36AC"/>
    <w:rsid w:val="00CF1747"/>
    <w:rsid w:val="00CF2A7A"/>
    <w:rsid w:val="00CF519B"/>
    <w:rsid w:val="00D2207C"/>
    <w:rsid w:val="00D23323"/>
    <w:rsid w:val="00D2392A"/>
    <w:rsid w:val="00D24919"/>
    <w:rsid w:val="00D25FFE"/>
    <w:rsid w:val="00D3018B"/>
    <w:rsid w:val="00D4476F"/>
    <w:rsid w:val="00D54D50"/>
    <w:rsid w:val="00D66797"/>
    <w:rsid w:val="00D7087C"/>
    <w:rsid w:val="00D70C3C"/>
    <w:rsid w:val="00D72BE5"/>
    <w:rsid w:val="00D82F26"/>
    <w:rsid w:val="00D863D0"/>
    <w:rsid w:val="00D87C87"/>
    <w:rsid w:val="00D93430"/>
    <w:rsid w:val="00D951A4"/>
    <w:rsid w:val="00DB39CF"/>
    <w:rsid w:val="00DD38BE"/>
    <w:rsid w:val="00DD447A"/>
    <w:rsid w:val="00DD54F0"/>
    <w:rsid w:val="00DE3B20"/>
    <w:rsid w:val="00DE6C94"/>
    <w:rsid w:val="00DE6FD7"/>
    <w:rsid w:val="00DF6260"/>
    <w:rsid w:val="00E2120D"/>
    <w:rsid w:val="00E23271"/>
    <w:rsid w:val="00E24F80"/>
    <w:rsid w:val="00E259F3"/>
    <w:rsid w:val="00E33238"/>
    <w:rsid w:val="00E4486C"/>
    <w:rsid w:val="00E460B6"/>
    <w:rsid w:val="00E511D5"/>
    <w:rsid w:val="00E60249"/>
    <w:rsid w:val="00E65269"/>
    <w:rsid w:val="00E76D66"/>
    <w:rsid w:val="00EA796A"/>
    <w:rsid w:val="00EB1856"/>
    <w:rsid w:val="00EC50CE"/>
    <w:rsid w:val="00EC5B34"/>
    <w:rsid w:val="00ED619E"/>
    <w:rsid w:val="00EE4ADE"/>
    <w:rsid w:val="00EE5CB7"/>
    <w:rsid w:val="00F024FE"/>
    <w:rsid w:val="00F05AD4"/>
    <w:rsid w:val="00F07986"/>
    <w:rsid w:val="00F25970"/>
    <w:rsid w:val="00F455A1"/>
    <w:rsid w:val="00F5180D"/>
    <w:rsid w:val="00F540C4"/>
    <w:rsid w:val="00F67496"/>
    <w:rsid w:val="00F801BA"/>
    <w:rsid w:val="00F9366A"/>
    <w:rsid w:val="00F946C9"/>
    <w:rsid w:val="00FA10DF"/>
    <w:rsid w:val="00FA74EE"/>
    <w:rsid w:val="00FC3711"/>
    <w:rsid w:val="00FC46E7"/>
    <w:rsid w:val="00FC5D25"/>
    <w:rsid w:val="00FD02A6"/>
    <w:rsid w:val="00FD0D7E"/>
    <w:rsid w:val="00FE6E13"/>
    <w:rsid w:val="00FF15F6"/>
    <w:rsid w:val="00FF527C"/>
    <w:rsid w:val="00FF646B"/>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rsid w:val="00BA14B3"/>
    <w:rPr>
      <w:rFonts w:ascii="Georgia" w:hAnsi="Georgia"/>
      <w:b/>
      <w:sz w:val="22"/>
      <w:lang w:eastAsia="en-GB"/>
    </w:rPr>
  </w:style>
  <w:style w:type="character" w:customStyle="1" w:styleId="Heading5Char">
    <w:name w:val="Heading 5 Char"/>
    <w:link w:val="Heading5"/>
    <w:rsid w:val="00BA14B3"/>
    <w:rPr>
      <w:rFonts w:ascii="Georgia" w:hAnsi="Georgia"/>
      <w:sz w:val="22"/>
      <w:u w:val="single"/>
      <w:lang w:eastAsia="en-GB"/>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DD54F0"/>
    <w:pPr>
      <w:tabs>
        <w:tab w:val="right" w:pos="9356"/>
      </w:tabs>
      <w:spacing w:before="9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BA14B3"/>
    <w:rPr>
      <w:rFonts w:ascii="Georgia" w:hAnsi="Georgia"/>
      <w:sz w:val="22"/>
      <w:lang w:eastAsia="en-GB"/>
    </w:r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CD237A"/>
    <w:pPr>
      <w:pBdr>
        <w:bottom w:val="single" w:sz="48" w:space="6" w:color="auto"/>
      </w:pBdr>
      <w:ind w:right="1701"/>
    </w:pPr>
    <w:rPr>
      <w:b/>
      <w:sz w:val="80"/>
    </w:rPr>
  </w:style>
  <w:style w:type="character" w:customStyle="1" w:styleId="TitleChar">
    <w:name w:val="Title Char"/>
    <w:link w:val="Title"/>
    <w:rsid w:val="00BA14B3"/>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Year">
    <w:name w:val="Year"/>
    <w:basedOn w:val="Subhead"/>
    <w:next w:val="Subhead"/>
    <w:qFormat/>
    <w:rsid w:val="00BA14B3"/>
    <w:pPr>
      <w:pBdr>
        <w:bottom w:val="single" w:sz="48" w:space="6" w:color="auto"/>
      </w:pBdr>
    </w:pPr>
    <w:rPr>
      <w:sz w:val="56"/>
    </w:rPr>
  </w:style>
  <w:style w:type="character" w:customStyle="1" w:styleId="BalloonTextChar">
    <w:name w:val="Balloon Text Char"/>
    <w:basedOn w:val="DefaultParagraphFont"/>
    <w:link w:val="BalloonText"/>
    <w:uiPriority w:val="99"/>
    <w:semiHidden/>
    <w:rsid w:val="00BA14B3"/>
    <w:rPr>
      <w:rFonts w:ascii="Tahoma" w:hAnsi="Tahoma" w:cs="Tahoma"/>
      <w:sz w:val="16"/>
      <w:szCs w:val="16"/>
      <w:lang w:eastAsia="en-GB"/>
    </w:rPr>
  </w:style>
  <w:style w:type="paragraph" w:styleId="BalloonText">
    <w:name w:val="Balloon Text"/>
    <w:basedOn w:val="Normal"/>
    <w:link w:val="BalloonTextChar"/>
    <w:uiPriority w:val="99"/>
    <w:semiHidden/>
    <w:unhideWhenUsed/>
    <w:rsid w:val="00BA14B3"/>
    <w:pPr>
      <w:spacing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BA14B3"/>
    <w:rPr>
      <w:rFonts w:ascii="Georgia" w:hAnsi="Georgia"/>
      <w:lang w:eastAsia="en-GB"/>
    </w:rPr>
  </w:style>
  <w:style w:type="paragraph" w:styleId="CommentText">
    <w:name w:val="annotation text"/>
    <w:basedOn w:val="Normal"/>
    <w:link w:val="CommentTextChar"/>
    <w:uiPriority w:val="99"/>
    <w:semiHidden/>
    <w:unhideWhenUsed/>
    <w:rsid w:val="00BA14B3"/>
    <w:pPr>
      <w:spacing w:line="240" w:lineRule="auto"/>
    </w:pPr>
    <w:rPr>
      <w:sz w:val="20"/>
    </w:rPr>
  </w:style>
  <w:style w:type="character" w:customStyle="1" w:styleId="CommentSubjectChar">
    <w:name w:val="Comment Subject Char"/>
    <w:basedOn w:val="CommentTextChar"/>
    <w:link w:val="CommentSubject"/>
    <w:uiPriority w:val="99"/>
    <w:semiHidden/>
    <w:rsid w:val="00BA14B3"/>
    <w:rPr>
      <w:rFonts w:ascii="Georgia" w:hAnsi="Georgia"/>
      <w:b/>
      <w:bCs/>
      <w:lang w:eastAsia="en-GB"/>
    </w:rPr>
  </w:style>
  <w:style w:type="paragraph" w:styleId="CommentSubject">
    <w:name w:val="annotation subject"/>
    <w:basedOn w:val="CommentText"/>
    <w:next w:val="CommentText"/>
    <w:link w:val="CommentSubjectChar"/>
    <w:uiPriority w:val="99"/>
    <w:semiHidden/>
    <w:unhideWhenUsed/>
    <w:rsid w:val="00BA14B3"/>
    <w:rPr>
      <w:b/>
      <w:bCs/>
    </w:rPr>
  </w:style>
  <w:style w:type="paragraph" w:styleId="ListParagraph">
    <w:name w:val="List Paragraph"/>
    <w:basedOn w:val="Normal"/>
    <w:uiPriority w:val="34"/>
    <w:qFormat/>
    <w:rsid w:val="00BA14B3"/>
    <w:pPr>
      <w:ind w:left="720"/>
      <w:contextualSpacing/>
    </w:pPr>
  </w:style>
  <w:style w:type="character" w:styleId="CommentReference">
    <w:name w:val="annotation reference"/>
    <w:basedOn w:val="DefaultParagraphFont"/>
    <w:uiPriority w:val="99"/>
    <w:semiHidden/>
    <w:unhideWhenUsed/>
    <w:rsid w:val="006641D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rsid w:val="00BA14B3"/>
    <w:rPr>
      <w:rFonts w:ascii="Georgia" w:hAnsi="Georgia"/>
      <w:b/>
      <w:sz w:val="22"/>
      <w:lang w:eastAsia="en-GB"/>
    </w:rPr>
  </w:style>
  <w:style w:type="character" w:customStyle="1" w:styleId="Heading5Char">
    <w:name w:val="Heading 5 Char"/>
    <w:link w:val="Heading5"/>
    <w:rsid w:val="00BA14B3"/>
    <w:rPr>
      <w:rFonts w:ascii="Georgia" w:hAnsi="Georgia"/>
      <w:sz w:val="22"/>
      <w:u w:val="single"/>
      <w:lang w:eastAsia="en-GB"/>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DD54F0"/>
    <w:pPr>
      <w:tabs>
        <w:tab w:val="right" w:pos="9356"/>
      </w:tabs>
      <w:spacing w:before="9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BA14B3"/>
    <w:rPr>
      <w:rFonts w:ascii="Georgia" w:hAnsi="Georgia"/>
      <w:sz w:val="22"/>
      <w:lang w:eastAsia="en-GB"/>
    </w:r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CD237A"/>
    <w:pPr>
      <w:pBdr>
        <w:bottom w:val="single" w:sz="48" w:space="6" w:color="auto"/>
      </w:pBdr>
      <w:ind w:right="1701"/>
    </w:pPr>
    <w:rPr>
      <w:b/>
      <w:sz w:val="80"/>
    </w:rPr>
  </w:style>
  <w:style w:type="character" w:customStyle="1" w:styleId="TitleChar">
    <w:name w:val="Title Char"/>
    <w:link w:val="Title"/>
    <w:rsid w:val="00BA14B3"/>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Year">
    <w:name w:val="Year"/>
    <w:basedOn w:val="Subhead"/>
    <w:next w:val="Subhead"/>
    <w:qFormat/>
    <w:rsid w:val="00BA14B3"/>
    <w:pPr>
      <w:pBdr>
        <w:bottom w:val="single" w:sz="48" w:space="6" w:color="auto"/>
      </w:pBdr>
    </w:pPr>
    <w:rPr>
      <w:sz w:val="56"/>
    </w:rPr>
  </w:style>
  <w:style w:type="character" w:customStyle="1" w:styleId="BalloonTextChar">
    <w:name w:val="Balloon Text Char"/>
    <w:basedOn w:val="DefaultParagraphFont"/>
    <w:link w:val="BalloonText"/>
    <w:uiPriority w:val="99"/>
    <w:semiHidden/>
    <w:rsid w:val="00BA14B3"/>
    <w:rPr>
      <w:rFonts w:ascii="Tahoma" w:hAnsi="Tahoma" w:cs="Tahoma"/>
      <w:sz w:val="16"/>
      <w:szCs w:val="16"/>
      <w:lang w:eastAsia="en-GB"/>
    </w:rPr>
  </w:style>
  <w:style w:type="paragraph" w:styleId="BalloonText">
    <w:name w:val="Balloon Text"/>
    <w:basedOn w:val="Normal"/>
    <w:link w:val="BalloonTextChar"/>
    <w:uiPriority w:val="99"/>
    <w:semiHidden/>
    <w:unhideWhenUsed/>
    <w:rsid w:val="00BA14B3"/>
    <w:pPr>
      <w:spacing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BA14B3"/>
    <w:rPr>
      <w:rFonts w:ascii="Georgia" w:hAnsi="Georgia"/>
      <w:lang w:eastAsia="en-GB"/>
    </w:rPr>
  </w:style>
  <w:style w:type="paragraph" w:styleId="CommentText">
    <w:name w:val="annotation text"/>
    <w:basedOn w:val="Normal"/>
    <w:link w:val="CommentTextChar"/>
    <w:uiPriority w:val="99"/>
    <w:semiHidden/>
    <w:unhideWhenUsed/>
    <w:rsid w:val="00BA14B3"/>
    <w:pPr>
      <w:spacing w:line="240" w:lineRule="auto"/>
    </w:pPr>
    <w:rPr>
      <w:sz w:val="20"/>
    </w:rPr>
  </w:style>
  <w:style w:type="character" w:customStyle="1" w:styleId="CommentSubjectChar">
    <w:name w:val="Comment Subject Char"/>
    <w:basedOn w:val="CommentTextChar"/>
    <w:link w:val="CommentSubject"/>
    <w:uiPriority w:val="99"/>
    <w:semiHidden/>
    <w:rsid w:val="00BA14B3"/>
    <w:rPr>
      <w:rFonts w:ascii="Georgia" w:hAnsi="Georgia"/>
      <w:b/>
      <w:bCs/>
      <w:lang w:eastAsia="en-GB"/>
    </w:rPr>
  </w:style>
  <w:style w:type="paragraph" w:styleId="CommentSubject">
    <w:name w:val="annotation subject"/>
    <w:basedOn w:val="CommentText"/>
    <w:next w:val="CommentText"/>
    <w:link w:val="CommentSubjectChar"/>
    <w:uiPriority w:val="99"/>
    <w:semiHidden/>
    <w:unhideWhenUsed/>
    <w:rsid w:val="00BA14B3"/>
    <w:rPr>
      <w:b/>
      <w:bCs/>
    </w:rPr>
  </w:style>
  <w:style w:type="paragraph" w:styleId="ListParagraph">
    <w:name w:val="List Paragraph"/>
    <w:basedOn w:val="Normal"/>
    <w:uiPriority w:val="34"/>
    <w:qFormat/>
    <w:rsid w:val="00BA14B3"/>
    <w:pPr>
      <w:ind w:left="720"/>
      <w:contextualSpacing/>
    </w:pPr>
  </w:style>
  <w:style w:type="character" w:styleId="CommentReference">
    <w:name w:val="annotation reference"/>
    <w:basedOn w:val="DefaultParagraphFont"/>
    <w:uiPriority w:val="99"/>
    <w:semiHidden/>
    <w:unhideWhenUsed/>
    <w:rsid w:val="006641D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1202">
      <w:bodyDiv w:val="1"/>
      <w:marLeft w:val="0"/>
      <w:marRight w:val="0"/>
      <w:marTop w:val="0"/>
      <w:marBottom w:val="0"/>
      <w:divBdr>
        <w:top w:val="none" w:sz="0" w:space="0" w:color="auto"/>
        <w:left w:val="none" w:sz="0" w:space="0" w:color="auto"/>
        <w:bottom w:val="none" w:sz="0" w:space="0" w:color="auto"/>
        <w:right w:val="none" w:sz="0" w:space="0" w:color="auto"/>
      </w:divBdr>
    </w:div>
    <w:div w:id="47848834">
      <w:bodyDiv w:val="1"/>
      <w:marLeft w:val="0"/>
      <w:marRight w:val="0"/>
      <w:marTop w:val="0"/>
      <w:marBottom w:val="0"/>
      <w:divBdr>
        <w:top w:val="none" w:sz="0" w:space="0" w:color="auto"/>
        <w:left w:val="none" w:sz="0" w:space="0" w:color="auto"/>
        <w:bottom w:val="none" w:sz="0" w:space="0" w:color="auto"/>
        <w:right w:val="none" w:sz="0" w:space="0" w:color="auto"/>
      </w:divBdr>
    </w:div>
    <w:div w:id="249583050">
      <w:bodyDiv w:val="1"/>
      <w:marLeft w:val="0"/>
      <w:marRight w:val="0"/>
      <w:marTop w:val="0"/>
      <w:marBottom w:val="0"/>
      <w:divBdr>
        <w:top w:val="none" w:sz="0" w:space="0" w:color="auto"/>
        <w:left w:val="none" w:sz="0" w:space="0" w:color="auto"/>
        <w:bottom w:val="none" w:sz="0" w:space="0" w:color="auto"/>
        <w:right w:val="none" w:sz="0" w:space="0" w:color="auto"/>
      </w:divBdr>
    </w:div>
    <w:div w:id="283116409">
      <w:bodyDiv w:val="1"/>
      <w:marLeft w:val="0"/>
      <w:marRight w:val="0"/>
      <w:marTop w:val="0"/>
      <w:marBottom w:val="0"/>
      <w:divBdr>
        <w:top w:val="none" w:sz="0" w:space="0" w:color="auto"/>
        <w:left w:val="none" w:sz="0" w:space="0" w:color="auto"/>
        <w:bottom w:val="none" w:sz="0" w:space="0" w:color="auto"/>
        <w:right w:val="none" w:sz="0" w:space="0" w:color="auto"/>
      </w:divBdr>
    </w:div>
    <w:div w:id="316345943">
      <w:bodyDiv w:val="1"/>
      <w:marLeft w:val="0"/>
      <w:marRight w:val="0"/>
      <w:marTop w:val="0"/>
      <w:marBottom w:val="0"/>
      <w:divBdr>
        <w:top w:val="none" w:sz="0" w:space="0" w:color="auto"/>
        <w:left w:val="none" w:sz="0" w:space="0" w:color="auto"/>
        <w:bottom w:val="none" w:sz="0" w:space="0" w:color="auto"/>
        <w:right w:val="none" w:sz="0" w:space="0" w:color="auto"/>
      </w:divBdr>
    </w:div>
    <w:div w:id="324742838">
      <w:bodyDiv w:val="1"/>
      <w:marLeft w:val="0"/>
      <w:marRight w:val="0"/>
      <w:marTop w:val="0"/>
      <w:marBottom w:val="0"/>
      <w:divBdr>
        <w:top w:val="none" w:sz="0" w:space="0" w:color="auto"/>
        <w:left w:val="none" w:sz="0" w:space="0" w:color="auto"/>
        <w:bottom w:val="none" w:sz="0" w:space="0" w:color="auto"/>
        <w:right w:val="none" w:sz="0" w:space="0" w:color="auto"/>
      </w:divBdr>
    </w:div>
    <w:div w:id="351881629">
      <w:bodyDiv w:val="1"/>
      <w:marLeft w:val="0"/>
      <w:marRight w:val="0"/>
      <w:marTop w:val="0"/>
      <w:marBottom w:val="0"/>
      <w:divBdr>
        <w:top w:val="none" w:sz="0" w:space="0" w:color="auto"/>
        <w:left w:val="none" w:sz="0" w:space="0" w:color="auto"/>
        <w:bottom w:val="none" w:sz="0" w:space="0" w:color="auto"/>
        <w:right w:val="none" w:sz="0" w:space="0" w:color="auto"/>
      </w:divBdr>
    </w:div>
    <w:div w:id="417411326">
      <w:bodyDiv w:val="1"/>
      <w:marLeft w:val="0"/>
      <w:marRight w:val="0"/>
      <w:marTop w:val="0"/>
      <w:marBottom w:val="0"/>
      <w:divBdr>
        <w:top w:val="none" w:sz="0" w:space="0" w:color="auto"/>
        <w:left w:val="none" w:sz="0" w:space="0" w:color="auto"/>
        <w:bottom w:val="none" w:sz="0" w:space="0" w:color="auto"/>
        <w:right w:val="none" w:sz="0" w:space="0" w:color="auto"/>
      </w:divBdr>
    </w:div>
    <w:div w:id="466751719">
      <w:bodyDiv w:val="1"/>
      <w:marLeft w:val="0"/>
      <w:marRight w:val="0"/>
      <w:marTop w:val="0"/>
      <w:marBottom w:val="0"/>
      <w:divBdr>
        <w:top w:val="none" w:sz="0" w:space="0" w:color="auto"/>
        <w:left w:val="none" w:sz="0" w:space="0" w:color="auto"/>
        <w:bottom w:val="none" w:sz="0" w:space="0" w:color="auto"/>
        <w:right w:val="none" w:sz="0" w:space="0" w:color="auto"/>
      </w:divBdr>
    </w:div>
    <w:div w:id="469786593">
      <w:bodyDiv w:val="1"/>
      <w:marLeft w:val="0"/>
      <w:marRight w:val="0"/>
      <w:marTop w:val="0"/>
      <w:marBottom w:val="0"/>
      <w:divBdr>
        <w:top w:val="none" w:sz="0" w:space="0" w:color="auto"/>
        <w:left w:val="none" w:sz="0" w:space="0" w:color="auto"/>
        <w:bottom w:val="none" w:sz="0" w:space="0" w:color="auto"/>
        <w:right w:val="none" w:sz="0" w:space="0" w:color="auto"/>
      </w:divBdr>
    </w:div>
    <w:div w:id="480925417">
      <w:bodyDiv w:val="1"/>
      <w:marLeft w:val="0"/>
      <w:marRight w:val="0"/>
      <w:marTop w:val="0"/>
      <w:marBottom w:val="0"/>
      <w:divBdr>
        <w:top w:val="none" w:sz="0" w:space="0" w:color="auto"/>
        <w:left w:val="none" w:sz="0" w:space="0" w:color="auto"/>
        <w:bottom w:val="none" w:sz="0" w:space="0" w:color="auto"/>
        <w:right w:val="none" w:sz="0" w:space="0" w:color="auto"/>
      </w:divBdr>
    </w:div>
    <w:div w:id="513230499">
      <w:bodyDiv w:val="1"/>
      <w:marLeft w:val="0"/>
      <w:marRight w:val="0"/>
      <w:marTop w:val="0"/>
      <w:marBottom w:val="0"/>
      <w:divBdr>
        <w:top w:val="none" w:sz="0" w:space="0" w:color="auto"/>
        <w:left w:val="none" w:sz="0" w:space="0" w:color="auto"/>
        <w:bottom w:val="none" w:sz="0" w:space="0" w:color="auto"/>
        <w:right w:val="none" w:sz="0" w:space="0" w:color="auto"/>
      </w:divBdr>
    </w:div>
    <w:div w:id="514075606">
      <w:bodyDiv w:val="1"/>
      <w:marLeft w:val="0"/>
      <w:marRight w:val="0"/>
      <w:marTop w:val="0"/>
      <w:marBottom w:val="0"/>
      <w:divBdr>
        <w:top w:val="none" w:sz="0" w:space="0" w:color="auto"/>
        <w:left w:val="none" w:sz="0" w:space="0" w:color="auto"/>
        <w:bottom w:val="none" w:sz="0" w:space="0" w:color="auto"/>
        <w:right w:val="none" w:sz="0" w:space="0" w:color="auto"/>
      </w:divBdr>
    </w:div>
    <w:div w:id="552347793">
      <w:bodyDiv w:val="1"/>
      <w:marLeft w:val="0"/>
      <w:marRight w:val="0"/>
      <w:marTop w:val="0"/>
      <w:marBottom w:val="0"/>
      <w:divBdr>
        <w:top w:val="none" w:sz="0" w:space="0" w:color="auto"/>
        <w:left w:val="none" w:sz="0" w:space="0" w:color="auto"/>
        <w:bottom w:val="none" w:sz="0" w:space="0" w:color="auto"/>
        <w:right w:val="none" w:sz="0" w:space="0" w:color="auto"/>
      </w:divBdr>
    </w:div>
    <w:div w:id="594634967">
      <w:bodyDiv w:val="1"/>
      <w:marLeft w:val="0"/>
      <w:marRight w:val="0"/>
      <w:marTop w:val="0"/>
      <w:marBottom w:val="0"/>
      <w:divBdr>
        <w:top w:val="none" w:sz="0" w:space="0" w:color="auto"/>
        <w:left w:val="none" w:sz="0" w:space="0" w:color="auto"/>
        <w:bottom w:val="none" w:sz="0" w:space="0" w:color="auto"/>
        <w:right w:val="none" w:sz="0" w:space="0" w:color="auto"/>
      </w:divBdr>
    </w:div>
    <w:div w:id="726420031">
      <w:bodyDiv w:val="1"/>
      <w:marLeft w:val="0"/>
      <w:marRight w:val="0"/>
      <w:marTop w:val="0"/>
      <w:marBottom w:val="0"/>
      <w:divBdr>
        <w:top w:val="none" w:sz="0" w:space="0" w:color="auto"/>
        <w:left w:val="none" w:sz="0" w:space="0" w:color="auto"/>
        <w:bottom w:val="none" w:sz="0" w:space="0" w:color="auto"/>
        <w:right w:val="none" w:sz="0" w:space="0" w:color="auto"/>
      </w:divBdr>
    </w:div>
    <w:div w:id="925073238">
      <w:bodyDiv w:val="1"/>
      <w:marLeft w:val="0"/>
      <w:marRight w:val="0"/>
      <w:marTop w:val="0"/>
      <w:marBottom w:val="0"/>
      <w:divBdr>
        <w:top w:val="none" w:sz="0" w:space="0" w:color="auto"/>
        <w:left w:val="none" w:sz="0" w:space="0" w:color="auto"/>
        <w:bottom w:val="none" w:sz="0" w:space="0" w:color="auto"/>
        <w:right w:val="none" w:sz="0" w:space="0" w:color="auto"/>
      </w:divBdr>
    </w:div>
    <w:div w:id="984433277">
      <w:bodyDiv w:val="1"/>
      <w:marLeft w:val="0"/>
      <w:marRight w:val="0"/>
      <w:marTop w:val="0"/>
      <w:marBottom w:val="0"/>
      <w:divBdr>
        <w:top w:val="none" w:sz="0" w:space="0" w:color="auto"/>
        <w:left w:val="none" w:sz="0" w:space="0" w:color="auto"/>
        <w:bottom w:val="none" w:sz="0" w:space="0" w:color="auto"/>
        <w:right w:val="none" w:sz="0" w:space="0" w:color="auto"/>
      </w:divBdr>
    </w:div>
    <w:div w:id="1009600342">
      <w:bodyDiv w:val="1"/>
      <w:marLeft w:val="0"/>
      <w:marRight w:val="0"/>
      <w:marTop w:val="0"/>
      <w:marBottom w:val="0"/>
      <w:divBdr>
        <w:top w:val="none" w:sz="0" w:space="0" w:color="auto"/>
        <w:left w:val="none" w:sz="0" w:space="0" w:color="auto"/>
        <w:bottom w:val="none" w:sz="0" w:space="0" w:color="auto"/>
        <w:right w:val="none" w:sz="0" w:space="0" w:color="auto"/>
      </w:divBdr>
    </w:div>
    <w:div w:id="1090420640">
      <w:bodyDiv w:val="1"/>
      <w:marLeft w:val="0"/>
      <w:marRight w:val="0"/>
      <w:marTop w:val="0"/>
      <w:marBottom w:val="0"/>
      <w:divBdr>
        <w:top w:val="none" w:sz="0" w:space="0" w:color="auto"/>
        <w:left w:val="none" w:sz="0" w:space="0" w:color="auto"/>
        <w:bottom w:val="none" w:sz="0" w:space="0" w:color="auto"/>
        <w:right w:val="none" w:sz="0" w:space="0" w:color="auto"/>
      </w:divBdr>
    </w:div>
    <w:div w:id="1101682135">
      <w:bodyDiv w:val="1"/>
      <w:marLeft w:val="0"/>
      <w:marRight w:val="0"/>
      <w:marTop w:val="0"/>
      <w:marBottom w:val="0"/>
      <w:divBdr>
        <w:top w:val="none" w:sz="0" w:space="0" w:color="auto"/>
        <w:left w:val="none" w:sz="0" w:space="0" w:color="auto"/>
        <w:bottom w:val="none" w:sz="0" w:space="0" w:color="auto"/>
        <w:right w:val="none" w:sz="0" w:space="0" w:color="auto"/>
      </w:divBdr>
    </w:div>
    <w:div w:id="1141582466">
      <w:bodyDiv w:val="1"/>
      <w:marLeft w:val="0"/>
      <w:marRight w:val="0"/>
      <w:marTop w:val="0"/>
      <w:marBottom w:val="0"/>
      <w:divBdr>
        <w:top w:val="none" w:sz="0" w:space="0" w:color="auto"/>
        <w:left w:val="none" w:sz="0" w:space="0" w:color="auto"/>
        <w:bottom w:val="none" w:sz="0" w:space="0" w:color="auto"/>
        <w:right w:val="none" w:sz="0" w:space="0" w:color="auto"/>
      </w:divBdr>
    </w:div>
    <w:div w:id="1166021210">
      <w:bodyDiv w:val="1"/>
      <w:marLeft w:val="0"/>
      <w:marRight w:val="0"/>
      <w:marTop w:val="0"/>
      <w:marBottom w:val="0"/>
      <w:divBdr>
        <w:top w:val="none" w:sz="0" w:space="0" w:color="auto"/>
        <w:left w:val="none" w:sz="0" w:space="0" w:color="auto"/>
        <w:bottom w:val="none" w:sz="0" w:space="0" w:color="auto"/>
        <w:right w:val="none" w:sz="0" w:space="0" w:color="auto"/>
      </w:divBdr>
    </w:div>
    <w:div w:id="1232539816">
      <w:bodyDiv w:val="1"/>
      <w:marLeft w:val="0"/>
      <w:marRight w:val="0"/>
      <w:marTop w:val="0"/>
      <w:marBottom w:val="0"/>
      <w:divBdr>
        <w:top w:val="none" w:sz="0" w:space="0" w:color="auto"/>
        <w:left w:val="none" w:sz="0" w:space="0" w:color="auto"/>
        <w:bottom w:val="none" w:sz="0" w:space="0" w:color="auto"/>
        <w:right w:val="none" w:sz="0" w:space="0" w:color="auto"/>
      </w:divBdr>
    </w:div>
    <w:div w:id="1282226160">
      <w:bodyDiv w:val="1"/>
      <w:marLeft w:val="0"/>
      <w:marRight w:val="0"/>
      <w:marTop w:val="0"/>
      <w:marBottom w:val="0"/>
      <w:divBdr>
        <w:top w:val="none" w:sz="0" w:space="0" w:color="auto"/>
        <w:left w:val="none" w:sz="0" w:space="0" w:color="auto"/>
        <w:bottom w:val="none" w:sz="0" w:space="0" w:color="auto"/>
        <w:right w:val="none" w:sz="0" w:space="0" w:color="auto"/>
      </w:divBdr>
    </w:div>
    <w:div w:id="1375814594">
      <w:bodyDiv w:val="1"/>
      <w:marLeft w:val="0"/>
      <w:marRight w:val="0"/>
      <w:marTop w:val="0"/>
      <w:marBottom w:val="0"/>
      <w:divBdr>
        <w:top w:val="none" w:sz="0" w:space="0" w:color="auto"/>
        <w:left w:val="none" w:sz="0" w:space="0" w:color="auto"/>
        <w:bottom w:val="none" w:sz="0" w:space="0" w:color="auto"/>
        <w:right w:val="none" w:sz="0" w:space="0" w:color="auto"/>
      </w:divBdr>
    </w:div>
    <w:div w:id="1408652884">
      <w:bodyDiv w:val="1"/>
      <w:marLeft w:val="0"/>
      <w:marRight w:val="0"/>
      <w:marTop w:val="0"/>
      <w:marBottom w:val="0"/>
      <w:divBdr>
        <w:top w:val="none" w:sz="0" w:space="0" w:color="auto"/>
        <w:left w:val="none" w:sz="0" w:space="0" w:color="auto"/>
        <w:bottom w:val="none" w:sz="0" w:space="0" w:color="auto"/>
        <w:right w:val="none" w:sz="0" w:space="0" w:color="auto"/>
      </w:divBdr>
    </w:div>
    <w:div w:id="1473793296">
      <w:bodyDiv w:val="1"/>
      <w:marLeft w:val="0"/>
      <w:marRight w:val="0"/>
      <w:marTop w:val="0"/>
      <w:marBottom w:val="0"/>
      <w:divBdr>
        <w:top w:val="none" w:sz="0" w:space="0" w:color="auto"/>
        <w:left w:val="none" w:sz="0" w:space="0" w:color="auto"/>
        <w:bottom w:val="none" w:sz="0" w:space="0" w:color="auto"/>
        <w:right w:val="none" w:sz="0" w:space="0" w:color="auto"/>
      </w:divBdr>
    </w:div>
    <w:div w:id="1506165543">
      <w:bodyDiv w:val="1"/>
      <w:marLeft w:val="0"/>
      <w:marRight w:val="0"/>
      <w:marTop w:val="0"/>
      <w:marBottom w:val="0"/>
      <w:divBdr>
        <w:top w:val="none" w:sz="0" w:space="0" w:color="auto"/>
        <w:left w:val="none" w:sz="0" w:space="0" w:color="auto"/>
        <w:bottom w:val="none" w:sz="0" w:space="0" w:color="auto"/>
        <w:right w:val="none" w:sz="0" w:space="0" w:color="auto"/>
      </w:divBdr>
    </w:div>
    <w:div w:id="1573809642">
      <w:bodyDiv w:val="1"/>
      <w:marLeft w:val="0"/>
      <w:marRight w:val="0"/>
      <w:marTop w:val="0"/>
      <w:marBottom w:val="0"/>
      <w:divBdr>
        <w:top w:val="none" w:sz="0" w:space="0" w:color="auto"/>
        <w:left w:val="none" w:sz="0" w:space="0" w:color="auto"/>
        <w:bottom w:val="none" w:sz="0" w:space="0" w:color="auto"/>
        <w:right w:val="none" w:sz="0" w:space="0" w:color="auto"/>
      </w:divBdr>
    </w:div>
    <w:div w:id="1574505434">
      <w:bodyDiv w:val="1"/>
      <w:marLeft w:val="0"/>
      <w:marRight w:val="0"/>
      <w:marTop w:val="0"/>
      <w:marBottom w:val="0"/>
      <w:divBdr>
        <w:top w:val="none" w:sz="0" w:space="0" w:color="auto"/>
        <w:left w:val="none" w:sz="0" w:space="0" w:color="auto"/>
        <w:bottom w:val="none" w:sz="0" w:space="0" w:color="auto"/>
        <w:right w:val="none" w:sz="0" w:space="0" w:color="auto"/>
      </w:divBdr>
    </w:div>
    <w:div w:id="1662847498">
      <w:bodyDiv w:val="1"/>
      <w:marLeft w:val="0"/>
      <w:marRight w:val="0"/>
      <w:marTop w:val="0"/>
      <w:marBottom w:val="0"/>
      <w:divBdr>
        <w:top w:val="none" w:sz="0" w:space="0" w:color="auto"/>
        <w:left w:val="none" w:sz="0" w:space="0" w:color="auto"/>
        <w:bottom w:val="none" w:sz="0" w:space="0" w:color="auto"/>
        <w:right w:val="none" w:sz="0" w:space="0" w:color="auto"/>
      </w:divBdr>
    </w:div>
    <w:div w:id="1664814598">
      <w:bodyDiv w:val="1"/>
      <w:marLeft w:val="0"/>
      <w:marRight w:val="0"/>
      <w:marTop w:val="0"/>
      <w:marBottom w:val="0"/>
      <w:divBdr>
        <w:top w:val="none" w:sz="0" w:space="0" w:color="auto"/>
        <w:left w:val="none" w:sz="0" w:space="0" w:color="auto"/>
        <w:bottom w:val="none" w:sz="0" w:space="0" w:color="auto"/>
        <w:right w:val="none" w:sz="0" w:space="0" w:color="auto"/>
      </w:divBdr>
    </w:div>
    <w:div w:id="1742408140">
      <w:bodyDiv w:val="1"/>
      <w:marLeft w:val="0"/>
      <w:marRight w:val="0"/>
      <w:marTop w:val="0"/>
      <w:marBottom w:val="0"/>
      <w:divBdr>
        <w:top w:val="none" w:sz="0" w:space="0" w:color="auto"/>
        <w:left w:val="none" w:sz="0" w:space="0" w:color="auto"/>
        <w:bottom w:val="none" w:sz="0" w:space="0" w:color="auto"/>
        <w:right w:val="none" w:sz="0" w:space="0" w:color="auto"/>
      </w:divBdr>
    </w:div>
    <w:div w:id="1788233103">
      <w:bodyDiv w:val="1"/>
      <w:marLeft w:val="0"/>
      <w:marRight w:val="0"/>
      <w:marTop w:val="0"/>
      <w:marBottom w:val="0"/>
      <w:divBdr>
        <w:top w:val="none" w:sz="0" w:space="0" w:color="auto"/>
        <w:left w:val="none" w:sz="0" w:space="0" w:color="auto"/>
        <w:bottom w:val="none" w:sz="0" w:space="0" w:color="auto"/>
        <w:right w:val="none" w:sz="0" w:space="0" w:color="auto"/>
      </w:divBdr>
    </w:div>
    <w:div w:id="1865627258">
      <w:bodyDiv w:val="1"/>
      <w:marLeft w:val="0"/>
      <w:marRight w:val="0"/>
      <w:marTop w:val="0"/>
      <w:marBottom w:val="0"/>
      <w:divBdr>
        <w:top w:val="none" w:sz="0" w:space="0" w:color="auto"/>
        <w:left w:val="none" w:sz="0" w:space="0" w:color="auto"/>
        <w:bottom w:val="none" w:sz="0" w:space="0" w:color="auto"/>
        <w:right w:val="none" w:sz="0" w:space="0" w:color="auto"/>
      </w:divBdr>
    </w:div>
    <w:div w:id="1878159082">
      <w:bodyDiv w:val="1"/>
      <w:marLeft w:val="0"/>
      <w:marRight w:val="0"/>
      <w:marTop w:val="0"/>
      <w:marBottom w:val="0"/>
      <w:divBdr>
        <w:top w:val="none" w:sz="0" w:space="0" w:color="auto"/>
        <w:left w:val="none" w:sz="0" w:space="0" w:color="auto"/>
        <w:bottom w:val="none" w:sz="0" w:space="0" w:color="auto"/>
        <w:right w:val="none" w:sz="0" w:space="0" w:color="auto"/>
      </w:divBdr>
    </w:div>
    <w:div w:id="1912346239">
      <w:bodyDiv w:val="1"/>
      <w:marLeft w:val="0"/>
      <w:marRight w:val="0"/>
      <w:marTop w:val="0"/>
      <w:marBottom w:val="0"/>
      <w:divBdr>
        <w:top w:val="none" w:sz="0" w:space="0" w:color="auto"/>
        <w:left w:val="none" w:sz="0" w:space="0" w:color="auto"/>
        <w:bottom w:val="none" w:sz="0" w:space="0" w:color="auto"/>
        <w:right w:val="none" w:sz="0" w:space="0" w:color="auto"/>
      </w:divBdr>
    </w:div>
    <w:div w:id="2009288813">
      <w:bodyDiv w:val="1"/>
      <w:marLeft w:val="0"/>
      <w:marRight w:val="0"/>
      <w:marTop w:val="0"/>
      <w:marBottom w:val="0"/>
      <w:divBdr>
        <w:top w:val="none" w:sz="0" w:space="0" w:color="auto"/>
        <w:left w:val="none" w:sz="0" w:space="0" w:color="auto"/>
        <w:bottom w:val="none" w:sz="0" w:space="0" w:color="auto"/>
        <w:right w:val="none" w:sz="0" w:space="0" w:color="auto"/>
      </w:divBdr>
    </w:div>
    <w:div w:id="2037196872">
      <w:bodyDiv w:val="1"/>
      <w:marLeft w:val="0"/>
      <w:marRight w:val="0"/>
      <w:marTop w:val="0"/>
      <w:marBottom w:val="0"/>
      <w:divBdr>
        <w:top w:val="none" w:sz="0" w:space="0" w:color="auto"/>
        <w:left w:val="none" w:sz="0" w:space="0" w:color="auto"/>
        <w:bottom w:val="none" w:sz="0" w:space="0" w:color="auto"/>
        <w:right w:val="none" w:sz="0" w:space="0" w:color="auto"/>
      </w:divBdr>
    </w:div>
    <w:div w:id="210340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7.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nsfl.health.govt.nz/accountability/performance-and-monitoring/performance-measures/performance-measures-201516"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www.stats.govt.nz/browse_for_stats/health/life_expectancy/NZLifeTables_HOTP12-14.aspx" TargetMode="Externa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BBD98-4A8B-4393-B01F-CC903EA1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72</Pages>
  <Words>18438</Words>
  <Characters>102165</Characters>
  <Application>Microsoft Office Word</Application>
  <DocSecurity>0</DocSecurity>
  <Lines>851</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 Mo’ui Progress Report: December 2015</dc:title>
  <dc:creator>Ministry of Health</dc:creator>
  <cp:lastModifiedBy>Jane Adam</cp:lastModifiedBy>
  <cp:revision>3</cp:revision>
  <cp:lastPrinted>2016-04-08T01:41:00Z</cp:lastPrinted>
  <dcterms:created xsi:type="dcterms:W3CDTF">2016-04-28T20:52:00Z</dcterms:created>
  <dcterms:modified xsi:type="dcterms:W3CDTF">2016-04-28T20:52:00Z</dcterms:modified>
</cp:coreProperties>
</file>