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D54D50" w:rsidRDefault="00D22F4D" w:rsidP="00D54D50">
      <w:pPr>
        <w:pStyle w:val="Title"/>
      </w:pPr>
      <w:bookmarkStart w:id="0" w:name="_GoBack"/>
      <w:bookmarkEnd w:id="0"/>
      <w:r>
        <w:t>Review of Drug Utensils Regulation</w:t>
      </w:r>
    </w:p>
    <w:p w:rsidR="00C86248" w:rsidRDefault="00D22F4D" w:rsidP="00343365">
      <w:pPr>
        <w:pStyle w:val="Subhead"/>
      </w:pPr>
      <w:r>
        <w:t>A discussion document</w:t>
      </w:r>
    </w:p>
    <w:p w:rsidR="00142954" w:rsidRPr="00142954" w:rsidRDefault="00142954" w:rsidP="00142954">
      <w:pPr>
        <w:sectPr w:rsidR="00142954" w:rsidRPr="00142954" w:rsidSect="000F2AE2">
          <w:headerReference w:type="default" r:id="rId8"/>
          <w:footerReference w:type="default" r:id="rId9"/>
          <w:pgSz w:w="11907" w:h="16834" w:code="9"/>
          <w:pgMar w:top="3969" w:right="851" w:bottom="851" w:left="2552" w:header="851" w:footer="851" w:gutter="0"/>
          <w:cols w:space="720"/>
        </w:sectPr>
      </w:pPr>
    </w:p>
    <w:p w:rsidR="00A80363" w:rsidRPr="00442C1C" w:rsidRDefault="00A80363">
      <w:pPr>
        <w:pStyle w:val="Imprint"/>
      </w:pPr>
      <w:r>
        <w:lastRenderedPageBreak/>
        <w:t xml:space="preserve">Citation: </w:t>
      </w:r>
      <w:r w:rsidR="00442C1C">
        <w:t xml:space="preserve">Ministry of Health. </w:t>
      </w:r>
      <w:r w:rsidR="00D22F4D">
        <w:t>2016</w:t>
      </w:r>
      <w:r w:rsidR="00442C1C">
        <w:t xml:space="preserve">. </w:t>
      </w:r>
      <w:r w:rsidR="00D22F4D">
        <w:rPr>
          <w:i/>
        </w:rPr>
        <w:t>Review of Drug Utensils Regulation:</w:t>
      </w:r>
      <w:r w:rsidR="00D22F4D">
        <w:rPr>
          <w:i/>
        </w:rPr>
        <w:br/>
        <w:t>A discussion document</w:t>
      </w:r>
      <w:r w:rsidR="00442C1C">
        <w:t>. Wellington: Ministry of Health.</w:t>
      </w:r>
    </w:p>
    <w:p w:rsidR="00C86248" w:rsidRDefault="00C86248">
      <w:pPr>
        <w:pStyle w:val="Imprint"/>
      </w:pPr>
      <w:r>
        <w:t xml:space="preserve">Published in </w:t>
      </w:r>
      <w:r w:rsidR="007764B0">
        <w:t>July</w:t>
      </w:r>
      <w:r w:rsidR="00D22F4D">
        <w:t xml:space="preserve"> 2016</w:t>
      </w:r>
      <w:r w:rsidR="005019AE">
        <w:br/>
      </w:r>
      <w:r>
        <w:t>by the</w:t>
      </w:r>
      <w:r w:rsidR="00442C1C">
        <w:t xml:space="preserve"> </w:t>
      </w:r>
      <w:r>
        <w:t>Ministry of Health</w:t>
      </w:r>
      <w:r>
        <w:br/>
        <w:t>PO Box 5013, Wellington</w:t>
      </w:r>
      <w:r w:rsidR="00A80363">
        <w:t xml:space="preserve"> 614</w:t>
      </w:r>
      <w:r w:rsidR="006041F0">
        <w:t>0</w:t>
      </w:r>
      <w:r>
        <w:t>, New Zealand</w:t>
      </w:r>
    </w:p>
    <w:p w:rsidR="00082CD6" w:rsidRPr="009C0F2D" w:rsidRDefault="00D863D0" w:rsidP="00082CD6">
      <w:pPr>
        <w:pStyle w:val="Imprint"/>
      </w:pPr>
      <w:r>
        <w:t>ISBN</w:t>
      </w:r>
      <w:r w:rsidR="00442C1C">
        <w:t xml:space="preserve"> </w:t>
      </w:r>
      <w:r w:rsidR="004B69C0">
        <w:t>978-0-947515-34-8</w:t>
      </w:r>
      <w:r w:rsidR="00442C1C">
        <w:t xml:space="preserve"> </w:t>
      </w:r>
      <w:r>
        <w:t>(</w:t>
      </w:r>
      <w:r w:rsidR="00442C1C">
        <w:t>online</w:t>
      </w:r>
      <w:r>
        <w:t>)</w:t>
      </w:r>
      <w:r w:rsidR="00082CD6">
        <w:br/>
      </w:r>
      <w:r w:rsidR="00082CD6" w:rsidRPr="009C0F2D">
        <w:t xml:space="preserve">HP </w:t>
      </w:r>
      <w:r w:rsidR="004B69C0">
        <w:t>6446</w:t>
      </w:r>
    </w:p>
    <w:p w:rsidR="00C86248" w:rsidRDefault="00C86248">
      <w:pPr>
        <w:pStyle w:val="Imprint"/>
      </w:pPr>
      <w:r>
        <w:t xml:space="preserve">This document is available </w:t>
      </w:r>
      <w:r w:rsidR="0071741C">
        <w:t>at w</w:t>
      </w:r>
      <w:r>
        <w:t>ww.h</w:t>
      </w:r>
      <w:r w:rsidR="00A80363">
        <w:t>ealth</w:t>
      </w:r>
      <w:r>
        <w:t>.govt.nz</w:t>
      </w:r>
    </w:p>
    <w:p w:rsidR="00C86248" w:rsidRDefault="008C64C4">
      <w:pPr>
        <w:jc w:val="center"/>
      </w:pPr>
      <w:r>
        <w:rPr>
          <w:noProof/>
          <w:lang w:eastAsia="en-NZ"/>
        </w:rPr>
        <w:drawing>
          <wp:inline distT="0" distB="0" distL="0" distR="0" wp14:anchorId="5C768905" wp14:editId="4A737A4E">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7E74F1" w:rsidRPr="007E74F1" w:rsidRDefault="007E74F1" w:rsidP="007E74F1">
      <w:pPr>
        <w:pStyle w:val="Heading3"/>
        <w:keepNext w:val="0"/>
        <w:shd w:val="clear" w:color="auto" w:fill="FFFFFF"/>
        <w:ind w:right="-851"/>
        <w:rPr>
          <w:sz w:val="18"/>
          <w:szCs w:val="18"/>
        </w:rPr>
      </w:pPr>
      <w:r>
        <w:rPr>
          <w:b w:val="0"/>
          <w:noProof/>
          <w:sz w:val="22"/>
          <w:szCs w:val="22"/>
          <w:lang w:eastAsia="en-NZ"/>
        </w:rPr>
        <w:drawing>
          <wp:inline distT="0" distB="0" distL="0" distR="0" wp14:anchorId="4B27D4FB" wp14:editId="5222886F">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Pr>
          <w:b w:val="0"/>
          <w:sz w:val="22"/>
          <w:szCs w:val="22"/>
        </w:rPr>
        <w:t xml:space="preserve"> </w:t>
      </w:r>
      <w:r w:rsidRPr="00D535D0">
        <w:rPr>
          <w:b w:val="0"/>
          <w:sz w:val="18"/>
          <w:szCs w:val="18"/>
        </w:rPr>
        <w:t>This work is licensed under the Creative Commons Attribution 4.0 Interna</w:t>
      </w:r>
      <w:r>
        <w:rPr>
          <w:b w:val="0"/>
          <w:sz w:val="18"/>
          <w:szCs w:val="18"/>
        </w:rPr>
        <w:t>tional</w:t>
      </w:r>
      <w:r w:rsidRPr="00D535D0">
        <w:rPr>
          <w:b w:val="0"/>
          <w:sz w:val="18"/>
          <w:szCs w:val="18"/>
        </w:rPr>
        <w:t xml:space="preserve"> licence. In essence, </w:t>
      </w:r>
      <w:r w:rsidRPr="00D535D0">
        <w:rPr>
          <w:rFonts w:cs="Arial"/>
          <w:b w:val="0"/>
          <w:bCs/>
          <w:sz w:val="18"/>
          <w:szCs w:val="18"/>
        </w:rPr>
        <w:t xml:space="preserve">you are free to: </w:t>
      </w:r>
      <w:r w:rsidRPr="00D535D0">
        <w:rPr>
          <w:rFonts w:cs="Arial"/>
          <w:b w:val="0"/>
          <w:sz w:val="18"/>
          <w:szCs w:val="18"/>
        </w:rPr>
        <w:t xml:space="preserve">share ie, copy and redistribute the material in any medium or format; adapt ie, remix, transform and build upon the material. </w:t>
      </w:r>
      <w:r w:rsidRPr="00D535D0">
        <w:rPr>
          <w:rFonts w:cs="Arial"/>
          <w:b w:val="0"/>
          <w:bCs/>
          <w:sz w:val="18"/>
          <w:szCs w:val="18"/>
        </w:rPr>
        <w:t>You must give appropriate credit, provide a link to the licence and indicate if changes were made.</w:t>
      </w:r>
    </w:p>
    <w:p w:rsidR="00C86248" w:rsidRDefault="00C86248">
      <w:pPr>
        <w:jc w:val="center"/>
        <w:sectPr w:rsidR="00C86248" w:rsidSect="0016468A">
          <w:footerReference w:type="even" r:id="rId12"/>
          <w:footerReference w:type="default" r:id="rId13"/>
          <w:pgSz w:w="11907" w:h="16834" w:code="9"/>
          <w:pgMar w:top="1701" w:right="1134" w:bottom="1134" w:left="1985" w:header="0" w:footer="0" w:gutter="0"/>
          <w:cols w:space="720"/>
          <w:vAlign w:val="bottom"/>
        </w:sectPr>
      </w:pPr>
    </w:p>
    <w:p w:rsidR="00DE3B20" w:rsidRDefault="00D22F4D" w:rsidP="0021763B">
      <w:pPr>
        <w:pStyle w:val="Heading1"/>
      </w:pPr>
      <w:bookmarkStart w:id="1" w:name="_Toc454700947"/>
      <w:bookmarkStart w:id="2" w:name="_Toc405792991"/>
      <w:bookmarkStart w:id="3" w:name="_Toc405793224"/>
      <w:r>
        <w:lastRenderedPageBreak/>
        <w:t>We want your feedback</w:t>
      </w:r>
      <w:bookmarkEnd w:id="1"/>
    </w:p>
    <w:p w:rsidR="00D22F4D" w:rsidRDefault="00D22F4D" w:rsidP="00D22F4D">
      <w:r>
        <w:t>The</w:t>
      </w:r>
      <w:r w:rsidRPr="00713B0C">
        <w:t xml:space="preserve"> review of the regulation of drug utensils is part of the Government</w:t>
      </w:r>
      <w:r w:rsidR="00F91482">
        <w:t>’</w:t>
      </w:r>
      <w:r w:rsidRPr="00713B0C">
        <w:t>s programme to deliver on the National Drug Policy 2015 to 2020. The review seeks to understand the effectiveness of these regulations in achieving health and social outcomes for New Zealanders.</w:t>
      </w:r>
    </w:p>
    <w:p w:rsidR="00D22F4D" w:rsidRPr="00713B0C" w:rsidRDefault="00D22F4D" w:rsidP="00D22F4D"/>
    <w:p w:rsidR="00D22F4D" w:rsidRPr="00713B0C" w:rsidRDefault="00D22F4D" w:rsidP="00D22F4D">
      <w:r w:rsidRPr="00713B0C">
        <w:t>What qualifies as a drug utensil depends on the context. Put simply, a drug utensil is anything that is used as an aid to take drugs. This can include bongs, vaporisers</w:t>
      </w:r>
      <w:r>
        <w:t xml:space="preserve"> </w:t>
      </w:r>
      <w:r w:rsidRPr="00884192">
        <w:t xml:space="preserve">(including </w:t>
      </w:r>
      <w:r w:rsidR="00EC645D">
        <w:t>repurposed</w:t>
      </w:r>
      <w:r w:rsidRPr="00884192">
        <w:t xml:space="preserve"> e</w:t>
      </w:r>
      <w:r>
        <w:noBreakHyphen/>
      </w:r>
      <w:r w:rsidRPr="00884192">
        <w:t>cigarettes)</w:t>
      </w:r>
      <w:r w:rsidRPr="00713B0C">
        <w:t xml:space="preserve"> and household </w:t>
      </w:r>
      <w:r>
        <w:t>items repurposed to be used as</w:t>
      </w:r>
      <w:r w:rsidRPr="00713B0C">
        <w:t xml:space="preserve"> drug utensils (eg, knives, spoons, plastic bottles and hoses).</w:t>
      </w:r>
    </w:p>
    <w:p w:rsidR="00D22F4D" w:rsidRDefault="00D22F4D" w:rsidP="00D22F4D"/>
    <w:p w:rsidR="00D22F4D" w:rsidRPr="00713B0C" w:rsidRDefault="00D22F4D" w:rsidP="00D22F4D">
      <w:r w:rsidRPr="00713B0C">
        <w:t>We want to know what you think about the goals we have suggested, the effe</w:t>
      </w:r>
      <w:r w:rsidR="004B69C0">
        <w:t>ctiveness of current regulation</w:t>
      </w:r>
      <w:r w:rsidRPr="00713B0C">
        <w:t xml:space="preserve">, and </w:t>
      </w:r>
      <w:r w:rsidR="004B69C0">
        <w:t>any</w:t>
      </w:r>
      <w:r w:rsidRPr="00713B0C">
        <w:t xml:space="preserve"> other options </w:t>
      </w:r>
      <w:r w:rsidR="004B69C0">
        <w:t xml:space="preserve">that </w:t>
      </w:r>
      <w:r w:rsidRPr="00713B0C">
        <w:t>could better support the goals of the National Drug Policy.</w:t>
      </w:r>
      <w:r>
        <w:t xml:space="preserve"> Your views </w:t>
      </w:r>
      <w:r w:rsidRPr="004C0569">
        <w:t xml:space="preserve">will help inform options for </w:t>
      </w:r>
      <w:r>
        <w:t xml:space="preserve">any </w:t>
      </w:r>
      <w:r w:rsidRPr="004C0569">
        <w:t>changes to</w:t>
      </w:r>
      <w:r>
        <w:t xml:space="preserve"> approaches </w:t>
      </w:r>
      <w:r w:rsidR="00F73D7C">
        <w:t xml:space="preserve">to </w:t>
      </w:r>
      <w:r w:rsidRPr="004C0569">
        <w:t xml:space="preserve">drug utensils </w:t>
      </w:r>
      <w:r>
        <w:t>in the future.</w:t>
      </w:r>
    </w:p>
    <w:p w:rsidR="00DE3B20" w:rsidRDefault="00DE3B20" w:rsidP="00D22F4D"/>
    <w:p w:rsidR="005D049E" w:rsidRDefault="005D049E" w:rsidP="00D22F4D">
      <w:pPr>
        <w:sectPr w:rsidR="005D049E" w:rsidSect="009D5125">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rsidR="005D049E" w:rsidRDefault="005D049E" w:rsidP="00D22F4D"/>
    <w:p w:rsidR="005D049E" w:rsidRDefault="005D049E" w:rsidP="00D22F4D">
      <w:pPr>
        <w:sectPr w:rsidR="005D049E" w:rsidSect="009D5125">
          <w:footerReference w:type="even" r:id="rId18"/>
          <w:pgSz w:w="11907" w:h="16840" w:code="9"/>
          <w:pgMar w:top="851" w:right="1134" w:bottom="1134" w:left="1134" w:header="284" w:footer="567" w:gutter="284"/>
          <w:pgNumType w:fmt="lowerRoman"/>
          <w:cols w:space="720"/>
        </w:sectPr>
      </w:pPr>
    </w:p>
    <w:p w:rsidR="00C86248" w:rsidRDefault="00C86248">
      <w:pPr>
        <w:pStyle w:val="IntroHead"/>
      </w:pPr>
      <w:r>
        <w:lastRenderedPageBreak/>
        <w:t>Contents</w:t>
      </w:r>
      <w:bookmarkEnd w:id="2"/>
      <w:bookmarkEnd w:id="3"/>
    </w:p>
    <w:p w:rsidR="00336C19"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336C19">
        <w:rPr>
          <w:noProof/>
        </w:rPr>
        <w:t>We want your feedback</w:t>
      </w:r>
      <w:r w:rsidR="00336C19">
        <w:rPr>
          <w:noProof/>
        </w:rPr>
        <w:tab/>
      </w:r>
      <w:r w:rsidR="00336C19">
        <w:rPr>
          <w:noProof/>
        </w:rPr>
        <w:fldChar w:fldCharType="begin"/>
      </w:r>
      <w:r w:rsidR="00336C19">
        <w:rPr>
          <w:noProof/>
        </w:rPr>
        <w:instrText xml:space="preserve"> PAGEREF _Toc454700947 \h </w:instrText>
      </w:r>
      <w:r w:rsidR="00336C19">
        <w:rPr>
          <w:noProof/>
        </w:rPr>
      </w:r>
      <w:r w:rsidR="00336C19">
        <w:rPr>
          <w:noProof/>
        </w:rPr>
        <w:fldChar w:fldCharType="separate"/>
      </w:r>
      <w:r w:rsidR="009128D7">
        <w:rPr>
          <w:noProof/>
        </w:rPr>
        <w:t>iii</w:t>
      </w:r>
      <w:r w:rsidR="00336C19">
        <w:rPr>
          <w:noProof/>
        </w:rPr>
        <w:fldChar w:fldCharType="end"/>
      </w:r>
    </w:p>
    <w:p w:rsidR="00336C19" w:rsidRDefault="00336C19">
      <w:pPr>
        <w:pStyle w:val="TOC1"/>
        <w:rPr>
          <w:rFonts w:asciiTheme="minorHAnsi" w:eastAsiaTheme="minorEastAsia" w:hAnsiTheme="minorHAnsi" w:cstheme="minorBidi"/>
          <w:b w:val="0"/>
          <w:noProof/>
          <w:szCs w:val="22"/>
          <w:lang w:eastAsia="en-NZ"/>
        </w:rPr>
      </w:pPr>
      <w:r>
        <w:rPr>
          <w:noProof/>
        </w:rPr>
        <w:t>Introduction</w:t>
      </w:r>
      <w:r>
        <w:rPr>
          <w:noProof/>
        </w:rPr>
        <w:tab/>
      </w:r>
      <w:r>
        <w:rPr>
          <w:noProof/>
        </w:rPr>
        <w:fldChar w:fldCharType="begin"/>
      </w:r>
      <w:r>
        <w:rPr>
          <w:noProof/>
        </w:rPr>
        <w:instrText xml:space="preserve"> PAGEREF _Toc454700948 \h </w:instrText>
      </w:r>
      <w:r>
        <w:rPr>
          <w:noProof/>
        </w:rPr>
      </w:r>
      <w:r>
        <w:rPr>
          <w:noProof/>
        </w:rPr>
        <w:fldChar w:fldCharType="separate"/>
      </w:r>
      <w:r w:rsidR="009128D7">
        <w:rPr>
          <w:noProof/>
        </w:rPr>
        <w:t>1</w:t>
      </w:r>
      <w:r>
        <w:rPr>
          <w:noProof/>
        </w:rPr>
        <w:fldChar w:fldCharType="end"/>
      </w:r>
    </w:p>
    <w:p w:rsidR="00336C19" w:rsidRDefault="00336C19">
      <w:pPr>
        <w:pStyle w:val="TOC2"/>
        <w:rPr>
          <w:rFonts w:asciiTheme="minorHAnsi" w:eastAsiaTheme="minorEastAsia" w:hAnsiTheme="minorHAnsi" w:cstheme="minorBidi"/>
          <w:noProof/>
          <w:szCs w:val="22"/>
          <w:lang w:eastAsia="en-NZ"/>
        </w:rPr>
      </w:pPr>
      <w:r>
        <w:rPr>
          <w:noProof/>
        </w:rPr>
        <w:t>Purpose</w:t>
      </w:r>
      <w:r>
        <w:rPr>
          <w:noProof/>
        </w:rPr>
        <w:tab/>
      </w:r>
      <w:r>
        <w:rPr>
          <w:noProof/>
        </w:rPr>
        <w:fldChar w:fldCharType="begin"/>
      </w:r>
      <w:r>
        <w:rPr>
          <w:noProof/>
        </w:rPr>
        <w:instrText xml:space="preserve"> PAGEREF _Toc454700949 \h </w:instrText>
      </w:r>
      <w:r>
        <w:rPr>
          <w:noProof/>
        </w:rPr>
      </w:r>
      <w:r>
        <w:rPr>
          <w:noProof/>
        </w:rPr>
        <w:fldChar w:fldCharType="separate"/>
      </w:r>
      <w:r w:rsidR="009128D7">
        <w:rPr>
          <w:noProof/>
        </w:rPr>
        <w:t>1</w:t>
      </w:r>
      <w:r>
        <w:rPr>
          <w:noProof/>
        </w:rPr>
        <w:fldChar w:fldCharType="end"/>
      </w:r>
    </w:p>
    <w:p w:rsidR="00336C19" w:rsidRDefault="00336C19">
      <w:pPr>
        <w:pStyle w:val="TOC2"/>
        <w:rPr>
          <w:rFonts w:asciiTheme="minorHAnsi" w:eastAsiaTheme="minorEastAsia" w:hAnsiTheme="minorHAnsi" w:cstheme="minorBidi"/>
          <w:noProof/>
          <w:szCs w:val="22"/>
          <w:lang w:eastAsia="en-NZ"/>
        </w:rPr>
      </w:pPr>
      <w:r>
        <w:rPr>
          <w:noProof/>
        </w:rPr>
        <w:t>Approach</w:t>
      </w:r>
      <w:r>
        <w:rPr>
          <w:noProof/>
        </w:rPr>
        <w:tab/>
      </w:r>
      <w:r>
        <w:rPr>
          <w:noProof/>
        </w:rPr>
        <w:fldChar w:fldCharType="begin"/>
      </w:r>
      <w:r>
        <w:rPr>
          <w:noProof/>
        </w:rPr>
        <w:instrText xml:space="preserve"> PAGEREF _Toc454700950 \h </w:instrText>
      </w:r>
      <w:r>
        <w:rPr>
          <w:noProof/>
        </w:rPr>
      </w:r>
      <w:r>
        <w:rPr>
          <w:noProof/>
        </w:rPr>
        <w:fldChar w:fldCharType="separate"/>
      </w:r>
      <w:r w:rsidR="009128D7">
        <w:rPr>
          <w:noProof/>
        </w:rPr>
        <w:t>1</w:t>
      </w:r>
      <w:r>
        <w:rPr>
          <w:noProof/>
        </w:rPr>
        <w:fldChar w:fldCharType="end"/>
      </w:r>
    </w:p>
    <w:p w:rsidR="00336C19" w:rsidRDefault="00336C19">
      <w:pPr>
        <w:pStyle w:val="TOC2"/>
        <w:rPr>
          <w:rFonts w:asciiTheme="minorHAnsi" w:eastAsiaTheme="minorEastAsia" w:hAnsiTheme="minorHAnsi" w:cstheme="minorBidi"/>
          <w:noProof/>
          <w:szCs w:val="22"/>
          <w:lang w:eastAsia="en-NZ"/>
        </w:rPr>
      </w:pPr>
      <w:r>
        <w:rPr>
          <w:noProof/>
        </w:rPr>
        <w:t>Context</w:t>
      </w:r>
      <w:r>
        <w:rPr>
          <w:noProof/>
        </w:rPr>
        <w:tab/>
      </w:r>
      <w:r>
        <w:rPr>
          <w:noProof/>
        </w:rPr>
        <w:fldChar w:fldCharType="begin"/>
      </w:r>
      <w:r>
        <w:rPr>
          <w:noProof/>
        </w:rPr>
        <w:instrText xml:space="preserve"> PAGEREF _Toc454700951 \h </w:instrText>
      </w:r>
      <w:r>
        <w:rPr>
          <w:noProof/>
        </w:rPr>
      </w:r>
      <w:r>
        <w:rPr>
          <w:noProof/>
        </w:rPr>
        <w:fldChar w:fldCharType="separate"/>
      </w:r>
      <w:r w:rsidR="009128D7">
        <w:rPr>
          <w:noProof/>
        </w:rPr>
        <w:t>1</w:t>
      </w:r>
      <w:r>
        <w:rPr>
          <w:noProof/>
        </w:rPr>
        <w:fldChar w:fldCharType="end"/>
      </w:r>
    </w:p>
    <w:p w:rsidR="00336C19" w:rsidRDefault="00336C19">
      <w:pPr>
        <w:pStyle w:val="TOC2"/>
        <w:rPr>
          <w:rFonts w:asciiTheme="minorHAnsi" w:eastAsiaTheme="minorEastAsia" w:hAnsiTheme="minorHAnsi" w:cstheme="minorBidi"/>
          <w:noProof/>
          <w:szCs w:val="22"/>
          <w:lang w:eastAsia="en-NZ"/>
        </w:rPr>
      </w:pPr>
      <w:r>
        <w:rPr>
          <w:noProof/>
        </w:rPr>
        <w:t>Scope</w:t>
      </w:r>
      <w:r>
        <w:rPr>
          <w:noProof/>
        </w:rPr>
        <w:tab/>
      </w:r>
      <w:r>
        <w:rPr>
          <w:noProof/>
        </w:rPr>
        <w:fldChar w:fldCharType="begin"/>
      </w:r>
      <w:r>
        <w:rPr>
          <w:noProof/>
        </w:rPr>
        <w:instrText xml:space="preserve"> PAGEREF _Toc454700952 \h </w:instrText>
      </w:r>
      <w:r>
        <w:rPr>
          <w:noProof/>
        </w:rPr>
      </w:r>
      <w:r>
        <w:rPr>
          <w:noProof/>
        </w:rPr>
        <w:fldChar w:fldCharType="separate"/>
      </w:r>
      <w:r w:rsidR="009128D7">
        <w:rPr>
          <w:noProof/>
        </w:rPr>
        <w:t>2</w:t>
      </w:r>
      <w:r>
        <w:rPr>
          <w:noProof/>
        </w:rPr>
        <w:fldChar w:fldCharType="end"/>
      </w:r>
    </w:p>
    <w:p w:rsidR="00336C19" w:rsidRDefault="00336C19">
      <w:pPr>
        <w:pStyle w:val="TOC2"/>
        <w:rPr>
          <w:rFonts w:asciiTheme="minorHAnsi" w:eastAsiaTheme="minorEastAsia" w:hAnsiTheme="minorHAnsi" w:cstheme="minorBidi"/>
          <w:noProof/>
          <w:szCs w:val="22"/>
          <w:lang w:eastAsia="en-NZ"/>
        </w:rPr>
      </w:pPr>
      <w:r>
        <w:rPr>
          <w:noProof/>
        </w:rPr>
        <w:t>How to have your say</w:t>
      </w:r>
      <w:r>
        <w:rPr>
          <w:noProof/>
        </w:rPr>
        <w:tab/>
      </w:r>
      <w:r>
        <w:rPr>
          <w:noProof/>
        </w:rPr>
        <w:fldChar w:fldCharType="begin"/>
      </w:r>
      <w:r>
        <w:rPr>
          <w:noProof/>
        </w:rPr>
        <w:instrText xml:space="preserve"> PAGEREF _Toc454700953 \h </w:instrText>
      </w:r>
      <w:r>
        <w:rPr>
          <w:noProof/>
        </w:rPr>
      </w:r>
      <w:r>
        <w:rPr>
          <w:noProof/>
        </w:rPr>
        <w:fldChar w:fldCharType="separate"/>
      </w:r>
      <w:r w:rsidR="009128D7">
        <w:rPr>
          <w:noProof/>
        </w:rPr>
        <w:t>2</w:t>
      </w:r>
      <w:r>
        <w:rPr>
          <w:noProof/>
        </w:rPr>
        <w:fldChar w:fldCharType="end"/>
      </w:r>
    </w:p>
    <w:p w:rsidR="00336C19" w:rsidRDefault="00336C19">
      <w:pPr>
        <w:pStyle w:val="TOC1"/>
        <w:rPr>
          <w:rFonts w:asciiTheme="minorHAnsi" w:eastAsiaTheme="minorEastAsia" w:hAnsiTheme="minorHAnsi" w:cstheme="minorBidi"/>
          <w:b w:val="0"/>
          <w:noProof/>
          <w:szCs w:val="22"/>
          <w:lang w:eastAsia="en-NZ"/>
        </w:rPr>
      </w:pPr>
      <w:r>
        <w:rPr>
          <w:noProof/>
        </w:rPr>
        <w:t>Policy objectives</w:t>
      </w:r>
      <w:r>
        <w:rPr>
          <w:noProof/>
        </w:rPr>
        <w:tab/>
      </w:r>
      <w:r>
        <w:rPr>
          <w:noProof/>
        </w:rPr>
        <w:fldChar w:fldCharType="begin"/>
      </w:r>
      <w:r>
        <w:rPr>
          <w:noProof/>
        </w:rPr>
        <w:instrText xml:space="preserve"> PAGEREF _Toc454700954 \h </w:instrText>
      </w:r>
      <w:r>
        <w:rPr>
          <w:noProof/>
        </w:rPr>
      </w:r>
      <w:r>
        <w:rPr>
          <w:noProof/>
        </w:rPr>
        <w:fldChar w:fldCharType="separate"/>
      </w:r>
      <w:r w:rsidR="009128D7">
        <w:rPr>
          <w:noProof/>
        </w:rPr>
        <w:t>3</w:t>
      </w:r>
      <w:r>
        <w:rPr>
          <w:noProof/>
        </w:rPr>
        <w:fldChar w:fldCharType="end"/>
      </w:r>
    </w:p>
    <w:p w:rsidR="00336C19" w:rsidRDefault="00336C19">
      <w:pPr>
        <w:pStyle w:val="TOC2"/>
        <w:rPr>
          <w:rFonts w:asciiTheme="minorHAnsi" w:eastAsiaTheme="minorEastAsia" w:hAnsiTheme="minorHAnsi" w:cstheme="minorBidi"/>
          <w:noProof/>
          <w:szCs w:val="22"/>
          <w:lang w:eastAsia="en-NZ"/>
        </w:rPr>
      </w:pPr>
      <w:r>
        <w:rPr>
          <w:noProof/>
        </w:rPr>
        <w:t>Harm prevention</w:t>
      </w:r>
      <w:r>
        <w:rPr>
          <w:noProof/>
        </w:rPr>
        <w:tab/>
      </w:r>
      <w:r>
        <w:rPr>
          <w:noProof/>
        </w:rPr>
        <w:fldChar w:fldCharType="begin"/>
      </w:r>
      <w:r>
        <w:rPr>
          <w:noProof/>
        </w:rPr>
        <w:instrText xml:space="preserve"> PAGEREF _Toc454700955 \h </w:instrText>
      </w:r>
      <w:r>
        <w:rPr>
          <w:noProof/>
        </w:rPr>
      </w:r>
      <w:r>
        <w:rPr>
          <w:noProof/>
        </w:rPr>
        <w:fldChar w:fldCharType="separate"/>
      </w:r>
      <w:r w:rsidR="009128D7">
        <w:rPr>
          <w:noProof/>
        </w:rPr>
        <w:t>3</w:t>
      </w:r>
      <w:r>
        <w:rPr>
          <w:noProof/>
        </w:rPr>
        <w:fldChar w:fldCharType="end"/>
      </w:r>
    </w:p>
    <w:p w:rsidR="00336C19" w:rsidRDefault="00336C19">
      <w:pPr>
        <w:pStyle w:val="TOC2"/>
        <w:rPr>
          <w:rFonts w:asciiTheme="minorHAnsi" w:eastAsiaTheme="minorEastAsia" w:hAnsiTheme="minorHAnsi" w:cstheme="minorBidi"/>
          <w:noProof/>
          <w:szCs w:val="22"/>
          <w:lang w:eastAsia="en-NZ"/>
        </w:rPr>
      </w:pPr>
      <w:r>
        <w:rPr>
          <w:noProof/>
        </w:rPr>
        <w:t>Harm reduction</w:t>
      </w:r>
      <w:r>
        <w:rPr>
          <w:noProof/>
        </w:rPr>
        <w:tab/>
      </w:r>
      <w:r>
        <w:rPr>
          <w:noProof/>
        </w:rPr>
        <w:fldChar w:fldCharType="begin"/>
      </w:r>
      <w:r>
        <w:rPr>
          <w:noProof/>
        </w:rPr>
        <w:instrText xml:space="preserve"> PAGEREF _Toc454700956 \h </w:instrText>
      </w:r>
      <w:r>
        <w:rPr>
          <w:noProof/>
        </w:rPr>
      </w:r>
      <w:r>
        <w:rPr>
          <w:noProof/>
        </w:rPr>
        <w:fldChar w:fldCharType="separate"/>
      </w:r>
      <w:r w:rsidR="009128D7">
        <w:rPr>
          <w:noProof/>
        </w:rPr>
        <w:t>3</w:t>
      </w:r>
      <w:r>
        <w:rPr>
          <w:noProof/>
        </w:rPr>
        <w:fldChar w:fldCharType="end"/>
      </w:r>
    </w:p>
    <w:p w:rsidR="00336C19" w:rsidRDefault="00336C19">
      <w:pPr>
        <w:pStyle w:val="TOC2"/>
        <w:rPr>
          <w:rFonts w:asciiTheme="minorHAnsi" w:eastAsiaTheme="minorEastAsia" w:hAnsiTheme="minorHAnsi" w:cstheme="minorBidi"/>
          <w:noProof/>
          <w:szCs w:val="22"/>
          <w:lang w:eastAsia="en-NZ"/>
        </w:rPr>
      </w:pPr>
      <w:r>
        <w:rPr>
          <w:noProof/>
        </w:rPr>
        <w:t>Proportionality</w:t>
      </w:r>
      <w:r>
        <w:rPr>
          <w:noProof/>
        </w:rPr>
        <w:tab/>
      </w:r>
      <w:r>
        <w:rPr>
          <w:noProof/>
        </w:rPr>
        <w:fldChar w:fldCharType="begin"/>
      </w:r>
      <w:r>
        <w:rPr>
          <w:noProof/>
        </w:rPr>
        <w:instrText xml:space="preserve"> PAGEREF _Toc454700957 \h </w:instrText>
      </w:r>
      <w:r>
        <w:rPr>
          <w:noProof/>
        </w:rPr>
      </w:r>
      <w:r>
        <w:rPr>
          <w:noProof/>
        </w:rPr>
        <w:fldChar w:fldCharType="separate"/>
      </w:r>
      <w:r w:rsidR="009128D7">
        <w:rPr>
          <w:noProof/>
        </w:rPr>
        <w:t>3</w:t>
      </w:r>
      <w:r>
        <w:rPr>
          <w:noProof/>
        </w:rPr>
        <w:fldChar w:fldCharType="end"/>
      </w:r>
    </w:p>
    <w:p w:rsidR="00336C19" w:rsidRDefault="00336C19">
      <w:pPr>
        <w:pStyle w:val="TOC2"/>
        <w:rPr>
          <w:rFonts w:asciiTheme="minorHAnsi" w:eastAsiaTheme="minorEastAsia" w:hAnsiTheme="minorHAnsi" w:cstheme="minorBidi"/>
          <w:noProof/>
          <w:szCs w:val="22"/>
          <w:lang w:eastAsia="en-NZ"/>
        </w:rPr>
      </w:pPr>
      <w:r>
        <w:rPr>
          <w:noProof/>
        </w:rPr>
        <w:t>Cost-effectiveness</w:t>
      </w:r>
      <w:r>
        <w:rPr>
          <w:noProof/>
        </w:rPr>
        <w:tab/>
      </w:r>
      <w:r>
        <w:rPr>
          <w:noProof/>
        </w:rPr>
        <w:fldChar w:fldCharType="begin"/>
      </w:r>
      <w:r>
        <w:rPr>
          <w:noProof/>
        </w:rPr>
        <w:instrText xml:space="preserve"> PAGEREF _Toc454700958 \h </w:instrText>
      </w:r>
      <w:r>
        <w:rPr>
          <w:noProof/>
        </w:rPr>
      </w:r>
      <w:r>
        <w:rPr>
          <w:noProof/>
        </w:rPr>
        <w:fldChar w:fldCharType="separate"/>
      </w:r>
      <w:r w:rsidR="009128D7">
        <w:rPr>
          <w:noProof/>
        </w:rPr>
        <w:t>4</w:t>
      </w:r>
      <w:r>
        <w:rPr>
          <w:noProof/>
        </w:rPr>
        <w:fldChar w:fldCharType="end"/>
      </w:r>
    </w:p>
    <w:p w:rsidR="00336C19" w:rsidRDefault="00336C19">
      <w:pPr>
        <w:pStyle w:val="TOC2"/>
        <w:rPr>
          <w:rFonts w:asciiTheme="minorHAnsi" w:eastAsiaTheme="minorEastAsia" w:hAnsiTheme="minorHAnsi" w:cstheme="minorBidi"/>
          <w:noProof/>
          <w:szCs w:val="22"/>
          <w:lang w:eastAsia="en-NZ"/>
        </w:rPr>
      </w:pPr>
      <w:r>
        <w:rPr>
          <w:noProof/>
        </w:rPr>
        <w:t>Ease of implementation</w:t>
      </w:r>
      <w:r>
        <w:rPr>
          <w:noProof/>
        </w:rPr>
        <w:tab/>
      </w:r>
      <w:r>
        <w:rPr>
          <w:noProof/>
        </w:rPr>
        <w:fldChar w:fldCharType="begin"/>
      </w:r>
      <w:r>
        <w:rPr>
          <w:noProof/>
        </w:rPr>
        <w:instrText xml:space="preserve"> PAGEREF _Toc454700959 \h </w:instrText>
      </w:r>
      <w:r>
        <w:rPr>
          <w:noProof/>
        </w:rPr>
      </w:r>
      <w:r>
        <w:rPr>
          <w:noProof/>
        </w:rPr>
        <w:fldChar w:fldCharType="separate"/>
      </w:r>
      <w:r w:rsidR="009128D7">
        <w:rPr>
          <w:noProof/>
        </w:rPr>
        <w:t>4</w:t>
      </w:r>
      <w:r>
        <w:rPr>
          <w:noProof/>
        </w:rPr>
        <w:fldChar w:fldCharType="end"/>
      </w:r>
    </w:p>
    <w:p w:rsidR="00336C19" w:rsidRDefault="00336C19">
      <w:pPr>
        <w:pStyle w:val="TOC1"/>
        <w:rPr>
          <w:rFonts w:asciiTheme="minorHAnsi" w:eastAsiaTheme="minorEastAsia" w:hAnsiTheme="minorHAnsi" w:cstheme="minorBidi"/>
          <w:b w:val="0"/>
          <w:noProof/>
          <w:szCs w:val="22"/>
          <w:lang w:eastAsia="en-NZ"/>
        </w:rPr>
      </w:pPr>
      <w:r>
        <w:rPr>
          <w:noProof/>
        </w:rPr>
        <w:t>The status quo</w:t>
      </w:r>
      <w:r>
        <w:rPr>
          <w:noProof/>
        </w:rPr>
        <w:tab/>
      </w:r>
      <w:r>
        <w:rPr>
          <w:noProof/>
        </w:rPr>
        <w:fldChar w:fldCharType="begin"/>
      </w:r>
      <w:r>
        <w:rPr>
          <w:noProof/>
        </w:rPr>
        <w:instrText xml:space="preserve"> PAGEREF _Toc454700960 \h </w:instrText>
      </w:r>
      <w:r>
        <w:rPr>
          <w:noProof/>
        </w:rPr>
      </w:r>
      <w:r>
        <w:rPr>
          <w:noProof/>
        </w:rPr>
        <w:fldChar w:fldCharType="separate"/>
      </w:r>
      <w:r w:rsidR="009128D7">
        <w:rPr>
          <w:noProof/>
        </w:rPr>
        <w:t>5</w:t>
      </w:r>
      <w:r>
        <w:rPr>
          <w:noProof/>
        </w:rPr>
        <w:fldChar w:fldCharType="end"/>
      </w:r>
    </w:p>
    <w:p w:rsidR="00336C19" w:rsidRDefault="00336C19">
      <w:pPr>
        <w:pStyle w:val="TOC2"/>
        <w:rPr>
          <w:rFonts w:asciiTheme="minorHAnsi" w:eastAsiaTheme="minorEastAsia" w:hAnsiTheme="minorHAnsi" w:cstheme="minorBidi"/>
          <w:noProof/>
          <w:szCs w:val="22"/>
          <w:lang w:eastAsia="en-NZ"/>
        </w:rPr>
      </w:pPr>
      <w:r>
        <w:rPr>
          <w:noProof/>
        </w:rPr>
        <w:t>Regulatory settings</w:t>
      </w:r>
      <w:r>
        <w:rPr>
          <w:noProof/>
        </w:rPr>
        <w:tab/>
      </w:r>
      <w:r>
        <w:rPr>
          <w:noProof/>
        </w:rPr>
        <w:fldChar w:fldCharType="begin"/>
      </w:r>
      <w:r>
        <w:rPr>
          <w:noProof/>
        </w:rPr>
        <w:instrText xml:space="preserve"> PAGEREF _Toc454700961 \h </w:instrText>
      </w:r>
      <w:r>
        <w:rPr>
          <w:noProof/>
        </w:rPr>
      </w:r>
      <w:r>
        <w:rPr>
          <w:noProof/>
        </w:rPr>
        <w:fldChar w:fldCharType="separate"/>
      </w:r>
      <w:r w:rsidR="009128D7">
        <w:rPr>
          <w:noProof/>
        </w:rPr>
        <w:t>5</w:t>
      </w:r>
      <w:r>
        <w:rPr>
          <w:noProof/>
        </w:rPr>
        <w:fldChar w:fldCharType="end"/>
      </w:r>
    </w:p>
    <w:p w:rsidR="00336C19" w:rsidRDefault="00336C19">
      <w:pPr>
        <w:pStyle w:val="TOC2"/>
        <w:rPr>
          <w:rFonts w:asciiTheme="minorHAnsi" w:eastAsiaTheme="minorEastAsia" w:hAnsiTheme="minorHAnsi" w:cstheme="minorBidi"/>
          <w:noProof/>
          <w:szCs w:val="22"/>
          <w:lang w:eastAsia="en-NZ"/>
        </w:rPr>
      </w:pPr>
      <w:r>
        <w:rPr>
          <w:noProof/>
        </w:rPr>
        <w:t>Regulatory practice</w:t>
      </w:r>
      <w:r>
        <w:rPr>
          <w:noProof/>
        </w:rPr>
        <w:tab/>
      </w:r>
      <w:r>
        <w:rPr>
          <w:noProof/>
        </w:rPr>
        <w:fldChar w:fldCharType="begin"/>
      </w:r>
      <w:r>
        <w:rPr>
          <w:noProof/>
        </w:rPr>
        <w:instrText xml:space="preserve"> PAGEREF _Toc454700962 \h </w:instrText>
      </w:r>
      <w:r>
        <w:rPr>
          <w:noProof/>
        </w:rPr>
      </w:r>
      <w:r>
        <w:rPr>
          <w:noProof/>
        </w:rPr>
        <w:fldChar w:fldCharType="separate"/>
      </w:r>
      <w:r w:rsidR="009128D7">
        <w:rPr>
          <w:noProof/>
        </w:rPr>
        <w:t>7</w:t>
      </w:r>
      <w:r>
        <w:rPr>
          <w:noProof/>
        </w:rPr>
        <w:fldChar w:fldCharType="end"/>
      </w:r>
    </w:p>
    <w:p w:rsidR="00336C19" w:rsidRDefault="00336C19">
      <w:pPr>
        <w:pStyle w:val="TOC2"/>
        <w:rPr>
          <w:rFonts w:asciiTheme="minorHAnsi" w:eastAsiaTheme="minorEastAsia" w:hAnsiTheme="minorHAnsi" w:cstheme="minorBidi"/>
          <w:noProof/>
          <w:szCs w:val="22"/>
          <w:lang w:eastAsia="en-NZ"/>
        </w:rPr>
      </w:pPr>
      <w:r>
        <w:rPr>
          <w:noProof/>
        </w:rPr>
        <w:t>Availability and use of drug utensils</w:t>
      </w:r>
      <w:r>
        <w:rPr>
          <w:noProof/>
        </w:rPr>
        <w:tab/>
      </w:r>
      <w:r>
        <w:rPr>
          <w:noProof/>
        </w:rPr>
        <w:fldChar w:fldCharType="begin"/>
      </w:r>
      <w:r>
        <w:rPr>
          <w:noProof/>
        </w:rPr>
        <w:instrText xml:space="preserve"> PAGEREF _Toc454700963 \h </w:instrText>
      </w:r>
      <w:r>
        <w:rPr>
          <w:noProof/>
        </w:rPr>
      </w:r>
      <w:r>
        <w:rPr>
          <w:noProof/>
        </w:rPr>
        <w:fldChar w:fldCharType="separate"/>
      </w:r>
      <w:r w:rsidR="009128D7">
        <w:rPr>
          <w:noProof/>
        </w:rPr>
        <w:t>9</w:t>
      </w:r>
      <w:r>
        <w:rPr>
          <w:noProof/>
        </w:rPr>
        <w:fldChar w:fldCharType="end"/>
      </w:r>
    </w:p>
    <w:p w:rsidR="00336C19" w:rsidRDefault="00336C19">
      <w:pPr>
        <w:pStyle w:val="TOC1"/>
        <w:rPr>
          <w:rFonts w:asciiTheme="minorHAnsi" w:eastAsiaTheme="minorEastAsia" w:hAnsiTheme="minorHAnsi" w:cstheme="minorBidi"/>
          <w:b w:val="0"/>
          <w:noProof/>
          <w:szCs w:val="22"/>
          <w:lang w:eastAsia="en-NZ"/>
        </w:rPr>
      </w:pPr>
      <w:r>
        <w:rPr>
          <w:noProof/>
        </w:rPr>
        <w:t>Review of the status quo</w:t>
      </w:r>
      <w:r>
        <w:rPr>
          <w:noProof/>
        </w:rPr>
        <w:tab/>
      </w:r>
      <w:r>
        <w:rPr>
          <w:noProof/>
        </w:rPr>
        <w:fldChar w:fldCharType="begin"/>
      </w:r>
      <w:r>
        <w:rPr>
          <w:noProof/>
        </w:rPr>
        <w:instrText xml:space="preserve"> PAGEREF _Toc454700964 \h </w:instrText>
      </w:r>
      <w:r>
        <w:rPr>
          <w:noProof/>
        </w:rPr>
      </w:r>
      <w:r>
        <w:rPr>
          <w:noProof/>
        </w:rPr>
        <w:fldChar w:fldCharType="separate"/>
      </w:r>
      <w:r w:rsidR="009128D7">
        <w:rPr>
          <w:noProof/>
        </w:rPr>
        <w:t>10</w:t>
      </w:r>
      <w:r>
        <w:rPr>
          <w:noProof/>
        </w:rPr>
        <w:fldChar w:fldCharType="end"/>
      </w:r>
    </w:p>
    <w:p w:rsidR="00336C19" w:rsidRDefault="00336C19">
      <w:pPr>
        <w:pStyle w:val="TOC2"/>
        <w:rPr>
          <w:rFonts w:asciiTheme="minorHAnsi" w:eastAsiaTheme="minorEastAsia" w:hAnsiTheme="minorHAnsi" w:cstheme="minorBidi"/>
          <w:noProof/>
          <w:szCs w:val="22"/>
          <w:lang w:eastAsia="en-NZ"/>
        </w:rPr>
      </w:pPr>
      <w:r>
        <w:rPr>
          <w:noProof/>
        </w:rPr>
        <w:t>Harm prevention</w:t>
      </w:r>
      <w:r>
        <w:rPr>
          <w:noProof/>
        </w:rPr>
        <w:tab/>
      </w:r>
      <w:r>
        <w:rPr>
          <w:noProof/>
        </w:rPr>
        <w:fldChar w:fldCharType="begin"/>
      </w:r>
      <w:r>
        <w:rPr>
          <w:noProof/>
        </w:rPr>
        <w:instrText xml:space="preserve"> PAGEREF _Toc454700965 \h </w:instrText>
      </w:r>
      <w:r>
        <w:rPr>
          <w:noProof/>
        </w:rPr>
      </w:r>
      <w:r>
        <w:rPr>
          <w:noProof/>
        </w:rPr>
        <w:fldChar w:fldCharType="separate"/>
      </w:r>
      <w:r w:rsidR="009128D7">
        <w:rPr>
          <w:noProof/>
        </w:rPr>
        <w:t>10</w:t>
      </w:r>
      <w:r>
        <w:rPr>
          <w:noProof/>
        </w:rPr>
        <w:fldChar w:fldCharType="end"/>
      </w:r>
    </w:p>
    <w:p w:rsidR="00336C19" w:rsidRDefault="00336C19">
      <w:pPr>
        <w:pStyle w:val="TOC2"/>
        <w:rPr>
          <w:rFonts w:asciiTheme="minorHAnsi" w:eastAsiaTheme="minorEastAsia" w:hAnsiTheme="minorHAnsi" w:cstheme="minorBidi"/>
          <w:noProof/>
          <w:szCs w:val="22"/>
          <w:lang w:eastAsia="en-NZ"/>
        </w:rPr>
      </w:pPr>
      <w:r>
        <w:rPr>
          <w:noProof/>
        </w:rPr>
        <w:t>Harm reduction</w:t>
      </w:r>
      <w:r>
        <w:rPr>
          <w:noProof/>
        </w:rPr>
        <w:tab/>
      </w:r>
      <w:r>
        <w:rPr>
          <w:noProof/>
        </w:rPr>
        <w:fldChar w:fldCharType="begin"/>
      </w:r>
      <w:r>
        <w:rPr>
          <w:noProof/>
        </w:rPr>
        <w:instrText xml:space="preserve"> PAGEREF _Toc454700966 \h </w:instrText>
      </w:r>
      <w:r>
        <w:rPr>
          <w:noProof/>
        </w:rPr>
      </w:r>
      <w:r>
        <w:rPr>
          <w:noProof/>
        </w:rPr>
        <w:fldChar w:fldCharType="separate"/>
      </w:r>
      <w:r w:rsidR="009128D7">
        <w:rPr>
          <w:noProof/>
        </w:rPr>
        <w:t>10</w:t>
      </w:r>
      <w:r>
        <w:rPr>
          <w:noProof/>
        </w:rPr>
        <w:fldChar w:fldCharType="end"/>
      </w:r>
    </w:p>
    <w:p w:rsidR="00336C19" w:rsidRDefault="00336C19">
      <w:pPr>
        <w:pStyle w:val="TOC2"/>
        <w:rPr>
          <w:rFonts w:asciiTheme="minorHAnsi" w:eastAsiaTheme="minorEastAsia" w:hAnsiTheme="minorHAnsi" w:cstheme="minorBidi"/>
          <w:noProof/>
          <w:szCs w:val="22"/>
          <w:lang w:eastAsia="en-NZ"/>
        </w:rPr>
      </w:pPr>
      <w:r>
        <w:rPr>
          <w:noProof/>
        </w:rPr>
        <w:t>Proportionality</w:t>
      </w:r>
      <w:r>
        <w:rPr>
          <w:noProof/>
        </w:rPr>
        <w:tab/>
      </w:r>
      <w:r>
        <w:rPr>
          <w:noProof/>
        </w:rPr>
        <w:fldChar w:fldCharType="begin"/>
      </w:r>
      <w:r>
        <w:rPr>
          <w:noProof/>
        </w:rPr>
        <w:instrText xml:space="preserve"> PAGEREF _Toc454700967 \h </w:instrText>
      </w:r>
      <w:r>
        <w:rPr>
          <w:noProof/>
        </w:rPr>
      </w:r>
      <w:r>
        <w:rPr>
          <w:noProof/>
        </w:rPr>
        <w:fldChar w:fldCharType="separate"/>
      </w:r>
      <w:r w:rsidR="009128D7">
        <w:rPr>
          <w:noProof/>
        </w:rPr>
        <w:t>11</w:t>
      </w:r>
      <w:r>
        <w:rPr>
          <w:noProof/>
        </w:rPr>
        <w:fldChar w:fldCharType="end"/>
      </w:r>
    </w:p>
    <w:p w:rsidR="00336C19" w:rsidRDefault="00336C19">
      <w:pPr>
        <w:pStyle w:val="TOC2"/>
        <w:rPr>
          <w:rFonts w:asciiTheme="minorHAnsi" w:eastAsiaTheme="minorEastAsia" w:hAnsiTheme="minorHAnsi" w:cstheme="minorBidi"/>
          <w:noProof/>
          <w:szCs w:val="22"/>
          <w:lang w:eastAsia="en-NZ"/>
        </w:rPr>
      </w:pPr>
      <w:r>
        <w:rPr>
          <w:noProof/>
        </w:rPr>
        <w:t>Cost-effectiveness</w:t>
      </w:r>
      <w:r>
        <w:rPr>
          <w:noProof/>
        </w:rPr>
        <w:tab/>
      </w:r>
      <w:r>
        <w:rPr>
          <w:noProof/>
        </w:rPr>
        <w:fldChar w:fldCharType="begin"/>
      </w:r>
      <w:r>
        <w:rPr>
          <w:noProof/>
        </w:rPr>
        <w:instrText xml:space="preserve"> PAGEREF _Toc454700968 \h </w:instrText>
      </w:r>
      <w:r>
        <w:rPr>
          <w:noProof/>
        </w:rPr>
      </w:r>
      <w:r>
        <w:rPr>
          <w:noProof/>
        </w:rPr>
        <w:fldChar w:fldCharType="separate"/>
      </w:r>
      <w:r w:rsidR="009128D7">
        <w:rPr>
          <w:noProof/>
        </w:rPr>
        <w:t>11</w:t>
      </w:r>
      <w:r>
        <w:rPr>
          <w:noProof/>
        </w:rPr>
        <w:fldChar w:fldCharType="end"/>
      </w:r>
    </w:p>
    <w:p w:rsidR="00336C19" w:rsidRDefault="00336C19">
      <w:pPr>
        <w:pStyle w:val="TOC2"/>
        <w:rPr>
          <w:rFonts w:asciiTheme="minorHAnsi" w:eastAsiaTheme="minorEastAsia" w:hAnsiTheme="minorHAnsi" w:cstheme="minorBidi"/>
          <w:noProof/>
          <w:szCs w:val="22"/>
          <w:lang w:eastAsia="en-NZ"/>
        </w:rPr>
      </w:pPr>
      <w:r>
        <w:rPr>
          <w:noProof/>
        </w:rPr>
        <w:t>Ease of implementation</w:t>
      </w:r>
      <w:r>
        <w:rPr>
          <w:noProof/>
        </w:rPr>
        <w:tab/>
      </w:r>
      <w:r>
        <w:rPr>
          <w:noProof/>
        </w:rPr>
        <w:fldChar w:fldCharType="begin"/>
      </w:r>
      <w:r>
        <w:rPr>
          <w:noProof/>
        </w:rPr>
        <w:instrText xml:space="preserve"> PAGEREF _Toc454700969 \h </w:instrText>
      </w:r>
      <w:r>
        <w:rPr>
          <w:noProof/>
        </w:rPr>
      </w:r>
      <w:r>
        <w:rPr>
          <w:noProof/>
        </w:rPr>
        <w:fldChar w:fldCharType="separate"/>
      </w:r>
      <w:r w:rsidR="009128D7">
        <w:rPr>
          <w:noProof/>
        </w:rPr>
        <w:t>11</w:t>
      </w:r>
      <w:r>
        <w:rPr>
          <w:noProof/>
        </w:rPr>
        <w:fldChar w:fldCharType="end"/>
      </w:r>
    </w:p>
    <w:p w:rsidR="00336C19" w:rsidRDefault="00336C19">
      <w:pPr>
        <w:pStyle w:val="TOC2"/>
        <w:rPr>
          <w:rFonts w:asciiTheme="minorHAnsi" w:eastAsiaTheme="minorEastAsia" w:hAnsiTheme="minorHAnsi" w:cstheme="minorBidi"/>
          <w:noProof/>
          <w:szCs w:val="22"/>
          <w:lang w:eastAsia="en-NZ"/>
        </w:rPr>
      </w:pPr>
      <w:r>
        <w:rPr>
          <w:noProof/>
        </w:rPr>
        <w:t>Summary of assessment of settings</w:t>
      </w:r>
      <w:r>
        <w:rPr>
          <w:noProof/>
        </w:rPr>
        <w:tab/>
      </w:r>
      <w:r>
        <w:rPr>
          <w:noProof/>
        </w:rPr>
        <w:fldChar w:fldCharType="begin"/>
      </w:r>
      <w:r>
        <w:rPr>
          <w:noProof/>
        </w:rPr>
        <w:instrText xml:space="preserve"> PAGEREF _Toc454700970 \h </w:instrText>
      </w:r>
      <w:r>
        <w:rPr>
          <w:noProof/>
        </w:rPr>
      </w:r>
      <w:r>
        <w:rPr>
          <w:noProof/>
        </w:rPr>
        <w:fldChar w:fldCharType="separate"/>
      </w:r>
      <w:r w:rsidR="009128D7">
        <w:rPr>
          <w:noProof/>
        </w:rPr>
        <w:t>12</w:t>
      </w:r>
      <w:r>
        <w:rPr>
          <w:noProof/>
        </w:rPr>
        <w:fldChar w:fldCharType="end"/>
      </w:r>
    </w:p>
    <w:p w:rsidR="00336C19" w:rsidRDefault="00336C19">
      <w:pPr>
        <w:pStyle w:val="TOC1"/>
        <w:rPr>
          <w:rFonts w:asciiTheme="minorHAnsi" w:eastAsiaTheme="minorEastAsia" w:hAnsiTheme="minorHAnsi" w:cstheme="minorBidi"/>
          <w:b w:val="0"/>
          <w:noProof/>
          <w:szCs w:val="22"/>
          <w:lang w:eastAsia="en-NZ"/>
        </w:rPr>
      </w:pPr>
      <w:r>
        <w:rPr>
          <w:noProof/>
        </w:rPr>
        <w:t>Assessment of options</w:t>
      </w:r>
      <w:r>
        <w:rPr>
          <w:noProof/>
        </w:rPr>
        <w:tab/>
      </w:r>
      <w:r>
        <w:rPr>
          <w:noProof/>
        </w:rPr>
        <w:fldChar w:fldCharType="begin"/>
      </w:r>
      <w:r>
        <w:rPr>
          <w:noProof/>
        </w:rPr>
        <w:instrText xml:space="preserve"> PAGEREF _Toc454700971 \h </w:instrText>
      </w:r>
      <w:r>
        <w:rPr>
          <w:noProof/>
        </w:rPr>
      </w:r>
      <w:r>
        <w:rPr>
          <w:noProof/>
        </w:rPr>
        <w:fldChar w:fldCharType="separate"/>
      </w:r>
      <w:r w:rsidR="009128D7">
        <w:rPr>
          <w:noProof/>
        </w:rPr>
        <w:t>13</w:t>
      </w:r>
      <w:r>
        <w:rPr>
          <w:noProof/>
        </w:rPr>
        <w:fldChar w:fldCharType="end"/>
      </w:r>
    </w:p>
    <w:p w:rsidR="00336C19" w:rsidRDefault="00336C19">
      <w:pPr>
        <w:pStyle w:val="TOC2"/>
        <w:rPr>
          <w:rFonts w:asciiTheme="minorHAnsi" w:eastAsiaTheme="minorEastAsia" w:hAnsiTheme="minorHAnsi" w:cstheme="minorBidi"/>
          <w:noProof/>
          <w:szCs w:val="22"/>
          <w:lang w:eastAsia="en-NZ"/>
        </w:rPr>
      </w:pPr>
      <w:r>
        <w:rPr>
          <w:noProof/>
        </w:rPr>
        <w:t>Option 1: Enhanced status quo</w:t>
      </w:r>
      <w:r>
        <w:rPr>
          <w:noProof/>
        </w:rPr>
        <w:tab/>
      </w:r>
      <w:r>
        <w:rPr>
          <w:noProof/>
        </w:rPr>
        <w:fldChar w:fldCharType="begin"/>
      </w:r>
      <w:r>
        <w:rPr>
          <w:noProof/>
        </w:rPr>
        <w:instrText xml:space="preserve"> PAGEREF _Toc454700972 \h </w:instrText>
      </w:r>
      <w:r>
        <w:rPr>
          <w:noProof/>
        </w:rPr>
      </w:r>
      <w:r>
        <w:rPr>
          <w:noProof/>
        </w:rPr>
        <w:fldChar w:fldCharType="separate"/>
      </w:r>
      <w:r w:rsidR="009128D7">
        <w:rPr>
          <w:noProof/>
        </w:rPr>
        <w:t>15</w:t>
      </w:r>
      <w:r>
        <w:rPr>
          <w:noProof/>
        </w:rPr>
        <w:fldChar w:fldCharType="end"/>
      </w:r>
    </w:p>
    <w:p w:rsidR="00336C19" w:rsidRDefault="00336C19">
      <w:pPr>
        <w:pStyle w:val="TOC2"/>
        <w:rPr>
          <w:rFonts w:asciiTheme="minorHAnsi" w:eastAsiaTheme="minorEastAsia" w:hAnsiTheme="minorHAnsi" w:cstheme="minorBidi"/>
          <w:noProof/>
          <w:szCs w:val="22"/>
          <w:lang w:eastAsia="en-NZ"/>
        </w:rPr>
      </w:pPr>
      <w:r>
        <w:rPr>
          <w:noProof/>
        </w:rPr>
        <w:t>Option 2: Replacing possession prohibition with regulations to restrict and manage drug utensils supply</w:t>
      </w:r>
      <w:r>
        <w:rPr>
          <w:noProof/>
        </w:rPr>
        <w:tab/>
      </w:r>
      <w:r>
        <w:rPr>
          <w:noProof/>
        </w:rPr>
        <w:fldChar w:fldCharType="begin"/>
      </w:r>
      <w:r>
        <w:rPr>
          <w:noProof/>
        </w:rPr>
        <w:instrText xml:space="preserve"> PAGEREF _Toc454700973 \h </w:instrText>
      </w:r>
      <w:r>
        <w:rPr>
          <w:noProof/>
        </w:rPr>
      </w:r>
      <w:r>
        <w:rPr>
          <w:noProof/>
        </w:rPr>
        <w:fldChar w:fldCharType="separate"/>
      </w:r>
      <w:r w:rsidR="009128D7">
        <w:rPr>
          <w:noProof/>
        </w:rPr>
        <w:t>16</w:t>
      </w:r>
      <w:r>
        <w:rPr>
          <w:noProof/>
        </w:rPr>
        <w:fldChar w:fldCharType="end"/>
      </w:r>
    </w:p>
    <w:p w:rsidR="00336C19" w:rsidRDefault="00336C19">
      <w:pPr>
        <w:pStyle w:val="TOC2"/>
        <w:rPr>
          <w:rFonts w:asciiTheme="minorHAnsi" w:eastAsiaTheme="minorEastAsia" w:hAnsiTheme="minorHAnsi" w:cstheme="minorBidi"/>
          <w:noProof/>
          <w:szCs w:val="22"/>
          <w:lang w:eastAsia="en-NZ"/>
        </w:rPr>
      </w:pPr>
      <w:r>
        <w:rPr>
          <w:noProof/>
        </w:rPr>
        <w:t>Next steps</w:t>
      </w:r>
      <w:r>
        <w:rPr>
          <w:noProof/>
        </w:rPr>
        <w:tab/>
      </w:r>
      <w:r>
        <w:rPr>
          <w:noProof/>
        </w:rPr>
        <w:fldChar w:fldCharType="begin"/>
      </w:r>
      <w:r>
        <w:rPr>
          <w:noProof/>
        </w:rPr>
        <w:instrText xml:space="preserve"> PAGEREF _Toc454700974 \h </w:instrText>
      </w:r>
      <w:r>
        <w:rPr>
          <w:noProof/>
        </w:rPr>
      </w:r>
      <w:r>
        <w:rPr>
          <w:noProof/>
        </w:rPr>
        <w:fldChar w:fldCharType="separate"/>
      </w:r>
      <w:r w:rsidR="009128D7">
        <w:rPr>
          <w:noProof/>
        </w:rPr>
        <w:t>16</w:t>
      </w:r>
      <w:r>
        <w:rPr>
          <w:noProof/>
        </w:rPr>
        <w:fldChar w:fldCharType="end"/>
      </w:r>
    </w:p>
    <w:p w:rsidR="00336C19" w:rsidRDefault="00336C19">
      <w:pPr>
        <w:pStyle w:val="TOC1"/>
        <w:rPr>
          <w:rFonts w:asciiTheme="minorHAnsi" w:eastAsiaTheme="minorEastAsia" w:hAnsiTheme="minorHAnsi" w:cstheme="minorBidi"/>
          <w:b w:val="0"/>
          <w:noProof/>
          <w:szCs w:val="22"/>
          <w:lang w:eastAsia="en-NZ"/>
        </w:rPr>
      </w:pPr>
      <w:r>
        <w:rPr>
          <w:noProof/>
        </w:rPr>
        <w:t>Appendix: Comparison with other approaches</w:t>
      </w:r>
      <w:r>
        <w:rPr>
          <w:noProof/>
        </w:rPr>
        <w:tab/>
      </w:r>
      <w:r>
        <w:rPr>
          <w:noProof/>
        </w:rPr>
        <w:fldChar w:fldCharType="begin"/>
      </w:r>
      <w:r>
        <w:rPr>
          <w:noProof/>
        </w:rPr>
        <w:instrText xml:space="preserve"> PAGEREF _Toc454700975 \h </w:instrText>
      </w:r>
      <w:r>
        <w:rPr>
          <w:noProof/>
        </w:rPr>
      </w:r>
      <w:r>
        <w:rPr>
          <w:noProof/>
        </w:rPr>
        <w:fldChar w:fldCharType="separate"/>
      </w:r>
      <w:r w:rsidR="009128D7">
        <w:rPr>
          <w:noProof/>
        </w:rPr>
        <w:t>17</w:t>
      </w:r>
      <w:r>
        <w:rPr>
          <w:noProof/>
        </w:rPr>
        <w:fldChar w:fldCharType="end"/>
      </w:r>
    </w:p>
    <w:p w:rsidR="00336C19" w:rsidRDefault="00336C19">
      <w:pPr>
        <w:pStyle w:val="TOC2"/>
        <w:rPr>
          <w:rFonts w:asciiTheme="minorHAnsi" w:eastAsiaTheme="minorEastAsia" w:hAnsiTheme="minorHAnsi" w:cstheme="minorBidi"/>
          <w:noProof/>
          <w:szCs w:val="22"/>
          <w:lang w:eastAsia="en-NZ"/>
        </w:rPr>
      </w:pPr>
      <w:r>
        <w:rPr>
          <w:noProof/>
        </w:rPr>
        <w:t>New Zealand approaches to other drugs</w:t>
      </w:r>
      <w:r>
        <w:rPr>
          <w:noProof/>
        </w:rPr>
        <w:tab/>
      </w:r>
      <w:r>
        <w:rPr>
          <w:noProof/>
        </w:rPr>
        <w:fldChar w:fldCharType="begin"/>
      </w:r>
      <w:r>
        <w:rPr>
          <w:noProof/>
        </w:rPr>
        <w:instrText xml:space="preserve"> PAGEREF _Toc454700976 \h </w:instrText>
      </w:r>
      <w:r>
        <w:rPr>
          <w:noProof/>
        </w:rPr>
      </w:r>
      <w:r>
        <w:rPr>
          <w:noProof/>
        </w:rPr>
        <w:fldChar w:fldCharType="separate"/>
      </w:r>
      <w:r w:rsidR="009128D7">
        <w:rPr>
          <w:noProof/>
        </w:rPr>
        <w:t>17</w:t>
      </w:r>
      <w:r>
        <w:rPr>
          <w:noProof/>
        </w:rPr>
        <w:fldChar w:fldCharType="end"/>
      </w:r>
    </w:p>
    <w:p w:rsidR="00336C19" w:rsidRDefault="00336C19">
      <w:pPr>
        <w:pStyle w:val="TOC2"/>
        <w:rPr>
          <w:rFonts w:asciiTheme="minorHAnsi" w:eastAsiaTheme="minorEastAsia" w:hAnsiTheme="minorHAnsi" w:cstheme="minorBidi"/>
          <w:noProof/>
          <w:szCs w:val="22"/>
          <w:lang w:eastAsia="en-NZ"/>
        </w:rPr>
      </w:pPr>
      <w:r>
        <w:rPr>
          <w:noProof/>
        </w:rPr>
        <w:t>Drug utensil</w:t>
      </w:r>
      <w:r w:rsidR="004B69C0">
        <w:rPr>
          <w:noProof/>
        </w:rPr>
        <w:t>s</w:t>
      </w:r>
      <w:r>
        <w:rPr>
          <w:noProof/>
        </w:rPr>
        <w:t xml:space="preserve"> approaches in Australia and the United Kingdom</w:t>
      </w:r>
      <w:r>
        <w:rPr>
          <w:noProof/>
        </w:rPr>
        <w:tab/>
      </w:r>
      <w:r>
        <w:rPr>
          <w:noProof/>
        </w:rPr>
        <w:fldChar w:fldCharType="begin"/>
      </w:r>
      <w:r>
        <w:rPr>
          <w:noProof/>
        </w:rPr>
        <w:instrText xml:space="preserve"> PAGEREF _Toc454700977 \h </w:instrText>
      </w:r>
      <w:r>
        <w:rPr>
          <w:noProof/>
        </w:rPr>
      </w:r>
      <w:r>
        <w:rPr>
          <w:noProof/>
        </w:rPr>
        <w:fldChar w:fldCharType="separate"/>
      </w:r>
      <w:r w:rsidR="009128D7">
        <w:rPr>
          <w:noProof/>
        </w:rPr>
        <w:t>18</w:t>
      </w:r>
      <w:r>
        <w:rPr>
          <w:noProof/>
        </w:rPr>
        <w:fldChar w:fldCharType="end"/>
      </w:r>
    </w:p>
    <w:p w:rsidR="00336C19" w:rsidRDefault="00336C19">
      <w:pPr>
        <w:pStyle w:val="TOC1"/>
        <w:rPr>
          <w:rFonts w:asciiTheme="minorHAnsi" w:eastAsiaTheme="minorEastAsia" w:hAnsiTheme="minorHAnsi" w:cstheme="minorBidi"/>
          <w:b w:val="0"/>
          <w:noProof/>
          <w:szCs w:val="22"/>
          <w:lang w:eastAsia="en-NZ"/>
        </w:rPr>
      </w:pPr>
      <w:r>
        <w:rPr>
          <w:noProof/>
        </w:rPr>
        <w:t>Review of Drug Utensil</w:t>
      </w:r>
      <w:r w:rsidR="004B69C0">
        <w:rPr>
          <w:noProof/>
        </w:rPr>
        <w:t>s</w:t>
      </w:r>
      <w:r>
        <w:rPr>
          <w:noProof/>
        </w:rPr>
        <w:t xml:space="preserve"> Regulation – Submission form</w:t>
      </w:r>
      <w:r>
        <w:rPr>
          <w:noProof/>
        </w:rPr>
        <w:tab/>
      </w:r>
      <w:r>
        <w:rPr>
          <w:noProof/>
        </w:rPr>
        <w:fldChar w:fldCharType="begin"/>
      </w:r>
      <w:r>
        <w:rPr>
          <w:noProof/>
        </w:rPr>
        <w:instrText xml:space="preserve"> PAGEREF _Toc454700978 \h </w:instrText>
      </w:r>
      <w:r>
        <w:rPr>
          <w:noProof/>
        </w:rPr>
      </w:r>
      <w:r>
        <w:rPr>
          <w:noProof/>
        </w:rPr>
        <w:fldChar w:fldCharType="separate"/>
      </w:r>
      <w:r w:rsidR="009128D7">
        <w:rPr>
          <w:noProof/>
        </w:rPr>
        <w:t>22</w:t>
      </w:r>
      <w:r>
        <w:rPr>
          <w:noProof/>
        </w:rPr>
        <w:fldChar w:fldCharType="end"/>
      </w:r>
    </w:p>
    <w:p w:rsidR="00336C19" w:rsidRDefault="00336C19">
      <w:pPr>
        <w:pStyle w:val="TOC2"/>
        <w:rPr>
          <w:rFonts w:asciiTheme="minorHAnsi" w:eastAsiaTheme="minorEastAsia" w:hAnsiTheme="minorHAnsi" w:cstheme="minorBidi"/>
          <w:noProof/>
          <w:szCs w:val="22"/>
          <w:lang w:eastAsia="en-NZ"/>
        </w:rPr>
      </w:pPr>
      <w:r>
        <w:rPr>
          <w:noProof/>
        </w:rPr>
        <w:t>Making a submission</w:t>
      </w:r>
      <w:r>
        <w:rPr>
          <w:noProof/>
        </w:rPr>
        <w:tab/>
      </w:r>
      <w:r>
        <w:rPr>
          <w:noProof/>
        </w:rPr>
        <w:fldChar w:fldCharType="begin"/>
      </w:r>
      <w:r>
        <w:rPr>
          <w:noProof/>
        </w:rPr>
        <w:instrText xml:space="preserve"> PAGEREF _Toc454700979 \h </w:instrText>
      </w:r>
      <w:r>
        <w:rPr>
          <w:noProof/>
        </w:rPr>
      </w:r>
      <w:r>
        <w:rPr>
          <w:noProof/>
        </w:rPr>
        <w:fldChar w:fldCharType="separate"/>
      </w:r>
      <w:r w:rsidR="009128D7">
        <w:rPr>
          <w:noProof/>
        </w:rPr>
        <w:t>22</w:t>
      </w:r>
      <w:r>
        <w:rPr>
          <w:noProof/>
        </w:rPr>
        <w:fldChar w:fldCharType="end"/>
      </w:r>
    </w:p>
    <w:p w:rsidR="00336C19" w:rsidRDefault="00336C19">
      <w:pPr>
        <w:pStyle w:val="TOC2"/>
        <w:rPr>
          <w:rFonts w:asciiTheme="minorHAnsi" w:eastAsiaTheme="minorEastAsia" w:hAnsiTheme="minorHAnsi" w:cstheme="minorBidi"/>
          <w:noProof/>
          <w:szCs w:val="22"/>
          <w:lang w:eastAsia="en-NZ"/>
        </w:rPr>
      </w:pPr>
      <w:r>
        <w:rPr>
          <w:noProof/>
        </w:rPr>
        <w:t>Submitter details</w:t>
      </w:r>
      <w:r>
        <w:rPr>
          <w:noProof/>
        </w:rPr>
        <w:tab/>
      </w:r>
      <w:r>
        <w:rPr>
          <w:noProof/>
        </w:rPr>
        <w:fldChar w:fldCharType="begin"/>
      </w:r>
      <w:r>
        <w:rPr>
          <w:noProof/>
        </w:rPr>
        <w:instrText xml:space="preserve"> PAGEREF _Toc454700980 \h </w:instrText>
      </w:r>
      <w:r>
        <w:rPr>
          <w:noProof/>
        </w:rPr>
      </w:r>
      <w:r>
        <w:rPr>
          <w:noProof/>
        </w:rPr>
        <w:fldChar w:fldCharType="separate"/>
      </w:r>
      <w:r w:rsidR="009128D7">
        <w:rPr>
          <w:noProof/>
        </w:rPr>
        <w:t>23</w:t>
      </w:r>
      <w:r>
        <w:rPr>
          <w:noProof/>
        </w:rPr>
        <w:fldChar w:fldCharType="end"/>
      </w:r>
    </w:p>
    <w:p w:rsidR="00336C19" w:rsidRDefault="00336C19">
      <w:pPr>
        <w:pStyle w:val="TOC2"/>
        <w:rPr>
          <w:rFonts w:asciiTheme="minorHAnsi" w:eastAsiaTheme="minorEastAsia" w:hAnsiTheme="minorHAnsi" w:cstheme="minorBidi"/>
          <w:noProof/>
          <w:szCs w:val="22"/>
          <w:lang w:eastAsia="en-NZ"/>
        </w:rPr>
      </w:pPr>
      <w:r>
        <w:rPr>
          <w:noProof/>
        </w:rPr>
        <w:t>Questions</w:t>
      </w:r>
      <w:r>
        <w:rPr>
          <w:noProof/>
        </w:rPr>
        <w:tab/>
      </w:r>
      <w:r>
        <w:rPr>
          <w:noProof/>
        </w:rPr>
        <w:fldChar w:fldCharType="begin"/>
      </w:r>
      <w:r>
        <w:rPr>
          <w:noProof/>
        </w:rPr>
        <w:instrText xml:space="preserve"> PAGEREF _Toc454700981 \h </w:instrText>
      </w:r>
      <w:r>
        <w:rPr>
          <w:noProof/>
        </w:rPr>
      </w:r>
      <w:r>
        <w:rPr>
          <w:noProof/>
        </w:rPr>
        <w:fldChar w:fldCharType="separate"/>
      </w:r>
      <w:r w:rsidR="009128D7">
        <w:rPr>
          <w:noProof/>
        </w:rPr>
        <w:t>24</w:t>
      </w:r>
      <w:r>
        <w:rPr>
          <w:noProof/>
        </w:rPr>
        <w:fldChar w:fldCharType="end"/>
      </w:r>
    </w:p>
    <w:p w:rsidR="00C86248" w:rsidRDefault="00C86248">
      <w:r>
        <w:rPr>
          <w:b/>
        </w:rPr>
        <w:lastRenderedPageBreak/>
        <w:fldChar w:fldCharType="end"/>
      </w:r>
    </w:p>
    <w:p w:rsidR="00C86248" w:rsidRDefault="00C86248" w:rsidP="003B1D10">
      <w:pPr>
        <w:pStyle w:val="TOC1"/>
        <w:keepNext/>
      </w:pPr>
      <w:r>
        <w:t xml:space="preserve">List of </w:t>
      </w:r>
      <w:r w:rsidR="004B69C0">
        <w:t>t</w:t>
      </w:r>
      <w:r>
        <w:t>ables</w:t>
      </w:r>
    </w:p>
    <w:p w:rsidR="00336C19" w:rsidRDefault="00C86248">
      <w:pPr>
        <w:pStyle w:val="TOC3"/>
        <w:rPr>
          <w:rFonts w:asciiTheme="minorHAnsi" w:eastAsiaTheme="minorEastAsia" w:hAnsiTheme="minorHAnsi" w:cstheme="minorBidi"/>
          <w:noProof/>
          <w:szCs w:val="22"/>
          <w:lang w:eastAsia="en-NZ"/>
        </w:rPr>
      </w:pPr>
      <w:r>
        <w:rPr>
          <w:sz w:val="20"/>
        </w:rPr>
        <w:fldChar w:fldCharType="begin"/>
      </w:r>
      <w:r>
        <w:instrText xml:space="preserve"> TOC \t "Table,3" </w:instrText>
      </w:r>
      <w:r>
        <w:rPr>
          <w:sz w:val="20"/>
        </w:rPr>
        <w:fldChar w:fldCharType="separate"/>
      </w:r>
      <w:r w:rsidR="00336C19">
        <w:rPr>
          <w:noProof/>
        </w:rPr>
        <w:t>Table 1:</w:t>
      </w:r>
      <w:r w:rsidR="00336C19">
        <w:rPr>
          <w:noProof/>
        </w:rPr>
        <w:tab/>
        <w:t>Utensil charges (for cannabis or other drug) over last 10 years</w:t>
      </w:r>
      <w:r w:rsidR="00336C19">
        <w:rPr>
          <w:noProof/>
        </w:rPr>
        <w:tab/>
      </w:r>
      <w:r w:rsidR="00336C19">
        <w:rPr>
          <w:noProof/>
        </w:rPr>
        <w:fldChar w:fldCharType="begin"/>
      </w:r>
      <w:r w:rsidR="00336C19">
        <w:rPr>
          <w:noProof/>
        </w:rPr>
        <w:instrText xml:space="preserve"> PAGEREF _Toc454700982 \h </w:instrText>
      </w:r>
      <w:r w:rsidR="00336C19">
        <w:rPr>
          <w:noProof/>
        </w:rPr>
      </w:r>
      <w:r w:rsidR="00336C19">
        <w:rPr>
          <w:noProof/>
        </w:rPr>
        <w:fldChar w:fldCharType="separate"/>
      </w:r>
      <w:r w:rsidR="009128D7">
        <w:rPr>
          <w:noProof/>
        </w:rPr>
        <w:t>8</w:t>
      </w:r>
      <w:r w:rsidR="00336C19">
        <w:rPr>
          <w:noProof/>
        </w:rPr>
        <w:fldChar w:fldCharType="end"/>
      </w:r>
    </w:p>
    <w:p w:rsidR="00336C19" w:rsidRDefault="00336C19">
      <w:pPr>
        <w:pStyle w:val="TOC3"/>
        <w:rPr>
          <w:rFonts w:asciiTheme="minorHAnsi" w:eastAsiaTheme="minorEastAsia" w:hAnsiTheme="minorHAnsi" w:cstheme="minorBidi"/>
          <w:noProof/>
          <w:szCs w:val="22"/>
          <w:lang w:eastAsia="en-NZ"/>
        </w:rPr>
      </w:pPr>
      <w:r>
        <w:rPr>
          <w:noProof/>
        </w:rPr>
        <w:t>Table 2:</w:t>
      </w:r>
      <w:r>
        <w:rPr>
          <w:noProof/>
        </w:rPr>
        <w:tab/>
        <w:t>Assessment of the current regulatory settings</w:t>
      </w:r>
      <w:r>
        <w:rPr>
          <w:noProof/>
        </w:rPr>
        <w:tab/>
      </w:r>
      <w:r>
        <w:rPr>
          <w:noProof/>
        </w:rPr>
        <w:fldChar w:fldCharType="begin"/>
      </w:r>
      <w:r>
        <w:rPr>
          <w:noProof/>
        </w:rPr>
        <w:instrText xml:space="preserve"> PAGEREF _Toc454700983 \h </w:instrText>
      </w:r>
      <w:r>
        <w:rPr>
          <w:noProof/>
        </w:rPr>
      </w:r>
      <w:r>
        <w:rPr>
          <w:noProof/>
        </w:rPr>
        <w:fldChar w:fldCharType="separate"/>
      </w:r>
      <w:r w:rsidR="009128D7">
        <w:rPr>
          <w:noProof/>
        </w:rPr>
        <w:t>12</w:t>
      </w:r>
      <w:r>
        <w:rPr>
          <w:noProof/>
        </w:rPr>
        <w:fldChar w:fldCharType="end"/>
      </w:r>
    </w:p>
    <w:p w:rsidR="00336C19" w:rsidRDefault="00336C19">
      <w:pPr>
        <w:pStyle w:val="TOC3"/>
        <w:rPr>
          <w:rFonts w:asciiTheme="minorHAnsi" w:eastAsiaTheme="minorEastAsia" w:hAnsiTheme="minorHAnsi" w:cstheme="minorBidi"/>
          <w:noProof/>
          <w:szCs w:val="22"/>
          <w:lang w:eastAsia="en-NZ"/>
        </w:rPr>
      </w:pPr>
      <w:r>
        <w:rPr>
          <w:noProof/>
        </w:rPr>
        <w:t>Table 3:</w:t>
      </w:r>
      <w:r>
        <w:rPr>
          <w:noProof/>
        </w:rPr>
        <w:tab/>
        <w:t>An initial assessment of Option 1: Enhanced status quo</w:t>
      </w:r>
      <w:r>
        <w:rPr>
          <w:noProof/>
        </w:rPr>
        <w:tab/>
      </w:r>
      <w:r>
        <w:rPr>
          <w:noProof/>
        </w:rPr>
        <w:fldChar w:fldCharType="begin"/>
      </w:r>
      <w:r>
        <w:rPr>
          <w:noProof/>
        </w:rPr>
        <w:instrText xml:space="preserve"> PAGEREF _Toc454700984 \h </w:instrText>
      </w:r>
      <w:r>
        <w:rPr>
          <w:noProof/>
        </w:rPr>
      </w:r>
      <w:r>
        <w:rPr>
          <w:noProof/>
        </w:rPr>
        <w:fldChar w:fldCharType="separate"/>
      </w:r>
      <w:r w:rsidR="009128D7">
        <w:rPr>
          <w:noProof/>
        </w:rPr>
        <w:t>15</w:t>
      </w:r>
      <w:r>
        <w:rPr>
          <w:noProof/>
        </w:rPr>
        <w:fldChar w:fldCharType="end"/>
      </w:r>
    </w:p>
    <w:p w:rsidR="00336C19" w:rsidRDefault="00336C19">
      <w:pPr>
        <w:pStyle w:val="TOC3"/>
        <w:rPr>
          <w:rFonts w:asciiTheme="minorHAnsi" w:eastAsiaTheme="minorEastAsia" w:hAnsiTheme="minorHAnsi" w:cstheme="minorBidi"/>
          <w:noProof/>
          <w:szCs w:val="22"/>
          <w:lang w:eastAsia="en-NZ"/>
        </w:rPr>
      </w:pPr>
      <w:r>
        <w:rPr>
          <w:noProof/>
        </w:rPr>
        <w:t>Table 4:</w:t>
      </w:r>
      <w:r>
        <w:rPr>
          <w:noProof/>
        </w:rPr>
        <w:tab/>
        <w:t xml:space="preserve">An initial assessment of Option 2 compared </w:t>
      </w:r>
      <w:r w:rsidR="004B69C0">
        <w:rPr>
          <w:noProof/>
        </w:rPr>
        <w:t>with</w:t>
      </w:r>
      <w:r>
        <w:rPr>
          <w:noProof/>
        </w:rPr>
        <w:t xml:space="preserve"> the status quo</w:t>
      </w:r>
      <w:r>
        <w:rPr>
          <w:noProof/>
        </w:rPr>
        <w:tab/>
      </w:r>
      <w:r>
        <w:rPr>
          <w:noProof/>
        </w:rPr>
        <w:fldChar w:fldCharType="begin"/>
      </w:r>
      <w:r>
        <w:rPr>
          <w:noProof/>
        </w:rPr>
        <w:instrText xml:space="preserve"> PAGEREF _Toc454700985 \h </w:instrText>
      </w:r>
      <w:r>
        <w:rPr>
          <w:noProof/>
        </w:rPr>
      </w:r>
      <w:r>
        <w:rPr>
          <w:noProof/>
        </w:rPr>
        <w:fldChar w:fldCharType="separate"/>
      </w:r>
      <w:r w:rsidR="009128D7">
        <w:rPr>
          <w:noProof/>
        </w:rPr>
        <w:t>16</w:t>
      </w:r>
      <w:r>
        <w:rPr>
          <w:noProof/>
        </w:rPr>
        <w:fldChar w:fldCharType="end"/>
      </w:r>
    </w:p>
    <w:p w:rsidR="00C86248" w:rsidRDefault="00C86248" w:rsidP="0030382F">
      <w:r>
        <w:fldChar w:fldCharType="end"/>
      </w:r>
    </w:p>
    <w:p w:rsidR="003A5FEA" w:rsidRDefault="003A5FEA" w:rsidP="003A5FEA">
      <w:pPr>
        <w:pStyle w:val="TOC1"/>
      </w:pPr>
      <w:r>
        <w:t xml:space="preserve">List of </w:t>
      </w:r>
      <w:r w:rsidR="004B69C0">
        <w:t>f</w:t>
      </w:r>
      <w:r>
        <w:t>igures</w:t>
      </w:r>
    </w:p>
    <w:p w:rsidR="00336C19" w:rsidRDefault="003A5FEA">
      <w:pPr>
        <w:pStyle w:val="TOC3"/>
        <w:rPr>
          <w:rFonts w:asciiTheme="minorHAnsi" w:eastAsiaTheme="minorEastAsia" w:hAnsiTheme="minorHAnsi" w:cstheme="minorBidi"/>
          <w:noProof/>
          <w:szCs w:val="22"/>
          <w:lang w:eastAsia="en-NZ"/>
        </w:rPr>
      </w:pPr>
      <w:r>
        <w:fldChar w:fldCharType="begin"/>
      </w:r>
      <w:r>
        <w:instrText xml:space="preserve"> TOC \t "Figure,3" </w:instrText>
      </w:r>
      <w:r>
        <w:fldChar w:fldCharType="separate"/>
      </w:r>
      <w:r w:rsidR="00336C19">
        <w:rPr>
          <w:noProof/>
        </w:rPr>
        <w:t>Figure 1:</w:t>
      </w:r>
      <w:r w:rsidR="00336C19">
        <w:rPr>
          <w:noProof/>
        </w:rPr>
        <w:tab/>
        <w:t>Number of drug utensil charges by year</w:t>
      </w:r>
      <w:r w:rsidR="00336C19">
        <w:rPr>
          <w:noProof/>
        </w:rPr>
        <w:tab/>
      </w:r>
      <w:r w:rsidR="00336C19">
        <w:rPr>
          <w:noProof/>
        </w:rPr>
        <w:fldChar w:fldCharType="begin"/>
      </w:r>
      <w:r w:rsidR="00336C19">
        <w:rPr>
          <w:noProof/>
        </w:rPr>
        <w:instrText xml:space="preserve"> PAGEREF _Toc454700992 \h </w:instrText>
      </w:r>
      <w:r w:rsidR="00336C19">
        <w:rPr>
          <w:noProof/>
        </w:rPr>
      </w:r>
      <w:r w:rsidR="00336C19">
        <w:rPr>
          <w:noProof/>
        </w:rPr>
        <w:fldChar w:fldCharType="separate"/>
      </w:r>
      <w:r w:rsidR="009128D7">
        <w:rPr>
          <w:noProof/>
        </w:rPr>
        <w:t>8</w:t>
      </w:r>
      <w:r w:rsidR="00336C19">
        <w:rPr>
          <w:noProof/>
        </w:rPr>
        <w:fldChar w:fldCharType="end"/>
      </w:r>
    </w:p>
    <w:p w:rsidR="00C86248" w:rsidRDefault="003A5FEA" w:rsidP="00D22F4D">
      <w:r>
        <w:fldChar w:fldCharType="end"/>
      </w:r>
    </w:p>
    <w:p w:rsidR="00C86248" w:rsidRDefault="00C86248">
      <w:pPr>
        <w:sectPr w:rsidR="00C86248" w:rsidSect="009D5125">
          <w:footerReference w:type="even" r:id="rId19"/>
          <w:pgSz w:w="11907" w:h="16840" w:code="9"/>
          <w:pgMar w:top="851" w:right="1134" w:bottom="1134" w:left="1134" w:header="284" w:footer="567" w:gutter="284"/>
          <w:pgNumType w:fmt="lowerRoman"/>
          <w:cols w:space="720"/>
        </w:sectPr>
      </w:pPr>
    </w:p>
    <w:p w:rsidR="008C2973" w:rsidRDefault="0086388B" w:rsidP="0086388B">
      <w:pPr>
        <w:pStyle w:val="Heading1"/>
      </w:pPr>
      <w:bookmarkStart w:id="4" w:name="_Toc454700948"/>
      <w:r>
        <w:lastRenderedPageBreak/>
        <w:t>Introduction</w:t>
      </w:r>
      <w:bookmarkEnd w:id="4"/>
    </w:p>
    <w:p w:rsidR="00C56FCC" w:rsidRPr="003143D9" w:rsidRDefault="00C56FCC" w:rsidP="004931D9">
      <w:pPr>
        <w:pStyle w:val="Heading2"/>
      </w:pPr>
      <w:bookmarkStart w:id="5" w:name="_Toc454263599"/>
      <w:bookmarkStart w:id="6" w:name="_Toc454700949"/>
      <w:r w:rsidRPr="003143D9">
        <w:t>Purpose</w:t>
      </w:r>
      <w:bookmarkEnd w:id="5"/>
      <w:bookmarkEnd w:id="6"/>
    </w:p>
    <w:p w:rsidR="00C56FCC" w:rsidRDefault="00C56FCC" w:rsidP="004931D9">
      <w:r w:rsidRPr="00F02375">
        <w:t xml:space="preserve">The Ministry of Health is reviewing the regulations on drug utensils to ensure they support the goal of the National Drug Policy 2015 to 2020, </w:t>
      </w:r>
      <w:r w:rsidR="00F91482">
        <w:t>‘</w:t>
      </w:r>
      <w:r w:rsidRPr="00F02375">
        <w:t>to minimise harm from alcohol and other drug use and promote and protect health and wellbeing</w:t>
      </w:r>
      <w:r w:rsidR="00F91482">
        <w:t>’</w:t>
      </w:r>
      <w:r w:rsidRPr="00F02375">
        <w:t xml:space="preserve"> for all New Zealanders.</w:t>
      </w:r>
    </w:p>
    <w:p w:rsidR="004931D9" w:rsidRPr="00F02375" w:rsidRDefault="004931D9" w:rsidP="004931D9"/>
    <w:p w:rsidR="00C56FCC" w:rsidRDefault="00C56FCC" w:rsidP="004931D9">
      <w:pPr>
        <w:pStyle w:val="Heading2"/>
      </w:pPr>
      <w:bookmarkStart w:id="7" w:name="_Toc454263600"/>
      <w:bookmarkStart w:id="8" w:name="_Toc454700950"/>
      <w:r>
        <w:t>Approach</w:t>
      </w:r>
      <w:bookmarkEnd w:id="7"/>
      <w:bookmarkEnd w:id="8"/>
    </w:p>
    <w:p w:rsidR="00F91482" w:rsidRDefault="00C56FCC" w:rsidP="004931D9">
      <w:r w:rsidRPr="00F02375">
        <w:t xml:space="preserve">This review </w:t>
      </w:r>
      <w:r w:rsidRPr="009D133E">
        <w:t>looks at whether current regulations will improve s</w:t>
      </w:r>
      <w:r w:rsidR="007764B0">
        <w:t>ocial outcomes and support the G</w:t>
      </w:r>
      <w:r w:rsidRPr="009D133E">
        <w:t>overnment</w:t>
      </w:r>
      <w:r w:rsidR="00F91482">
        <w:t>’</w:t>
      </w:r>
      <w:r w:rsidRPr="009D133E">
        <w:t>s drug policy goals</w:t>
      </w:r>
      <w:r>
        <w:t>.</w:t>
      </w:r>
      <w:r w:rsidR="00F91482">
        <w:t xml:space="preserve"> </w:t>
      </w:r>
      <w:r w:rsidRPr="004C0569">
        <w:t xml:space="preserve">This review will help inform options for </w:t>
      </w:r>
      <w:r>
        <w:t xml:space="preserve">any </w:t>
      </w:r>
      <w:r w:rsidRPr="004C0569">
        <w:t xml:space="preserve">changes to </w:t>
      </w:r>
      <w:r>
        <w:t xml:space="preserve">approaches to </w:t>
      </w:r>
      <w:r w:rsidRPr="004C0569">
        <w:t xml:space="preserve">drug utensils </w:t>
      </w:r>
      <w:r>
        <w:t>in the future.</w:t>
      </w:r>
    </w:p>
    <w:p w:rsidR="00C56FCC" w:rsidRDefault="00C56FCC" w:rsidP="004931D9"/>
    <w:p w:rsidR="00C56FCC" w:rsidRPr="00F02375" w:rsidRDefault="00C56FCC" w:rsidP="004931D9">
      <w:r w:rsidRPr="00F02375">
        <w:t xml:space="preserve">The discussion document </w:t>
      </w:r>
      <w:r w:rsidR="006A600B">
        <w:t>supports</w:t>
      </w:r>
      <w:r w:rsidR="006A600B" w:rsidRPr="00F02375">
        <w:t xml:space="preserve"> </w:t>
      </w:r>
      <w:r w:rsidR="00BB3C9D">
        <w:t>the</w:t>
      </w:r>
      <w:r w:rsidR="00BB3C9D" w:rsidRPr="00F02375">
        <w:t xml:space="preserve"> </w:t>
      </w:r>
      <w:r w:rsidR="006A600B">
        <w:t>harm minimisation</w:t>
      </w:r>
      <w:r w:rsidRPr="00F02375">
        <w:t xml:space="preserve"> goal</w:t>
      </w:r>
      <w:r w:rsidR="00BB3C9D">
        <w:t>s</w:t>
      </w:r>
      <w:r w:rsidRPr="00F02375">
        <w:t xml:space="preserve"> of the National Drug Policy, and:</w:t>
      </w:r>
    </w:p>
    <w:p w:rsidR="00C56FCC" w:rsidRPr="00F02375" w:rsidRDefault="00C56FCC" w:rsidP="004931D9">
      <w:pPr>
        <w:pStyle w:val="Bullet"/>
      </w:pPr>
      <w:r w:rsidRPr="00F02375">
        <w:t>proposes evaluation criteria to test the costs and benefits of our current drug utensil</w:t>
      </w:r>
      <w:r w:rsidR="004B69C0">
        <w:t>s</w:t>
      </w:r>
      <w:r w:rsidRPr="00F02375">
        <w:t xml:space="preserve"> regulations and weigh</w:t>
      </w:r>
      <w:r>
        <w:t>s</w:t>
      </w:r>
      <w:r w:rsidRPr="00F02375">
        <w:t xml:space="preserve"> this against alternative regulatory options</w:t>
      </w:r>
    </w:p>
    <w:p w:rsidR="00C56FCC" w:rsidRPr="00F02375" w:rsidRDefault="00C56FCC" w:rsidP="004931D9">
      <w:pPr>
        <w:pStyle w:val="Bullet"/>
      </w:pPr>
      <w:r w:rsidRPr="00F02375">
        <w:t>assesses the status quo against the evaluation criteria</w:t>
      </w:r>
    </w:p>
    <w:p w:rsidR="00F91482" w:rsidRDefault="00C56FCC" w:rsidP="004931D9">
      <w:pPr>
        <w:pStyle w:val="Bullet"/>
      </w:pPr>
      <w:r w:rsidRPr="00F02375">
        <w:t>identifies alternative options and assesses them against the evaluation criteria.</w:t>
      </w:r>
    </w:p>
    <w:p w:rsidR="00C56FCC" w:rsidRDefault="00C56FCC" w:rsidP="004931D9"/>
    <w:p w:rsidR="00C56FCC" w:rsidRPr="00C54764" w:rsidRDefault="00C56FCC" w:rsidP="004931D9">
      <w:pPr>
        <w:pStyle w:val="Heading2"/>
      </w:pPr>
      <w:bookmarkStart w:id="9" w:name="_Toc454263601"/>
      <w:bookmarkStart w:id="10" w:name="_Toc454700951"/>
      <w:r w:rsidRPr="00C54764">
        <w:t>Context</w:t>
      </w:r>
      <w:bookmarkEnd w:id="9"/>
      <w:bookmarkEnd w:id="10"/>
    </w:p>
    <w:p w:rsidR="00C56FCC" w:rsidRPr="00F02375" w:rsidRDefault="00C56FCC" w:rsidP="004931D9">
      <w:r w:rsidRPr="00F02375">
        <w:t xml:space="preserve">The National Drug Policy identifies alcohol and other drug issues as health matters that need to be addressed proportionately, compassionately and innovatively. The goal of the </w:t>
      </w:r>
      <w:r w:rsidR="002C2536">
        <w:t>p</w:t>
      </w:r>
      <w:r w:rsidRPr="00F02375">
        <w:t>olicy is to minimise harm from alcohol and other drugs, and to promote and protect the health and wellbeing of New Zealanders. It does this by balancing three strategic approaches:</w:t>
      </w:r>
    </w:p>
    <w:p w:rsidR="00C56FCC" w:rsidRPr="00F02375" w:rsidRDefault="00C56FCC" w:rsidP="004931D9">
      <w:pPr>
        <w:pStyle w:val="Bullet"/>
      </w:pPr>
      <w:r w:rsidRPr="00F02375">
        <w:t>problem limitation (reducing harm from alcohol and other drugs that is already occurring, such as through treatment services and access to safer equipment)</w:t>
      </w:r>
    </w:p>
    <w:p w:rsidR="00C56FCC" w:rsidRPr="00F02375" w:rsidRDefault="00C56FCC" w:rsidP="004931D9">
      <w:pPr>
        <w:pStyle w:val="Bullet"/>
      </w:pPr>
      <w:r w:rsidRPr="00F02375">
        <w:t>demand reduction (reducing the desire to use alcohol and other drugs, such as through education, advertising and marketing restrictions, and community resilience)</w:t>
      </w:r>
    </w:p>
    <w:p w:rsidR="00F91482" w:rsidRDefault="00C56FCC" w:rsidP="004931D9">
      <w:pPr>
        <w:pStyle w:val="Bullet"/>
      </w:pPr>
      <w:r w:rsidRPr="00F02375">
        <w:t>supply control (reducing the availability of alcohol and other drugs, such as through border control, domestic enforcement and market regulation).</w:t>
      </w:r>
    </w:p>
    <w:p w:rsidR="00C56FCC" w:rsidRPr="00F02375" w:rsidRDefault="00C56FCC" w:rsidP="004931D9"/>
    <w:p w:rsidR="00C56FCC" w:rsidRDefault="00C56FCC" w:rsidP="004931D9">
      <w:r w:rsidRPr="00F02375">
        <w:t>One of the National Drug Policy</w:t>
      </w:r>
      <w:r w:rsidR="00F91482">
        <w:t>’</w:t>
      </w:r>
      <w:r w:rsidRPr="00F02375">
        <w:t xml:space="preserve">s priority areas is </w:t>
      </w:r>
      <w:r w:rsidR="00F91482">
        <w:t>‘</w:t>
      </w:r>
      <w:r w:rsidRPr="00F02375">
        <w:t>Getting the Legal Balance Right</w:t>
      </w:r>
      <w:r w:rsidR="00F91482">
        <w:t>’</w:t>
      </w:r>
      <w:r w:rsidRPr="00F02375">
        <w:t xml:space="preserve">. This is to ensure our drug laws, and their enforcement, effectively balance the three strategic approaches </w:t>
      </w:r>
      <w:r w:rsidRPr="009D133E">
        <w:t xml:space="preserve">above. This means considering the health and wellbeing of people who use drugs, their family and peers, and the wider community. This discussion document seeks </w:t>
      </w:r>
      <w:r>
        <w:t>views on</w:t>
      </w:r>
      <w:r w:rsidRPr="009D133E">
        <w:t xml:space="preserve"> whether a revised approach to drug utensil</w:t>
      </w:r>
      <w:r w:rsidR="004B69C0">
        <w:t>s</w:t>
      </w:r>
      <w:r w:rsidRPr="009D133E">
        <w:t xml:space="preserve"> regulation might be more effective in achieving the goal of the National Drug Policy. In doing so, it </w:t>
      </w:r>
      <w:r>
        <w:t>considers the</w:t>
      </w:r>
      <w:r w:rsidRPr="009D133E">
        <w:t xml:space="preserve"> recommendation in the Law</w:t>
      </w:r>
      <w:r w:rsidRPr="00F02375">
        <w:t xml:space="preserve"> Commission</w:t>
      </w:r>
      <w:r w:rsidR="00F91482">
        <w:t>’</w:t>
      </w:r>
      <w:r w:rsidRPr="00F02375">
        <w:t xml:space="preserve">s 2011 report </w:t>
      </w:r>
      <w:r w:rsidRPr="00F02375">
        <w:rPr>
          <w:i/>
        </w:rPr>
        <w:t>Contro</w:t>
      </w:r>
      <w:r>
        <w:rPr>
          <w:i/>
        </w:rPr>
        <w:t>lling and Regulating Drugs – R</w:t>
      </w:r>
      <w:r w:rsidRPr="00F02375">
        <w:rPr>
          <w:i/>
        </w:rPr>
        <w:t>eview of the Misuse of Drugs Act 1975</w:t>
      </w:r>
      <w:r>
        <w:t xml:space="preserve"> </w:t>
      </w:r>
      <w:r w:rsidRPr="00DF5923">
        <w:t>that it</w:t>
      </w:r>
      <w:r w:rsidR="006A600B">
        <w:t xml:space="preserve"> should</w:t>
      </w:r>
      <w:r w:rsidRPr="00DF5923">
        <w:t xml:space="preserve"> no longer be an offence to possess utensils for the purpose of using drugs.</w:t>
      </w:r>
    </w:p>
    <w:p w:rsidR="004931D9" w:rsidRDefault="004931D9" w:rsidP="004931D9"/>
    <w:p w:rsidR="00C56FCC" w:rsidRDefault="00C56FCC" w:rsidP="004931D9">
      <w:pPr>
        <w:pStyle w:val="Heading2"/>
      </w:pPr>
      <w:bookmarkStart w:id="11" w:name="_Toc454263602"/>
      <w:bookmarkStart w:id="12" w:name="_Toc454700952"/>
      <w:bookmarkStart w:id="13" w:name="_Toc436846360"/>
      <w:bookmarkStart w:id="14" w:name="_Toc435785977"/>
      <w:r>
        <w:lastRenderedPageBreak/>
        <w:t>Scope</w:t>
      </w:r>
      <w:bookmarkEnd w:id="11"/>
      <w:bookmarkEnd w:id="12"/>
    </w:p>
    <w:p w:rsidR="00F91482" w:rsidRDefault="00C56FCC" w:rsidP="004931D9">
      <w:r w:rsidRPr="00F02375">
        <w:t xml:space="preserve">This document </w:t>
      </w:r>
      <w:r w:rsidRPr="009D133E">
        <w:t>asks whether the current regulation of drug utensils is effective in achieving the goal and objectives of the National Drug Policy. In par</w:t>
      </w:r>
      <w:r w:rsidRPr="00F02375">
        <w:t xml:space="preserve">ticular, the focus is on utensils that people use to </w:t>
      </w:r>
      <w:r>
        <w:t>take</w:t>
      </w:r>
      <w:r w:rsidRPr="00F02375">
        <w:t xml:space="preserve"> controlled drugs (eg, </w:t>
      </w:r>
      <w:r w:rsidR="001A4A92">
        <w:t xml:space="preserve">bongs </w:t>
      </w:r>
      <w:r>
        <w:t xml:space="preserve">to </w:t>
      </w:r>
      <w:r w:rsidR="00BB3C9D">
        <w:t>smoke</w:t>
      </w:r>
      <w:r>
        <w:t xml:space="preserve"> </w:t>
      </w:r>
      <w:r w:rsidRPr="00F02375">
        <w:t>cannabis).</w:t>
      </w:r>
    </w:p>
    <w:p w:rsidR="00C56FCC" w:rsidRPr="00F02375" w:rsidRDefault="00C56FCC" w:rsidP="004931D9"/>
    <w:p w:rsidR="00F91482" w:rsidRDefault="00C56FCC" w:rsidP="004931D9">
      <w:r w:rsidRPr="00F02375">
        <w:t>A review of the law about possession or supply of controlled drugs is not within the scope of this discussion document.</w:t>
      </w:r>
    </w:p>
    <w:p w:rsidR="004931D9" w:rsidRDefault="004931D9" w:rsidP="004931D9"/>
    <w:p w:rsidR="00C56FCC" w:rsidRPr="00D8334B" w:rsidRDefault="00C56FCC" w:rsidP="004931D9">
      <w:pPr>
        <w:pStyle w:val="Heading2"/>
      </w:pPr>
      <w:bookmarkStart w:id="15" w:name="_Toc454263603"/>
      <w:bookmarkStart w:id="16" w:name="_Toc454700953"/>
      <w:r w:rsidRPr="00D8334B">
        <w:t>How to have your say</w:t>
      </w:r>
      <w:bookmarkEnd w:id="13"/>
      <w:bookmarkEnd w:id="14"/>
      <w:bookmarkEnd w:id="15"/>
      <w:bookmarkEnd w:id="16"/>
    </w:p>
    <w:p w:rsidR="00C56FCC" w:rsidRPr="00F02375" w:rsidRDefault="00C56FCC" w:rsidP="004931D9">
      <w:r w:rsidRPr="00F02375">
        <w:t>Your feedback is important. The final pages of this document explain how to submit your comments to the Ministry of Health.</w:t>
      </w:r>
    </w:p>
    <w:p w:rsidR="004931D9" w:rsidRPr="006F0077" w:rsidRDefault="004931D9" w:rsidP="004931D9"/>
    <w:p w:rsidR="00C56FCC" w:rsidRDefault="00C56FCC">
      <w:pPr>
        <w:spacing w:line="240" w:lineRule="auto"/>
      </w:pPr>
      <w:r>
        <w:br w:type="page"/>
      </w:r>
    </w:p>
    <w:p w:rsidR="00C56FCC" w:rsidRDefault="00C56FCC" w:rsidP="004931D9">
      <w:pPr>
        <w:pStyle w:val="Heading1"/>
      </w:pPr>
      <w:bookmarkStart w:id="17" w:name="_Toc454263604"/>
      <w:bookmarkStart w:id="18" w:name="_Toc454700954"/>
      <w:r>
        <w:lastRenderedPageBreak/>
        <w:t>Policy objectives</w:t>
      </w:r>
      <w:bookmarkEnd w:id="17"/>
      <w:bookmarkEnd w:id="18"/>
    </w:p>
    <w:p w:rsidR="00F91482" w:rsidRDefault="00C56FCC" w:rsidP="004931D9">
      <w:r w:rsidRPr="00F02375">
        <w:t xml:space="preserve">The </w:t>
      </w:r>
      <w:r w:rsidRPr="009D133E">
        <w:t>main purpose of this review is to understand</w:t>
      </w:r>
      <w:r w:rsidRPr="00F02375">
        <w:t xml:space="preserve"> </w:t>
      </w:r>
      <w:r w:rsidRPr="009D133E">
        <w:t>whether the regulation of drug utensils delivers on the National Drug Policy</w:t>
      </w:r>
      <w:r w:rsidR="00F91482">
        <w:t>’</w:t>
      </w:r>
      <w:r w:rsidRPr="009D133E">
        <w:t>s goal to minimise harm from alcohol and other drug use, and promote and protect health and wellbeing. This</w:t>
      </w:r>
      <w:r w:rsidRPr="00F02375">
        <w:t xml:space="preserve"> objective has been </w:t>
      </w:r>
      <w:r w:rsidR="007764B0">
        <w:t>broken down into five criteria:</w:t>
      </w:r>
    </w:p>
    <w:p w:rsidR="00C56FCC" w:rsidRPr="00F02375" w:rsidRDefault="007764B0" w:rsidP="007764B0">
      <w:pPr>
        <w:pStyle w:val="Bullet"/>
      </w:pPr>
      <w:r>
        <w:t>h</w:t>
      </w:r>
      <w:r w:rsidR="00C56FCC" w:rsidRPr="00F02375">
        <w:t>arm prevention (particularly for young people)</w:t>
      </w:r>
    </w:p>
    <w:p w:rsidR="00F91482" w:rsidRDefault="007764B0" w:rsidP="007764B0">
      <w:pPr>
        <w:pStyle w:val="Bullet"/>
        <w:rPr>
          <w:rFonts w:eastAsia="Gustan-Light"/>
          <w:lang w:eastAsia="en-NZ"/>
        </w:rPr>
      </w:pPr>
      <w:r>
        <w:t>h</w:t>
      </w:r>
      <w:r w:rsidR="00C56FCC" w:rsidRPr="00F02375">
        <w:t>arm reduction</w:t>
      </w:r>
    </w:p>
    <w:p w:rsidR="00C56FCC" w:rsidRPr="00F02375" w:rsidRDefault="007764B0" w:rsidP="007764B0">
      <w:pPr>
        <w:pStyle w:val="Bullet"/>
      </w:pPr>
      <w:r>
        <w:rPr>
          <w:rFonts w:eastAsia="Gustan-Light"/>
          <w:lang w:eastAsia="en-NZ"/>
        </w:rPr>
        <w:t>p</w:t>
      </w:r>
      <w:r w:rsidR="00C56FCC" w:rsidRPr="00F02375">
        <w:rPr>
          <w:rFonts w:eastAsia="Gustan-Light"/>
          <w:lang w:eastAsia="en-NZ"/>
        </w:rPr>
        <w:t>roportionality</w:t>
      </w:r>
    </w:p>
    <w:p w:rsidR="00024ABC" w:rsidRDefault="007764B0" w:rsidP="007764B0">
      <w:pPr>
        <w:pStyle w:val="Bullet"/>
      </w:pPr>
      <w:r>
        <w:t>c</w:t>
      </w:r>
      <w:r w:rsidR="00024ABC" w:rsidRPr="00F02375">
        <w:t>ost</w:t>
      </w:r>
      <w:r w:rsidR="00024ABC">
        <w:t>-</w:t>
      </w:r>
      <w:r w:rsidR="00024ABC" w:rsidRPr="00F02375">
        <w:t>effectiveness</w:t>
      </w:r>
    </w:p>
    <w:p w:rsidR="00C56FCC" w:rsidRPr="00F02375" w:rsidRDefault="007764B0" w:rsidP="007764B0">
      <w:pPr>
        <w:pStyle w:val="Bullet"/>
      </w:pPr>
      <w:r>
        <w:t>e</w:t>
      </w:r>
      <w:r w:rsidR="00C56FCC" w:rsidRPr="00F02375">
        <w:t>ase of implementation</w:t>
      </w:r>
      <w:r w:rsidR="00024ABC">
        <w:t>.</w:t>
      </w:r>
    </w:p>
    <w:p w:rsidR="00C56FCC" w:rsidRPr="00F02375" w:rsidRDefault="00C56FCC" w:rsidP="007764B0">
      <w:pPr>
        <w:ind w:hanging="284"/>
      </w:pPr>
    </w:p>
    <w:p w:rsidR="00C56FCC" w:rsidRPr="00272FC3" w:rsidRDefault="00C56FCC" w:rsidP="004931D9">
      <w:pPr>
        <w:pStyle w:val="Heading2"/>
      </w:pPr>
      <w:bookmarkStart w:id="19" w:name="_Toc454263605"/>
      <w:bookmarkStart w:id="20" w:name="_Toc454700955"/>
      <w:r w:rsidRPr="00272FC3">
        <w:t>Harm prevention</w:t>
      </w:r>
      <w:bookmarkEnd w:id="19"/>
      <w:bookmarkEnd w:id="20"/>
    </w:p>
    <w:p w:rsidR="00C56FCC" w:rsidRPr="00F02375" w:rsidRDefault="00C56FCC" w:rsidP="004931D9">
      <w:r w:rsidRPr="00F02375">
        <w:t>All drug use carries a risk of harm, both to people who use drugs and to society. Some drugs</w:t>
      </w:r>
      <w:r w:rsidR="004931D9">
        <w:t xml:space="preserve"> </w:t>
      </w:r>
      <w:r w:rsidRPr="00F02375">
        <w:t>(eg,</w:t>
      </w:r>
      <w:r w:rsidR="004931D9">
        <w:t> </w:t>
      </w:r>
      <w:r w:rsidRPr="00F02375">
        <w:t>methamphetamine) result in higher social cost and total harm per user than other drugs</w:t>
      </w:r>
      <w:r w:rsidRPr="004931D9">
        <w:rPr>
          <w:rStyle w:val="FootnoteReference"/>
        </w:rPr>
        <w:footnoteReference w:id="1"/>
      </w:r>
      <w:r w:rsidRPr="00F02375">
        <w:t xml:space="preserve"> and are a priority for </w:t>
      </w:r>
      <w:r w:rsidR="00024ABC">
        <w:t>G</w:t>
      </w:r>
      <w:r w:rsidRPr="00F02375">
        <w:t>overnment. Drug use can lead to physical and mental health issues and dependence issues, which can also cause relationship and employment difficulties, family violence or property crime. Young people are particularly vulnerable because their brains are still developing, and early use can cause substance-related problems later in life. Prevention and delay of drug use will reduce these harms.</w:t>
      </w:r>
    </w:p>
    <w:p w:rsidR="00C56FCC" w:rsidRPr="00F02375" w:rsidRDefault="00C56FCC" w:rsidP="004931D9"/>
    <w:p w:rsidR="00C56FCC" w:rsidRDefault="00C56FCC" w:rsidP="004931D9">
      <w:r w:rsidRPr="00F02375">
        <w:t>Utensils are one way of administering or consuming controlled drugs</w:t>
      </w:r>
      <w:r w:rsidR="00024ABC">
        <w:t>,</w:t>
      </w:r>
      <w:r w:rsidRPr="00F02375">
        <w:t xml:space="preserve"> but their availability is not necessarily a good measure for </w:t>
      </w:r>
      <w:r>
        <w:t>preventing drug harm. Once a choice has been made to take drugs</w:t>
      </w:r>
      <w:r w:rsidR="00024ABC">
        <w:t>,</w:t>
      </w:r>
      <w:r>
        <w:t xml:space="preserve"> any means can be found to achieve </w:t>
      </w:r>
      <w:r w:rsidR="00903D57">
        <w:t>th</w:t>
      </w:r>
      <w:r w:rsidR="007764B0">
        <w:t>is,</w:t>
      </w:r>
      <w:r>
        <w:t xml:space="preserve"> regardless of </w:t>
      </w:r>
      <w:r w:rsidR="00730CBC">
        <w:t xml:space="preserve">the </w:t>
      </w:r>
      <w:r>
        <w:t>availability or legality of drug utensils.</w:t>
      </w:r>
    </w:p>
    <w:p w:rsidR="00C56FCC" w:rsidRPr="00F02375" w:rsidRDefault="00C56FCC" w:rsidP="004931D9"/>
    <w:p w:rsidR="00C56FCC" w:rsidRPr="00272FC3" w:rsidRDefault="00C56FCC" w:rsidP="004931D9">
      <w:pPr>
        <w:pStyle w:val="Heading2"/>
        <w:rPr>
          <w:highlight w:val="yellow"/>
        </w:rPr>
      </w:pPr>
      <w:bookmarkStart w:id="21" w:name="_Toc454263606"/>
      <w:bookmarkStart w:id="22" w:name="_Toc454700956"/>
      <w:r w:rsidRPr="00731F1E">
        <w:t>Harm reduction</w:t>
      </w:r>
      <w:bookmarkEnd w:id="21"/>
      <w:bookmarkEnd w:id="22"/>
    </w:p>
    <w:p w:rsidR="00BB3C9D" w:rsidRDefault="00C56FCC" w:rsidP="004931D9">
      <w:r w:rsidRPr="00F02375">
        <w:t xml:space="preserve">The way that drugs are taken can increase or decrease the risk of personal harm. For example, access to safe and clean needles prevents the spread of blood-borne viruses such as HIV and Hepatitis C. </w:t>
      </w:r>
    </w:p>
    <w:p w:rsidR="00BB3C9D" w:rsidRDefault="00BB3C9D" w:rsidP="004931D9"/>
    <w:p w:rsidR="00C56FCC" w:rsidRDefault="00C56FCC" w:rsidP="004931D9">
      <w:r w:rsidRPr="00F02375">
        <w:t xml:space="preserve">Vaporisers have the potential to reduce harm when used to smoke illegal </w:t>
      </w:r>
      <w:r w:rsidR="001203AB">
        <w:t>or</w:t>
      </w:r>
      <w:r w:rsidR="001203AB" w:rsidRPr="00F02375">
        <w:t xml:space="preserve"> </w:t>
      </w:r>
      <w:r w:rsidRPr="00F02375">
        <w:t xml:space="preserve">legal drugs and </w:t>
      </w:r>
      <w:r w:rsidR="001203AB">
        <w:t>can</w:t>
      </w:r>
      <w:r w:rsidR="001203AB" w:rsidRPr="00F02375">
        <w:t xml:space="preserve"> </w:t>
      </w:r>
      <w:r w:rsidRPr="00F02375">
        <w:t xml:space="preserve">also </w:t>
      </w:r>
      <w:r w:rsidR="001203AB">
        <w:t>be a safer</w:t>
      </w:r>
      <w:r w:rsidR="001203AB" w:rsidRPr="00F02375">
        <w:t xml:space="preserve"> </w:t>
      </w:r>
      <w:r w:rsidRPr="00F02375">
        <w:t>alternative to injecting drugs.</w:t>
      </w:r>
    </w:p>
    <w:p w:rsidR="00C56FCC" w:rsidRPr="00F02375" w:rsidRDefault="00C56FCC" w:rsidP="004931D9"/>
    <w:p w:rsidR="00C56FCC" w:rsidRPr="001104BD" w:rsidRDefault="00C56FCC" w:rsidP="004931D9">
      <w:pPr>
        <w:pStyle w:val="Heading2"/>
      </w:pPr>
      <w:bookmarkStart w:id="23" w:name="_Toc454263607"/>
      <w:bookmarkStart w:id="24" w:name="_Toc454700957"/>
      <w:r w:rsidRPr="001104BD">
        <w:t>Proportionality</w:t>
      </w:r>
      <w:bookmarkEnd w:id="23"/>
      <w:bookmarkEnd w:id="24"/>
    </w:p>
    <w:p w:rsidR="00F91482" w:rsidRDefault="00C56FCC" w:rsidP="004931D9">
      <w:r w:rsidRPr="00F02375">
        <w:t>Criminal penalties are one of the most serious ways to deter people from harmful or risky behaviours. Contact with the criminal justice system can result in the loss of liberty</w:t>
      </w:r>
      <w:r w:rsidR="00024ABC">
        <w:t xml:space="preserve"> and</w:t>
      </w:r>
      <w:r w:rsidRPr="00F02375">
        <w:t xml:space="preserve"> loss of property and have long-term negative consequences on people because of the stigma of a criminal conviction.</w:t>
      </w:r>
    </w:p>
    <w:p w:rsidR="004931D9" w:rsidRDefault="004931D9" w:rsidP="004931D9"/>
    <w:p w:rsidR="00C56FCC" w:rsidRPr="00F02375" w:rsidRDefault="00C56FCC" w:rsidP="004931D9">
      <w:pPr>
        <w:keepNext/>
      </w:pPr>
      <w:r w:rsidRPr="00F02375">
        <w:lastRenderedPageBreak/>
        <w:t>There are two questions to be asked when it comes to proportionality:</w:t>
      </w:r>
    </w:p>
    <w:p w:rsidR="00C56FCC" w:rsidRPr="00F02375" w:rsidRDefault="004931D9" w:rsidP="004931D9">
      <w:pPr>
        <w:spacing w:before="180"/>
        <w:ind w:left="567" w:hanging="567"/>
      </w:pPr>
      <w:r>
        <w:t>1.</w:t>
      </w:r>
      <w:r>
        <w:tab/>
      </w:r>
      <w:r w:rsidR="00C56FCC" w:rsidRPr="00F02375">
        <w:t xml:space="preserve">Is the behaviour so unacceptable, that the negative impacts of </w:t>
      </w:r>
      <w:r w:rsidR="00C56FCC">
        <w:t xml:space="preserve">criminalising the behaviour </w:t>
      </w:r>
      <w:r w:rsidR="00C56FCC" w:rsidRPr="00F02375">
        <w:t xml:space="preserve">are outweighed by the importance of </w:t>
      </w:r>
      <w:r w:rsidR="00C56FCC">
        <w:t>punishment and</w:t>
      </w:r>
      <w:r w:rsidR="00C56FCC" w:rsidRPr="00F02375">
        <w:t xml:space="preserve"> deterren</w:t>
      </w:r>
      <w:r w:rsidR="00C56FCC">
        <w:t>ce</w:t>
      </w:r>
      <w:r w:rsidR="00C56FCC" w:rsidRPr="00F02375">
        <w:t>?</w:t>
      </w:r>
    </w:p>
    <w:p w:rsidR="00C56FCC" w:rsidRDefault="00C56FCC" w:rsidP="004931D9">
      <w:pPr>
        <w:spacing w:before="120"/>
        <w:ind w:left="567"/>
      </w:pPr>
      <w:r w:rsidRPr="00F02375">
        <w:t>Relevant considerations for whether a</w:t>
      </w:r>
      <w:r>
        <w:t xml:space="preserve"> criminal offence is justified include:</w:t>
      </w:r>
    </w:p>
    <w:p w:rsidR="00C56FCC" w:rsidRPr="00F02375" w:rsidRDefault="00C56FCC" w:rsidP="004931D9">
      <w:pPr>
        <w:pStyle w:val="Bullet"/>
        <w:tabs>
          <w:tab w:val="clear" w:pos="284"/>
          <w:tab w:val="num" w:pos="851"/>
        </w:tabs>
        <w:ind w:left="851"/>
      </w:pPr>
      <w:r w:rsidRPr="00F02375">
        <w:t>how much the behaviour causes or risks causing harm</w:t>
      </w:r>
    </w:p>
    <w:p w:rsidR="00F91482" w:rsidRDefault="00C56FCC" w:rsidP="004931D9">
      <w:pPr>
        <w:pStyle w:val="Bullet"/>
        <w:ind w:left="851"/>
      </w:pPr>
      <w:r w:rsidRPr="00F02375">
        <w:t>whether that harm is to public or private interests</w:t>
      </w:r>
    </w:p>
    <w:p w:rsidR="00C56FCC" w:rsidRDefault="00C56FCC" w:rsidP="004931D9">
      <w:pPr>
        <w:pStyle w:val="Bullet"/>
        <w:ind w:left="851"/>
      </w:pPr>
      <w:r w:rsidRPr="00F02375">
        <w:t>whether the behaviour is adequately addressed elsewhere in criminal law or could be addressed without criminalisation</w:t>
      </w:r>
    </w:p>
    <w:p w:rsidR="00C56FCC" w:rsidRPr="00BB3545" w:rsidRDefault="00C56FCC" w:rsidP="004931D9">
      <w:pPr>
        <w:pStyle w:val="Bullet"/>
        <w:ind w:left="851"/>
      </w:pPr>
      <w:r w:rsidRPr="009D133E">
        <w:rPr>
          <w:szCs w:val="22"/>
        </w:rPr>
        <w:t>the wider implications of criminal penalties on a person</w:t>
      </w:r>
      <w:r w:rsidR="00F91482">
        <w:rPr>
          <w:szCs w:val="22"/>
        </w:rPr>
        <w:t>’</w:t>
      </w:r>
      <w:r>
        <w:rPr>
          <w:szCs w:val="22"/>
        </w:rPr>
        <w:t>s future in light of the harm caused.</w:t>
      </w:r>
    </w:p>
    <w:p w:rsidR="00F91482" w:rsidRDefault="004931D9" w:rsidP="004931D9">
      <w:pPr>
        <w:spacing w:before="180"/>
        <w:ind w:left="567" w:hanging="567"/>
      </w:pPr>
      <w:r>
        <w:t>2.</w:t>
      </w:r>
      <w:r>
        <w:tab/>
      </w:r>
      <w:r w:rsidR="00C56FCC" w:rsidRPr="00F02375">
        <w:t>Is the maximum fine or sentence for the behaviour in proportion to the harm done or risked (relative t</w:t>
      </w:r>
      <w:r w:rsidR="00C56FCC">
        <w:t>o penalties for other offences)?</w:t>
      </w:r>
    </w:p>
    <w:p w:rsidR="00C56FCC" w:rsidRDefault="00C56FCC" w:rsidP="004931D9">
      <w:pPr>
        <w:spacing w:before="120"/>
        <w:ind w:left="567"/>
      </w:pPr>
      <w:r w:rsidRPr="00F02375">
        <w:t>Rele</w:t>
      </w:r>
      <w:r>
        <w:t>vant considerations for whether the</w:t>
      </w:r>
      <w:r w:rsidRPr="00F02375">
        <w:t xml:space="preserve"> </w:t>
      </w:r>
      <w:r>
        <w:t xml:space="preserve">maximum </w:t>
      </w:r>
      <w:r w:rsidRPr="00F02375">
        <w:t>penalty</w:t>
      </w:r>
      <w:r>
        <w:t xml:space="preserve"> is</w:t>
      </w:r>
      <w:r w:rsidRPr="00F02375">
        <w:t xml:space="preserve"> </w:t>
      </w:r>
      <w:r>
        <w:t>proportionate</w:t>
      </w:r>
      <w:r w:rsidRPr="00F02375">
        <w:t xml:space="preserve"> include:</w:t>
      </w:r>
    </w:p>
    <w:p w:rsidR="00C56FCC" w:rsidRDefault="00C56FCC" w:rsidP="004931D9">
      <w:pPr>
        <w:pStyle w:val="Bullet"/>
        <w:tabs>
          <w:tab w:val="clear" w:pos="284"/>
          <w:tab w:val="num" w:pos="851"/>
        </w:tabs>
        <w:ind w:left="851"/>
      </w:pPr>
      <w:r>
        <w:t xml:space="preserve">how the penalty compares </w:t>
      </w:r>
      <w:r w:rsidR="00024ABC">
        <w:t>with</w:t>
      </w:r>
      <w:r>
        <w:t xml:space="preserve"> related drug offences</w:t>
      </w:r>
    </w:p>
    <w:p w:rsidR="00C56FCC" w:rsidRPr="009B01D4" w:rsidRDefault="00C56FCC" w:rsidP="004931D9">
      <w:pPr>
        <w:pStyle w:val="Bullet"/>
        <w:ind w:left="851"/>
      </w:pPr>
      <w:r>
        <w:t xml:space="preserve">how the penalty compares </w:t>
      </w:r>
      <w:r w:rsidR="00024ABC">
        <w:t>with</w:t>
      </w:r>
      <w:r>
        <w:t xml:space="preserve"> other criminal offences.</w:t>
      </w:r>
    </w:p>
    <w:p w:rsidR="00C56FCC" w:rsidRDefault="00C56FCC" w:rsidP="004931D9"/>
    <w:p w:rsidR="00C56FCC" w:rsidRDefault="00C56FCC" w:rsidP="004931D9">
      <w:pPr>
        <w:pStyle w:val="Heading2"/>
      </w:pPr>
      <w:bookmarkStart w:id="25" w:name="_Toc454263608"/>
      <w:bookmarkStart w:id="26" w:name="_Toc454700958"/>
      <w:r>
        <w:t>Cost</w:t>
      </w:r>
      <w:r w:rsidR="004931D9">
        <w:t>-e</w:t>
      </w:r>
      <w:r>
        <w:t>ffectiveness</w:t>
      </w:r>
      <w:bookmarkEnd w:id="25"/>
      <w:bookmarkEnd w:id="26"/>
    </w:p>
    <w:p w:rsidR="00F91482" w:rsidRDefault="00C56FCC" w:rsidP="004931D9">
      <w:r w:rsidRPr="009D133E">
        <w:t xml:space="preserve">When assessing the outcomes of various policy approaches, it is important to consider how </w:t>
      </w:r>
      <w:r w:rsidR="007764B0">
        <w:t>effectively the G</w:t>
      </w:r>
      <w:r w:rsidRPr="009D133E">
        <w:t>overnment is using tax payer money.</w:t>
      </w:r>
      <w:r>
        <w:t xml:space="preserve"> There are a number of interventions </w:t>
      </w:r>
      <w:r w:rsidR="008549DA">
        <w:t xml:space="preserve">that may be </w:t>
      </w:r>
      <w:r>
        <w:t>used to address the complex issues behind drug use. If these interventions are not working, then we need to rethink our approach and find more cost-effective solutions.</w:t>
      </w:r>
    </w:p>
    <w:p w:rsidR="00C56FCC" w:rsidRPr="00AD28CF" w:rsidRDefault="00C56FCC" w:rsidP="004931D9"/>
    <w:p w:rsidR="00C56FCC" w:rsidRDefault="00C56FCC" w:rsidP="004931D9">
      <w:pPr>
        <w:pStyle w:val="Heading2"/>
      </w:pPr>
      <w:bookmarkStart w:id="27" w:name="_Toc454263609"/>
      <w:bookmarkStart w:id="28" w:name="_Toc454700959"/>
      <w:r>
        <w:t>Ease of implementation</w:t>
      </w:r>
      <w:bookmarkEnd w:id="27"/>
      <w:bookmarkEnd w:id="28"/>
    </w:p>
    <w:p w:rsidR="00F91482" w:rsidRDefault="00C56FCC" w:rsidP="004931D9">
      <w:r w:rsidRPr="009D133E">
        <w:t xml:space="preserve">It is important that regulations are designed to use resources effectively, achieve the desired outcomes and be implemented as intended. Regulations need to be clear enough for border enforcement officers to make timely decisions on whether </w:t>
      </w:r>
      <w:r w:rsidR="007764B0">
        <w:t xml:space="preserve">or not </w:t>
      </w:r>
      <w:r w:rsidRPr="009D133E">
        <w:t xml:space="preserve">an item is prohibited. The same applies to </w:t>
      </w:r>
      <w:r>
        <w:t>p</w:t>
      </w:r>
      <w:r w:rsidRPr="009D133E">
        <w:t xml:space="preserve">olice who need to make prosecution decisions in relation to drug </w:t>
      </w:r>
      <w:r w:rsidR="008549DA">
        <w:t>utensils</w:t>
      </w:r>
      <w:r w:rsidR="008549DA" w:rsidRPr="009D133E">
        <w:t xml:space="preserve"> </w:t>
      </w:r>
      <w:r w:rsidRPr="009D133E">
        <w:t>offences.</w:t>
      </w:r>
    </w:p>
    <w:p w:rsidR="004931D9" w:rsidRDefault="004931D9" w:rsidP="004931D9"/>
    <w:p w:rsidR="004931D9" w:rsidRPr="009D133E" w:rsidRDefault="004931D9" w:rsidP="004931D9">
      <w:pPr>
        <w:pStyle w:val="BoxHeading"/>
      </w:pPr>
      <w:r w:rsidRPr="009D133E">
        <w:t>Question 1</w:t>
      </w:r>
    </w:p>
    <w:p w:rsidR="004931D9" w:rsidRDefault="004931D9" w:rsidP="004931D9">
      <w:pPr>
        <w:pStyle w:val="Box"/>
      </w:pPr>
      <w:r w:rsidRPr="009D133E">
        <w:t>Do you support the five proposed evaluation criteria: harm prevention</w:t>
      </w:r>
      <w:r w:rsidR="00024ABC">
        <w:t>,</w:t>
      </w:r>
      <w:r w:rsidRPr="009D133E">
        <w:t xml:space="preserve"> harm reduction, proportionality, ease of implementation and cost effectiveness?</w:t>
      </w:r>
    </w:p>
    <w:p w:rsidR="004931D9" w:rsidRPr="009D133E" w:rsidRDefault="004931D9" w:rsidP="004931D9">
      <w:pPr>
        <w:pStyle w:val="Box"/>
      </w:pPr>
      <w:r w:rsidRPr="009D133E">
        <w:t>Why or why not? What alternative criteria would you propose?</w:t>
      </w:r>
    </w:p>
    <w:p w:rsidR="004931D9" w:rsidRPr="009D133E" w:rsidRDefault="004931D9" w:rsidP="004931D9">
      <w:pPr>
        <w:pStyle w:val="Box"/>
      </w:pPr>
      <w:r w:rsidRPr="009D133E">
        <w:t>Do you think they should have different weightings?</w:t>
      </w:r>
    </w:p>
    <w:p w:rsidR="004931D9" w:rsidRPr="009D133E" w:rsidRDefault="004931D9" w:rsidP="004931D9">
      <w:pPr>
        <w:pStyle w:val="Box"/>
      </w:pPr>
      <w:r w:rsidRPr="009D133E">
        <w:t>Why or why not? What weighting would you propose?</w:t>
      </w:r>
    </w:p>
    <w:p w:rsidR="00C56FCC" w:rsidRPr="003A298E" w:rsidRDefault="00C56FCC" w:rsidP="004931D9"/>
    <w:p w:rsidR="00C56FCC" w:rsidRDefault="00C56FCC" w:rsidP="004931D9">
      <w:pPr>
        <w:pStyle w:val="Heading1"/>
      </w:pPr>
      <w:bookmarkStart w:id="29" w:name="_Toc454263610"/>
      <w:bookmarkStart w:id="30" w:name="_Toc454700960"/>
      <w:r>
        <w:lastRenderedPageBreak/>
        <w:t>The status quo</w:t>
      </w:r>
      <w:bookmarkEnd w:id="29"/>
      <w:bookmarkEnd w:id="30"/>
    </w:p>
    <w:p w:rsidR="00C56FCC" w:rsidRPr="00F02375" w:rsidRDefault="00C56FCC" w:rsidP="004931D9">
      <w:r w:rsidRPr="00F02375">
        <w:t>This section covers the following aspects of the status quo:</w:t>
      </w:r>
    </w:p>
    <w:p w:rsidR="00C56FCC" w:rsidRPr="00F02375" w:rsidRDefault="00C56FCC" w:rsidP="004931D9">
      <w:pPr>
        <w:pStyle w:val="Bullet"/>
      </w:pPr>
      <w:r w:rsidRPr="00F02375">
        <w:t>regulatory settings (legal definitions and provisions relating to drug utensils)</w:t>
      </w:r>
    </w:p>
    <w:p w:rsidR="00C56FCC" w:rsidRPr="00F02375" w:rsidRDefault="00C56FCC" w:rsidP="004931D9">
      <w:pPr>
        <w:pStyle w:val="Bullet"/>
      </w:pPr>
      <w:r w:rsidRPr="00F02375">
        <w:t>regulatory practice (how the legal provisions are enforced)</w:t>
      </w:r>
    </w:p>
    <w:p w:rsidR="00C56FCC" w:rsidRDefault="00C56FCC" w:rsidP="004931D9">
      <w:pPr>
        <w:pStyle w:val="Bullet"/>
      </w:pPr>
      <w:r w:rsidRPr="00F02375">
        <w:t>availability and use (ability of people to obtain a drug utensil and patterns of use).</w:t>
      </w:r>
    </w:p>
    <w:p w:rsidR="004931D9" w:rsidRPr="00F02375" w:rsidRDefault="004931D9" w:rsidP="004931D9"/>
    <w:p w:rsidR="00C56FCC" w:rsidRPr="00E76560" w:rsidRDefault="00C56FCC" w:rsidP="004931D9">
      <w:pPr>
        <w:pStyle w:val="Heading2"/>
      </w:pPr>
      <w:bookmarkStart w:id="31" w:name="_Toc454263611"/>
      <w:bookmarkStart w:id="32" w:name="_Toc454700961"/>
      <w:r>
        <w:t>Regulatory settings</w:t>
      </w:r>
      <w:bookmarkEnd w:id="31"/>
      <w:bookmarkEnd w:id="32"/>
    </w:p>
    <w:p w:rsidR="00F91482" w:rsidRDefault="00C56FCC" w:rsidP="004931D9">
      <w:pPr>
        <w:pStyle w:val="Heading3"/>
      </w:pPr>
      <w:r>
        <w:t>Legal definitions</w:t>
      </w:r>
    </w:p>
    <w:p w:rsidR="00C56FCC" w:rsidRPr="00F02375" w:rsidRDefault="00C56FCC" w:rsidP="004931D9">
      <w:r w:rsidRPr="00F02375">
        <w:t>Under the Misuse of Drugs Act 1975</w:t>
      </w:r>
      <w:r w:rsidR="00024ABC">
        <w:t>,</w:t>
      </w:r>
      <w:r w:rsidRPr="00F02375">
        <w:t xml:space="preserve"> it is a criminal offence to:</w:t>
      </w:r>
    </w:p>
    <w:p w:rsidR="00C56FCC" w:rsidRDefault="00C56FCC" w:rsidP="004931D9">
      <w:pPr>
        <w:pStyle w:val="Bullet"/>
      </w:pPr>
      <w:r>
        <w:t>supply, import or offer for sale specified drug utensils</w:t>
      </w:r>
    </w:p>
    <w:p w:rsidR="00C56FCC" w:rsidRDefault="00C56FCC" w:rsidP="004931D9">
      <w:pPr>
        <w:pStyle w:val="Bullet"/>
      </w:pPr>
      <w:r>
        <w:t>possess a drug utensil if it is intended to be used for the commission of an offence against the Act, such as consuming a controlled drug, with specified exemptions</w:t>
      </w:r>
      <w:r w:rsidRPr="005A1FF9">
        <w:t xml:space="preserve"> for needles and syringes</w:t>
      </w:r>
      <w:r>
        <w:t xml:space="preserve"> obtained through the needle exchange programme.</w:t>
      </w:r>
    </w:p>
    <w:p w:rsidR="00C56FCC" w:rsidRDefault="00C56FCC" w:rsidP="004931D9"/>
    <w:p w:rsidR="00C56FCC" w:rsidRPr="009B01D4" w:rsidRDefault="00C56FCC" w:rsidP="004931D9">
      <w:r w:rsidRPr="009B01D4">
        <w:t>The Misuse of Drugs Act</w:t>
      </w:r>
      <w:r>
        <w:t xml:space="preserve"> </w:t>
      </w:r>
      <w:r w:rsidRPr="009B01D4">
        <w:t xml:space="preserve">empowers the Minister of Health to specify via Notice in the New Zealand Gazette (the Notice) which particular drug utensils the Act applies to, and the conditions under which those </w:t>
      </w:r>
      <w:r w:rsidR="000714B1">
        <w:t>utensil</w:t>
      </w:r>
      <w:r w:rsidRPr="009B01D4">
        <w:t>s can be sold or possessed for sale/supply.</w:t>
      </w:r>
    </w:p>
    <w:p w:rsidR="004931D9" w:rsidRDefault="004931D9" w:rsidP="004931D9"/>
    <w:p w:rsidR="00F91482" w:rsidRDefault="00C56FCC" w:rsidP="004931D9">
      <w:r w:rsidRPr="00F02375">
        <w:t xml:space="preserve">Prohibitions </w:t>
      </w:r>
      <w:r w:rsidRPr="00166994">
        <w:t>on supplying, importing or offering for sale</w:t>
      </w:r>
      <w:r w:rsidRPr="00F02375">
        <w:t xml:space="preserve"> apply only to </w:t>
      </w:r>
      <w:r>
        <w:t xml:space="preserve">drug </w:t>
      </w:r>
      <w:r w:rsidRPr="00F02375">
        <w:t>utensils specified by the Minister</w:t>
      </w:r>
      <w:r>
        <w:t xml:space="preserve"> in the Notice</w:t>
      </w:r>
      <w:r w:rsidRPr="00F02375">
        <w:t xml:space="preserve"> (currently this includes cannabis and methamphetamine utensils, such as bongs and pipes).</w:t>
      </w:r>
    </w:p>
    <w:p w:rsidR="004931D9" w:rsidRDefault="004931D9" w:rsidP="004931D9"/>
    <w:p w:rsidR="00C56FCC" w:rsidRDefault="00C56FCC" w:rsidP="004931D9">
      <w:pPr>
        <w:rPr>
          <w:szCs w:val="22"/>
        </w:rPr>
      </w:pPr>
      <w:r w:rsidRPr="00F02375">
        <w:t>The prohibition on</w:t>
      </w:r>
      <w:r>
        <w:t xml:space="preserve"> drug</w:t>
      </w:r>
      <w:r w:rsidRPr="00F02375">
        <w:t xml:space="preserve"> </w:t>
      </w:r>
      <w:r w:rsidRPr="005F77AC">
        <w:t>utensil</w:t>
      </w:r>
      <w:r w:rsidR="004B69C0">
        <w:t>s</w:t>
      </w:r>
      <w:r w:rsidRPr="00F02375">
        <w:t xml:space="preserve"> </w:t>
      </w:r>
      <w:r w:rsidRPr="00166994">
        <w:t>possession</w:t>
      </w:r>
      <w:r w:rsidRPr="00F02375">
        <w:t xml:space="preserve"> applies to any object (including knives and water bottles) if it can be proven that it was used to take a controlled drug.</w:t>
      </w:r>
      <w:r w:rsidRPr="00F02375" w:rsidDel="0053306E">
        <w:t xml:space="preserve"> </w:t>
      </w:r>
      <w:r w:rsidRPr="00F02375">
        <w:t xml:space="preserve">Specific exemptions for needles and syringes are in place to allow access to safe and clean needles, to reduce vein harm and prevent the spread of blood-borne viruses such as HIV and </w:t>
      </w:r>
      <w:r w:rsidR="000714B1">
        <w:t>h</w:t>
      </w:r>
      <w:r w:rsidRPr="00F02375">
        <w:t>epatitis C. Regulations allow for access to needles and syringes through a pharmacist, pharmacy employee, approved medical practitioner or authorised representative</w:t>
      </w:r>
      <w:r w:rsidRPr="00F02375">
        <w:rPr>
          <w:szCs w:val="22"/>
        </w:rPr>
        <w:t>.</w:t>
      </w:r>
    </w:p>
    <w:p w:rsidR="004931D9" w:rsidRPr="00F02375" w:rsidRDefault="004931D9" w:rsidP="004931D9">
      <w:pPr>
        <w:rPr>
          <w:szCs w:val="22"/>
        </w:rPr>
      </w:pPr>
    </w:p>
    <w:p w:rsidR="00C56FCC" w:rsidRPr="007B3002" w:rsidRDefault="00C56FCC" w:rsidP="004931D9">
      <w:pPr>
        <w:pStyle w:val="Heading3"/>
      </w:pPr>
      <w:r w:rsidRPr="007B3002">
        <w:t>Penalties</w:t>
      </w:r>
    </w:p>
    <w:p w:rsidR="00C56FCC" w:rsidRPr="00F02375" w:rsidRDefault="00C56FCC" w:rsidP="004931D9">
      <w:r w:rsidRPr="00F02375">
        <w:t>The penalties for supplying, importing or offering a drug utensil for sale is up to three months imprisonment and/or a fine of up to $1,000 (or $5,000 for a body corporate). Utensils imported in breach of the Notice are prohibited goods for the purposes of the Customs and Excise Act 1996 and are subject to the general penalties imposed by section 209 of that Act, as well as being liable to seizure and forfeiture</w:t>
      </w:r>
      <w:r w:rsidR="004931D9">
        <w:t>.</w:t>
      </w:r>
      <w:r w:rsidRPr="004931D9">
        <w:rPr>
          <w:rStyle w:val="FootnoteReference"/>
        </w:rPr>
        <w:footnoteReference w:id="2"/>
      </w:r>
    </w:p>
    <w:p w:rsidR="004931D9" w:rsidRDefault="004931D9" w:rsidP="004931D9"/>
    <w:p w:rsidR="00C56FCC" w:rsidRPr="00F02375" w:rsidRDefault="00C56FCC" w:rsidP="004931D9">
      <w:r w:rsidRPr="00F02375">
        <w:t>The penalty for possess</w:t>
      </w:r>
      <w:r w:rsidR="000714B1">
        <w:t>ing</w:t>
      </w:r>
      <w:r w:rsidRPr="00F02375">
        <w:t xml:space="preserve"> a drug utensil is up to one year</w:t>
      </w:r>
      <w:r w:rsidR="00F91482">
        <w:t>’</w:t>
      </w:r>
      <w:r w:rsidRPr="00F02375">
        <w:t>s imprisonment, and/or a fine of up to $500.</w:t>
      </w:r>
    </w:p>
    <w:p w:rsidR="004931D9" w:rsidRDefault="004931D9" w:rsidP="004931D9"/>
    <w:p w:rsidR="00C56FCC" w:rsidRPr="00F02375" w:rsidRDefault="00C56FCC" w:rsidP="004931D9">
      <w:pPr>
        <w:keepNext/>
      </w:pPr>
      <w:bookmarkStart w:id="33" w:name="Comparison"/>
      <w:bookmarkEnd w:id="33"/>
      <w:r w:rsidRPr="00F02375">
        <w:lastRenderedPageBreak/>
        <w:t>By way of comparison with alcohol and other drug-related laws:</w:t>
      </w:r>
    </w:p>
    <w:p w:rsidR="00F91482" w:rsidRDefault="00C56FCC" w:rsidP="004931D9">
      <w:pPr>
        <w:pStyle w:val="Bullet"/>
      </w:pPr>
      <w:r w:rsidRPr="00F02375">
        <w:t xml:space="preserve">the maximum imprisonment term for possession of a Class C drug (eg, cannabis) is </w:t>
      </w:r>
      <w:r w:rsidR="00691522">
        <w:t>three</w:t>
      </w:r>
      <w:r w:rsidRPr="00F02375">
        <w:t xml:space="preserve"> months (with a provision that imprisonment is only to be imposed in exceptional cases) and </w:t>
      </w:r>
      <w:r w:rsidR="00691522">
        <w:t>six</w:t>
      </w:r>
      <w:r w:rsidRPr="00F02375">
        <w:t xml:space="preserve"> months for a Class A drug (eg, methamphetamine)</w:t>
      </w:r>
    </w:p>
    <w:p w:rsidR="00C56FCC" w:rsidRPr="00F02375" w:rsidRDefault="00C56FCC" w:rsidP="004931D9">
      <w:pPr>
        <w:pStyle w:val="Bullet"/>
      </w:pPr>
      <w:r w:rsidRPr="00F02375">
        <w:t>possessing or consuming alcohol in breach of a Local Alcohol Ban attracts an infringement fee of $250</w:t>
      </w:r>
    </w:p>
    <w:p w:rsidR="00C56FCC" w:rsidRPr="00F02375" w:rsidRDefault="00C56FCC" w:rsidP="004931D9">
      <w:pPr>
        <w:pStyle w:val="Bullet"/>
      </w:pPr>
      <w:r w:rsidRPr="00F02375">
        <w:t>personal possession of an unapproved psychoactive substance attracts an infringement fee of $300.</w:t>
      </w:r>
    </w:p>
    <w:p w:rsidR="00691522" w:rsidRDefault="00691522" w:rsidP="00691522">
      <w:pPr>
        <w:rPr>
          <w:szCs w:val="22"/>
        </w:rPr>
      </w:pPr>
    </w:p>
    <w:p w:rsidR="00F91482" w:rsidRDefault="00C56FCC" w:rsidP="00691522">
      <w:r w:rsidRPr="00F02375">
        <w:rPr>
          <w:szCs w:val="22"/>
        </w:rPr>
        <w:t xml:space="preserve">If </w:t>
      </w:r>
      <w:r w:rsidR="002F0D84" w:rsidRPr="00F02375">
        <w:rPr>
          <w:szCs w:val="22"/>
        </w:rPr>
        <w:t>compar</w:t>
      </w:r>
      <w:r w:rsidR="002F0D84">
        <w:rPr>
          <w:szCs w:val="22"/>
        </w:rPr>
        <w:t>ed</w:t>
      </w:r>
      <w:r w:rsidR="002F0D84" w:rsidRPr="00F02375">
        <w:rPr>
          <w:szCs w:val="22"/>
        </w:rPr>
        <w:t xml:space="preserve"> </w:t>
      </w:r>
      <w:r w:rsidR="002F0D84">
        <w:rPr>
          <w:szCs w:val="22"/>
        </w:rPr>
        <w:t>to</w:t>
      </w:r>
      <w:r w:rsidR="002F0D84" w:rsidRPr="00F02375">
        <w:rPr>
          <w:szCs w:val="22"/>
        </w:rPr>
        <w:t xml:space="preserve"> </w:t>
      </w:r>
      <w:r w:rsidRPr="00F02375">
        <w:rPr>
          <w:szCs w:val="22"/>
        </w:rPr>
        <w:t xml:space="preserve">an offence that facilitates a crime, </w:t>
      </w:r>
      <w:r w:rsidR="002F0D84">
        <w:rPr>
          <w:szCs w:val="22"/>
        </w:rPr>
        <w:t>for example</w:t>
      </w:r>
      <w:r w:rsidRPr="00F02375">
        <w:t xml:space="preserve"> possessing </w:t>
      </w:r>
      <w:r w:rsidR="00BB3C9D">
        <w:t>tools</w:t>
      </w:r>
      <w:r w:rsidRPr="00F02375">
        <w:t xml:space="preserve"> that assist with stealing things</w:t>
      </w:r>
      <w:r w:rsidR="00BB3C9D">
        <w:t>,</w:t>
      </w:r>
      <w:r w:rsidRPr="00F02375">
        <w:t xml:space="preserve"> </w:t>
      </w:r>
      <w:r w:rsidR="002F0D84">
        <w:t>there is</w:t>
      </w:r>
      <w:r w:rsidR="002F0D84" w:rsidRPr="00F02375">
        <w:t xml:space="preserve"> </w:t>
      </w:r>
      <w:r w:rsidRPr="00F02375">
        <w:t xml:space="preserve">a maximum penalty of </w:t>
      </w:r>
      <w:r w:rsidR="00691522">
        <w:t>one</w:t>
      </w:r>
      <w:r w:rsidRPr="00F02375">
        <w:t xml:space="preserve"> year imprisonment, which is far lower penalty than the offence of theft </w:t>
      </w:r>
      <w:r w:rsidR="002F0D84">
        <w:t>which has a</w:t>
      </w:r>
      <w:r w:rsidR="00BB3C9D">
        <w:t xml:space="preserve"> </w:t>
      </w:r>
      <w:r w:rsidRPr="00F02375">
        <w:t xml:space="preserve">maximum of </w:t>
      </w:r>
      <w:r w:rsidR="00691522">
        <w:t>seven</w:t>
      </w:r>
      <w:r w:rsidRPr="00F02375">
        <w:t xml:space="preserve"> years </w:t>
      </w:r>
      <w:r w:rsidR="00BB3C9D">
        <w:t>(for</w:t>
      </w:r>
      <w:r w:rsidRPr="00F02375">
        <w:t xml:space="preserve"> property exceeding $1,000 in value).</w:t>
      </w:r>
    </w:p>
    <w:p w:rsidR="00691522" w:rsidRDefault="00691522" w:rsidP="00691522"/>
    <w:p w:rsidR="00691522" w:rsidRPr="00F02375" w:rsidRDefault="00691522" w:rsidP="00691522">
      <w:pPr>
        <w:pStyle w:val="BoxHeading"/>
      </w:pPr>
      <w:r w:rsidRPr="00F02375">
        <w:t>Legal provisions relating to utensils</w:t>
      </w:r>
    </w:p>
    <w:p w:rsidR="00691522" w:rsidRPr="00691522" w:rsidRDefault="00691522" w:rsidP="00691522">
      <w:pPr>
        <w:pStyle w:val="Box"/>
        <w:spacing w:before="240"/>
        <w:rPr>
          <w:b/>
        </w:rPr>
      </w:pPr>
      <w:r w:rsidRPr="00691522">
        <w:rPr>
          <w:b/>
        </w:rPr>
        <w:t>Supply, import and offer for sale</w:t>
      </w:r>
    </w:p>
    <w:p w:rsidR="00691522" w:rsidRDefault="00691522" w:rsidP="00691522">
      <w:pPr>
        <w:pStyle w:val="Box"/>
      </w:pPr>
      <w:r w:rsidRPr="00F02375">
        <w:t xml:space="preserve">Section 22(1A) of the Act empowers the Minister of Health to issue notices by Gazette to prohibit supply, import and offering for sale of drug utensils (and identifiable components thereof) other than needles and syringes either absolutely or conditionally. Notices have been in place prohibiting the import and supply of cannabis utensils since 1999 and methamphetamine utensils since 2003. Changes were introduced through the current Misuse of Drugs (Prohibition of Cannabis Utensils and Methamphetamine Utensils) Notice 2014 to also prohibit importation of component parts and </w:t>
      </w:r>
      <w:r>
        <w:t>‘</w:t>
      </w:r>
      <w:r w:rsidRPr="00F02375">
        <w:t>offer for sale</w:t>
      </w:r>
      <w:r>
        <w:t>’</w:t>
      </w:r>
      <w:r w:rsidR="000714B1">
        <w:t>,</w:t>
      </w:r>
      <w:r w:rsidRPr="00F02375">
        <w:t xml:space="preserve"> which covers displays of utensils for the purpose of sale in addition to prohibition at point of sale.</w:t>
      </w:r>
    </w:p>
    <w:p w:rsidR="00691522" w:rsidRPr="00F02375" w:rsidRDefault="00691522" w:rsidP="00691522">
      <w:pPr>
        <w:pStyle w:val="Box"/>
      </w:pPr>
      <w:r w:rsidRPr="00F02375">
        <w:t>Under the Notice:</w:t>
      </w:r>
    </w:p>
    <w:p w:rsidR="00691522" w:rsidRDefault="00691522" w:rsidP="00691522">
      <w:pPr>
        <w:pStyle w:val="BoxBullet"/>
      </w:pPr>
      <w:r w:rsidRPr="00F02375">
        <w:t xml:space="preserve">a cannabis utensil means a bong, a hash pipe or a roach clip with pincer or </w:t>
      </w:r>
      <w:r w:rsidR="00B547C8" w:rsidRPr="00F02375">
        <w:t>tweezers</w:t>
      </w:r>
      <w:r w:rsidRPr="00F02375">
        <w:t xml:space="preserve"> action with one or more prohibited feat</w:t>
      </w:r>
      <w:r w:rsidR="004B69C0">
        <w:t>ures (as set out in the Notice)</w:t>
      </w:r>
    </w:p>
    <w:p w:rsidR="00691522" w:rsidRPr="00F02375" w:rsidRDefault="00691522" w:rsidP="00691522">
      <w:pPr>
        <w:pStyle w:val="BoxBullet"/>
      </w:pPr>
      <w:r w:rsidRPr="00F02375">
        <w:t>a methamphetamine utensil, means a pipe with features as set out in the Notice, including a bowl with a stem and mouthpiece, but does not include a pipe manufactured to smoke tobacco.</w:t>
      </w:r>
    </w:p>
    <w:p w:rsidR="00691522" w:rsidRPr="00F02375" w:rsidRDefault="00691522" w:rsidP="00691522">
      <w:pPr>
        <w:pStyle w:val="Box"/>
        <w:rPr>
          <w:i/>
        </w:rPr>
      </w:pPr>
      <w:r w:rsidRPr="00F02375">
        <w:rPr>
          <w:i/>
        </w:rPr>
        <w:t>Vaporisers</w:t>
      </w:r>
    </w:p>
    <w:p w:rsidR="00691522" w:rsidRPr="00F02375" w:rsidRDefault="00691522" w:rsidP="00691522">
      <w:pPr>
        <w:pStyle w:val="Box"/>
      </w:pPr>
      <w:r w:rsidRPr="00F02375">
        <w:t>Vaporisers are devices used to vaporise the active ingredients of plant material and/or chemicals for the purpose of inhalation, and can be used as an alternative administration method to smoking illicit drugs or other substances.</w:t>
      </w:r>
    </w:p>
    <w:p w:rsidR="00691522" w:rsidRPr="00F02375" w:rsidRDefault="00691522" w:rsidP="00691522">
      <w:pPr>
        <w:pStyle w:val="Box"/>
      </w:pPr>
      <w:r w:rsidRPr="00F02375">
        <w:t xml:space="preserve">While the Notice does not use the term vaporisers, two Customs Appeal Authority rulings have interpreted the term </w:t>
      </w:r>
      <w:r>
        <w:t>‘</w:t>
      </w:r>
      <w:r w:rsidRPr="00F02375">
        <w:t>hash pipe</w:t>
      </w:r>
      <w:r>
        <w:t>’</w:t>
      </w:r>
      <w:r w:rsidRPr="00F02375">
        <w:t xml:space="preserve"> as capturing them, meaning they can be seized on import. </w:t>
      </w:r>
      <w:r w:rsidRPr="00F02375">
        <w:rPr>
          <w:color w:val="000000"/>
          <w:lang w:eastAsia="en-NZ"/>
        </w:rPr>
        <w:t xml:space="preserve">The Authority further considered that </w:t>
      </w:r>
      <w:r w:rsidRPr="00F02375">
        <w:t>vaporisers did not have to be manufactured for the purpose of administering illicit drugs to be captured by the Notice, only that they have the notified features. This is still an area of law that requires clarification to keep pace with developments in technology.</w:t>
      </w:r>
    </w:p>
    <w:p w:rsidR="00691522" w:rsidRPr="00F02375" w:rsidRDefault="00691522" w:rsidP="00691522">
      <w:pPr>
        <w:pStyle w:val="Box"/>
        <w:rPr>
          <w:i/>
        </w:rPr>
      </w:pPr>
      <w:r w:rsidRPr="00F02375">
        <w:rPr>
          <w:i/>
        </w:rPr>
        <w:t>Hookah pipes</w:t>
      </w:r>
    </w:p>
    <w:p w:rsidR="00691522" w:rsidRDefault="00691522" w:rsidP="00691522">
      <w:pPr>
        <w:pStyle w:val="Box"/>
      </w:pPr>
      <w:r w:rsidRPr="00F02375">
        <w:t xml:space="preserve">The 2014 Notice removed </w:t>
      </w:r>
      <w:r>
        <w:t>‘</w:t>
      </w:r>
      <w:r w:rsidRPr="00F02375">
        <w:t>hookah</w:t>
      </w:r>
      <w:r>
        <w:t>’</w:t>
      </w:r>
      <w:r w:rsidRPr="00F02375">
        <w:t xml:space="preserve"> from its list of cannabis utensils. This is because these pipes are intended for smoking shisha tobacco and there was no evidence that these pipes were also being used for the consumption of cannabis in New Zealand.</w:t>
      </w:r>
    </w:p>
    <w:p w:rsidR="00691522" w:rsidRPr="00691522" w:rsidRDefault="00691522" w:rsidP="00691522">
      <w:pPr>
        <w:pStyle w:val="Box"/>
        <w:keepNext/>
        <w:spacing w:before="240"/>
        <w:rPr>
          <w:b/>
        </w:rPr>
      </w:pPr>
      <w:r w:rsidRPr="00691522">
        <w:rPr>
          <w:b/>
        </w:rPr>
        <w:lastRenderedPageBreak/>
        <w:t>Personal possession</w:t>
      </w:r>
    </w:p>
    <w:p w:rsidR="00691522" w:rsidRPr="00F02375" w:rsidRDefault="00691522" w:rsidP="00691522">
      <w:pPr>
        <w:pStyle w:val="Box"/>
      </w:pPr>
      <w:r w:rsidRPr="00F02375">
        <w:t xml:space="preserve">Section 13(1)(a) of the Act prohibits possession of any pipe or other utensil (not being a needle or syringe) used </w:t>
      </w:r>
      <w:r w:rsidR="007764B0">
        <w:t>‘</w:t>
      </w:r>
      <w:r w:rsidRPr="00F02375">
        <w:t>for the commission of an offence against this Act</w:t>
      </w:r>
      <w:r w:rsidR="007764B0">
        <w:t>’</w:t>
      </w:r>
      <w:r w:rsidRPr="00F02375">
        <w:t xml:space="preserve">. The courts have interpreted section 13(1)(a) as capturing any implement used to consume drugs, not only those </w:t>
      </w:r>
      <w:r w:rsidR="000714B1">
        <w:t>that</w:t>
      </w:r>
      <w:r w:rsidRPr="00F02375">
        <w:t xml:space="preserve"> were actually designed for drug consumption. For example, ordinary kitchen knives have been found to be drug utensil</w:t>
      </w:r>
      <w:r w:rsidR="004B69C0">
        <w:t>s</w:t>
      </w:r>
      <w:r w:rsidRPr="00F02375">
        <w:t xml:space="preserve"> when used to combust cannabis.</w:t>
      </w:r>
    </w:p>
    <w:p w:rsidR="00691522" w:rsidRDefault="00691522" w:rsidP="00691522">
      <w:pPr>
        <w:pStyle w:val="Box"/>
      </w:pPr>
      <w:r w:rsidRPr="00F02375">
        <w:t>Section 13(1)(aa) prohibits the possession of a needle or syringe.</w:t>
      </w:r>
      <w:r>
        <w:t xml:space="preserve"> </w:t>
      </w:r>
      <w:r w:rsidRPr="00F02375">
        <w:t>There is an exception to this where the needle was acquired in accordance with regulations made under the Act, such as from an authorised needle exchange programme.</w:t>
      </w:r>
    </w:p>
    <w:p w:rsidR="00691522" w:rsidRPr="00691522" w:rsidRDefault="00691522" w:rsidP="00691522">
      <w:pPr>
        <w:pStyle w:val="Box"/>
        <w:spacing w:before="240"/>
        <w:rPr>
          <w:b/>
        </w:rPr>
      </w:pPr>
      <w:r w:rsidRPr="00691522">
        <w:rPr>
          <w:b/>
        </w:rPr>
        <w:t>Exemptions for needles and syringes</w:t>
      </w:r>
    </w:p>
    <w:p w:rsidR="00691522" w:rsidRPr="007B3002" w:rsidRDefault="00691522" w:rsidP="00691522">
      <w:pPr>
        <w:pStyle w:val="Box"/>
        <w:rPr>
          <w:color w:val="000000"/>
          <w:lang w:eastAsia="en-NZ"/>
        </w:rPr>
      </w:pPr>
      <w:r w:rsidRPr="007B3002">
        <w:t>Section 13(1)(aa) does not apply to possession of a needle or syringe obtained in accordance with regulations made under Section 37 of the Act. Section 37 empowers the Governor General to make regulations relating to when a needle or syringe can be possessed, and to regulate the sale, supply or exchange of needles or syringes. Additionally, section 117(1A) Health Act 1956 empowers the Governor General to make regulations relating to the importation, sale, exchange, supply, use, and disposal of needles and syringes and to empower or require the Director-General of Health to set more detailed requirements. These regulations led to the establishment of the Needle Exchange Programme where people can acces</w:t>
      </w:r>
      <w:r w:rsidR="007764B0">
        <w:t xml:space="preserve">s clean needles and exchange or dispose of </w:t>
      </w:r>
      <w:r w:rsidRPr="007B3002">
        <w:t>used needles through dedicated peer-based outlets and subscribed pharmacies.</w:t>
      </w:r>
    </w:p>
    <w:p w:rsidR="00691522" w:rsidRDefault="00691522" w:rsidP="00691522"/>
    <w:p w:rsidR="00C56FCC" w:rsidRPr="00691522" w:rsidRDefault="00C56FCC" w:rsidP="00691522">
      <w:pPr>
        <w:pStyle w:val="Heading2"/>
      </w:pPr>
      <w:bookmarkStart w:id="34" w:name="_Toc454263612"/>
      <w:bookmarkStart w:id="35" w:name="_Toc454700962"/>
      <w:r w:rsidRPr="00E76560">
        <w:t>Regulatory</w:t>
      </w:r>
      <w:r>
        <w:rPr>
          <w:sz w:val="21"/>
          <w:szCs w:val="21"/>
        </w:rPr>
        <w:t xml:space="preserve"> </w:t>
      </w:r>
      <w:r w:rsidRPr="00E76560">
        <w:t>practice</w:t>
      </w:r>
      <w:bookmarkEnd w:id="34"/>
      <w:bookmarkEnd w:id="35"/>
    </w:p>
    <w:p w:rsidR="00F91482" w:rsidRDefault="00C56FCC" w:rsidP="00691522">
      <w:r w:rsidRPr="007B3002">
        <w:t>New Zealand Customs Service and New Zealand Police enforce laws relating to the import of utensils through border control. New Zealand Police enforce laws relating to supply, offer for sale and possession of utensils.</w:t>
      </w:r>
    </w:p>
    <w:p w:rsidR="00691522" w:rsidRDefault="00691522" w:rsidP="00691522"/>
    <w:p w:rsidR="00C56FCC" w:rsidRPr="007B3002" w:rsidRDefault="00C56FCC" w:rsidP="00691522">
      <w:pPr>
        <w:pStyle w:val="Heading3"/>
      </w:pPr>
      <w:r w:rsidRPr="007B3002">
        <w:t>Import, supply and offer for sale</w:t>
      </w:r>
    </w:p>
    <w:p w:rsidR="00F91482" w:rsidRDefault="00C56FCC" w:rsidP="00691522">
      <w:r w:rsidRPr="007B3002">
        <w:t>All enforcement and charges in relation to the import have been laid through the Customs and Excise Act 1996.</w:t>
      </w:r>
    </w:p>
    <w:p w:rsidR="00691522" w:rsidRDefault="00691522" w:rsidP="00691522"/>
    <w:p w:rsidR="00F91482" w:rsidRDefault="00C56FCC" w:rsidP="00691522">
      <w:r w:rsidRPr="007B3002">
        <w:t>No charges have been laid against anyone for the sale of utensils within New Zealand under any Act.</w:t>
      </w:r>
    </w:p>
    <w:p w:rsidR="00691522" w:rsidRDefault="00691522" w:rsidP="00691522"/>
    <w:p w:rsidR="00C56FCC" w:rsidRPr="007B3002" w:rsidRDefault="00C56FCC" w:rsidP="00691522">
      <w:pPr>
        <w:pStyle w:val="Heading3"/>
      </w:pPr>
      <w:r w:rsidRPr="007B3002">
        <w:t>Personal possession</w:t>
      </w:r>
    </w:p>
    <w:p w:rsidR="00C56FCC" w:rsidRDefault="00C56FCC" w:rsidP="00691522">
      <w:r w:rsidRPr="007B3002">
        <w:t xml:space="preserve">The number of overall charges laid for </w:t>
      </w:r>
      <w:r>
        <w:t xml:space="preserve">drug </w:t>
      </w:r>
      <w:r w:rsidRPr="007B3002">
        <w:t xml:space="preserve">utensil possession under section 13 of the Misuse of Drugs Act has been steadily declining over the last </w:t>
      </w:r>
      <w:r w:rsidR="00691522">
        <w:t>five</w:t>
      </w:r>
      <w:r w:rsidRPr="007B3002">
        <w:t xml:space="preserve"> years from 4217 in 2009 to 1265 in 2014 (a</w:t>
      </w:r>
      <w:r w:rsidR="00691522">
        <w:t> </w:t>
      </w:r>
      <w:r w:rsidRPr="007B3002">
        <w:t xml:space="preserve">drop of 70 percent). This may be due to a decrease in enforcement rather than </w:t>
      </w:r>
      <w:r>
        <w:t xml:space="preserve">a </w:t>
      </w:r>
      <w:r w:rsidRPr="007B3002">
        <w:t>decrease in utensil use.</w:t>
      </w:r>
    </w:p>
    <w:p w:rsidR="00691522" w:rsidRPr="007B3002" w:rsidRDefault="00691522" w:rsidP="00691522"/>
    <w:p w:rsidR="00C56FCC" w:rsidRDefault="00C56FCC" w:rsidP="00691522">
      <w:r w:rsidRPr="007B3002">
        <w:t>The</w:t>
      </w:r>
      <w:r>
        <w:t xml:space="preserve"> figures on the next page s</w:t>
      </w:r>
      <w:r w:rsidRPr="007B3002">
        <w:t xml:space="preserve">how drug utensil possession charges under s13 of the Misuse of Drugs Act for </w:t>
      </w:r>
      <w:r>
        <w:t xml:space="preserve">the last </w:t>
      </w:r>
      <w:r w:rsidR="00691522">
        <w:t>10 </w:t>
      </w:r>
      <w:r>
        <w:t>years</w:t>
      </w:r>
      <w:r w:rsidRPr="007B3002">
        <w:t xml:space="preserve">. Men are </w:t>
      </w:r>
      <w:r w:rsidR="00BF2EDC">
        <w:t>four to five</w:t>
      </w:r>
      <w:r w:rsidRPr="007B3002">
        <w:t xml:space="preserve"> times more likely than women to be charged with a utensils offence relating to cannabis and </w:t>
      </w:r>
      <w:r w:rsidR="00691522">
        <w:t>three</w:t>
      </w:r>
      <w:r w:rsidRPr="007B3002">
        <w:t xml:space="preserve"> times more like</w:t>
      </w:r>
      <w:r>
        <w:t>ly</w:t>
      </w:r>
      <w:r w:rsidRPr="007B3002">
        <w:t xml:space="preserve"> to be charged with a utensils offence relating to drugs other than cannabis</w:t>
      </w:r>
      <w:r w:rsidR="00646348">
        <w:t xml:space="preserve"> (eg</w:t>
      </w:r>
      <w:r w:rsidR="007764B0">
        <w:t>,</w:t>
      </w:r>
      <w:r w:rsidR="00646348">
        <w:t xml:space="preserve"> Methamphetamine)</w:t>
      </w:r>
      <w:r w:rsidRPr="007B3002">
        <w:t>.</w:t>
      </w:r>
    </w:p>
    <w:p w:rsidR="00691522" w:rsidRDefault="00691522" w:rsidP="00691522"/>
    <w:p w:rsidR="00C56FCC" w:rsidRPr="007B3002" w:rsidRDefault="00C56FCC" w:rsidP="00691522">
      <w:r w:rsidRPr="007B3002">
        <w:lastRenderedPageBreak/>
        <w:t xml:space="preserve">Māori and </w:t>
      </w:r>
      <w:r w:rsidR="00691522">
        <w:t>P</w:t>
      </w:r>
      <w:r w:rsidRPr="007B3002">
        <w:t xml:space="preserve">acific </w:t>
      </w:r>
      <w:r w:rsidR="00BF2EDC">
        <w:t>peoples</w:t>
      </w:r>
      <w:r w:rsidRPr="007B3002">
        <w:t xml:space="preserve"> are disproportionately charge</w:t>
      </w:r>
      <w:r>
        <w:t>d</w:t>
      </w:r>
      <w:r w:rsidRPr="007B3002">
        <w:t xml:space="preserve"> and convicted for drug utensils possession.</w:t>
      </w:r>
      <w:r w:rsidR="00F91482">
        <w:t xml:space="preserve"> </w:t>
      </w:r>
      <w:r w:rsidRPr="007B3002">
        <w:t>For example</w:t>
      </w:r>
      <w:r w:rsidR="00BF2EDC">
        <w:t>,</w:t>
      </w:r>
      <w:r w:rsidRPr="007B3002">
        <w:t xml:space="preserve"> a Māori male is on average 2.5 times more likely </w:t>
      </w:r>
      <w:r w:rsidR="007764B0">
        <w:t xml:space="preserve">than a European male </w:t>
      </w:r>
      <w:r w:rsidRPr="007B3002">
        <w:t>to</w:t>
      </w:r>
      <w:r>
        <w:t xml:space="preserve"> be charged with a drug utensils</w:t>
      </w:r>
      <w:r w:rsidRPr="007B3002">
        <w:t xml:space="preserve"> offence </w:t>
      </w:r>
      <w:r>
        <w:t>involving</w:t>
      </w:r>
      <w:r w:rsidRPr="007B3002">
        <w:t xml:space="preserve"> cannabis</w:t>
      </w:r>
      <w:r>
        <w:t>.</w:t>
      </w:r>
      <w:r w:rsidRPr="00691522">
        <w:rPr>
          <w:rStyle w:val="FootnoteReference"/>
        </w:rPr>
        <w:footnoteReference w:id="3"/>
      </w:r>
    </w:p>
    <w:p w:rsidR="00C56FCC" w:rsidRPr="00F91482" w:rsidRDefault="00C56FCC" w:rsidP="00691522"/>
    <w:p w:rsidR="00C56FCC" w:rsidRPr="00F91482" w:rsidRDefault="00C56FCC" w:rsidP="00691522">
      <w:pPr>
        <w:pStyle w:val="Figure"/>
      </w:pPr>
      <w:bookmarkStart w:id="36" w:name="_Toc454700992"/>
      <w:r w:rsidRPr="00F91482">
        <w:t>Figure 1</w:t>
      </w:r>
      <w:r w:rsidR="00691522">
        <w:t>:</w:t>
      </w:r>
      <w:r w:rsidRPr="00F91482">
        <w:t xml:space="preserve"> Number of drug utensil charges by year</w:t>
      </w:r>
      <w:bookmarkEnd w:id="36"/>
    </w:p>
    <w:p w:rsidR="00C56FCC" w:rsidRPr="00F91482" w:rsidRDefault="00166994" w:rsidP="00691522">
      <w:r>
        <w:rPr>
          <w:noProof/>
          <w:lang w:eastAsia="en-NZ"/>
        </w:rPr>
        <w:drawing>
          <wp:inline distT="0" distB="0" distL="0" distR="0">
            <wp:extent cx="5936615" cy="446278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6615" cy="4462780"/>
                    </a:xfrm>
                    <a:prstGeom prst="rect">
                      <a:avLst/>
                    </a:prstGeom>
                    <a:noFill/>
                    <a:ln>
                      <a:noFill/>
                    </a:ln>
                  </pic:spPr>
                </pic:pic>
              </a:graphicData>
            </a:graphic>
          </wp:inline>
        </w:drawing>
      </w:r>
    </w:p>
    <w:p w:rsidR="00C56FCC" w:rsidRPr="00F91482" w:rsidRDefault="00C56FCC" w:rsidP="00691522"/>
    <w:p w:rsidR="00C56FCC" w:rsidRPr="00F91482" w:rsidRDefault="00691522" w:rsidP="000243B5">
      <w:pPr>
        <w:pStyle w:val="Table"/>
      </w:pPr>
      <w:bookmarkStart w:id="37" w:name="_Toc454700982"/>
      <w:r>
        <w:t xml:space="preserve">Table 1: </w:t>
      </w:r>
      <w:r w:rsidR="00C56FCC" w:rsidRPr="00F91482">
        <w:t>Utensil charges (for cannabis or other drug) over last 10 years</w:t>
      </w:r>
      <w:bookmarkEnd w:id="37"/>
    </w:p>
    <w:tbl>
      <w:tblPr>
        <w:tblW w:w="9356" w:type="dxa"/>
        <w:tblInd w:w="57" w:type="dxa"/>
        <w:tblBorders>
          <w:bottom w:val="single" w:sz="2" w:space="0" w:color="auto"/>
        </w:tblBorders>
        <w:tblLayout w:type="fixed"/>
        <w:tblCellMar>
          <w:left w:w="57" w:type="dxa"/>
          <w:right w:w="57" w:type="dxa"/>
        </w:tblCellMar>
        <w:tblLook w:val="04A0" w:firstRow="1" w:lastRow="0" w:firstColumn="1" w:lastColumn="0" w:noHBand="0" w:noVBand="1"/>
      </w:tblPr>
      <w:tblGrid>
        <w:gridCol w:w="1134"/>
        <w:gridCol w:w="1843"/>
        <w:gridCol w:w="637"/>
        <w:gridCol w:w="638"/>
        <w:gridCol w:w="638"/>
        <w:gridCol w:w="638"/>
        <w:gridCol w:w="638"/>
        <w:gridCol w:w="638"/>
        <w:gridCol w:w="638"/>
        <w:gridCol w:w="638"/>
        <w:gridCol w:w="638"/>
        <w:gridCol w:w="638"/>
      </w:tblGrid>
      <w:tr w:rsidR="00166994" w:rsidRPr="00166994" w:rsidTr="00691522">
        <w:trPr>
          <w:cantSplit/>
        </w:trPr>
        <w:tc>
          <w:tcPr>
            <w:tcW w:w="1134" w:type="dxa"/>
            <w:tcBorders>
              <w:top w:val="nil"/>
              <w:bottom w:val="single" w:sz="2" w:space="0" w:color="auto"/>
            </w:tcBorders>
            <w:shd w:val="clear" w:color="000000" w:fill="FFFFFF"/>
          </w:tcPr>
          <w:p w:rsidR="00C56FCC" w:rsidRPr="00166994" w:rsidRDefault="00C56FCC" w:rsidP="00691522">
            <w:pPr>
              <w:pStyle w:val="TableText"/>
              <w:rPr>
                <w:lang w:eastAsia="en-NZ"/>
              </w:rPr>
            </w:pPr>
          </w:p>
        </w:tc>
        <w:tc>
          <w:tcPr>
            <w:tcW w:w="1843" w:type="dxa"/>
            <w:tcBorders>
              <w:top w:val="nil"/>
              <w:bottom w:val="single" w:sz="2" w:space="0" w:color="auto"/>
            </w:tcBorders>
            <w:shd w:val="clear" w:color="000000" w:fill="FFFFFF"/>
            <w:noWrap/>
          </w:tcPr>
          <w:p w:rsidR="00C56FCC" w:rsidRPr="00166994" w:rsidRDefault="00C56FCC" w:rsidP="00691522">
            <w:pPr>
              <w:pStyle w:val="TableText"/>
              <w:ind w:right="142"/>
              <w:rPr>
                <w:lang w:eastAsia="en-NZ"/>
              </w:rPr>
            </w:pPr>
          </w:p>
        </w:tc>
        <w:tc>
          <w:tcPr>
            <w:tcW w:w="637" w:type="dxa"/>
            <w:tcBorders>
              <w:top w:val="nil"/>
              <w:bottom w:val="single" w:sz="2" w:space="0" w:color="auto"/>
            </w:tcBorders>
            <w:shd w:val="clear" w:color="000000" w:fill="FFFFFF"/>
            <w:noWrap/>
            <w:hideMark/>
          </w:tcPr>
          <w:p w:rsidR="00C56FCC" w:rsidRPr="00166994" w:rsidRDefault="00C56FCC" w:rsidP="00691522">
            <w:pPr>
              <w:pStyle w:val="TableText"/>
              <w:jc w:val="center"/>
              <w:rPr>
                <w:rFonts w:cs="Arial"/>
                <w:b/>
                <w:bCs/>
                <w:szCs w:val="18"/>
                <w:lang w:eastAsia="en-NZ"/>
              </w:rPr>
            </w:pPr>
            <w:r w:rsidRPr="00166994">
              <w:rPr>
                <w:rFonts w:cs="Arial"/>
                <w:b/>
                <w:bCs/>
                <w:szCs w:val="18"/>
                <w:lang w:eastAsia="en-NZ"/>
              </w:rPr>
              <w:t>2005</w:t>
            </w:r>
          </w:p>
        </w:tc>
        <w:tc>
          <w:tcPr>
            <w:tcW w:w="638" w:type="dxa"/>
            <w:tcBorders>
              <w:top w:val="nil"/>
              <w:bottom w:val="single" w:sz="2" w:space="0" w:color="auto"/>
            </w:tcBorders>
            <w:shd w:val="clear" w:color="000000" w:fill="FFFFFF"/>
            <w:noWrap/>
            <w:hideMark/>
          </w:tcPr>
          <w:p w:rsidR="00C56FCC" w:rsidRPr="00166994" w:rsidRDefault="00C56FCC" w:rsidP="00691522">
            <w:pPr>
              <w:pStyle w:val="TableText"/>
              <w:jc w:val="center"/>
              <w:rPr>
                <w:rFonts w:cs="Arial"/>
                <w:b/>
                <w:bCs/>
                <w:szCs w:val="18"/>
                <w:lang w:eastAsia="en-NZ"/>
              </w:rPr>
            </w:pPr>
            <w:r w:rsidRPr="00166994">
              <w:rPr>
                <w:rFonts w:cs="Arial"/>
                <w:b/>
                <w:bCs/>
                <w:szCs w:val="18"/>
                <w:lang w:eastAsia="en-NZ"/>
              </w:rPr>
              <w:t>2006</w:t>
            </w:r>
          </w:p>
        </w:tc>
        <w:tc>
          <w:tcPr>
            <w:tcW w:w="638" w:type="dxa"/>
            <w:tcBorders>
              <w:top w:val="nil"/>
              <w:bottom w:val="single" w:sz="2" w:space="0" w:color="auto"/>
            </w:tcBorders>
            <w:shd w:val="clear" w:color="000000" w:fill="FFFFFF"/>
            <w:noWrap/>
            <w:hideMark/>
          </w:tcPr>
          <w:p w:rsidR="00C56FCC" w:rsidRPr="00166994" w:rsidRDefault="00C56FCC" w:rsidP="00691522">
            <w:pPr>
              <w:pStyle w:val="TableText"/>
              <w:jc w:val="center"/>
              <w:rPr>
                <w:rFonts w:cs="Arial"/>
                <w:b/>
                <w:bCs/>
                <w:szCs w:val="18"/>
                <w:lang w:eastAsia="en-NZ"/>
              </w:rPr>
            </w:pPr>
            <w:r w:rsidRPr="00166994">
              <w:rPr>
                <w:rFonts w:cs="Arial"/>
                <w:b/>
                <w:bCs/>
                <w:szCs w:val="18"/>
                <w:lang w:eastAsia="en-NZ"/>
              </w:rPr>
              <w:t>2007</w:t>
            </w:r>
          </w:p>
        </w:tc>
        <w:tc>
          <w:tcPr>
            <w:tcW w:w="638" w:type="dxa"/>
            <w:tcBorders>
              <w:top w:val="nil"/>
              <w:bottom w:val="single" w:sz="2" w:space="0" w:color="auto"/>
            </w:tcBorders>
            <w:shd w:val="clear" w:color="000000" w:fill="FFFFFF"/>
            <w:noWrap/>
            <w:hideMark/>
          </w:tcPr>
          <w:p w:rsidR="00C56FCC" w:rsidRPr="00166994" w:rsidRDefault="00C56FCC" w:rsidP="00691522">
            <w:pPr>
              <w:pStyle w:val="TableText"/>
              <w:jc w:val="center"/>
              <w:rPr>
                <w:rFonts w:cs="Arial"/>
                <w:b/>
                <w:bCs/>
                <w:szCs w:val="18"/>
                <w:lang w:eastAsia="en-NZ"/>
              </w:rPr>
            </w:pPr>
            <w:r w:rsidRPr="00166994">
              <w:rPr>
                <w:rFonts w:cs="Arial"/>
                <w:b/>
                <w:bCs/>
                <w:szCs w:val="18"/>
                <w:lang w:eastAsia="en-NZ"/>
              </w:rPr>
              <w:t>2008</w:t>
            </w:r>
          </w:p>
        </w:tc>
        <w:tc>
          <w:tcPr>
            <w:tcW w:w="638" w:type="dxa"/>
            <w:tcBorders>
              <w:top w:val="nil"/>
              <w:bottom w:val="single" w:sz="2" w:space="0" w:color="auto"/>
            </w:tcBorders>
            <w:shd w:val="clear" w:color="000000" w:fill="FFFFFF"/>
            <w:noWrap/>
            <w:hideMark/>
          </w:tcPr>
          <w:p w:rsidR="00C56FCC" w:rsidRPr="00166994" w:rsidRDefault="00C56FCC" w:rsidP="00691522">
            <w:pPr>
              <w:pStyle w:val="TableText"/>
              <w:jc w:val="center"/>
              <w:rPr>
                <w:rFonts w:cs="Arial"/>
                <w:b/>
                <w:bCs/>
                <w:szCs w:val="18"/>
                <w:lang w:eastAsia="en-NZ"/>
              </w:rPr>
            </w:pPr>
            <w:r w:rsidRPr="00166994">
              <w:rPr>
                <w:rFonts w:cs="Arial"/>
                <w:b/>
                <w:bCs/>
                <w:szCs w:val="18"/>
                <w:lang w:eastAsia="en-NZ"/>
              </w:rPr>
              <w:t>2009</w:t>
            </w:r>
          </w:p>
        </w:tc>
        <w:tc>
          <w:tcPr>
            <w:tcW w:w="638" w:type="dxa"/>
            <w:tcBorders>
              <w:top w:val="nil"/>
              <w:bottom w:val="single" w:sz="2" w:space="0" w:color="auto"/>
            </w:tcBorders>
            <w:shd w:val="clear" w:color="000000" w:fill="FFFFFF"/>
            <w:noWrap/>
            <w:hideMark/>
          </w:tcPr>
          <w:p w:rsidR="00C56FCC" w:rsidRPr="00166994" w:rsidRDefault="00C56FCC" w:rsidP="00691522">
            <w:pPr>
              <w:pStyle w:val="TableText"/>
              <w:jc w:val="center"/>
              <w:rPr>
                <w:rFonts w:cs="Arial"/>
                <w:b/>
                <w:bCs/>
                <w:szCs w:val="18"/>
                <w:lang w:eastAsia="en-NZ"/>
              </w:rPr>
            </w:pPr>
            <w:r w:rsidRPr="00166994">
              <w:rPr>
                <w:rFonts w:cs="Arial"/>
                <w:b/>
                <w:bCs/>
                <w:szCs w:val="18"/>
                <w:lang w:eastAsia="en-NZ"/>
              </w:rPr>
              <w:t>2010</w:t>
            </w:r>
          </w:p>
        </w:tc>
        <w:tc>
          <w:tcPr>
            <w:tcW w:w="638" w:type="dxa"/>
            <w:tcBorders>
              <w:top w:val="nil"/>
              <w:bottom w:val="single" w:sz="2" w:space="0" w:color="auto"/>
            </w:tcBorders>
            <w:shd w:val="clear" w:color="000000" w:fill="FFFFFF"/>
            <w:noWrap/>
            <w:hideMark/>
          </w:tcPr>
          <w:p w:rsidR="00C56FCC" w:rsidRPr="00166994" w:rsidRDefault="00C56FCC" w:rsidP="00691522">
            <w:pPr>
              <w:pStyle w:val="TableText"/>
              <w:jc w:val="center"/>
              <w:rPr>
                <w:rFonts w:cs="Arial"/>
                <w:b/>
                <w:bCs/>
                <w:szCs w:val="18"/>
                <w:lang w:eastAsia="en-NZ"/>
              </w:rPr>
            </w:pPr>
            <w:r w:rsidRPr="00166994">
              <w:rPr>
                <w:rFonts w:cs="Arial"/>
                <w:b/>
                <w:bCs/>
                <w:szCs w:val="18"/>
                <w:lang w:eastAsia="en-NZ"/>
              </w:rPr>
              <w:t>2011</w:t>
            </w:r>
          </w:p>
        </w:tc>
        <w:tc>
          <w:tcPr>
            <w:tcW w:w="638" w:type="dxa"/>
            <w:tcBorders>
              <w:top w:val="nil"/>
              <w:bottom w:val="single" w:sz="2" w:space="0" w:color="auto"/>
            </w:tcBorders>
            <w:shd w:val="clear" w:color="000000" w:fill="FFFFFF"/>
            <w:noWrap/>
            <w:hideMark/>
          </w:tcPr>
          <w:p w:rsidR="00C56FCC" w:rsidRPr="00166994" w:rsidRDefault="00C56FCC" w:rsidP="00691522">
            <w:pPr>
              <w:pStyle w:val="TableText"/>
              <w:jc w:val="center"/>
              <w:rPr>
                <w:rFonts w:cs="Arial"/>
                <w:b/>
                <w:bCs/>
                <w:szCs w:val="18"/>
                <w:lang w:eastAsia="en-NZ"/>
              </w:rPr>
            </w:pPr>
            <w:r w:rsidRPr="00166994">
              <w:rPr>
                <w:rFonts w:cs="Arial"/>
                <w:b/>
                <w:bCs/>
                <w:szCs w:val="18"/>
                <w:lang w:eastAsia="en-NZ"/>
              </w:rPr>
              <w:t>2012</w:t>
            </w:r>
          </w:p>
        </w:tc>
        <w:tc>
          <w:tcPr>
            <w:tcW w:w="638" w:type="dxa"/>
            <w:tcBorders>
              <w:top w:val="nil"/>
              <w:bottom w:val="single" w:sz="2" w:space="0" w:color="auto"/>
            </w:tcBorders>
            <w:shd w:val="clear" w:color="000000" w:fill="FFFFFF"/>
            <w:noWrap/>
            <w:hideMark/>
          </w:tcPr>
          <w:p w:rsidR="00C56FCC" w:rsidRPr="00166994" w:rsidRDefault="00C56FCC" w:rsidP="00691522">
            <w:pPr>
              <w:pStyle w:val="TableText"/>
              <w:jc w:val="center"/>
              <w:rPr>
                <w:rFonts w:cs="Arial"/>
                <w:b/>
                <w:bCs/>
                <w:szCs w:val="18"/>
                <w:lang w:eastAsia="en-NZ"/>
              </w:rPr>
            </w:pPr>
            <w:r w:rsidRPr="00166994">
              <w:rPr>
                <w:rFonts w:cs="Arial"/>
                <w:b/>
                <w:bCs/>
                <w:szCs w:val="18"/>
                <w:lang w:eastAsia="en-NZ"/>
              </w:rPr>
              <w:t>2013</w:t>
            </w:r>
          </w:p>
        </w:tc>
        <w:tc>
          <w:tcPr>
            <w:tcW w:w="638" w:type="dxa"/>
            <w:tcBorders>
              <w:top w:val="nil"/>
              <w:bottom w:val="single" w:sz="2" w:space="0" w:color="auto"/>
            </w:tcBorders>
            <w:shd w:val="clear" w:color="000000" w:fill="FFFFFF"/>
            <w:noWrap/>
            <w:hideMark/>
          </w:tcPr>
          <w:p w:rsidR="00C56FCC" w:rsidRPr="00166994" w:rsidRDefault="00C56FCC" w:rsidP="00691522">
            <w:pPr>
              <w:pStyle w:val="TableText"/>
              <w:jc w:val="center"/>
              <w:rPr>
                <w:rFonts w:cs="Arial"/>
                <w:b/>
                <w:bCs/>
                <w:szCs w:val="18"/>
                <w:lang w:eastAsia="en-NZ"/>
              </w:rPr>
            </w:pPr>
            <w:r w:rsidRPr="00166994">
              <w:rPr>
                <w:rFonts w:cs="Arial"/>
                <w:b/>
                <w:bCs/>
                <w:szCs w:val="18"/>
                <w:lang w:eastAsia="en-NZ"/>
              </w:rPr>
              <w:t>2014</w:t>
            </w:r>
          </w:p>
        </w:tc>
      </w:tr>
      <w:tr w:rsidR="00166994" w:rsidRPr="00166994" w:rsidTr="00691522">
        <w:trPr>
          <w:cantSplit/>
        </w:trPr>
        <w:tc>
          <w:tcPr>
            <w:tcW w:w="1134" w:type="dxa"/>
            <w:tcBorders>
              <w:top w:val="single" w:sz="2" w:space="0" w:color="auto"/>
            </w:tcBorders>
            <w:shd w:val="clear" w:color="000000" w:fill="FFFFFF"/>
          </w:tcPr>
          <w:p w:rsidR="00C56FCC" w:rsidRPr="00166994" w:rsidRDefault="00C56FCC" w:rsidP="00691522">
            <w:pPr>
              <w:pStyle w:val="TableText"/>
              <w:rPr>
                <w:lang w:eastAsia="en-NZ"/>
              </w:rPr>
            </w:pPr>
          </w:p>
        </w:tc>
        <w:tc>
          <w:tcPr>
            <w:tcW w:w="1843" w:type="dxa"/>
            <w:tcBorders>
              <w:top w:val="single" w:sz="2" w:space="0" w:color="auto"/>
            </w:tcBorders>
            <w:shd w:val="clear" w:color="000000" w:fill="FFFFFF"/>
            <w:noWrap/>
            <w:hideMark/>
          </w:tcPr>
          <w:p w:rsidR="00C56FCC" w:rsidRPr="00166994" w:rsidRDefault="00C56FCC" w:rsidP="00B02C49">
            <w:pPr>
              <w:pStyle w:val="TableText"/>
              <w:ind w:right="142"/>
              <w:rPr>
                <w:lang w:eastAsia="en-NZ"/>
              </w:rPr>
            </w:pPr>
            <w:r w:rsidRPr="00166994">
              <w:rPr>
                <w:lang w:eastAsia="en-NZ"/>
              </w:rPr>
              <w:t xml:space="preserve">Total </w:t>
            </w:r>
            <w:r w:rsidR="00691522" w:rsidRPr="00166994">
              <w:rPr>
                <w:lang w:eastAsia="en-NZ"/>
              </w:rPr>
              <w:t>u</w:t>
            </w:r>
            <w:r w:rsidR="004E6AA1" w:rsidRPr="00166994">
              <w:rPr>
                <w:lang w:eastAsia="en-NZ"/>
              </w:rPr>
              <w:t>tensil</w:t>
            </w:r>
            <w:r w:rsidRPr="00166994">
              <w:rPr>
                <w:lang w:eastAsia="en-NZ"/>
              </w:rPr>
              <w:t xml:space="preserve"> charges for all drugs</w:t>
            </w:r>
          </w:p>
        </w:tc>
        <w:tc>
          <w:tcPr>
            <w:tcW w:w="637" w:type="dxa"/>
            <w:tcBorders>
              <w:top w:val="single" w:sz="2" w:space="0" w:color="auto"/>
            </w:tcBorders>
            <w:shd w:val="clear" w:color="000000" w:fill="FFFFFF"/>
            <w:noWrap/>
            <w:hideMark/>
          </w:tcPr>
          <w:p w:rsidR="00C56FCC" w:rsidRPr="00166994" w:rsidRDefault="00C56FCC">
            <w:pPr>
              <w:pStyle w:val="TableText"/>
              <w:tabs>
                <w:tab w:val="decimal" w:pos="510"/>
              </w:tabs>
              <w:rPr>
                <w:szCs w:val="18"/>
                <w:lang w:eastAsia="en-NZ"/>
              </w:rPr>
            </w:pPr>
            <w:r w:rsidRPr="00166994">
              <w:rPr>
                <w:szCs w:val="18"/>
                <w:lang w:eastAsia="en-NZ"/>
              </w:rPr>
              <w:t>3220</w:t>
            </w:r>
          </w:p>
        </w:tc>
        <w:tc>
          <w:tcPr>
            <w:tcW w:w="638" w:type="dxa"/>
            <w:tcBorders>
              <w:top w:val="single" w:sz="2" w:space="0" w:color="auto"/>
            </w:tcBorders>
            <w:shd w:val="clear" w:color="000000" w:fill="FFFFFF"/>
            <w:noWrap/>
            <w:hideMark/>
          </w:tcPr>
          <w:p w:rsidR="00C56FCC" w:rsidRPr="00166994" w:rsidRDefault="00C56FCC">
            <w:pPr>
              <w:pStyle w:val="TableText"/>
              <w:tabs>
                <w:tab w:val="decimal" w:pos="510"/>
              </w:tabs>
              <w:rPr>
                <w:szCs w:val="18"/>
                <w:lang w:eastAsia="en-NZ"/>
              </w:rPr>
            </w:pPr>
            <w:r w:rsidRPr="00166994">
              <w:rPr>
                <w:szCs w:val="18"/>
                <w:lang w:eastAsia="en-NZ"/>
              </w:rPr>
              <w:t>3335</w:t>
            </w:r>
          </w:p>
        </w:tc>
        <w:tc>
          <w:tcPr>
            <w:tcW w:w="638" w:type="dxa"/>
            <w:tcBorders>
              <w:top w:val="single" w:sz="2" w:space="0" w:color="auto"/>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3490</w:t>
            </w:r>
          </w:p>
        </w:tc>
        <w:tc>
          <w:tcPr>
            <w:tcW w:w="638" w:type="dxa"/>
            <w:tcBorders>
              <w:top w:val="single" w:sz="2" w:space="0" w:color="auto"/>
            </w:tcBorders>
            <w:shd w:val="clear" w:color="000000" w:fill="FFFFFF"/>
            <w:noWrap/>
            <w:hideMark/>
          </w:tcPr>
          <w:p w:rsidR="00C56FCC" w:rsidRPr="00166994" w:rsidRDefault="00C56FCC">
            <w:pPr>
              <w:pStyle w:val="TableText"/>
              <w:tabs>
                <w:tab w:val="decimal" w:pos="510"/>
              </w:tabs>
              <w:rPr>
                <w:szCs w:val="18"/>
                <w:lang w:eastAsia="en-NZ"/>
              </w:rPr>
            </w:pPr>
            <w:r w:rsidRPr="00166994">
              <w:rPr>
                <w:szCs w:val="18"/>
                <w:lang w:eastAsia="en-NZ"/>
              </w:rPr>
              <w:t>3707</w:t>
            </w:r>
          </w:p>
        </w:tc>
        <w:tc>
          <w:tcPr>
            <w:tcW w:w="638" w:type="dxa"/>
            <w:tcBorders>
              <w:top w:val="single" w:sz="2" w:space="0" w:color="auto"/>
            </w:tcBorders>
            <w:shd w:val="clear" w:color="000000" w:fill="FFFFFF"/>
            <w:noWrap/>
            <w:hideMark/>
          </w:tcPr>
          <w:p w:rsidR="00C56FCC" w:rsidRPr="00166994" w:rsidRDefault="00C56FCC">
            <w:pPr>
              <w:pStyle w:val="TableText"/>
              <w:tabs>
                <w:tab w:val="decimal" w:pos="510"/>
              </w:tabs>
              <w:rPr>
                <w:szCs w:val="18"/>
                <w:lang w:eastAsia="en-NZ"/>
              </w:rPr>
            </w:pPr>
            <w:r w:rsidRPr="00166994">
              <w:rPr>
                <w:szCs w:val="18"/>
                <w:lang w:eastAsia="en-NZ"/>
              </w:rPr>
              <w:t>4217</w:t>
            </w:r>
          </w:p>
        </w:tc>
        <w:tc>
          <w:tcPr>
            <w:tcW w:w="638" w:type="dxa"/>
            <w:tcBorders>
              <w:top w:val="single" w:sz="2" w:space="0" w:color="auto"/>
            </w:tcBorders>
            <w:shd w:val="clear" w:color="000000" w:fill="FFFFFF"/>
            <w:noWrap/>
            <w:hideMark/>
          </w:tcPr>
          <w:p w:rsidR="00C56FCC" w:rsidRPr="00166994" w:rsidRDefault="00C56FCC">
            <w:pPr>
              <w:pStyle w:val="TableText"/>
              <w:tabs>
                <w:tab w:val="decimal" w:pos="510"/>
              </w:tabs>
              <w:rPr>
                <w:szCs w:val="18"/>
                <w:lang w:eastAsia="en-NZ"/>
              </w:rPr>
            </w:pPr>
            <w:r w:rsidRPr="00166994">
              <w:rPr>
                <w:szCs w:val="18"/>
                <w:lang w:eastAsia="en-NZ"/>
              </w:rPr>
              <w:t>3685</w:t>
            </w:r>
          </w:p>
        </w:tc>
        <w:tc>
          <w:tcPr>
            <w:tcW w:w="638" w:type="dxa"/>
            <w:tcBorders>
              <w:top w:val="single" w:sz="2" w:space="0" w:color="auto"/>
            </w:tcBorders>
            <w:shd w:val="clear" w:color="000000" w:fill="FFFFFF"/>
            <w:noWrap/>
            <w:hideMark/>
          </w:tcPr>
          <w:p w:rsidR="00C56FCC" w:rsidRPr="00166994" w:rsidRDefault="00C56FCC">
            <w:pPr>
              <w:pStyle w:val="TableText"/>
              <w:tabs>
                <w:tab w:val="decimal" w:pos="510"/>
              </w:tabs>
              <w:rPr>
                <w:szCs w:val="18"/>
                <w:lang w:eastAsia="en-NZ"/>
              </w:rPr>
            </w:pPr>
            <w:r w:rsidRPr="00166994">
              <w:rPr>
                <w:szCs w:val="18"/>
                <w:lang w:eastAsia="en-NZ"/>
              </w:rPr>
              <w:t>2899</w:t>
            </w:r>
          </w:p>
        </w:tc>
        <w:tc>
          <w:tcPr>
            <w:tcW w:w="638" w:type="dxa"/>
            <w:tcBorders>
              <w:top w:val="single" w:sz="2" w:space="0" w:color="auto"/>
            </w:tcBorders>
            <w:shd w:val="clear" w:color="000000" w:fill="FFFFFF"/>
            <w:noWrap/>
            <w:hideMark/>
          </w:tcPr>
          <w:p w:rsidR="00C56FCC" w:rsidRPr="00166994" w:rsidRDefault="00C56FCC">
            <w:pPr>
              <w:pStyle w:val="TableText"/>
              <w:tabs>
                <w:tab w:val="decimal" w:pos="510"/>
              </w:tabs>
              <w:rPr>
                <w:szCs w:val="18"/>
                <w:lang w:eastAsia="en-NZ"/>
              </w:rPr>
            </w:pPr>
            <w:r w:rsidRPr="00166994">
              <w:rPr>
                <w:szCs w:val="18"/>
                <w:lang w:eastAsia="en-NZ"/>
              </w:rPr>
              <w:t>2419</w:t>
            </w:r>
          </w:p>
        </w:tc>
        <w:tc>
          <w:tcPr>
            <w:tcW w:w="638" w:type="dxa"/>
            <w:tcBorders>
              <w:top w:val="single" w:sz="2" w:space="0" w:color="auto"/>
            </w:tcBorders>
            <w:shd w:val="clear" w:color="000000" w:fill="FFFFFF"/>
            <w:noWrap/>
            <w:hideMark/>
          </w:tcPr>
          <w:p w:rsidR="00C56FCC" w:rsidRPr="00166994" w:rsidRDefault="00C56FCC">
            <w:pPr>
              <w:pStyle w:val="TableText"/>
              <w:tabs>
                <w:tab w:val="decimal" w:pos="510"/>
              </w:tabs>
              <w:rPr>
                <w:szCs w:val="18"/>
                <w:lang w:eastAsia="en-NZ"/>
              </w:rPr>
            </w:pPr>
            <w:r w:rsidRPr="00166994">
              <w:rPr>
                <w:szCs w:val="18"/>
                <w:lang w:eastAsia="en-NZ"/>
              </w:rPr>
              <w:t>1768</w:t>
            </w:r>
          </w:p>
        </w:tc>
        <w:tc>
          <w:tcPr>
            <w:tcW w:w="638" w:type="dxa"/>
            <w:tcBorders>
              <w:top w:val="single" w:sz="2" w:space="0" w:color="auto"/>
            </w:tcBorders>
            <w:shd w:val="clear" w:color="000000" w:fill="FFFFFF"/>
            <w:noWrap/>
            <w:hideMark/>
          </w:tcPr>
          <w:p w:rsidR="00C56FCC" w:rsidRPr="00166994" w:rsidRDefault="00C56FCC">
            <w:pPr>
              <w:pStyle w:val="TableText"/>
              <w:tabs>
                <w:tab w:val="decimal" w:pos="510"/>
              </w:tabs>
              <w:rPr>
                <w:szCs w:val="18"/>
                <w:lang w:eastAsia="en-NZ"/>
              </w:rPr>
            </w:pPr>
            <w:r w:rsidRPr="00166994">
              <w:rPr>
                <w:szCs w:val="18"/>
                <w:lang w:eastAsia="en-NZ"/>
              </w:rPr>
              <w:t>1265</w:t>
            </w:r>
          </w:p>
        </w:tc>
      </w:tr>
      <w:tr w:rsidR="00166994" w:rsidRPr="00166994" w:rsidTr="00691522">
        <w:trPr>
          <w:cantSplit/>
        </w:trPr>
        <w:tc>
          <w:tcPr>
            <w:tcW w:w="1134" w:type="dxa"/>
            <w:shd w:val="clear" w:color="000000" w:fill="FFFFFF"/>
          </w:tcPr>
          <w:p w:rsidR="00C56FCC" w:rsidRPr="00166994" w:rsidRDefault="00C56FCC" w:rsidP="00691522">
            <w:pPr>
              <w:pStyle w:val="TableText"/>
              <w:rPr>
                <w:lang w:eastAsia="en-NZ"/>
              </w:rPr>
            </w:pPr>
          </w:p>
        </w:tc>
        <w:tc>
          <w:tcPr>
            <w:tcW w:w="1843" w:type="dxa"/>
            <w:shd w:val="clear" w:color="000000" w:fill="FFFFFF"/>
            <w:noWrap/>
            <w:hideMark/>
          </w:tcPr>
          <w:p w:rsidR="00C56FCC" w:rsidRPr="00166994" w:rsidRDefault="004E6AA1" w:rsidP="00691522">
            <w:pPr>
              <w:pStyle w:val="TableText"/>
              <w:ind w:right="142"/>
              <w:rPr>
                <w:lang w:eastAsia="en-NZ"/>
              </w:rPr>
            </w:pPr>
            <w:r w:rsidRPr="00166994">
              <w:rPr>
                <w:lang w:eastAsia="en-NZ"/>
              </w:rPr>
              <w:t>Utensil</w:t>
            </w:r>
            <w:r w:rsidR="00C56FCC" w:rsidRPr="00166994">
              <w:rPr>
                <w:lang w:eastAsia="en-NZ"/>
              </w:rPr>
              <w:t xml:space="preserve"> charge related to cannabis</w:t>
            </w:r>
          </w:p>
        </w:tc>
        <w:tc>
          <w:tcPr>
            <w:tcW w:w="637" w:type="dxa"/>
            <w:shd w:val="clear" w:color="000000" w:fill="FFFFFF"/>
            <w:noWrap/>
            <w:hideMark/>
          </w:tcPr>
          <w:p w:rsidR="00C56FCC" w:rsidRPr="00166994" w:rsidRDefault="00C56FCC">
            <w:pPr>
              <w:pStyle w:val="TableText"/>
              <w:tabs>
                <w:tab w:val="decimal" w:pos="510"/>
              </w:tabs>
              <w:rPr>
                <w:szCs w:val="18"/>
                <w:lang w:eastAsia="en-NZ"/>
              </w:rPr>
            </w:pPr>
            <w:r w:rsidRPr="00166994">
              <w:rPr>
                <w:szCs w:val="18"/>
                <w:lang w:eastAsia="en-NZ"/>
              </w:rPr>
              <w:t>2757</w:t>
            </w:r>
          </w:p>
        </w:tc>
        <w:tc>
          <w:tcPr>
            <w:tcW w:w="638" w:type="dxa"/>
            <w:shd w:val="clear" w:color="000000" w:fill="FFFFFF"/>
            <w:noWrap/>
            <w:hideMark/>
          </w:tcPr>
          <w:p w:rsidR="00C56FCC" w:rsidRPr="00166994" w:rsidRDefault="00C56FCC">
            <w:pPr>
              <w:pStyle w:val="TableText"/>
              <w:tabs>
                <w:tab w:val="decimal" w:pos="510"/>
              </w:tabs>
              <w:rPr>
                <w:szCs w:val="18"/>
                <w:lang w:eastAsia="en-NZ"/>
              </w:rPr>
            </w:pPr>
            <w:r w:rsidRPr="00166994">
              <w:rPr>
                <w:szCs w:val="18"/>
                <w:lang w:eastAsia="en-NZ"/>
              </w:rPr>
              <w:t>2815</w:t>
            </w:r>
          </w:p>
        </w:tc>
        <w:tc>
          <w:tcPr>
            <w:tcW w:w="638" w:type="dxa"/>
            <w:shd w:val="clear" w:color="000000" w:fill="FFFFFF"/>
            <w:noWrap/>
            <w:hideMark/>
          </w:tcPr>
          <w:p w:rsidR="00C56FCC" w:rsidRPr="00166994" w:rsidRDefault="00C56FCC">
            <w:pPr>
              <w:pStyle w:val="TableText"/>
              <w:tabs>
                <w:tab w:val="decimal" w:pos="510"/>
              </w:tabs>
              <w:rPr>
                <w:szCs w:val="18"/>
                <w:lang w:eastAsia="en-NZ"/>
              </w:rPr>
            </w:pPr>
            <w:r w:rsidRPr="00166994">
              <w:rPr>
                <w:szCs w:val="18"/>
                <w:lang w:eastAsia="en-NZ"/>
              </w:rPr>
              <w:t>2970</w:t>
            </w:r>
          </w:p>
        </w:tc>
        <w:tc>
          <w:tcPr>
            <w:tcW w:w="638" w:type="dxa"/>
            <w:shd w:val="clear" w:color="000000" w:fill="FFFFFF"/>
            <w:noWrap/>
            <w:hideMark/>
          </w:tcPr>
          <w:p w:rsidR="00C56FCC" w:rsidRPr="00166994" w:rsidRDefault="00C56FCC">
            <w:pPr>
              <w:pStyle w:val="TableText"/>
              <w:tabs>
                <w:tab w:val="decimal" w:pos="510"/>
              </w:tabs>
              <w:rPr>
                <w:szCs w:val="18"/>
                <w:lang w:eastAsia="en-NZ"/>
              </w:rPr>
            </w:pPr>
            <w:r w:rsidRPr="00166994">
              <w:rPr>
                <w:szCs w:val="18"/>
                <w:lang w:eastAsia="en-NZ"/>
              </w:rPr>
              <w:t>3217</w:t>
            </w:r>
          </w:p>
        </w:tc>
        <w:tc>
          <w:tcPr>
            <w:tcW w:w="638" w:type="dxa"/>
            <w:shd w:val="clear" w:color="000000" w:fill="FFFFFF"/>
            <w:noWrap/>
            <w:hideMark/>
          </w:tcPr>
          <w:p w:rsidR="00C56FCC" w:rsidRPr="00166994" w:rsidRDefault="00C56FCC">
            <w:pPr>
              <w:pStyle w:val="TableText"/>
              <w:tabs>
                <w:tab w:val="decimal" w:pos="510"/>
              </w:tabs>
              <w:rPr>
                <w:szCs w:val="18"/>
                <w:lang w:eastAsia="en-NZ"/>
              </w:rPr>
            </w:pPr>
            <w:r w:rsidRPr="00166994">
              <w:rPr>
                <w:szCs w:val="18"/>
                <w:lang w:eastAsia="en-NZ"/>
              </w:rPr>
              <w:t>3634</w:t>
            </w:r>
          </w:p>
        </w:tc>
        <w:tc>
          <w:tcPr>
            <w:tcW w:w="638" w:type="dxa"/>
            <w:shd w:val="clear" w:color="000000" w:fill="FFFFFF"/>
            <w:noWrap/>
            <w:hideMark/>
          </w:tcPr>
          <w:p w:rsidR="00C56FCC" w:rsidRPr="00166994" w:rsidRDefault="00C56FCC">
            <w:pPr>
              <w:pStyle w:val="TableText"/>
              <w:tabs>
                <w:tab w:val="decimal" w:pos="510"/>
              </w:tabs>
              <w:rPr>
                <w:szCs w:val="18"/>
                <w:lang w:eastAsia="en-NZ"/>
              </w:rPr>
            </w:pPr>
            <w:r w:rsidRPr="00166994">
              <w:rPr>
                <w:szCs w:val="18"/>
                <w:lang w:eastAsia="en-NZ"/>
              </w:rPr>
              <w:t>3164</w:t>
            </w:r>
          </w:p>
        </w:tc>
        <w:tc>
          <w:tcPr>
            <w:tcW w:w="638" w:type="dxa"/>
            <w:shd w:val="clear" w:color="000000" w:fill="FFFFFF"/>
            <w:noWrap/>
            <w:hideMark/>
          </w:tcPr>
          <w:p w:rsidR="00C56FCC" w:rsidRPr="00166994" w:rsidRDefault="00C56FCC">
            <w:pPr>
              <w:pStyle w:val="TableText"/>
              <w:tabs>
                <w:tab w:val="decimal" w:pos="510"/>
              </w:tabs>
              <w:rPr>
                <w:szCs w:val="18"/>
                <w:lang w:eastAsia="en-NZ"/>
              </w:rPr>
            </w:pPr>
            <w:r w:rsidRPr="00166994">
              <w:rPr>
                <w:szCs w:val="18"/>
                <w:lang w:eastAsia="en-NZ"/>
              </w:rPr>
              <w:t>1994</w:t>
            </w:r>
          </w:p>
        </w:tc>
        <w:tc>
          <w:tcPr>
            <w:tcW w:w="638" w:type="dxa"/>
            <w:shd w:val="clear" w:color="000000" w:fill="FFFFFF"/>
            <w:noWrap/>
            <w:hideMark/>
          </w:tcPr>
          <w:p w:rsidR="00C56FCC" w:rsidRPr="00166994" w:rsidRDefault="00C56FCC">
            <w:pPr>
              <w:pStyle w:val="TableText"/>
              <w:tabs>
                <w:tab w:val="decimal" w:pos="510"/>
              </w:tabs>
              <w:rPr>
                <w:szCs w:val="18"/>
                <w:lang w:eastAsia="en-NZ"/>
              </w:rPr>
            </w:pPr>
            <w:r w:rsidRPr="00166994">
              <w:rPr>
                <w:szCs w:val="18"/>
                <w:lang w:eastAsia="en-NZ"/>
              </w:rPr>
              <w:t>1994</w:t>
            </w:r>
          </w:p>
        </w:tc>
        <w:tc>
          <w:tcPr>
            <w:tcW w:w="638" w:type="dxa"/>
            <w:shd w:val="clear" w:color="000000" w:fill="FFFFFF"/>
            <w:noWrap/>
            <w:hideMark/>
          </w:tcPr>
          <w:p w:rsidR="00C56FCC" w:rsidRPr="00166994" w:rsidRDefault="00C56FCC">
            <w:pPr>
              <w:pStyle w:val="TableText"/>
              <w:tabs>
                <w:tab w:val="decimal" w:pos="510"/>
              </w:tabs>
              <w:rPr>
                <w:szCs w:val="18"/>
                <w:lang w:eastAsia="en-NZ"/>
              </w:rPr>
            </w:pPr>
            <w:r w:rsidRPr="00166994">
              <w:rPr>
                <w:szCs w:val="18"/>
                <w:lang w:eastAsia="en-NZ"/>
              </w:rPr>
              <w:t>1391</w:t>
            </w:r>
          </w:p>
        </w:tc>
        <w:tc>
          <w:tcPr>
            <w:tcW w:w="638" w:type="dxa"/>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961</w:t>
            </w:r>
          </w:p>
        </w:tc>
      </w:tr>
      <w:tr w:rsidR="00166994" w:rsidRPr="00166994" w:rsidTr="00691522">
        <w:trPr>
          <w:cantSplit/>
        </w:trPr>
        <w:tc>
          <w:tcPr>
            <w:tcW w:w="1134" w:type="dxa"/>
            <w:tcBorders>
              <w:bottom w:val="single" w:sz="4" w:space="0" w:color="A6A6A6" w:themeColor="background1" w:themeShade="A6"/>
            </w:tcBorders>
            <w:shd w:val="clear" w:color="000000" w:fill="FFFFFF"/>
          </w:tcPr>
          <w:p w:rsidR="00C56FCC" w:rsidRPr="00166994" w:rsidDel="00AB330B" w:rsidRDefault="00C56FCC" w:rsidP="00691522">
            <w:pPr>
              <w:pStyle w:val="TableText"/>
              <w:rPr>
                <w:lang w:eastAsia="en-NZ"/>
              </w:rPr>
            </w:pPr>
          </w:p>
        </w:tc>
        <w:tc>
          <w:tcPr>
            <w:tcW w:w="1843" w:type="dxa"/>
            <w:tcBorders>
              <w:bottom w:val="single" w:sz="4" w:space="0" w:color="A6A6A6" w:themeColor="background1" w:themeShade="A6"/>
            </w:tcBorders>
            <w:shd w:val="clear" w:color="000000" w:fill="FFFFFF"/>
            <w:noWrap/>
            <w:hideMark/>
          </w:tcPr>
          <w:p w:rsidR="00C56FCC" w:rsidRPr="00166994" w:rsidRDefault="004E6AA1" w:rsidP="00691522">
            <w:pPr>
              <w:pStyle w:val="TableText"/>
              <w:ind w:right="142"/>
              <w:rPr>
                <w:lang w:eastAsia="en-NZ"/>
              </w:rPr>
            </w:pPr>
            <w:r w:rsidRPr="00166994">
              <w:rPr>
                <w:lang w:eastAsia="en-NZ"/>
              </w:rPr>
              <w:t xml:space="preserve">Utensil </w:t>
            </w:r>
            <w:r w:rsidR="00C56FCC" w:rsidRPr="00166994">
              <w:rPr>
                <w:lang w:eastAsia="en-NZ"/>
              </w:rPr>
              <w:t>charge related to drugs other than cannabis</w:t>
            </w:r>
          </w:p>
        </w:tc>
        <w:tc>
          <w:tcPr>
            <w:tcW w:w="637" w:type="dxa"/>
            <w:tcBorders>
              <w:bottom w:val="single" w:sz="4" w:space="0" w:color="A6A6A6" w:themeColor="background1" w:themeShade="A6"/>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463</w:t>
            </w:r>
          </w:p>
        </w:tc>
        <w:tc>
          <w:tcPr>
            <w:tcW w:w="638" w:type="dxa"/>
            <w:tcBorders>
              <w:bottom w:val="single" w:sz="4" w:space="0" w:color="A6A6A6" w:themeColor="background1" w:themeShade="A6"/>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520</w:t>
            </w:r>
          </w:p>
        </w:tc>
        <w:tc>
          <w:tcPr>
            <w:tcW w:w="638" w:type="dxa"/>
            <w:tcBorders>
              <w:bottom w:val="single" w:sz="4" w:space="0" w:color="A6A6A6" w:themeColor="background1" w:themeShade="A6"/>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520</w:t>
            </w:r>
          </w:p>
        </w:tc>
        <w:tc>
          <w:tcPr>
            <w:tcW w:w="638" w:type="dxa"/>
            <w:tcBorders>
              <w:bottom w:val="single" w:sz="4" w:space="0" w:color="A6A6A6" w:themeColor="background1" w:themeShade="A6"/>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490</w:t>
            </w:r>
          </w:p>
        </w:tc>
        <w:tc>
          <w:tcPr>
            <w:tcW w:w="638" w:type="dxa"/>
            <w:tcBorders>
              <w:bottom w:val="single" w:sz="4" w:space="0" w:color="A6A6A6" w:themeColor="background1" w:themeShade="A6"/>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583</w:t>
            </w:r>
          </w:p>
        </w:tc>
        <w:tc>
          <w:tcPr>
            <w:tcW w:w="638" w:type="dxa"/>
            <w:tcBorders>
              <w:bottom w:val="single" w:sz="4" w:space="0" w:color="A6A6A6" w:themeColor="background1" w:themeShade="A6"/>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521</w:t>
            </w:r>
          </w:p>
        </w:tc>
        <w:tc>
          <w:tcPr>
            <w:tcW w:w="638" w:type="dxa"/>
            <w:tcBorders>
              <w:bottom w:val="single" w:sz="4" w:space="0" w:color="A6A6A6" w:themeColor="background1" w:themeShade="A6"/>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500</w:t>
            </w:r>
          </w:p>
        </w:tc>
        <w:tc>
          <w:tcPr>
            <w:tcW w:w="638" w:type="dxa"/>
            <w:tcBorders>
              <w:bottom w:val="single" w:sz="4" w:space="0" w:color="A6A6A6" w:themeColor="background1" w:themeShade="A6"/>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425</w:t>
            </w:r>
          </w:p>
        </w:tc>
        <w:tc>
          <w:tcPr>
            <w:tcW w:w="638" w:type="dxa"/>
            <w:tcBorders>
              <w:bottom w:val="single" w:sz="4" w:space="0" w:color="A6A6A6" w:themeColor="background1" w:themeShade="A6"/>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377</w:t>
            </w:r>
          </w:p>
        </w:tc>
        <w:tc>
          <w:tcPr>
            <w:tcW w:w="638" w:type="dxa"/>
            <w:tcBorders>
              <w:bottom w:val="single" w:sz="4" w:space="0" w:color="A6A6A6" w:themeColor="background1" w:themeShade="A6"/>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304</w:t>
            </w:r>
          </w:p>
        </w:tc>
      </w:tr>
      <w:tr w:rsidR="00166994" w:rsidRPr="00166994" w:rsidTr="00691522">
        <w:trPr>
          <w:cantSplit/>
        </w:trPr>
        <w:tc>
          <w:tcPr>
            <w:tcW w:w="1134" w:type="dxa"/>
            <w:vMerge w:val="restart"/>
            <w:tcBorders>
              <w:top w:val="single" w:sz="4" w:space="0" w:color="A6A6A6" w:themeColor="background1" w:themeShade="A6"/>
              <w:bottom w:val="nil"/>
            </w:tcBorders>
            <w:shd w:val="clear" w:color="000000" w:fill="FFFFFF"/>
          </w:tcPr>
          <w:p w:rsidR="00C56FCC" w:rsidRPr="00166994" w:rsidRDefault="00C56FCC" w:rsidP="00691522">
            <w:pPr>
              <w:pStyle w:val="TableText"/>
              <w:rPr>
                <w:lang w:eastAsia="en-NZ"/>
              </w:rPr>
            </w:pPr>
            <w:r w:rsidRPr="00166994">
              <w:rPr>
                <w:lang w:eastAsia="en-NZ"/>
              </w:rPr>
              <w:t>Cannabis</w:t>
            </w:r>
          </w:p>
        </w:tc>
        <w:tc>
          <w:tcPr>
            <w:tcW w:w="1843" w:type="dxa"/>
            <w:tcBorders>
              <w:top w:val="single" w:sz="4" w:space="0" w:color="A6A6A6" w:themeColor="background1" w:themeShade="A6"/>
              <w:bottom w:val="nil"/>
            </w:tcBorders>
            <w:shd w:val="clear" w:color="000000" w:fill="FFFFFF"/>
            <w:noWrap/>
            <w:hideMark/>
          </w:tcPr>
          <w:p w:rsidR="00C56FCC" w:rsidRPr="00166994" w:rsidRDefault="00691522" w:rsidP="00691522">
            <w:pPr>
              <w:pStyle w:val="TableText"/>
              <w:ind w:right="142"/>
              <w:rPr>
                <w:lang w:eastAsia="en-NZ"/>
              </w:rPr>
            </w:pPr>
            <w:r w:rsidRPr="00166994">
              <w:rPr>
                <w:lang w:eastAsia="en-NZ"/>
              </w:rPr>
              <w:t>European</w:t>
            </w:r>
          </w:p>
        </w:tc>
        <w:tc>
          <w:tcPr>
            <w:tcW w:w="637" w:type="dxa"/>
            <w:tcBorders>
              <w:top w:val="single" w:sz="4" w:space="0" w:color="A6A6A6" w:themeColor="background1" w:themeShade="A6"/>
              <w:bottom w:val="nil"/>
            </w:tcBorders>
            <w:shd w:val="clear" w:color="000000" w:fill="FFFFFF"/>
            <w:noWrap/>
            <w:hideMark/>
          </w:tcPr>
          <w:p w:rsidR="00C56FCC" w:rsidRPr="00166994" w:rsidRDefault="00C56FCC">
            <w:pPr>
              <w:pStyle w:val="TableText"/>
              <w:tabs>
                <w:tab w:val="decimal" w:pos="510"/>
              </w:tabs>
              <w:rPr>
                <w:szCs w:val="18"/>
                <w:lang w:eastAsia="en-NZ"/>
              </w:rPr>
            </w:pPr>
            <w:r w:rsidRPr="00166994">
              <w:rPr>
                <w:szCs w:val="18"/>
                <w:lang w:eastAsia="en-NZ"/>
              </w:rPr>
              <w:t>1566</w:t>
            </w:r>
          </w:p>
        </w:tc>
        <w:tc>
          <w:tcPr>
            <w:tcW w:w="638" w:type="dxa"/>
            <w:tcBorders>
              <w:top w:val="single" w:sz="4" w:space="0" w:color="A6A6A6" w:themeColor="background1" w:themeShade="A6"/>
              <w:bottom w:val="nil"/>
            </w:tcBorders>
            <w:shd w:val="clear" w:color="000000" w:fill="FFFFFF"/>
            <w:noWrap/>
            <w:hideMark/>
          </w:tcPr>
          <w:p w:rsidR="00C56FCC" w:rsidRPr="00166994" w:rsidRDefault="00C56FCC">
            <w:pPr>
              <w:pStyle w:val="TableText"/>
              <w:tabs>
                <w:tab w:val="decimal" w:pos="510"/>
              </w:tabs>
              <w:rPr>
                <w:szCs w:val="18"/>
                <w:lang w:eastAsia="en-NZ"/>
              </w:rPr>
            </w:pPr>
            <w:r w:rsidRPr="00166994">
              <w:rPr>
                <w:szCs w:val="18"/>
                <w:lang w:eastAsia="en-NZ"/>
              </w:rPr>
              <w:t>1606</w:t>
            </w:r>
          </w:p>
        </w:tc>
        <w:tc>
          <w:tcPr>
            <w:tcW w:w="638" w:type="dxa"/>
            <w:tcBorders>
              <w:top w:val="single" w:sz="4" w:space="0" w:color="A6A6A6" w:themeColor="background1" w:themeShade="A6"/>
              <w:bottom w:val="nil"/>
            </w:tcBorders>
            <w:shd w:val="clear" w:color="000000" w:fill="FFFFFF"/>
            <w:noWrap/>
            <w:hideMark/>
          </w:tcPr>
          <w:p w:rsidR="00C56FCC" w:rsidRPr="00166994" w:rsidRDefault="00C56FCC">
            <w:pPr>
              <w:pStyle w:val="TableText"/>
              <w:tabs>
                <w:tab w:val="decimal" w:pos="510"/>
              </w:tabs>
              <w:rPr>
                <w:szCs w:val="18"/>
                <w:lang w:eastAsia="en-NZ"/>
              </w:rPr>
            </w:pPr>
            <w:r w:rsidRPr="00166994">
              <w:rPr>
                <w:szCs w:val="18"/>
                <w:lang w:eastAsia="en-NZ"/>
              </w:rPr>
              <w:t>1736</w:t>
            </w:r>
          </w:p>
        </w:tc>
        <w:tc>
          <w:tcPr>
            <w:tcW w:w="638" w:type="dxa"/>
            <w:tcBorders>
              <w:top w:val="single" w:sz="4" w:space="0" w:color="A6A6A6" w:themeColor="background1" w:themeShade="A6"/>
              <w:bottom w:val="nil"/>
            </w:tcBorders>
            <w:shd w:val="clear" w:color="000000" w:fill="FFFFFF"/>
            <w:noWrap/>
            <w:hideMark/>
          </w:tcPr>
          <w:p w:rsidR="00C56FCC" w:rsidRPr="00166994" w:rsidRDefault="00C56FCC">
            <w:pPr>
              <w:pStyle w:val="TableText"/>
              <w:tabs>
                <w:tab w:val="decimal" w:pos="510"/>
              </w:tabs>
              <w:rPr>
                <w:szCs w:val="18"/>
                <w:lang w:eastAsia="en-NZ"/>
              </w:rPr>
            </w:pPr>
            <w:r w:rsidRPr="00166994">
              <w:rPr>
                <w:szCs w:val="18"/>
                <w:lang w:eastAsia="en-NZ"/>
              </w:rPr>
              <w:t>1834</w:t>
            </w:r>
          </w:p>
        </w:tc>
        <w:tc>
          <w:tcPr>
            <w:tcW w:w="638" w:type="dxa"/>
            <w:tcBorders>
              <w:top w:val="single" w:sz="4" w:space="0" w:color="A6A6A6" w:themeColor="background1" w:themeShade="A6"/>
              <w:bottom w:val="nil"/>
            </w:tcBorders>
            <w:shd w:val="clear" w:color="000000" w:fill="FFFFFF"/>
            <w:noWrap/>
            <w:hideMark/>
          </w:tcPr>
          <w:p w:rsidR="00C56FCC" w:rsidRPr="00166994" w:rsidRDefault="00C56FCC">
            <w:pPr>
              <w:pStyle w:val="TableText"/>
              <w:tabs>
                <w:tab w:val="decimal" w:pos="510"/>
              </w:tabs>
              <w:rPr>
                <w:szCs w:val="18"/>
                <w:lang w:eastAsia="en-NZ"/>
              </w:rPr>
            </w:pPr>
            <w:r w:rsidRPr="00166994">
              <w:rPr>
                <w:szCs w:val="18"/>
                <w:lang w:eastAsia="en-NZ"/>
              </w:rPr>
              <w:t>2170</w:t>
            </w:r>
          </w:p>
        </w:tc>
        <w:tc>
          <w:tcPr>
            <w:tcW w:w="638" w:type="dxa"/>
            <w:tcBorders>
              <w:top w:val="single" w:sz="4" w:space="0" w:color="A6A6A6" w:themeColor="background1" w:themeShade="A6"/>
              <w:bottom w:val="nil"/>
            </w:tcBorders>
            <w:shd w:val="clear" w:color="000000" w:fill="FFFFFF"/>
            <w:noWrap/>
            <w:hideMark/>
          </w:tcPr>
          <w:p w:rsidR="00C56FCC" w:rsidRPr="00166994" w:rsidRDefault="00C56FCC">
            <w:pPr>
              <w:pStyle w:val="TableText"/>
              <w:tabs>
                <w:tab w:val="decimal" w:pos="510"/>
              </w:tabs>
              <w:rPr>
                <w:szCs w:val="18"/>
                <w:lang w:eastAsia="en-NZ"/>
              </w:rPr>
            </w:pPr>
            <w:r w:rsidRPr="00166994">
              <w:rPr>
                <w:szCs w:val="18"/>
                <w:lang w:eastAsia="en-NZ"/>
              </w:rPr>
              <w:t>1899</w:t>
            </w:r>
          </w:p>
        </w:tc>
        <w:tc>
          <w:tcPr>
            <w:tcW w:w="638" w:type="dxa"/>
            <w:tcBorders>
              <w:top w:val="single" w:sz="4" w:space="0" w:color="A6A6A6" w:themeColor="background1" w:themeShade="A6"/>
              <w:bottom w:val="nil"/>
            </w:tcBorders>
            <w:shd w:val="clear" w:color="000000" w:fill="FFFFFF"/>
            <w:noWrap/>
            <w:hideMark/>
          </w:tcPr>
          <w:p w:rsidR="00C56FCC" w:rsidRPr="00166994" w:rsidRDefault="00C56FCC">
            <w:pPr>
              <w:pStyle w:val="TableText"/>
              <w:tabs>
                <w:tab w:val="decimal" w:pos="510"/>
              </w:tabs>
              <w:rPr>
                <w:szCs w:val="18"/>
                <w:lang w:eastAsia="en-NZ"/>
              </w:rPr>
            </w:pPr>
            <w:r w:rsidRPr="00166994">
              <w:rPr>
                <w:szCs w:val="18"/>
                <w:lang w:eastAsia="en-NZ"/>
              </w:rPr>
              <w:t>1365</w:t>
            </w:r>
          </w:p>
        </w:tc>
        <w:tc>
          <w:tcPr>
            <w:tcW w:w="638" w:type="dxa"/>
            <w:tcBorders>
              <w:top w:val="single" w:sz="4" w:space="0" w:color="A6A6A6" w:themeColor="background1" w:themeShade="A6"/>
              <w:bottom w:val="nil"/>
            </w:tcBorders>
            <w:shd w:val="clear" w:color="000000" w:fill="FFFFFF"/>
            <w:noWrap/>
            <w:hideMark/>
          </w:tcPr>
          <w:p w:rsidR="00C56FCC" w:rsidRPr="00166994" w:rsidRDefault="00C56FCC">
            <w:pPr>
              <w:pStyle w:val="TableText"/>
              <w:tabs>
                <w:tab w:val="decimal" w:pos="510"/>
              </w:tabs>
              <w:rPr>
                <w:szCs w:val="18"/>
                <w:lang w:eastAsia="en-NZ"/>
              </w:rPr>
            </w:pPr>
            <w:r w:rsidRPr="00166994">
              <w:rPr>
                <w:szCs w:val="18"/>
                <w:lang w:eastAsia="en-NZ"/>
              </w:rPr>
              <w:t>1170</w:t>
            </w:r>
          </w:p>
        </w:tc>
        <w:tc>
          <w:tcPr>
            <w:tcW w:w="638" w:type="dxa"/>
            <w:tcBorders>
              <w:top w:val="single" w:sz="4" w:space="0" w:color="A6A6A6" w:themeColor="background1" w:themeShade="A6"/>
              <w:bottom w:val="nil"/>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767</w:t>
            </w:r>
          </w:p>
        </w:tc>
        <w:tc>
          <w:tcPr>
            <w:tcW w:w="638" w:type="dxa"/>
            <w:tcBorders>
              <w:top w:val="single" w:sz="4" w:space="0" w:color="A6A6A6" w:themeColor="background1" w:themeShade="A6"/>
              <w:bottom w:val="nil"/>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535</w:t>
            </w:r>
          </w:p>
        </w:tc>
      </w:tr>
      <w:tr w:rsidR="00166994" w:rsidRPr="00166994" w:rsidTr="00691522">
        <w:trPr>
          <w:cantSplit/>
        </w:trPr>
        <w:tc>
          <w:tcPr>
            <w:tcW w:w="1134" w:type="dxa"/>
            <w:vMerge/>
            <w:tcBorders>
              <w:top w:val="nil"/>
            </w:tcBorders>
            <w:shd w:val="clear" w:color="000000" w:fill="FFFFFF"/>
          </w:tcPr>
          <w:p w:rsidR="00C56FCC" w:rsidRPr="00166994" w:rsidRDefault="00C56FCC" w:rsidP="00691522">
            <w:pPr>
              <w:pStyle w:val="TableText"/>
              <w:rPr>
                <w:lang w:eastAsia="en-NZ"/>
              </w:rPr>
            </w:pPr>
          </w:p>
        </w:tc>
        <w:tc>
          <w:tcPr>
            <w:tcW w:w="1843" w:type="dxa"/>
            <w:tcBorders>
              <w:top w:val="nil"/>
            </w:tcBorders>
            <w:shd w:val="clear" w:color="auto" w:fill="auto"/>
            <w:noWrap/>
            <w:hideMark/>
          </w:tcPr>
          <w:p w:rsidR="00C56FCC" w:rsidRPr="00166994" w:rsidRDefault="00C56FCC" w:rsidP="00B02C49">
            <w:pPr>
              <w:pStyle w:val="TableText"/>
              <w:ind w:right="142"/>
              <w:rPr>
                <w:lang w:eastAsia="en-NZ"/>
              </w:rPr>
            </w:pPr>
            <w:r w:rsidRPr="00166994">
              <w:rPr>
                <w:lang w:eastAsia="en-NZ"/>
              </w:rPr>
              <w:t>M</w:t>
            </w:r>
            <w:r w:rsidR="00691522" w:rsidRPr="00166994">
              <w:rPr>
                <w:lang w:eastAsia="en-NZ"/>
              </w:rPr>
              <w:t>āori</w:t>
            </w:r>
          </w:p>
        </w:tc>
        <w:tc>
          <w:tcPr>
            <w:tcW w:w="637" w:type="dxa"/>
            <w:tcBorders>
              <w:top w:val="nil"/>
            </w:tcBorders>
            <w:shd w:val="clear" w:color="auto" w:fill="auto"/>
            <w:noWrap/>
            <w:hideMark/>
          </w:tcPr>
          <w:p w:rsidR="00C56FCC" w:rsidRPr="00166994" w:rsidRDefault="00C56FCC" w:rsidP="00691522">
            <w:pPr>
              <w:pStyle w:val="TableText"/>
              <w:tabs>
                <w:tab w:val="decimal" w:pos="510"/>
              </w:tabs>
              <w:rPr>
                <w:szCs w:val="18"/>
                <w:lang w:eastAsia="en-NZ"/>
              </w:rPr>
            </w:pPr>
            <w:r w:rsidRPr="00166994">
              <w:rPr>
                <w:szCs w:val="18"/>
                <w:lang w:eastAsia="en-NZ"/>
              </w:rPr>
              <w:t>938</w:t>
            </w:r>
          </w:p>
        </w:tc>
        <w:tc>
          <w:tcPr>
            <w:tcW w:w="638" w:type="dxa"/>
            <w:tcBorders>
              <w:top w:val="nil"/>
            </w:tcBorders>
            <w:shd w:val="clear" w:color="auto" w:fill="auto"/>
            <w:noWrap/>
            <w:hideMark/>
          </w:tcPr>
          <w:p w:rsidR="00C56FCC" w:rsidRPr="00166994" w:rsidRDefault="00C56FCC" w:rsidP="00691522">
            <w:pPr>
              <w:pStyle w:val="TableText"/>
              <w:tabs>
                <w:tab w:val="decimal" w:pos="510"/>
              </w:tabs>
              <w:rPr>
                <w:szCs w:val="18"/>
                <w:lang w:eastAsia="en-NZ"/>
              </w:rPr>
            </w:pPr>
            <w:r w:rsidRPr="00166994">
              <w:rPr>
                <w:szCs w:val="18"/>
                <w:lang w:eastAsia="en-NZ"/>
              </w:rPr>
              <w:t>969</w:t>
            </w:r>
          </w:p>
        </w:tc>
        <w:tc>
          <w:tcPr>
            <w:tcW w:w="638" w:type="dxa"/>
            <w:tcBorders>
              <w:top w:val="nil"/>
            </w:tcBorders>
            <w:shd w:val="clear" w:color="auto" w:fill="auto"/>
            <w:noWrap/>
            <w:hideMark/>
          </w:tcPr>
          <w:p w:rsidR="00C56FCC" w:rsidRPr="00166994" w:rsidRDefault="00C56FCC" w:rsidP="00691522">
            <w:pPr>
              <w:pStyle w:val="TableText"/>
              <w:tabs>
                <w:tab w:val="decimal" w:pos="510"/>
              </w:tabs>
              <w:rPr>
                <w:szCs w:val="18"/>
                <w:lang w:eastAsia="en-NZ"/>
              </w:rPr>
            </w:pPr>
            <w:r w:rsidRPr="00166994">
              <w:rPr>
                <w:szCs w:val="18"/>
                <w:lang w:eastAsia="en-NZ"/>
              </w:rPr>
              <w:t>988</w:t>
            </w:r>
          </w:p>
        </w:tc>
        <w:tc>
          <w:tcPr>
            <w:tcW w:w="638" w:type="dxa"/>
            <w:tcBorders>
              <w:top w:val="nil"/>
            </w:tcBorders>
            <w:shd w:val="clear" w:color="auto" w:fill="auto"/>
            <w:noWrap/>
            <w:hideMark/>
          </w:tcPr>
          <w:p w:rsidR="00C56FCC" w:rsidRPr="00166994" w:rsidRDefault="00C56FCC">
            <w:pPr>
              <w:pStyle w:val="TableText"/>
              <w:tabs>
                <w:tab w:val="decimal" w:pos="510"/>
              </w:tabs>
              <w:rPr>
                <w:szCs w:val="18"/>
                <w:lang w:eastAsia="en-NZ"/>
              </w:rPr>
            </w:pPr>
            <w:r w:rsidRPr="00166994">
              <w:rPr>
                <w:szCs w:val="18"/>
                <w:lang w:eastAsia="en-NZ"/>
              </w:rPr>
              <w:t>1113</w:t>
            </w:r>
          </w:p>
        </w:tc>
        <w:tc>
          <w:tcPr>
            <w:tcW w:w="638" w:type="dxa"/>
            <w:tcBorders>
              <w:top w:val="nil"/>
            </w:tcBorders>
            <w:shd w:val="clear" w:color="auto" w:fill="auto"/>
            <w:noWrap/>
            <w:hideMark/>
          </w:tcPr>
          <w:p w:rsidR="00C56FCC" w:rsidRPr="00166994" w:rsidRDefault="00C56FCC">
            <w:pPr>
              <w:pStyle w:val="TableText"/>
              <w:tabs>
                <w:tab w:val="decimal" w:pos="510"/>
              </w:tabs>
              <w:rPr>
                <w:szCs w:val="18"/>
                <w:lang w:eastAsia="en-NZ"/>
              </w:rPr>
            </w:pPr>
            <w:r w:rsidRPr="00166994">
              <w:rPr>
                <w:szCs w:val="18"/>
                <w:lang w:eastAsia="en-NZ"/>
              </w:rPr>
              <w:t>1208</w:t>
            </w:r>
          </w:p>
        </w:tc>
        <w:tc>
          <w:tcPr>
            <w:tcW w:w="638" w:type="dxa"/>
            <w:tcBorders>
              <w:top w:val="nil"/>
            </w:tcBorders>
            <w:shd w:val="clear" w:color="auto" w:fill="auto"/>
            <w:noWrap/>
            <w:hideMark/>
          </w:tcPr>
          <w:p w:rsidR="00C56FCC" w:rsidRPr="00166994" w:rsidRDefault="00C56FCC">
            <w:pPr>
              <w:pStyle w:val="TableText"/>
              <w:tabs>
                <w:tab w:val="decimal" w:pos="510"/>
              </w:tabs>
              <w:rPr>
                <w:szCs w:val="18"/>
                <w:lang w:eastAsia="en-NZ"/>
              </w:rPr>
            </w:pPr>
            <w:r w:rsidRPr="00166994">
              <w:rPr>
                <w:szCs w:val="18"/>
                <w:lang w:eastAsia="en-NZ"/>
              </w:rPr>
              <w:t>1057</w:t>
            </w:r>
          </w:p>
        </w:tc>
        <w:tc>
          <w:tcPr>
            <w:tcW w:w="638" w:type="dxa"/>
            <w:tcBorders>
              <w:top w:val="nil"/>
            </w:tcBorders>
            <w:shd w:val="clear" w:color="auto" w:fill="auto"/>
            <w:noWrap/>
            <w:hideMark/>
          </w:tcPr>
          <w:p w:rsidR="00C56FCC" w:rsidRPr="00166994" w:rsidRDefault="00C56FCC" w:rsidP="00691522">
            <w:pPr>
              <w:pStyle w:val="TableText"/>
              <w:tabs>
                <w:tab w:val="decimal" w:pos="510"/>
              </w:tabs>
              <w:rPr>
                <w:szCs w:val="18"/>
                <w:lang w:eastAsia="en-NZ"/>
              </w:rPr>
            </w:pPr>
            <w:r w:rsidRPr="00166994">
              <w:rPr>
                <w:szCs w:val="18"/>
                <w:lang w:eastAsia="en-NZ"/>
              </w:rPr>
              <w:t>868</w:t>
            </w:r>
          </w:p>
        </w:tc>
        <w:tc>
          <w:tcPr>
            <w:tcW w:w="638" w:type="dxa"/>
            <w:tcBorders>
              <w:top w:val="nil"/>
            </w:tcBorders>
            <w:shd w:val="clear" w:color="auto" w:fill="auto"/>
            <w:noWrap/>
            <w:hideMark/>
          </w:tcPr>
          <w:p w:rsidR="00C56FCC" w:rsidRPr="00166994" w:rsidRDefault="00C56FCC" w:rsidP="00691522">
            <w:pPr>
              <w:pStyle w:val="TableText"/>
              <w:tabs>
                <w:tab w:val="decimal" w:pos="510"/>
              </w:tabs>
              <w:rPr>
                <w:szCs w:val="18"/>
                <w:lang w:eastAsia="en-NZ"/>
              </w:rPr>
            </w:pPr>
            <w:r w:rsidRPr="00166994">
              <w:rPr>
                <w:szCs w:val="18"/>
                <w:lang w:eastAsia="en-NZ"/>
              </w:rPr>
              <w:t>695</w:t>
            </w:r>
          </w:p>
        </w:tc>
        <w:tc>
          <w:tcPr>
            <w:tcW w:w="638" w:type="dxa"/>
            <w:tcBorders>
              <w:top w:val="nil"/>
            </w:tcBorders>
            <w:shd w:val="clear" w:color="auto" w:fill="auto"/>
            <w:noWrap/>
            <w:hideMark/>
          </w:tcPr>
          <w:p w:rsidR="00C56FCC" w:rsidRPr="00166994" w:rsidRDefault="00C56FCC" w:rsidP="00691522">
            <w:pPr>
              <w:pStyle w:val="TableText"/>
              <w:tabs>
                <w:tab w:val="decimal" w:pos="510"/>
              </w:tabs>
              <w:rPr>
                <w:szCs w:val="18"/>
                <w:lang w:eastAsia="en-NZ"/>
              </w:rPr>
            </w:pPr>
            <w:r w:rsidRPr="00166994">
              <w:rPr>
                <w:szCs w:val="18"/>
                <w:lang w:eastAsia="en-NZ"/>
              </w:rPr>
              <w:t>507</w:t>
            </w:r>
          </w:p>
        </w:tc>
        <w:tc>
          <w:tcPr>
            <w:tcW w:w="638" w:type="dxa"/>
            <w:tcBorders>
              <w:top w:val="nil"/>
            </w:tcBorders>
            <w:shd w:val="clear" w:color="auto" w:fill="auto"/>
            <w:noWrap/>
            <w:hideMark/>
          </w:tcPr>
          <w:p w:rsidR="00C56FCC" w:rsidRPr="00166994" w:rsidRDefault="00C56FCC" w:rsidP="00691522">
            <w:pPr>
              <w:pStyle w:val="TableText"/>
              <w:tabs>
                <w:tab w:val="decimal" w:pos="510"/>
              </w:tabs>
              <w:rPr>
                <w:szCs w:val="18"/>
                <w:lang w:eastAsia="en-NZ"/>
              </w:rPr>
            </w:pPr>
            <w:r w:rsidRPr="00166994">
              <w:rPr>
                <w:szCs w:val="18"/>
                <w:lang w:eastAsia="en-NZ"/>
              </w:rPr>
              <w:t>340</w:t>
            </w:r>
          </w:p>
        </w:tc>
      </w:tr>
      <w:tr w:rsidR="00166994" w:rsidRPr="00166994" w:rsidTr="00691522">
        <w:trPr>
          <w:cantSplit/>
        </w:trPr>
        <w:tc>
          <w:tcPr>
            <w:tcW w:w="1134" w:type="dxa"/>
            <w:vMerge/>
            <w:tcBorders>
              <w:bottom w:val="single" w:sz="4" w:space="0" w:color="A6A6A6" w:themeColor="background1" w:themeShade="A6"/>
            </w:tcBorders>
            <w:shd w:val="clear" w:color="000000" w:fill="FFFFFF"/>
          </w:tcPr>
          <w:p w:rsidR="00C56FCC" w:rsidRPr="00166994" w:rsidRDefault="00C56FCC" w:rsidP="00691522">
            <w:pPr>
              <w:pStyle w:val="TableText"/>
              <w:rPr>
                <w:lang w:eastAsia="en-NZ"/>
              </w:rPr>
            </w:pPr>
          </w:p>
        </w:tc>
        <w:tc>
          <w:tcPr>
            <w:tcW w:w="1843" w:type="dxa"/>
            <w:tcBorders>
              <w:bottom w:val="single" w:sz="4" w:space="0" w:color="A6A6A6" w:themeColor="background1" w:themeShade="A6"/>
            </w:tcBorders>
            <w:shd w:val="clear" w:color="000000" w:fill="FFFFFF"/>
            <w:noWrap/>
            <w:hideMark/>
          </w:tcPr>
          <w:p w:rsidR="00C56FCC" w:rsidRPr="00166994" w:rsidRDefault="00C56FCC" w:rsidP="00166994">
            <w:pPr>
              <w:pStyle w:val="TableText"/>
              <w:ind w:right="142"/>
              <w:rPr>
                <w:lang w:eastAsia="en-NZ"/>
              </w:rPr>
            </w:pPr>
            <w:r w:rsidRPr="00166994">
              <w:rPr>
                <w:lang w:eastAsia="en-NZ"/>
              </w:rPr>
              <w:t xml:space="preserve">Pacific </w:t>
            </w:r>
          </w:p>
        </w:tc>
        <w:tc>
          <w:tcPr>
            <w:tcW w:w="637" w:type="dxa"/>
            <w:tcBorders>
              <w:bottom w:val="single" w:sz="4" w:space="0" w:color="A6A6A6" w:themeColor="background1" w:themeShade="A6"/>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114</w:t>
            </w:r>
          </w:p>
        </w:tc>
        <w:tc>
          <w:tcPr>
            <w:tcW w:w="638" w:type="dxa"/>
            <w:tcBorders>
              <w:bottom w:val="single" w:sz="4" w:space="0" w:color="A6A6A6" w:themeColor="background1" w:themeShade="A6"/>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113</w:t>
            </w:r>
          </w:p>
        </w:tc>
        <w:tc>
          <w:tcPr>
            <w:tcW w:w="638" w:type="dxa"/>
            <w:tcBorders>
              <w:bottom w:val="single" w:sz="4" w:space="0" w:color="A6A6A6" w:themeColor="background1" w:themeShade="A6"/>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105</w:t>
            </w:r>
          </w:p>
        </w:tc>
        <w:tc>
          <w:tcPr>
            <w:tcW w:w="638" w:type="dxa"/>
            <w:tcBorders>
              <w:bottom w:val="single" w:sz="4" w:space="0" w:color="A6A6A6" w:themeColor="background1" w:themeShade="A6"/>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135</w:t>
            </w:r>
          </w:p>
        </w:tc>
        <w:tc>
          <w:tcPr>
            <w:tcW w:w="638" w:type="dxa"/>
            <w:tcBorders>
              <w:bottom w:val="single" w:sz="4" w:space="0" w:color="A6A6A6" w:themeColor="background1" w:themeShade="A6"/>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144</w:t>
            </w:r>
          </w:p>
        </w:tc>
        <w:tc>
          <w:tcPr>
            <w:tcW w:w="638" w:type="dxa"/>
            <w:tcBorders>
              <w:bottom w:val="single" w:sz="4" w:space="0" w:color="A6A6A6" w:themeColor="background1" w:themeShade="A6"/>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107</w:t>
            </w:r>
          </w:p>
        </w:tc>
        <w:tc>
          <w:tcPr>
            <w:tcW w:w="638" w:type="dxa"/>
            <w:tcBorders>
              <w:bottom w:val="single" w:sz="4" w:space="0" w:color="A6A6A6" w:themeColor="background1" w:themeShade="A6"/>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94</w:t>
            </w:r>
          </w:p>
        </w:tc>
        <w:tc>
          <w:tcPr>
            <w:tcW w:w="638" w:type="dxa"/>
            <w:tcBorders>
              <w:bottom w:val="single" w:sz="4" w:space="0" w:color="A6A6A6" w:themeColor="background1" w:themeShade="A6"/>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73</w:t>
            </w:r>
          </w:p>
        </w:tc>
        <w:tc>
          <w:tcPr>
            <w:tcW w:w="638" w:type="dxa"/>
            <w:tcBorders>
              <w:bottom w:val="single" w:sz="4" w:space="0" w:color="A6A6A6" w:themeColor="background1" w:themeShade="A6"/>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63</w:t>
            </w:r>
          </w:p>
        </w:tc>
        <w:tc>
          <w:tcPr>
            <w:tcW w:w="638" w:type="dxa"/>
            <w:tcBorders>
              <w:bottom w:val="single" w:sz="4" w:space="0" w:color="A6A6A6" w:themeColor="background1" w:themeShade="A6"/>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48</w:t>
            </w:r>
          </w:p>
        </w:tc>
      </w:tr>
      <w:tr w:rsidR="00166994" w:rsidRPr="00166994" w:rsidTr="00691522">
        <w:trPr>
          <w:cantSplit/>
        </w:trPr>
        <w:tc>
          <w:tcPr>
            <w:tcW w:w="1134" w:type="dxa"/>
            <w:vMerge w:val="restart"/>
            <w:tcBorders>
              <w:top w:val="single" w:sz="4" w:space="0" w:color="A6A6A6" w:themeColor="background1" w:themeShade="A6"/>
              <w:bottom w:val="nil"/>
            </w:tcBorders>
            <w:shd w:val="clear" w:color="000000" w:fill="FFFFFF"/>
          </w:tcPr>
          <w:p w:rsidR="00C56FCC" w:rsidRPr="00166994" w:rsidRDefault="00C56FCC" w:rsidP="00691522">
            <w:pPr>
              <w:pStyle w:val="TableText"/>
              <w:rPr>
                <w:lang w:eastAsia="en-NZ"/>
              </w:rPr>
            </w:pPr>
            <w:r w:rsidRPr="00166994">
              <w:rPr>
                <w:lang w:eastAsia="en-NZ"/>
              </w:rPr>
              <w:t>Other drug (not cannabis)</w:t>
            </w:r>
          </w:p>
        </w:tc>
        <w:tc>
          <w:tcPr>
            <w:tcW w:w="1843" w:type="dxa"/>
            <w:tcBorders>
              <w:top w:val="single" w:sz="4" w:space="0" w:color="A6A6A6" w:themeColor="background1" w:themeShade="A6"/>
              <w:bottom w:val="nil"/>
            </w:tcBorders>
            <w:shd w:val="clear" w:color="000000" w:fill="FFFFFF"/>
            <w:noWrap/>
            <w:hideMark/>
          </w:tcPr>
          <w:p w:rsidR="00C56FCC" w:rsidRPr="00166994" w:rsidRDefault="00C56FCC" w:rsidP="00691522">
            <w:pPr>
              <w:pStyle w:val="TableText"/>
              <w:ind w:right="142"/>
              <w:rPr>
                <w:lang w:eastAsia="en-NZ"/>
              </w:rPr>
            </w:pPr>
            <w:r w:rsidRPr="00166994">
              <w:rPr>
                <w:lang w:eastAsia="en-NZ"/>
              </w:rPr>
              <w:t>European</w:t>
            </w:r>
          </w:p>
        </w:tc>
        <w:tc>
          <w:tcPr>
            <w:tcW w:w="637" w:type="dxa"/>
            <w:tcBorders>
              <w:top w:val="single" w:sz="4" w:space="0" w:color="A6A6A6" w:themeColor="background1" w:themeShade="A6"/>
              <w:bottom w:val="nil"/>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279</w:t>
            </w:r>
          </w:p>
        </w:tc>
        <w:tc>
          <w:tcPr>
            <w:tcW w:w="638" w:type="dxa"/>
            <w:tcBorders>
              <w:top w:val="single" w:sz="4" w:space="0" w:color="A6A6A6" w:themeColor="background1" w:themeShade="A6"/>
              <w:bottom w:val="nil"/>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268</w:t>
            </w:r>
          </w:p>
        </w:tc>
        <w:tc>
          <w:tcPr>
            <w:tcW w:w="638" w:type="dxa"/>
            <w:tcBorders>
              <w:top w:val="single" w:sz="4" w:space="0" w:color="A6A6A6" w:themeColor="background1" w:themeShade="A6"/>
              <w:bottom w:val="nil"/>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280</w:t>
            </w:r>
          </w:p>
        </w:tc>
        <w:tc>
          <w:tcPr>
            <w:tcW w:w="638" w:type="dxa"/>
            <w:tcBorders>
              <w:top w:val="single" w:sz="4" w:space="0" w:color="A6A6A6" w:themeColor="background1" w:themeShade="A6"/>
              <w:bottom w:val="nil"/>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287</w:t>
            </w:r>
          </w:p>
        </w:tc>
        <w:tc>
          <w:tcPr>
            <w:tcW w:w="638" w:type="dxa"/>
            <w:tcBorders>
              <w:top w:val="single" w:sz="4" w:space="0" w:color="A6A6A6" w:themeColor="background1" w:themeShade="A6"/>
              <w:bottom w:val="nil"/>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351</w:t>
            </w:r>
          </w:p>
        </w:tc>
        <w:tc>
          <w:tcPr>
            <w:tcW w:w="638" w:type="dxa"/>
            <w:tcBorders>
              <w:top w:val="single" w:sz="4" w:space="0" w:color="A6A6A6" w:themeColor="background1" w:themeShade="A6"/>
              <w:bottom w:val="nil"/>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290</w:t>
            </w:r>
          </w:p>
        </w:tc>
        <w:tc>
          <w:tcPr>
            <w:tcW w:w="638" w:type="dxa"/>
            <w:tcBorders>
              <w:top w:val="single" w:sz="4" w:space="0" w:color="A6A6A6" w:themeColor="background1" w:themeShade="A6"/>
              <w:bottom w:val="nil"/>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294</w:t>
            </w:r>
          </w:p>
        </w:tc>
        <w:tc>
          <w:tcPr>
            <w:tcW w:w="638" w:type="dxa"/>
            <w:tcBorders>
              <w:top w:val="single" w:sz="4" w:space="0" w:color="A6A6A6" w:themeColor="background1" w:themeShade="A6"/>
              <w:bottom w:val="nil"/>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215</w:t>
            </w:r>
          </w:p>
        </w:tc>
        <w:tc>
          <w:tcPr>
            <w:tcW w:w="638" w:type="dxa"/>
            <w:tcBorders>
              <w:top w:val="single" w:sz="4" w:space="0" w:color="A6A6A6" w:themeColor="background1" w:themeShade="A6"/>
              <w:bottom w:val="nil"/>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205</w:t>
            </w:r>
          </w:p>
        </w:tc>
        <w:tc>
          <w:tcPr>
            <w:tcW w:w="638" w:type="dxa"/>
            <w:tcBorders>
              <w:top w:val="single" w:sz="4" w:space="0" w:color="A6A6A6" w:themeColor="background1" w:themeShade="A6"/>
              <w:bottom w:val="nil"/>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150</w:t>
            </w:r>
          </w:p>
        </w:tc>
      </w:tr>
      <w:tr w:rsidR="00166994" w:rsidRPr="00166994" w:rsidTr="00691522">
        <w:trPr>
          <w:cantSplit/>
        </w:trPr>
        <w:tc>
          <w:tcPr>
            <w:tcW w:w="1134" w:type="dxa"/>
            <w:vMerge/>
            <w:tcBorders>
              <w:top w:val="nil"/>
            </w:tcBorders>
            <w:shd w:val="clear" w:color="000000" w:fill="FFFFFF"/>
          </w:tcPr>
          <w:p w:rsidR="00C56FCC" w:rsidRPr="00166994" w:rsidRDefault="00C56FCC" w:rsidP="00691522">
            <w:pPr>
              <w:pStyle w:val="TableText"/>
              <w:rPr>
                <w:lang w:eastAsia="en-NZ"/>
              </w:rPr>
            </w:pPr>
          </w:p>
        </w:tc>
        <w:tc>
          <w:tcPr>
            <w:tcW w:w="1843" w:type="dxa"/>
            <w:tcBorders>
              <w:top w:val="nil"/>
            </w:tcBorders>
            <w:shd w:val="clear" w:color="000000" w:fill="FFFFFF"/>
            <w:noWrap/>
            <w:hideMark/>
          </w:tcPr>
          <w:p w:rsidR="00C56FCC" w:rsidRPr="00166994" w:rsidRDefault="00C56FCC" w:rsidP="00B02C49">
            <w:pPr>
              <w:pStyle w:val="TableText"/>
              <w:ind w:right="142"/>
              <w:rPr>
                <w:lang w:eastAsia="en-NZ"/>
              </w:rPr>
            </w:pPr>
            <w:r w:rsidRPr="00166994">
              <w:rPr>
                <w:lang w:eastAsia="en-NZ"/>
              </w:rPr>
              <w:t>M</w:t>
            </w:r>
            <w:r w:rsidR="00691522" w:rsidRPr="00166994">
              <w:rPr>
                <w:lang w:eastAsia="en-NZ"/>
              </w:rPr>
              <w:t>āori</w:t>
            </w:r>
          </w:p>
        </w:tc>
        <w:tc>
          <w:tcPr>
            <w:tcW w:w="637" w:type="dxa"/>
            <w:tcBorders>
              <w:top w:val="nil"/>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156</w:t>
            </w:r>
          </w:p>
        </w:tc>
        <w:tc>
          <w:tcPr>
            <w:tcW w:w="638" w:type="dxa"/>
            <w:tcBorders>
              <w:top w:val="nil"/>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203</w:t>
            </w:r>
          </w:p>
        </w:tc>
        <w:tc>
          <w:tcPr>
            <w:tcW w:w="638" w:type="dxa"/>
            <w:tcBorders>
              <w:top w:val="nil"/>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202</w:t>
            </w:r>
          </w:p>
        </w:tc>
        <w:tc>
          <w:tcPr>
            <w:tcW w:w="638" w:type="dxa"/>
            <w:tcBorders>
              <w:top w:val="nil"/>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151</w:t>
            </w:r>
          </w:p>
        </w:tc>
        <w:tc>
          <w:tcPr>
            <w:tcW w:w="638" w:type="dxa"/>
            <w:tcBorders>
              <w:top w:val="nil"/>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172</w:t>
            </w:r>
          </w:p>
        </w:tc>
        <w:tc>
          <w:tcPr>
            <w:tcW w:w="638" w:type="dxa"/>
            <w:tcBorders>
              <w:top w:val="nil"/>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180</w:t>
            </w:r>
          </w:p>
        </w:tc>
        <w:tc>
          <w:tcPr>
            <w:tcW w:w="638" w:type="dxa"/>
            <w:tcBorders>
              <w:top w:val="nil"/>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167</w:t>
            </w:r>
          </w:p>
        </w:tc>
        <w:tc>
          <w:tcPr>
            <w:tcW w:w="638" w:type="dxa"/>
            <w:tcBorders>
              <w:top w:val="nil"/>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155</w:t>
            </w:r>
          </w:p>
        </w:tc>
        <w:tc>
          <w:tcPr>
            <w:tcW w:w="638" w:type="dxa"/>
            <w:tcBorders>
              <w:top w:val="nil"/>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146</w:t>
            </w:r>
          </w:p>
        </w:tc>
        <w:tc>
          <w:tcPr>
            <w:tcW w:w="638" w:type="dxa"/>
            <w:tcBorders>
              <w:top w:val="nil"/>
            </w:tcBorders>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122</w:t>
            </w:r>
          </w:p>
        </w:tc>
      </w:tr>
      <w:tr w:rsidR="00166994" w:rsidRPr="00166994" w:rsidTr="00691522">
        <w:trPr>
          <w:cantSplit/>
        </w:trPr>
        <w:tc>
          <w:tcPr>
            <w:tcW w:w="1134" w:type="dxa"/>
            <w:vMerge/>
            <w:shd w:val="clear" w:color="000000" w:fill="FFFFFF"/>
          </w:tcPr>
          <w:p w:rsidR="00C56FCC" w:rsidRPr="00166994" w:rsidRDefault="00C56FCC" w:rsidP="00691522">
            <w:pPr>
              <w:pStyle w:val="TableText"/>
              <w:rPr>
                <w:lang w:eastAsia="en-NZ"/>
              </w:rPr>
            </w:pPr>
          </w:p>
        </w:tc>
        <w:tc>
          <w:tcPr>
            <w:tcW w:w="1843" w:type="dxa"/>
            <w:shd w:val="clear" w:color="000000" w:fill="FFFFFF"/>
            <w:noWrap/>
            <w:hideMark/>
          </w:tcPr>
          <w:p w:rsidR="00C56FCC" w:rsidRPr="00166994" w:rsidRDefault="00C56FCC" w:rsidP="00166994">
            <w:pPr>
              <w:pStyle w:val="TableText"/>
              <w:ind w:right="142"/>
              <w:rPr>
                <w:lang w:eastAsia="en-NZ"/>
              </w:rPr>
            </w:pPr>
            <w:r w:rsidRPr="00166994">
              <w:rPr>
                <w:lang w:eastAsia="en-NZ"/>
              </w:rPr>
              <w:t xml:space="preserve">Pacific </w:t>
            </w:r>
          </w:p>
        </w:tc>
        <w:tc>
          <w:tcPr>
            <w:tcW w:w="637" w:type="dxa"/>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13</w:t>
            </w:r>
          </w:p>
        </w:tc>
        <w:tc>
          <w:tcPr>
            <w:tcW w:w="638" w:type="dxa"/>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35</w:t>
            </w:r>
          </w:p>
        </w:tc>
        <w:tc>
          <w:tcPr>
            <w:tcW w:w="638" w:type="dxa"/>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22</w:t>
            </w:r>
          </w:p>
        </w:tc>
        <w:tc>
          <w:tcPr>
            <w:tcW w:w="638" w:type="dxa"/>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27</w:t>
            </w:r>
          </w:p>
        </w:tc>
        <w:tc>
          <w:tcPr>
            <w:tcW w:w="638" w:type="dxa"/>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28</w:t>
            </w:r>
          </w:p>
        </w:tc>
        <w:tc>
          <w:tcPr>
            <w:tcW w:w="638" w:type="dxa"/>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22</w:t>
            </w:r>
          </w:p>
        </w:tc>
        <w:tc>
          <w:tcPr>
            <w:tcW w:w="638" w:type="dxa"/>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17</w:t>
            </w:r>
          </w:p>
        </w:tc>
        <w:tc>
          <w:tcPr>
            <w:tcW w:w="638" w:type="dxa"/>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29</w:t>
            </w:r>
          </w:p>
        </w:tc>
        <w:tc>
          <w:tcPr>
            <w:tcW w:w="638" w:type="dxa"/>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12</w:t>
            </w:r>
          </w:p>
        </w:tc>
        <w:tc>
          <w:tcPr>
            <w:tcW w:w="638" w:type="dxa"/>
            <w:shd w:val="clear" w:color="000000" w:fill="FFFFFF"/>
            <w:noWrap/>
            <w:hideMark/>
          </w:tcPr>
          <w:p w:rsidR="00C56FCC" w:rsidRPr="00166994" w:rsidRDefault="00C56FCC" w:rsidP="00691522">
            <w:pPr>
              <w:pStyle w:val="TableText"/>
              <w:tabs>
                <w:tab w:val="decimal" w:pos="510"/>
              </w:tabs>
              <w:rPr>
                <w:szCs w:val="18"/>
                <w:lang w:eastAsia="en-NZ"/>
              </w:rPr>
            </w:pPr>
            <w:r w:rsidRPr="00166994">
              <w:rPr>
                <w:szCs w:val="18"/>
                <w:lang w:eastAsia="en-NZ"/>
              </w:rPr>
              <w:t>18</w:t>
            </w:r>
          </w:p>
        </w:tc>
      </w:tr>
    </w:tbl>
    <w:p w:rsidR="00C56FCC" w:rsidRPr="00F91482" w:rsidRDefault="00C56FCC" w:rsidP="00691522"/>
    <w:p w:rsidR="00C56FCC" w:rsidRPr="00E76560" w:rsidRDefault="00C56FCC" w:rsidP="00691522">
      <w:pPr>
        <w:pStyle w:val="Heading2"/>
      </w:pPr>
      <w:bookmarkStart w:id="38" w:name="_Toc454263613"/>
      <w:bookmarkStart w:id="39" w:name="_Toc454700963"/>
      <w:r w:rsidRPr="00E76560">
        <w:lastRenderedPageBreak/>
        <w:t>Availability and use</w:t>
      </w:r>
      <w:r>
        <w:t xml:space="preserve"> of drug utensils</w:t>
      </w:r>
      <w:bookmarkEnd w:id="38"/>
      <w:bookmarkEnd w:id="39"/>
    </w:p>
    <w:p w:rsidR="00C56FCC" w:rsidRPr="007B3002" w:rsidRDefault="00C56FCC" w:rsidP="00691522">
      <w:pPr>
        <w:pStyle w:val="Heading3"/>
      </w:pPr>
      <w:r w:rsidRPr="007B3002">
        <w:t>Availability</w:t>
      </w:r>
    </w:p>
    <w:p w:rsidR="00F91482" w:rsidRDefault="00C56FCC" w:rsidP="00691522">
      <w:r w:rsidRPr="007B3002">
        <w:t xml:space="preserve">Despite the threat of criminal penalties, prohibited drug utensils can easily be ordered online or purchased in specialty stores, tobacconists and novelty shops </w:t>
      </w:r>
      <w:r w:rsidRPr="007B3002">
        <w:rPr>
          <w:szCs w:val="22"/>
        </w:rPr>
        <w:t>(generally under different names than those set out in the Notice).</w:t>
      </w:r>
      <w:r w:rsidRPr="007B3002">
        <w:t xml:space="preserve"> As a substitute for purpose-ma</w:t>
      </w:r>
      <w:r w:rsidR="009D1ED8">
        <w:t>de products, people can also re</w:t>
      </w:r>
      <w:r w:rsidRPr="007B3002">
        <w:t>purpose ordinary household items, such as knives, drink bottles and lightbulbs.</w:t>
      </w:r>
    </w:p>
    <w:p w:rsidR="00691522" w:rsidRDefault="00691522" w:rsidP="00691522"/>
    <w:p w:rsidR="00C56FCC" w:rsidRDefault="00C56FCC" w:rsidP="00691522">
      <w:pPr>
        <w:rPr>
          <w:szCs w:val="22"/>
        </w:rPr>
      </w:pPr>
      <w:r w:rsidRPr="007B3002">
        <w:t>Access to new needles and syringes is</w:t>
      </w:r>
      <w:r>
        <w:t xml:space="preserve"> permitted and actively</w:t>
      </w:r>
      <w:r w:rsidRPr="007B3002">
        <w:t xml:space="preserve"> encouraged through approximately 200 outlets around New Zealand as part of the Needle Exchange Programme (NEP). Outlets also receive and safely dispose of used needles and syringes, and some provide information and advice about preventing the transmission of blood borne diseases. Many outlets provide a free new for old </w:t>
      </w:r>
      <w:r w:rsidR="00F91482">
        <w:t>‘</w:t>
      </w:r>
      <w:r w:rsidRPr="007B3002">
        <w:t>one-for-one</w:t>
      </w:r>
      <w:r w:rsidR="00F91482">
        <w:t>’</w:t>
      </w:r>
      <w:r w:rsidRPr="007B3002">
        <w:t xml:space="preserve"> service funded by the Ministry of Health to encourage single use and safe disposal. Ninety percent of NEP outlets are pharmacies and the rest are peer based </w:t>
      </w:r>
      <w:r w:rsidRPr="007B3002">
        <w:rPr>
          <w:szCs w:val="22"/>
        </w:rPr>
        <w:t>needle exchanges, including several mobile delivery services for rural areas. Access to new needles and syringes can be problematic in small towns and rural areas.</w:t>
      </w:r>
    </w:p>
    <w:p w:rsidR="00691522" w:rsidRPr="007B3002" w:rsidRDefault="00691522" w:rsidP="00691522">
      <w:pPr>
        <w:rPr>
          <w:szCs w:val="22"/>
        </w:rPr>
      </w:pPr>
    </w:p>
    <w:p w:rsidR="00C56FCC" w:rsidRPr="007B3002" w:rsidRDefault="00C56FCC" w:rsidP="00691522">
      <w:pPr>
        <w:pStyle w:val="Heading3"/>
      </w:pPr>
      <w:r w:rsidRPr="007B3002">
        <w:t>Use</w:t>
      </w:r>
    </w:p>
    <w:p w:rsidR="00F91482" w:rsidRDefault="00C56FCC" w:rsidP="00691522">
      <w:r w:rsidRPr="007B3002">
        <w:t xml:space="preserve">It is </w:t>
      </w:r>
      <w:r w:rsidR="00554403">
        <w:t>difficult</w:t>
      </w:r>
      <w:r w:rsidRPr="007B3002">
        <w:t xml:space="preserve"> to </w:t>
      </w:r>
      <w:r w:rsidR="00554403">
        <w:t xml:space="preserve">precisely </w:t>
      </w:r>
      <w:r w:rsidRPr="007B3002">
        <w:t>determine the number of people using utensils to consume controlled drugs or whether the utensils are purchased or homemade. We do have estimates of drug use from the New Zealand Health Survey and data from the Needle Exchange Programme on the distribution of needles.</w:t>
      </w:r>
    </w:p>
    <w:p w:rsidR="00691522" w:rsidRDefault="00691522" w:rsidP="00691522"/>
    <w:p w:rsidR="00C56FCC" w:rsidRPr="007B3002" w:rsidRDefault="00C56FCC" w:rsidP="00691522">
      <w:r w:rsidRPr="007B3002">
        <w:t>In 2012/13, 13 percent of New Zealand adults aged 15 and over reported using one or more drugs in the last 12 months. 50 percent reported having used one or more drugs at least once in their lifetime. Of those who reported use in the past year, 11 percent used cannabis or synthetic cannabis, 2.3 percent used hallucinogens/psychedelics, 2.1 percent used miscellaneous drug substances, 1.2 percent used opioids/sedatives and 1.1 percent used amphetamine-type stimulants (including methamphetamine). Of these drugs:</w:t>
      </w:r>
      <w:r w:rsidRPr="007B3002">
        <w:tab/>
      </w:r>
    </w:p>
    <w:p w:rsidR="00C56FCC" w:rsidRPr="007B3002" w:rsidRDefault="00C56FCC" w:rsidP="00691522">
      <w:pPr>
        <w:pStyle w:val="Bullet"/>
      </w:pPr>
      <w:r w:rsidRPr="007B3002">
        <w:t>cannabis and synthetic cannabino</w:t>
      </w:r>
      <w:r>
        <w:t>ids</w:t>
      </w:r>
      <w:r w:rsidRPr="007B3002">
        <w:t xml:space="preserve"> are typically smoked using rolling papers, pipes or bongs (homemade or bought), vaporisers or other utensils such as knives for </w:t>
      </w:r>
      <w:r w:rsidR="00F91482">
        <w:t>‘</w:t>
      </w:r>
      <w:r w:rsidRPr="007B3002">
        <w:t>spotting</w:t>
      </w:r>
      <w:r w:rsidR="00F91482">
        <w:t>’</w:t>
      </w:r>
    </w:p>
    <w:p w:rsidR="00C56FCC" w:rsidRPr="007B3002" w:rsidRDefault="00C56FCC" w:rsidP="00691522">
      <w:pPr>
        <w:pStyle w:val="Bullet"/>
      </w:pPr>
      <w:r w:rsidRPr="007B3002">
        <w:t>methamphetamine is typically smoked in pipes (homemade or bought) but can also be injected, swallowed or snorted</w:t>
      </w:r>
    </w:p>
    <w:p w:rsidR="00F91482" w:rsidRDefault="00C56FCC" w:rsidP="00691522">
      <w:pPr>
        <w:pStyle w:val="Bullet"/>
      </w:pPr>
      <w:r w:rsidRPr="007B3002">
        <w:t>opiates (from naturally-occurring alkaloids found in the opium poppy plant) are typically injected</w:t>
      </w:r>
    </w:p>
    <w:p w:rsidR="00C56FCC" w:rsidRPr="007B3002" w:rsidRDefault="00C56FCC" w:rsidP="00691522">
      <w:pPr>
        <w:pStyle w:val="Bullet"/>
      </w:pPr>
      <w:r w:rsidRPr="007B3002">
        <w:t>opioids (synthetic drugs that produce opiate-like effects) are typically swallowed in pill form</w:t>
      </w:r>
      <w:r w:rsidR="00D0276C">
        <w:t xml:space="preserve"> or injected</w:t>
      </w:r>
    </w:p>
    <w:p w:rsidR="00F91482" w:rsidRDefault="00C56FCC" w:rsidP="00691522">
      <w:pPr>
        <w:pStyle w:val="Bullet"/>
      </w:pPr>
      <w:r w:rsidRPr="007B3002">
        <w:t>other drugs, such as ecstasy, hallucinogens and stimulants such as Ritalin, do not usually require a utensil.</w:t>
      </w:r>
    </w:p>
    <w:p w:rsidR="00C56FCC" w:rsidRPr="007B3002" w:rsidRDefault="00C56FCC" w:rsidP="00691522"/>
    <w:p w:rsidR="00F91482" w:rsidRDefault="00C56FCC" w:rsidP="00691522">
      <w:r w:rsidRPr="007B3002">
        <w:t>In 2014, over 3.3 million needles were distributed nationally through the needle exchange program, with 76 percent of these via the free one-for-one scheme.</w:t>
      </w:r>
    </w:p>
    <w:p w:rsidR="00691522" w:rsidRDefault="00691522" w:rsidP="00691522"/>
    <w:p w:rsidR="00691522" w:rsidRPr="007B3002" w:rsidRDefault="00691522" w:rsidP="00691522">
      <w:pPr>
        <w:pStyle w:val="BoxHeading"/>
      </w:pPr>
      <w:r w:rsidRPr="007B3002">
        <w:t>Question 2</w:t>
      </w:r>
    </w:p>
    <w:p w:rsidR="00691522" w:rsidRPr="007B3002" w:rsidRDefault="00691522" w:rsidP="00691522">
      <w:pPr>
        <w:pStyle w:val="Box"/>
      </w:pPr>
      <w:r w:rsidRPr="007B3002">
        <w:t>What evidence or other information can you provide to improve the description of drug utensils and their availability and use?</w:t>
      </w:r>
    </w:p>
    <w:p w:rsidR="00C56FCC" w:rsidRPr="007B3002" w:rsidRDefault="00C56FCC" w:rsidP="00691522"/>
    <w:p w:rsidR="00C56FCC" w:rsidRDefault="00691522" w:rsidP="00691522">
      <w:pPr>
        <w:pStyle w:val="Heading1"/>
      </w:pPr>
      <w:bookmarkStart w:id="40" w:name="_Toc454263614"/>
      <w:bookmarkStart w:id="41" w:name="_Toc454700964"/>
      <w:r>
        <w:lastRenderedPageBreak/>
        <w:t>R</w:t>
      </w:r>
      <w:r w:rsidR="00C56FCC">
        <w:t>eview of the status quo</w:t>
      </w:r>
      <w:bookmarkEnd w:id="40"/>
      <w:bookmarkEnd w:id="41"/>
    </w:p>
    <w:p w:rsidR="00C56FCC" w:rsidRDefault="00C56FCC" w:rsidP="000243B5">
      <w:r w:rsidRPr="007B3002">
        <w:t>This section assesses the status quo against the five evaluation criteria and identifies areas for improvement.</w:t>
      </w:r>
    </w:p>
    <w:p w:rsidR="000243B5" w:rsidRPr="007B3002" w:rsidRDefault="000243B5" w:rsidP="000243B5"/>
    <w:p w:rsidR="00C56FCC" w:rsidRPr="0031321E" w:rsidRDefault="00C56FCC" w:rsidP="000243B5">
      <w:pPr>
        <w:pStyle w:val="Heading2"/>
      </w:pPr>
      <w:bookmarkStart w:id="42" w:name="_Toc454263615"/>
      <w:bookmarkStart w:id="43" w:name="_Toc454700965"/>
      <w:r w:rsidRPr="0031321E">
        <w:t>Harm prevention</w:t>
      </w:r>
      <w:bookmarkEnd w:id="42"/>
      <w:bookmarkEnd w:id="43"/>
    </w:p>
    <w:p w:rsidR="00F91482" w:rsidRDefault="00C56FCC" w:rsidP="000243B5">
      <w:r w:rsidRPr="007B3002">
        <w:t xml:space="preserve">The purpose of the Notice is to reduce the availability and visibility of drug utensils </w:t>
      </w:r>
      <w:r w:rsidR="00B547C8">
        <w:t>(</w:t>
      </w:r>
      <w:r w:rsidRPr="007B3002">
        <w:t>other than needles and syringe</w:t>
      </w:r>
      <w:r w:rsidR="00B547C8">
        <w:t>).</w:t>
      </w:r>
      <w:r w:rsidRPr="007B3002">
        <w:t xml:space="preserve"> Similarly, the purpose of the possession offence is to send a clear and consistent message about the harmfulness of drugs.</w:t>
      </w:r>
    </w:p>
    <w:p w:rsidR="000243B5" w:rsidRDefault="000243B5" w:rsidP="000243B5"/>
    <w:p w:rsidR="00F91482" w:rsidRDefault="00C56FCC" w:rsidP="000243B5">
      <w:r w:rsidRPr="007B3002">
        <w:t>Visibility of utensils through sales and marketing may have a role in normalising and thereby encouraging drug use, particularly for young people. Prohibition may deter some retailers from displaying and marketing prohibited products in a highly visible way, but it has not completely eliminated the practice.</w:t>
      </w:r>
      <w:r w:rsidRPr="007B3002" w:rsidDel="001158D6">
        <w:t xml:space="preserve"> </w:t>
      </w:r>
      <w:r w:rsidRPr="007B3002">
        <w:t>Some retailers, for example, have R18 sections of their stores and websites.</w:t>
      </w:r>
    </w:p>
    <w:p w:rsidR="000243B5" w:rsidRDefault="000243B5" w:rsidP="000243B5"/>
    <w:p w:rsidR="00C56FCC" w:rsidRDefault="00C56FCC" w:rsidP="000243B5">
      <w:r w:rsidRPr="007B3002">
        <w:t>In the case of needles, most studies have shown that providing sterile needles to people who inject drugs does not increase the incidence of drug use. There does not appear to be any scientific studies of the effects of drug paraphernalia</w:t>
      </w:r>
      <w:r w:rsidR="004528D9">
        <w:t>,</w:t>
      </w:r>
      <w:r w:rsidRPr="007B3002">
        <w:t xml:space="preserve"> such as bongs, pipes and roach clips</w:t>
      </w:r>
      <w:r w:rsidR="004528D9">
        <w:t>,</w:t>
      </w:r>
      <w:r w:rsidRPr="007B3002">
        <w:t xml:space="preserve"> on drug use. Nor is there any evidence that preventing people from having drug paraphernalia has any effect on the desire to use drugs. Additionally, in the absence of a specialised product, utensils can easily be made from ordinary household items, such as knives, drink bottles and lightbulbs. Alternatively, drugs can be consumed or absorbed into the body without the use of utensils. If a person has already made a decision to use illegal drugs, they are unlikely to be influenced by additional penalties for possessing drug utensils.</w:t>
      </w:r>
    </w:p>
    <w:p w:rsidR="000243B5" w:rsidRPr="007B3002" w:rsidRDefault="000243B5" w:rsidP="000243B5"/>
    <w:p w:rsidR="00C56FCC" w:rsidRPr="0031321E" w:rsidRDefault="00C56FCC" w:rsidP="000243B5">
      <w:pPr>
        <w:pStyle w:val="Heading2"/>
      </w:pPr>
      <w:bookmarkStart w:id="44" w:name="_Toc454263616"/>
      <w:bookmarkStart w:id="45" w:name="_Toc454700966"/>
      <w:r w:rsidRPr="0031321E">
        <w:t>Harm reduction</w:t>
      </w:r>
      <w:bookmarkEnd w:id="44"/>
      <w:bookmarkEnd w:id="45"/>
    </w:p>
    <w:p w:rsidR="00F91482" w:rsidRDefault="00C56FCC" w:rsidP="000243B5">
      <w:r w:rsidRPr="007B3002">
        <w:t>New Zealand has been extremely successful at preventing the spread of HIV among people who inject drugs through the Needle Exchange Programme. In 1996, less than 50 people who had confirmed HIV infections stated that they had a history of injecting drug use. New Zealand currently enjoys one of the lowest rates of HIV infection amongst people who inject drugs in the OECD (0.5 percent).</w:t>
      </w:r>
    </w:p>
    <w:p w:rsidR="000243B5" w:rsidRDefault="000243B5" w:rsidP="000243B5"/>
    <w:p w:rsidR="00F91482" w:rsidRDefault="00C56FCC" w:rsidP="000243B5">
      <w:r w:rsidRPr="007B3002">
        <w:t>However, there are gaps in the current regulatory environment for needles and syringes. Not all associated paraphernalia are included in the regulations (such as wheel filters that remove clumps in crushed pills to reduce the risk of vein damage). The prescriptive nature of the regulations mean that the Needle Exchange Programme cannot always make use of improved equipment, as it may not fall within the regulation definitions.</w:t>
      </w:r>
    </w:p>
    <w:p w:rsidR="000243B5" w:rsidRDefault="000243B5" w:rsidP="000243B5"/>
    <w:p w:rsidR="00F91482" w:rsidRDefault="00C56FCC" w:rsidP="000243B5">
      <w:r w:rsidRPr="007B3002">
        <w:t>The current regulatory environment is also unresponsive to the harm reduction potential of other utensils. Prohibition is a blunt instrument and does not provide an opportunity to regulate manufacturing standards, promote the use of less harmful devices or to provide education on safer ways to use drugs. For example there is growing scientific evidence that use of vaporisers reduces harm from smoke inhalation. Conversely, and contrary to popular belief, there is only limited and highly contested evidence that water-pipes and solid filters do anything to improve the THC/tar ratio in cannabis smoke.</w:t>
      </w:r>
    </w:p>
    <w:p w:rsidR="000243B5" w:rsidRDefault="000243B5" w:rsidP="000243B5"/>
    <w:p w:rsidR="00F91482" w:rsidRPr="000243B5" w:rsidRDefault="00C56FCC" w:rsidP="000243B5">
      <w:pPr>
        <w:pStyle w:val="Heading2"/>
      </w:pPr>
      <w:bookmarkStart w:id="46" w:name="_Toc454263617"/>
      <w:bookmarkStart w:id="47" w:name="_Toc454700967"/>
      <w:r w:rsidRPr="0031321E">
        <w:lastRenderedPageBreak/>
        <w:t>Proportionality</w:t>
      </w:r>
      <w:bookmarkEnd w:id="46"/>
      <w:bookmarkEnd w:id="47"/>
    </w:p>
    <w:p w:rsidR="00C56FCC" w:rsidRPr="00F02375" w:rsidRDefault="00C56FCC" w:rsidP="000243B5">
      <w:r>
        <w:t>When considering</w:t>
      </w:r>
      <w:r w:rsidRPr="00F02375">
        <w:t xml:space="preserve"> proportionality</w:t>
      </w:r>
      <w:r w:rsidR="004528D9">
        <w:t>,</w:t>
      </w:r>
      <w:r>
        <w:t xml:space="preserve"> we need to consider our two earlier questions</w:t>
      </w:r>
      <w:r w:rsidRPr="00F02375">
        <w:t>:</w:t>
      </w:r>
    </w:p>
    <w:p w:rsidR="00C56FCC" w:rsidRDefault="000243B5" w:rsidP="000243B5">
      <w:pPr>
        <w:spacing w:before="180"/>
        <w:ind w:left="567" w:hanging="567"/>
      </w:pPr>
      <w:r>
        <w:t>1.</w:t>
      </w:r>
      <w:r>
        <w:tab/>
      </w:r>
      <w:r w:rsidR="00C56FCC" w:rsidRPr="00F02375">
        <w:t xml:space="preserve">Is the behaviour so unacceptable that the negative impacts of </w:t>
      </w:r>
      <w:r w:rsidR="00C56FCC">
        <w:t xml:space="preserve">criminalising the behaviour </w:t>
      </w:r>
      <w:r w:rsidR="00C56FCC" w:rsidRPr="00F02375">
        <w:t xml:space="preserve">are outweighed by the importance of </w:t>
      </w:r>
      <w:r w:rsidR="00C56FCC">
        <w:t>punishment and</w:t>
      </w:r>
      <w:r w:rsidR="00C56FCC" w:rsidRPr="00F02375">
        <w:t xml:space="preserve"> deterren</w:t>
      </w:r>
      <w:r w:rsidR="00C56FCC">
        <w:t>ce</w:t>
      </w:r>
      <w:r w:rsidR="00C56FCC" w:rsidRPr="00F02375">
        <w:t>?</w:t>
      </w:r>
    </w:p>
    <w:p w:rsidR="00F91482" w:rsidRDefault="00C56FCC" w:rsidP="000243B5">
      <w:pPr>
        <w:spacing w:before="120"/>
        <w:ind w:left="567"/>
      </w:pPr>
      <w:r w:rsidRPr="007B3002">
        <w:t>A drug-related conviction can have a life-long effect on a person</w:t>
      </w:r>
      <w:r w:rsidR="00F91482">
        <w:t>’</w:t>
      </w:r>
      <w:r w:rsidRPr="007B3002">
        <w:t xml:space="preserve">s ability to obtain employment and housing, and to travel outside New Zealand. This is particularly the case for offences resulting in a custodial sentence, which cannot be concealed under the Criminal Records (Clean Slate) Act 2004. These implications create barriers for a person wanting to address their drug dependency issues and live in recovery. </w:t>
      </w:r>
      <w:r>
        <w:t>F</w:t>
      </w:r>
      <w:r w:rsidRPr="007B3002">
        <w:t>or an offence to be established, the Crown must establish that the purpose of possessing the utensil was to consume a controlled drug (or commit some other offence against the Act)</w:t>
      </w:r>
      <w:r>
        <w:t xml:space="preserve">. </w:t>
      </w:r>
      <w:r w:rsidRPr="007B3002">
        <w:t xml:space="preserve">It should be noted that utensils prosecutions may occur alongside prosecutions for other drug-related offending, </w:t>
      </w:r>
      <w:r>
        <w:t>so a conviction may still result in relation to those other charges.</w:t>
      </w:r>
    </w:p>
    <w:p w:rsidR="00F91482" w:rsidRDefault="000243B5" w:rsidP="000243B5">
      <w:pPr>
        <w:spacing w:before="180"/>
        <w:ind w:left="567" w:hanging="567"/>
      </w:pPr>
      <w:r>
        <w:t>2.</w:t>
      </w:r>
      <w:r>
        <w:tab/>
      </w:r>
      <w:r w:rsidR="00C56FCC" w:rsidRPr="00F02375">
        <w:t>Is the maximum fine or sentence for the behaviour proportion</w:t>
      </w:r>
      <w:r w:rsidR="007764B0">
        <w:t>ate</w:t>
      </w:r>
      <w:r w:rsidR="00C56FCC" w:rsidRPr="00F02375">
        <w:t xml:space="preserve"> to the harm done or risked (relative to penalties for other offences)</w:t>
      </w:r>
      <w:r>
        <w:t>?</w:t>
      </w:r>
    </w:p>
    <w:p w:rsidR="00F91482" w:rsidRDefault="00C56FCC" w:rsidP="000243B5">
      <w:pPr>
        <w:spacing w:before="120"/>
        <w:ind w:left="567"/>
      </w:pPr>
      <w:r>
        <w:t>T</w:t>
      </w:r>
      <w:r w:rsidRPr="007B3002">
        <w:t xml:space="preserve">he maximum imprisonment term relating </w:t>
      </w:r>
      <w:r w:rsidR="004B69C0">
        <w:t>to</w:t>
      </w:r>
      <w:r w:rsidRPr="007B3002">
        <w:t xml:space="preserve"> possession of a drug utensil is double that for possession of a Class A drug (</w:t>
      </w:r>
      <w:r w:rsidR="000243B5">
        <w:t>one</w:t>
      </w:r>
      <w:r w:rsidRPr="007B3002">
        <w:t xml:space="preserve"> year for utensil, </w:t>
      </w:r>
      <w:r w:rsidR="000243B5">
        <w:t>six</w:t>
      </w:r>
      <w:r w:rsidRPr="007B3002">
        <w:t xml:space="preserve"> months for Class A drug). This raises questions as to whether people who use drugs with a utensil are treated unequally to those who use drugs without utensils.</w:t>
      </w:r>
    </w:p>
    <w:p w:rsidR="00F91482" w:rsidRDefault="00C56FCC" w:rsidP="000243B5">
      <w:pPr>
        <w:spacing w:before="120"/>
        <w:ind w:left="567"/>
      </w:pPr>
      <w:r w:rsidRPr="007B3002">
        <w:t>The maximum imprisonment term for the import, supply and offer for sale of utensils is set at the same level as possession of a Class C drug</w:t>
      </w:r>
      <w:r>
        <w:t xml:space="preserve"> for an individual</w:t>
      </w:r>
      <w:r w:rsidRPr="007B3002">
        <w:t xml:space="preserve"> (</w:t>
      </w:r>
      <w:r w:rsidR="000243B5">
        <w:t>three</w:t>
      </w:r>
      <w:r w:rsidRPr="007B3002">
        <w:t xml:space="preserve"> months)</w:t>
      </w:r>
      <w:r>
        <w:t xml:space="preserve">, </w:t>
      </w:r>
      <w:r w:rsidRPr="00F02375">
        <w:t>and/or a fine of up to $1,000 (or $5,000 for a body corporate)</w:t>
      </w:r>
      <w:r w:rsidRPr="007B3002">
        <w:t>. The Misuse of Drugs Act empowers the Minister of Health to specify via Notice in the New Zealand Gazette the particular items that the Act applies to and conditions under which those items could legitimately be sold or possessed for sale/supply. This process lacks the scrutiny and public participation requirements of regulations or primary legislation. The Notice is also less accessible to the public as it does not qualify for publication on the New Zealand legislation website (legislation.govt.nz).</w:t>
      </w:r>
    </w:p>
    <w:p w:rsidR="00C56FCC" w:rsidRDefault="00C56FCC" w:rsidP="000243B5">
      <w:pPr>
        <w:spacing w:before="120"/>
        <w:ind w:left="567"/>
      </w:pPr>
      <w:r>
        <w:rPr>
          <w:szCs w:val="22"/>
        </w:rPr>
        <w:t xml:space="preserve">As noted on page </w:t>
      </w:r>
      <w:r w:rsidR="00F72367">
        <w:rPr>
          <w:szCs w:val="22"/>
        </w:rPr>
        <w:fldChar w:fldCharType="begin"/>
      </w:r>
      <w:r w:rsidR="00F72367">
        <w:rPr>
          <w:szCs w:val="22"/>
        </w:rPr>
        <w:instrText xml:space="preserve"> PAGEREF Comparison \h </w:instrText>
      </w:r>
      <w:r w:rsidR="00F72367">
        <w:rPr>
          <w:szCs w:val="22"/>
        </w:rPr>
      </w:r>
      <w:r w:rsidR="00F72367">
        <w:rPr>
          <w:szCs w:val="22"/>
        </w:rPr>
        <w:fldChar w:fldCharType="separate"/>
      </w:r>
      <w:r w:rsidR="009128D7">
        <w:rPr>
          <w:noProof/>
          <w:szCs w:val="22"/>
        </w:rPr>
        <w:t>6</w:t>
      </w:r>
      <w:r w:rsidR="00F72367">
        <w:rPr>
          <w:szCs w:val="22"/>
        </w:rPr>
        <w:fldChar w:fldCharType="end"/>
      </w:r>
      <w:r>
        <w:rPr>
          <w:szCs w:val="22"/>
        </w:rPr>
        <w:t xml:space="preserve">, by way of comparison, </w:t>
      </w:r>
      <w:r w:rsidRPr="00F02375">
        <w:t>possessing or consuming alcohol in breach of a Local Alcohol Ban attracts an infringement fee of $250</w:t>
      </w:r>
      <w:r w:rsidR="004528D9">
        <w:t>,</w:t>
      </w:r>
      <w:r>
        <w:t xml:space="preserve"> and </w:t>
      </w:r>
      <w:r w:rsidRPr="00F02375">
        <w:t>personal possession of an unapproved psychoactive substance attrac</w:t>
      </w:r>
      <w:r>
        <w:t>ts an infringement fee of $300.</w:t>
      </w:r>
    </w:p>
    <w:p w:rsidR="000243B5" w:rsidRPr="00714DCB" w:rsidRDefault="000243B5" w:rsidP="000243B5"/>
    <w:p w:rsidR="00F91482" w:rsidRDefault="00C56FCC" w:rsidP="000243B5">
      <w:pPr>
        <w:pStyle w:val="Heading2"/>
      </w:pPr>
      <w:bookmarkStart w:id="48" w:name="_Toc454263618"/>
      <w:bookmarkStart w:id="49" w:name="_Toc454700968"/>
      <w:r w:rsidRPr="0031321E">
        <w:t>Cost</w:t>
      </w:r>
      <w:r w:rsidR="000243B5">
        <w:t>-</w:t>
      </w:r>
      <w:r w:rsidRPr="0031321E">
        <w:t>effectiveness</w:t>
      </w:r>
      <w:bookmarkEnd w:id="48"/>
      <w:bookmarkEnd w:id="49"/>
    </w:p>
    <w:p w:rsidR="00F91482" w:rsidRDefault="00C56FCC" w:rsidP="000243B5">
      <w:r w:rsidRPr="007B3002">
        <w:t xml:space="preserve">There are costs associated with enforcement and prosecution and also social impacts – all </w:t>
      </w:r>
      <w:r w:rsidR="004528D9">
        <w:t xml:space="preserve">of </w:t>
      </w:r>
      <w:r w:rsidRPr="007B3002">
        <w:t xml:space="preserve">which can be influenced by enforcement practice and policies. Strict enforcement policies may result in higher costs than an enforcement </w:t>
      </w:r>
      <w:r>
        <w:t>policy that is more discretionary</w:t>
      </w:r>
      <w:r w:rsidRPr="007B3002">
        <w:t>.</w:t>
      </w:r>
    </w:p>
    <w:p w:rsidR="000243B5" w:rsidRDefault="000243B5" w:rsidP="000243B5"/>
    <w:p w:rsidR="00F91482" w:rsidRDefault="00C56FCC" w:rsidP="000243B5">
      <w:r w:rsidRPr="007B3002">
        <w:t>It is not possible to assess the costs associated directly with enforcing current regulations, as enforcement of utensils provisions is rarely, if ever, done in isolation.</w:t>
      </w:r>
    </w:p>
    <w:p w:rsidR="000243B5" w:rsidRDefault="000243B5" w:rsidP="000243B5"/>
    <w:p w:rsidR="00C56FCC" w:rsidRPr="0031321E" w:rsidRDefault="00C56FCC" w:rsidP="000243B5">
      <w:pPr>
        <w:pStyle w:val="Heading2"/>
      </w:pPr>
      <w:bookmarkStart w:id="50" w:name="_Toc454263619"/>
      <w:bookmarkStart w:id="51" w:name="_Toc454700969"/>
      <w:r>
        <w:t>E</w:t>
      </w:r>
      <w:r w:rsidRPr="0031321E">
        <w:t>ase of implementation</w:t>
      </w:r>
      <w:bookmarkEnd w:id="50"/>
      <w:bookmarkEnd w:id="51"/>
    </w:p>
    <w:p w:rsidR="00C56FCC" w:rsidRPr="007B3002" w:rsidRDefault="00C56FCC" w:rsidP="000243B5">
      <w:r w:rsidRPr="007B3002">
        <w:t>It is important that regulations can be implemented practically and with clarity for both the public and enforcement agencies. Regulations that are difficult to enforce or that rely heavily on discretionary enforcement can result in inconsistent application and public uncertainty.</w:t>
      </w:r>
    </w:p>
    <w:p w:rsidR="000243B5" w:rsidRDefault="000243B5" w:rsidP="000243B5"/>
    <w:p w:rsidR="00F91482" w:rsidRDefault="00C56FCC" w:rsidP="000243B5">
      <w:r w:rsidRPr="007B3002">
        <w:lastRenderedPageBreak/>
        <w:t xml:space="preserve">In practice, people can readily order drug utensils online and purchase them in stores such as tobacconists and novelty shops </w:t>
      </w:r>
      <w:r w:rsidRPr="007B3002">
        <w:rPr>
          <w:szCs w:val="22"/>
        </w:rPr>
        <w:t xml:space="preserve">(generally under different names than those set out in the Notice). </w:t>
      </w:r>
      <w:r w:rsidRPr="007B3002">
        <w:t>Customs Officers are required to make decisions at the border on imported utensils, which at times can be difficult where function, design and technological developments are rapidly changing. Similarly, police must apply enforcement policies to ensure the best use of their resources in delivering effective community outcomes.</w:t>
      </w:r>
    </w:p>
    <w:p w:rsidR="000243B5" w:rsidRDefault="000243B5" w:rsidP="000243B5"/>
    <w:p w:rsidR="00C56FCC" w:rsidRPr="001C724F" w:rsidRDefault="00C56FCC" w:rsidP="000243B5">
      <w:pPr>
        <w:pStyle w:val="Heading2"/>
      </w:pPr>
      <w:bookmarkStart w:id="52" w:name="_Toc454263620"/>
      <w:bookmarkStart w:id="53" w:name="_Toc454700970"/>
      <w:r>
        <w:t>Summary of assessment of settings</w:t>
      </w:r>
      <w:bookmarkEnd w:id="52"/>
      <w:bookmarkEnd w:id="53"/>
    </w:p>
    <w:p w:rsidR="00C56FCC" w:rsidRPr="007B3002" w:rsidRDefault="000243B5" w:rsidP="000243B5">
      <w:pPr>
        <w:pStyle w:val="Table"/>
      </w:pPr>
      <w:bookmarkStart w:id="54" w:name="_Toc454700983"/>
      <w:r>
        <w:t xml:space="preserve">Table 2: </w:t>
      </w:r>
      <w:r w:rsidR="00C56FCC" w:rsidRPr="007B3002">
        <w:t>Assessment of the current regulatory settings</w:t>
      </w:r>
      <w:bookmarkEnd w:id="54"/>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52"/>
        <w:gridCol w:w="425"/>
        <w:gridCol w:w="6321"/>
      </w:tblGrid>
      <w:tr w:rsidR="00C56FCC" w:rsidRPr="000243B5" w:rsidTr="000243B5">
        <w:trPr>
          <w:cantSplit/>
        </w:trPr>
        <w:tc>
          <w:tcPr>
            <w:tcW w:w="2552" w:type="dxa"/>
            <w:tcBorders>
              <w:left w:val="nil"/>
              <w:bottom w:val="single" w:sz="4" w:space="0" w:color="auto"/>
              <w:right w:val="nil"/>
            </w:tcBorders>
            <w:shd w:val="clear" w:color="auto" w:fill="auto"/>
          </w:tcPr>
          <w:p w:rsidR="00C56FCC" w:rsidRPr="000243B5" w:rsidRDefault="00C56FCC" w:rsidP="000243B5">
            <w:pPr>
              <w:pStyle w:val="TableText"/>
              <w:rPr>
                <w:b/>
              </w:rPr>
            </w:pPr>
            <w:r w:rsidRPr="000243B5">
              <w:rPr>
                <w:b/>
              </w:rPr>
              <w:t>Objective</w:t>
            </w:r>
          </w:p>
        </w:tc>
        <w:tc>
          <w:tcPr>
            <w:tcW w:w="6746" w:type="dxa"/>
            <w:gridSpan w:val="2"/>
            <w:tcBorders>
              <w:left w:val="nil"/>
              <w:bottom w:val="single" w:sz="4" w:space="0" w:color="auto"/>
              <w:right w:val="nil"/>
            </w:tcBorders>
            <w:shd w:val="clear" w:color="auto" w:fill="auto"/>
          </w:tcPr>
          <w:p w:rsidR="00C56FCC" w:rsidRPr="000243B5" w:rsidRDefault="00C56FCC" w:rsidP="000243B5">
            <w:pPr>
              <w:pStyle w:val="TableText"/>
              <w:tabs>
                <w:tab w:val="right" w:pos="6605"/>
              </w:tabs>
              <w:rPr>
                <w:b/>
              </w:rPr>
            </w:pPr>
            <w:r w:rsidRPr="000243B5">
              <w:rPr>
                <w:b/>
              </w:rPr>
              <w:t>Pros and cons</w:t>
            </w:r>
            <w:r w:rsidR="000243B5">
              <w:rPr>
                <w:b/>
              </w:rPr>
              <w:tab/>
            </w:r>
            <w:r w:rsidRPr="000243B5">
              <w:rPr>
                <w:b/>
              </w:rPr>
              <w:t>(</w:t>
            </w:r>
            <w:r w:rsidRPr="000243B5">
              <w:rPr>
                <w:rFonts w:ascii="Wingdings" w:hAnsi="Wingdings" w:cs="Wingdings"/>
                <w:b/>
                <w:i/>
                <w:iCs/>
                <w:color w:val="000000"/>
                <w:szCs w:val="18"/>
              </w:rPr>
              <w:t></w:t>
            </w:r>
            <w:r w:rsidRPr="000243B5">
              <w:rPr>
                <w:rFonts w:cs="Wingdings"/>
                <w:b/>
                <w:i/>
                <w:iCs/>
                <w:color w:val="000000"/>
              </w:rPr>
              <w:t xml:space="preserve"> = pro / </w:t>
            </w:r>
            <w:r w:rsidRPr="000243B5">
              <w:rPr>
                <w:rFonts w:cs="Wingdings"/>
                <w:b/>
                <w:iCs/>
                <w:color w:val="000000"/>
              </w:rPr>
              <w:t>x</w:t>
            </w:r>
            <w:r w:rsidRPr="000243B5">
              <w:rPr>
                <w:rFonts w:cs="Wingdings"/>
                <w:b/>
                <w:i/>
                <w:iCs/>
                <w:color w:val="000000"/>
              </w:rPr>
              <w:t xml:space="preserve"> = con / </w:t>
            </w:r>
            <w:r w:rsidRPr="000243B5">
              <w:rPr>
                <w:rFonts w:cs="Wingdings"/>
                <w:b/>
                <w:iCs/>
                <w:color w:val="000000"/>
              </w:rPr>
              <w:t>~</w:t>
            </w:r>
            <w:r w:rsidRPr="000243B5">
              <w:rPr>
                <w:rFonts w:cs="Wingdings"/>
                <w:b/>
                <w:i/>
                <w:iCs/>
                <w:color w:val="000000"/>
              </w:rPr>
              <w:t xml:space="preserve"> = mixed benefits</w:t>
            </w:r>
            <w:r w:rsidRPr="000243B5">
              <w:rPr>
                <w:rFonts w:cs="Wingdings"/>
                <w:b/>
                <w:iCs/>
                <w:color w:val="000000"/>
              </w:rPr>
              <w:t>)</w:t>
            </w:r>
          </w:p>
        </w:tc>
      </w:tr>
      <w:tr w:rsidR="00C56FCC" w:rsidRPr="007B3002" w:rsidTr="000243B5">
        <w:trPr>
          <w:cantSplit/>
        </w:trPr>
        <w:tc>
          <w:tcPr>
            <w:tcW w:w="2552" w:type="dxa"/>
            <w:tcBorders>
              <w:top w:val="single" w:sz="4" w:space="0" w:color="auto"/>
              <w:left w:val="nil"/>
              <w:bottom w:val="nil"/>
              <w:right w:val="nil"/>
            </w:tcBorders>
            <w:shd w:val="clear" w:color="auto" w:fill="auto"/>
          </w:tcPr>
          <w:p w:rsidR="00C56FCC" w:rsidRPr="007B3002" w:rsidRDefault="000243B5" w:rsidP="000243B5">
            <w:pPr>
              <w:pStyle w:val="TableText"/>
              <w:ind w:left="425" w:hanging="425"/>
            </w:pPr>
            <w:r>
              <w:t>A.</w:t>
            </w:r>
            <w:r>
              <w:tab/>
            </w:r>
            <w:r w:rsidR="00C56FCC" w:rsidRPr="007B3002">
              <w:t>Harm prevention</w:t>
            </w:r>
          </w:p>
        </w:tc>
        <w:tc>
          <w:tcPr>
            <w:tcW w:w="425" w:type="dxa"/>
            <w:tcBorders>
              <w:top w:val="single" w:sz="4" w:space="0" w:color="auto"/>
              <w:left w:val="nil"/>
              <w:bottom w:val="nil"/>
              <w:right w:val="nil"/>
            </w:tcBorders>
            <w:shd w:val="clear" w:color="auto" w:fill="auto"/>
          </w:tcPr>
          <w:p w:rsidR="00C56FCC" w:rsidRPr="007B3002" w:rsidRDefault="00C56FCC" w:rsidP="000243B5">
            <w:pPr>
              <w:pStyle w:val="TableText"/>
            </w:pPr>
            <w:r w:rsidRPr="007B3002">
              <w:t>~</w:t>
            </w:r>
          </w:p>
        </w:tc>
        <w:tc>
          <w:tcPr>
            <w:tcW w:w="6321" w:type="dxa"/>
            <w:tcBorders>
              <w:top w:val="single" w:sz="4" w:space="0" w:color="auto"/>
              <w:left w:val="nil"/>
              <w:bottom w:val="nil"/>
              <w:right w:val="nil"/>
            </w:tcBorders>
            <w:shd w:val="clear" w:color="auto" w:fill="auto"/>
          </w:tcPr>
          <w:p w:rsidR="00C56FCC" w:rsidRPr="007B3002" w:rsidRDefault="00C56FCC" w:rsidP="000243B5">
            <w:pPr>
              <w:pStyle w:val="TableText"/>
            </w:pPr>
            <w:r w:rsidRPr="007B3002">
              <w:t>No evidence that the current utensils regulat</w:t>
            </w:r>
            <w:r>
              <w:t>ions</w:t>
            </w:r>
            <w:r w:rsidRPr="007B3002">
              <w:t xml:space="preserve"> or </w:t>
            </w:r>
            <w:r>
              <w:t>the way they are</w:t>
            </w:r>
            <w:r w:rsidRPr="007B3002">
              <w:t xml:space="preserve"> enforc</w:t>
            </w:r>
            <w:r>
              <w:t xml:space="preserve">ed </w:t>
            </w:r>
            <w:r w:rsidR="000243B5">
              <w:t>deters drug use.</w:t>
            </w:r>
          </w:p>
        </w:tc>
      </w:tr>
      <w:tr w:rsidR="00C56FCC" w:rsidRPr="007B3002" w:rsidTr="000243B5">
        <w:trPr>
          <w:cantSplit/>
        </w:trPr>
        <w:tc>
          <w:tcPr>
            <w:tcW w:w="2552" w:type="dxa"/>
            <w:tcBorders>
              <w:top w:val="nil"/>
              <w:left w:val="nil"/>
              <w:bottom w:val="nil"/>
              <w:right w:val="nil"/>
            </w:tcBorders>
            <w:shd w:val="clear" w:color="auto" w:fill="auto"/>
          </w:tcPr>
          <w:p w:rsidR="00C56FCC" w:rsidRPr="007B3002" w:rsidRDefault="000243B5" w:rsidP="000243B5">
            <w:pPr>
              <w:pStyle w:val="TableText"/>
              <w:ind w:left="425" w:hanging="425"/>
            </w:pPr>
            <w:r>
              <w:t>B.</w:t>
            </w:r>
            <w:r>
              <w:tab/>
            </w:r>
            <w:r w:rsidR="00C56FCC" w:rsidRPr="007B3002">
              <w:t>Harm reduction</w:t>
            </w:r>
          </w:p>
        </w:tc>
        <w:tc>
          <w:tcPr>
            <w:tcW w:w="425" w:type="dxa"/>
            <w:tcBorders>
              <w:top w:val="nil"/>
              <w:left w:val="nil"/>
              <w:bottom w:val="nil"/>
              <w:right w:val="nil"/>
            </w:tcBorders>
            <w:shd w:val="clear" w:color="auto" w:fill="auto"/>
          </w:tcPr>
          <w:p w:rsidR="00C56FCC" w:rsidRPr="007B3002" w:rsidRDefault="00C56FCC" w:rsidP="000243B5">
            <w:pPr>
              <w:pStyle w:val="TableText"/>
            </w:pPr>
            <w:r w:rsidRPr="007B3002">
              <w:t>~</w:t>
            </w:r>
          </w:p>
        </w:tc>
        <w:tc>
          <w:tcPr>
            <w:tcW w:w="6321" w:type="dxa"/>
            <w:tcBorders>
              <w:top w:val="nil"/>
              <w:left w:val="nil"/>
              <w:bottom w:val="nil"/>
              <w:right w:val="nil"/>
            </w:tcBorders>
            <w:shd w:val="clear" w:color="auto" w:fill="auto"/>
          </w:tcPr>
          <w:p w:rsidR="00C56FCC" w:rsidRPr="007B3002" w:rsidRDefault="00C56FCC" w:rsidP="009148CB">
            <w:pPr>
              <w:pStyle w:val="TableText"/>
            </w:pPr>
            <w:r w:rsidRPr="007B3002">
              <w:t>Some utensils may have the potential to reduce harm</w:t>
            </w:r>
            <w:r>
              <w:t xml:space="preserve"> compared </w:t>
            </w:r>
            <w:r w:rsidR="009148CB">
              <w:t>with</w:t>
            </w:r>
            <w:r>
              <w:t xml:space="preserve"> other utensils</w:t>
            </w:r>
            <w:r w:rsidRPr="007B3002">
              <w:t xml:space="preserve">. The current </w:t>
            </w:r>
            <w:r>
              <w:t>regulations</w:t>
            </w:r>
            <w:r w:rsidRPr="007B3002">
              <w:t xml:space="preserve"> do not enable </w:t>
            </w:r>
            <w:r>
              <w:t xml:space="preserve">the consideration of </w:t>
            </w:r>
            <w:r w:rsidRPr="007B3002">
              <w:t>harm reduction.</w:t>
            </w:r>
          </w:p>
        </w:tc>
      </w:tr>
      <w:tr w:rsidR="00C56FCC" w:rsidRPr="007B3002" w:rsidTr="000243B5">
        <w:trPr>
          <w:cantSplit/>
        </w:trPr>
        <w:tc>
          <w:tcPr>
            <w:tcW w:w="2552" w:type="dxa"/>
            <w:tcBorders>
              <w:top w:val="nil"/>
              <w:left w:val="nil"/>
              <w:bottom w:val="nil"/>
              <w:right w:val="nil"/>
            </w:tcBorders>
            <w:shd w:val="clear" w:color="auto" w:fill="auto"/>
          </w:tcPr>
          <w:p w:rsidR="00C56FCC" w:rsidRPr="007B3002" w:rsidRDefault="000243B5" w:rsidP="000243B5">
            <w:pPr>
              <w:pStyle w:val="TableText"/>
              <w:ind w:left="425" w:hanging="425"/>
            </w:pPr>
            <w:r>
              <w:t>C.</w:t>
            </w:r>
            <w:r>
              <w:tab/>
            </w:r>
            <w:r w:rsidR="00C56FCC" w:rsidRPr="007B3002">
              <w:t>Proportionality</w:t>
            </w:r>
          </w:p>
        </w:tc>
        <w:tc>
          <w:tcPr>
            <w:tcW w:w="425" w:type="dxa"/>
            <w:tcBorders>
              <w:top w:val="nil"/>
              <w:left w:val="nil"/>
              <w:bottom w:val="nil"/>
              <w:right w:val="nil"/>
            </w:tcBorders>
            <w:shd w:val="clear" w:color="auto" w:fill="auto"/>
          </w:tcPr>
          <w:p w:rsidR="00C56FCC" w:rsidRPr="007B3002" w:rsidRDefault="00C56FCC" w:rsidP="000243B5">
            <w:pPr>
              <w:pStyle w:val="TableText"/>
            </w:pPr>
            <w:r w:rsidRPr="007B3002">
              <w:t>~</w:t>
            </w:r>
          </w:p>
        </w:tc>
        <w:tc>
          <w:tcPr>
            <w:tcW w:w="6321" w:type="dxa"/>
            <w:tcBorders>
              <w:top w:val="nil"/>
              <w:left w:val="nil"/>
              <w:bottom w:val="nil"/>
              <w:right w:val="nil"/>
            </w:tcBorders>
            <w:shd w:val="clear" w:color="auto" w:fill="auto"/>
          </w:tcPr>
          <w:p w:rsidR="00C56FCC" w:rsidRDefault="000243B5" w:rsidP="000243B5">
            <w:pPr>
              <w:pStyle w:val="TableText"/>
              <w:ind w:left="425" w:hanging="425"/>
            </w:pPr>
            <w:r>
              <w:t>1)</w:t>
            </w:r>
            <w:r>
              <w:tab/>
            </w:r>
            <w:r w:rsidR="00C56FCC" w:rsidRPr="007B3002">
              <w:t>Drug utensils enable people to commit an offence but do not in themselves produce a social harm.</w:t>
            </w:r>
            <w:r w:rsidR="00F91482">
              <w:t xml:space="preserve"> </w:t>
            </w:r>
            <w:r w:rsidR="00C56FCC" w:rsidRPr="007B3002">
              <w:t>A drug-related conviction can have a life-long effect on a person</w:t>
            </w:r>
            <w:r w:rsidR="00F91482">
              <w:t>’</w:t>
            </w:r>
            <w:r w:rsidR="00C56FCC" w:rsidRPr="007B3002">
              <w:t>s ability to obtain employment and housing and to travel outside New Zealand</w:t>
            </w:r>
            <w:r w:rsidR="00C56FCC">
              <w:t>.</w:t>
            </w:r>
          </w:p>
          <w:p w:rsidR="00C56FCC" w:rsidRPr="007B3002" w:rsidRDefault="000243B5">
            <w:pPr>
              <w:pStyle w:val="TableText"/>
              <w:ind w:left="425" w:hanging="425"/>
            </w:pPr>
            <w:r>
              <w:t>2)</w:t>
            </w:r>
            <w:r>
              <w:tab/>
            </w:r>
            <w:r w:rsidR="00C56FCC" w:rsidRPr="007B3002">
              <w:t xml:space="preserve">Criminal penalties for </w:t>
            </w:r>
            <w:r w:rsidR="00C56FCC">
              <w:t xml:space="preserve">possessing </w:t>
            </w:r>
            <w:r w:rsidR="00C56FCC" w:rsidRPr="007B3002">
              <w:t xml:space="preserve">drug utensils </w:t>
            </w:r>
            <w:r w:rsidR="00C56FCC">
              <w:t>are</w:t>
            </w:r>
            <w:r w:rsidR="00C56FCC" w:rsidRPr="007B3002">
              <w:t xml:space="preserve"> greater than the </w:t>
            </w:r>
            <w:r w:rsidR="00C56FCC">
              <w:t>penalties for using the associated controlled drugs.</w:t>
            </w:r>
          </w:p>
        </w:tc>
      </w:tr>
      <w:tr w:rsidR="00C56FCC" w:rsidRPr="007B3002" w:rsidTr="000243B5">
        <w:trPr>
          <w:cantSplit/>
        </w:trPr>
        <w:tc>
          <w:tcPr>
            <w:tcW w:w="2552" w:type="dxa"/>
            <w:tcBorders>
              <w:top w:val="nil"/>
              <w:left w:val="nil"/>
              <w:bottom w:val="nil"/>
              <w:right w:val="nil"/>
            </w:tcBorders>
            <w:shd w:val="clear" w:color="auto" w:fill="auto"/>
          </w:tcPr>
          <w:p w:rsidR="00C56FCC" w:rsidRPr="007B3002" w:rsidRDefault="000243B5">
            <w:pPr>
              <w:pStyle w:val="TableText"/>
              <w:ind w:left="425" w:hanging="425"/>
            </w:pPr>
            <w:r>
              <w:t>D.</w:t>
            </w:r>
            <w:r>
              <w:tab/>
            </w:r>
            <w:r w:rsidR="00C56FCC" w:rsidRPr="007B3002">
              <w:t>Cost</w:t>
            </w:r>
            <w:r>
              <w:t>-</w:t>
            </w:r>
            <w:r w:rsidR="00C56FCC" w:rsidRPr="007B3002">
              <w:t>effectiveness</w:t>
            </w:r>
          </w:p>
        </w:tc>
        <w:tc>
          <w:tcPr>
            <w:tcW w:w="425" w:type="dxa"/>
            <w:tcBorders>
              <w:top w:val="nil"/>
              <w:left w:val="nil"/>
              <w:bottom w:val="nil"/>
              <w:right w:val="nil"/>
            </w:tcBorders>
            <w:shd w:val="clear" w:color="auto" w:fill="auto"/>
          </w:tcPr>
          <w:p w:rsidR="00C56FCC" w:rsidRPr="007B3002" w:rsidRDefault="00C56FCC" w:rsidP="000243B5">
            <w:pPr>
              <w:pStyle w:val="TableText"/>
            </w:pPr>
            <w:r w:rsidRPr="007B3002">
              <w:t>~</w:t>
            </w:r>
          </w:p>
        </w:tc>
        <w:tc>
          <w:tcPr>
            <w:tcW w:w="6321" w:type="dxa"/>
            <w:tcBorders>
              <w:top w:val="nil"/>
              <w:left w:val="nil"/>
              <w:bottom w:val="nil"/>
              <w:right w:val="nil"/>
            </w:tcBorders>
            <w:shd w:val="clear" w:color="auto" w:fill="auto"/>
          </w:tcPr>
          <w:p w:rsidR="00C56FCC" w:rsidRPr="007B3002" w:rsidRDefault="00C56FCC" w:rsidP="000243B5">
            <w:pPr>
              <w:pStyle w:val="TableText"/>
            </w:pPr>
            <w:r w:rsidRPr="007B3002">
              <w:t>Providing an assessment of the costs associated with enforcing current regulations is difficult to assess, as enforcement of utensils provisions is rarely, if ever, done in isolation.</w:t>
            </w:r>
          </w:p>
        </w:tc>
      </w:tr>
      <w:tr w:rsidR="00C56FCC" w:rsidRPr="007B3002" w:rsidTr="000243B5">
        <w:trPr>
          <w:cantSplit/>
        </w:trPr>
        <w:tc>
          <w:tcPr>
            <w:tcW w:w="2552" w:type="dxa"/>
            <w:tcBorders>
              <w:top w:val="nil"/>
              <w:left w:val="nil"/>
              <w:bottom w:val="single" w:sz="4" w:space="0" w:color="auto"/>
              <w:right w:val="nil"/>
            </w:tcBorders>
            <w:shd w:val="clear" w:color="auto" w:fill="auto"/>
          </w:tcPr>
          <w:p w:rsidR="00C56FCC" w:rsidRPr="007B3002" w:rsidRDefault="000243B5" w:rsidP="000243B5">
            <w:pPr>
              <w:pStyle w:val="TableText"/>
              <w:ind w:left="425" w:hanging="425"/>
            </w:pPr>
            <w:r>
              <w:t>E.</w:t>
            </w:r>
            <w:r>
              <w:tab/>
            </w:r>
            <w:r w:rsidR="00C56FCC" w:rsidRPr="007B3002">
              <w:t>Ease of implementation</w:t>
            </w:r>
          </w:p>
        </w:tc>
        <w:tc>
          <w:tcPr>
            <w:tcW w:w="425" w:type="dxa"/>
            <w:tcBorders>
              <w:top w:val="nil"/>
              <w:left w:val="nil"/>
              <w:bottom w:val="single" w:sz="4" w:space="0" w:color="auto"/>
              <w:right w:val="nil"/>
            </w:tcBorders>
            <w:shd w:val="clear" w:color="auto" w:fill="auto"/>
          </w:tcPr>
          <w:p w:rsidR="00C56FCC" w:rsidRPr="007B3002" w:rsidRDefault="00C56FCC" w:rsidP="000243B5">
            <w:pPr>
              <w:pStyle w:val="TableText"/>
            </w:pPr>
            <w:r w:rsidRPr="007B3002">
              <w:t>~</w:t>
            </w:r>
          </w:p>
        </w:tc>
        <w:tc>
          <w:tcPr>
            <w:tcW w:w="6321" w:type="dxa"/>
            <w:tcBorders>
              <w:top w:val="nil"/>
              <w:left w:val="nil"/>
              <w:bottom w:val="single" w:sz="4" w:space="0" w:color="auto"/>
              <w:right w:val="nil"/>
            </w:tcBorders>
            <w:shd w:val="clear" w:color="auto" w:fill="auto"/>
          </w:tcPr>
          <w:p w:rsidR="00C56FCC" w:rsidRPr="007B3002" w:rsidRDefault="00C56FCC" w:rsidP="000243B5">
            <w:pPr>
              <w:pStyle w:val="TableText"/>
            </w:pPr>
            <w:r w:rsidRPr="007B3002">
              <w:t xml:space="preserve">There are challenges </w:t>
            </w:r>
            <w:r>
              <w:t>for</w:t>
            </w:r>
            <w:r w:rsidRPr="007B3002">
              <w:t xml:space="preserve"> border enforcement as</w:t>
            </w:r>
            <w:r>
              <w:t xml:space="preserve"> there is </w:t>
            </w:r>
            <w:r w:rsidRPr="007B3002">
              <w:t>continual evolution in drug utensil</w:t>
            </w:r>
            <w:r w:rsidR="004B69C0">
              <w:t>s</w:t>
            </w:r>
            <w:r w:rsidRPr="007B3002">
              <w:t xml:space="preserve"> design.</w:t>
            </w:r>
          </w:p>
        </w:tc>
      </w:tr>
    </w:tbl>
    <w:p w:rsidR="00C56FCC" w:rsidRDefault="00C56FCC" w:rsidP="000243B5"/>
    <w:p w:rsidR="000243B5" w:rsidRPr="007B3002" w:rsidRDefault="000243B5" w:rsidP="000243B5">
      <w:pPr>
        <w:pStyle w:val="BoxHeading"/>
      </w:pPr>
      <w:r w:rsidRPr="007B3002">
        <w:t>Question 3</w:t>
      </w:r>
    </w:p>
    <w:p w:rsidR="000243B5" w:rsidRDefault="000243B5" w:rsidP="000243B5">
      <w:pPr>
        <w:pStyle w:val="Box"/>
      </w:pPr>
      <w:r w:rsidRPr="007B3002">
        <w:t>Do you agree with the above assessment of the</w:t>
      </w:r>
      <w:r>
        <w:t xml:space="preserve"> current</w:t>
      </w:r>
      <w:r w:rsidRPr="007B3002">
        <w:t xml:space="preserve"> regulat</w:t>
      </w:r>
      <w:r>
        <w:t>ions</w:t>
      </w:r>
      <w:r w:rsidRPr="007B3002">
        <w:t>? Why or why not?</w:t>
      </w:r>
    </w:p>
    <w:p w:rsidR="000243B5" w:rsidRPr="007B3002" w:rsidRDefault="000243B5" w:rsidP="000243B5">
      <w:pPr>
        <w:pStyle w:val="Box"/>
      </w:pPr>
      <w:r w:rsidRPr="007B3002">
        <w:t>What evidence or other information do you have to support your position?</w:t>
      </w:r>
    </w:p>
    <w:p w:rsidR="00C56FCC" w:rsidRDefault="00C56FCC" w:rsidP="000243B5"/>
    <w:p w:rsidR="00C56FCC" w:rsidRDefault="000243B5" w:rsidP="000243B5">
      <w:pPr>
        <w:pStyle w:val="Heading1"/>
      </w:pPr>
      <w:bookmarkStart w:id="55" w:name="_Toc244580365"/>
      <w:bookmarkStart w:id="56" w:name="_Toc244587041"/>
      <w:bookmarkStart w:id="57" w:name="_Toc244857275"/>
      <w:bookmarkStart w:id="58" w:name="_Toc244912540"/>
      <w:bookmarkStart w:id="59" w:name="_Toc244916997"/>
      <w:bookmarkStart w:id="60" w:name="_Toc362368106"/>
      <w:bookmarkStart w:id="61" w:name="_Toc362434947"/>
      <w:bookmarkStart w:id="62" w:name="_Toc362589333"/>
      <w:bookmarkStart w:id="63" w:name="_Toc362619033"/>
      <w:bookmarkStart w:id="64" w:name="_Toc362940597"/>
      <w:bookmarkStart w:id="65" w:name="_Toc363047105"/>
      <w:bookmarkStart w:id="66" w:name="_Toc454263621"/>
      <w:bookmarkStart w:id="67" w:name="_Toc454700971"/>
      <w:r>
        <w:lastRenderedPageBreak/>
        <w:t>A</w:t>
      </w:r>
      <w:r w:rsidR="00C56FCC">
        <w:t>ssessment of o</w:t>
      </w:r>
      <w:r w:rsidR="00C56FCC" w:rsidRPr="001622A7">
        <w:t>ptions</w:t>
      </w:r>
      <w:bookmarkEnd w:id="55"/>
      <w:bookmarkEnd w:id="56"/>
      <w:bookmarkEnd w:id="57"/>
      <w:bookmarkEnd w:id="58"/>
      <w:bookmarkEnd w:id="59"/>
      <w:bookmarkEnd w:id="60"/>
      <w:bookmarkEnd w:id="61"/>
      <w:bookmarkEnd w:id="62"/>
      <w:bookmarkEnd w:id="63"/>
      <w:bookmarkEnd w:id="64"/>
      <w:bookmarkEnd w:id="65"/>
      <w:bookmarkEnd w:id="66"/>
      <w:bookmarkEnd w:id="67"/>
    </w:p>
    <w:p w:rsidR="00F91482" w:rsidRDefault="00C56FCC" w:rsidP="000243B5">
      <w:r w:rsidRPr="007B3002">
        <w:t xml:space="preserve">This section outlines two high-level options for improving the current situation – enhanced status quo and </w:t>
      </w:r>
      <w:r w:rsidRPr="0004094F">
        <w:t xml:space="preserve">replacing </w:t>
      </w:r>
      <w:r>
        <w:t xml:space="preserve">possession </w:t>
      </w:r>
      <w:r w:rsidRPr="0004094F">
        <w:t>prohibition with regulations to restrict and manage supply</w:t>
      </w:r>
      <w:r w:rsidRPr="007B3002" w:rsidDel="0004094F">
        <w:t xml:space="preserve"> </w:t>
      </w:r>
      <w:r w:rsidRPr="007B3002">
        <w:t xml:space="preserve">– and outlines potential costs and benefits as compared </w:t>
      </w:r>
      <w:r w:rsidR="009148CB">
        <w:t>with</w:t>
      </w:r>
      <w:r w:rsidRPr="007B3002">
        <w:t xml:space="preserve"> the objectives set out earlier in the document. A number of sub-options are identified within each of these two high-level options, which could be considered independently or combined for a preferred package.</w:t>
      </w:r>
    </w:p>
    <w:p w:rsidR="00C56FCC" w:rsidRDefault="00C56FCC" w:rsidP="000243B5"/>
    <w:p w:rsidR="000243B5" w:rsidRPr="007B3002" w:rsidRDefault="000243B5" w:rsidP="000243B5">
      <w:pPr>
        <w:pStyle w:val="Box"/>
      </w:pPr>
      <w:r w:rsidRPr="007B3002">
        <w:rPr>
          <w:b/>
        </w:rPr>
        <w:t>Option 1</w:t>
      </w:r>
      <w:r>
        <w:rPr>
          <w:b/>
        </w:rPr>
        <w:t xml:space="preserve">: </w:t>
      </w:r>
      <w:r w:rsidRPr="007B3002">
        <w:rPr>
          <w:b/>
        </w:rPr>
        <w:t>enhanced status quo.</w:t>
      </w:r>
      <w:r w:rsidRPr="007B3002">
        <w:t xml:space="preserve"> This option would continue with prohibition but would change some settings to meet certain objectives. The sub-options are set out below. Option 1(c) would require an amendment to the Act.</w:t>
      </w:r>
    </w:p>
    <w:p w:rsidR="000243B5" w:rsidRPr="009D133E" w:rsidRDefault="000243B5" w:rsidP="000243B5">
      <w:pPr>
        <w:pStyle w:val="Box"/>
        <w:ind w:left="851" w:hanging="567"/>
      </w:pPr>
      <w:r>
        <w:t>a)</w:t>
      </w:r>
      <w:r>
        <w:tab/>
      </w:r>
      <w:r w:rsidRPr="007B3002">
        <w:t xml:space="preserve">Clarify legal definitions of drug utensils in the </w:t>
      </w:r>
      <w:r w:rsidRPr="009D133E">
        <w:t>Notice</w:t>
      </w:r>
      <w:r w:rsidR="002C2536">
        <w:t>.</w:t>
      </w:r>
    </w:p>
    <w:p w:rsidR="000243B5" w:rsidRPr="007B3002" w:rsidRDefault="000243B5" w:rsidP="000243B5">
      <w:pPr>
        <w:pStyle w:val="Box"/>
        <w:ind w:left="851" w:hanging="567"/>
      </w:pPr>
      <w:r>
        <w:t>b)</w:t>
      </w:r>
      <w:r>
        <w:tab/>
      </w:r>
      <w:r w:rsidRPr="009D133E">
        <w:t>Develop operating guidance for the enforcement of the Notice</w:t>
      </w:r>
      <w:r w:rsidRPr="007B3002">
        <w:t xml:space="preserve"> (this could be </w:t>
      </w:r>
      <w:r w:rsidR="00CC29E6">
        <w:t xml:space="preserve">to </w:t>
      </w:r>
      <w:r w:rsidRPr="007B3002">
        <w:t>prioritise or de-prioritise enforcement)</w:t>
      </w:r>
      <w:r w:rsidR="002C2536">
        <w:t>.</w:t>
      </w:r>
    </w:p>
    <w:p w:rsidR="000243B5" w:rsidRPr="007B3002" w:rsidRDefault="000243B5" w:rsidP="000243B5">
      <w:pPr>
        <w:pStyle w:val="Box"/>
        <w:ind w:left="851" w:hanging="567"/>
      </w:pPr>
      <w:r>
        <w:t>c)</w:t>
      </w:r>
      <w:r>
        <w:tab/>
      </w:r>
      <w:r w:rsidRPr="007B3002">
        <w:t>Reduce criminal penalties for personal possession of drug utensils.</w:t>
      </w:r>
    </w:p>
    <w:p w:rsidR="000243B5" w:rsidRPr="007B3002" w:rsidRDefault="000243B5" w:rsidP="000243B5">
      <w:pPr>
        <w:pStyle w:val="Box"/>
        <w:spacing w:before="240"/>
      </w:pPr>
      <w:r w:rsidRPr="007B3002">
        <w:rPr>
          <w:b/>
        </w:rPr>
        <w:t>Option 2</w:t>
      </w:r>
      <w:r>
        <w:rPr>
          <w:b/>
        </w:rPr>
        <w:t>:</w:t>
      </w:r>
      <w:r w:rsidRPr="007B3002">
        <w:rPr>
          <w:b/>
        </w:rPr>
        <w:t xml:space="preserve"> </w:t>
      </w:r>
      <w:r>
        <w:rPr>
          <w:b/>
        </w:rPr>
        <w:t xml:space="preserve">replacing possession prohibition with </w:t>
      </w:r>
      <w:r w:rsidRPr="007B3002">
        <w:rPr>
          <w:b/>
        </w:rPr>
        <w:t xml:space="preserve">regulations to restrict and manage supply. </w:t>
      </w:r>
      <w:r w:rsidRPr="007B3002">
        <w:t>This option would remove all prohibition on utensils and replace it with regulations to inform and reduce harm. The sub-options identified are set out below. All sub-options would require an amendment to the Act. Changes may include:</w:t>
      </w:r>
    </w:p>
    <w:p w:rsidR="000243B5" w:rsidRPr="007B3002" w:rsidRDefault="000243B5" w:rsidP="000243B5">
      <w:pPr>
        <w:pStyle w:val="BoxBullet"/>
      </w:pPr>
      <w:r w:rsidRPr="007B3002">
        <w:t>restrict</w:t>
      </w:r>
      <w:r w:rsidR="002C2536">
        <w:t>ing</w:t>
      </w:r>
      <w:r w:rsidRPr="007B3002">
        <w:t xml:space="preserve"> location of sale</w:t>
      </w:r>
    </w:p>
    <w:p w:rsidR="000243B5" w:rsidRPr="007B3002" w:rsidRDefault="000243B5" w:rsidP="000243B5">
      <w:pPr>
        <w:pStyle w:val="BoxBullet"/>
      </w:pPr>
      <w:r>
        <w:t>prohibit</w:t>
      </w:r>
      <w:r w:rsidR="002C2536">
        <w:t>ing</w:t>
      </w:r>
      <w:r w:rsidRPr="007B3002">
        <w:t xml:space="preserve"> sale to minors</w:t>
      </w:r>
    </w:p>
    <w:p w:rsidR="000243B5" w:rsidRPr="007B3002" w:rsidRDefault="000243B5" w:rsidP="000243B5">
      <w:pPr>
        <w:pStyle w:val="BoxBullet"/>
      </w:pPr>
      <w:r>
        <w:t>prohibit</w:t>
      </w:r>
      <w:r w:rsidR="002C2536">
        <w:t>ing</w:t>
      </w:r>
      <w:r>
        <w:t xml:space="preserve"> or </w:t>
      </w:r>
      <w:r w:rsidRPr="007B3002">
        <w:t>restrict</w:t>
      </w:r>
      <w:r w:rsidR="002C2536">
        <w:t>ing</w:t>
      </w:r>
      <w:r w:rsidRPr="007B3002">
        <w:t xml:space="preserve"> marketing</w:t>
      </w:r>
    </w:p>
    <w:p w:rsidR="000243B5" w:rsidRPr="007B3002" w:rsidRDefault="000243B5" w:rsidP="000243B5">
      <w:pPr>
        <w:pStyle w:val="BoxBullet"/>
      </w:pPr>
      <w:r w:rsidRPr="007B3002">
        <w:t>restrict</w:t>
      </w:r>
      <w:r w:rsidR="002C2536">
        <w:t>ing</w:t>
      </w:r>
      <w:r w:rsidRPr="007B3002">
        <w:t xml:space="preserve"> possession in public places</w:t>
      </w:r>
    </w:p>
    <w:p w:rsidR="000243B5" w:rsidRPr="007B3002" w:rsidRDefault="000243B5" w:rsidP="000243B5">
      <w:pPr>
        <w:pStyle w:val="BoxBullet"/>
      </w:pPr>
      <w:r w:rsidRPr="007B3002">
        <w:t>establish</w:t>
      </w:r>
      <w:r w:rsidR="002C2536">
        <w:t>ing</w:t>
      </w:r>
      <w:r w:rsidRPr="007B3002">
        <w:t xml:space="preserve"> infringement </w:t>
      </w:r>
      <w:r>
        <w:t xml:space="preserve">regulations </w:t>
      </w:r>
      <w:r w:rsidR="002C2536">
        <w:t>and/</w:t>
      </w:r>
      <w:r w:rsidRPr="007B3002">
        <w:t>or confiscations to support sub-options</w:t>
      </w:r>
    </w:p>
    <w:p w:rsidR="000243B5" w:rsidRPr="007B3002" w:rsidRDefault="000243B5" w:rsidP="000243B5">
      <w:pPr>
        <w:pStyle w:val="BoxBullet"/>
      </w:pPr>
      <w:r w:rsidRPr="007B3002">
        <w:t>requir</w:t>
      </w:r>
      <w:r w:rsidR="002C2536">
        <w:t>ing</w:t>
      </w:r>
      <w:r w:rsidRPr="007B3002">
        <w:t xml:space="preserve"> harm information in relation to utensils use</w:t>
      </w:r>
    </w:p>
    <w:p w:rsidR="000243B5" w:rsidRPr="007B3002" w:rsidRDefault="000243B5" w:rsidP="000243B5">
      <w:pPr>
        <w:pStyle w:val="BoxBullet"/>
      </w:pPr>
      <w:r w:rsidRPr="007B3002">
        <w:t>creat</w:t>
      </w:r>
      <w:r w:rsidR="002C2536">
        <w:t>ing</w:t>
      </w:r>
      <w:r w:rsidRPr="007B3002">
        <w:t xml:space="preserve"> licensing </w:t>
      </w:r>
      <w:r>
        <w:t xml:space="preserve">regulations </w:t>
      </w:r>
      <w:r w:rsidRPr="007B3002">
        <w:t>for retailers and online sellers.</w:t>
      </w:r>
    </w:p>
    <w:p w:rsidR="00C56FCC" w:rsidRDefault="00C56FCC" w:rsidP="000243B5"/>
    <w:p w:rsidR="00C56FCC" w:rsidRPr="007B3002" w:rsidRDefault="00C56FCC" w:rsidP="000243B5">
      <w:r w:rsidRPr="007B3002">
        <w:t xml:space="preserve">In developing these options, comparisons were made with legal drug markets in New Zealand (alcohol, tobacco and new psychoactive substances (NPS)), and comparisons to overseas models, specifically Australian and United Kingdom models for drug utensils regulation regimes. These comparisons are set out in </w:t>
      </w:r>
      <w:r w:rsidR="00336C19">
        <w:t>the a</w:t>
      </w:r>
      <w:r w:rsidRPr="007B3002">
        <w:t>ppendix.</w:t>
      </w:r>
    </w:p>
    <w:p w:rsidR="00C56FCC" w:rsidRPr="007B3002" w:rsidRDefault="00C56FCC" w:rsidP="000243B5"/>
    <w:p w:rsidR="00F91482" w:rsidRDefault="00C56FCC" w:rsidP="000243B5">
      <w:r w:rsidRPr="007B3002">
        <w:t>Additionally, two extreme options for the regulation of drug utensils were considered to be undesirable. These were:</w:t>
      </w:r>
    </w:p>
    <w:p w:rsidR="00C56FCC" w:rsidRPr="007B3002" w:rsidRDefault="000243B5" w:rsidP="000243B5">
      <w:pPr>
        <w:spacing w:before="120"/>
        <w:ind w:left="567" w:hanging="567"/>
      </w:pPr>
      <w:r>
        <w:t>1.</w:t>
      </w:r>
      <w:r>
        <w:tab/>
      </w:r>
      <w:r w:rsidR="00C56FCC" w:rsidRPr="007B3002">
        <w:t>continu</w:t>
      </w:r>
      <w:r w:rsidR="002C2536">
        <w:t>ing</w:t>
      </w:r>
      <w:r w:rsidR="00C56FCC" w:rsidRPr="007B3002">
        <w:t xml:space="preserve"> to prohibit but increas</w:t>
      </w:r>
      <w:r w:rsidR="002C2536">
        <w:t>ing</w:t>
      </w:r>
      <w:r w:rsidR="00C56FCC" w:rsidRPr="007B3002">
        <w:t xml:space="preserve"> penalties and enforcement (this would exacerbate issues of proportionality and implementation </w:t>
      </w:r>
      <w:r w:rsidR="002C2536" w:rsidRPr="007B3002">
        <w:t>cost increase</w:t>
      </w:r>
      <w:r w:rsidR="002C2536">
        <w:t>s</w:t>
      </w:r>
      <w:r w:rsidR="002C2536" w:rsidRPr="007B3002">
        <w:t xml:space="preserve"> </w:t>
      </w:r>
      <w:r w:rsidR="00C56FCC" w:rsidRPr="007B3002">
        <w:t>without any gain in harm prevention or reduction)</w:t>
      </w:r>
    </w:p>
    <w:p w:rsidR="00C56FCC" w:rsidRDefault="000243B5" w:rsidP="000243B5">
      <w:pPr>
        <w:spacing w:before="120"/>
        <w:ind w:left="567" w:hanging="567"/>
      </w:pPr>
      <w:r>
        <w:t>2.</w:t>
      </w:r>
      <w:r>
        <w:tab/>
      </w:r>
      <w:r w:rsidR="00C56FCC" w:rsidRPr="007B3002">
        <w:t>repeal</w:t>
      </w:r>
      <w:r w:rsidR="002C2536">
        <w:t>ing</w:t>
      </w:r>
      <w:r w:rsidR="00C56FCC" w:rsidRPr="007B3002">
        <w:t xml:space="preserve"> prohibitions without creating any new, product-specific regulations (this would have no cost or implementation issues but would exacerbate risks around harm prevention and reduction due to the inability to control marketing, product quality and sale – particularly to minors</w:t>
      </w:r>
      <w:r w:rsidR="00C56FCC">
        <w:t>)</w:t>
      </w:r>
      <w:r w:rsidR="00C56FCC" w:rsidRPr="007B3002">
        <w:t>.</w:t>
      </w:r>
    </w:p>
    <w:p w:rsidR="000243B5" w:rsidRDefault="000243B5" w:rsidP="000243B5"/>
    <w:p w:rsidR="000243B5" w:rsidRPr="007B3002" w:rsidRDefault="000243B5" w:rsidP="000243B5">
      <w:pPr>
        <w:pStyle w:val="BoxHeading"/>
      </w:pPr>
      <w:r w:rsidRPr="007B3002">
        <w:lastRenderedPageBreak/>
        <w:t>Question 4</w:t>
      </w:r>
    </w:p>
    <w:p w:rsidR="000243B5" w:rsidRDefault="000243B5" w:rsidP="000243B5">
      <w:pPr>
        <w:pStyle w:val="Box"/>
      </w:pPr>
      <w:r w:rsidRPr="007B3002">
        <w:t>Do you agree</w:t>
      </w:r>
      <w:r>
        <w:t xml:space="preserve"> that</w:t>
      </w:r>
      <w:r w:rsidRPr="007B3002">
        <w:t xml:space="preserve"> the two high-level options are the right ones to consider</w:t>
      </w:r>
      <w:r>
        <w:t>:</w:t>
      </w:r>
    </w:p>
    <w:p w:rsidR="000243B5" w:rsidRDefault="000243B5" w:rsidP="000243B5">
      <w:pPr>
        <w:pStyle w:val="Box"/>
        <w:ind w:left="851" w:hanging="567"/>
      </w:pPr>
      <w:r w:rsidRPr="007B3002">
        <w:t>1)</w:t>
      </w:r>
      <w:r>
        <w:tab/>
        <w:t>e</w:t>
      </w:r>
      <w:r w:rsidRPr="007B3002">
        <w:t xml:space="preserve">nhanced status quo </w:t>
      </w:r>
      <w:r>
        <w:t>(</w:t>
      </w:r>
      <w:r w:rsidRPr="007B3002">
        <w:t xml:space="preserve">to make changes to drug utensils notices, </w:t>
      </w:r>
      <w:r>
        <w:t>operational</w:t>
      </w:r>
      <w:r w:rsidRPr="007B3002">
        <w:t xml:space="preserve"> </w:t>
      </w:r>
      <w:r>
        <w:t>enforcement</w:t>
      </w:r>
      <w:r w:rsidRPr="007B3002">
        <w:t xml:space="preserve"> and criminal penalties</w:t>
      </w:r>
      <w:r>
        <w:t>)</w:t>
      </w:r>
      <w:r w:rsidRPr="007B3002">
        <w:t xml:space="preserve"> and</w:t>
      </w:r>
    </w:p>
    <w:p w:rsidR="000243B5" w:rsidRDefault="000243B5" w:rsidP="000243B5">
      <w:pPr>
        <w:pStyle w:val="Box"/>
        <w:ind w:left="851" w:hanging="567"/>
      </w:pPr>
      <w:r w:rsidRPr="007B3002">
        <w:t>2)</w:t>
      </w:r>
      <w:r>
        <w:tab/>
      </w:r>
      <w:r w:rsidRPr="007B3002">
        <w:t xml:space="preserve">replacing the </w:t>
      </w:r>
      <w:r>
        <w:t>possession</w:t>
      </w:r>
      <w:r w:rsidRPr="007B3002">
        <w:t xml:space="preserve"> prohibitions with regulations to restrict and manage supply?</w:t>
      </w:r>
    </w:p>
    <w:p w:rsidR="000243B5" w:rsidRDefault="000243B5" w:rsidP="000243B5">
      <w:pPr>
        <w:pStyle w:val="Box"/>
      </w:pPr>
      <w:r w:rsidRPr="007B3002">
        <w:t>If not, what alternatives would you suggest?</w:t>
      </w:r>
    </w:p>
    <w:p w:rsidR="000243B5" w:rsidRPr="007B3002" w:rsidRDefault="000243B5" w:rsidP="000243B5">
      <w:pPr>
        <w:pStyle w:val="BoxHeading"/>
        <w:spacing w:before="360"/>
      </w:pPr>
      <w:r w:rsidRPr="007B3002">
        <w:t xml:space="preserve">Question </w:t>
      </w:r>
      <w:r>
        <w:t>5</w:t>
      </w:r>
    </w:p>
    <w:p w:rsidR="000243B5" w:rsidRDefault="000243B5" w:rsidP="000243B5">
      <w:pPr>
        <w:pStyle w:val="Box"/>
      </w:pPr>
      <w:r w:rsidRPr="000D3EC0">
        <w:t xml:space="preserve">Do you think that </w:t>
      </w:r>
      <w:r>
        <w:t>the sub-options for Option 1 are adequate?</w:t>
      </w:r>
    </w:p>
    <w:p w:rsidR="000243B5" w:rsidRDefault="000243B5" w:rsidP="000243B5">
      <w:pPr>
        <w:pStyle w:val="Box"/>
      </w:pPr>
      <w:r>
        <w:t>What other sub-options would you like to see in Option 1 and why?</w:t>
      </w:r>
    </w:p>
    <w:p w:rsidR="000243B5" w:rsidRPr="007B3002" w:rsidRDefault="000243B5" w:rsidP="000243B5">
      <w:pPr>
        <w:pStyle w:val="BoxHeading"/>
        <w:spacing w:before="360"/>
      </w:pPr>
      <w:r w:rsidRPr="007B3002">
        <w:t xml:space="preserve">Question </w:t>
      </w:r>
      <w:r>
        <w:t>6</w:t>
      </w:r>
    </w:p>
    <w:p w:rsidR="000243B5" w:rsidRDefault="000243B5" w:rsidP="000243B5">
      <w:pPr>
        <w:pStyle w:val="Box"/>
      </w:pPr>
      <w:r w:rsidRPr="000D3EC0">
        <w:t xml:space="preserve">Do you think that </w:t>
      </w:r>
      <w:r>
        <w:t>the sub-options for Option 2 are adequate?</w:t>
      </w:r>
    </w:p>
    <w:p w:rsidR="000243B5" w:rsidRPr="000D3EC0" w:rsidRDefault="000243B5" w:rsidP="000243B5">
      <w:pPr>
        <w:pStyle w:val="Box"/>
      </w:pPr>
      <w:r>
        <w:t>What other sub-options would you like to see in Option 2 and why?</w:t>
      </w:r>
    </w:p>
    <w:p w:rsidR="00C56FCC" w:rsidRDefault="00C56FCC" w:rsidP="000243B5"/>
    <w:p w:rsidR="000718AA" w:rsidRDefault="000718AA">
      <w:pPr>
        <w:spacing w:line="240" w:lineRule="auto"/>
        <w:rPr>
          <w:b/>
          <w:sz w:val="40"/>
        </w:rPr>
      </w:pPr>
      <w:bookmarkStart w:id="68" w:name="_Toc454263622"/>
      <w:r>
        <w:br w:type="page"/>
      </w:r>
    </w:p>
    <w:p w:rsidR="00C56FCC" w:rsidRPr="0031321E" w:rsidRDefault="00C56FCC" w:rsidP="000243B5">
      <w:pPr>
        <w:pStyle w:val="Heading2"/>
      </w:pPr>
      <w:bookmarkStart w:id="69" w:name="_Toc454700972"/>
      <w:r w:rsidRPr="0031321E">
        <w:lastRenderedPageBreak/>
        <w:t>Option 1</w:t>
      </w:r>
      <w:r>
        <w:t>:</w:t>
      </w:r>
      <w:r w:rsidRPr="0031321E">
        <w:t xml:space="preserve"> </w:t>
      </w:r>
      <w:r>
        <w:t xml:space="preserve">Enhanced </w:t>
      </w:r>
      <w:r w:rsidRPr="0031321E">
        <w:t>status quo</w:t>
      </w:r>
      <w:bookmarkEnd w:id="68"/>
      <w:bookmarkEnd w:id="69"/>
    </w:p>
    <w:p w:rsidR="00C56FCC" w:rsidRPr="007B3002" w:rsidRDefault="000243B5" w:rsidP="000243B5">
      <w:pPr>
        <w:pStyle w:val="Table"/>
      </w:pPr>
      <w:bookmarkStart w:id="70" w:name="_Toc454700984"/>
      <w:r>
        <w:t xml:space="preserve">Table 3: </w:t>
      </w:r>
      <w:r w:rsidR="00C56FCC">
        <w:t>An initial a</w:t>
      </w:r>
      <w:r w:rsidR="00C56FCC" w:rsidRPr="007B3002">
        <w:t>ssessment of Option 1: Enhanced status quo</w:t>
      </w:r>
      <w:bookmarkEnd w:id="70"/>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10"/>
        <w:gridCol w:w="425"/>
        <w:gridCol w:w="6463"/>
      </w:tblGrid>
      <w:tr w:rsidR="00C56FCC" w:rsidRPr="000243B5" w:rsidTr="000243B5">
        <w:trPr>
          <w:cantSplit/>
        </w:trPr>
        <w:tc>
          <w:tcPr>
            <w:tcW w:w="2410" w:type="dxa"/>
            <w:tcBorders>
              <w:left w:val="nil"/>
              <w:bottom w:val="single" w:sz="4" w:space="0" w:color="auto"/>
              <w:right w:val="nil"/>
            </w:tcBorders>
            <w:shd w:val="clear" w:color="auto" w:fill="auto"/>
          </w:tcPr>
          <w:p w:rsidR="00C56FCC" w:rsidRPr="000243B5" w:rsidRDefault="00C56FCC" w:rsidP="000243B5">
            <w:pPr>
              <w:pStyle w:val="TableText"/>
              <w:rPr>
                <w:b/>
              </w:rPr>
            </w:pPr>
            <w:r w:rsidRPr="000243B5">
              <w:rPr>
                <w:b/>
              </w:rPr>
              <w:t>Objective</w:t>
            </w:r>
          </w:p>
        </w:tc>
        <w:tc>
          <w:tcPr>
            <w:tcW w:w="6888" w:type="dxa"/>
            <w:gridSpan w:val="2"/>
            <w:tcBorders>
              <w:left w:val="nil"/>
              <w:bottom w:val="single" w:sz="4" w:space="0" w:color="auto"/>
              <w:right w:val="nil"/>
            </w:tcBorders>
            <w:shd w:val="clear" w:color="auto" w:fill="auto"/>
          </w:tcPr>
          <w:p w:rsidR="00C56FCC" w:rsidRPr="000243B5" w:rsidRDefault="00C56FCC" w:rsidP="000243B5">
            <w:pPr>
              <w:pStyle w:val="TableText"/>
              <w:tabs>
                <w:tab w:val="right" w:pos="6774"/>
              </w:tabs>
              <w:rPr>
                <w:b/>
              </w:rPr>
            </w:pPr>
            <w:r w:rsidRPr="000243B5">
              <w:rPr>
                <w:b/>
              </w:rPr>
              <w:t>Pros and cons</w:t>
            </w:r>
            <w:r w:rsidR="000243B5">
              <w:rPr>
                <w:b/>
              </w:rPr>
              <w:tab/>
            </w:r>
            <w:r w:rsidRPr="000243B5">
              <w:rPr>
                <w:b/>
              </w:rPr>
              <w:t>(</w:t>
            </w:r>
            <w:r w:rsidRPr="000243B5">
              <w:rPr>
                <w:rFonts w:ascii="Wingdings" w:hAnsi="Wingdings" w:cs="Wingdings"/>
                <w:b/>
                <w:i/>
                <w:iCs/>
                <w:color w:val="000000"/>
                <w:szCs w:val="18"/>
              </w:rPr>
              <w:t></w:t>
            </w:r>
            <w:r w:rsidRPr="000243B5">
              <w:rPr>
                <w:rFonts w:cs="Wingdings"/>
                <w:b/>
                <w:i/>
                <w:iCs/>
                <w:color w:val="000000"/>
              </w:rPr>
              <w:t xml:space="preserve"> = pro / x = con / </w:t>
            </w:r>
            <w:r w:rsidRPr="000243B5">
              <w:rPr>
                <w:rFonts w:cs="Wingdings"/>
                <w:b/>
                <w:iCs/>
                <w:color w:val="000000"/>
              </w:rPr>
              <w:t>~</w:t>
            </w:r>
            <w:r w:rsidRPr="000243B5">
              <w:rPr>
                <w:rFonts w:cs="Wingdings"/>
                <w:b/>
                <w:i/>
                <w:iCs/>
                <w:color w:val="000000"/>
              </w:rPr>
              <w:t xml:space="preserve"> = mixed benefits</w:t>
            </w:r>
            <w:r w:rsidRPr="000243B5">
              <w:rPr>
                <w:rFonts w:cs="Wingdings"/>
                <w:b/>
                <w:iCs/>
                <w:color w:val="000000"/>
              </w:rPr>
              <w:t>)</w:t>
            </w:r>
          </w:p>
        </w:tc>
      </w:tr>
      <w:tr w:rsidR="00C56FCC" w:rsidRPr="00ED70DB" w:rsidTr="000243B5">
        <w:trPr>
          <w:cantSplit/>
        </w:trPr>
        <w:tc>
          <w:tcPr>
            <w:tcW w:w="2410" w:type="dxa"/>
            <w:vMerge w:val="restart"/>
            <w:tcBorders>
              <w:top w:val="single" w:sz="4" w:space="0" w:color="auto"/>
              <w:left w:val="nil"/>
              <w:bottom w:val="nil"/>
              <w:right w:val="nil"/>
            </w:tcBorders>
            <w:shd w:val="clear" w:color="auto" w:fill="auto"/>
          </w:tcPr>
          <w:p w:rsidR="00C56FCC" w:rsidRPr="007B3002" w:rsidRDefault="000243B5" w:rsidP="000243B5">
            <w:pPr>
              <w:pStyle w:val="TableText"/>
              <w:ind w:left="425" w:hanging="425"/>
            </w:pPr>
            <w:r>
              <w:t>A.</w:t>
            </w:r>
            <w:r>
              <w:tab/>
            </w:r>
            <w:r w:rsidR="00C56FCC" w:rsidRPr="007B3002">
              <w:t>Harm prevention</w:t>
            </w:r>
          </w:p>
        </w:tc>
        <w:tc>
          <w:tcPr>
            <w:tcW w:w="425" w:type="dxa"/>
            <w:tcBorders>
              <w:top w:val="single" w:sz="4" w:space="0" w:color="auto"/>
              <w:left w:val="nil"/>
              <w:bottom w:val="nil"/>
              <w:right w:val="nil"/>
            </w:tcBorders>
            <w:shd w:val="clear" w:color="auto" w:fill="auto"/>
          </w:tcPr>
          <w:p w:rsidR="00C56FCC" w:rsidRPr="007B3002" w:rsidRDefault="00C56FCC" w:rsidP="000243B5">
            <w:pPr>
              <w:pStyle w:val="TableText"/>
            </w:pPr>
            <w:r w:rsidRPr="007B3002">
              <w:t>~</w:t>
            </w:r>
          </w:p>
        </w:tc>
        <w:tc>
          <w:tcPr>
            <w:tcW w:w="6463" w:type="dxa"/>
            <w:tcBorders>
              <w:top w:val="single" w:sz="4" w:space="0" w:color="auto"/>
              <w:left w:val="nil"/>
              <w:bottom w:val="nil"/>
              <w:right w:val="nil"/>
            </w:tcBorders>
            <w:shd w:val="clear" w:color="auto" w:fill="auto"/>
          </w:tcPr>
          <w:p w:rsidR="00C56FCC" w:rsidRPr="007B3002" w:rsidRDefault="00C56FCC" w:rsidP="000243B5">
            <w:pPr>
              <w:pStyle w:val="TableText"/>
            </w:pPr>
            <w:r w:rsidRPr="007B3002">
              <w:t xml:space="preserve">There is no evidence that the current utensils regulations </w:t>
            </w:r>
            <w:r>
              <w:t>or the way they are enforced has any deterrent effect on drug use.</w:t>
            </w:r>
            <w:r w:rsidRPr="007B3002">
              <w:t xml:space="preserve"> It is difficult to determine if drug use behaviour will be influenced by a change in enforcement policies, reduced penalties or clarif</w:t>
            </w:r>
            <w:r w:rsidR="000243B5">
              <w:t>ied application of the Notices.</w:t>
            </w:r>
          </w:p>
        </w:tc>
      </w:tr>
      <w:tr w:rsidR="00C56FCC" w:rsidRPr="00ED70DB" w:rsidTr="000243B5">
        <w:trPr>
          <w:cantSplit/>
        </w:trPr>
        <w:tc>
          <w:tcPr>
            <w:tcW w:w="2410" w:type="dxa"/>
            <w:vMerge/>
            <w:tcBorders>
              <w:top w:val="nil"/>
              <w:left w:val="nil"/>
              <w:bottom w:val="nil"/>
              <w:right w:val="nil"/>
            </w:tcBorders>
            <w:shd w:val="clear" w:color="auto" w:fill="auto"/>
          </w:tcPr>
          <w:p w:rsidR="00C56FCC" w:rsidRPr="007B3002" w:rsidRDefault="00C56FCC" w:rsidP="000243B5">
            <w:pPr>
              <w:pStyle w:val="TableText"/>
              <w:ind w:left="425" w:hanging="425"/>
            </w:pPr>
          </w:p>
        </w:tc>
        <w:tc>
          <w:tcPr>
            <w:tcW w:w="425" w:type="dxa"/>
            <w:tcBorders>
              <w:top w:val="nil"/>
              <w:left w:val="nil"/>
              <w:bottom w:val="nil"/>
              <w:right w:val="nil"/>
            </w:tcBorders>
            <w:shd w:val="clear" w:color="auto" w:fill="auto"/>
          </w:tcPr>
          <w:p w:rsidR="00C56FCC" w:rsidRPr="007B3002" w:rsidRDefault="00C56FCC" w:rsidP="000243B5">
            <w:pPr>
              <w:pStyle w:val="TableText"/>
            </w:pPr>
            <w:r w:rsidRPr="007B3002">
              <w:t>~</w:t>
            </w:r>
          </w:p>
        </w:tc>
        <w:tc>
          <w:tcPr>
            <w:tcW w:w="6463" w:type="dxa"/>
            <w:tcBorders>
              <w:top w:val="nil"/>
              <w:left w:val="nil"/>
              <w:bottom w:val="nil"/>
              <w:right w:val="nil"/>
            </w:tcBorders>
            <w:shd w:val="clear" w:color="auto" w:fill="auto"/>
          </w:tcPr>
          <w:p w:rsidR="00C56FCC" w:rsidRPr="007B3002" w:rsidRDefault="00C56FCC" w:rsidP="000243B5">
            <w:pPr>
              <w:pStyle w:val="TableText"/>
            </w:pPr>
            <w:r w:rsidRPr="007B3002">
              <w:t>If a decision was made to prioritise enforcement</w:t>
            </w:r>
            <w:r>
              <w:t xml:space="preserve"> of</w:t>
            </w:r>
            <w:r w:rsidRPr="007B3002">
              <w:t xml:space="preserve"> utensils supply </w:t>
            </w:r>
            <w:r>
              <w:t xml:space="preserve">regulations, </w:t>
            </w:r>
            <w:r w:rsidRPr="007B3002">
              <w:t>this may reduce people</w:t>
            </w:r>
            <w:r w:rsidR="00F91482">
              <w:t>’</w:t>
            </w:r>
            <w:r w:rsidRPr="007B3002">
              <w:t xml:space="preserve">s exposure to these products and any </w:t>
            </w:r>
            <w:r w:rsidR="00F91482">
              <w:t>‘</w:t>
            </w:r>
            <w:r w:rsidRPr="007B3002">
              <w:t>normalisation</w:t>
            </w:r>
            <w:r w:rsidR="00F91482">
              <w:t>’</w:t>
            </w:r>
            <w:r w:rsidRPr="007B3002">
              <w:t xml:space="preserve"> messages in relation to drug use. (Such a decision may </w:t>
            </w:r>
            <w:r>
              <w:t>work</w:t>
            </w:r>
            <w:r w:rsidRPr="007B3002">
              <w:t xml:space="preserve"> against the other recommendations of this option.)</w:t>
            </w:r>
          </w:p>
        </w:tc>
      </w:tr>
      <w:tr w:rsidR="00C56FCC" w:rsidRPr="00ED70DB" w:rsidTr="000243B5">
        <w:trPr>
          <w:cantSplit/>
        </w:trPr>
        <w:tc>
          <w:tcPr>
            <w:tcW w:w="2410" w:type="dxa"/>
            <w:tcBorders>
              <w:top w:val="nil"/>
              <w:left w:val="nil"/>
              <w:bottom w:val="nil"/>
              <w:right w:val="nil"/>
            </w:tcBorders>
            <w:shd w:val="clear" w:color="auto" w:fill="auto"/>
          </w:tcPr>
          <w:p w:rsidR="00C56FCC" w:rsidRPr="007B3002" w:rsidRDefault="000243B5" w:rsidP="000243B5">
            <w:pPr>
              <w:pStyle w:val="TableText"/>
              <w:ind w:left="425" w:hanging="425"/>
            </w:pPr>
            <w:r>
              <w:t>B.</w:t>
            </w:r>
            <w:r>
              <w:tab/>
            </w:r>
            <w:r w:rsidR="00C56FCC" w:rsidRPr="007B3002">
              <w:t>Harm reduction</w:t>
            </w:r>
          </w:p>
        </w:tc>
        <w:tc>
          <w:tcPr>
            <w:tcW w:w="425" w:type="dxa"/>
            <w:tcBorders>
              <w:top w:val="nil"/>
              <w:left w:val="nil"/>
              <w:bottom w:val="nil"/>
              <w:right w:val="nil"/>
            </w:tcBorders>
            <w:shd w:val="clear" w:color="auto" w:fill="auto"/>
          </w:tcPr>
          <w:p w:rsidR="00C56FCC" w:rsidRPr="002E1C1D" w:rsidRDefault="00C56FCC" w:rsidP="000243B5">
            <w:pPr>
              <w:pStyle w:val="TableText"/>
              <w:rPr>
                <w:rFonts w:ascii="Times New Roman" w:hAnsi="Times New Roman"/>
              </w:rPr>
            </w:pPr>
            <w:r w:rsidRPr="00F91482">
              <w:rPr>
                <w:rFonts w:ascii="Wingdings" w:hAnsi="Wingdings" w:cs="Wingdings"/>
                <w:i/>
                <w:iCs/>
                <w:color w:val="000000"/>
                <w:szCs w:val="18"/>
              </w:rPr>
              <w:t></w:t>
            </w:r>
          </w:p>
        </w:tc>
        <w:tc>
          <w:tcPr>
            <w:tcW w:w="6463" w:type="dxa"/>
            <w:tcBorders>
              <w:top w:val="nil"/>
              <w:left w:val="nil"/>
              <w:bottom w:val="nil"/>
              <w:right w:val="nil"/>
            </w:tcBorders>
            <w:shd w:val="clear" w:color="auto" w:fill="auto"/>
          </w:tcPr>
          <w:p w:rsidR="00C56FCC" w:rsidRPr="007B3002" w:rsidRDefault="00C56FCC" w:rsidP="000243B5">
            <w:pPr>
              <w:pStyle w:val="TableText"/>
            </w:pPr>
            <w:r w:rsidRPr="007B3002">
              <w:t>Utensils with the potential to reduce harm (compared to other utensils) could be excluded from the list of utensils that cannot be imported, supplied or offered for sale. An enforcement policy that also deprioritises utensil</w:t>
            </w:r>
            <w:r w:rsidR="004B69C0">
              <w:t>s</w:t>
            </w:r>
            <w:r w:rsidRPr="007B3002">
              <w:t xml:space="preserve"> possession </w:t>
            </w:r>
            <w:r>
              <w:t xml:space="preserve">would be consistent with </w:t>
            </w:r>
            <w:r w:rsidRPr="007B3002">
              <w:t>the harm reduction policy.</w:t>
            </w:r>
          </w:p>
        </w:tc>
      </w:tr>
      <w:tr w:rsidR="00C56FCC" w:rsidRPr="00ED70DB" w:rsidTr="000243B5">
        <w:trPr>
          <w:cantSplit/>
        </w:trPr>
        <w:tc>
          <w:tcPr>
            <w:tcW w:w="2410" w:type="dxa"/>
            <w:tcBorders>
              <w:top w:val="nil"/>
              <w:left w:val="nil"/>
              <w:bottom w:val="nil"/>
              <w:right w:val="nil"/>
            </w:tcBorders>
            <w:shd w:val="clear" w:color="auto" w:fill="auto"/>
          </w:tcPr>
          <w:p w:rsidR="00C56FCC" w:rsidRPr="007B3002" w:rsidRDefault="000243B5" w:rsidP="000243B5">
            <w:pPr>
              <w:pStyle w:val="TableText"/>
              <w:ind w:left="425" w:hanging="425"/>
            </w:pPr>
            <w:r>
              <w:t>C.</w:t>
            </w:r>
            <w:r>
              <w:tab/>
            </w:r>
            <w:r w:rsidR="00C56FCC" w:rsidRPr="007B3002">
              <w:t>Proportionality</w:t>
            </w:r>
          </w:p>
        </w:tc>
        <w:tc>
          <w:tcPr>
            <w:tcW w:w="425" w:type="dxa"/>
            <w:tcBorders>
              <w:top w:val="nil"/>
              <w:left w:val="nil"/>
              <w:bottom w:val="nil"/>
              <w:right w:val="nil"/>
            </w:tcBorders>
            <w:shd w:val="clear" w:color="auto" w:fill="auto"/>
          </w:tcPr>
          <w:p w:rsidR="00C56FCC" w:rsidRPr="007764B0" w:rsidRDefault="00C64D2B" w:rsidP="000243B5">
            <w:pPr>
              <w:pStyle w:val="TableText"/>
              <w:rPr>
                <w:rFonts w:cs="Arial"/>
              </w:rPr>
            </w:pPr>
            <w:r w:rsidRPr="007764B0">
              <w:rPr>
                <w:rFonts w:cs="Arial"/>
              </w:rPr>
              <w:t>~</w:t>
            </w:r>
          </w:p>
        </w:tc>
        <w:tc>
          <w:tcPr>
            <w:tcW w:w="6463" w:type="dxa"/>
            <w:tcBorders>
              <w:top w:val="nil"/>
              <w:left w:val="nil"/>
              <w:bottom w:val="nil"/>
              <w:right w:val="nil"/>
            </w:tcBorders>
            <w:shd w:val="clear" w:color="auto" w:fill="auto"/>
          </w:tcPr>
          <w:p w:rsidR="00F91482" w:rsidRDefault="000243B5" w:rsidP="000243B5">
            <w:pPr>
              <w:pStyle w:val="TableText"/>
              <w:ind w:left="425" w:hanging="425"/>
            </w:pPr>
            <w:r>
              <w:t>1)</w:t>
            </w:r>
            <w:r>
              <w:tab/>
            </w:r>
            <w:r w:rsidR="00C56FCC" w:rsidRPr="007B3002">
              <w:t>A drug-related conviction can have a life-long effect on a person</w:t>
            </w:r>
            <w:r w:rsidR="00F91482">
              <w:t>’</w:t>
            </w:r>
            <w:r w:rsidR="00C56FCC" w:rsidRPr="007B3002">
              <w:t>s ability to obtain employment and housing, and to travel outside of New Zealand</w:t>
            </w:r>
            <w:r w:rsidR="00C56FCC">
              <w:t xml:space="preserve"> – even if the punishment is reduced.</w:t>
            </w:r>
          </w:p>
          <w:p w:rsidR="00C56FCC" w:rsidRPr="002232BF" w:rsidRDefault="000243B5">
            <w:pPr>
              <w:pStyle w:val="TableText"/>
              <w:ind w:left="425" w:hanging="425"/>
            </w:pPr>
            <w:r>
              <w:t>2)</w:t>
            </w:r>
            <w:r>
              <w:tab/>
            </w:r>
            <w:r w:rsidR="00C56FCC" w:rsidRPr="002232BF">
              <w:t xml:space="preserve">Criminal penalties for possessing drug utensils are out of step with </w:t>
            </w:r>
            <w:r w:rsidR="00C56FCC">
              <w:t>the associated</w:t>
            </w:r>
            <w:r w:rsidR="00C56FCC" w:rsidRPr="002232BF">
              <w:t xml:space="preserve"> penalties</w:t>
            </w:r>
            <w:r w:rsidR="00C56FCC">
              <w:t xml:space="preserve"> for possession of a drug</w:t>
            </w:r>
            <w:r w:rsidR="00C56FCC" w:rsidRPr="002232BF">
              <w:t>.</w:t>
            </w:r>
            <w:r w:rsidR="00F91482">
              <w:t xml:space="preserve"> </w:t>
            </w:r>
            <w:r w:rsidR="00C56FCC" w:rsidRPr="002232BF">
              <w:t>Reducing criminal penalties enables penalties to better reflect the potential level of harm.</w:t>
            </w:r>
          </w:p>
        </w:tc>
      </w:tr>
      <w:tr w:rsidR="00C56FCC" w:rsidRPr="00ED70DB" w:rsidTr="000243B5">
        <w:trPr>
          <w:cantSplit/>
        </w:trPr>
        <w:tc>
          <w:tcPr>
            <w:tcW w:w="2410" w:type="dxa"/>
            <w:tcBorders>
              <w:top w:val="nil"/>
              <w:left w:val="nil"/>
              <w:bottom w:val="nil"/>
              <w:right w:val="nil"/>
            </w:tcBorders>
            <w:shd w:val="clear" w:color="auto" w:fill="auto"/>
          </w:tcPr>
          <w:p w:rsidR="00C56FCC" w:rsidRPr="007B3002" w:rsidRDefault="000243B5">
            <w:pPr>
              <w:pStyle w:val="TableText"/>
              <w:ind w:left="425" w:hanging="425"/>
            </w:pPr>
            <w:r>
              <w:t>D.</w:t>
            </w:r>
            <w:r>
              <w:tab/>
            </w:r>
            <w:r w:rsidR="00C56FCC" w:rsidRPr="007B3002">
              <w:t>Cost</w:t>
            </w:r>
            <w:r>
              <w:t>-effectiveness</w:t>
            </w:r>
          </w:p>
        </w:tc>
        <w:tc>
          <w:tcPr>
            <w:tcW w:w="425" w:type="dxa"/>
            <w:tcBorders>
              <w:top w:val="nil"/>
              <w:left w:val="nil"/>
              <w:bottom w:val="nil"/>
              <w:right w:val="nil"/>
            </w:tcBorders>
            <w:shd w:val="clear" w:color="auto" w:fill="auto"/>
          </w:tcPr>
          <w:p w:rsidR="00C56FCC" w:rsidRPr="007764B0" w:rsidRDefault="00C56FCC" w:rsidP="000243B5">
            <w:pPr>
              <w:pStyle w:val="TableText"/>
              <w:rPr>
                <w:rFonts w:cs="Arial"/>
              </w:rPr>
            </w:pPr>
            <w:r w:rsidRPr="007764B0">
              <w:rPr>
                <w:rFonts w:cs="Arial"/>
              </w:rPr>
              <w:t>~</w:t>
            </w:r>
          </w:p>
        </w:tc>
        <w:tc>
          <w:tcPr>
            <w:tcW w:w="6463" w:type="dxa"/>
            <w:tcBorders>
              <w:top w:val="nil"/>
              <w:left w:val="nil"/>
              <w:bottom w:val="nil"/>
              <w:right w:val="nil"/>
            </w:tcBorders>
            <w:shd w:val="clear" w:color="auto" w:fill="auto"/>
          </w:tcPr>
          <w:p w:rsidR="00C56FCC" w:rsidRPr="007B3002" w:rsidRDefault="00C56FCC" w:rsidP="000243B5">
            <w:pPr>
              <w:pStyle w:val="TableText"/>
            </w:pPr>
            <w:r w:rsidRPr="007B3002">
              <w:t>Clarifying legal definitions in the Notice may reduce discretion at the border, making implementation of import provisions quicker and more consistent for enforcement officers and reduce the risk of challenge to decisions. However, it is unlikely that definitional changes will remove the requirement for interpretation and judgement completely.</w:t>
            </w:r>
          </w:p>
        </w:tc>
      </w:tr>
      <w:tr w:rsidR="00C56FCC" w:rsidRPr="00ED70DB" w:rsidTr="000243B5">
        <w:trPr>
          <w:cantSplit/>
        </w:trPr>
        <w:tc>
          <w:tcPr>
            <w:tcW w:w="2410" w:type="dxa"/>
            <w:tcBorders>
              <w:top w:val="nil"/>
              <w:left w:val="nil"/>
              <w:right w:val="nil"/>
            </w:tcBorders>
            <w:shd w:val="clear" w:color="auto" w:fill="auto"/>
          </w:tcPr>
          <w:p w:rsidR="00C56FCC" w:rsidRPr="007B3002" w:rsidRDefault="000243B5" w:rsidP="000243B5">
            <w:pPr>
              <w:pStyle w:val="TableText"/>
              <w:ind w:left="425" w:hanging="425"/>
            </w:pPr>
            <w:r>
              <w:t>E.</w:t>
            </w:r>
            <w:r>
              <w:tab/>
            </w:r>
            <w:r w:rsidR="00C56FCC" w:rsidRPr="007B3002">
              <w:t>Ease of implementation</w:t>
            </w:r>
          </w:p>
        </w:tc>
        <w:tc>
          <w:tcPr>
            <w:tcW w:w="425" w:type="dxa"/>
            <w:tcBorders>
              <w:top w:val="nil"/>
              <w:left w:val="nil"/>
              <w:right w:val="nil"/>
            </w:tcBorders>
            <w:shd w:val="clear" w:color="auto" w:fill="auto"/>
          </w:tcPr>
          <w:p w:rsidR="00C56FCC" w:rsidRPr="007764B0" w:rsidRDefault="00C56FCC" w:rsidP="000243B5">
            <w:pPr>
              <w:pStyle w:val="TableText"/>
              <w:rPr>
                <w:rFonts w:cs="Arial"/>
              </w:rPr>
            </w:pPr>
            <w:r w:rsidRPr="007764B0">
              <w:rPr>
                <w:rFonts w:cs="Arial"/>
              </w:rPr>
              <w:t>~</w:t>
            </w:r>
          </w:p>
        </w:tc>
        <w:tc>
          <w:tcPr>
            <w:tcW w:w="6463" w:type="dxa"/>
            <w:tcBorders>
              <w:top w:val="nil"/>
              <w:left w:val="nil"/>
              <w:right w:val="nil"/>
            </w:tcBorders>
            <w:shd w:val="clear" w:color="auto" w:fill="auto"/>
          </w:tcPr>
          <w:p w:rsidR="00C56FCC" w:rsidRPr="007B3002" w:rsidRDefault="00C56FCC" w:rsidP="000243B5">
            <w:pPr>
              <w:pStyle w:val="TableText"/>
            </w:pPr>
            <w:r w:rsidRPr="007B3002">
              <w:t>Discretion is still required with changes to Notices or enforcement policies.</w:t>
            </w:r>
            <w:r w:rsidRPr="007B3002" w:rsidDel="00BF34E6">
              <w:t xml:space="preserve"> </w:t>
            </w:r>
            <w:r w:rsidRPr="007B3002">
              <w:t xml:space="preserve">Discretion can present challenges to enforcement agencies. In order to decrease penalties, </w:t>
            </w:r>
            <w:r>
              <w:t>primary legislation</w:t>
            </w:r>
            <w:r w:rsidRPr="007B3002">
              <w:t xml:space="preserve"> </w:t>
            </w:r>
            <w:r>
              <w:t>would need to</w:t>
            </w:r>
            <w:r w:rsidRPr="007B3002">
              <w:t xml:space="preserve"> be changed.</w:t>
            </w:r>
          </w:p>
        </w:tc>
      </w:tr>
    </w:tbl>
    <w:p w:rsidR="00C56FCC" w:rsidRDefault="00C56FCC" w:rsidP="000243B5"/>
    <w:p w:rsidR="000243B5" w:rsidRPr="007B3002" w:rsidRDefault="000243B5" w:rsidP="000243B5">
      <w:pPr>
        <w:pStyle w:val="BoxHeading"/>
        <w:keepNext/>
      </w:pPr>
      <w:r w:rsidRPr="007B3002">
        <w:t xml:space="preserve">Question </w:t>
      </w:r>
      <w:r>
        <w:t>7</w:t>
      </w:r>
    </w:p>
    <w:p w:rsidR="000243B5" w:rsidRDefault="000243B5" w:rsidP="000243B5">
      <w:pPr>
        <w:pStyle w:val="Box"/>
      </w:pPr>
      <w:r w:rsidRPr="000D3EC0">
        <w:t xml:space="preserve">Do you agree with the potential </w:t>
      </w:r>
      <w:r>
        <w:t>pros and cons</w:t>
      </w:r>
      <w:r w:rsidRPr="000D3EC0">
        <w:t xml:space="preserve"> outlined for Option 1</w:t>
      </w:r>
      <w:r>
        <w:t>?</w:t>
      </w:r>
      <w:r w:rsidRPr="000D3EC0">
        <w:t xml:space="preserve"> Why</w:t>
      </w:r>
      <w:r>
        <w:t xml:space="preserve"> or </w:t>
      </w:r>
      <w:r w:rsidRPr="000D3EC0">
        <w:t>why not? What evidence or other information do you have to support this view?</w:t>
      </w:r>
    </w:p>
    <w:p w:rsidR="000243B5" w:rsidRPr="007E0301" w:rsidRDefault="000243B5" w:rsidP="000243B5"/>
    <w:p w:rsidR="000718AA" w:rsidRDefault="000718AA">
      <w:pPr>
        <w:spacing w:line="240" w:lineRule="auto"/>
        <w:rPr>
          <w:b/>
          <w:sz w:val="40"/>
        </w:rPr>
      </w:pPr>
      <w:bookmarkStart w:id="71" w:name="_Toc454263623"/>
      <w:r>
        <w:br w:type="page"/>
      </w:r>
    </w:p>
    <w:p w:rsidR="00F91482" w:rsidRDefault="00C56FCC" w:rsidP="000243B5">
      <w:pPr>
        <w:pStyle w:val="Heading2"/>
      </w:pPr>
      <w:bookmarkStart w:id="72" w:name="_Toc454700973"/>
      <w:r w:rsidRPr="0031321E">
        <w:lastRenderedPageBreak/>
        <w:t>Option 2</w:t>
      </w:r>
      <w:r>
        <w:t>:</w:t>
      </w:r>
      <w:r w:rsidRPr="0031321E">
        <w:t xml:space="preserve"> </w:t>
      </w:r>
      <w:r>
        <w:t>R</w:t>
      </w:r>
      <w:r w:rsidRPr="004F2D25">
        <w:t xml:space="preserve">eplacing </w:t>
      </w:r>
      <w:r>
        <w:t>possession</w:t>
      </w:r>
      <w:r w:rsidRPr="004F2D25">
        <w:t xml:space="preserve"> prohibition with regulations to restrict and manage </w:t>
      </w:r>
      <w:r>
        <w:t xml:space="preserve">drug utensils </w:t>
      </w:r>
      <w:r w:rsidRPr="004F2D25">
        <w:t>supply</w:t>
      </w:r>
      <w:bookmarkEnd w:id="71"/>
      <w:bookmarkEnd w:id="72"/>
    </w:p>
    <w:p w:rsidR="00C56FCC" w:rsidRPr="007B3002" w:rsidRDefault="00724287" w:rsidP="00724287">
      <w:pPr>
        <w:pStyle w:val="Table"/>
      </w:pPr>
      <w:bookmarkStart w:id="73" w:name="_Toc454700985"/>
      <w:r>
        <w:t xml:space="preserve">Table 4: </w:t>
      </w:r>
      <w:r w:rsidR="00C56FCC">
        <w:t>A</w:t>
      </w:r>
      <w:r w:rsidR="00C56FCC" w:rsidRPr="007B3002">
        <w:t xml:space="preserve">n initial assessment of Option 2 compared </w:t>
      </w:r>
      <w:r w:rsidR="004B69C0">
        <w:t>with</w:t>
      </w:r>
      <w:r w:rsidR="00C56FCC" w:rsidRPr="007B3002">
        <w:t xml:space="preserve"> the status quo</w:t>
      </w:r>
      <w:bookmarkEnd w:id="73"/>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52"/>
        <w:gridCol w:w="425"/>
        <w:gridCol w:w="6345"/>
      </w:tblGrid>
      <w:tr w:rsidR="00C56FCC" w:rsidRPr="00724287" w:rsidTr="00724287">
        <w:trPr>
          <w:cantSplit/>
        </w:trPr>
        <w:tc>
          <w:tcPr>
            <w:tcW w:w="2552" w:type="dxa"/>
            <w:tcBorders>
              <w:left w:val="nil"/>
              <w:bottom w:val="single" w:sz="4" w:space="0" w:color="auto"/>
              <w:right w:val="nil"/>
            </w:tcBorders>
            <w:shd w:val="clear" w:color="auto" w:fill="auto"/>
          </w:tcPr>
          <w:p w:rsidR="00C56FCC" w:rsidRPr="00724287" w:rsidRDefault="00C56FCC" w:rsidP="00724287">
            <w:pPr>
              <w:pStyle w:val="TableText"/>
              <w:rPr>
                <w:b/>
              </w:rPr>
            </w:pPr>
            <w:r w:rsidRPr="00724287">
              <w:rPr>
                <w:b/>
              </w:rPr>
              <w:t>Objective</w:t>
            </w:r>
          </w:p>
        </w:tc>
        <w:tc>
          <w:tcPr>
            <w:tcW w:w="6770" w:type="dxa"/>
            <w:gridSpan w:val="2"/>
            <w:tcBorders>
              <w:left w:val="nil"/>
              <w:bottom w:val="single" w:sz="4" w:space="0" w:color="auto"/>
              <w:right w:val="nil"/>
            </w:tcBorders>
            <w:shd w:val="clear" w:color="auto" w:fill="auto"/>
          </w:tcPr>
          <w:p w:rsidR="00C56FCC" w:rsidRPr="00724287" w:rsidRDefault="00C56FCC" w:rsidP="00724287">
            <w:pPr>
              <w:pStyle w:val="TableText"/>
              <w:tabs>
                <w:tab w:val="right" w:pos="6656"/>
              </w:tabs>
              <w:rPr>
                <w:b/>
              </w:rPr>
            </w:pPr>
            <w:r w:rsidRPr="00724287">
              <w:rPr>
                <w:b/>
              </w:rPr>
              <w:t>Pros and cons</w:t>
            </w:r>
            <w:r w:rsidR="00724287">
              <w:rPr>
                <w:b/>
              </w:rPr>
              <w:tab/>
            </w:r>
            <w:r w:rsidRPr="00724287">
              <w:rPr>
                <w:b/>
              </w:rPr>
              <w:t>(</w:t>
            </w:r>
            <w:r w:rsidRPr="00724287">
              <w:rPr>
                <w:rFonts w:ascii="Wingdings" w:hAnsi="Wingdings" w:cs="Wingdings"/>
                <w:b/>
                <w:i/>
                <w:iCs/>
                <w:color w:val="000000"/>
                <w:szCs w:val="18"/>
              </w:rPr>
              <w:t></w:t>
            </w:r>
            <w:r w:rsidRPr="00724287">
              <w:rPr>
                <w:rFonts w:cs="Wingdings"/>
                <w:b/>
                <w:i/>
                <w:iCs/>
                <w:color w:val="000000"/>
              </w:rPr>
              <w:t xml:space="preserve"> = pro / x = con / </w:t>
            </w:r>
            <w:r w:rsidRPr="00724287">
              <w:rPr>
                <w:rFonts w:cs="Wingdings"/>
                <w:b/>
                <w:iCs/>
                <w:color w:val="000000"/>
              </w:rPr>
              <w:t>~</w:t>
            </w:r>
            <w:r w:rsidRPr="00724287">
              <w:rPr>
                <w:rFonts w:cs="Wingdings"/>
                <w:b/>
                <w:i/>
                <w:iCs/>
                <w:color w:val="000000"/>
              </w:rPr>
              <w:t xml:space="preserve"> = mixed benefits</w:t>
            </w:r>
            <w:r w:rsidRPr="00724287">
              <w:rPr>
                <w:rFonts w:cs="Wingdings"/>
                <w:b/>
                <w:iCs/>
                <w:color w:val="000000"/>
              </w:rPr>
              <w:t>)</w:t>
            </w:r>
          </w:p>
        </w:tc>
      </w:tr>
      <w:tr w:rsidR="00C56FCC" w:rsidRPr="00ED70DB" w:rsidTr="00724287">
        <w:trPr>
          <w:cantSplit/>
        </w:trPr>
        <w:tc>
          <w:tcPr>
            <w:tcW w:w="2552" w:type="dxa"/>
            <w:vMerge w:val="restart"/>
            <w:tcBorders>
              <w:top w:val="single" w:sz="4" w:space="0" w:color="auto"/>
              <w:left w:val="nil"/>
              <w:bottom w:val="nil"/>
              <w:right w:val="nil"/>
            </w:tcBorders>
            <w:shd w:val="clear" w:color="auto" w:fill="auto"/>
          </w:tcPr>
          <w:p w:rsidR="00C56FCC" w:rsidRPr="007B3002" w:rsidRDefault="00724287" w:rsidP="00724287">
            <w:pPr>
              <w:pStyle w:val="TableText"/>
              <w:ind w:left="425" w:hanging="425"/>
            </w:pPr>
            <w:r>
              <w:t>A.</w:t>
            </w:r>
            <w:r>
              <w:tab/>
            </w:r>
            <w:r w:rsidR="00C56FCC" w:rsidRPr="007B3002">
              <w:t>Harm prevention</w:t>
            </w:r>
          </w:p>
        </w:tc>
        <w:tc>
          <w:tcPr>
            <w:tcW w:w="425" w:type="dxa"/>
            <w:tcBorders>
              <w:top w:val="single" w:sz="4" w:space="0" w:color="auto"/>
              <w:left w:val="nil"/>
              <w:bottom w:val="nil"/>
              <w:right w:val="nil"/>
            </w:tcBorders>
            <w:shd w:val="clear" w:color="auto" w:fill="auto"/>
          </w:tcPr>
          <w:p w:rsidR="00C56FCC" w:rsidRPr="00ED70DB" w:rsidRDefault="00C56FCC" w:rsidP="00724287">
            <w:pPr>
              <w:pStyle w:val="TableText"/>
              <w:rPr>
                <w:rFonts w:ascii="Times New Roman" w:hAnsi="Times New Roman"/>
              </w:rPr>
            </w:pPr>
            <w:r w:rsidRPr="00F91482">
              <w:rPr>
                <w:rFonts w:ascii="Wingdings" w:hAnsi="Wingdings" w:cs="Wingdings"/>
                <w:i/>
                <w:iCs/>
                <w:color w:val="000000"/>
                <w:szCs w:val="18"/>
              </w:rPr>
              <w:t></w:t>
            </w:r>
          </w:p>
        </w:tc>
        <w:tc>
          <w:tcPr>
            <w:tcW w:w="6345" w:type="dxa"/>
            <w:tcBorders>
              <w:top w:val="single" w:sz="4" w:space="0" w:color="auto"/>
              <w:left w:val="nil"/>
              <w:bottom w:val="nil"/>
              <w:right w:val="nil"/>
            </w:tcBorders>
            <w:shd w:val="clear" w:color="auto" w:fill="auto"/>
          </w:tcPr>
          <w:p w:rsidR="00C56FCC" w:rsidRPr="007B3002" w:rsidRDefault="00C56FCC" w:rsidP="00724287">
            <w:pPr>
              <w:pStyle w:val="TableText"/>
            </w:pPr>
            <w:r w:rsidRPr="007B3002">
              <w:t>Given that drug utensils are already displayed and sold in stores despite prohibition, regulations on retail display, marketing, location and age of purchase (similar to smoking) would reduce access to and visibility of these products by minors. This could reduce any messaging that drug use – particularly by young people – is normal. Retailers could be required to display information on drug use risks and where to seek appropriate support and assistance.</w:t>
            </w:r>
          </w:p>
        </w:tc>
      </w:tr>
      <w:tr w:rsidR="00C56FCC" w:rsidRPr="00ED70DB" w:rsidTr="00724287">
        <w:trPr>
          <w:cantSplit/>
        </w:trPr>
        <w:tc>
          <w:tcPr>
            <w:tcW w:w="2552" w:type="dxa"/>
            <w:vMerge/>
            <w:tcBorders>
              <w:top w:val="nil"/>
              <w:left w:val="nil"/>
              <w:bottom w:val="nil"/>
              <w:right w:val="nil"/>
            </w:tcBorders>
            <w:shd w:val="clear" w:color="auto" w:fill="auto"/>
          </w:tcPr>
          <w:p w:rsidR="00C56FCC" w:rsidRPr="007B3002" w:rsidRDefault="00C56FCC" w:rsidP="00724287">
            <w:pPr>
              <w:pStyle w:val="TableText"/>
              <w:ind w:left="425" w:hanging="425"/>
            </w:pPr>
          </w:p>
        </w:tc>
        <w:tc>
          <w:tcPr>
            <w:tcW w:w="425" w:type="dxa"/>
            <w:tcBorders>
              <w:top w:val="nil"/>
              <w:left w:val="nil"/>
              <w:bottom w:val="nil"/>
              <w:right w:val="nil"/>
            </w:tcBorders>
            <w:shd w:val="clear" w:color="auto" w:fill="auto"/>
          </w:tcPr>
          <w:p w:rsidR="00C56FCC" w:rsidRPr="007B3002" w:rsidRDefault="00C56FCC" w:rsidP="00724287">
            <w:pPr>
              <w:pStyle w:val="TableText"/>
              <w:rPr>
                <w:i/>
              </w:rPr>
            </w:pPr>
            <w:r w:rsidRPr="007B3002">
              <w:t>~</w:t>
            </w:r>
          </w:p>
        </w:tc>
        <w:tc>
          <w:tcPr>
            <w:tcW w:w="6345" w:type="dxa"/>
            <w:tcBorders>
              <w:top w:val="nil"/>
              <w:left w:val="nil"/>
              <w:bottom w:val="nil"/>
              <w:right w:val="nil"/>
            </w:tcBorders>
            <w:shd w:val="clear" w:color="auto" w:fill="auto"/>
          </w:tcPr>
          <w:p w:rsidR="00C56FCC" w:rsidRPr="007B3002" w:rsidRDefault="00C56FCC" w:rsidP="00724287">
            <w:pPr>
              <w:pStyle w:val="TableText"/>
            </w:pPr>
            <w:r w:rsidRPr="007B3002">
              <w:t>Given the current ability to access dedicated utensils or make substitutes, it is unlikely that solely shifting to a regulated market for drug utensils would have any impact on levels of drug use.</w:t>
            </w:r>
          </w:p>
        </w:tc>
      </w:tr>
      <w:tr w:rsidR="00C56FCC" w:rsidRPr="00ED70DB" w:rsidTr="00724287">
        <w:trPr>
          <w:cantSplit/>
        </w:trPr>
        <w:tc>
          <w:tcPr>
            <w:tcW w:w="2552" w:type="dxa"/>
            <w:tcBorders>
              <w:top w:val="nil"/>
              <w:left w:val="nil"/>
              <w:bottom w:val="nil"/>
              <w:right w:val="nil"/>
            </w:tcBorders>
            <w:shd w:val="clear" w:color="auto" w:fill="auto"/>
          </w:tcPr>
          <w:p w:rsidR="00C56FCC" w:rsidRPr="007B3002" w:rsidRDefault="00724287" w:rsidP="00724287">
            <w:pPr>
              <w:pStyle w:val="TableText"/>
              <w:ind w:left="425" w:hanging="425"/>
            </w:pPr>
            <w:r>
              <w:t>B.</w:t>
            </w:r>
            <w:r>
              <w:tab/>
            </w:r>
            <w:r w:rsidR="00C56FCC" w:rsidRPr="007B3002">
              <w:t>Harm reduction</w:t>
            </w:r>
          </w:p>
        </w:tc>
        <w:tc>
          <w:tcPr>
            <w:tcW w:w="425" w:type="dxa"/>
            <w:tcBorders>
              <w:top w:val="nil"/>
              <w:left w:val="nil"/>
              <w:bottom w:val="nil"/>
              <w:right w:val="nil"/>
            </w:tcBorders>
            <w:shd w:val="clear" w:color="auto" w:fill="auto"/>
          </w:tcPr>
          <w:p w:rsidR="00C56FCC" w:rsidRPr="00ED70DB" w:rsidRDefault="00C56FCC" w:rsidP="00724287">
            <w:pPr>
              <w:pStyle w:val="TableText"/>
              <w:rPr>
                <w:rFonts w:ascii="Times New Roman" w:hAnsi="Times New Roman"/>
              </w:rPr>
            </w:pPr>
            <w:r w:rsidRPr="00F91482">
              <w:rPr>
                <w:rFonts w:ascii="Wingdings" w:hAnsi="Wingdings" w:cs="Wingdings"/>
                <w:i/>
                <w:iCs/>
                <w:color w:val="000000"/>
                <w:szCs w:val="18"/>
              </w:rPr>
              <w:t></w:t>
            </w:r>
          </w:p>
        </w:tc>
        <w:tc>
          <w:tcPr>
            <w:tcW w:w="6345" w:type="dxa"/>
            <w:tcBorders>
              <w:top w:val="nil"/>
              <w:left w:val="nil"/>
              <w:bottom w:val="nil"/>
              <w:right w:val="nil"/>
            </w:tcBorders>
            <w:shd w:val="clear" w:color="auto" w:fill="auto"/>
          </w:tcPr>
          <w:p w:rsidR="00C56FCC" w:rsidRPr="007B3002" w:rsidRDefault="00C56FCC" w:rsidP="00724287">
            <w:pPr>
              <w:pStyle w:val="TableText"/>
            </w:pPr>
            <w:r w:rsidRPr="007B3002">
              <w:t>Regulating the supply of drug utensils would provide greater opportunities to publicise health messages on drug use, including ways to seek help or reduce risk and consumption. This may result in safer practices, and greater visibility of support services all for drug users.</w:t>
            </w:r>
          </w:p>
        </w:tc>
      </w:tr>
      <w:tr w:rsidR="00C56FCC" w:rsidRPr="00ED70DB" w:rsidTr="00724287">
        <w:trPr>
          <w:cantSplit/>
        </w:trPr>
        <w:tc>
          <w:tcPr>
            <w:tcW w:w="2552" w:type="dxa"/>
            <w:tcBorders>
              <w:top w:val="nil"/>
              <w:left w:val="nil"/>
              <w:bottom w:val="nil"/>
              <w:right w:val="nil"/>
            </w:tcBorders>
            <w:shd w:val="clear" w:color="auto" w:fill="auto"/>
          </w:tcPr>
          <w:p w:rsidR="00C56FCC" w:rsidRPr="007B3002" w:rsidRDefault="00724287" w:rsidP="00724287">
            <w:pPr>
              <w:pStyle w:val="TableText"/>
              <w:ind w:left="425" w:hanging="425"/>
            </w:pPr>
            <w:r>
              <w:t>C.</w:t>
            </w:r>
            <w:r>
              <w:tab/>
            </w:r>
            <w:r w:rsidR="00C56FCC" w:rsidRPr="007B3002">
              <w:t>Proportionality</w:t>
            </w:r>
          </w:p>
        </w:tc>
        <w:tc>
          <w:tcPr>
            <w:tcW w:w="425" w:type="dxa"/>
            <w:tcBorders>
              <w:top w:val="nil"/>
              <w:left w:val="nil"/>
              <w:bottom w:val="nil"/>
              <w:right w:val="nil"/>
            </w:tcBorders>
            <w:shd w:val="clear" w:color="auto" w:fill="auto"/>
          </w:tcPr>
          <w:p w:rsidR="00C56FCC" w:rsidRPr="004A4290" w:rsidRDefault="00C64D2B" w:rsidP="00724287">
            <w:pPr>
              <w:pStyle w:val="TableText"/>
              <w:rPr>
                <w:rFonts w:ascii="Times New Roman" w:hAnsi="Times New Roman"/>
              </w:rPr>
            </w:pPr>
            <w:r w:rsidRPr="00F91482">
              <w:rPr>
                <w:rFonts w:ascii="Wingdings" w:hAnsi="Wingdings" w:cs="Wingdings"/>
                <w:i/>
                <w:iCs/>
                <w:color w:val="000000"/>
                <w:szCs w:val="18"/>
              </w:rPr>
              <w:t></w:t>
            </w:r>
          </w:p>
        </w:tc>
        <w:tc>
          <w:tcPr>
            <w:tcW w:w="6345" w:type="dxa"/>
            <w:tcBorders>
              <w:top w:val="nil"/>
              <w:left w:val="nil"/>
              <w:bottom w:val="nil"/>
              <w:right w:val="nil"/>
            </w:tcBorders>
            <w:shd w:val="clear" w:color="auto" w:fill="auto"/>
          </w:tcPr>
          <w:p w:rsidR="00C56FCC" w:rsidRDefault="00724287" w:rsidP="00724287">
            <w:pPr>
              <w:pStyle w:val="TableText"/>
              <w:ind w:left="425" w:hanging="425"/>
            </w:pPr>
            <w:r>
              <w:t>1)</w:t>
            </w:r>
            <w:r>
              <w:tab/>
            </w:r>
            <w:r w:rsidR="00C56FCC">
              <w:t>Removing the criminal offence may better enable a harm minimisation response.</w:t>
            </w:r>
          </w:p>
          <w:p w:rsidR="00C56FCC" w:rsidRPr="00835B51" w:rsidRDefault="00724287">
            <w:pPr>
              <w:pStyle w:val="TableText"/>
              <w:ind w:left="425" w:hanging="425"/>
            </w:pPr>
            <w:r>
              <w:t>2)</w:t>
            </w:r>
            <w:r>
              <w:tab/>
            </w:r>
            <w:r w:rsidR="00C56FCC">
              <w:t>Supply of drug utensils could be regulated in a targeted manner that promotes harm minimisation.</w:t>
            </w:r>
            <w:r w:rsidR="00F91482">
              <w:t xml:space="preserve"> </w:t>
            </w:r>
            <w:r w:rsidR="00C56FCC">
              <w:t>The detail of these regulations would require further analysis.</w:t>
            </w:r>
          </w:p>
        </w:tc>
      </w:tr>
      <w:tr w:rsidR="00C56FCC" w:rsidRPr="00ED70DB" w:rsidTr="00724287">
        <w:trPr>
          <w:cantSplit/>
        </w:trPr>
        <w:tc>
          <w:tcPr>
            <w:tcW w:w="2552" w:type="dxa"/>
            <w:tcBorders>
              <w:top w:val="nil"/>
              <w:left w:val="nil"/>
              <w:bottom w:val="nil"/>
              <w:right w:val="nil"/>
            </w:tcBorders>
            <w:shd w:val="clear" w:color="auto" w:fill="auto"/>
          </w:tcPr>
          <w:p w:rsidR="00C56FCC" w:rsidRPr="007B3002" w:rsidRDefault="00724287" w:rsidP="00B02C49">
            <w:pPr>
              <w:pStyle w:val="TableText"/>
              <w:ind w:left="425" w:hanging="425"/>
            </w:pPr>
            <w:r>
              <w:t>D.</w:t>
            </w:r>
            <w:r>
              <w:tab/>
              <w:t>Cost-effectiveness</w:t>
            </w:r>
          </w:p>
        </w:tc>
        <w:tc>
          <w:tcPr>
            <w:tcW w:w="425" w:type="dxa"/>
            <w:tcBorders>
              <w:top w:val="nil"/>
              <w:left w:val="nil"/>
              <w:bottom w:val="nil"/>
              <w:right w:val="nil"/>
            </w:tcBorders>
            <w:shd w:val="clear" w:color="auto" w:fill="auto"/>
          </w:tcPr>
          <w:p w:rsidR="00C56FCC" w:rsidRPr="004A4290" w:rsidRDefault="00C56FCC" w:rsidP="00724287">
            <w:pPr>
              <w:pStyle w:val="TableText"/>
              <w:rPr>
                <w:rFonts w:ascii="Times New Roman" w:hAnsi="Times New Roman"/>
              </w:rPr>
            </w:pPr>
            <w:r w:rsidRPr="007B3002">
              <w:t>~</w:t>
            </w:r>
          </w:p>
        </w:tc>
        <w:tc>
          <w:tcPr>
            <w:tcW w:w="6345" w:type="dxa"/>
            <w:tcBorders>
              <w:top w:val="nil"/>
              <w:left w:val="nil"/>
              <w:bottom w:val="nil"/>
              <w:right w:val="nil"/>
            </w:tcBorders>
            <w:shd w:val="clear" w:color="auto" w:fill="auto"/>
          </w:tcPr>
          <w:p w:rsidR="00C56FCC" w:rsidRPr="007B3002" w:rsidRDefault="00C56FCC" w:rsidP="00724287">
            <w:pPr>
              <w:pStyle w:val="TableText"/>
            </w:pPr>
            <w:r w:rsidRPr="007B3002">
              <w:t>Removing prohibition would remove the requirement and cost of border control and other enforcement operations.</w:t>
            </w:r>
            <w:r w:rsidR="00F91482">
              <w:t xml:space="preserve"> </w:t>
            </w:r>
            <w:r>
              <w:t>New costs would arise to monitor sales and supply to minors and any public use offences.</w:t>
            </w:r>
          </w:p>
        </w:tc>
      </w:tr>
      <w:tr w:rsidR="00C56FCC" w:rsidRPr="00ED70DB" w:rsidTr="00724287">
        <w:trPr>
          <w:cantSplit/>
        </w:trPr>
        <w:tc>
          <w:tcPr>
            <w:tcW w:w="2552" w:type="dxa"/>
            <w:tcBorders>
              <w:top w:val="nil"/>
              <w:left w:val="nil"/>
              <w:right w:val="nil"/>
            </w:tcBorders>
            <w:shd w:val="clear" w:color="auto" w:fill="auto"/>
          </w:tcPr>
          <w:p w:rsidR="00C56FCC" w:rsidRPr="007B3002" w:rsidRDefault="00724287" w:rsidP="00724287">
            <w:pPr>
              <w:pStyle w:val="TableText"/>
              <w:ind w:left="425" w:hanging="425"/>
            </w:pPr>
            <w:r>
              <w:t>E.</w:t>
            </w:r>
            <w:r>
              <w:tab/>
            </w:r>
            <w:r w:rsidR="00C56FCC" w:rsidRPr="007B3002">
              <w:t>Ease of implementation</w:t>
            </w:r>
          </w:p>
        </w:tc>
        <w:tc>
          <w:tcPr>
            <w:tcW w:w="425" w:type="dxa"/>
            <w:tcBorders>
              <w:top w:val="nil"/>
              <w:left w:val="nil"/>
              <w:right w:val="nil"/>
            </w:tcBorders>
            <w:shd w:val="clear" w:color="auto" w:fill="auto"/>
          </w:tcPr>
          <w:p w:rsidR="00C56FCC" w:rsidRPr="007B3002" w:rsidRDefault="00C56FCC" w:rsidP="00724287">
            <w:pPr>
              <w:pStyle w:val="TableText"/>
              <w:rPr>
                <w:i/>
              </w:rPr>
            </w:pPr>
            <w:r w:rsidRPr="007B3002">
              <w:rPr>
                <w:i/>
              </w:rPr>
              <w:t>x</w:t>
            </w:r>
          </w:p>
        </w:tc>
        <w:tc>
          <w:tcPr>
            <w:tcW w:w="6345" w:type="dxa"/>
            <w:tcBorders>
              <w:top w:val="nil"/>
              <w:left w:val="nil"/>
              <w:right w:val="nil"/>
            </w:tcBorders>
            <w:shd w:val="clear" w:color="auto" w:fill="auto"/>
          </w:tcPr>
          <w:p w:rsidR="00C56FCC" w:rsidRPr="007B3002" w:rsidRDefault="00C56FCC" w:rsidP="00724287">
            <w:pPr>
              <w:pStyle w:val="TableText"/>
            </w:pPr>
            <w:r w:rsidRPr="007B3002">
              <w:t>Would require regulatory oversight, including establishment and some enforcement (eg</w:t>
            </w:r>
            <w:r w:rsidR="007764B0">
              <w:t>,</w:t>
            </w:r>
            <w:r w:rsidRPr="007B3002">
              <w:t xml:space="preserve"> in relation to sale to minors and retail requirements). This would incur establishment cost and transfer the cost of implementation to another part of central or local government. Some of these costs could be mitigated by expanding an existing regulatory role, for example in rel</w:t>
            </w:r>
            <w:r w:rsidR="00724287">
              <w:t>ation to regulation of tobacco.</w:t>
            </w:r>
          </w:p>
        </w:tc>
      </w:tr>
    </w:tbl>
    <w:p w:rsidR="00C56FCC" w:rsidRDefault="00C56FCC" w:rsidP="00724287"/>
    <w:p w:rsidR="00724287" w:rsidRPr="007B3002" w:rsidRDefault="00724287" w:rsidP="00724287">
      <w:pPr>
        <w:pStyle w:val="BoxHeading"/>
      </w:pPr>
      <w:r w:rsidRPr="007B3002">
        <w:t xml:space="preserve">Question </w:t>
      </w:r>
      <w:r>
        <w:t>8</w:t>
      </w:r>
    </w:p>
    <w:p w:rsidR="00724287" w:rsidRPr="007B3002" w:rsidRDefault="00724287" w:rsidP="00724287">
      <w:pPr>
        <w:pStyle w:val="Box"/>
      </w:pPr>
      <w:r w:rsidRPr="007B3002">
        <w:t xml:space="preserve">Do you agree with the </w:t>
      </w:r>
      <w:r w:rsidRPr="00C54764">
        <w:t xml:space="preserve">potential </w:t>
      </w:r>
      <w:r w:rsidRPr="009D133E">
        <w:t>pros and cons</w:t>
      </w:r>
      <w:r w:rsidRPr="007B3002">
        <w:t xml:space="preserve"> outlined for Option 2</w:t>
      </w:r>
      <w:r>
        <w:t>?</w:t>
      </w:r>
      <w:r w:rsidRPr="007B3002">
        <w:t xml:space="preserve"> Why</w:t>
      </w:r>
      <w:r>
        <w:t xml:space="preserve"> or </w:t>
      </w:r>
      <w:r w:rsidRPr="007B3002">
        <w:t>why not? What evidence or other information do you have to support this view?</w:t>
      </w:r>
    </w:p>
    <w:p w:rsidR="00C56FCC" w:rsidRDefault="00C56FCC" w:rsidP="00724287"/>
    <w:p w:rsidR="00C56FCC" w:rsidRPr="00C54764" w:rsidRDefault="00C56FCC" w:rsidP="000718AA">
      <w:pPr>
        <w:pStyle w:val="Heading2"/>
      </w:pPr>
      <w:bookmarkStart w:id="74" w:name="_Toc454263624"/>
      <w:bookmarkStart w:id="75" w:name="_Toc454700974"/>
      <w:r w:rsidRPr="00C54764">
        <w:t>Next steps</w:t>
      </w:r>
      <w:bookmarkEnd w:id="74"/>
      <w:bookmarkEnd w:id="75"/>
    </w:p>
    <w:p w:rsidR="00C56FCC" w:rsidRPr="00C54764" w:rsidRDefault="00C56FCC" w:rsidP="000718AA">
      <w:r w:rsidRPr="00C54764">
        <w:t>Following closure of submissions, we will collate and summarise your feedback, inform submitters and publish the summary of submissions on the Ministry of Health</w:t>
      </w:r>
      <w:r w:rsidR="00F91482">
        <w:t>’</w:t>
      </w:r>
      <w:r w:rsidRPr="00C54764">
        <w:t>s website.</w:t>
      </w:r>
    </w:p>
    <w:p w:rsidR="000718AA" w:rsidRDefault="000718AA" w:rsidP="000718AA">
      <w:pPr>
        <w:pStyle w:val="Heading1"/>
        <w:sectPr w:rsidR="000718AA" w:rsidSect="009D5125">
          <w:headerReference w:type="default" r:id="rId21"/>
          <w:footerReference w:type="default" r:id="rId22"/>
          <w:pgSz w:w="11907" w:h="16834" w:code="9"/>
          <w:pgMar w:top="851" w:right="1134" w:bottom="1134" w:left="1134" w:header="284" w:footer="567" w:gutter="284"/>
          <w:pgNumType w:start="1"/>
          <w:cols w:space="720"/>
        </w:sectPr>
      </w:pPr>
      <w:bookmarkStart w:id="76" w:name="_Toc454263625"/>
    </w:p>
    <w:p w:rsidR="00C56FCC" w:rsidRDefault="00C56FCC" w:rsidP="000718AA">
      <w:pPr>
        <w:pStyle w:val="Heading1"/>
      </w:pPr>
      <w:bookmarkStart w:id="77" w:name="_Toc454700975"/>
      <w:r w:rsidRPr="00217619">
        <w:lastRenderedPageBreak/>
        <w:t>Appendix</w:t>
      </w:r>
      <w:r w:rsidR="000718AA">
        <w:t>:</w:t>
      </w:r>
      <w:r>
        <w:t xml:space="preserve"> </w:t>
      </w:r>
      <w:r w:rsidRPr="00855E47">
        <w:t>Comparison</w:t>
      </w:r>
      <w:r w:rsidRPr="00A95941">
        <w:t xml:space="preserve"> with </w:t>
      </w:r>
      <w:r>
        <w:t>other approaches</w:t>
      </w:r>
      <w:bookmarkEnd w:id="76"/>
      <w:bookmarkEnd w:id="77"/>
    </w:p>
    <w:p w:rsidR="00C56FCC" w:rsidRPr="00C54764" w:rsidRDefault="00C56FCC" w:rsidP="000718AA">
      <w:pPr>
        <w:pStyle w:val="Heading2"/>
      </w:pPr>
      <w:bookmarkStart w:id="78" w:name="_Toc454700976"/>
      <w:r w:rsidRPr="00C54764">
        <w:t>New Zealand approaches to other drugs</w:t>
      </w:r>
      <w:bookmarkEnd w:id="78"/>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418"/>
        <w:gridCol w:w="4394"/>
        <w:gridCol w:w="4394"/>
        <w:gridCol w:w="4395"/>
      </w:tblGrid>
      <w:tr w:rsidR="00C56FCC" w:rsidTr="005D28E2">
        <w:trPr>
          <w:cantSplit/>
          <w:tblHeader/>
        </w:trPr>
        <w:tc>
          <w:tcPr>
            <w:tcW w:w="1418" w:type="dxa"/>
            <w:tcBorders>
              <w:top w:val="single" w:sz="4" w:space="0" w:color="auto"/>
              <w:bottom w:val="single" w:sz="4" w:space="0" w:color="auto"/>
            </w:tcBorders>
            <w:shd w:val="clear" w:color="auto" w:fill="auto"/>
          </w:tcPr>
          <w:p w:rsidR="00C56FCC" w:rsidRDefault="00C56FCC" w:rsidP="000718AA">
            <w:pPr>
              <w:pStyle w:val="TableText"/>
            </w:pPr>
          </w:p>
        </w:tc>
        <w:tc>
          <w:tcPr>
            <w:tcW w:w="4394" w:type="dxa"/>
            <w:tcBorders>
              <w:top w:val="single" w:sz="4" w:space="0" w:color="auto"/>
              <w:bottom w:val="single" w:sz="4" w:space="0" w:color="auto"/>
            </w:tcBorders>
            <w:shd w:val="clear" w:color="auto" w:fill="auto"/>
            <w:hideMark/>
          </w:tcPr>
          <w:p w:rsidR="00C56FCC" w:rsidRDefault="00C56FCC" w:rsidP="00B02C49">
            <w:pPr>
              <w:pStyle w:val="TableText"/>
              <w:ind w:right="142"/>
              <w:rPr>
                <w:b/>
              </w:rPr>
            </w:pPr>
            <w:r>
              <w:rPr>
                <w:b/>
              </w:rPr>
              <w:t xml:space="preserve">Sale and </w:t>
            </w:r>
            <w:r w:rsidR="000718AA">
              <w:rPr>
                <w:b/>
              </w:rPr>
              <w:t>s</w:t>
            </w:r>
            <w:r>
              <w:rPr>
                <w:b/>
              </w:rPr>
              <w:t>upply</w:t>
            </w:r>
          </w:p>
        </w:tc>
        <w:tc>
          <w:tcPr>
            <w:tcW w:w="4394" w:type="dxa"/>
            <w:tcBorders>
              <w:top w:val="single" w:sz="4" w:space="0" w:color="auto"/>
              <w:bottom w:val="single" w:sz="4" w:space="0" w:color="auto"/>
            </w:tcBorders>
            <w:shd w:val="clear" w:color="auto" w:fill="auto"/>
            <w:hideMark/>
          </w:tcPr>
          <w:p w:rsidR="00C56FCC" w:rsidRDefault="00C56FCC" w:rsidP="00B02C49">
            <w:pPr>
              <w:pStyle w:val="TableText"/>
              <w:ind w:right="142"/>
              <w:rPr>
                <w:b/>
              </w:rPr>
            </w:pPr>
            <w:r>
              <w:rPr>
                <w:b/>
              </w:rPr>
              <w:t xml:space="preserve">Labelling and </w:t>
            </w:r>
            <w:r w:rsidR="000718AA">
              <w:rPr>
                <w:b/>
              </w:rPr>
              <w:t>a</w:t>
            </w:r>
            <w:r>
              <w:rPr>
                <w:b/>
              </w:rPr>
              <w:t>dvertising</w:t>
            </w:r>
          </w:p>
        </w:tc>
        <w:tc>
          <w:tcPr>
            <w:tcW w:w="4395" w:type="dxa"/>
            <w:tcBorders>
              <w:top w:val="single" w:sz="4" w:space="0" w:color="auto"/>
              <w:bottom w:val="single" w:sz="4" w:space="0" w:color="auto"/>
            </w:tcBorders>
            <w:shd w:val="clear" w:color="auto" w:fill="auto"/>
            <w:hideMark/>
          </w:tcPr>
          <w:p w:rsidR="00C56FCC" w:rsidRDefault="00C56FCC">
            <w:pPr>
              <w:pStyle w:val="TableText"/>
              <w:rPr>
                <w:b/>
              </w:rPr>
            </w:pPr>
            <w:r>
              <w:rPr>
                <w:b/>
              </w:rPr>
              <w:t xml:space="preserve">Offences and </w:t>
            </w:r>
            <w:r w:rsidR="000718AA">
              <w:rPr>
                <w:b/>
              </w:rPr>
              <w:t>p</w:t>
            </w:r>
            <w:r>
              <w:rPr>
                <w:b/>
              </w:rPr>
              <w:t>enalties</w:t>
            </w:r>
          </w:p>
        </w:tc>
      </w:tr>
      <w:tr w:rsidR="00C56FCC" w:rsidTr="005D28E2">
        <w:trPr>
          <w:cantSplit/>
        </w:trPr>
        <w:tc>
          <w:tcPr>
            <w:tcW w:w="1418" w:type="dxa"/>
            <w:tcBorders>
              <w:top w:val="single" w:sz="4" w:space="0" w:color="auto"/>
              <w:bottom w:val="single" w:sz="4" w:space="0" w:color="A6A6A6" w:themeColor="background1" w:themeShade="A6"/>
            </w:tcBorders>
            <w:shd w:val="clear" w:color="auto" w:fill="auto"/>
            <w:hideMark/>
          </w:tcPr>
          <w:p w:rsidR="00C56FCC" w:rsidRDefault="00C56FCC" w:rsidP="000718AA">
            <w:pPr>
              <w:pStyle w:val="TableText"/>
              <w:rPr>
                <w:b/>
              </w:rPr>
            </w:pPr>
            <w:r>
              <w:rPr>
                <w:b/>
              </w:rPr>
              <w:t>Tobacco</w:t>
            </w:r>
          </w:p>
        </w:tc>
        <w:tc>
          <w:tcPr>
            <w:tcW w:w="4394" w:type="dxa"/>
            <w:tcBorders>
              <w:top w:val="single" w:sz="4" w:space="0" w:color="auto"/>
              <w:bottom w:val="single" w:sz="4" w:space="0" w:color="A6A6A6" w:themeColor="background1" w:themeShade="A6"/>
            </w:tcBorders>
            <w:shd w:val="clear" w:color="auto" w:fill="auto"/>
            <w:hideMark/>
          </w:tcPr>
          <w:p w:rsidR="00C56FCC" w:rsidRDefault="00C56FCC" w:rsidP="0083277B">
            <w:pPr>
              <w:pStyle w:val="TableBullet"/>
              <w:ind w:right="142"/>
            </w:pPr>
            <w:r>
              <w:t>Prohibited to supply people under 18 (minors) in public places (but not for example, a private home).</w:t>
            </w:r>
          </w:p>
          <w:p w:rsidR="00C56FCC" w:rsidRDefault="00C56FCC" w:rsidP="0083277B">
            <w:pPr>
              <w:pStyle w:val="TableBullet"/>
              <w:ind w:right="142"/>
            </w:pPr>
            <w:r>
              <w:t>Selling toy tobacco products or products resembling tobacco products to minors is prohibited.</w:t>
            </w:r>
          </w:p>
          <w:p w:rsidR="00C56FCC" w:rsidRDefault="00C56FCC" w:rsidP="0083277B">
            <w:pPr>
              <w:pStyle w:val="TableBullet"/>
              <w:ind w:right="142"/>
            </w:pPr>
            <w:r>
              <w:t>No specific prohibition on the sale or supply to minors of tobacco-related implements or equipment, such as pipes, filters or cigarette paper.</w:t>
            </w:r>
          </w:p>
        </w:tc>
        <w:tc>
          <w:tcPr>
            <w:tcW w:w="4394" w:type="dxa"/>
            <w:tcBorders>
              <w:top w:val="single" w:sz="4" w:space="0" w:color="auto"/>
              <w:bottom w:val="single" w:sz="4" w:space="0" w:color="A6A6A6" w:themeColor="background1" w:themeShade="A6"/>
            </w:tcBorders>
            <w:shd w:val="clear" w:color="auto" w:fill="auto"/>
          </w:tcPr>
          <w:p w:rsidR="00C56FCC" w:rsidRDefault="00C56FCC" w:rsidP="0083277B">
            <w:pPr>
              <w:pStyle w:val="TableBullet"/>
              <w:ind w:right="142"/>
            </w:pPr>
            <w:r>
              <w:t>Advertising is absolutely prohibited.</w:t>
            </w:r>
          </w:p>
          <w:p w:rsidR="00C56FCC" w:rsidRDefault="00C56FCC" w:rsidP="0083277B">
            <w:pPr>
              <w:pStyle w:val="TableBullet"/>
              <w:ind w:right="142"/>
            </w:pPr>
            <w:r>
              <w:t>No display of tobacco products is permitted, even within retail premises.</w:t>
            </w:r>
          </w:p>
          <w:p w:rsidR="00F91482" w:rsidRDefault="00C56FCC" w:rsidP="0083277B">
            <w:pPr>
              <w:pStyle w:val="TableBullet"/>
              <w:ind w:right="142"/>
            </w:pPr>
            <w:r>
              <w:t>Retailers cannot display information in written form indicating that tobacco products are available for sale on their price, on request and no more.</w:t>
            </w:r>
          </w:p>
          <w:p w:rsidR="00C56FCC" w:rsidRDefault="00C56FCC" w:rsidP="0083277B">
            <w:pPr>
              <w:pStyle w:val="TableBullet"/>
              <w:ind w:right="142"/>
            </w:pPr>
            <w:r>
              <w:t>Health warnings must be prominently displayed on tobacco products.</w:t>
            </w:r>
          </w:p>
          <w:p w:rsidR="00C56FCC" w:rsidRDefault="00C56FCC" w:rsidP="0083277B">
            <w:pPr>
              <w:pStyle w:val="TableBullet"/>
              <w:ind w:right="142"/>
            </w:pPr>
            <w:r>
              <w:t>Tobacco plain packaging legislation currently before Parliament will remove branding such as trademarks from tobacco products and introduce standardised fonts and colours.</w:t>
            </w:r>
          </w:p>
        </w:tc>
        <w:tc>
          <w:tcPr>
            <w:tcW w:w="4395" w:type="dxa"/>
            <w:tcBorders>
              <w:top w:val="single" w:sz="4" w:space="0" w:color="auto"/>
              <w:bottom w:val="single" w:sz="4" w:space="0" w:color="A6A6A6" w:themeColor="background1" w:themeShade="A6"/>
            </w:tcBorders>
            <w:shd w:val="clear" w:color="auto" w:fill="auto"/>
          </w:tcPr>
          <w:p w:rsidR="00C56FCC" w:rsidRDefault="00C56FCC" w:rsidP="00AA54D8">
            <w:pPr>
              <w:pStyle w:val="TableBullet"/>
            </w:pPr>
            <w:r>
              <w:t>Fines are either civil or criminal depending on the nature of the offence.</w:t>
            </w:r>
          </w:p>
          <w:p w:rsidR="00C56FCC" w:rsidRDefault="00C56FCC" w:rsidP="00AA54D8">
            <w:pPr>
              <w:pStyle w:val="TableBullet"/>
            </w:pPr>
            <w:r>
              <w:t>Sale of tobacco products to a minor is punishable by an infringement notice issued by the Ministry of Health (</w:t>
            </w:r>
            <w:r w:rsidR="00AA54D8">
              <w:t>e</w:t>
            </w:r>
            <w:r>
              <w:t>ffectively this is an instant fine of up to $500 for an individual or $1,000 for a body corporate).</w:t>
            </w:r>
          </w:p>
          <w:p w:rsidR="00C56FCC" w:rsidRDefault="00C56FCC" w:rsidP="00AA54D8">
            <w:pPr>
              <w:pStyle w:val="TableBullet"/>
            </w:pPr>
            <w:r>
              <w:t>Subsequent breaches are criminal offences and attract fines of up to $5,000 for individuals or $10,000 for a body corporate.</w:t>
            </w:r>
          </w:p>
          <w:p w:rsidR="00C56FCC" w:rsidRDefault="00C56FCC" w:rsidP="00AA54D8">
            <w:pPr>
              <w:pStyle w:val="TableBullet"/>
            </w:pPr>
            <w:r>
              <w:t>Breaches of the advertising provisions attract criminal fines of up to $50,000.</w:t>
            </w:r>
          </w:p>
          <w:p w:rsidR="00C56FCC" w:rsidRDefault="00C56FCC" w:rsidP="00AA54D8">
            <w:pPr>
              <w:pStyle w:val="TableBullet"/>
            </w:pPr>
            <w:r>
              <w:t>Plain packaging legislation will introduce still harsher penalties, with fines of up to $250,000 being suggested.</w:t>
            </w:r>
          </w:p>
        </w:tc>
      </w:tr>
      <w:tr w:rsidR="00C56FCC" w:rsidTr="005D28E2">
        <w:trPr>
          <w:cantSplit/>
        </w:trPr>
        <w:tc>
          <w:tcPr>
            <w:tcW w:w="1418" w:type="dxa"/>
            <w:tcBorders>
              <w:top w:val="single" w:sz="4" w:space="0" w:color="A6A6A6" w:themeColor="background1" w:themeShade="A6"/>
              <w:bottom w:val="single" w:sz="4" w:space="0" w:color="A6A6A6" w:themeColor="background1" w:themeShade="A6"/>
            </w:tcBorders>
            <w:shd w:val="clear" w:color="auto" w:fill="auto"/>
            <w:hideMark/>
          </w:tcPr>
          <w:p w:rsidR="00C56FCC" w:rsidRDefault="00C56FCC" w:rsidP="00B02C49">
            <w:pPr>
              <w:pStyle w:val="TableText"/>
              <w:rPr>
                <w:b/>
              </w:rPr>
            </w:pPr>
            <w:r>
              <w:rPr>
                <w:b/>
              </w:rPr>
              <w:t xml:space="preserve">New </w:t>
            </w:r>
            <w:r w:rsidR="00B02C49">
              <w:rPr>
                <w:b/>
              </w:rPr>
              <w:t>p</w:t>
            </w:r>
            <w:r>
              <w:rPr>
                <w:b/>
              </w:rPr>
              <w:t xml:space="preserve">sychoactive </w:t>
            </w:r>
            <w:r w:rsidR="00B02C49">
              <w:rPr>
                <w:b/>
              </w:rPr>
              <w:t>s</w:t>
            </w:r>
            <w:r>
              <w:rPr>
                <w:b/>
              </w:rPr>
              <w:t>ubstances (NPS)</w:t>
            </w:r>
          </w:p>
        </w:tc>
        <w:tc>
          <w:tcPr>
            <w:tcW w:w="4394" w:type="dxa"/>
            <w:tcBorders>
              <w:top w:val="single" w:sz="4" w:space="0" w:color="A6A6A6" w:themeColor="background1" w:themeShade="A6"/>
              <w:bottom w:val="single" w:sz="4" w:space="0" w:color="A6A6A6" w:themeColor="background1" w:themeShade="A6"/>
            </w:tcBorders>
            <w:shd w:val="clear" w:color="auto" w:fill="auto"/>
            <w:hideMark/>
          </w:tcPr>
          <w:p w:rsidR="00C56FCC" w:rsidRDefault="00C56FCC" w:rsidP="0083277B">
            <w:pPr>
              <w:pStyle w:val="TableBullet"/>
              <w:ind w:right="142"/>
            </w:pPr>
            <w:r>
              <w:t>Sale to minors is absolutely prohibited, whether in public or in private.</w:t>
            </w:r>
          </w:p>
          <w:p w:rsidR="00C56FCC" w:rsidRPr="00595D2D" w:rsidRDefault="00C56FCC" w:rsidP="0083277B">
            <w:pPr>
              <w:pStyle w:val="TableBullet"/>
              <w:ind w:right="142"/>
            </w:pPr>
            <w:r w:rsidRPr="00595D2D">
              <w:t>Only approved NPS may be sold and only by a retailer who holds a licence.</w:t>
            </w:r>
          </w:p>
          <w:p w:rsidR="00C56FCC" w:rsidRDefault="00C56FCC" w:rsidP="0083277B">
            <w:pPr>
              <w:pStyle w:val="TableBullet"/>
              <w:ind w:right="142"/>
            </w:pPr>
            <w:r>
              <w:t>Minors may not be employed to sell NPS.</w:t>
            </w:r>
          </w:p>
          <w:p w:rsidR="00C56FCC" w:rsidRDefault="00C56FCC" w:rsidP="0083277B">
            <w:pPr>
              <w:pStyle w:val="TableBullet"/>
              <w:ind w:right="142"/>
            </w:pPr>
            <w:r>
              <w:t>NPS may not be sold from dairies, convenience stores, supermarkets, service stations or mobile locations.</w:t>
            </w:r>
          </w:p>
          <w:p w:rsidR="00C56FCC" w:rsidRDefault="00C56FCC" w:rsidP="0083277B">
            <w:pPr>
              <w:pStyle w:val="TableBullet"/>
              <w:ind w:right="142"/>
            </w:pPr>
            <w:r>
              <w:t>Territorial authorities may develop local approved products policies defining geographical areas from which NPS may be sold.</w:t>
            </w:r>
          </w:p>
        </w:tc>
        <w:tc>
          <w:tcPr>
            <w:tcW w:w="4394" w:type="dxa"/>
            <w:tcBorders>
              <w:top w:val="single" w:sz="4" w:space="0" w:color="A6A6A6" w:themeColor="background1" w:themeShade="A6"/>
              <w:bottom w:val="single" w:sz="4" w:space="0" w:color="A6A6A6" w:themeColor="background1" w:themeShade="A6"/>
            </w:tcBorders>
            <w:shd w:val="clear" w:color="auto" w:fill="auto"/>
          </w:tcPr>
          <w:p w:rsidR="00C56FCC" w:rsidRDefault="00C56FCC" w:rsidP="0083277B">
            <w:pPr>
              <w:pStyle w:val="TableBullet"/>
              <w:ind w:right="142"/>
            </w:pPr>
            <w:r>
              <w:t>Public advertising of NPS is prohibited.</w:t>
            </w:r>
          </w:p>
          <w:p w:rsidR="00C56FCC" w:rsidRDefault="00C56FCC" w:rsidP="0083277B">
            <w:pPr>
              <w:pStyle w:val="TableBullet"/>
              <w:ind w:right="142"/>
            </w:pPr>
            <w:r>
              <w:t>NPS may only be advertised within the retail premises from which they are sold, and advertising may not be visible or audible outside the premises.</w:t>
            </w:r>
          </w:p>
          <w:p w:rsidR="00C56FCC" w:rsidRDefault="00C56FCC" w:rsidP="0083277B">
            <w:pPr>
              <w:pStyle w:val="TableBullet"/>
              <w:ind w:right="142"/>
            </w:pPr>
            <w:r>
              <w:t>The content of NPS advertising is strictly controlled, and is limited to the provision of objective information about the product, such as active ingredients and the appropriate quantity of any active ingredient.</w:t>
            </w:r>
          </w:p>
          <w:p w:rsidR="00C56FCC" w:rsidRPr="00C40ABB" w:rsidRDefault="00C56FCC" w:rsidP="0083277B">
            <w:pPr>
              <w:pStyle w:val="TableBullet"/>
              <w:ind w:right="142"/>
            </w:pPr>
            <w:r>
              <w:t>Advertising may not contain any suggestion that a product is safe, and must not appeal to minors.</w:t>
            </w:r>
          </w:p>
        </w:tc>
        <w:tc>
          <w:tcPr>
            <w:tcW w:w="4395" w:type="dxa"/>
            <w:tcBorders>
              <w:top w:val="single" w:sz="4" w:space="0" w:color="A6A6A6" w:themeColor="background1" w:themeShade="A6"/>
              <w:bottom w:val="single" w:sz="4" w:space="0" w:color="A6A6A6" w:themeColor="background1" w:themeShade="A6"/>
            </w:tcBorders>
            <w:shd w:val="clear" w:color="auto" w:fill="auto"/>
          </w:tcPr>
          <w:p w:rsidR="00C56FCC" w:rsidRPr="00595D2D" w:rsidRDefault="00C56FCC" w:rsidP="00AA54D8">
            <w:pPr>
              <w:pStyle w:val="TableBullet"/>
            </w:pPr>
            <w:r>
              <w:t>Minors who buy NPS are liable to fines of up to $500. Sale of NPS to minors is punishable by a fine of up to $5,000 for an individual, or $10,000 for a body corporate</w:t>
            </w:r>
            <w:r w:rsidR="00AA54D8">
              <w:t>.</w:t>
            </w:r>
          </w:p>
          <w:p w:rsidR="00C56FCC" w:rsidRDefault="00C56FCC" w:rsidP="00AA54D8">
            <w:pPr>
              <w:pStyle w:val="TableBullet"/>
            </w:pPr>
            <w:r w:rsidRPr="00595D2D">
              <w:t>Supply of NPS to a minor in a public place is punishable by a fine of up to $2,000, as is employment of a minor to sell NPS.</w:t>
            </w:r>
          </w:p>
        </w:tc>
      </w:tr>
      <w:tr w:rsidR="00C56FCC" w:rsidTr="005D28E2">
        <w:trPr>
          <w:cantSplit/>
        </w:trPr>
        <w:tc>
          <w:tcPr>
            <w:tcW w:w="1418" w:type="dxa"/>
            <w:tcBorders>
              <w:top w:val="single" w:sz="4" w:space="0" w:color="A6A6A6" w:themeColor="background1" w:themeShade="A6"/>
            </w:tcBorders>
            <w:shd w:val="clear" w:color="auto" w:fill="auto"/>
            <w:hideMark/>
          </w:tcPr>
          <w:p w:rsidR="00C56FCC" w:rsidRDefault="00C56FCC" w:rsidP="000718AA">
            <w:pPr>
              <w:pStyle w:val="TableText"/>
              <w:rPr>
                <w:b/>
              </w:rPr>
            </w:pPr>
            <w:r>
              <w:rPr>
                <w:b/>
              </w:rPr>
              <w:lastRenderedPageBreak/>
              <w:t>Alcohol</w:t>
            </w:r>
          </w:p>
        </w:tc>
        <w:tc>
          <w:tcPr>
            <w:tcW w:w="4394" w:type="dxa"/>
            <w:tcBorders>
              <w:top w:val="single" w:sz="4" w:space="0" w:color="A6A6A6" w:themeColor="background1" w:themeShade="A6"/>
            </w:tcBorders>
            <w:shd w:val="clear" w:color="auto" w:fill="auto"/>
            <w:hideMark/>
          </w:tcPr>
          <w:p w:rsidR="00C56FCC" w:rsidRDefault="00C56FCC" w:rsidP="0083277B">
            <w:pPr>
              <w:pStyle w:val="TableBullet"/>
              <w:ind w:right="142"/>
            </w:pPr>
            <w:r>
              <w:t>Purchase age of 18</w:t>
            </w:r>
            <w:r w:rsidR="00AA54D8">
              <w:t>.</w:t>
            </w:r>
          </w:p>
          <w:p w:rsidR="00C56FCC" w:rsidRDefault="00C56FCC" w:rsidP="0083277B">
            <w:pPr>
              <w:pStyle w:val="TableBullet"/>
              <w:ind w:right="142"/>
            </w:pPr>
            <w:r>
              <w:t>A licence is required to sell alcohol.</w:t>
            </w:r>
          </w:p>
          <w:p w:rsidR="00C56FCC" w:rsidRDefault="00C56FCC" w:rsidP="0083277B">
            <w:pPr>
              <w:pStyle w:val="TableBullet"/>
              <w:ind w:right="142"/>
            </w:pPr>
            <w:r>
              <w:t>Hours of sale are restricted.</w:t>
            </w:r>
          </w:p>
          <w:p w:rsidR="00C56FCC" w:rsidRDefault="00C56FCC" w:rsidP="0083277B">
            <w:pPr>
              <w:pStyle w:val="TableBullet"/>
              <w:ind w:right="142"/>
            </w:pPr>
            <w:r>
              <w:t>Sale or supply of alcohol to intoxicated people is prohibited.</w:t>
            </w:r>
          </w:p>
          <w:p w:rsidR="00C56FCC" w:rsidRDefault="00C56FCC" w:rsidP="0083277B">
            <w:pPr>
              <w:pStyle w:val="TableBullet"/>
              <w:ind w:right="142"/>
            </w:pPr>
            <w:r>
              <w:t>Territorial authorities may draw up local alcohol policies defining the geographical areas in which alcohol may be sold or restricting the sale of alcohol from locations close to certain premises, such as schools.</w:t>
            </w:r>
          </w:p>
        </w:tc>
        <w:tc>
          <w:tcPr>
            <w:tcW w:w="4394" w:type="dxa"/>
            <w:tcBorders>
              <w:top w:val="single" w:sz="4" w:space="0" w:color="A6A6A6" w:themeColor="background1" w:themeShade="A6"/>
            </w:tcBorders>
            <w:shd w:val="clear" w:color="auto" w:fill="auto"/>
            <w:hideMark/>
          </w:tcPr>
          <w:p w:rsidR="00C56FCC" w:rsidRDefault="00C56FCC" w:rsidP="0083277B">
            <w:pPr>
              <w:pStyle w:val="TableBullet"/>
              <w:ind w:right="142"/>
            </w:pPr>
            <w:r>
              <w:t>Advertising that promotes excessive drinking, is aimed at minors, or promotes discounts over 25</w:t>
            </w:r>
            <w:r w:rsidR="00AA54D8">
              <w:t> </w:t>
            </w:r>
            <w:r>
              <w:t>percent is prohibited.</w:t>
            </w:r>
          </w:p>
          <w:p w:rsidR="00C56FCC" w:rsidRDefault="00C56FCC" w:rsidP="0083277B">
            <w:pPr>
              <w:pStyle w:val="TableBullet"/>
              <w:ind w:right="142"/>
            </w:pPr>
            <w:r>
              <w:t>Discounts may be advertised within licensed premises as long as they are not visible or audible from outside the premises.</w:t>
            </w:r>
          </w:p>
        </w:tc>
        <w:tc>
          <w:tcPr>
            <w:tcW w:w="4395" w:type="dxa"/>
            <w:tcBorders>
              <w:top w:val="single" w:sz="4" w:space="0" w:color="A6A6A6" w:themeColor="background1" w:themeShade="A6"/>
            </w:tcBorders>
            <w:shd w:val="clear" w:color="auto" w:fill="auto"/>
          </w:tcPr>
          <w:p w:rsidR="00C56FCC" w:rsidRDefault="00C56FCC" w:rsidP="00AA54D8">
            <w:pPr>
              <w:pStyle w:val="TableBullet"/>
            </w:pPr>
            <w:r>
              <w:t>Licensees or managers who sell alcohol to minors, or who permit its sale to minors, are liable to a fine of up to $10,000. Licences may also be suspended for up to seven days.</w:t>
            </w:r>
          </w:p>
          <w:p w:rsidR="00C56FCC" w:rsidRDefault="00C56FCC" w:rsidP="00AA54D8">
            <w:pPr>
              <w:pStyle w:val="TableBullet"/>
            </w:pPr>
            <w:r>
              <w:t>Other people who sell alcohol to minors may be fined up to $2,000.</w:t>
            </w:r>
          </w:p>
          <w:p w:rsidR="00C56FCC" w:rsidRDefault="00C56FCC" w:rsidP="00AA54D8">
            <w:pPr>
              <w:pStyle w:val="TableBullet"/>
            </w:pPr>
            <w:r>
              <w:t>Social supply of alcohol to minors attracts a fine of up to $2,000.</w:t>
            </w:r>
          </w:p>
          <w:p w:rsidR="00C56FCC" w:rsidRPr="00220481" w:rsidRDefault="00C56FCC" w:rsidP="00AA54D8">
            <w:pPr>
              <w:pStyle w:val="TableBullet"/>
            </w:pPr>
            <w:r>
              <w:t>Breaches of the advertising provisions attract fines of up to $10,000 and/or suspension of a licence for up to seven days.</w:t>
            </w:r>
          </w:p>
        </w:tc>
      </w:tr>
    </w:tbl>
    <w:p w:rsidR="000718AA" w:rsidRDefault="000718AA" w:rsidP="000718AA"/>
    <w:p w:rsidR="00C56FCC" w:rsidRPr="00C54764" w:rsidRDefault="00C56FCC" w:rsidP="000718AA">
      <w:pPr>
        <w:pStyle w:val="Heading2"/>
      </w:pPr>
      <w:bookmarkStart w:id="79" w:name="_Toc454700977"/>
      <w:r w:rsidRPr="00C54764">
        <w:t>Drug utensil</w:t>
      </w:r>
      <w:r w:rsidR="004B69C0">
        <w:t>s</w:t>
      </w:r>
      <w:r w:rsidRPr="00C54764">
        <w:t xml:space="preserve"> approaches in Australia and the United Kingdom</w:t>
      </w:r>
      <w:bookmarkEnd w:id="79"/>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418"/>
        <w:gridCol w:w="4394"/>
        <w:gridCol w:w="4394"/>
        <w:gridCol w:w="4395"/>
      </w:tblGrid>
      <w:tr w:rsidR="00C56FCC" w:rsidTr="009A76F8">
        <w:trPr>
          <w:cantSplit/>
          <w:tblHeader/>
        </w:trPr>
        <w:tc>
          <w:tcPr>
            <w:tcW w:w="1418" w:type="dxa"/>
            <w:tcBorders>
              <w:top w:val="single" w:sz="4" w:space="0" w:color="auto"/>
              <w:bottom w:val="single" w:sz="4" w:space="0" w:color="auto"/>
            </w:tcBorders>
          </w:tcPr>
          <w:p w:rsidR="00C56FCC" w:rsidRDefault="00C56FCC" w:rsidP="0083277B">
            <w:pPr>
              <w:pStyle w:val="TableText"/>
              <w:keepNext/>
            </w:pPr>
          </w:p>
        </w:tc>
        <w:tc>
          <w:tcPr>
            <w:tcW w:w="4394" w:type="dxa"/>
            <w:tcBorders>
              <w:top w:val="single" w:sz="4" w:space="0" w:color="auto"/>
              <w:bottom w:val="single" w:sz="4" w:space="0" w:color="auto"/>
            </w:tcBorders>
            <w:hideMark/>
          </w:tcPr>
          <w:p w:rsidR="00C56FCC" w:rsidRDefault="00C56FCC" w:rsidP="00B02C49">
            <w:pPr>
              <w:pStyle w:val="TableText"/>
              <w:keepNext/>
              <w:ind w:right="142"/>
              <w:rPr>
                <w:b/>
              </w:rPr>
            </w:pPr>
            <w:r>
              <w:rPr>
                <w:b/>
              </w:rPr>
              <w:t xml:space="preserve">Sale, </w:t>
            </w:r>
            <w:r w:rsidR="000718AA">
              <w:rPr>
                <w:b/>
              </w:rPr>
              <w:t>s</w:t>
            </w:r>
            <w:r>
              <w:rPr>
                <w:b/>
              </w:rPr>
              <w:t xml:space="preserve">upply and </w:t>
            </w:r>
            <w:r w:rsidR="000718AA">
              <w:rPr>
                <w:b/>
              </w:rPr>
              <w:t>p</w:t>
            </w:r>
            <w:r>
              <w:rPr>
                <w:b/>
              </w:rPr>
              <w:t>ossession</w:t>
            </w:r>
          </w:p>
        </w:tc>
        <w:tc>
          <w:tcPr>
            <w:tcW w:w="4394" w:type="dxa"/>
            <w:tcBorders>
              <w:top w:val="single" w:sz="4" w:space="0" w:color="auto"/>
              <w:bottom w:val="single" w:sz="4" w:space="0" w:color="auto"/>
            </w:tcBorders>
            <w:hideMark/>
          </w:tcPr>
          <w:p w:rsidR="00C56FCC" w:rsidRDefault="000718AA" w:rsidP="007D4A54">
            <w:pPr>
              <w:pStyle w:val="TableText"/>
              <w:keepNext/>
              <w:ind w:right="142"/>
              <w:rPr>
                <w:b/>
              </w:rPr>
            </w:pPr>
            <w:r>
              <w:rPr>
                <w:b/>
              </w:rPr>
              <w:t>Advertising</w:t>
            </w:r>
          </w:p>
        </w:tc>
        <w:tc>
          <w:tcPr>
            <w:tcW w:w="4395" w:type="dxa"/>
            <w:tcBorders>
              <w:top w:val="single" w:sz="4" w:space="0" w:color="auto"/>
              <w:bottom w:val="single" w:sz="4" w:space="0" w:color="auto"/>
            </w:tcBorders>
            <w:hideMark/>
          </w:tcPr>
          <w:p w:rsidR="00C56FCC" w:rsidRDefault="00C56FCC" w:rsidP="0083277B">
            <w:pPr>
              <w:pStyle w:val="TableText"/>
              <w:keepNext/>
              <w:rPr>
                <w:b/>
              </w:rPr>
            </w:pPr>
            <w:r>
              <w:rPr>
                <w:b/>
              </w:rPr>
              <w:t xml:space="preserve">Offences and </w:t>
            </w:r>
            <w:r w:rsidR="000718AA">
              <w:rPr>
                <w:b/>
              </w:rPr>
              <w:t>p</w:t>
            </w:r>
            <w:r>
              <w:rPr>
                <w:b/>
              </w:rPr>
              <w:t>enalties</w:t>
            </w:r>
          </w:p>
        </w:tc>
      </w:tr>
      <w:tr w:rsidR="00C56FCC" w:rsidTr="009A76F8">
        <w:trPr>
          <w:cantSplit/>
        </w:trPr>
        <w:tc>
          <w:tcPr>
            <w:tcW w:w="1418" w:type="dxa"/>
            <w:tcBorders>
              <w:top w:val="single" w:sz="4" w:space="0" w:color="auto"/>
              <w:bottom w:val="single" w:sz="4" w:space="0" w:color="A6A6A6" w:themeColor="background1" w:themeShade="A6"/>
            </w:tcBorders>
            <w:hideMark/>
          </w:tcPr>
          <w:p w:rsidR="00C56FCC" w:rsidRDefault="00C56FCC" w:rsidP="000718AA">
            <w:pPr>
              <w:pStyle w:val="TableText"/>
              <w:rPr>
                <w:b/>
              </w:rPr>
            </w:pPr>
            <w:r>
              <w:rPr>
                <w:b/>
              </w:rPr>
              <w:t>New South Wales</w:t>
            </w:r>
          </w:p>
        </w:tc>
        <w:tc>
          <w:tcPr>
            <w:tcW w:w="4394" w:type="dxa"/>
            <w:tcBorders>
              <w:top w:val="single" w:sz="4" w:space="0" w:color="auto"/>
              <w:bottom w:val="single" w:sz="4" w:space="0" w:color="A6A6A6" w:themeColor="background1" w:themeShade="A6"/>
            </w:tcBorders>
            <w:hideMark/>
          </w:tcPr>
          <w:p w:rsidR="00C56FCC" w:rsidRDefault="00C56FCC" w:rsidP="007D4A54">
            <w:pPr>
              <w:pStyle w:val="TableBullet"/>
              <w:ind w:right="142"/>
            </w:pPr>
            <w:r>
              <w:t>New South Wales</w:t>
            </w:r>
            <w:r w:rsidR="00F91482">
              <w:t>’</w:t>
            </w:r>
            <w:r>
              <w:t xml:space="preserve"> Drug Misuse and Trafficking Act 1985 contains provisions prohibiting the sale of drug utensils or their supply in connection with sale.</w:t>
            </w:r>
          </w:p>
          <w:p w:rsidR="00F91482" w:rsidRDefault="00C56FCC" w:rsidP="007D4A54">
            <w:pPr>
              <w:pStyle w:val="TableBullet"/>
              <w:ind w:right="142"/>
            </w:pPr>
            <w:r>
              <w:t xml:space="preserve">The Act also prohibits </w:t>
            </w:r>
            <w:r w:rsidR="007764B0">
              <w:t>‘</w:t>
            </w:r>
            <w:r>
              <w:t>the possession of any item of equipment for use in the administration of a prohibited drug</w:t>
            </w:r>
            <w:r w:rsidR="007764B0">
              <w:t>’</w:t>
            </w:r>
            <w:r w:rsidR="00AA54D8">
              <w:t>.</w:t>
            </w:r>
          </w:p>
          <w:p w:rsidR="00C56FCC" w:rsidRDefault="00C56FCC" w:rsidP="007D4A54">
            <w:pPr>
              <w:pStyle w:val="TableBullet"/>
              <w:ind w:right="142"/>
            </w:pPr>
            <w:r>
              <w:t>The Act</w:t>
            </w:r>
            <w:r w:rsidR="00F91482">
              <w:t>’</w:t>
            </w:r>
            <w:r>
              <w:t>s prohibition on drug utensil</w:t>
            </w:r>
            <w:r w:rsidR="004B69C0">
              <w:t>s</w:t>
            </w:r>
            <w:r>
              <w:t xml:space="preserve"> possession is not absolute, with two major exceptions. The first is possession of syringes and needles for intravenous drug use. The second is a blanket exception for any equipment designed to make the intravenous consumption of prohibited drugs safer.</w:t>
            </w:r>
          </w:p>
        </w:tc>
        <w:tc>
          <w:tcPr>
            <w:tcW w:w="4394" w:type="dxa"/>
            <w:tcBorders>
              <w:top w:val="single" w:sz="4" w:space="0" w:color="auto"/>
              <w:bottom w:val="single" w:sz="4" w:space="0" w:color="A6A6A6" w:themeColor="background1" w:themeShade="A6"/>
            </w:tcBorders>
          </w:tcPr>
          <w:p w:rsidR="00C56FCC" w:rsidRDefault="00C56FCC" w:rsidP="007D4A54">
            <w:pPr>
              <w:pStyle w:val="TableBullet"/>
              <w:ind w:right="142"/>
            </w:pPr>
            <w:r>
              <w:t>The Act prohibits the display of drug utensils for commercial purposes</w:t>
            </w:r>
            <w:r w:rsidR="009A76F8">
              <w:t>.</w:t>
            </w:r>
          </w:p>
        </w:tc>
        <w:tc>
          <w:tcPr>
            <w:tcW w:w="4395" w:type="dxa"/>
            <w:tcBorders>
              <w:top w:val="single" w:sz="4" w:space="0" w:color="auto"/>
              <w:bottom w:val="single" w:sz="4" w:space="0" w:color="A6A6A6" w:themeColor="background1" w:themeShade="A6"/>
            </w:tcBorders>
            <w:hideMark/>
          </w:tcPr>
          <w:p w:rsidR="00C56FCC" w:rsidRDefault="00C56FCC" w:rsidP="00AA54D8">
            <w:pPr>
              <w:pStyle w:val="TableBullet"/>
            </w:pPr>
            <w:r>
              <w:t>Breaches of these provisions are punishable by fines of up to 20 penalty units or up to two years</w:t>
            </w:r>
            <w:r w:rsidR="00F91482">
              <w:t>’</w:t>
            </w:r>
            <w:r>
              <w:t xml:space="preserve"> imprisonment. A penalty unit in New South Wales is A$110.</w:t>
            </w:r>
          </w:p>
        </w:tc>
      </w:tr>
      <w:tr w:rsidR="00C56FCC" w:rsidTr="00AA54D8">
        <w:trPr>
          <w:cantSplit/>
        </w:trPr>
        <w:tc>
          <w:tcPr>
            <w:tcW w:w="1418" w:type="dxa"/>
            <w:tcBorders>
              <w:top w:val="single" w:sz="4" w:space="0" w:color="A6A6A6" w:themeColor="background1" w:themeShade="A6"/>
              <w:bottom w:val="single" w:sz="4" w:space="0" w:color="A6A6A6" w:themeColor="background1" w:themeShade="A6"/>
            </w:tcBorders>
            <w:hideMark/>
          </w:tcPr>
          <w:p w:rsidR="00C56FCC" w:rsidRDefault="00C56FCC" w:rsidP="000718AA">
            <w:pPr>
              <w:pStyle w:val="TableText"/>
              <w:rPr>
                <w:b/>
              </w:rPr>
            </w:pPr>
            <w:r>
              <w:rPr>
                <w:b/>
              </w:rPr>
              <w:lastRenderedPageBreak/>
              <w:t>Victoria</w:t>
            </w:r>
          </w:p>
        </w:tc>
        <w:tc>
          <w:tcPr>
            <w:tcW w:w="4394" w:type="dxa"/>
            <w:tcBorders>
              <w:top w:val="single" w:sz="4" w:space="0" w:color="A6A6A6" w:themeColor="background1" w:themeShade="A6"/>
              <w:bottom w:val="single" w:sz="4" w:space="0" w:color="A6A6A6" w:themeColor="background1" w:themeShade="A6"/>
            </w:tcBorders>
            <w:hideMark/>
          </w:tcPr>
          <w:p w:rsidR="00C56FCC" w:rsidRDefault="00C56FCC" w:rsidP="007D4A54">
            <w:pPr>
              <w:pStyle w:val="TableBullet"/>
              <w:ind w:right="142"/>
            </w:pPr>
            <w:r>
              <w:t>Victoria</w:t>
            </w:r>
            <w:r w:rsidR="00F91482">
              <w:t>’</w:t>
            </w:r>
            <w:r>
              <w:t>s Drugs, Poisons and Controlled Substances Act 1981 differs from most other Australian regulatory regimes by including only explicit prohibitions on certain kinds of drug utensils.</w:t>
            </w:r>
          </w:p>
          <w:p w:rsidR="00C56FCC" w:rsidRDefault="00C56FCC" w:rsidP="007D4A54">
            <w:pPr>
              <w:pStyle w:val="TableBullet"/>
              <w:ind w:right="142"/>
            </w:pPr>
            <w:r>
              <w:t xml:space="preserve">The Act names and bans the sale and display for sale of cocaine kits, </w:t>
            </w:r>
            <w:r w:rsidR="00166994">
              <w:t>meth</w:t>
            </w:r>
            <w:r>
              <w:t xml:space="preserve"> pipes, cannabis water pipes, bong components and bong kits.</w:t>
            </w:r>
          </w:p>
          <w:p w:rsidR="00C56FCC" w:rsidRDefault="00C56FCC" w:rsidP="007D4A54">
            <w:pPr>
              <w:pStyle w:val="TableBullet"/>
              <w:ind w:right="142"/>
            </w:pPr>
            <w:r>
              <w:t xml:space="preserve">There is a blanket prohibition on the supply of </w:t>
            </w:r>
            <w:r w:rsidR="00166994">
              <w:t>meth</w:t>
            </w:r>
            <w:r>
              <w:t xml:space="preserve"> pipes.</w:t>
            </w:r>
          </w:p>
          <w:p w:rsidR="00F91482" w:rsidRDefault="00C56FCC" w:rsidP="007D4A54">
            <w:pPr>
              <w:pStyle w:val="TableBullet"/>
              <w:ind w:right="142"/>
            </w:pPr>
            <w:r>
              <w:t>In the case of the other named utensils, the Act only bans their supply in connection with commercial activity (this prohibition is similar to other states</w:t>
            </w:r>
            <w:r w:rsidR="00F91482">
              <w:t>’</w:t>
            </w:r>
            <w:r>
              <w:t xml:space="preserve"> prohibition on supply in connection with sale).</w:t>
            </w:r>
          </w:p>
          <w:p w:rsidR="00C56FCC" w:rsidRDefault="00C56FCC" w:rsidP="007D4A54">
            <w:pPr>
              <w:pStyle w:val="TableBullet"/>
              <w:ind w:right="142"/>
            </w:pPr>
            <w:r>
              <w:t>There is no prohibition on the possession of drug utensils. The Act mandates the return of seized drug utensils if the reason for their seizure no longer exists.</w:t>
            </w:r>
          </w:p>
        </w:tc>
        <w:tc>
          <w:tcPr>
            <w:tcW w:w="4394" w:type="dxa"/>
            <w:tcBorders>
              <w:top w:val="single" w:sz="4" w:space="0" w:color="A6A6A6" w:themeColor="background1" w:themeShade="A6"/>
              <w:bottom w:val="single" w:sz="4" w:space="0" w:color="A6A6A6" w:themeColor="background1" w:themeShade="A6"/>
            </w:tcBorders>
          </w:tcPr>
          <w:p w:rsidR="00F91482" w:rsidRDefault="00C56FCC" w:rsidP="007D4A54">
            <w:pPr>
              <w:pStyle w:val="TableBullet"/>
              <w:ind w:right="142"/>
            </w:pPr>
            <w:r>
              <w:t>There are no explicit prohibitions on advertising. However, display is banned, and the ban on sale would in practice prevent advertising.</w:t>
            </w:r>
          </w:p>
          <w:p w:rsidR="00C56FCC" w:rsidRDefault="00C56FCC" w:rsidP="007D4A54">
            <w:pPr>
              <w:pStyle w:val="TableBullet"/>
              <w:ind w:right="142"/>
            </w:pPr>
            <w:r>
              <w:t>While hookah pipes can be sold, no more than three can be displayed in a retail outlet at any one time.</w:t>
            </w:r>
          </w:p>
        </w:tc>
        <w:tc>
          <w:tcPr>
            <w:tcW w:w="4395" w:type="dxa"/>
            <w:tcBorders>
              <w:top w:val="single" w:sz="4" w:space="0" w:color="A6A6A6" w:themeColor="background1" w:themeShade="A6"/>
              <w:bottom w:val="single" w:sz="4" w:space="0" w:color="A6A6A6" w:themeColor="background1" w:themeShade="A6"/>
            </w:tcBorders>
            <w:hideMark/>
          </w:tcPr>
          <w:p w:rsidR="00F91482" w:rsidRDefault="00C56FCC" w:rsidP="0083277B">
            <w:pPr>
              <w:pStyle w:val="TableBullet"/>
            </w:pPr>
            <w:r>
              <w:t>Offences against the drug utensil</w:t>
            </w:r>
            <w:r w:rsidR="004B69C0">
              <w:t>s</w:t>
            </w:r>
            <w:r>
              <w:t xml:space="preserve"> provisions are punishable by fines. There is no provision for prison sentences.</w:t>
            </w:r>
          </w:p>
          <w:p w:rsidR="00C56FCC" w:rsidRDefault="00C56FCC" w:rsidP="0083277B">
            <w:pPr>
              <w:pStyle w:val="TableBullet"/>
            </w:pPr>
            <w:r>
              <w:t>Most fines for sale and display are 60 penalty units for a natural person or 300 penalty units for a body corporate. A penalty unit in Victoria is A$151.67.</w:t>
            </w:r>
          </w:p>
          <w:p w:rsidR="00C56FCC" w:rsidRDefault="00C56FCC" w:rsidP="0083277B">
            <w:pPr>
              <w:pStyle w:val="TableBullet"/>
            </w:pPr>
            <w:r>
              <w:t xml:space="preserve">Penalties for breaches of the </w:t>
            </w:r>
            <w:r w:rsidR="00166994">
              <w:t>meth</w:t>
            </w:r>
            <w:r>
              <w:t xml:space="preserve"> pipe provisions are higher, with fines of 240 penalty units for a natural person or 600 penalty units for a body corporate.</w:t>
            </w:r>
          </w:p>
          <w:p w:rsidR="00C56FCC" w:rsidRDefault="00C56FCC" w:rsidP="0083277B">
            <w:pPr>
              <w:pStyle w:val="TableBullet"/>
            </w:pPr>
            <w:r>
              <w:t>Penalties for displaying more than three hookah pipes in a retail outlet are 10 penalty units for a natural person or 50 penalty units for a body corporate.</w:t>
            </w:r>
          </w:p>
        </w:tc>
      </w:tr>
      <w:tr w:rsidR="00C56FCC" w:rsidTr="00AA54D8">
        <w:trPr>
          <w:cantSplit/>
        </w:trPr>
        <w:tc>
          <w:tcPr>
            <w:tcW w:w="1418" w:type="dxa"/>
            <w:tcBorders>
              <w:top w:val="single" w:sz="4" w:space="0" w:color="A6A6A6" w:themeColor="background1" w:themeShade="A6"/>
              <w:bottom w:val="single" w:sz="4" w:space="0" w:color="A6A6A6" w:themeColor="background1" w:themeShade="A6"/>
            </w:tcBorders>
            <w:hideMark/>
          </w:tcPr>
          <w:p w:rsidR="00C56FCC" w:rsidRDefault="00C56FCC" w:rsidP="000718AA">
            <w:pPr>
              <w:pStyle w:val="TableText"/>
              <w:rPr>
                <w:b/>
              </w:rPr>
            </w:pPr>
            <w:r>
              <w:rPr>
                <w:b/>
              </w:rPr>
              <w:t>Queensland</w:t>
            </w:r>
          </w:p>
        </w:tc>
        <w:tc>
          <w:tcPr>
            <w:tcW w:w="4394" w:type="dxa"/>
            <w:tcBorders>
              <w:top w:val="single" w:sz="4" w:space="0" w:color="A6A6A6" w:themeColor="background1" w:themeShade="A6"/>
              <w:bottom w:val="single" w:sz="4" w:space="0" w:color="A6A6A6" w:themeColor="background1" w:themeShade="A6"/>
            </w:tcBorders>
          </w:tcPr>
          <w:p w:rsidR="00C56FCC" w:rsidRDefault="00C56FCC" w:rsidP="007D4A54">
            <w:pPr>
              <w:pStyle w:val="TableBullet"/>
              <w:ind w:right="142"/>
            </w:pPr>
            <w:r>
              <w:t>Queensland</w:t>
            </w:r>
            <w:r w:rsidR="00F91482">
              <w:t>’</w:t>
            </w:r>
            <w:r>
              <w:t xml:space="preserve">s Drugs Misuse Act 1986 prohibits the possession of any item </w:t>
            </w:r>
            <w:r w:rsidR="007764B0">
              <w:t>‘</w:t>
            </w:r>
            <w:r>
              <w:t>for use in connection with the administration, consumption or smoking of a dangerous drug</w:t>
            </w:r>
            <w:r w:rsidR="007764B0">
              <w:t>’</w:t>
            </w:r>
            <w:r>
              <w:t>, with the exception of hypodermic needles and syringes.</w:t>
            </w:r>
          </w:p>
          <w:p w:rsidR="00C56FCC" w:rsidRDefault="00C56FCC" w:rsidP="007D4A54">
            <w:pPr>
              <w:pStyle w:val="TableBullet"/>
              <w:ind w:right="142"/>
            </w:pPr>
            <w:r>
              <w:t>Possession of any item which has been used in the past for the consumption of illegal drugs is also illegal.</w:t>
            </w:r>
          </w:p>
          <w:p w:rsidR="00C56FCC" w:rsidRDefault="00C56FCC" w:rsidP="007D4A54">
            <w:pPr>
              <w:pStyle w:val="TableBullet"/>
              <w:ind w:right="142"/>
            </w:pPr>
            <w:r>
              <w:t>Of note is the broad definition of drug utensils: anything, without limitation (except for the needles and syringes exception), which can be used for consuming drugs is prohibited.</w:t>
            </w:r>
          </w:p>
          <w:p w:rsidR="00C56FCC" w:rsidRDefault="00C56FCC" w:rsidP="007D4A54">
            <w:pPr>
              <w:pStyle w:val="TableBullet"/>
              <w:ind w:right="142"/>
            </w:pPr>
            <w:r>
              <w:t>Supply is not explicitly prohibited, except for supply of needles or syringes by someone who is not a medical practitioner or pharmacist.</w:t>
            </w:r>
          </w:p>
          <w:p w:rsidR="00C56FCC" w:rsidRPr="00C40ABB" w:rsidRDefault="00C56FCC" w:rsidP="007D4A54">
            <w:pPr>
              <w:pStyle w:val="TableBullet"/>
              <w:ind w:right="142"/>
            </w:pPr>
            <w:r>
              <w:t>Sale is not prohibited, but the blanket prohibition on possession would, in practice, make possessing utensils for the purpose of selling them illegal.</w:t>
            </w:r>
          </w:p>
        </w:tc>
        <w:tc>
          <w:tcPr>
            <w:tcW w:w="4394" w:type="dxa"/>
            <w:tcBorders>
              <w:top w:val="single" w:sz="4" w:space="0" w:color="A6A6A6" w:themeColor="background1" w:themeShade="A6"/>
              <w:bottom w:val="single" w:sz="4" w:space="0" w:color="A6A6A6" w:themeColor="background1" w:themeShade="A6"/>
            </w:tcBorders>
          </w:tcPr>
          <w:p w:rsidR="00C56FCC" w:rsidRDefault="00C56FCC" w:rsidP="007D4A54">
            <w:pPr>
              <w:pStyle w:val="TableBullet"/>
              <w:ind w:right="142"/>
            </w:pPr>
            <w:r>
              <w:t>There are no explicit prohibitions on advertising drug utensils for sale.</w:t>
            </w:r>
          </w:p>
        </w:tc>
        <w:tc>
          <w:tcPr>
            <w:tcW w:w="4395" w:type="dxa"/>
            <w:tcBorders>
              <w:top w:val="single" w:sz="4" w:space="0" w:color="A6A6A6" w:themeColor="background1" w:themeShade="A6"/>
              <w:bottom w:val="single" w:sz="4" w:space="0" w:color="A6A6A6" w:themeColor="background1" w:themeShade="A6"/>
            </w:tcBorders>
            <w:hideMark/>
          </w:tcPr>
          <w:p w:rsidR="00C56FCC" w:rsidRDefault="00C56FCC" w:rsidP="0083277B">
            <w:pPr>
              <w:pStyle w:val="TableBullet"/>
            </w:pPr>
            <w:r>
              <w:t>The maximum penalty for possessing a drug utensil is two years</w:t>
            </w:r>
            <w:r w:rsidR="00F91482">
              <w:t>’</w:t>
            </w:r>
            <w:r>
              <w:t xml:space="preserve"> imprisonment.</w:t>
            </w:r>
          </w:p>
        </w:tc>
      </w:tr>
      <w:tr w:rsidR="00C56FCC" w:rsidTr="00AA54D8">
        <w:trPr>
          <w:cantSplit/>
        </w:trPr>
        <w:tc>
          <w:tcPr>
            <w:tcW w:w="1418" w:type="dxa"/>
            <w:tcBorders>
              <w:top w:val="single" w:sz="4" w:space="0" w:color="A6A6A6" w:themeColor="background1" w:themeShade="A6"/>
              <w:bottom w:val="single" w:sz="4" w:space="0" w:color="A6A6A6" w:themeColor="background1" w:themeShade="A6"/>
            </w:tcBorders>
            <w:hideMark/>
          </w:tcPr>
          <w:p w:rsidR="00C56FCC" w:rsidRDefault="00C56FCC" w:rsidP="000718AA">
            <w:pPr>
              <w:pStyle w:val="TableText"/>
              <w:rPr>
                <w:b/>
              </w:rPr>
            </w:pPr>
            <w:r>
              <w:rPr>
                <w:b/>
              </w:rPr>
              <w:lastRenderedPageBreak/>
              <w:t>South Australia</w:t>
            </w:r>
          </w:p>
        </w:tc>
        <w:tc>
          <w:tcPr>
            <w:tcW w:w="4394" w:type="dxa"/>
            <w:tcBorders>
              <w:top w:val="single" w:sz="4" w:space="0" w:color="A6A6A6" w:themeColor="background1" w:themeShade="A6"/>
              <w:bottom w:val="single" w:sz="4" w:space="0" w:color="A6A6A6" w:themeColor="background1" w:themeShade="A6"/>
            </w:tcBorders>
            <w:hideMark/>
          </w:tcPr>
          <w:p w:rsidR="00C56FCC" w:rsidRDefault="00C56FCC" w:rsidP="007D4A54">
            <w:pPr>
              <w:pStyle w:val="TableBullet"/>
              <w:ind w:right="142"/>
            </w:pPr>
            <w:r>
              <w:t>South Australia</w:t>
            </w:r>
            <w:r w:rsidR="00F91482">
              <w:t>’</w:t>
            </w:r>
            <w:r>
              <w:t>s Summary Offences Act 1953 and its amendments prohibit the sale of drug utensils absolutely.</w:t>
            </w:r>
          </w:p>
          <w:p w:rsidR="00C56FCC" w:rsidRDefault="00C56FCC" w:rsidP="007D4A54">
            <w:pPr>
              <w:pStyle w:val="TableBullet"/>
              <w:ind w:right="142"/>
            </w:pPr>
            <w:r>
              <w:t>Supply is prohibited if it is in connection with sale (the Act leaves the nature of this connection open).</w:t>
            </w:r>
          </w:p>
          <w:p w:rsidR="00C56FCC" w:rsidRDefault="00C56FCC" w:rsidP="007D4A54">
            <w:pPr>
              <w:pStyle w:val="TableBullet"/>
              <w:ind w:right="142"/>
            </w:pPr>
            <w:r>
              <w:t>The definition of drug utensils is very broad, and includes a provision allowing police to define items as intended for drug use as they find them.</w:t>
            </w:r>
          </w:p>
          <w:p w:rsidR="00C56FCC" w:rsidRDefault="00C56FCC" w:rsidP="007D4A54">
            <w:pPr>
              <w:pStyle w:val="TableBullet"/>
              <w:ind w:right="142"/>
            </w:pPr>
            <w:r>
              <w:t>The Act does not explicitly prohibit drug utensil possession.</w:t>
            </w:r>
          </w:p>
        </w:tc>
        <w:tc>
          <w:tcPr>
            <w:tcW w:w="4394" w:type="dxa"/>
            <w:tcBorders>
              <w:top w:val="single" w:sz="4" w:space="0" w:color="A6A6A6" w:themeColor="background1" w:themeShade="A6"/>
              <w:bottom w:val="single" w:sz="4" w:space="0" w:color="A6A6A6" w:themeColor="background1" w:themeShade="A6"/>
            </w:tcBorders>
            <w:hideMark/>
          </w:tcPr>
          <w:p w:rsidR="00C56FCC" w:rsidRDefault="00C56FCC" w:rsidP="007D4A54">
            <w:pPr>
              <w:pStyle w:val="TableBullet"/>
              <w:ind w:right="142"/>
            </w:pPr>
            <w:r>
              <w:t>There are no specific provisions about advertising drug utensils.</w:t>
            </w:r>
          </w:p>
          <w:p w:rsidR="00C56FCC" w:rsidRDefault="00C56FCC" w:rsidP="007764B0">
            <w:pPr>
              <w:pStyle w:val="TableBullet"/>
              <w:ind w:right="142"/>
            </w:pPr>
            <w:r>
              <w:t>However, since the Act</w:t>
            </w:r>
            <w:r w:rsidR="00F91482">
              <w:t>’</w:t>
            </w:r>
            <w:r>
              <w:t xml:space="preserve">s definition of </w:t>
            </w:r>
            <w:r w:rsidR="00F91482">
              <w:t>‘</w:t>
            </w:r>
            <w:r>
              <w:t>sell</w:t>
            </w:r>
            <w:r w:rsidR="00F91482">
              <w:t>’</w:t>
            </w:r>
            <w:r>
              <w:t xml:space="preserve"> includes to </w:t>
            </w:r>
            <w:r w:rsidR="007764B0">
              <w:t>‘</w:t>
            </w:r>
            <w:r>
              <w:t>offer or agree to sell, barter or exchange</w:t>
            </w:r>
            <w:r w:rsidR="007764B0">
              <w:t>’</w:t>
            </w:r>
            <w:r>
              <w:t xml:space="preserve"> drug utensils and to </w:t>
            </w:r>
            <w:r w:rsidR="007764B0">
              <w:t>‘</w:t>
            </w:r>
            <w:r>
              <w:t>expose [drug utensils] for sale, barter or exchange</w:t>
            </w:r>
            <w:r w:rsidR="007764B0">
              <w:t>’</w:t>
            </w:r>
            <w:r>
              <w:t>, advertising them is implicitly banned.</w:t>
            </w:r>
          </w:p>
        </w:tc>
        <w:tc>
          <w:tcPr>
            <w:tcW w:w="4395" w:type="dxa"/>
            <w:tcBorders>
              <w:top w:val="single" w:sz="4" w:space="0" w:color="A6A6A6" w:themeColor="background1" w:themeShade="A6"/>
              <w:bottom w:val="single" w:sz="4" w:space="0" w:color="A6A6A6" w:themeColor="background1" w:themeShade="A6"/>
            </w:tcBorders>
            <w:hideMark/>
          </w:tcPr>
          <w:p w:rsidR="00F91482" w:rsidRDefault="00C56FCC" w:rsidP="0083277B">
            <w:pPr>
              <w:pStyle w:val="TableBullet"/>
            </w:pPr>
            <w:r>
              <w:t>Selling drug utensils, or supplying them in connection with sale, is punishable by a fine of up to $10,000 or imprisonment for up to two years for an individual, or by a fine of up to $50,000 for a body corporate.</w:t>
            </w:r>
          </w:p>
          <w:p w:rsidR="00C56FCC" w:rsidRDefault="00C56FCC" w:rsidP="0083277B">
            <w:pPr>
              <w:pStyle w:val="TableBullet"/>
            </w:pPr>
            <w:r>
              <w:t>Directors or managers of body corporates that sell drug utensils are liable for the same penalties as individuals unless it can be proven that they could not have prevented the sale by the exercise of reasonable diligence.</w:t>
            </w:r>
          </w:p>
        </w:tc>
      </w:tr>
      <w:tr w:rsidR="00C56FCC" w:rsidTr="00D976BE">
        <w:trPr>
          <w:cantSplit/>
        </w:trPr>
        <w:tc>
          <w:tcPr>
            <w:tcW w:w="1418" w:type="dxa"/>
            <w:tcBorders>
              <w:top w:val="single" w:sz="4" w:space="0" w:color="A6A6A6" w:themeColor="background1" w:themeShade="A6"/>
              <w:bottom w:val="single" w:sz="4" w:space="0" w:color="A6A6A6" w:themeColor="background1" w:themeShade="A6"/>
            </w:tcBorders>
            <w:hideMark/>
          </w:tcPr>
          <w:p w:rsidR="00C56FCC" w:rsidRDefault="00C56FCC" w:rsidP="000718AA">
            <w:pPr>
              <w:pStyle w:val="TableText"/>
              <w:rPr>
                <w:b/>
              </w:rPr>
            </w:pPr>
            <w:r>
              <w:rPr>
                <w:b/>
              </w:rPr>
              <w:t>Western Australia</w:t>
            </w:r>
          </w:p>
        </w:tc>
        <w:tc>
          <w:tcPr>
            <w:tcW w:w="4394" w:type="dxa"/>
            <w:tcBorders>
              <w:top w:val="single" w:sz="4" w:space="0" w:color="A6A6A6" w:themeColor="background1" w:themeShade="A6"/>
              <w:bottom w:val="single" w:sz="4" w:space="0" w:color="A6A6A6" w:themeColor="background1" w:themeShade="A6"/>
            </w:tcBorders>
            <w:hideMark/>
          </w:tcPr>
          <w:p w:rsidR="00C56FCC" w:rsidRDefault="00C56FCC" w:rsidP="007D4A54">
            <w:pPr>
              <w:pStyle w:val="TableBullet"/>
              <w:ind w:right="142"/>
            </w:pPr>
            <w:r>
              <w:t>Section 7B of Western Australia</w:t>
            </w:r>
            <w:r w:rsidR="00F91482">
              <w:t>’</w:t>
            </w:r>
            <w:r>
              <w:t>s Misuse of Drugs Act 1981 prohibits the sale and possession of drug utensils.</w:t>
            </w:r>
          </w:p>
          <w:p w:rsidR="00F91482" w:rsidRDefault="00C56FCC" w:rsidP="007D4A54">
            <w:pPr>
              <w:pStyle w:val="TableBullet"/>
              <w:ind w:right="142"/>
            </w:pPr>
            <w:r>
              <w:t>The Act defines drug utensils as any item used to prepare, manufacture or administer a prohibited drug.</w:t>
            </w:r>
          </w:p>
          <w:p w:rsidR="00F91482" w:rsidRDefault="00C56FCC" w:rsidP="007D4A54">
            <w:pPr>
              <w:pStyle w:val="TableBullet"/>
              <w:ind w:right="142"/>
            </w:pPr>
            <w:r>
              <w:t>This definition is very broad and implicitly leaves open to police discretion whether an item is a drug utensil.</w:t>
            </w:r>
          </w:p>
          <w:p w:rsidR="00C56FCC" w:rsidRDefault="00C56FCC" w:rsidP="007D4A54">
            <w:pPr>
              <w:pStyle w:val="TableBullet"/>
              <w:ind w:right="142"/>
            </w:pPr>
            <w:r>
              <w:t>Possession, however, is only an offence if an item is discovered with drug residue on it. Supply of drug utensils is not explicitly prohibited.</w:t>
            </w:r>
          </w:p>
        </w:tc>
        <w:tc>
          <w:tcPr>
            <w:tcW w:w="4394" w:type="dxa"/>
            <w:tcBorders>
              <w:top w:val="single" w:sz="4" w:space="0" w:color="A6A6A6" w:themeColor="background1" w:themeShade="A6"/>
              <w:bottom w:val="single" w:sz="4" w:space="0" w:color="A6A6A6" w:themeColor="background1" w:themeShade="A6"/>
            </w:tcBorders>
            <w:hideMark/>
          </w:tcPr>
          <w:p w:rsidR="00C56FCC" w:rsidRDefault="00C56FCC" w:rsidP="007D4A54">
            <w:pPr>
              <w:pStyle w:val="TableBullet"/>
              <w:ind w:right="142"/>
            </w:pPr>
            <w:r>
              <w:t xml:space="preserve">Display for sale in a retail outlet is prohibited. The Act leaves the definition of </w:t>
            </w:r>
            <w:r w:rsidR="00F91482">
              <w:t>‘</w:t>
            </w:r>
            <w:r>
              <w:t>retail outlet</w:t>
            </w:r>
            <w:r w:rsidR="00F91482">
              <w:t>’</w:t>
            </w:r>
            <w:r w:rsidR="00D976BE">
              <w:t xml:space="preserve"> open.</w:t>
            </w:r>
          </w:p>
        </w:tc>
        <w:tc>
          <w:tcPr>
            <w:tcW w:w="4395" w:type="dxa"/>
            <w:tcBorders>
              <w:top w:val="single" w:sz="4" w:space="0" w:color="A6A6A6" w:themeColor="background1" w:themeShade="A6"/>
              <w:bottom w:val="single" w:sz="4" w:space="0" w:color="A6A6A6" w:themeColor="background1" w:themeShade="A6"/>
            </w:tcBorders>
            <w:hideMark/>
          </w:tcPr>
          <w:p w:rsidR="00F91482" w:rsidRDefault="00C56FCC" w:rsidP="0083277B">
            <w:pPr>
              <w:pStyle w:val="TableBullet"/>
            </w:pPr>
            <w:r>
              <w:t>Sale and display for sale of drug utensils is punishable by a fine of $10,000. Sale to a minor is punishable by a fine of $24,000 and/or two years imprisonment.</w:t>
            </w:r>
          </w:p>
          <w:p w:rsidR="00F91482" w:rsidRDefault="00C56FCC" w:rsidP="0083277B">
            <w:pPr>
              <w:pStyle w:val="TableBullet"/>
            </w:pPr>
            <w:r>
              <w:t>Possession of a drug utensil with drug residue present on it is punishable by a fine of $36,000 and/or three years</w:t>
            </w:r>
            <w:r w:rsidR="00F91482">
              <w:t>’</w:t>
            </w:r>
            <w:r>
              <w:t xml:space="preserve"> imprisonment.</w:t>
            </w:r>
          </w:p>
          <w:p w:rsidR="00C56FCC" w:rsidRDefault="00C56FCC" w:rsidP="0083277B">
            <w:pPr>
              <w:pStyle w:val="TableBullet"/>
            </w:pPr>
            <w:r>
              <w:t>The Act classifies drug utensil offences as simple offences. Under Western Australian state law, simple offences are minor criminal offences tried in a magistrate</w:t>
            </w:r>
            <w:r w:rsidR="00F91482">
              <w:t>’</w:t>
            </w:r>
            <w:r>
              <w:t>s court and differ from indictable offences, which are more serious offences heard in a higher court.</w:t>
            </w:r>
          </w:p>
        </w:tc>
      </w:tr>
      <w:tr w:rsidR="00C56FCC" w:rsidTr="00D976BE">
        <w:trPr>
          <w:cantSplit/>
        </w:trPr>
        <w:tc>
          <w:tcPr>
            <w:tcW w:w="1418" w:type="dxa"/>
            <w:tcBorders>
              <w:top w:val="single" w:sz="4" w:space="0" w:color="A6A6A6" w:themeColor="background1" w:themeShade="A6"/>
              <w:bottom w:val="single" w:sz="4" w:space="0" w:color="A6A6A6" w:themeColor="background1" w:themeShade="A6"/>
            </w:tcBorders>
            <w:hideMark/>
          </w:tcPr>
          <w:p w:rsidR="00C56FCC" w:rsidRDefault="00C56FCC" w:rsidP="000718AA">
            <w:pPr>
              <w:pStyle w:val="TableText"/>
              <w:rPr>
                <w:b/>
              </w:rPr>
            </w:pPr>
            <w:r>
              <w:rPr>
                <w:b/>
              </w:rPr>
              <w:lastRenderedPageBreak/>
              <w:t>Tasmania</w:t>
            </w:r>
          </w:p>
        </w:tc>
        <w:tc>
          <w:tcPr>
            <w:tcW w:w="4394" w:type="dxa"/>
            <w:tcBorders>
              <w:top w:val="single" w:sz="4" w:space="0" w:color="A6A6A6" w:themeColor="background1" w:themeShade="A6"/>
              <w:bottom w:val="single" w:sz="4" w:space="0" w:color="A6A6A6" w:themeColor="background1" w:themeShade="A6"/>
            </w:tcBorders>
            <w:hideMark/>
          </w:tcPr>
          <w:p w:rsidR="00F91482" w:rsidRDefault="00C56FCC" w:rsidP="007D4A54">
            <w:pPr>
              <w:pStyle w:val="TableBullet"/>
              <w:ind w:right="142"/>
            </w:pPr>
            <w:r>
              <w:t>Tasmania</w:t>
            </w:r>
            <w:r w:rsidR="00F91482">
              <w:t>’</w:t>
            </w:r>
            <w:r>
              <w:t xml:space="preserve">s Misuse of Drugs Act 2001 includes a prohibition on possessing any item </w:t>
            </w:r>
            <w:r w:rsidR="007764B0">
              <w:t>‘</w:t>
            </w:r>
            <w:r>
              <w:t>used or designed to be used</w:t>
            </w:r>
            <w:r w:rsidR="007764B0">
              <w:t>’</w:t>
            </w:r>
            <w:r>
              <w:t xml:space="preserve"> for preparing, smoking, inhaling, administering or taking a controlled drug.</w:t>
            </w:r>
          </w:p>
          <w:p w:rsidR="00C56FCC" w:rsidRDefault="00C56FCC" w:rsidP="007D4A54">
            <w:pPr>
              <w:pStyle w:val="TableBullet"/>
              <w:ind w:right="142"/>
            </w:pPr>
            <w:r>
              <w:t>The Act also prohibits the possession of any item apparently intended for drug use but which requires modification or addition to be ready for use.</w:t>
            </w:r>
          </w:p>
          <w:p w:rsidR="00C56FCC" w:rsidRDefault="00C56FCC" w:rsidP="007D4A54">
            <w:pPr>
              <w:pStyle w:val="TableBullet"/>
              <w:ind w:right="142"/>
            </w:pPr>
            <w:r>
              <w:t>There is no exception for needles or syringes, as in other states.</w:t>
            </w:r>
          </w:p>
          <w:p w:rsidR="00C56FCC" w:rsidRDefault="00C56FCC" w:rsidP="007D4A54">
            <w:pPr>
              <w:pStyle w:val="TableBullet"/>
              <w:ind w:right="142"/>
            </w:pPr>
            <w:r>
              <w:t>Of note, as with Queensland and Western Australia, is the broad, open-ended definition of a drug utensil.</w:t>
            </w:r>
          </w:p>
          <w:p w:rsidR="00C56FCC" w:rsidRDefault="00C56FCC" w:rsidP="007D4A54">
            <w:pPr>
              <w:pStyle w:val="TableBullet"/>
              <w:ind w:right="142"/>
            </w:pPr>
            <w:r>
              <w:t>There is no explicit prohibition on sale or supply. However, as with Queensland, possessing a stock of utensils for selling or supplying would be illegal under the blanket prohibition on possession.</w:t>
            </w:r>
          </w:p>
        </w:tc>
        <w:tc>
          <w:tcPr>
            <w:tcW w:w="4394" w:type="dxa"/>
            <w:tcBorders>
              <w:top w:val="single" w:sz="4" w:space="0" w:color="A6A6A6" w:themeColor="background1" w:themeShade="A6"/>
              <w:bottom w:val="single" w:sz="4" w:space="0" w:color="A6A6A6" w:themeColor="background1" w:themeShade="A6"/>
            </w:tcBorders>
            <w:hideMark/>
          </w:tcPr>
          <w:p w:rsidR="00C56FCC" w:rsidRDefault="00C56FCC" w:rsidP="007D4A54">
            <w:pPr>
              <w:pStyle w:val="TableBullet"/>
              <w:ind w:right="142"/>
            </w:pPr>
            <w:r>
              <w:t>There are no explicit prohibitions on advertising drug utensils.</w:t>
            </w:r>
          </w:p>
        </w:tc>
        <w:tc>
          <w:tcPr>
            <w:tcW w:w="4395" w:type="dxa"/>
            <w:tcBorders>
              <w:top w:val="single" w:sz="4" w:space="0" w:color="A6A6A6" w:themeColor="background1" w:themeShade="A6"/>
              <w:bottom w:val="single" w:sz="4" w:space="0" w:color="A6A6A6" w:themeColor="background1" w:themeShade="A6"/>
            </w:tcBorders>
            <w:hideMark/>
          </w:tcPr>
          <w:p w:rsidR="00C56FCC" w:rsidRDefault="00C56FCC" w:rsidP="0083277B">
            <w:pPr>
              <w:pStyle w:val="TableBullet"/>
            </w:pPr>
            <w:r>
              <w:t>The Act imposes a maximum penalty of a fine not exceeding 50 penalty units. In Tasmania, a penalty unit is A$154.</w:t>
            </w:r>
          </w:p>
        </w:tc>
      </w:tr>
      <w:tr w:rsidR="00C56FCC" w:rsidTr="00D976BE">
        <w:trPr>
          <w:cantSplit/>
        </w:trPr>
        <w:tc>
          <w:tcPr>
            <w:tcW w:w="1418" w:type="dxa"/>
            <w:tcBorders>
              <w:top w:val="single" w:sz="4" w:space="0" w:color="A6A6A6" w:themeColor="background1" w:themeShade="A6"/>
            </w:tcBorders>
            <w:hideMark/>
          </w:tcPr>
          <w:p w:rsidR="00C56FCC" w:rsidRDefault="00C56FCC" w:rsidP="000718AA">
            <w:pPr>
              <w:pStyle w:val="TableText"/>
              <w:rPr>
                <w:b/>
              </w:rPr>
            </w:pPr>
            <w:r>
              <w:rPr>
                <w:b/>
              </w:rPr>
              <w:t>United Kingdom</w:t>
            </w:r>
          </w:p>
        </w:tc>
        <w:tc>
          <w:tcPr>
            <w:tcW w:w="4394" w:type="dxa"/>
            <w:tcBorders>
              <w:top w:val="single" w:sz="4" w:space="0" w:color="A6A6A6" w:themeColor="background1" w:themeShade="A6"/>
            </w:tcBorders>
            <w:hideMark/>
          </w:tcPr>
          <w:p w:rsidR="00C56FCC" w:rsidRDefault="00C56FCC" w:rsidP="007D4A54">
            <w:pPr>
              <w:pStyle w:val="TableBullet"/>
              <w:ind w:right="142"/>
            </w:pPr>
            <w:r>
              <w:t>The supply of drug utensils is illegal under section</w:t>
            </w:r>
            <w:r w:rsidR="0083277B">
              <w:t> </w:t>
            </w:r>
            <w:r>
              <w:t>9(a) of the UK</w:t>
            </w:r>
            <w:r w:rsidR="00F91482">
              <w:t>’</w:t>
            </w:r>
            <w:r>
              <w:t>s Misuse of Drugs Act 1971.</w:t>
            </w:r>
          </w:p>
          <w:p w:rsidR="00C56FCC" w:rsidRDefault="00C56FCC" w:rsidP="007D4A54">
            <w:pPr>
              <w:pStyle w:val="TableBullet"/>
              <w:ind w:right="142"/>
            </w:pPr>
            <w:r>
              <w:t>Similar to the New South Wales legislation, supply of hypodermic needles is exempted.</w:t>
            </w:r>
          </w:p>
          <w:p w:rsidR="00C56FCC" w:rsidRDefault="00C56FCC" w:rsidP="007D4A54">
            <w:pPr>
              <w:pStyle w:val="TableBullet"/>
              <w:ind w:right="142"/>
            </w:pPr>
            <w:r>
              <w:t xml:space="preserve">Possession is not explicitly banned, except for the possession of </w:t>
            </w:r>
            <w:r w:rsidR="007764B0">
              <w:t>‘</w:t>
            </w:r>
            <w:r>
              <w:t>any pipes or other utensils made or adapted for use in connection with the smoking of opium</w:t>
            </w:r>
            <w:r w:rsidR="007764B0">
              <w:t>’</w:t>
            </w:r>
            <w:r>
              <w:t xml:space="preserve"> under section 9.</w:t>
            </w:r>
          </w:p>
          <w:p w:rsidR="00C56FCC" w:rsidRDefault="00C56FCC" w:rsidP="007D4A54">
            <w:pPr>
              <w:pStyle w:val="TableBullet"/>
              <w:ind w:right="142"/>
            </w:pPr>
            <w:r>
              <w:t>Although section 9(a) remains in effect, in practice it is rarely used due to the failure of a number of prosecutions under it.</w:t>
            </w:r>
          </w:p>
          <w:p w:rsidR="00C56FCC" w:rsidRDefault="00C56FCC" w:rsidP="007D4A54">
            <w:pPr>
              <w:pStyle w:val="TableBullet"/>
              <w:ind w:right="142"/>
            </w:pPr>
            <w:r>
              <w:t>Amendments to regulations have also exempted a number of articles (swabs, utensils for the preparation of a controlled drug, citric acid, filters, ascorbic acid, and water ampoules of up to 2</w:t>
            </w:r>
            <w:r w:rsidR="00D976BE">
              <w:t> </w:t>
            </w:r>
            <w:r>
              <w:t>ml) from section 9(a).</w:t>
            </w:r>
          </w:p>
        </w:tc>
        <w:tc>
          <w:tcPr>
            <w:tcW w:w="4394" w:type="dxa"/>
            <w:tcBorders>
              <w:top w:val="single" w:sz="4" w:space="0" w:color="A6A6A6" w:themeColor="background1" w:themeShade="A6"/>
            </w:tcBorders>
            <w:hideMark/>
          </w:tcPr>
          <w:p w:rsidR="00C56FCC" w:rsidRDefault="00C56FCC" w:rsidP="007D4A54">
            <w:pPr>
              <w:pStyle w:val="TableBullet"/>
              <w:ind w:right="142"/>
            </w:pPr>
            <w:r>
              <w:t>There are no explicit restrictions on advertising drug utensils for sale.</w:t>
            </w:r>
          </w:p>
        </w:tc>
        <w:tc>
          <w:tcPr>
            <w:tcW w:w="4395" w:type="dxa"/>
            <w:tcBorders>
              <w:top w:val="single" w:sz="4" w:space="0" w:color="A6A6A6" w:themeColor="background1" w:themeShade="A6"/>
            </w:tcBorders>
            <w:hideMark/>
          </w:tcPr>
          <w:p w:rsidR="00C56FCC" w:rsidRDefault="00C56FCC" w:rsidP="0083277B">
            <w:pPr>
              <w:pStyle w:val="TableBullet"/>
            </w:pPr>
            <w:r>
              <w:t>Breaches of section 9 are punishable by fines of up to £400 or 12 months</w:t>
            </w:r>
            <w:r w:rsidR="00F91482">
              <w:t>’</w:t>
            </w:r>
            <w:r>
              <w:t xml:space="preserve"> imprisonment for a summary offence, or fines of up to £5,000 or up to 14</w:t>
            </w:r>
            <w:r w:rsidR="00D976BE">
              <w:t> </w:t>
            </w:r>
            <w:r>
              <w:t>years</w:t>
            </w:r>
            <w:r w:rsidR="00F91482">
              <w:t>’</w:t>
            </w:r>
            <w:r>
              <w:t xml:space="preserve"> imprisonment for indictable offences.</w:t>
            </w:r>
          </w:p>
          <w:p w:rsidR="00C56FCC" w:rsidRDefault="00C56FCC" w:rsidP="0083277B">
            <w:pPr>
              <w:pStyle w:val="TableBullet"/>
            </w:pPr>
            <w:r>
              <w:t>Breaches of section 9(a) attract fines of up to £5,000 or up to six months</w:t>
            </w:r>
            <w:r w:rsidR="00F91482">
              <w:t>’</w:t>
            </w:r>
            <w:r>
              <w:t xml:space="preserve"> imprisonment.</w:t>
            </w:r>
          </w:p>
        </w:tc>
      </w:tr>
    </w:tbl>
    <w:p w:rsidR="00A26E6B" w:rsidRDefault="00A26E6B">
      <w:pPr>
        <w:spacing w:line="240" w:lineRule="auto"/>
      </w:pPr>
    </w:p>
    <w:p w:rsidR="000718AA" w:rsidRDefault="000718AA" w:rsidP="00C56FCC">
      <w:pPr>
        <w:pStyle w:val="Heading1"/>
        <w:sectPr w:rsidR="000718AA" w:rsidSect="000718AA">
          <w:footerReference w:type="default" r:id="rId23"/>
          <w:pgSz w:w="16834" w:h="11907" w:orient="landscape" w:code="9"/>
          <w:pgMar w:top="1134" w:right="1134" w:bottom="1134" w:left="1134" w:header="284" w:footer="567" w:gutter="0"/>
          <w:cols w:space="720"/>
          <w:docGrid w:linePitch="299"/>
        </w:sectPr>
      </w:pPr>
      <w:bookmarkStart w:id="80" w:name="_Toc454263626"/>
    </w:p>
    <w:p w:rsidR="00C56FCC" w:rsidRDefault="00C56FCC" w:rsidP="00C56FCC">
      <w:pPr>
        <w:pStyle w:val="Heading1"/>
      </w:pPr>
      <w:bookmarkStart w:id="81" w:name="_Toc454700978"/>
      <w:r>
        <w:lastRenderedPageBreak/>
        <w:t>Review of Drug Utensil</w:t>
      </w:r>
      <w:r w:rsidR="004B69C0">
        <w:t>s</w:t>
      </w:r>
      <w:r>
        <w:t xml:space="preserve"> Regulation – </w:t>
      </w:r>
      <w:r w:rsidRPr="00191091">
        <w:t>Submission</w:t>
      </w:r>
      <w:r>
        <w:t xml:space="preserve"> </w:t>
      </w:r>
      <w:r w:rsidRPr="00191091">
        <w:t>form</w:t>
      </w:r>
      <w:bookmarkEnd w:id="80"/>
      <w:bookmarkEnd w:id="81"/>
    </w:p>
    <w:p w:rsidR="00C56FCC" w:rsidRDefault="00C56FCC" w:rsidP="00D976BE">
      <w:r>
        <w:t>July 2016</w:t>
      </w:r>
    </w:p>
    <w:p w:rsidR="00D976BE" w:rsidRDefault="00D976BE" w:rsidP="00D976BE"/>
    <w:p w:rsidR="00C56FCC" w:rsidRPr="000D3EC0" w:rsidRDefault="00C56FCC" w:rsidP="00D976BE">
      <w:pPr>
        <w:pStyle w:val="Heading2"/>
      </w:pPr>
      <w:bookmarkStart w:id="82" w:name="_Toc454700979"/>
      <w:r w:rsidRPr="000D3EC0">
        <w:t>Making a submission</w:t>
      </w:r>
      <w:bookmarkEnd w:id="82"/>
    </w:p>
    <w:p w:rsidR="00C56FCC" w:rsidRDefault="00C56FCC" w:rsidP="00D976BE">
      <w:r w:rsidRPr="000D3EC0">
        <w:t xml:space="preserve">This form </w:t>
      </w:r>
      <w:r>
        <w:t xml:space="preserve">will help you respond to the discussion points in </w:t>
      </w:r>
      <w:r w:rsidRPr="002C2536">
        <w:rPr>
          <w:i/>
        </w:rPr>
        <w:t>Review of Drug Utensil</w:t>
      </w:r>
      <w:r w:rsidR="004B69C0" w:rsidRPr="002C2536">
        <w:rPr>
          <w:i/>
        </w:rPr>
        <w:t>s</w:t>
      </w:r>
      <w:r w:rsidRPr="002C2536">
        <w:rPr>
          <w:i/>
        </w:rPr>
        <w:t xml:space="preserve"> Regulation: A discussion document</w:t>
      </w:r>
      <w:r>
        <w:t>. We invite you to use this template, although we will accept submissions in any form. You may raise other matters that are not mentioned here, and you do not have to answer every question.</w:t>
      </w:r>
    </w:p>
    <w:p w:rsidR="00D976BE" w:rsidRDefault="00D976BE" w:rsidP="00D976BE"/>
    <w:p w:rsidR="00C56FCC" w:rsidRPr="000D3EC0" w:rsidRDefault="00C56FCC" w:rsidP="00D976BE">
      <w:r w:rsidRPr="000D3EC0">
        <w:t xml:space="preserve">All submissions </w:t>
      </w:r>
      <w:r>
        <w:t xml:space="preserve">that fall within the scope of this review and </w:t>
      </w:r>
      <w:r w:rsidR="002C2536">
        <w:t>that</w:t>
      </w:r>
      <w:r>
        <w:t xml:space="preserve"> are received before the closing date will be considered. The closing date for submissions </w:t>
      </w:r>
      <w:r w:rsidRPr="00BD752C">
        <w:t xml:space="preserve">is </w:t>
      </w:r>
      <w:r w:rsidRPr="00BD752C">
        <w:rPr>
          <w:b/>
        </w:rPr>
        <w:t>5 pm</w:t>
      </w:r>
      <w:r w:rsidRPr="00BD752C">
        <w:t xml:space="preserve"> on </w:t>
      </w:r>
      <w:r w:rsidR="00BD752C">
        <w:rPr>
          <w:b/>
        </w:rPr>
        <w:t>Tuesday, 20 September</w:t>
      </w:r>
      <w:r w:rsidRPr="00BD752C">
        <w:rPr>
          <w:b/>
        </w:rPr>
        <w:t xml:space="preserve"> </w:t>
      </w:r>
      <w:r w:rsidRPr="00BD752C">
        <w:rPr>
          <w:b/>
          <w:bCs/>
        </w:rPr>
        <w:t>2016</w:t>
      </w:r>
      <w:r w:rsidRPr="00BD752C">
        <w:t>.</w:t>
      </w:r>
    </w:p>
    <w:p w:rsidR="00C56FCC" w:rsidRDefault="00C56FCC" w:rsidP="00D976BE"/>
    <w:p w:rsidR="00C56FCC" w:rsidRPr="000D3EC0" w:rsidRDefault="00C56FCC" w:rsidP="00D976BE">
      <w:r w:rsidRPr="000D3EC0">
        <w:t xml:space="preserve">There are </w:t>
      </w:r>
      <w:r w:rsidR="000D34E9">
        <w:t>two</w:t>
      </w:r>
      <w:r w:rsidRPr="000D3EC0">
        <w:t xml:space="preserve"> ways you can make a submission:</w:t>
      </w:r>
    </w:p>
    <w:p w:rsidR="00C56FCC" w:rsidRPr="000D3EC0" w:rsidRDefault="00C56FCC" w:rsidP="00D976BE">
      <w:pPr>
        <w:pStyle w:val="Bullet"/>
      </w:pPr>
      <w:r w:rsidRPr="000D3EC0">
        <w:t xml:space="preserve">email </w:t>
      </w:r>
      <w:r w:rsidR="009A54BE">
        <w:t xml:space="preserve">your submission </w:t>
      </w:r>
      <w:r w:rsidRPr="000D3EC0">
        <w:t>to:</w:t>
      </w:r>
    </w:p>
    <w:p w:rsidR="00C56FCC" w:rsidRPr="000D3EC0" w:rsidRDefault="00BD752C" w:rsidP="00D976BE">
      <w:pPr>
        <w:spacing w:before="120"/>
        <w:ind w:left="567"/>
      </w:pPr>
      <w:r>
        <w:t>utensilsreview</w:t>
      </w:r>
      <w:r w:rsidR="00C56FCC" w:rsidRPr="000D3EC0">
        <w:t>@moh.govt.nz</w:t>
      </w:r>
    </w:p>
    <w:p w:rsidR="00C56FCC" w:rsidRPr="00D976BE" w:rsidRDefault="00C56FCC" w:rsidP="00D976BE">
      <w:pPr>
        <w:spacing w:before="120"/>
        <w:rPr>
          <w:b/>
        </w:rPr>
      </w:pPr>
      <w:r w:rsidRPr="00D976BE">
        <w:rPr>
          <w:b/>
        </w:rPr>
        <w:t>or</w:t>
      </w:r>
    </w:p>
    <w:p w:rsidR="00C56FCC" w:rsidRPr="000D3EC0" w:rsidRDefault="00C56FCC" w:rsidP="00D976BE">
      <w:pPr>
        <w:pStyle w:val="Bullet"/>
      </w:pPr>
      <w:r w:rsidRPr="000D3EC0">
        <w:t>mail your comments to:</w:t>
      </w:r>
    </w:p>
    <w:p w:rsidR="00C56FCC" w:rsidRPr="000D3EC0" w:rsidRDefault="00C56FCC" w:rsidP="00D976BE">
      <w:pPr>
        <w:spacing w:before="120"/>
        <w:ind w:left="567"/>
      </w:pPr>
      <w:r w:rsidRPr="000D3EC0">
        <w:t>Drug Utensils Discussion Document</w:t>
      </w:r>
    </w:p>
    <w:p w:rsidR="00C56FCC" w:rsidRPr="000D3EC0" w:rsidRDefault="00C56FCC" w:rsidP="00D976BE">
      <w:pPr>
        <w:ind w:left="567"/>
      </w:pPr>
      <w:r w:rsidRPr="000D3EC0">
        <w:t>Ministry of Health</w:t>
      </w:r>
    </w:p>
    <w:p w:rsidR="00C56FCC" w:rsidRPr="000D3EC0" w:rsidRDefault="00C56FCC" w:rsidP="00D976BE">
      <w:pPr>
        <w:ind w:left="567"/>
      </w:pPr>
      <w:r w:rsidRPr="000D3EC0">
        <w:t>PO Box 5013</w:t>
      </w:r>
    </w:p>
    <w:p w:rsidR="00C56FCC" w:rsidRPr="000D3EC0" w:rsidRDefault="00C56FCC" w:rsidP="00D976BE">
      <w:pPr>
        <w:ind w:left="567"/>
      </w:pPr>
      <w:r w:rsidRPr="000D3EC0">
        <w:t>WELLINGTON 6145</w:t>
      </w:r>
    </w:p>
    <w:p w:rsidR="00C56FCC" w:rsidRPr="000D3EC0" w:rsidRDefault="00C56FCC" w:rsidP="00D976BE"/>
    <w:p w:rsidR="00263AF7" w:rsidRDefault="009A54BE">
      <w:pPr>
        <w:spacing w:line="240" w:lineRule="auto"/>
        <w:rPr>
          <w:b/>
          <w:sz w:val="40"/>
        </w:rPr>
      </w:pPr>
      <w:r>
        <w:t>If you are emailing your submission in PDF format, please also send us the Word document</w:t>
      </w:r>
      <w:r w:rsidR="00BD752C">
        <w:t>.</w:t>
      </w:r>
      <w:r w:rsidR="00BD752C" w:rsidDel="00BD752C">
        <w:t xml:space="preserve"> </w:t>
      </w:r>
      <w:r w:rsidR="00263AF7">
        <w:br w:type="page"/>
      </w:r>
    </w:p>
    <w:p w:rsidR="00C56FCC" w:rsidRPr="000D3EC0" w:rsidRDefault="00C56FCC" w:rsidP="00263AF7">
      <w:pPr>
        <w:pStyle w:val="Heading2"/>
      </w:pPr>
      <w:bookmarkStart w:id="83" w:name="_Toc454700980"/>
      <w:r>
        <w:lastRenderedPageBreak/>
        <w:t>Submitter details</w:t>
      </w:r>
      <w:bookmarkEnd w:id="83"/>
    </w:p>
    <w:tbl>
      <w:tblPr>
        <w:tblpPr w:leftFromText="180" w:rightFromText="180" w:vertAnchor="text" w:horzAnchor="margin" w:tblpY="840"/>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5103"/>
      </w:tblGrid>
      <w:tr w:rsidR="00C56FCC" w:rsidRPr="000D3EC0" w:rsidTr="000243B5">
        <w:trPr>
          <w:cantSplit/>
        </w:trPr>
        <w:tc>
          <w:tcPr>
            <w:tcW w:w="4307" w:type="dxa"/>
            <w:tcBorders>
              <w:top w:val="nil"/>
              <w:bottom w:val="nil"/>
            </w:tcBorders>
          </w:tcPr>
          <w:p w:rsidR="00C56FCC" w:rsidRPr="000D3EC0" w:rsidRDefault="00C56FCC" w:rsidP="000243B5">
            <w:pPr>
              <w:pStyle w:val="TableText"/>
              <w:tabs>
                <w:tab w:val="right" w:pos="4199"/>
              </w:tabs>
              <w:spacing w:before="0"/>
              <w:rPr>
                <w:rFonts w:ascii="Georgia" w:hAnsi="Georgia" w:cs="Arial"/>
                <w:sz w:val="22"/>
                <w:szCs w:val="22"/>
              </w:rPr>
            </w:pPr>
            <w:r w:rsidRPr="000D3EC0">
              <w:rPr>
                <w:rFonts w:ascii="Georgia" w:hAnsi="Georgia" w:cs="Arial"/>
                <w:sz w:val="22"/>
                <w:szCs w:val="22"/>
              </w:rPr>
              <w:t>This submission was completed by:</w:t>
            </w:r>
            <w:r w:rsidRPr="000D3EC0">
              <w:rPr>
                <w:rFonts w:ascii="Georgia" w:hAnsi="Georgia" w:cs="Arial"/>
                <w:sz w:val="22"/>
                <w:szCs w:val="22"/>
              </w:rPr>
              <w:tab/>
            </w:r>
            <w:r w:rsidRPr="000D3EC0">
              <w:rPr>
                <w:rFonts w:ascii="Georgia" w:hAnsi="Georgia" w:cs="Arial"/>
                <w:i/>
                <w:szCs w:val="22"/>
              </w:rPr>
              <w:t>(name)</w:t>
            </w:r>
          </w:p>
        </w:tc>
        <w:tc>
          <w:tcPr>
            <w:tcW w:w="5103" w:type="dxa"/>
            <w:tcBorders>
              <w:top w:val="nil"/>
            </w:tcBorders>
            <w:vAlign w:val="bottom"/>
          </w:tcPr>
          <w:p w:rsidR="00C56FCC" w:rsidRPr="000D3EC0" w:rsidRDefault="00C56FCC" w:rsidP="000243B5">
            <w:pPr>
              <w:pStyle w:val="TableText"/>
              <w:spacing w:before="0"/>
              <w:rPr>
                <w:rFonts w:ascii="Georgia" w:hAnsi="Georgia" w:cs="Arial"/>
                <w:sz w:val="20"/>
              </w:rPr>
            </w:pPr>
            <w:r w:rsidRPr="000D3EC0">
              <w:rPr>
                <w:rFonts w:ascii="Georgia" w:hAnsi="Georgia" w:cs="Arial"/>
                <w:sz w:val="20"/>
              </w:rPr>
              <w:fldChar w:fldCharType="begin">
                <w:ffData>
                  <w:name w:val=""/>
                  <w:enabled/>
                  <w:calcOnExit w:val="0"/>
                  <w:textInput/>
                </w:ffData>
              </w:fldChar>
            </w:r>
            <w:r w:rsidRPr="000D3EC0">
              <w:rPr>
                <w:rFonts w:ascii="Georgia" w:hAnsi="Georgia" w:cs="Arial"/>
                <w:sz w:val="20"/>
              </w:rPr>
              <w:instrText xml:space="preserve"> FORMTEXT </w:instrText>
            </w:r>
            <w:r w:rsidRPr="000D3EC0">
              <w:rPr>
                <w:rFonts w:ascii="Georgia" w:hAnsi="Georgia" w:cs="Arial"/>
                <w:sz w:val="20"/>
              </w:rPr>
            </w:r>
            <w:r w:rsidRPr="000D3EC0">
              <w:rPr>
                <w:rFonts w:ascii="Georgia" w:hAnsi="Georgia" w:cs="Arial"/>
                <w:sz w:val="20"/>
              </w:rPr>
              <w:fldChar w:fldCharType="separate"/>
            </w:r>
            <w:r w:rsidRPr="000D3EC0">
              <w:rPr>
                <w:rFonts w:ascii="Georgia" w:hAnsi="Georgia" w:cs="Arial"/>
                <w:noProof/>
                <w:sz w:val="20"/>
              </w:rPr>
              <w:t> </w:t>
            </w:r>
            <w:r w:rsidRPr="000D3EC0">
              <w:rPr>
                <w:rFonts w:ascii="Georgia" w:hAnsi="Georgia" w:cs="Arial"/>
                <w:noProof/>
                <w:sz w:val="20"/>
              </w:rPr>
              <w:t> </w:t>
            </w:r>
            <w:r w:rsidRPr="000D3EC0">
              <w:rPr>
                <w:rFonts w:ascii="Georgia" w:hAnsi="Georgia" w:cs="Arial"/>
                <w:noProof/>
                <w:sz w:val="20"/>
              </w:rPr>
              <w:t> </w:t>
            </w:r>
            <w:r w:rsidRPr="000D3EC0">
              <w:rPr>
                <w:rFonts w:ascii="Georgia" w:hAnsi="Georgia" w:cs="Arial"/>
                <w:noProof/>
                <w:sz w:val="20"/>
              </w:rPr>
              <w:t> </w:t>
            </w:r>
            <w:r w:rsidRPr="000D3EC0">
              <w:rPr>
                <w:rFonts w:ascii="Georgia" w:hAnsi="Georgia" w:cs="Arial"/>
                <w:noProof/>
                <w:sz w:val="20"/>
              </w:rPr>
              <w:t> </w:t>
            </w:r>
            <w:r w:rsidRPr="000D3EC0">
              <w:rPr>
                <w:rFonts w:ascii="Georgia" w:hAnsi="Georgia" w:cs="Arial"/>
                <w:sz w:val="20"/>
              </w:rPr>
              <w:fldChar w:fldCharType="end"/>
            </w:r>
          </w:p>
        </w:tc>
      </w:tr>
      <w:tr w:rsidR="00C56FCC" w:rsidRPr="000D3EC0" w:rsidTr="000243B5">
        <w:trPr>
          <w:cantSplit/>
        </w:trPr>
        <w:tc>
          <w:tcPr>
            <w:tcW w:w="4307" w:type="dxa"/>
            <w:tcBorders>
              <w:top w:val="nil"/>
              <w:bottom w:val="nil"/>
            </w:tcBorders>
          </w:tcPr>
          <w:p w:rsidR="00C56FCC" w:rsidRPr="000D3EC0" w:rsidRDefault="00C56FCC" w:rsidP="000243B5">
            <w:pPr>
              <w:pStyle w:val="TableText"/>
              <w:tabs>
                <w:tab w:val="right" w:pos="4199"/>
              </w:tabs>
              <w:rPr>
                <w:rFonts w:ascii="Georgia" w:hAnsi="Georgia" w:cs="Arial"/>
                <w:sz w:val="22"/>
                <w:szCs w:val="22"/>
              </w:rPr>
            </w:pPr>
            <w:r w:rsidRPr="000D3EC0">
              <w:rPr>
                <w:rFonts w:ascii="Georgia" w:hAnsi="Georgia" w:cs="Arial"/>
                <w:sz w:val="22"/>
                <w:szCs w:val="22"/>
              </w:rPr>
              <w:t>Address:</w:t>
            </w:r>
            <w:r w:rsidRPr="000D3EC0">
              <w:rPr>
                <w:rFonts w:ascii="Georgia" w:hAnsi="Georgia" w:cs="Arial"/>
                <w:sz w:val="22"/>
                <w:szCs w:val="22"/>
              </w:rPr>
              <w:tab/>
            </w:r>
            <w:r w:rsidRPr="000D3EC0">
              <w:rPr>
                <w:rFonts w:ascii="Georgia" w:hAnsi="Georgia" w:cs="Arial"/>
                <w:i/>
                <w:szCs w:val="22"/>
              </w:rPr>
              <w:t>(street/box number)</w:t>
            </w:r>
          </w:p>
        </w:tc>
        <w:tc>
          <w:tcPr>
            <w:tcW w:w="5103" w:type="dxa"/>
            <w:vAlign w:val="bottom"/>
          </w:tcPr>
          <w:p w:rsidR="00C56FCC" w:rsidRPr="000D3EC0" w:rsidRDefault="00C56FCC" w:rsidP="000243B5">
            <w:pPr>
              <w:pStyle w:val="TableText"/>
              <w:rPr>
                <w:rFonts w:ascii="Georgia" w:hAnsi="Georgia" w:cs="Arial"/>
                <w:sz w:val="20"/>
              </w:rPr>
            </w:pPr>
            <w:r w:rsidRPr="000D3EC0">
              <w:rPr>
                <w:rFonts w:ascii="Georgia" w:hAnsi="Georgia" w:cs="Arial"/>
                <w:sz w:val="20"/>
              </w:rPr>
              <w:fldChar w:fldCharType="begin">
                <w:ffData>
                  <w:name w:val="Text1"/>
                  <w:enabled/>
                  <w:calcOnExit w:val="0"/>
                  <w:textInput/>
                </w:ffData>
              </w:fldChar>
            </w:r>
            <w:bookmarkStart w:id="84" w:name="Text1"/>
            <w:r w:rsidRPr="000D3EC0">
              <w:rPr>
                <w:rFonts w:ascii="Georgia" w:hAnsi="Georgia" w:cs="Arial"/>
                <w:sz w:val="20"/>
              </w:rPr>
              <w:instrText xml:space="preserve"> FORMTEXT </w:instrText>
            </w:r>
            <w:r w:rsidRPr="000D3EC0">
              <w:rPr>
                <w:rFonts w:ascii="Georgia" w:hAnsi="Georgia" w:cs="Arial"/>
                <w:sz w:val="20"/>
              </w:rPr>
            </w:r>
            <w:r w:rsidRPr="000D3EC0">
              <w:rPr>
                <w:rFonts w:ascii="Georgia" w:hAnsi="Georgia" w:cs="Arial"/>
                <w:sz w:val="20"/>
              </w:rPr>
              <w:fldChar w:fldCharType="separate"/>
            </w:r>
            <w:r w:rsidRPr="000D3EC0">
              <w:rPr>
                <w:rFonts w:ascii="Georgia" w:hAnsi="Georgia" w:cs="Arial"/>
                <w:noProof/>
                <w:sz w:val="20"/>
              </w:rPr>
              <w:t> </w:t>
            </w:r>
            <w:r w:rsidRPr="000D3EC0">
              <w:rPr>
                <w:rFonts w:ascii="Georgia" w:hAnsi="Georgia" w:cs="Arial"/>
                <w:noProof/>
                <w:sz w:val="20"/>
              </w:rPr>
              <w:t> </w:t>
            </w:r>
            <w:r w:rsidRPr="000D3EC0">
              <w:rPr>
                <w:rFonts w:ascii="Georgia" w:hAnsi="Georgia" w:cs="Arial"/>
                <w:noProof/>
                <w:sz w:val="20"/>
              </w:rPr>
              <w:t> </w:t>
            </w:r>
            <w:r w:rsidRPr="000D3EC0">
              <w:rPr>
                <w:rFonts w:ascii="Georgia" w:hAnsi="Georgia" w:cs="Arial"/>
                <w:noProof/>
                <w:sz w:val="20"/>
              </w:rPr>
              <w:t> </w:t>
            </w:r>
            <w:r w:rsidRPr="000D3EC0">
              <w:rPr>
                <w:rFonts w:ascii="Georgia" w:hAnsi="Georgia" w:cs="Arial"/>
                <w:noProof/>
                <w:sz w:val="20"/>
              </w:rPr>
              <w:t> </w:t>
            </w:r>
            <w:r w:rsidRPr="000D3EC0">
              <w:rPr>
                <w:rFonts w:ascii="Georgia" w:hAnsi="Georgia" w:cs="Arial"/>
                <w:sz w:val="20"/>
              </w:rPr>
              <w:fldChar w:fldCharType="end"/>
            </w:r>
            <w:bookmarkEnd w:id="84"/>
          </w:p>
        </w:tc>
      </w:tr>
      <w:tr w:rsidR="00C56FCC" w:rsidRPr="000D3EC0" w:rsidTr="000243B5">
        <w:trPr>
          <w:cantSplit/>
        </w:trPr>
        <w:tc>
          <w:tcPr>
            <w:tcW w:w="4307" w:type="dxa"/>
            <w:tcBorders>
              <w:top w:val="nil"/>
              <w:bottom w:val="nil"/>
            </w:tcBorders>
          </w:tcPr>
          <w:p w:rsidR="00C56FCC" w:rsidRPr="000D3EC0" w:rsidRDefault="00C56FCC" w:rsidP="000243B5">
            <w:pPr>
              <w:pStyle w:val="TableText"/>
              <w:tabs>
                <w:tab w:val="right" w:pos="4199"/>
              </w:tabs>
              <w:rPr>
                <w:rFonts w:ascii="Georgia" w:hAnsi="Georgia" w:cs="Arial"/>
                <w:i/>
                <w:sz w:val="22"/>
                <w:szCs w:val="22"/>
              </w:rPr>
            </w:pPr>
            <w:r w:rsidRPr="000D3EC0">
              <w:rPr>
                <w:rFonts w:ascii="Georgia" w:hAnsi="Georgia" w:cs="Arial"/>
                <w:sz w:val="22"/>
                <w:szCs w:val="22"/>
              </w:rPr>
              <w:tab/>
            </w:r>
            <w:r w:rsidRPr="000D3EC0">
              <w:rPr>
                <w:rFonts w:ascii="Georgia" w:hAnsi="Georgia" w:cs="Arial"/>
                <w:i/>
                <w:szCs w:val="22"/>
              </w:rPr>
              <w:t>(town/city)</w:t>
            </w:r>
          </w:p>
        </w:tc>
        <w:tc>
          <w:tcPr>
            <w:tcW w:w="5103" w:type="dxa"/>
            <w:vAlign w:val="bottom"/>
          </w:tcPr>
          <w:p w:rsidR="00C56FCC" w:rsidRPr="000D3EC0" w:rsidRDefault="00C56FCC" w:rsidP="000243B5">
            <w:pPr>
              <w:pStyle w:val="TableText"/>
              <w:rPr>
                <w:rFonts w:ascii="Georgia" w:hAnsi="Georgia" w:cs="Arial"/>
                <w:sz w:val="20"/>
              </w:rPr>
            </w:pPr>
            <w:r w:rsidRPr="000D3EC0">
              <w:rPr>
                <w:rFonts w:ascii="Georgia" w:hAnsi="Georgia" w:cs="Arial"/>
                <w:sz w:val="20"/>
              </w:rPr>
              <w:fldChar w:fldCharType="begin">
                <w:ffData>
                  <w:name w:val="Text1"/>
                  <w:enabled/>
                  <w:calcOnExit w:val="0"/>
                  <w:textInput/>
                </w:ffData>
              </w:fldChar>
            </w:r>
            <w:r w:rsidRPr="000D3EC0">
              <w:rPr>
                <w:rFonts w:ascii="Georgia" w:hAnsi="Georgia" w:cs="Arial"/>
                <w:sz w:val="20"/>
              </w:rPr>
              <w:instrText xml:space="preserve"> FORMTEXT </w:instrText>
            </w:r>
            <w:r w:rsidRPr="000D3EC0">
              <w:rPr>
                <w:rFonts w:ascii="Georgia" w:hAnsi="Georgia" w:cs="Arial"/>
                <w:sz w:val="20"/>
              </w:rPr>
            </w:r>
            <w:r w:rsidRPr="000D3EC0">
              <w:rPr>
                <w:rFonts w:ascii="Georgia" w:hAnsi="Georgia" w:cs="Arial"/>
                <w:sz w:val="20"/>
              </w:rPr>
              <w:fldChar w:fldCharType="separate"/>
            </w:r>
            <w:r w:rsidRPr="000D3EC0">
              <w:rPr>
                <w:rFonts w:ascii="Georgia" w:hAnsi="Georgia" w:cs="Arial"/>
                <w:noProof/>
                <w:sz w:val="20"/>
              </w:rPr>
              <w:t> </w:t>
            </w:r>
            <w:r w:rsidRPr="000D3EC0">
              <w:rPr>
                <w:rFonts w:ascii="Georgia" w:hAnsi="Georgia" w:cs="Arial"/>
                <w:noProof/>
                <w:sz w:val="20"/>
              </w:rPr>
              <w:t> </w:t>
            </w:r>
            <w:r w:rsidRPr="000D3EC0">
              <w:rPr>
                <w:rFonts w:ascii="Georgia" w:hAnsi="Georgia" w:cs="Arial"/>
                <w:noProof/>
                <w:sz w:val="20"/>
              </w:rPr>
              <w:t> </w:t>
            </w:r>
            <w:r w:rsidRPr="000D3EC0">
              <w:rPr>
                <w:rFonts w:ascii="Georgia" w:hAnsi="Georgia" w:cs="Arial"/>
                <w:noProof/>
                <w:sz w:val="20"/>
              </w:rPr>
              <w:t> </w:t>
            </w:r>
            <w:r w:rsidRPr="000D3EC0">
              <w:rPr>
                <w:rFonts w:ascii="Georgia" w:hAnsi="Georgia" w:cs="Arial"/>
                <w:noProof/>
                <w:sz w:val="20"/>
              </w:rPr>
              <w:t> </w:t>
            </w:r>
            <w:r w:rsidRPr="000D3EC0">
              <w:rPr>
                <w:rFonts w:ascii="Georgia" w:hAnsi="Georgia" w:cs="Arial"/>
                <w:sz w:val="20"/>
              </w:rPr>
              <w:fldChar w:fldCharType="end"/>
            </w:r>
          </w:p>
        </w:tc>
      </w:tr>
      <w:tr w:rsidR="00C56FCC" w:rsidRPr="000D3EC0" w:rsidTr="000243B5">
        <w:trPr>
          <w:cantSplit/>
        </w:trPr>
        <w:tc>
          <w:tcPr>
            <w:tcW w:w="4307" w:type="dxa"/>
            <w:tcBorders>
              <w:top w:val="nil"/>
              <w:bottom w:val="nil"/>
            </w:tcBorders>
          </w:tcPr>
          <w:p w:rsidR="00C56FCC" w:rsidRPr="000D3EC0" w:rsidRDefault="00C56FCC" w:rsidP="000243B5">
            <w:pPr>
              <w:pStyle w:val="TableText"/>
              <w:rPr>
                <w:rFonts w:ascii="Georgia" w:hAnsi="Georgia" w:cs="Arial"/>
                <w:sz w:val="22"/>
                <w:szCs w:val="22"/>
              </w:rPr>
            </w:pPr>
            <w:r w:rsidRPr="000D3EC0">
              <w:rPr>
                <w:rFonts w:ascii="Georgia" w:hAnsi="Georgia" w:cs="Arial"/>
                <w:sz w:val="22"/>
                <w:szCs w:val="22"/>
              </w:rPr>
              <w:t>Email:</w:t>
            </w:r>
          </w:p>
        </w:tc>
        <w:tc>
          <w:tcPr>
            <w:tcW w:w="5103" w:type="dxa"/>
            <w:vAlign w:val="bottom"/>
          </w:tcPr>
          <w:p w:rsidR="00C56FCC" w:rsidRPr="000D3EC0" w:rsidRDefault="00C56FCC" w:rsidP="000243B5">
            <w:pPr>
              <w:pStyle w:val="TableText"/>
              <w:rPr>
                <w:rFonts w:ascii="Georgia" w:hAnsi="Georgia" w:cs="Arial"/>
                <w:sz w:val="20"/>
              </w:rPr>
            </w:pPr>
            <w:r w:rsidRPr="000D3EC0">
              <w:rPr>
                <w:rFonts w:ascii="Georgia" w:hAnsi="Georgia" w:cs="Arial"/>
                <w:sz w:val="20"/>
              </w:rPr>
              <w:fldChar w:fldCharType="begin">
                <w:ffData>
                  <w:name w:val="Text1"/>
                  <w:enabled/>
                  <w:calcOnExit w:val="0"/>
                  <w:textInput/>
                </w:ffData>
              </w:fldChar>
            </w:r>
            <w:r w:rsidRPr="000D3EC0">
              <w:rPr>
                <w:rFonts w:ascii="Georgia" w:hAnsi="Georgia" w:cs="Arial"/>
                <w:sz w:val="20"/>
              </w:rPr>
              <w:instrText xml:space="preserve"> FORMTEXT </w:instrText>
            </w:r>
            <w:r w:rsidRPr="000D3EC0">
              <w:rPr>
                <w:rFonts w:ascii="Georgia" w:hAnsi="Georgia" w:cs="Arial"/>
                <w:sz w:val="20"/>
              </w:rPr>
            </w:r>
            <w:r w:rsidRPr="000D3EC0">
              <w:rPr>
                <w:rFonts w:ascii="Georgia" w:hAnsi="Georgia" w:cs="Arial"/>
                <w:sz w:val="20"/>
              </w:rPr>
              <w:fldChar w:fldCharType="separate"/>
            </w:r>
            <w:r w:rsidRPr="000D3EC0">
              <w:rPr>
                <w:rFonts w:ascii="Georgia" w:hAnsi="Georgia" w:cs="Arial"/>
                <w:noProof/>
                <w:sz w:val="20"/>
              </w:rPr>
              <w:t> </w:t>
            </w:r>
            <w:r w:rsidRPr="000D3EC0">
              <w:rPr>
                <w:rFonts w:ascii="Georgia" w:hAnsi="Georgia" w:cs="Arial"/>
                <w:noProof/>
                <w:sz w:val="20"/>
              </w:rPr>
              <w:t> </w:t>
            </w:r>
            <w:r w:rsidRPr="000D3EC0">
              <w:rPr>
                <w:rFonts w:ascii="Georgia" w:hAnsi="Georgia" w:cs="Arial"/>
                <w:noProof/>
                <w:sz w:val="20"/>
              </w:rPr>
              <w:t> </w:t>
            </w:r>
            <w:r w:rsidRPr="000D3EC0">
              <w:rPr>
                <w:rFonts w:ascii="Georgia" w:hAnsi="Georgia" w:cs="Arial"/>
                <w:noProof/>
                <w:sz w:val="20"/>
              </w:rPr>
              <w:t> </w:t>
            </w:r>
            <w:r w:rsidRPr="000D3EC0">
              <w:rPr>
                <w:rFonts w:ascii="Georgia" w:hAnsi="Georgia" w:cs="Arial"/>
                <w:noProof/>
                <w:sz w:val="20"/>
              </w:rPr>
              <w:t> </w:t>
            </w:r>
            <w:r w:rsidRPr="000D3EC0">
              <w:rPr>
                <w:rFonts w:ascii="Georgia" w:hAnsi="Georgia" w:cs="Arial"/>
                <w:sz w:val="20"/>
              </w:rPr>
              <w:fldChar w:fldCharType="end"/>
            </w:r>
          </w:p>
        </w:tc>
      </w:tr>
      <w:tr w:rsidR="00C56FCC" w:rsidRPr="000D3EC0" w:rsidTr="000243B5">
        <w:trPr>
          <w:cantSplit/>
        </w:trPr>
        <w:tc>
          <w:tcPr>
            <w:tcW w:w="4307" w:type="dxa"/>
            <w:tcBorders>
              <w:top w:val="nil"/>
              <w:bottom w:val="nil"/>
            </w:tcBorders>
          </w:tcPr>
          <w:p w:rsidR="00C56FCC" w:rsidRPr="000D3EC0" w:rsidRDefault="00C56FCC" w:rsidP="000243B5">
            <w:pPr>
              <w:pStyle w:val="TableText"/>
              <w:rPr>
                <w:rFonts w:ascii="Georgia" w:hAnsi="Georgia" w:cs="Arial"/>
                <w:sz w:val="22"/>
                <w:szCs w:val="22"/>
              </w:rPr>
            </w:pPr>
            <w:r w:rsidRPr="000D3EC0">
              <w:rPr>
                <w:rFonts w:ascii="Georgia" w:hAnsi="Georgia" w:cs="Arial"/>
                <w:sz w:val="22"/>
                <w:szCs w:val="22"/>
              </w:rPr>
              <w:t>Organisation (if applicable):</w:t>
            </w:r>
          </w:p>
        </w:tc>
        <w:tc>
          <w:tcPr>
            <w:tcW w:w="5103" w:type="dxa"/>
            <w:vAlign w:val="bottom"/>
          </w:tcPr>
          <w:p w:rsidR="00C56FCC" w:rsidRPr="000D3EC0" w:rsidRDefault="00C56FCC" w:rsidP="000243B5">
            <w:pPr>
              <w:pStyle w:val="TableText"/>
              <w:rPr>
                <w:rFonts w:ascii="Georgia" w:hAnsi="Georgia" w:cs="Arial"/>
                <w:sz w:val="20"/>
              </w:rPr>
            </w:pPr>
            <w:r w:rsidRPr="000D3EC0">
              <w:rPr>
                <w:rFonts w:ascii="Georgia" w:hAnsi="Georgia" w:cs="Arial"/>
                <w:sz w:val="20"/>
              </w:rPr>
              <w:fldChar w:fldCharType="begin">
                <w:ffData>
                  <w:name w:val="Text1"/>
                  <w:enabled/>
                  <w:calcOnExit w:val="0"/>
                  <w:textInput/>
                </w:ffData>
              </w:fldChar>
            </w:r>
            <w:r w:rsidRPr="000D3EC0">
              <w:rPr>
                <w:rFonts w:ascii="Georgia" w:hAnsi="Georgia" w:cs="Arial"/>
                <w:sz w:val="20"/>
              </w:rPr>
              <w:instrText xml:space="preserve"> FORMTEXT </w:instrText>
            </w:r>
            <w:r w:rsidRPr="000D3EC0">
              <w:rPr>
                <w:rFonts w:ascii="Georgia" w:hAnsi="Georgia" w:cs="Arial"/>
                <w:sz w:val="20"/>
              </w:rPr>
            </w:r>
            <w:r w:rsidRPr="000D3EC0">
              <w:rPr>
                <w:rFonts w:ascii="Georgia" w:hAnsi="Georgia" w:cs="Arial"/>
                <w:sz w:val="20"/>
              </w:rPr>
              <w:fldChar w:fldCharType="separate"/>
            </w:r>
            <w:r w:rsidRPr="000D3EC0">
              <w:rPr>
                <w:rFonts w:ascii="Georgia" w:hAnsi="Georgia" w:cs="Arial"/>
                <w:noProof/>
                <w:sz w:val="20"/>
              </w:rPr>
              <w:t> </w:t>
            </w:r>
            <w:r w:rsidRPr="000D3EC0">
              <w:rPr>
                <w:rFonts w:ascii="Georgia" w:hAnsi="Georgia" w:cs="Arial"/>
                <w:noProof/>
                <w:sz w:val="20"/>
              </w:rPr>
              <w:t> </w:t>
            </w:r>
            <w:r w:rsidRPr="000D3EC0">
              <w:rPr>
                <w:rFonts w:ascii="Georgia" w:hAnsi="Georgia" w:cs="Arial"/>
                <w:noProof/>
                <w:sz w:val="20"/>
              </w:rPr>
              <w:t> </w:t>
            </w:r>
            <w:r w:rsidRPr="000D3EC0">
              <w:rPr>
                <w:rFonts w:ascii="Georgia" w:hAnsi="Georgia" w:cs="Arial"/>
                <w:noProof/>
                <w:sz w:val="20"/>
              </w:rPr>
              <w:t> </w:t>
            </w:r>
            <w:r w:rsidRPr="000D3EC0">
              <w:rPr>
                <w:rFonts w:ascii="Georgia" w:hAnsi="Georgia" w:cs="Arial"/>
                <w:noProof/>
                <w:sz w:val="20"/>
              </w:rPr>
              <w:t> </w:t>
            </w:r>
            <w:r w:rsidRPr="000D3EC0">
              <w:rPr>
                <w:rFonts w:ascii="Georgia" w:hAnsi="Georgia" w:cs="Arial"/>
                <w:sz w:val="20"/>
              </w:rPr>
              <w:fldChar w:fldCharType="end"/>
            </w:r>
          </w:p>
        </w:tc>
      </w:tr>
      <w:tr w:rsidR="00C56FCC" w:rsidRPr="000D3EC0" w:rsidTr="000243B5">
        <w:trPr>
          <w:cantSplit/>
        </w:trPr>
        <w:tc>
          <w:tcPr>
            <w:tcW w:w="4307" w:type="dxa"/>
            <w:tcBorders>
              <w:top w:val="nil"/>
              <w:bottom w:val="nil"/>
            </w:tcBorders>
          </w:tcPr>
          <w:p w:rsidR="00C56FCC" w:rsidRPr="000D3EC0" w:rsidRDefault="00C56FCC" w:rsidP="000243B5">
            <w:pPr>
              <w:pStyle w:val="TableText"/>
              <w:rPr>
                <w:rFonts w:ascii="Georgia" w:hAnsi="Georgia" w:cs="Arial"/>
                <w:sz w:val="22"/>
                <w:szCs w:val="22"/>
              </w:rPr>
            </w:pPr>
            <w:r w:rsidRPr="000D3EC0">
              <w:rPr>
                <w:rFonts w:ascii="Georgia" w:hAnsi="Georgia" w:cs="Arial"/>
                <w:sz w:val="22"/>
                <w:szCs w:val="22"/>
              </w:rPr>
              <w:t>Position (if applicable):</w:t>
            </w:r>
          </w:p>
        </w:tc>
        <w:tc>
          <w:tcPr>
            <w:tcW w:w="5103" w:type="dxa"/>
            <w:vAlign w:val="bottom"/>
          </w:tcPr>
          <w:p w:rsidR="00C56FCC" w:rsidRPr="000D3EC0" w:rsidRDefault="00C56FCC" w:rsidP="000243B5">
            <w:pPr>
              <w:pStyle w:val="TableText"/>
              <w:rPr>
                <w:rFonts w:ascii="Georgia" w:hAnsi="Georgia" w:cs="Arial"/>
                <w:sz w:val="20"/>
              </w:rPr>
            </w:pPr>
            <w:r w:rsidRPr="000D3EC0">
              <w:rPr>
                <w:rFonts w:ascii="Georgia" w:hAnsi="Georgia" w:cs="Arial"/>
                <w:sz w:val="20"/>
              </w:rPr>
              <w:fldChar w:fldCharType="begin">
                <w:ffData>
                  <w:name w:val="Text1"/>
                  <w:enabled/>
                  <w:calcOnExit w:val="0"/>
                  <w:textInput/>
                </w:ffData>
              </w:fldChar>
            </w:r>
            <w:r w:rsidRPr="000D3EC0">
              <w:rPr>
                <w:rFonts w:ascii="Georgia" w:hAnsi="Georgia" w:cs="Arial"/>
                <w:sz w:val="20"/>
              </w:rPr>
              <w:instrText xml:space="preserve"> FORMTEXT </w:instrText>
            </w:r>
            <w:r w:rsidRPr="000D3EC0">
              <w:rPr>
                <w:rFonts w:ascii="Georgia" w:hAnsi="Georgia" w:cs="Arial"/>
                <w:sz w:val="20"/>
              </w:rPr>
            </w:r>
            <w:r w:rsidRPr="000D3EC0">
              <w:rPr>
                <w:rFonts w:ascii="Georgia" w:hAnsi="Georgia" w:cs="Arial"/>
                <w:sz w:val="20"/>
              </w:rPr>
              <w:fldChar w:fldCharType="separate"/>
            </w:r>
            <w:r w:rsidRPr="000D3EC0">
              <w:rPr>
                <w:rFonts w:ascii="Georgia" w:hAnsi="Georgia" w:cs="Arial"/>
                <w:noProof/>
                <w:sz w:val="20"/>
              </w:rPr>
              <w:t> </w:t>
            </w:r>
            <w:r w:rsidRPr="000D3EC0">
              <w:rPr>
                <w:rFonts w:ascii="Georgia" w:hAnsi="Georgia" w:cs="Arial"/>
                <w:noProof/>
                <w:sz w:val="20"/>
              </w:rPr>
              <w:t> </w:t>
            </w:r>
            <w:r w:rsidRPr="000D3EC0">
              <w:rPr>
                <w:rFonts w:ascii="Georgia" w:hAnsi="Georgia" w:cs="Arial"/>
                <w:noProof/>
                <w:sz w:val="20"/>
              </w:rPr>
              <w:t> </w:t>
            </w:r>
            <w:r w:rsidRPr="000D3EC0">
              <w:rPr>
                <w:rFonts w:ascii="Georgia" w:hAnsi="Georgia" w:cs="Arial"/>
                <w:noProof/>
                <w:sz w:val="20"/>
              </w:rPr>
              <w:t> </w:t>
            </w:r>
            <w:r w:rsidRPr="000D3EC0">
              <w:rPr>
                <w:rFonts w:ascii="Georgia" w:hAnsi="Georgia" w:cs="Arial"/>
                <w:noProof/>
                <w:sz w:val="20"/>
              </w:rPr>
              <w:t> </w:t>
            </w:r>
            <w:r w:rsidRPr="000D3EC0">
              <w:rPr>
                <w:rFonts w:ascii="Georgia" w:hAnsi="Georgia" w:cs="Arial"/>
                <w:sz w:val="20"/>
              </w:rPr>
              <w:fldChar w:fldCharType="end"/>
            </w:r>
          </w:p>
        </w:tc>
      </w:tr>
    </w:tbl>
    <w:p w:rsidR="00C56FCC" w:rsidRPr="000D3EC0" w:rsidRDefault="00C56FCC" w:rsidP="00263AF7">
      <w:r>
        <w:t>It will help us analyse submissions if you provide some information about yourself. However, this is optional</w:t>
      </w:r>
      <w:r w:rsidR="002C2536">
        <w:t>,</w:t>
      </w:r>
      <w:r>
        <w:t xml:space="preserve"> and you can leave this table empty if you wish.</w:t>
      </w:r>
    </w:p>
    <w:p w:rsidR="00263AF7" w:rsidRDefault="00263AF7" w:rsidP="00263AF7"/>
    <w:p w:rsidR="00263AF7" w:rsidRDefault="00263AF7" w:rsidP="00263AF7"/>
    <w:p w:rsidR="00C56FCC" w:rsidRPr="000D3EC0" w:rsidRDefault="00C56FCC" w:rsidP="00263AF7">
      <w:pPr>
        <w:spacing w:before="360"/>
      </w:pPr>
      <w:r w:rsidRPr="000D3EC0">
        <w:t xml:space="preserve">Are you submitting this as </w:t>
      </w:r>
      <w:r w:rsidRPr="00263AF7">
        <w:rPr>
          <w:i/>
          <w:sz w:val="18"/>
        </w:rPr>
        <w:t>(tick one box only in this section)</w:t>
      </w:r>
      <w:r w:rsidRPr="000D3EC0">
        <w:t>:</w:t>
      </w:r>
    </w:p>
    <w:p w:rsidR="00C56FCC" w:rsidRPr="000D3EC0" w:rsidRDefault="00C56FCC" w:rsidP="00C56FCC">
      <w:pPr>
        <w:tabs>
          <w:tab w:val="left" w:pos="1134"/>
        </w:tabs>
        <w:spacing w:before="60"/>
        <w:ind w:left="567"/>
      </w:pPr>
      <w:r w:rsidRPr="000D3EC0">
        <w:rPr>
          <w:sz w:val="28"/>
          <w:szCs w:val="28"/>
        </w:rPr>
        <w:fldChar w:fldCharType="begin">
          <w:ffData>
            <w:name w:val="Check1"/>
            <w:enabled/>
            <w:calcOnExit w:val="0"/>
            <w:checkBox>
              <w:sizeAuto/>
              <w:default w:val="0"/>
            </w:checkBox>
          </w:ffData>
        </w:fldChar>
      </w:r>
      <w:bookmarkStart w:id="85" w:name="Check1"/>
      <w:r w:rsidRPr="000D3EC0">
        <w:rPr>
          <w:sz w:val="28"/>
          <w:szCs w:val="28"/>
        </w:rPr>
        <w:instrText xml:space="preserve"> FORMCHECKBOX </w:instrText>
      </w:r>
      <w:r w:rsidR="009128D7">
        <w:rPr>
          <w:sz w:val="28"/>
          <w:szCs w:val="28"/>
        </w:rPr>
      </w:r>
      <w:r w:rsidR="009128D7">
        <w:rPr>
          <w:sz w:val="28"/>
          <w:szCs w:val="28"/>
        </w:rPr>
        <w:fldChar w:fldCharType="separate"/>
      </w:r>
      <w:r w:rsidRPr="000D3EC0">
        <w:rPr>
          <w:sz w:val="28"/>
          <w:szCs w:val="28"/>
        </w:rPr>
        <w:fldChar w:fldCharType="end"/>
      </w:r>
      <w:bookmarkEnd w:id="85"/>
      <w:r w:rsidRPr="000D3EC0">
        <w:tab/>
        <w:t>an individual or individuals (not on behalf of an organisation)</w:t>
      </w:r>
    </w:p>
    <w:p w:rsidR="00C56FCC" w:rsidRPr="000D3EC0" w:rsidRDefault="00C56FCC" w:rsidP="00C56FCC">
      <w:pPr>
        <w:tabs>
          <w:tab w:val="left" w:pos="1134"/>
        </w:tabs>
        <w:spacing w:before="60"/>
        <w:ind w:left="567"/>
      </w:pPr>
      <w:r w:rsidRPr="000D3EC0">
        <w:rPr>
          <w:sz w:val="28"/>
          <w:szCs w:val="28"/>
        </w:rPr>
        <w:fldChar w:fldCharType="begin">
          <w:ffData>
            <w:name w:val="Check2"/>
            <w:enabled/>
            <w:calcOnExit w:val="0"/>
            <w:checkBox>
              <w:sizeAuto/>
              <w:default w:val="0"/>
            </w:checkBox>
          </w:ffData>
        </w:fldChar>
      </w:r>
      <w:bookmarkStart w:id="86" w:name="Check2"/>
      <w:r w:rsidRPr="000D3EC0">
        <w:rPr>
          <w:sz w:val="28"/>
          <w:szCs w:val="28"/>
        </w:rPr>
        <w:instrText xml:space="preserve"> FORMCHECKBOX </w:instrText>
      </w:r>
      <w:r w:rsidR="009128D7">
        <w:rPr>
          <w:sz w:val="28"/>
          <w:szCs w:val="28"/>
        </w:rPr>
      </w:r>
      <w:r w:rsidR="009128D7">
        <w:rPr>
          <w:sz w:val="28"/>
          <w:szCs w:val="28"/>
        </w:rPr>
        <w:fldChar w:fldCharType="separate"/>
      </w:r>
      <w:r w:rsidRPr="000D3EC0">
        <w:rPr>
          <w:sz w:val="28"/>
          <w:szCs w:val="28"/>
        </w:rPr>
        <w:fldChar w:fldCharType="end"/>
      </w:r>
      <w:bookmarkEnd w:id="86"/>
      <w:r w:rsidRPr="000D3EC0">
        <w:tab/>
        <w:t>on behalf of a group or organisation(s)</w:t>
      </w:r>
      <w:r w:rsidR="002C2536">
        <w:t>?</w:t>
      </w:r>
    </w:p>
    <w:p w:rsidR="00C56FCC" w:rsidRDefault="00C56FCC" w:rsidP="00263AF7"/>
    <w:p w:rsidR="009A54BE" w:rsidRDefault="009A54BE" w:rsidP="009A54BE">
      <w:r>
        <w:t xml:space="preserve">We intend to publish all submissions on the Ministry’s website. If you are submitting as an individual, we will automatically remove your personal details and any identifiable information. </w:t>
      </w:r>
    </w:p>
    <w:p w:rsidR="009A54BE" w:rsidRDefault="009A54BE" w:rsidP="009A54BE"/>
    <w:p w:rsidR="009A54BE" w:rsidRDefault="009A54BE" w:rsidP="009A54BE">
      <w:r w:rsidRPr="00B34287">
        <w:t>If you do not want your submission</w:t>
      </w:r>
      <w:r>
        <w:t xml:space="preserve"> published on the Ministry’s website</w:t>
      </w:r>
      <w:r w:rsidRPr="00B34287">
        <w:t>, please tick this box:</w:t>
      </w:r>
    </w:p>
    <w:p w:rsidR="009A54BE" w:rsidRPr="000D3EC0" w:rsidRDefault="009A54BE" w:rsidP="009A54BE">
      <w:pPr>
        <w:tabs>
          <w:tab w:val="left" w:pos="1134"/>
        </w:tabs>
        <w:spacing w:before="60"/>
        <w:ind w:left="567"/>
      </w:pPr>
      <w:r>
        <w:rPr>
          <w:sz w:val="28"/>
          <w:szCs w:val="28"/>
        </w:rPr>
        <w:fldChar w:fldCharType="begin">
          <w:ffData>
            <w:name w:val=""/>
            <w:enabled/>
            <w:calcOnExit w:val="0"/>
            <w:checkBox>
              <w:sizeAuto/>
              <w:default w:val="0"/>
            </w:checkBox>
          </w:ffData>
        </w:fldChar>
      </w:r>
      <w:r>
        <w:rPr>
          <w:sz w:val="28"/>
          <w:szCs w:val="28"/>
        </w:rPr>
        <w:instrText xml:space="preserve"> FORMCHECKBOX </w:instrText>
      </w:r>
      <w:r w:rsidR="009128D7">
        <w:rPr>
          <w:sz w:val="28"/>
          <w:szCs w:val="28"/>
        </w:rPr>
      </w:r>
      <w:r w:rsidR="009128D7">
        <w:rPr>
          <w:sz w:val="28"/>
          <w:szCs w:val="28"/>
        </w:rPr>
        <w:fldChar w:fldCharType="separate"/>
      </w:r>
      <w:r>
        <w:rPr>
          <w:sz w:val="28"/>
          <w:szCs w:val="28"/>
        </w:rPr>
        <w:fldChar w:fldCharType="end"/>
      </w:r>
      <w:r w:rsidRPr="000D3EC0">
        <w:tab/>
      </w:r>
      <w:r>
        <w:t>Do not publish this submission</w:t>
      </w:r>
    </w:p>
    <w:p w:rsidR="009A54BE" w:rsidRDefault="009A54BE" w:rsidP="009A54BE"/>
    <w:p w:rsidR="009A54BE" w:rsidRDefault="009A54BE" w:rsidP="009A54BE">
      <w:r>
        <w:t xml:space="preserve">Your submission will be subject to requests made under the Official Information Act. If you want your personal details removed from your submission, please tick this box:  </w:t>
      </w:r>
    </w:p>
    <w:p w:rsidR="00263AF7" w:rsidRDefault="009A54BE" w:rsidP="009A54BE">
      <w:pPr>
        <w:spacing w:before="60"/>
        <w:ind w:firstLine="567"/>
      </w:pPr>
      <w:r w:rsidRPr="000D3EC0">
        <w:rPr>
          <w:sz w:val="28"/>
          <w:szCs w:val="28"/>
        </w:rPr>
        <w:fldChar w:fldCharType="begin">
          <w:ffData>
            <w:name w:val="Check1"/>
            <w:enabled/>
            <w:calcOnExit w:val="0"/>
            <w:checkBox>
              <w:sizeAuto/>
              <w:default w:val="0"/>
            </w:checkBox>
          </w:ffData>
        </w:fldChar>
      </w:r>
      <w:r w:rsidRPr="000D3EC0">
        <w:rPr>
          <w:sz w:val="28"/>
          <w:szCs w:val="28"/>
        </w:rPr>
        <w:instrText xml:space="preserve"> FORMCHECKBOX </w:instrText>
      </w:r>
      <w:r w:rsidR="009128D7">
        <w:rPr>
          <w:sz w:val="28"/>
          <w:szCs w:val="28"/>
        </w:rPr>
      </w:r>
      <w:r w:rsidR="009128D7">
        <w:rPr>
          <w:sz w:val="28"/>
          <w:szCs w:val="28"/>
        </w:rPr>
        <w:fldChar w:fldCharType="separate"/>
      </w:r>
      <w:r w:rsidRPr="000D3EC0">
        <w:rPr>
          <w:sz w:val="28"/>
          <w:szCs w:val="28"/>
        </w:rPr>
        <w:fldChar w:fldCharType="end"/>
      </w:r>
      <w:r>
        <w:rPr>
          <w:sz w:val="28"/>
          <w:szCs w:val="28"/>
        </w:rPr>
        <w:tab/>
      </w:r>
      <w:r w:rsidRPr="009A54BE">
        <w:rPr>
          <w:szCs w:val="22"/>
        </w:rPr>
        <w:t>Remove my personal details from responses to Official Information Act requests</w:t>
      </w:r>
      <w:r>
        <w:rPr>
          <w:sz w:val="28"/>
          <w:szCs w:val="28"/>
        </w:rPr>
        <w:t xml:space="preserve"> </w:t>
      </w:r>
    </w:p>
    <w:p w:rsidR="00263AF7" w:rsidRDefault="00263AF7" w:rsidP="00263AF7"/>
    <w:p w:rsidR="00C56FCC" w:rsidRPr="000D3EC0" w:rsidRDefault="00C56FCC" w:rsidP="00263AF7">
      <w:pPr>
        <w:spacing w:before="360"/>
      </w:pPr>
      <w:r w:rsidRPr="000D3EC0">
        <w:t>Please indicate which sector(s) your submission reflects</w:t>
      </w:r>
      <w:r w:rsidRPr="000D3EC0">
        <w:br/>
      </w:r>
      <w:r w:rsidRPr="000D3EC0">
        <w:rPr>
          <w:i/>
          <w:sz w:val="18"/>
        </w:rPr>
        <w:t>(you may tick more than one box in this section)</w:t>
      </w:r>
      <w:r w:rsidRPr="000D3EC0">
        <w:t>:</w:t>
      </w:r>
    </w:p>
    <w:p w:rsidR="00C56FCC" w:rsidRPr="000D3EC0" w:rsidRDefault="00C56FCC" w:rsidP="00C56FCC">
      <w:pPr>
        <w:tabs>
          <w:tab w:val="left" w:pos="1134"/>
          <w:tab w:val="left" w:pos="4536"/>
          <w:tab w:val="left" w:pos="4820"/>
        </w:tabs>
        <w:spacing w:before="60" w:after="60"/>
        <w:ind w:left="567"/>
      </w:pPr>
      <w:r w:rsidRPr="000D3EC0">
        <w:rPr>
          <w:sz w:val="28"/>
          <w:szCs w:val="28"/>
        </w:rPr>
        <w:fldChar w:fldCharType="begin">
          <w:ffData>
            <w:name w:val=""/>
            <w:enabled/>
            <w:calcOnExit w:val="0"/>
            <w:checkBox>
              <w:sizeAuto/>
              <w:default w:val="0"/>
            </w:checkBox>
          </w:ffData>
        </w:fldChar>
      </w:r>
      <w:r w:rsidRPr="000D3EC0">
        <w:rPr>
          <w:sz w:val="28"/>
          <w:szCs w:val="28"/>
        </w:rPr>
        <w:instrText xml:space="preserve"> FORMCHECKBOX </w:instrText>
      </w:r>
      <w:r w:rsidR="009128D7">
        <w:rPr>
          <w:sz w:val="28"/>
          <w:szCs w:val="28"/>
        </w:rPr>
      </w:r>
      <w:r w:rsidR="009128D7">
        <w:rPr>
          <w:sz w:val="28"/>
          <w:szCs w:val="28"/>
        </w:rPr>
        <w:fldChar w:fldCharType="separate"/>
      </w:r>
      <w:r w:rsidRPr="000D3EC0">
        <w:rPr>
          <w:sz w:val="28"/>
          <w:szCs w:val="28"/>
        </w:rPr>
        <w:fldChar w:fldCharType="end"/>
      </w:r>
      <w:r w:rsidRPr="000D3EC0">
        <w:tab/>
        <w:t>Māori</w:t>
      </w:r>
      <w:r w:rsidRPr="000D3EC0">
        <w:tab/>
      </w:r>
      <w:r w:rsidRPr="000D3EC0">
        <w:rPr>
          <w:sz w:val="28"/>
          <w:szCs w:val="28"/>
        </w:rPr>
        <w:fldChar w:fldCharType="begin">
          <w:ffData>
            <w:name w:val="Check1"/>
            <w:enabled/>
            <w:calcOnExit w:val="0"/>
            <w:checkBox>
              <w:sizeAuto/>
              <w:default w:val="0"/>
            </w:checkBox>
          </w:ffData>
        </w:fldChar>
      </w:r>
      <w:r w:rsidRPr="000D3EC0">
        <w:rPr>
          <w:sz w:val="28"/>
          <w:szCs w:val="28"/>
        </w:rPr>
        <w:instrText xml:space="preserve"> FORMCHECKBOX </w:instrText>
      </w:r>
      <w:r w:rsidR="009128D7">
        <w:rPr>
          <w:sz w:val="28"/>
          <w:szCs w:val="28"/>
        </w:rPr>
      </w:r>
      <w:r w:rsidR="009128D7">
        <w:rPr>
          <w:sz w:val="28"/>
          <w:szCs w:val="28"/>
        </w:rPr>
        <w:fldChar w:fldCharType="separate"/>
      </w:r>
      <w:r w:rsidRPr="000D3EC0">
        <w:rPr>
          <w:sz w:val="28"/>
          <w:szCs w:val="28"/>
        </w:rPr>
        <w:fldChar w:fldCharType="end"/>
      </w:r>
      <w:r w:rsidRPr="000D3EC0">
        <w:tab/>
        <w:t>Professional association</w:t>
      </w:r>
    </w:p>
    <w:p w:rsidR="00C56FCC" w:rsidRPr="000D3EC0" w:rsidRDefault="00C56FCC" w:rsidP="00C56FCC">
      <w:pPr>
        <w:tabs>
          <w:tab w:val="left" w:pos="1134"/>
          <w:tab w:val="left" w:pos="4536"/>
          <w:tab w:val="left" w:pos="4820"/>
        </w:tabs>
        <w:spacing w:before="60" w:after="60"/>
        <w:ind w:left="567"/>
      </w:pPr>
      <w:r w:rsidRPr="000D3EC0">
        <w:rPr>
          <w:sz w:val="28"/>
          <w:szCs w:val="28"/>
        </w:rPr>
        <w:fldChar w:fldCharType="begin">
          <w:ffData>
            <w:name w:val="Check1"/>
            <w:enabled/>
            <w:calcOnExit w:val="0"/>
            <w:checkBox>
              <w:sizeAuto/>
              <w:default w:val="0"/>
            </w:checkBox>
          </w:ffData>
        </w:fldChar>
      </w:r>
      <w:r w:rsidRPr="000D3EC0">
        <w:rPr>
          <w:sz w:val="28"/>
          <w:szCs w:val="28"/>
        </w:rPr>
        <w:instrText xml:space="preserve"> FORMCHECKBOX </w:instrText>
      </w:r>
      <w:r w:rsidR="009128D7">
        <w:rPr>
          <w:sz w:val="28"/>
          <w:szCs w:val="28"/>
        </w:rPr>
      </w:r>
      <w:r w:rsidR="009128D7">
        <w:rPr>
          <w:sz w:val="28"/>
          <w:szCs w:val="28"/>
        </w:rPr>
        <w:fldChar w:fldCharType="separate"/>
      </w:r>
      <w:r w:rsidRPr="000D3EC0">
        <w:rPr>
          <w:sz w:val="28"/>
          <w:szCs w:val="28"/>
        </w:rPr>
        <w:fldChar w:fldCharType="end"/>
      </w:r>
      <w:r w:rsidRPr="000D3EC0">
        <w:tab/>
        <w:t>Pacific</w:t>
      </w:r>
      <w:r w:rsidRPr="000D3EC0">
        <w:tab/>
      </w:r>
      <w:r w:rsidRPr="000D3EC0">
        <w:rPr>
          <w:sz w:val="28"/>
          <w:szCs w:val="28"/>
        </w:rPr>
        <w:fldChar w:fldCharType="begin">
          <w:ffData>
            <w:name w:val="Check1"/>
            <w:enabled/>
            <w:calcOnExit w:val="0"/>
            <w:checkBox>
              <w:sizeAuto/>
              <w:default w:val="0"/>
            </w:checkBox>
          </w:ffData>
        </w:fldChar>
      </w:r>
      <w:r w:rsidRPr="000D3EC0">
        <w:rPr>
          <w:sz w:val="28"/>
          <w:szCs w:val="28"/>
        </w:rPr>
        <w:instrText xml:space="preserve"> FORMCHECKBOX </w:instrText>
      </w:r>
      <w:r w:rsidR="009128D7">
        <w:rPr>
          <w:sz w:val="28"/>
          <w:szCs w:val="28"/>
        </w:rPr>
      </w:r>
      <w:r w:rsidR="009128D7">
        <w:rPr>
          <w:sz w:val="28"/>
          <w:szCs w:val="28"/>
        </w:rPr>
        <w:fldChar w:fldCharType="separate"/>
      </w:r>
      <w:r w:rsidRPr="000D3EC0">
        <w:rPr>
          <w:sz w:val="28"/>
          <w:szCs w:val="28"/>
        </w:rPr>
        <w:fldChar w:fldCharType="end"/>
      </w:r>
      <w:r w:rsidRPr="000D3EC0">
        <w:tab/>
        <w:t>Justice sector</w:t>
      </w:r>
    </w:p>
    <w:p w:rsidR="00C56FCC" w:rsidRPr="000D3EC0" w:rsidRDefault="00C56FCC" w:rsidP="00C56FCC">
      <w:pPr>
        <w:tabs>
          <w:tab w:val="left" w:pos="1134"/>
          <w:tab w:val="left" w:pos="4536"/>
          <w:tab w:val="left" w:pos="4820"/>
        </w:tabs>
        <w:spacing w:before="60" w:after="60"/>
        <w:ind w:left="567"/>
      </w:pPr>
      <w:r w:rsidRPr="000D3EC0">
        <w:rPr>
          <w:sz w:val="28"/>
          <w:szCs w:val="28"/>
        </w:rPr>
        <w:fldChar w:fldCharType="begin">
          <w:ffData>
            <w:name w:val="Check1"/>
            <w:enabled/>
            <w:calcOnExit w:val="0"/>
            <w:checkBox>
              <w:sizeAuto/>
              <w:default w:val="0"/>
            </w:checkBox>
          </w:ffData>
        </w:fldChar>
      </w:r>
      <w:r w:rsidRPr="000D3EC0">
        <w:rPr>
          <w:sz w:val="28"/>
          <w:szCs w:val="28"/>
        </w:rPr>
        <w:instrText xml:space="preserve"> FORMCHECKBOX </w:instrText>
      </w:r>
      <w:r w:rsidR="009128D7">
        <w:rPr>
          <w:sz w:val="28"/>
          <w:szCs w:val="28"/>
        </w:rPr>
      </w:r>
      <w:r w:rsidR="009128D7">
        <w:rPr>
          <w:sz w:val="28"/>
          <w:szCs w:val="28"/>
        </w:rPr>
        <w:fldChar w:fldCharType="separate"/>
      </w:r>
      <w:r w:rsidRPr="000D3EC0">
        <w:rPr>
          <w:sz w:val="28"/>
          <w:szCs w:val="28"/>
        </w:rPr>
        <w:fldChar w:fldCharType="end"/>
      </w:r>
      <w:r w:rsidRPr="000D3EC0">
        <w:tab/>
        <w:t>Asian</w:t>
      </w:r>
      <w:r w:rsidRPr="000D3EC0">
        <w:tab/>
      </w:r>
      <w:r w:rsidRPr="000D3EC0">
        <w:rPr>
          <w:sz w:val="28"/>
          <w:szCs w:val="28"/>
        </w:rPr>
        <w:fldChar w:fldCharType="begin">
          <w:ffData>
            <w:name w:val="Check1"/>
            <w:enabled/>
            <w:calcOnExit w:val="0"/>
            <w:checkBox>
              <w:sizeAuto/>
              <w:default w:val="0"/>
            </w:checkBox>
          </w:ffData>
        </w:fldChar>
      </w:r>
      <w:r w:rsidRPr="000D3EC0">
        <w:rPr>
          <w:sz w:val="28"/>
          <w:szCs w:val="28"/>
        </w:rPr>
        <w:instrText xml:space="preserve"> FORMCHECKBOX </w:instrText>
      </w:r>
      <w:r w:rsidR="009128D7">
        <w:rPr>
          <w:sz w:val="28"/>
          <w:szCs w:val="28"/>
        </w:rPr>
      </w:r>
      <w:r w:rsidR="009128D7">
        <w:rPr>
          <w:sz w:val="28"/>
          <w:szCs w:val="28"/>
        </w:rPr>
        <w:fldChar w:fldCharType="separate"/>
      </w:r>
      <w:r w:rsidRPr="000D3EC0">
        <w:rPr>
          <w:sz w:val="28"/>
          <w:szCs w:val="28"/>
        </w:rPr>
        <w:fldChar w:fldCharType="end"/>
      </w:r>
      <w:r w:rsidRPr="000D3EC0">
        <w:tab/>
        <w:t>Education sector</w:t>
      </w:r>
    </w:p>
    <w:p w:rsidR="00C56FCC" w:rsidRPr="000D3EC0" w:rsidRDefault="00C56FCC" w:rsidP="00C56FCC">
      <w:pPr>
        <w:tabs>
          <w:tab w:val="left" w:pos="1134"/>
          <w:tab w:val="left" w:pos="4536"/>
          <w:tab w:val="left" w:pos="4820"/>
        </w:tabs>
        <w:spacing w:before="60" w:after="60"/>
        <w:ind w:left="567"/>
      </w:pPr>
      <w:r w:rsidRPr="000D3EC0">
        <w:rPr>
          <w:sz w:val="28"/>
          <w:szCs w:val="28"/>
        </w:rPr>
        <w:fldChar w:fldCharType="begin">
          <w:ffData>
            <w:name w:val="Check1"/>
            <w:enabled/>
            <w:calcOnExit w:val="0"/>
            <w:checkBox>
              <w:sizeAuto/>
              <w:default w:val="0"/>
            </w:checkBox>
          </w:ffData>
        </w:fldChar>
      </w:r>
      <w:r w:rsidRPr="000D3EC0">
        <w:rPr>
          <w:sz w:val="28"/>
          <w:szCs w:val="28"/>
        </w:rPr>
        <w:instrText xml:space="preserve"> FORMCHECKBOX </w:instrText>
      </w:r>
      <w:r w:rsidR="009128D7">
        <w:rPr>
          <w:sz w:val="28"/>
          <w:szCs w:val="28"/>
        </w:rPr>
      </w:r>
      <w:r w:rsidR="009128D7">
        <w:rPr>
          <w:sz w:val="28"/>
          <w:szCs w:val="28"/>
        </w:rPr>
        <w:fldChar w:fldCharType="separate"/>
      </w:r>
      <w:r w:rsidRPr="000D3EC0">
        <w:rPr>
          <w:sz w:val="28"/>
          <w:szCs w:val="28"/>
        </w:rPr>
        <w:fldChar w:fldCharType="end"/>
      </w:r>
      <w:r w:rsidRPr="000D3EC0">
        <w:tab/>
        <w:t>Consumers/families/whānau</w:t>
      </w:r>
      <w:r w:rsidRPr="000D3EC0">
        <w:tab/>
      </w:r>
      <w:r w:rsidRPr="000D3EC0">
        <w:rPr>
          <w:sz w:val="28"/>
          <w:szCs w:val="28"/>
        </w:rPr>
        <w:fldChar w:fldCharType="begin">
          <w:ffData>
            <w:name w:val="Check1"/>
            <w:enabled/>
            <w:calcOnExit w:val="0"/>
            <w:checkBox>
              <w:sizeAuto/>
              <w:default w:val="0"/>
            </w:checkBox>
          </w:ffData>
        </w:fldChar>
      </w:r>
      <w:r w:rsidRPr="000D3EC0">
        <w:rPr>
          <w:sz w:val="28"/>
          <w:szCs w:val="28"/>
        </w:rPr>
        <w:instrText xml:space="preserve"> FORMCHECKBOX </w:instrText>
      </w:r>
      <w:r w:rsidR="009128D7">
        <w:rPr>
          <w:sz w:val="28"/>
          <w:szCs w:val="28"/>
        </w:rPr>
      </w:r>
      <w:r w:rsidR="009128D7">
        <w:rPr>
          <w:sz w:val="28"/>
          <w:szCs w:val="28"/>
        </w:rPr>
        <w:fldChar w:fldCharType="separate"/>
      </w:r>
      <w:r w:rsidRPr="000D3EC0">
        <w:rPr>
          <w:sz w:val="28"/>
          <w:szCs w:val="28"/>
        </w:rPr>
        <w:fldChar w:fldCharType="end"/>
      </w:r>
      <w:r w:rsidRPr="000D3EC0">
        <w:tab/>
        <w:t>Social sector</w:t>
      </w:r>
    </w:p>
    <w:p w:rsidR="00C56FCC" w:rsidRPr="000D3EC0" w:rsidRDefault="00C56FCC" w:rsidP="00C56FCC">
      <w:pPr>
        <w:tabs>
          <w:tab w:val="left" w:pos="1134"/>
          <w:tab w:val="left" w:pos="4536"/>
          <w:tab w:val="left" w:pos="4820"/>
        </w:tabs>
        <w:spacing w:before="60" w:after="60"/>
        <w:ind w:left="567"/>
      </w:pPr>
      <w:r w:rsidRPr="000D3EC0">
        <w:rPr>
          <w:sz w:val="28"/>
          <w:szCs w:val="28"/>
        </w:rPr>
        <w:fldChar w:fldCharType="begin">
          <w:ffData>
            <w:name w:val="Check1"/>
            <w:enabled/>
            <w:calcOnExit w:val="0"/>
            <w:checkBox>
              <w:sizeAuto/>
              <w:default w:val="0"/>
            </w:checkBox>
          </w:ffData>
        </w:fldChar>
      </w:r>
      <w:r w:rsidRPr="000D3EC0">
        <w:rPr>
          <w:sz w:val="28"/>
          <w:szCs w:val="28"/>
        </w:rPr>
        <w:instrText xml:space="preserve"> FORMCHECKBOX </w:instrText>
      </w:r>
      <w:r w:rsidR="009128D7">
        <w:rPr>
          <w:sz w:val="28"/>
          <w:szCs w:val="28"/>
        </w:rPr>
      </w:r>
      <w:r w:rsidR="009128D7">
        <w:rPr>
          <w:sz w:val="28"/>
          <w:szCs w:val="28"/>
        </w:rPr>
        <w:fldChar w:fldCharType="separate"/>
      </w:r>
      <w:r w:rsidRPr="000D3EC0">
        <w:rPr>
          <w:sz w:val="28"/>
          <w:szCs w:val="28"/>
        </w:rPr>
        <w:fldChar w:fldCharType="end"/>
      </w:r>
      <w:r w:rsidRPr="000D3EC0">
        <w:tab/>
        <w:t>Service provider</w:t>
      </w:r>
      <w:r w:rsidRPr="000D3EC0">
        <w:tab/>
      </w:r>
      <w:r w:rsidRPr="000D3EC0">
        <w:rPr>
          <w:sz w:val="28"/>
          <w:szCs w:val="28"/>
        </w:rPr>
        <w:fldChar w:fldCharType="begin">
          <w:ffData>
            <w:name w:val="Check1"/>
            <w:enabled/>
            <w:calcOnExit w:val="0"/>
            <w:checkBox>
              <w:sizeAuto/>
              <w:default w:val="0"/>
            </w:checkBox>
          </w:ffData>
        </w:fldChar>
      </w:r>
      <w:r w:rsidRPr="000D3EC0">
        <w:rPr>
          <w:sz w:val="28"/>
          <w:szCs w:val="28"/>
        </w:rPr>
        <w:instrText xml:space="preserve"> FORMCHECKBOX </w:instrText>
      </w:r>
      <w:r w:rsidR="009128D7">
        <w:rPr>
          <w:sz w:val="28"/>
          <w:szCs w:val="28"/>
        </w:rPr>
      </w:r>
      <w:r w:rsidR="009128D7">
        <w:rPr>
          <w:sz w:val="28"/>
          <w:szCs w:val="28"/>
        </w:rPr>
        <w:fldChar w:fldCharType="separate"/>
      </w:r>
      <w:r w:rsidRPr="000D3EC0">
        <w:rPr>
          <w:sz w:val="28"/>
          <w:szCs w:val="28"/>
        </w:rPr>
        <w:fldChar w:fldCharType="end"/>
      </w:r>
      <w:r w:rsidRPr="000D3EC0">
        <w:tab/>
        <w:t>Academic/research</w:t>
      </w:r>
    </w:p>
    <w:p w:rsidR="00C56FCC" w:rsidRPr="000D3EC0" w:rsidRDefault="00C56FCC" w:rsidP="00C56FCC">
      <w:pPr>
        <w:tabs>
          <w:tab w:val="left" w:pos="1134"/>
          <w:tab w:val="left" w:pos="4536"/>
          <w:tab w:val="left" w:pos="4820"/>
        </w:tabs>
        <w:spacing w:before="60" w:after="60"/>
        <w:ind w:left="567"/>
      </w:pPr>
      <w:r w:rsidRPr="000D3EC0">
        <w:rPr>
          <w:sz w:val="28"/>
          <w:szCs w:val="28"/>
        </w:rPr>
        <w:fldChar w:fldCharType="begin">
          <w:ffData>
            <w:name w:val="Check1"/>
            <w:enabled/>
            <w:calcOnExit w:val="0"/>
            <w:checkBox>
              <w:sizeAuto/>
              <w:default w:val="0"/>
            </w:checkBox>
          </w:ffData>
        </w:fldChar>
      </w:r>
      <w:r w:rsidRPr="000D3EC0">
        <w:rPr>
          <w:sz w:val="28"/>
          <w:szCs w:val="28"/>
        </w:rPr>
        <w:instrText xml:space="preserve"> FORMCHECKBOX </w:instrText>
      </w:r>
      <w:r w:rsidR="009128D7">
        <w:rPr>
          <w:sz w:val="28"/>
          <w:szCs w:val="28"/>
        </w:rPr>
      </w:r>
      <w:r w:rsidR="009128D7">
        <w:rPr>
          <w:sz w:val="28"/>
          <w:szCs w:val="28"/>
        </w:rPr>
        <w:fldChar w:fldCharType="separate"/>
      </w:r>
      <w:r w:rsidRPr="000D3EC0">
        <w:rPr>
          <w:sz w:val="28"/>
          <w:szCs w:val="28"/>
        </w:rPr>
        <w:fldChar w:fldCharType="end"/>
      </w:r>
      <w:r w:rsidRPr="000D3EC0">
        <w:tab/>
        <w:t>Non-government</w:t>
      </w:r>
      <w:r>
        <w:t>al</w:t>
      </w:r>
      <w:r w:rsidRPr="000D3EC0">
        <w:t xml:space="preserve"> organisation</w:t>
      </w:r>
      <w:r w:rsidRPr="000D3EC0">
        <w:tab/>
      </w:r>
      <w:r w:rsidRPr="000D3EC0">
        <w:rPr>
          <w:sz w:val="28"/>
          <w:szCs w:val="28"/>
        </w:rPr>
        <w:fldChar w:fldCharType="begin">
          <w:ffData>
            <w:name w:val="Check1"/>
            <w:enabled/>
            <w:calcOnExit w:val="0"/>
            <w:checkBox>
              <w:sizeAuto/>
              <w:default w:val="0"/>
            </w:checkBox>
          </w:ffData>
        </w:fldChar>
      </w:r>
      <w:r w:rsidRPr="000D3EC0">
        <w:rPr>
          <w:sz w:val="28"/>
          <w:szCs w:val="28"/>
        </w:rPr>
        <w:instrText xml:space="preserve"> FORMCHECKBOX </w:instrText>
      </w:r>
      <w:r w:rsidR="009128D7">
        <w:rPr>
          <w:sz w:val="28"/>
          <w:szCs w:val="28"/>
        </w:rPr>
      </w:r>
      <w:r w:rsidR="009128D7">
        <w:rPr>
          <w:sz w:val="28"/>
          <w:szCs w:val="28"/>
        </w:rPr>
        <w:fldChar w:fldCharType="separate"/>
      </w:r>
      <w:r w:rsidRPr="000D3EC0">
        <w:rPr>
          <w:sz w:val="28"/>
          <w:szCs w:val="28"/>
        </w:rPr>
        <w:fldChar w:fldCharType="end"/>
      </w:r>
      <w:r w:rsidRPr="000D3EC0">
        <w:tab/>
        <w:t>Local government</w:t>
      </w:r>
    </w:p>
    <w:p w:rsidR="00C56FCC" w:rsidRPr="000D3EC0" w:rsidRDefault="00C56FCC" w:rsidP="00C56FCC">
      <w:pPr>
        <w:tabs>
          <w:tab w:val="left" w:pos="1134"/>
          <w:tab w:val="left" w:pos="4536"/>
          <w:tab w:val="left" w:pos="4820"/>
        </w:tabs>
        <w:spacing w:before="60" w:after="60"/>
        <w:ind w:left="567"/>
      </w:pPr>
      <w:r w:rsidRPr="000D3EC0">
        <w:rPr>
          <w:sz w:val="28"/>
          <w:szCs w:val="28"/>
        </w:rPr>
        <w:fldChar w:fldCharType="begin">
          <w:ffData>
            <w:name w:val="Check1"/>
            <w:enabled/>
            <w:calcOnExit w:val="0"/>
            <w:checkBox>
              <w:sizeAuto/>
              <w:default w:val="0"/>
            </w:checkBox>
          </w:ffData>
        </w:fldChar>
      </w:r>
      <w:r w:rsidRPr="000D3EC0">
        <w:rPr>
          <w:sz w:val="28"/>
          <w:szCs w:val="28"/>
        </w:rPr>
        <w:instrText xml:space="preserve"> FORMCHECKBOX </w:instrText>
      </w:r>
      <w:r w:rsidR="009128D7">
        <w:rPr>
          <w:sz w:val="28"/>
          <w:szCs w:val="28"/>
        </w:rPr>
      </w:r>
      <w:r w:rsidR="009128D7">
        <w:rPr>
          <w:sz w:val="28"/>
          <w:szCs w:val="28"/>
        </w:rPr>
        <w:fldChar w:fldCharType="separate"/>
      </w:r>
      <w:r w:rsidRPr="000D3EC0">
        <w:rPr>
          <w:sz w:val="28"/>
          <w:szCs w:val="28"/>
        </w:rPr>
        <w:fldChar w:fldCharType="end"/>
      </w:r>
      <w:r w:rsidRPr="000D3EC0">
        <w:tab/>
        <w:t>Public health organisation</w:t>
      </w:r>
      <w:r w:rsidRPr="000D3EC0">
        <w:tab/>
      </w:r>
      <w:r w:rsidRPr="000D3EC0">
        <w:rPr>
          <w:sz w:val="28"/>
          <w:szCs w:val="28"/>
        </w:rPr>
        <w:fldChar w:fldCharType="begin">
          <w:ffData>
            <w:name w:val="Check1"/>
            <w:enabled/>
            <w:calcOnExit w:val="0"/>
            <w:checkBox>
              <w:sizeAuto/>
              <w:default w:val="0"/>
            </w:checkBox>
          </w:ffData>
        </w:fldChar>
      </w:r>
      <w:r w:rsidRPr="000D3EC0">
        <w:rPr>
          <w:sz w:val="28"/>
          <w:szCs w:val="28"/>
        </w:rPr>
        <w:instrText xml:space="preserve"> FORMCHECKBOX </w:instrText>
      </w:r>
      <w:r w:rsidR="009128D7">
        <w:rPr>
          <w:sz w:val="28"/>
          <w:szCs w:val="28"/>
        </w:rPr>
      </w:r>
      <w:r w:rsidR="009128D7">
        <w:rPr>
          <w:sz w:val="28"/>
          <w:szCs w:val="28"/>
        </w:rPr>
        <w:fldChar w:fldCharType="separate"/>
      </w:r>
      <w:r w:rsidRPr="000D3EC0">
        <w:rPr>
          <w:sz w:val="28"/>
          <w:szCs w:val="28"/>
        </w:rPr>
        <w:fldChar w:fldCharType="end"/>
      </w:r>
      <w:r w:rsidRPr="000D3EC0">
        <w:tab/>
        <w:t>Industry</w:t>
      </w:r>
    </w:p>
    <w:p w:rsidR="00C56FCC" w:rsidRPr="000D3EC0" w:rsidRDefault="00C56FCC" w:rsidP="00C56FCC">
      <w:pPr>
        <w:tabs>
          <w:tab w:val="left" w:pos="1134"/>
          <w:tab w:val="left" w:pos="4536"/>
          <w:tab w:val="left" w:pos="4820"/>
        </w:tabs>
        <w:spacing w:before="60" w:after="60"/>
        <w:ind w:left="567"/>
        <w:rPr>
          <w:spacing w:val="-2"/>
        </w:rPr>
      </w:pPr>
      <w:r w:rsidRPr="000D3EC0">
        <w:rPr>
          <w:sz w:val="28"/>
          <w:szCs w:val="28"/>
        </w:rPr>
        <w:fldChar w:fldCharType="begin">
          <w:ffData>
            <w:name w:val="Check1"/>
            <w:enabled/>
            <w:calcOnExit w:val="0"/>
            <w:checkBox>
              <w:sizeAuto/>
              <w:default w:val="0"/>
            </w:checkBox>
          </w:ffData>
        </w:fldChar>
      </w:r>
      <w:r w:rsidRPr="000D3EC0">
        <w:rPr>
          <w:sz w:val="28"/>
          <w:szCs w:val="28"/>
        </w:rPr>
        <w:instrText xml:space="preserve"> FORMCHECKBOX </w:instrText>
      </w:r>
      <w:r w:rsidR="009128D7">
        <w:rPr>
          <w:sz w:val="28"/>
          <w:szCs w:val="28"/>
        </w:rPr>
      </w:r>
      <w:r w:rsidR="009128D7">
        <w:rPr>
          <w:sz w:val="28"/>
          <w:szCs w:val="28"/>
        </w:rPr>
        <w:fldChar w:fldCharType="separate"/>
      </w:r>
      <w:r w:rsidRPr="000D3EC0">
        <w:rPr>
          <w:sz w:val="28"/>
          <w:szCs w:val="28"/>
        </w:rPr>
        <w:fldChar w:fldCharType="end"/>
      </w:r>
      <w:r w:rsidRPr="000D3EC0">
        <w:tab/>
        <w:t>Primary health organisation</w:t>
      </w:r>
    </w:p>
    <w:p w:rsidR="00F91482" w:rsidRDefault="00C56FCC" w:rsidP="00C56FCC">
      <w:pPr>
        <w:tabs>
          <w:tab w:val="left" w:pos="1134"/>
          <w:tab w:val="left" w:pos="4536"/>
          <w:tab w:val="left" w:pos="4820"/>
        </w:tabs>
        <w:spacing w:before="60" w:after="60"/>
        <w:ind w:left="5103" w:hanging="4536"/>
        <w:rPr>
          <w:iCs/>
        </w:rPr>
      </w:pPr>
      <w:r w:rsidRPr="000D3EC0">
        <w:rPr>
          <w:sz w:val="28"/>
          <w:szCs w:val="28"/>
        </w:rPr>
        <w:fldChar w:fldCharType="begin">
          <w:ffData>
            <w:name w:val="Check1"/>
            <w:enabled/>
            <w:calcOnExit w:val="0"/>
            <w:checkBox>
              <w:sizeAuto/>
              <w:default w:val="0"/>
            </w:checkBox>
          </w:ffData>
        </w:fldChar>
      </w:r>
      <w:r w:rsidRPr="000D3EC0">
        <w:rPr>
          <w:sz w:val="28"/>
          <w:szCs w:val="28"/>
        </w:rPr>
        <w:instrText xml:space="preserve"> FORMCHECKBOX </w:instrText>
      </w:r>
      <w:r w:rsidR="009128D7">
        <w:rPr>
          <w:sz w:val="28"/>
          <w:szCs w:val="28"/>
        </w:rPr>
      </w:r>
      <w:r w:rsidR="009128D7">
        <w:rPr>
          <w:sz w:val="28"/>
          <w:szCs w:val="28"/>
        </w:rPr>
        <w:fldChar w:fldCharType="separate"/>
      </w:r>
      <w:r w:rsidRPr="000D3EC0">
        <w:rPr>
          <w:sz w:val="28"/>
          <w:szCs w:val="28"/>
        </w:rPr>
        <w:fldChar w:fldCharType="end"/>
      </w:r>
      <w:r w:rsidRPr="000D3EC0">
        <w:tab/>
        <w:t>District health board</w:t>
      </w:r>
      <w:r w:rsidRPr="000D3EC0">
        <w:tab/>
      </w:r>
      <w:r w:rsidRPr="000D3EC0">
        <w:rPr>
          <w:sz w:val="28"/>
          <w:szCs w:val="28"/>
        </w:rPr>
        <w:fldChar w:fldCharType="begin">
          <w:ffData>
            <w:name w:val="Check1"/>
            <w:enabled/>
            <w:calcOnExit w:val="0"/>
            <w:checkBox>
              <w:sizeAuto/>
              <w:default w:val="0"/>
            </w:checkBox>
          </w:ffData>
        </w:fldChar>
      </w:r>
      <w:r w:rsidRPr="000D3EC0">
        <w:rPr>
          <w:sz w:val="28"/>
          <w:szCs w:val="28"/>
        </w:rPr>
        <w:instrText xml:space="preserve"> FORMCHECKBOX </w:instrText>
      </w:r>
      <w:r w:rsidR="009128D7">
        <w:rPr>
          <w:sz w:val="28"/>
          <w:szCs w:val="28"/>
        </w:rPr>
      </w:r>
      <w:r w:rsidR="009128D7">
        <w:rPr>
          <w:sz w:val="28"/>
          <w:szCs w:val="28"/>
        </w:rPr>
        <w:fldChar w:fldCharType="separate"/>
      </w:r>
      <w:r w:rsidRPr="000D3EC0">
        <w:rPr>
          <w:sz w:val="28"/>
          <w:szCs w:val="28"/>
        </w:rPr>
        <w:fldChar w:fldCharType="end"/>
      </w:r>
      <w:r w:rsidRPr="000D3EC0">
        <w:tab/>
        <w:t xml:space="preserve">Other </w:t>
      </w:r>
      <w:r w:rsidRPr="000D3EC0">
        <w:rPr>
          <w:i/>
          <w:iCs/>
          <w:sz w:val="18"/>
        </w:rPr>
        <w:t>(please specify)</w:t>
      </w:r>
      <w:r w:rsidRPr="000D3EC0">
        <w:rPr>
          <w:iCs/>
        </w:rPr>
        <w:t>:</w:t>
      </w:r>
    </w:p>
    <w:p w:rsidR="00263AF7" w:rsidRDefault="00263AF7" w:rsidP="00263AF7">
      <w:pPr>
        <w:ind w:left="5103"/>
      </w:pPr>
      <w:r>
        <w:fldChar w:fldCharType="begin">
          <w:ffData>
            <w:name w:val="Text2"/>
            <w:enabled/>
            <w:calcOnExit w:val="0"/>
            <w:textInput/>
          </w:ffData>
        </w:fldChar>
      </w:r>
      <w:bookmarkStart w:id="87"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rsidR="00C56FCC" w:rsidRPr="00BD752C" w:rsidRDefault="00C56FCC" w:rsidP="00263AF7">
      <w:pPr>
        <w:pStyle w:val="Heading2"/>
      </w:pPr>
      <w:bookmarkStart w:id="88" w:name="_Toc435786001"/>
      <w:bookmarkStart w:id="89" w:name="_Toc436846384"/>
      <w:bookmarkStart w:id="90" w:name="_Toc454700981"/>
      <w:r w:rsidRPr="00BD752C">
        <w:lastRenderedPageBreak/>
        <w:t>Questions</w:t>
      </w:r>
      <w:bookmarkEnd w:id="88"/>
      <w:bookmarkEnd w:id="89"/>
      <w:bookmarkEnd w:id="90"/>
    </w:p>
    <w:p w:rsidR="00C56FCC" w:rsidRPr="00BD752C" w:rsidRDefault="00C56FCC" w:rsidP="00B02C49">
      <w:pPr>
        <w:pStyle w:val="Heading3"/>
        <w:spacing w:before="240"/>
      </w:pPr>
      <w:r w:rsidRPr="00BD752C">
        <w:t>Question 1</w:t>
      </w:r>
    </w:p>
    <w:p w:rsidR="00F91482" w:rsidRPr="00BD752C" w:rsidRDefault="00C56FCC" w:rsidP="00C56FCC">
      <w:r w:rsidRPr="00BD752C">
        <w:t>Do you support the five proposed evaluation criteria: harm prevention</w:t>
      </w:r>
      <w:r w:rsidR="009148CB" w:rsidRPr="00BD752C">
        <w:t>,</w:t>
      </w:r>
      <w:r w:rsidRPr="00BD752C">
        <w:t xml:space="preserve"> harm reduction, proportionality, ease of implementation and cost effectiveness?</w:t>
      </w:r>
    </w:p>
    <w:p w:rsidR="003F4D20" w:rsidRPr="00BD752C" w:rsidRDefault="002C2536" w:rsidP="003F4D20">
      <w:pPr>
        <w:tabs>
          <w:tab w:val="left" w:pos="1134"/>
        </w:tabs>
        <w:spacing w:before="60"/>
        <w:ind w:left="567"/>
      </w:pPr>
      <w:r w:rsidRPr="00BD752C">
        <w:rPr>
          <w:sz w:val="28"/>
          <w:szCs w:val="28"/>
        </w:rPr>
        <w:fldChar w:fldCharType="begin">
          <w:ffData>
            <w:name w:val=""/>
            <w:enabled/>
            <w:calcOnExit w:val="0"/>
            <w:checkBox>
              <w:sizeAuto/>
              <w:default w:val="0"/>
            </w:checkBox>
          </w:ffData>
        </w:fldChar>
      </w:r>
      <w:r w:rsidRPr="00BD752C">
        <w:rPr>
          <w:sz w:val="28"/>
          <w:szCs w:val="28"/>
        </w:rPr>
        <w:instrText xml:space="preserve"> FORMCHECKBOX </w:instrText>
      </w:r>
      <w:r w:rsidR="009128D7">
        <w:rPr>
          <w:sz w:val="28"/>
          <w:szCs w:val="28"/>
        </w:rPr>
      </w:r>
      <w:r w:rsidR="009128D7">
        <w:rPr>
          <w:sz w:val="28"/>
          <w:szCs w:val="28"/>
        </w:rPr>
        <w:fldChar w:fldCharType="separate"/>
      </w:r>
      <w:r w:rsidRPr="00BD752C">
        <w:rPr>
          <w:sz w:val="28"/>
          <w:szCs w:val="28"/>
        </w:rPr>
        <w:fldChar w:fldCharType="end"/>
      </w:r>
      <w:r w:rsidR="003F4D20" w:rsidRPr="00BD752C">
        <w:tab/>
        <w:t>Yes</w:t>
      </w:r>
    </w:p>
    <w:p w:rsidR="003F4D20" w:rsidRPr="00BD752C" w:rsidRDefault="003F4D20" w:rsidP="003F4D20">
      <w:pPr>
        <w:tabs>
          <w:tab w:val="left" w:pos="1134"/>
        </w:tabs>
        <w:spacing w:before="60"/>
        <w:ind w:left="567"/>
      </w:pPr>
      <w:r w:rsidRPr="00BD752C">
        <w:rPr>
          <w:sz w:val="28"/>
          <w:szCs w:val="28"/>
        </w:rPr>
        <w:fldChar w:fldCharType="begin">
          <w:ffData>
            <w:name w:val="Check2"/>
            <w:enabled/>
            <w:calcOnExit w:val="0"/>
            <w:checkBox>
              <w:sizeAuto/>
              <w:default w:val="0"/>
            </w:checkBox>
          </w:ffData>
        </w:fldChar>
      </w:r>
      <w:r w:rsidRPr="00BD752C">
        <w:rPr>
          <w:sz w:val="28"/>
          <w:szCs w:val="28"/>
        </w:rPr>
        <w:instrText xml:space="preserve"> FORMCHECKBOX </w:instrText>
      </w:r>
      <w:r w:rsidR="009128D7">
        <w:rPr>
          <w:sz w:val="28"/>
          <w:szCs w:val="28"/>
        </w:rPr>
      </w:r>
      <w:r w:rsidR="009128D7">
        <w:rPr>
          <w:sz w:val="28"/>
          <w:szCs w:val="28"/>
        </w:rPr>
        <w:fldChar w:fldCharType="separate"/>
      </w:r>
      <w:r w:rsidRPr="00BD752C">
        <w:rPr>
          <w:sz w:val="28"/>
          <w:szCs w:val="28"/>
        </w:rPr>
        <w:fldChar w:fldCharType="end"/>
      </w:r>
      <w:r w:rsidRPr="00BD752C">
        <w:tab/>
        <w:t>No</w:t>
      </w:r>
    </w:p>
    <w:p w:rsidR="00C56FCC" w:rsidRPr="00BD752C" w:rsidRDefault="00C56FCC" w:rsidP="003F4D20">
      <w:pPr>
        <w:spacing w:before="120" w:after="120"/>
      </w:pPr>
      <w:r w:rsidRPr="00BD752C">
        <w:t>Why or why not? What alternative criteria would you propose?</w:t>
      </w:r>
    </w:p>
    <w:tbl>
      <w:tblPr>
        <w:tblStyle w:val="TableGrid"/>
        <w:tblW w:w="0" w:type="auto"/>
        <w:tblInd w:w="108" w:type="dxa"/>
        <w:tblLayout w:type="fixed"/>
        <w:tblLook w:val="04A0" w:firstRow="1" w:lastRow="0" w:firstColumn="1" w:lastColumn="0" w:noHBand="0" w:noVBand="1"/>
      </w:tblPr>
      <w:tblGrid>
        <w:gridCol w:w="9356"/>
      </w:tblGrid>
      <w:tr w:rsidR="00D2543F" w:rsidRPr="00BD752C" w:rsidTr="00D37E6E">
        <w:trPr>
          <w:cantSplit/>
          <w:trHeight w:val="341"/>
        </w:trPr>
        <w:tc>
          <w:tcPr>
            <w:tcW w:w="9356" w:type="dxa"/>
          </w:tcPr>
          <w:p w:rsidR="00D2543F" w:rsidRPr="00BD752C" w:rsidRDefault="00D2543F" w:rsidP="00D37E6E">
            <w:pPr>
              <w:pStyle w:val="TableText"/>
              <w:rPr>
                <w:rFonts w:ascii="Georgia" w:hAnsi="Georgia"/>
              </w:rPr>
            </w:pPr>
            <w:r w:rsidRPr="00BD752C">
              <w:rPr>
                <w:rFonts w:ascii="Georgia" w:hAnsi="Georgia"/>
              </w:rPr>
              <w:fldChar w:fldCharType="begin">
                <w:ffData>
                  <w:name w:val="Text3"/>
                  <w:enabled/>
                  <w:calcOnExit w:val="0"/>
                  <w:textInput/>
                </w:ffData>
              </w:fldChar>
            </w:r>
            <w:r w:rsidRPr="00BD752C">
              <w:rPr>
                <w:rFonts w:ascii="Georgia" w:hAnsi="Georgia"/>
              </w:rPr>
              <w:instrText xml:space="preserve"> FORMTEXT </w:instrText>
            </w:r>
            <w:r w:rsidRPr="00BD752C">
              <w:rPr>
                <w:rFonts w:ascii="Georgia" w:hAnsi="Georgia"/>
              </w:rPr>
            </w:r>
            <w:r w:rsidRPr="00BD752C">
              <w:rPr>
                <w:rFonts w:ascii="Georgia" w:hAnsi="Georgia"/>
              </w:rPr>
              <w:fldChar w:fldCharType="separate"/>
            </w:r>
            <w:r w:rsidRPr="00BD752C">
              <w:rPr>
                <w:rFonts w:ascii="Georgia" w:hAnsi="Georgia"/>
                <w:noProof/>
              </w:rPr>
              <w:t> </w:t>
            </w:r>
            <w:r w:rsidRPr="00BD752C">
              <w:rPr>
                <w:rFonts w:ascii="Georgia" w:hAnsi="Georgia"/>
                <w:noProof/>
              </w:rPr>
              <w:t> </w:t>
            </w:r>
            <w:r w:rsidRPr="00BD752C">
              <w:rPr>
                <w:rFonts w:ascii="Georgia" w:hAnsi="Georgia"/>
                <w:noProof/>
              </w:rPr>
              <w:t> </w:t>
            </w:r>
            <w:r w:rsidRPr="00BD752C">
              <w:rPr>
                <w:rFonts w:ascii="Georgia" w:hAnsi="Georgia"/>
                <w:noProof/>
              </w:rPr>
              <w:t> </w:t>
            </w:r>
            <w:r w:rsidRPr="00BD752C">
              <w:rPr>
                <w:rFonts w:ascii="Georgia" w:hAnsi="Georgia"/>
                <w:noProof/>
              </w:rPr>
              <w:t> </w:t>
            </w:r>
            <w:r w:rsidRPr="00BD752C">
              <w:rPr>
                <w:rFonts w:ascii="Georgia" w:hAnsi="Georgia"/>
              </w:rPr>
              <w:fldChar w:fldCharType="end"/>
            </w:r>
          </w:p>
        </w:tc>
      </w:tr>
    </w:tbl>
    <w:p w:rsidR="00D2543F" w:rsidRPr="00BD752C" w:rsidRDefault="00D2543F" w:rsidP="00D2543F"/>
    <w:p w:rsidR="00C56FCC" w:rsidRPr="00BD752C" w:rsidRDefault="00C56FCC" w:rsidP="00C56FCC">
      <w:r w:rsidRPr="00BD752C">
        <w:t>Do you think they should have different weightings?</w:t>
      </w:r>
    </w:p>
    <w:p w:rsidR="003F4D20" w:rsidRPr="00BD752C" w:rsidRDefault="003F4D20" w:rsidP="003F4D20">
      <w:pPr>
        <w:tabs>
          <w:tab w:val="left" w:pos="1134"/>
        </w:tabs>
        <w:spacing w:before="60"/>
        <w:ind w:left="567"/>
      </w:pPr>
      <w:r w:rsidRPr="00BD752C">
        <w:rPr>
          <w:sz w:val="28"/>
          <w:szCs w:val="28"/>
        </w:rPr>
        <w:fldChar w:fldCharType="begin">
          <w:ffData>
            <w:name w:val=""/>
            <w:enabled/>
            <w:calcOnExit w:val="0"/>
            <w:checkBox>
              <w:sizeAuto/>
              <w:default w:val="0"/>
            </w:checkBox>
          </w:ffData>
        </w:fldChar>
      </w:r>
      <w:r w:rsidRPr="00BD752C">
        <w:rPr>
          <w:sz w:val="28"/>
          <w:szCs w:val="28"/>
        </w:rPr>
        <w:instrText xml:space="preserve"> FORMCHECKBOX </w:instrText>
      </w:r>
      <w:r w:rsidR="009128D7">
        <w:rPr>
          <w:sz w:val="28"/>
          <w:szCs w:val="28"/>
        </w:rPr>
      </w:r>
      <w:r w:rsidR="009128D7">
        <w:rPr>
          <w:sz w:val="28"/>
          <w:szCs w:val="28"/>
        </w:rPr>
        <w:fldChar w:fldCharType="separate"/>
      </w:r>
      <w:r w:rsidRPr="00BD752C">
        <w:rPr>
          <w:sz w:val="28"/>
          <w:szCs w:val="28"/>
        </w:rPr>
        <w:fldChar w:fldCharType="end"/>
      </w:r>
      <w:r w:rsidRPr="00BD752C">
        <w:tab/>
        <w:t>Yes</w:t>
      </w:r>
    </w:p>
    <w:p w:rsidR="003F4D20" w:rsidRPr="00BD752C" w:rsidRDefault="003F4D20" w:rsidP="003F4D20">
      <w:pPr>
        <w:tabs>
          <w:tab w:val="left" w:pos="1134"/>
        </w:tabs>
        <w:spacing w:before="60"/>
        <w:ind w:left="567"/>
      </w:pPr>
      <w:r w:rsidRPr="00BD752C">
        <w:rPr>
          <w:sz w:val="28"/>
          <w:szCs w:val="28"/>
        </w:rPr>
        <w:fldChar w:fldCharType="begin">
          <w:ffData>
            <w:name w:val="Check2"/>
            <w:enabled/>
            <w:calcOnExit w:val="0"/>
            <w:checkBox>
              <w:sizeAuto/>
              <w:default w:val="0"/>
            </w:checkBox>
          </w:ffData>
        </w:fldChar>
      </w:r>
      <w:r w:rsidRPr="00BD752C">
        <w:rPr>
          <w:sz w:val="28"/>
          <w:szCs w:val="28"/>
        </w:rPr>
        <w:instrText xml:space="preserve"> FORMCHECKBOX </w:instrText>
      </w:r>
      <w:r w:rsidR="009128D7">
        <w:rPr>
          <w:sz w:val="28"/>
          <w:szCs w:val="28"/>
        </w:rPr>
      </w:r>
      <w:r w:rsidR="009128D7">
        <w:rPr>
          <w:sz w:val="28"/>
          <w:szCs w:val="28"/>
        </w:rPr>
        <w:fldChar w:fldCharType="separate"/>
      </w:r>
      <w:r w:rsidRPr="00BD752C">
        <w:rPr>
          <w:sz w:val="28"/>
          <w:szCs w:val="28"/>
        </w:rPr>
        <w:fldChar w:fldCharType="end"/>
      </w:r>
      <w:r w:rsidRPr="00BD752C">
        <w:tab/>
        <w:t>No</w:t>
      </w:r>
    </w:p>
    <w:p w:rsidR="00C56FCC" w:rsidRPr="00BD752C" w:rsidRDefault="00C56FCC" w:rsidP="00B02C49">
      <w:pPr>
        <w:spacing w:before="120" w:after="120"/>
      </w:pPr>
      <w:r w:rsidRPr="00BD752C">
        <w:t>Why or why not? What weighting would you propose?</w:t>
      </w:r>
    </w:p>
    <w:tbl>
      <w:tblPr>
        <w:tblStyle w:val="TableGrid"/>
        <w:tblW w:w="0" w:type="auto"/>
        <w:tblInd w:w="108" w:type="dxa"/>
        <w:tblLayout w:type="fixed"/>
        <w:tblLook w:val="04A0" w:firstRow="1" w:lastRow="0" w:firstColumn="1" w:lastColumn="0" w:noHBand="0" w:noVBand="1"/>
      </w:tblPr>
      <w:tblGrid>
        <w:gridCol w:w="9356"/>
      </w:tblGrid>
      <w:tr w:rsidR="00B02C49" w:rsidRPr="00BD752C" w:rsidTr="00B02C49">
        <w:trPr>
          <w:cantSplit/>
          <w:trHeight w:val="341"/>
        </w:trPr>
        <w:tc>
          <w:tcPr>
            <w:tcW w:w="9356" w:type="dxa"/>
          </w:tcPr>
          <w:p w:rsidR="00B02C49" w:rsidRPr="00BD752C" w:rsidRDefault="00B02C49" w:rsidP="00B02C49">
            <w:pPr>
              <w:pStyle w:val="TableText"/>
              <w:rPr>
                <w:rFonts w:ascii="Georgia" w:hAnsi="Georgia"/>
              </w:rPr>
            </w:pPr>
            <w:r w:rsidRPr="00BD752C">
              <w:rPr>
                <w:rFonts w:ascii="Georgia" w:hAnsi="Georgia"/>
              </w:rPr>
              <w:fldChar w:fldCharType="begin">
                <w:ffData>
                  <w:name w:val="Text3"/>
                  <w:enabled/>
                  <w:calcOnExit w:val="0"/>
                  <w:textInput/>
                </w:ffData>
              </w:fldChar>
            </w:r>
            <w:r w:rsidRPr="00BD752C">
              <w:rPr>
                <w:rFonts w:ascii="Georgia" w:hAnsi="Georgia"/>
              </w:rPr>
              <w:instrText xml:space="preserve"> FORMTEXT </w:instrText>
            </w:r>
            <w:r w:rsidRPr="00BD752C">
              <w:rPr>
                <w:rFonts w:ascii="Georgia" w:hAnsi="Georgia"/>
              </w:rPr>
            </w:r>
            <w:r w:rsidRPr="00BD752C">
              <w:rPr>
                <w:rFonts w:ascii="Georgia" w:hAnsi="Georgia"/>
              </w:rPr>
              <w:fldChar w:fldCharType="separate"/>
            </w:r>
            <w:r w:rsidRPr="00BD752C">
              <w:rPr>
                <w:rFonts w:ascii="Georgia" w:hAnsi="Georgia"/>
                <w:noProof/>
              </w:rPr>
              <w:t> </w:t>
            </w:r>
            <w:r w:rsidRPr="00BD752C">
              <w:rPr>
                <w:rFonts w:ascii="Georgia" w:hAnsi="Georgia"/>
                <w:noProof/>
              </w:rPr>
              <w:t> </w:t>
            </w:r>
            <w:r w:rsidRPr="00BD752C">
              <w:rPr>
                <w:rFonts w:ascii="Georgia" w:hAnsi="Georgia"/>
                <w:noProof/>
              </w:rPr>
              <w:t> </w:t>
            </w:r>
            <w:r w:rsidRPr="00BD752C">
              <w:rPr>
                <w:rFonts w:ascii="Georgia" w:hAnsi="Georgia"/>
                <w:noProof/>
              </w:rPr>
              <w:t> </w:t>
            </w:r>
            <w:r w:rsidRPr="00BD752C">
              <w:rPr>
                <w:rFonts w:ascii="Georgia" w:hAnsi="Georgia"/>
                <w:noProof/>
              </w:rPr>
              <w:t> </w:t>
            </w:r>
            <w:r w:rsidRPr="00BD752C">
              <w:rPr>
                <w:rFonts w:ascii="Georgia" w:hAnsi="Georgia"/>
              </w:rPr>
              <w:fldChar w:fldCharType="end"/>
            </w:r>
          </w:p>
        </w:tc>
      </w:tr>
    </w:tbl>
    <w:p w:rsidR="00B02C49" w:rsidRPr="00BD752C" w:rsidRDefault="00B02C49" w:rsidP="00B02C49"/>
    <w:p w:rsidR="00C56FCC" w:rsidRPr="00BD752C" w:rsidRDefault="00C56FCC" w:rsidP="00B02C49">
      <w:pPr>
        <w:pStyle w:val="Heading3"/>
        <w:spacing w:before="200"/>
      </w:pPr>
      <w:r w:rsidRPr="00BD752C">
        <w:t>Question 2</w:t>
      </w:r>
    </w:p>
    <w:p w:rsidR="00C56FCC" w:rsidRPr="00BD752C" w:rsidRDefault="00C56FCC" w:rsidP="003F4D20">
      <w:pPr>
        <w:spacing w:after="120"/>
      </w:pPr>
      <w:r w:rsidRPr="00BD752C">
        <w:t>What evidence or other information can you provide to improve the description of drug utensils and their availability and use?</w:t>
      </w:r>
    </w:p>
    <w:tbl>
      <w:tblPr>
        <w:tblStyle w:val="TableGrid"/>
        <w:tblW w:w="0" w:type="auto"/>
        <w:tblInd w:w="108" w:type="dxa"/>
        <w:tblLayout w:type="fixed"/>
        <w:tblLook w:val="04A0" w:firstRow="1" w:lastRow="0" w:firstColumn="1" w:lastColumn="0" w:noHBand="0" w:noVBand="1"/>
      </w:tblPr>
      <w:tblGrid>
        <w:gridCol w:w="9356"/>
      </w:tblGrid>
      <w:tr w:rsidR="00B02C49" w:rsidRPr="00BD752C" w:rsidTr="00B02C49">
        <w:trPr>
          <w:cantSplit/>
          <w:trHeight w:val="341"/>
        </w:trPr>
        <w:tc>
          <w:tcPr>
            <w:tcW w:w="9356" w:type="dxa"/>
          </w:tcPr>
          <w:p w:rsidR="00B02C49" w:rsidRPr="00BD752C" w:rsidRDefault="00B02C49" w:rsidP="00B02C49">
            <w:pPr>
              <w:pStyle w:val="TableText"/>
              <w:rPr>
                <w:rFonts w:ascii="Georgia" w:hAnsi="Georgia"/>
              </w:rPr>
            </w:pPr>
            <w:r w:rsidRPr="00BD752C">
              <w:rPr>
                <w:rFonts w:ascii="Georgia" w:hAnsi="Georgia"/>
              </w:rPr>
              <w:fldChar w:fldCharType="begin">
                <w:ffData>
                  <w:name w:val="Text3"/>
                  <w:enabled/>
                  <w:calcOnExit w:val="0"/>
                  <w:textInput/>
                </w:ffData>
              </w:fldChar>
            </w:r>
            <w:r w:rsidRPr="00BD752C">
              <w:rPr>
                <w:rFonts w:ascii="Georgia" w:hAnsi="Georgia"/>
              </w:rPr>
              <w:instrText xml:space="preserve"> FORMTEXT </w:instrText>
            </w:r>
            <w:r w:rsidRPr="00BD752C">
              <w:rPr>
                <w:rFonts w:ascii="Georgia" w:hAnsi="Georgia"/>
              </w:rPr>
            </w:r>
            <w:r w:rsidRPr="00BD752C">
              <w:rPr>
                <w:rFonts w:ascii="Georgia" w:hAnsi="Georgia"/>
              </w:rPr>
              <w:fldChar w:fldCharType="separate"/>
            </w:r>
            <w:r w:rsidRPr="00BD752C">
              <w:rPr>
                <w:rFonts w:ascii="Georgia" w:hAnsi="Georgia"/>
                <w:noProof/>
              </w:rPr>
              <w:t> </w:t>
            </w:r>
            <w:r w:rsidRPr="00BD752C">
              <w:rPr>
                <w:rFonts w:ascii="Georgia" w:hAnsi="Georgia"/>
                <w:noProof/>
              </w:rPr>
              <w:t> </w:t>
            </w:r>
            <w:r w:rsidRPr="00BD752C">
              <w:rPr>
                <w:rFonts w:ascii="Georgia" w:hAnsi="Georgia"/>
                <w:noProof/>
              </w:rPr>
              <w:t> </w:t>
            </w:r>
            <w:r w:rsidRPr="00BD752C">
              <w:rPr>
                <w:rFonts w:ascii="Georgia" w:hAnsi="Georgia"/>
                <w:noProof/>
              </w:rPr>
              <w:t> </w:t>
            </w:r>
            <w:r w:rsidRPr="00BD752C">
              <w:rPr>
                <w:rFonts w:ascii="Georgia" w:hAnsi="Georgia"/>
                <w:noProof/>
              </w:rPr>
              <w:t> </w:t>
            </w:r>
            <w:r w:rsidRPr="00BD752C">
              <w:rPr>
                <w:rFonts w:ascii="Georgia" w:hAnsi="Georgia"/>
              </w:rPr>
              <w:fldChar w:fldCharType="end"/>
            </w:r>
          </w:p>
        </w:tc>
      </w:tr>
    </w:tbl>
    <w:p w:rsidR="00B02C49" w:rsidRPr="00BD752C" w:rsidRDefault="00B02C49" w:rsidP="00B02C49"/>
    <w:p w:rsidR="00C56FCC" w:rsidRPr="00BD752C" w:rsidRDefault="00C56FCC" w:rsidP="00B02C49">
      <w:pPr>
        <w:pStyle w:val="Heading3"/>
        <w:spacing w:before="200"/>
      </w:pPr>
      <w:r w:rsidRPr="00BD752C">
        <w:t>Question 3</w:t>
      </w:r>
    </w:p>
    <w:p w:rsidR="003F4D20" w:rsidRPr="00BD752C" w:rsidRDefault="00C56FCC" w:rsidP="00C56FCC">
      <w:r w:rsidRPr="00BD752C">
        <w:t>Do you agree with the assessment of the current regulations?</w:t>
      </w:r>
    </w:p>
    <w:p w:rsidR="003F4D20" w:rsidRPr="00BD752C" w:rsidRDefault="003F4D20" w:rsidP="003F4D20">
      <w:pPr>
        <w:tabs>
          <w:tab w:val="left" w:pos="1134"/>
        </w:tabs>
        <w:spacing w:before="60"/>
        <w:ind w:left="567"/>
      </w:pPr>
      <w:r w:rsidRPr="00BD752C">
        <w:rPr>
          <w:sz w:val="28"/>
          <w:szCs w:val="28"/>
        </w:rPr>
        <w:fldChar w:fldCharType="begin">
          <w:ffData>
            <w:name w:val="Check1"/>
            <w:enabled/>
            <w:calcOnExit w:val="0"/>
            <w:checkBox>
              <w:sizeAuto/>
              <w:default w:val="0"/>
            </w:checkBox>
          </w:ffData>
        </w:fldChar>
      </w:r>
      <w:r w:rsidRPr="00BD752C">
        <w:rPr>
          <w:sz w:val="28"/>
          <w:szCs w:val="28"/>
        </w:rPr>
        <w:instrText xml:space="preserve"> FORMCHECKBOX </w:instrText>
      </w:r>
      <w:r w:rsidR="009128D7">
        <w:rPr>
          <w:sz w:val="28"/>
          <w:szCs w:val="28"/>
        </w:rPr>
      </w:r>
      <w:r w:rsidR="009128D7">
        <w:rPr>
          <w:sz w:val="28"/>
          <w:szCs w:val="28"/>
        </w:rPr>
        <w:fldChar w:fldCharType="separate"/>
      </w:r>
      <w:r w:rsidRPr="00BD752C">
        <w:rPr>
          <w:sz w:val="28"/>
          <w:szCs w:val="28"/>
        </w:rPr>
        <w:fldChar w:fldCharType="end"/>
      </w:r>
      <w:r w:rsidRPr="00BD752C">
        <w:tab/>
        <w:t>Yes</w:t>
      </w:r>
    </w:p>
    <w:p w:rsidR="003F4D20" w:rsidRPr="00BD752C" w:rsidRDefault="003F4D20" w:rsidP="003F4D20">
      <w:pPr>
        <w:tabs>
          <w:tab w:val="left" w:pos="1134"/>
        </w:tabs>
        <w:spacing w:before="60"/>
        <w:ind w:left="567"/>
      </w:pPr>
      <w:r w:rsidRPr="00BD752C">
        <w:rPr>
          <w:sz w:val="28"/>
          <w:szCs w:val="28"/>
        </w:rPr>
        <w:fldChar w:fldCharType="begin">
          <w:ffData>
            <w:name w:val="Check2"/>
            <w:enabled/>
            <w:calcOnExit w:val="0"/>
            <w:checkBox>
              <w:sizeAuto/>
              <w:default w:val="0"/>
            </w:checkBox>
          </w:ffData>
        </w:fldChar>
      </w:r>
      <w:r w:rsidRPr="00BD752C">
        <w:rPr>
          <w:sz w:val="28"/>
          <w:szCs w:val="28"/>
        </w:rPr>
        <w:instrText xml:space="preserve"> FORMCHECKBOX </w:instrText>
      </w:r>
      <w:r w:rsidR="009128D7">
        <w:rPr>
          <w:sz w:val="28"/>
          <w:szCs w:val="28"/>
        </w:rPr>
      </w:r>
      <w:r w:rsidR="009128D7">
        <w:rPr>
          <w:sz w:val="28"/>
          <w:szCs w:val="28"/>
        </w:rPr>
        <w:fldChar w:fldCharType="separate"/>
      </w:r>
      <w:r w:rsidRPr="00BD752C">
        <w:rPr>
          <w:sz w:val="28"/>
          <w:szCs w:val="28"/>
        </w:rPr>
        <w:fldChar w:fldCharType="end"/>
      </w:r>
      <w:r w:rsidRPr="00BD752C">
        <w:tab/>
        <w:t>No</w:t>
      </w:r>
    </w:p>
    <w:p w:rsidR="00C56FCC" w:rsidRPr="00BD752C" w:rsidRDefault="00C56FCC" w:rsidP="00B02C49">
      <w:pPr>
        <w:spacing w:before="120" w:after="120"/>
      </w:pPr>
      <w:r w:rsidRPr="00BD752C">
        <w:t>Why or why not?</w:t>
      </w:r>
      <w:r w:rsidR="003F4D20" w:rsidRPr="00BD752C">
        <w:t xml:space="preserve"> </w:t>
      </w:r>
      <w:r w:rsidRPr="00BD752C">
        <w:t>What evidence or other information do you have to support your position?</w:t>
      </w:r>
    </w:p>
    <w:tbl>
      <w:tblPr>
        <w:tblStyle w:val="TableGrid"/>
        <w:tblW w:w="0" w:type="auto"/>
        <w:tblInd w:w="108" w:type="dxa"/>
        <w:tblLayout w:type="fixed"/>
        <w:tblLook w:val="04A0" w:firstRow="1" w:lastRow="0" w:firstColumn="1" w:lastColumn="0" w:noHBand="0" w:noVBand="1"/>
      </w:tblPr>
      <w:tblGrid>
        <w:gridCol w:w="9356"/>
      </w:tblGrid>
      <w:tr w:rsidR="00B02C49" w:rsidRPr="00BD752C" w:rsidTr="00B02C49">
        <w:trPr>
          <w:cantSplit/>
          <w:trHeight w:val="341"/>
        </w:trPr>
        <w:tc>
          <w:tcPr>
            <w:tcW w:w="9356" w:type="dxa"/>
          </w:tcPr>
          <w:p w:rsidR="00B02C49" w:rsidRPr="00BD752C" w:rsidRDefault="00B02C49" w:rsidP="00B02C49">
            <w:pPr>
              <w:pStyle w:val="TableText"/>
              <w:rPr>
                <w:rFonts w:ascii="Georgia" w:hAnsi="Georgia"/>
              </w:rPr>
            </w:pPr>
            <w:r w:rsidRPr="00BD752C">
              <w:rPr>
                <w:rFonts w:ascii="Georgia" w:hAnsi="Georgia"/>
              </w:rPr>
              <w:fldChar w:fldCharType="begin">
                <w:ffData>
                  <w:name w:val="Text3"/>
                  <w:enabled/>
                  <w:calcOnExit w:val="0"/>
                  <w:textInput/>
                </w:ffData>
              </w:fldChar>
            </w:r>
            <w:r w:rsidRPr="00BD752C">
              <w:rPr>
                <w:rFonts w:ascii="Georgia" w:hAnsi="Georgia"/>
              </w:rPr>
              <w:instrText xml:space="preserve"> FORMTEXT </w:instrText>
            </w:r>
            <w:r w:rsidRPr="00BD752C">
              <w:rPr>
                <w:rFonts w:ascii="Georgia" w:hAnsi="Georgia"/>
              </w:rPr>
            </w:r>
            <w:r w:rsidRPr="00BD752C">
              <w:rPr>
                <w:rFonts w:ascii="Georgia" w:hAnsi="Georgia"/>
              </w:rPr>
              <w:fldChar w:fldCharType="separate"/>
            </w:r>
            <w:r w:rsidRPr="00BD752C">
              <w:rPr>
                <w:rFonts w:ascii="Georgia" w:hAnsi="Georgia"/>
                <w:noProof/>
              </w:rPr>
              <w:t> </w:t>
            </w:r>
            <w:r w:rsidRPr="00BD752C">
              <w:rPr>
                <w:rFonts w:ascii="Georgia" w:hAnsi="Georgia"/>
                <w:noProof/>
              </w:rPr>
              <w:t> </w:t>
            </w:r>
            <w:r w:rsidRPr="00BD752C">
              <w:rPr>
                <w:rFonts w:ascii="Georgia" w:hAnsi="Georgia"/>
                <w:noProof/>
              </w:rPr>
              <w:t> </w:t>
            </w:r>
            <w:r w:rsidRPr="00BD752C">
              <w:rPr>
                <w:rFonts w:ascii="Georgia" w:hAnsi="Georgia"/>
                <w:noProof/>
              </w:rPr>
              <w:t> </w:t>
            </w:r>
            <w:r w:rsidRPr="00BD752C">
              <w:rPr>
                <w:rFonts w:ascii="Georgia" w:hAnsi="Georgia"/>
                <w:noProof/>
              </w:rPr>
              <w:t> </w:t>
            </w:r>
            <w:r w:rsidRPr="00BD752C">
              <w:rPr>
                <w:rFonts w:ascii="Georgia" w:hAnsi="Georgia"/>
              </w:rPr>
              <w:fldChar w:fldCharType="end"/>
            </w:r>
          </w:p>
        </w:tc>
      </w:tr>
    </w:tbl>
    <w:p w:rsidR="00B02C49" w:rsidRPr="00BD752C" w:rsidRDefault="00B02C49" w:rsidP="00B02C49"/>
    <w:p w:rsidR="00C56FCC" w:rsidRPr="00BD752C" w:rsidRDefault="00C56FCC" w:rsidP="00B02C49">
      <w:pPr>
        <w:pStyle w:val="Heading3"/>
        <w:spacing w:before="200"/>
      </w:pPr>
      <w:r w:rsidRPr="00BD752C">
        <w:t>Question 4</w:t>
      </w:r>
    </w:p>
    <w:p w:rsidR="00F91482" w:rsidRPr="00BD752C" w:rsidRDefault="00C56FCC" w:rsidP="00C56FCC">
      <w:r w:rsidRPr="00BD752C">
        <w:t>Do you agree that the two high-level options are the right ones to consider:</w:t>
      </w:r>
    </w:p>
    <w:p w:rsidR="00F91482" w:rsidRPr="00BD752C" w:rsidRDefault="00C56FCC" w:rsidP="003F4D20">
      <w:pPr>
        <w:spacing w:before="120"/>
        <w:ind w:left="567" w:hanging="567"/>
      </w:pPr>
      <w:r w:rsidRPr="00BD752C">
        <w:t>1)</w:t>
      </w:r>
      <w:r w:rsidR="003F4D20" w:rsidRPr="00BD752C">
        <w:tab/>
      </w:r>
      <w:r w:rsidRPr="00BD752C">
        <w:t>enhanced status quo (to make changes to drug utensils notices, operational enforcement guidance and criminal penalties) and</w:t>
      </w:r>
    </w:p>
    <w:p w:rsidR="00F91482" w:rsidRPr="00BD752C" w:rsidRDefault="00C56FCC" w:rsidP="003F4D20">
      <w:pPr>
        <w:spacing w:before="120"/>
        <w:ind w:left="567" w:hanging="567"/>
      </w:pPr>
      <w:r w:rsidRPr="00BD752C">
        <w:t>2)</w:t>
      </w:r>
      <w:r w:rsidR="003F4D20" w:rsidRPr="00BD752C">
        <w:tab/>
      </w:r>
      <w:r w:rsidRPr="00BD752C">
        <w:t>replacing the possession prohibitions with regulations to restrict and manage supply?</w:t>
      </w:r>
    </w:p>
    <w:p w:rsidR="003F4D20" w:rsidRPr="00BD752C" w:rsidRDefault="00DA3C8E" w:rsidP="003F4D20">
      <w:pPr>
        <w:tabs>
          <w:tab w:val="left" w:pos="1134"/>
        </w:tabs>
        <w:spacing w:before="60"/>
        <w:ind w:left="567"/>
      </w:pPr>
      <w:r w:rsidRPr="00BD752C">
        <w:rPr>
          <w:sz w:val="28"/>
          <w:szCs w:val="28"/>
        </w:rPr>
        <w:fldChar w:fldCharType="begin"/>
      </w:r>
      <w:r w:rsidRPr="00BD752C">
        <w:rPr>
          <w:sz w:val="28"/>
          <w:szCs w:val="28"/>
        </w:rPr>
        <w:instrText xml:space="preserve"> FILLIN  \d  \* MERGEFORMAT </w:instrText>
      </w:r>
      <w:r w:rsidRPr="00BD752C">
        <w:rPr>
          <w:sz w:val="28"/>
          <w:szCs w:val="28"/>
        </w:rPr>
        <w:fldChar w:fldCharType="end"/>
      </w:r>
      <w:r w:rsidR="003F4D20" w:rsidRPr="00BD752C">
        <w:rPr>
          <w:sz w:val="28"/>
          <w:szCs w:val="28"/>
        </w:rPr>
        <w:fldChar w:fldCharType="begin">
          <w:ffData>
            <w:name w:val="Check1"/>
            <w:enabled/>
            <w:calcOnExit w:val="0"/>
            <w:checkBox>
              <w:sizeAuto/>
              <w:default w:val="0"/>
            </w:checkBox>
          </w:ffData>
        </w:fldChar>
      </w:r>
      <w:r w:rsidR="003F4D20" w:rsidRPr="00BD752C">
        <w:rPr>
          <w:sz w:val="28"/>
          <w:szCs w:val="28"/>
        </w:rPr>
        <w:instrText xml:space="preserve"> FORMCHECKBOX </w:instrText>
      </w:r>
      <w:r w:rsidR="009128D7">
        <w:rPr>
          <w:sz w:val="28"/>
          <w:szCs w:val="28"/>
        </w:rPr>
      </w:r>
      <w:r w:rsidR="009128D7">
        <w:rPr>
          <w:sz w:val="28"/>
          <w:szCs w:val="28"/>
        </w:rPr>
        <w:fldChar w:fldCharType="separate"/>
      </w:r>
      <w:r w:rsidR="003F4D20" w:rsidRPr="00BD752C">
        <w:rPr>
          <w:sz w:val="28"/>
          <w:szCs w:val="28"/>
        </w:rPr>
        <w:fldChar w:fldCharType="end"/>
      </w:r>
      <w:r w:rsidR="003F4D20" w:rsidRPr="00BD752C">
        <w:tab/>
        <w:t>Yes</w:t>
      </w:r>
    </w:p>
    <w:p w:rsidR="003F4D20" w:rsidRPr="00BD752C" w:rsidRDefault="003F4D20" w:rsidP="003F4D20">
      <w:pPr>
        <w:tabs>
          <w:tab w:val="left" w:pos="1134"/>
        </w:tabs>
        <w:spacing w:before="60"/>
        <w:ind w:left="567"/>
      </w:pPr>
      <w:r w:rsidRPr="00BD752C">
        <w:rPr>
          <w:sz w:val="28"/>
          <w:szCs w:val="28"/>
        </w:rPr>
        <w:fldChar w:fldCharType="begin">
          <w:ffData>
            <w:name w:val=""/>
            <w:enabled/>
            <w:calcOnExit w:val="0"/>
            <w:checkBox>
              <w:sizeAuto/>
              <w:default w:val="0"/>
            </w:checkBox>
          </w:ffData>
        </w:fldChar>
      </w:r>
      <w:r w:rsidRPr="00BD752C">
        <w:rPr>
          <w:sz w:val="28"/>
          <w:szCs w:val="28"/>
        </w:rPr>
        <w:instrText xml:space="preserve"> FORMCHECKBOX </w:instrText>
      </w:r>
      <w:r w:rsidR="009128D7">
        <w:rPr>
          <w:sz w:val="28"/>
          <w:szCs w:val="28"/>
        </w:rPr>
      </w:r>
      <w:r w:rsidR="009128D7">
        <w:rPr>
          <w:sz w:val="28"/>
          <w:szCs w:val="28"/>
        </w:rPr>
        <w:fldChar w:fldCharType="separate"/>
      </w:r>
      <w:r w:rsidRPr="00BD752C">
        <w:rPr>
          <w:sz w:val="28"/>
          <w:szCs w:val="28"/>
        </w:rPr>
        <w:fldChar w:fldCharType="end"/>
      </w:r>
      <w:r w:rsidRPr="00BD752C">
        <w:tab/>
        <w:t>No</w:t>
      </w:r>
    </w:p>
    <w:p w:rsidR="003F4D20" w:rsidRPr="00BD752C" w:rsidRDefault="003F4D20" w:rsidP="003F4D20"/>
    <w:p w:rsidR="00F91482" w:rsidRPr="00BD752C" w:rsidRDefault="00C56FCC" w:rsidP="003F4D20">
      <w:pPr>
        <w:spacing w:after="120"/>
      </w:pPr>
      <w:r w:rsidRPr="00BD752C">
        <w:t>If not, what alternatives would you suggest?</w:t>
      </w:r>
    </w:p>
    <w:tbl>
      <w:tblPr>
        <w:tblStyle w:val="TableGrid"/>
        <w:tblW w:w="0" w:type="auto"/>
        <w:tblInd w:w="108" w:type="dxa"/>
        <w:tblLayout w:type="fixed"/>
        <w:tblLook w:val="04A0" w:firstRow="1" w:lastRow="0" w:firstColumn="1" w:lastColumn="0" w:noHBand="0" w:noVBand="1"/>
      </w:tblPr>
      <w:tblGrid>
        <w:gridCol w:w="9356"/>
      </w:tblGrid>
      <w:tr w:rsidR="003F4D20" w:rsidRPr="00BD752C" w:rsidTr="00B02C49">
        <w:trPr>
          <w:cantSplit/>
          <w:trHeight w:val="341"/>
        </w:trPr>
        <w:tc>
          <w:tcPr>
            <w:tcW w:w="9356" w:type="dxa"/>
          </w:tcPr>
          <w:p w:rsidR="003F4D20" w:rsidRPr="00BD752C" w:rsidRDefault="003F4D20" w:rsidP="00B02C49">
            <w:pPr>
              <w:pStyle w:val="TableText"/>
              <w:rPr>
                <w:rFonts w:ascii="Georgia" w:hAnsi="Georgia"/>
              </w:rPr>
            </w:pPr>
            <w:r w:rsidRPr="00BD752C">
              <w:rPr>
                <w:rFonts w:ascii="Georgia" w:hAnsi="Georgia"/>
              </w:rPr>
              <w:fldChar w:fldCharType="begin">
                <w:ffData>
                  <w:name w:val="Text3"/>
                  <w:enabled/>
                  <w:calcOnExit w:val="0"/>
                  <w:textInput/>
                </w:ffData>
              </w:fldChar>
            </w:r>
            <w:r w:rsidRPr="00BD752C">
              <w:rPr>
                <w:rFonts w:ascii="Georgia" w:hAnsi="Georgia"/>
              </w:rPr>
              <w:instrText xml:space="preserve"> FORMTEXT </w:instrText>
            </w:r>
            <w:r w:rsidRPr="00BD752C">
              <w:rPr>
                <w:rFonts w:ascii="Georgia" w:hAnsi="Georgia"/>
              </w:rPr>
            </w:r>
            <w:r w:rsidRPr="00BD752C">
              <w:rPr>
                <w:rFonts w:ascii="Georgia" w:hAnsi="Georgia"/>
              </w:rPr>
              <w:fldChar w:fldCharType="separate"/>
            </w:r>
            <w:r w:rsidRPr="00BD752C">
              <w:rPr>
                <w:rFonts w:ascii="Georgia" w:hAnsi="Georgia"/>
                <w:noProof/>
              </w:rPr>
              <w:t> </w:t>
            </w:r>
            <w:r w:rsidRPr="00BD752C">
              <w:rPr>
                <w:rFonts w:ascii="Georgia" w:hAnsi="Georgia"/>
                <w:noProof/>
              </w:rPr>
              <w:t> </w:t>
            </w:r>
            <w:r w:rsidRPr="00BD752C">
              <w:rPr>
                <w:rFonts w:ascii="Georgia" w:hAnsi="Georgia"/>
                <w:noProof/>
              </w:rPr>
              <w:t> </w:t>
            </w:r>
            <w:r w:rsidRPr="00BD752C">
              <w:rPr>
                <w:rFonts w:ascii="Georgia" w:hAnsi="Georgia"/>
                <w:noProof/>
              </w:rPr>
              <w:t> </w:t>
            </w:r>
            <w:r w:rsidRPr="00BD752C">
              <w:rPr>
                <w:rFonts w:ascii="Georgia" w:hAnsi="Georgia"/>
                <w:noProof/>
              </w:rPr>
              <w:t> </w:t>
            </w:r>
            <w:r w:rsidRPr="00BD752C">
              <w:rPr>
                <w:rFonts w:ascii="Georgia" w:hAnsi="Georgia"/>
              </w:rPr>
              <w:fldChar w:fldCharType="end"/>
            </w:r>
          </w:p>
        </w:tc>
      </w:tr>
    </w:tbl>
    <w:p w:rsidR="00C56FCC" w:rsidRPr="00BD752C" w:rsidRDefault="00C56FCC" w:rsidP="003F4D20"/>
    <w:p w:rsidR="00C56FCC" w:rsidRPr="00BD752C" w:rsidRDefault="00C56FCC" w:rsidP="00B02C49">
      <w:pPr>
        <w:pStyle w:val="Heading3"/>
        <w:spacing w:before="240"/>
      </w:pPr>
      <w:r w:rsidRPr="00BD752C">
        <w:t>Question 5</w:t>
      </w:r>
    </w:p>
    <w:p w:rsidR="00C56FCC" w:rsidRPr="00BD752C" w:rsidRDefault="00C56FCC" w:rsidP="003F4D20">
      <w:pPr>
        <w:keepNext/>
      </w:pPr>
      <w:r w:rsidRPr="00BD752C">
        <w:t>The sub-options for Option 1 are:</w:t>
      </w:r>
    </w:p>
    <w:p w:rsidR="00C56FCC" w:rsidRPr="00BD752C" w:rsidRDefault="003F4D20" w:rsidP="003F4D20">
      <w:pPr>
        <w:keepNext/>
        <w:spacing w:before="120"/>
        <w:ind w:left="567" w:hanging="567"/>
      </w:pPr>
      <w:r w:rsidRPr="00BD752C">
        <w:t>a)</w:t>
      </w:r>
      <w:r w:rsidRPr="00BD752C">
        <w:tab/>
        <w:t>c</w:t>
      </w:r>
      <w:r w:rsidR="00C56FCC" w:rsidRPr="00BD752C">
        <w:t>larify legal definitions of drug utensils in the Notice</w:t>
      </w:r>
    </w:p>
    <w:p w:rsidR="00C56FCC" w:rsidRPr="00BD752C" w:rsidRDefault="003F4D20" w:rsidP="003F4D20">
      <w:pPr>
        <w:keepNext/>
        <w:spacing w:before="120"/>
        <w:ind w:left="567" w:hanging="567"/>
      </w:pPr>
      <w:r w:rsidRPr="00BD752C">
        <w:t>b)</w:t>
      </w:r>
      <w:r w:rsidRPr="00BD752C">
        <w:tab/>
        <w:t>d</w:t>
      </w:r>
      <w:r w:rsidR="00C56FCC" w:rsidRPr="00BD752C">
        <w:t>evelop operating guidance for the enforcement of the Notice (this could be prioritise or de-prioritise enforcement)</w:t>
      </w:r>
    </w:p>
    <w:p w:rsidR="00C56FCC" w:rsidRPr="00BD752C" w:rsidRDefault="003F4D20" w:rsidP="003F4D20">
      <w:pPr>
        <w:keepNext/>
        <w:spacing w:before="120"/>
        <w:ind w:left="567" w:hanging="567"/>
      </w:pPr>
      <w:r w:rsidRPr="00BD752C">
        <w:t>c)</w:t>
      </w:r>
      <w:r w:rsidRPr="00BD752C">
        <w:tab/>
        <w:t>r</w:t>
      </w:r>
      <w:r w:rsidR="00C56FCC" w:rsidRPr="00BD752C">
        <w:t>educe criminal penalties for personal possession of drug utensils.</w:t>
      </w:r>
    </w:p>
    <w:p w:rsidR="00C56FCC" w:rsidRPr="00BD752C" w:rsidRDefault="00C56FCC" w:rsidP="003F4D20">
      <w:pPr>
        <w:keepNext/>
      </w:pPr>
    </w:p>
    <w:p w:rsidR="003F4D20" w:rsidRPr="00BD752C" w:rsidRDefault="00C56FCC" w:rsidP="003F4D20">
      <w:pPr>
        <w:keepNext/>
      </w:pPr>
      <w:r w:rsidRPr="00BD752C">
        <w:t>Do you think that these sub-options are adequate?</w:t>
      </w:r>
    </w:p>
    <w:p w:rsidR="003F4D20" w:rsidRPr="00BD752C" w:rsidRDefault="003F4D20" w:rsidP="003F4D20">
      <w:pPr>
        <w:keepNext/>
        <w:tabs>
          <w:tab w:val="left" w:pos="1134"/>
        </w:tabs>
        <w:spacing w:before="60"/>
        <w:ind w:left="567"/>
      </w:pPr>
      <w:r w:rsidRPr="00BD752C">
        <w:rPr>
          <w:sz w:val="28"/>
          <w:szCs w:val="28"/>
        </w:rPr>
        <w:fldChar w:fldCharType="begin">
          <w:ffData>
            <w:name w:val="Check1"/>
            <w:enabled/>
            <w:calcOnExit w:val="0"/>
            <w:checkBox>
              <w:sizeAuto/>
              <w:default w:val="0"/>
            </w:checkBox>
          </w:ffData>
        </w:fldChar>
      </w:r>
      <w:r w:rsidRPr="00BD752C">
        <w:rPr>
          <w:sz w:val="28"/>
          <w:szCs w:val="28"/>
        </w:rPr>
        <w:instrText xml:space="preserve"> FORMCHECKBOX </w:instrText>
      </w:r>
      <w:r w:rsidR="009128D7">
        <w:rPr>
          <w:sz w:val="28"/>
          <w:szCs w:val="28"/>
        </w:rPr>
      </w:r>
      <w:r w:rsidR="009128D7">
        <w:rPr>
          <w:sz w:val="28"/>
          <w:szCs w:val="28"/>
        </w:rPr>
        <w:fldChar w:fldCharType="separate"/>
      </w:r>
      <w:r w:rsidRPr="00BD752C">
        <w:rPr>
          <w:sz w:val="28"/>
          <w:szCs w:val="28"/>
        </w:rPr>
        <w:fldChar w:fldCharType="end"/>
      </w:r>
      <w:r w:rsidRPr="00BD752C">
        <w:tab/>
        <w:t>Yes</w:t>
      </w:r>
    </w:p>
    <w:p w:rsidR="003F4D20" w:rsidRPr="00BD752C" w:rsidRDefault="003F4D20" w:rsidP="003F4D20">
      <w:pPr>
        <w:tabs>
          <w:tab w:val="left" w:pos="1134"/>
        </w:tabs>
        <w:spacing w:before="60"/>
        <w:ind w:left="567"/>
      </w:pPr>
      <w:r w:rsidRPr="00BD752C">
        <w:rPr>
          <w:sz w:val="28"/>
          <w:szCs w:val="28"/>
        </w:rPr>
        <w:fldChar w:fldCharType="begin">
          <w:ffData>
            <w:name w:val="Check2"/>
            <w:enabled/>
            <w:calcOnExit w:val="0"/>
            <w:checkBox>
              <w:sizeAuto/>
              <w:default w:val="0"/>
            </w:checkBox>
          </w:ffData>
        </w:fldChar>
      </w:r>
      <w:r w:rsidRPr="00BD752C">
        <w:rPr>
          <w:sz w:val="28"/>
          <w:szCs w:val="28"/>
        </w:rPr>
        <w:instrText xml:space="preserve"> FORMCHECKBOX </w:instrText>
      </w:r>
      <w:r w:rsidR="009128D7">
        <w:rPr>
          <w:sz w:val="28"/>
          <w:szCs w:val="28"/>
        </w:rPr>
      </w:r>
      <w:r w:rsidR="009128D7">
        <w:rPr>
          <w:sz w:val="28"/>
          <w:szCs w:val="28"/>
        </w:rPr>
        <w:fldChar w:fldCharType="separate"/>
      </w:r>
      <w:r w:rsidRPr="00BD752C">
        <w:rPr>
          <w:sz w:val="28"/>
          <w:szCs w:val="28"/>
        </w:rPr>
        <w:fldChar w:fldCharType="end"/>
      </w:r>
      <w:r w:rsidRPr="00BD752C">
        <w:tab/>
        <w:t>No</w:t>
      </w:r>
    </w:p>
    <w:p w:rsidR="003F4D20" w:rsidRPr="00BD752C" w:rsidRDefault="003F4D20" w:rsidP="003F4D20"/>
    <w:p w:rsidR="00C56FCC" w:rsidRPr="00BD752C" w:rsidRDefault="00C56FCC" w:rsidP="003F4D20">
      <w:pPr>
        <w:spacing w:after="120"/>
      </w:pPr>
      <w:r w:rsidRPr="00BD752C">
        <w:t>What other sub-options would you like to see in Option 1 and why?</w:t>
      </w:r>
    </w:p>
    <w:tbl>
      <w:tblPr>
        <w:tblStyle w:val="TableGrid"/>
        <w:tblW w:w="0" w:type="auto"/>
        <w:tblInd w:w="108" w:type="dxa"/>
        <w:tblLayout w:type="fixed"/>
        <w:tblLook w:val="04A0" w:firstRow="1" w:lastRow="0" w:firstColumn="1" w:lastColumn="0" w:noHBand="0" w:noVBand="1"/>
      </w:tblPr>
      <w:tblGrid>
        <w:gridCol w:w="9356"/>
      </w:tblGrid>
      <w:tr w:rsidR="003F4D20" w:rsidRPr="00BD752C" w:rsidTr="00B02C49">
        <w:trPr>
          <w:cantSplit/>
          <w:trHeight w:val="377"/>
        </w:trPr>
        <w:tc>
          <w:tcPr>
            <w:tcW w:w="9356" w:type="dxa"/>
          </w:tcPr>
          <w:p w:rsidR="003F4D20" w:rsidRPr="00BD752C" w:rsidRDefault="003F4D20" w:rsidP="00B02C49">
            <w:pPr>
              <w:pStyle w:val="TableText"/>
              <w:rPr>
                <w:rFonts w:ascii="Georgia" w:hAnsi="Georgia"/>
              </w:rPr>
            </w:pPr>
            <w:r w:rsidRPr="00BD752C">
              <w:rPr>
                <w:rFonts w:ascii="Georgia" w:hAnsi="Georgia"/>
              </w:rPr>
              <w:fldChar w:fldCharType="begin">
                <w:ffData>
                  <w:name w:val="Text3"/>
                  <w:enabled/>
                  <w:calcOnExit w:val="0"/>
                  <w:textInput/>
                </w:ffData>
              </w:fldChar>
            </w:r>
            <w:r w:rsidRPr="00BD752C">
              <w:rPr>
                <w:rFonts w:ascii="Georgia" w:hAnsi="Georgia"/>
              </w:rPr>
              <w:instrText xml:space="preserve"> FORMTEXT </w:instrText>
            </w:r>
            <w:r w:rsidRPr="00BD752C">
              <w:rPr>
                <w:rFonts w:ascii="Georgia" w:hAnsi="Georgia"/>
              </w:rPr>
            </w:r>
            <w:r w:rsidRPr="00BD752C">
              <w:rPr>
                <w:rFonts w:ascii="Georgia" w:hAnsi="Georgia"/>
              </w:rPr>
              <w:fldChar w:fldCharType="separate"/>
            </w:r>
            <w:r w:rsidRPr="00BD752C">
              <w:rPr>
                <w:rFonts w:ascii="Georgia" w:hAnsi="Georgia"/>
                <w:noProof/>
              </w:rPr>
              <w:t> </w:t>
            </w:r>
            <w:r w:rsidRPr="00BD752C">
              <w:rPr>
                <w:rFonts w:ascii="Georgia" w:hAnsi="Georgia"/>
                <w:noProof/>
              </w:rPr>
              <w:t> </w:t>
            </w:r>
            <w:r w:rsidRPr="00BD752C">
              <w:rPr>
                <w:rFonts w:ascii="Georgia" w:hAnsi="Georgia"/>
                <w:noProof/>
              </w:rPr>
              <w:t> </w:t>
            </w:r>
            <w:r w:rsidRPr="00BD752C">
              <w:rPr>
                <w:rFonts w:ascii="Georgia" w:hAnsi="Georgia"/>
                <w:noProof/>
              </w:rPr>
              <w:t> </w:t>
            </w:r>
            <w:r w:rsidRPr="00BD752C">
              <w:rPr>
                <w:rFonts w:ascii="Georgia" w:hAnsi="Georgia"/>
                <w:noProof/>
              </w:rPr>
              <w:t> </w:t>
            </w:r>
            <w:r w:rsidRPr="00BD752C">
              <w:rPr>
                <w:rFonts w:ascii="Georgia" w:hAnsi="Georgia"/>
              </w:rPr>
              <w:fldChar w:fldCharType="end"/>
            </w:r>
          </w:p>
        </w:tc>
      </w:tr>
    </w:tbl>
    <w:p w:rsidR="00C56FCC" w:rsidRPr="00BD752C" w:rsidRDefault="00C56FCC" w:rsidP="003F4D20"/>
    <w:p w:rsidR="00C56FCC" w:rsidRPr="00BD752C" w:rsidRDefault="00C56FCC" w:rsidP="00B02C49">
      <w:pPr>
        <w:pStyle w:val="Heading3"/>
        <w:spacing w:before="240"/>
      </w:pPr>
      <w:r w:rsidRPr="00BD752C">
        <w:t>Question 6</w:t>
      </w:r>
    </w:p>
    <w:p w:rsidR="00C56FCC" w:rsidRPr="00BD752C" w:rsidRDefault="00C56FCC" w:rsidP="003F4D20">
      <w:r w:rsidRPr="00BD752C">
        <w:t>The sub-options for Option 2 are:</w:t>
      </w:r>
    </w:p>
    <w:p w:rsidR="00C56FCC" w:rsidRPr="00BD752C" w:rsidRDefault="003F4D20" w:rsidP="003F4D20">
      <w:pPr>
        <w:spacing w:before="90"/>
        <w:ind w:left="567" w:hanging="567"/>
      </w:pPr>
      <w:r w:rsidRPr="00BD752C">
        <w:t>a)</w:t>
      </w:r>
      <w:r w:rsidRPr="00BD752C">
        <w:tab/>
      </w:r>
      <w:r w:rsidR="00C56FCC" w:rsidRPr="00BD752C">
        <w:t>restrict</w:t>
      </w:r>
      <w:r w:rsidR="009148CB" w:rsidRPr="00BD752C">
        <w:t>ing</w:t>
      </w:r>
      <w:r w:rsidR="00C56FCC" w:rsidRPr="00BD752C">
        <w:t xml:space="preserve"> location of sale</w:t>
      </w:r>
    </w:p>
    <w:p w:rsidR="00C56FCC" w:rsidRPr="00BD752C" w:rsidRDefault="003F4D20" w:rsidP="003F4D20">
      <w:pPr>
        <w:spacing w:before="90"/>
        <w:ind w:left="567" w:hanging="567"/>
      </w:pPr>
      <w:r w:rsidRPr="00BD752C">
        <w:t>b)</w:t>
      </w:r>
      <w:r w:rsidRPr="00BD752C">
        <w:tab/>
      </w:r>
      <w:r w:rsidR="00C56FCC" w:rsidRPr="00BD752C">
        <w:t>prohibit</w:t>
      </w:r>
      <w:r w:rsidR="009148CB" w:rsidRPr="00BD752C">
        <w:t>ing</w:t>
      </w:r>
      <w:r w:rsidR="00C56FCC" w:rsidRPr="00BD752C">
        <w:t xml:space="preserve"> sale to minors</w:t>
      </w:r>
    </w:p>
    <w:p w:rsidR="00C56FCC" w:rsidRPr="00BD752C" w:rsidRDefault="003F4D20" w:rsidP="003F4D20">
      <w:pPr>
        <w:spacing w:before="90"/>
        <w:ind w:left="567" w:hanging="567"/>
      </w:pPr>
      <w:r w:rsidRPr="00BD752C">
        <w:t>c)</w:t>
      </w:r>
      <w:r w:rsidRPr="00BD752C">
        <w:tab/>
      </w:r>
      <w:r w:rsidR="00C56FCC" w:rsidRPr="00BD752C">
        <w:t>prohibit</w:t>
      </w:r>
      <w:r w:rsidR="009148CB" w:rsidRPr="00BD752C">
        <w:t>ing</w:t>
      </w:r>
      <w:r w:rsidR="00F91482" w:rsidRPr="00BD752C">
        <w:t xml:space="preserve"> </w:t>
      </w:r>
      <w:r w:rsidR="00C56FCC" w:rsidRPr="00BD752C">
        <w:t>or restrict</w:t>
      </w:r>
      <w:r w:rsidR="009148CB" w:rsidRPr="00BD752C">
        <w:t>ing</w:t>
      </w:r>
      <w:r w:rsidR="00C56FCC" w:rsidRPr="00BD752C">
        <w:t xml:space="preserve"> marketing</w:t>
      </w:r>
    </w:p>
    <w:p w:rsidR="00C56FCC" w:rsidRPr="00BD752C" w:rsidRDefault="003F4D20" w:rsidP="003F4D20">
      <w:pPr>
        <w:spacing w:before="90"/>
        <w:ind w:left="567" w:hanging="567"/>
      </w:pPr>
      <w:r w:rsidRPr="00BD752C">
        <w:t>d)</w:t>
      </w:r>
      <w:r w:rsidRPr="00BD752C">
        <w:tab/>
      </w:r>
      <w:r w:rsidR="00C56FCC" w:rsidRPr="00BD752C">
        <w:t>restrict</w:t>
      </w:r>
      <w:r w:rsidR="009148CB" w:rsidRPr="00BD752C">
        <w:t>ing</w:t>
      </w:r>
      <w:r w:rsidR="00C56FCC" w:rsidRPr="00BD752C">
        <w:t xml:space="preserve"> possession in public places</w:t>
      </w:r>
    </w:p>
    <w:p w:rsidR="00C56FCC" w:rsidRPr="00BD752C" w:rsidRDefault="003F4D20" w:rsidP="003F4D20">
      <w:pPr>
        <w:spacing w:before="90"/>
        <w:ind w:left="567" w:hanging="567"/>
      </w:pPr>
      <w:r w:rsidRPr="00BD752C">
        <w:t>e)</w:t>
      </w:r>
      <w:r w:rsidRPr="00BD752C">
        <w:tab/>
      </w:r>
      <w:r w:rsidR="00C56FCC" w:rsidRPr="00BD752C">
        <w:t>establish</w:t>
      </w:r>
      <w:r w:rsidR="009148CB" w:rsidRPr="00BD752C">
        <w:t>ing</w:t>
      </w:r>
      <w:r w:rsidR="00C56FCC" w:rsidRPr="00BD752C">
        <w:t xml:space="preserve"> infringement regulations and/or confiscations to support sub-options</w:t>
      </w:r>
    </w:p>
    <w:p w:rsidR="00C56FCC" w:rsidRPr="00BD752C" w:rsidRDefault="003F4D20" w:rsidP="003F4D20">
      <w:pPr>
        <w:spacing w:before="90"/>
        <w:ind w:left="567" w:hanging="567"/>
      </w:pPr>
      <w:r w:rsidRPr="00BD752C">
        <w:t>f)</w:t>
      </w:r>
      <w:r w:rsidRPr="00BD752C">
        <w:tab/>
      </w:r>
      <w:r w:rsidR="00C56FCC" w:rsidRPr="00BD752C">
        <w:t>requir</w:t>
      </w:r>
      <w:r w:rsidR="009148CB" w:rsidRPr="00BD752C">
        <w:t>ing</w:t>
      </w:r>
      <w:r w:rsidR="00C56FCC" w:rsidRPr="00BD752C">
        <w:t xml:space="preserve"> harm information in relation to utensils use</w:t>
      </w:r>
    </w:p>
    <w:p w:rsidR="00C56FCC" w:rsidRPr="00BD752C" w:rsidRDefault="003F4D20" w:rsidP="003F4D20">
      <w:pPr>
        <w:spacing w:before="90"/>
        <w:ind w:left="567" w:hanging="567"/>
      </w:pPr>
      <w:r w:rsidRPr="00BD752C">
        <w:t>g)</w:t>
      </w:r>
      <w:r w:rsidRPr="00BD752C">
        <w:tab/>
      </w:r>
      <w:r w:rsidR="00C56FCC" w:rsidRPr="00BD752C">
        <w:t>creat</w:t>
      </w:r>
      <w:r w:rsidR="009148CB" w:rsidRPr="00BD752C">
        <w:t>ing</w:t>
      </w:r>
      <w:r w:rsidR="00C56FCC" w:rsidRPr="00BD752C">
        <w:t xml:space="preserve"> licensing regulations for retailers and online sellers.</w:t>
      </w:r>
    </w:p>
    <w:p w:rsidR="00C56FCC" w:rsidRPr="00BD752C" w:rsidRDefault="00C56FCC" w:rsidP="003F4D20"/>
    <w:p w:rsidR="003F4D20" w:rsidRPr="00BD752C" w:rsidRDefault="00C56FCC" w:rsidP="003F4D20">
      <w:r w:rsidRPr="00BD752C">
        <w:t>Do you think that these sub-options are adequate?</w:t>
      </w:r>
    </w:p>
    <w:p w:rsidR="003F4D20" w:rsidRPr="00BD752C" w:rsidRDefault="003F4D20" w:rsidP="003F4D20">
      <w:pPr>
        <w:tabs>
          <w:tab w:val="left" w:pos="1134"/>
        </w:tabs>
        <w:spacing w:before="60"/>
        <w:ind w:left="567"/>
      </w:pPr>
      <w:r w:rsidRPr="00BD752C">
        <w:rPr>
          <w:sz w:val="28"/>
          <w:szCs w:val="28"/>
        </w:rPr>
        <w:fldChar w:fldCharType="begin">
          <w:ffData>
            <w:name w:val="Check1"/>
            <w:enabled/>
            <w:calcOnExit w:val="0"/>
            <w:checkBox>
              <w:sizeAuto/>
              <w:default w:val="0"/>
            </w:checkBox>
          </w:ffData>
        </w:fldChar>
      </w:r>
      <w:r w:rsidRPr="00BD752C">
        <w:rPr>
          <w:sz w:val="28"/>
          <w:szCs w:val="28"/>
        </w:rPr>
        <w:instrText xml:space="preserve"> FORMCHECKBOX </w:instrText>
      </w:r>
      <w:r w:rsidR="009128D7">
        <w:rPr>
          <w:sz w:val="28"/>
          <w:szCs w:val="28"/>
        </w:rPr>
      </w:r>
      <w:r w:rsidR="009128D7">
        <w:rPr>
          <w:sz w:val="28"/>
          <w:szCs w:val="28"/>
        </w:rPr>
        <w:fldChar w:fldCharType="separate"/>
      </w:r>
      <w:r w:rsidRPr="00BD752C">
        <w:rPr>
          <w:sz w:val="28"/>
          <w:szCs w:val="28"/>
        </w:rPr>
        <w:fldChar w:fldCharType="end"/>
      </w:r>
      <w:r w:rsidRPr="00BD752C">
        <w:tab/>
        <w:t>Yes</w:t>
      </w:r>
    </w:p>
    <w:p w:rsidR="003F4D20" w:rsidRPr="00BD752C" w:rsidRDefault="003F4D20" w:rsidP="003F4D20">
      <w:pPr>
        <w:tabs>
          <w:tab w:val="left" w:pos="1134"/>
        </w:tabs>
        <w:spacing w:before="60"/>
        <w:ind w:left="567"/>
      </w:pPr>
      <w:r w:rsidRPr="00BD752C">
        <w:rPr>
          <w:sz w:val="28"/>
          <w:szCs w:val="28"/>
        </w:rPr>
        <w:fldChar w:fldCharType="begin">
          <w:ffData>
            <w:name w:val="Check2"/>
            <w:enabled/>
            <w:calcOnExit w:val="0"/>
            <w:checkBox>
              <w:sizeAuto/>
              <w:default w:val="0"/>
            </w:checkBox>
          </w:ffData>
        </w:fldChar>
      </w:r>
      <w:r w:rsidRPr="00BD752C">
        <w:rPr>
          <w:sz w:val="28"/>
          <w:szCs w:val="28"/>
        </w:rPr>
        <w:instrText xml:space="preserve"> FORMCHECKBOX </w:instrText>
      </w:r>
      <w:r w:rsidR="009128D7">
        <w:rPr>
          <w:sz w:val="28"/>
          <w:szCs w:val="28"/>
        </w:rPr>
      </w:r>
      <w:r w:rsidR="009128D7">
        <w:rPr>
          <w:sz w:val="28"/>
          <w:szCs w:val="28"/>
        </w:rPr>
        <w:fldChar w:fldCharType="separate"/>
      </w:r>
      <w:r w:rsidRPr="00BD752C">
        <w:rPr>
          <w:sz w:val="28"/>
          <w:szCs w:val="28"/>
        </w:rPr>
        <w:fldChar w:fldCharType="end"/>
      </w:r>
      <w:r w:rsidRPr="00BD752C">
        <w:tab/>
        <w:t>No</w:t>
      </w:r>
    </w:p>
    <w:p w:rsidR="003F4D20" w:rsidRPr="00BD752C" w:rsidRDefault="003F4D20" w:rsidP="003F4D20"/>
    <w:p w:rsidR="00C56FCC" w:rsidRPr="00BD752C" w:rsidRDefault="00C56FCC" w:rsidP="003F4D20">
      <w:pPr>
        <w:spacing w:after="120"/>
      </w:pPr>
      <w:r w:rsidRPr="00BD752C">
        <w:t>What other sub-options would you like to see in Option 2 and why?</w:t>
      </w:r>
    </w:p>
    <w:tbl>
      <w:tblPr>
        <w:tblStyle w:val="TableGrid"/>
        <w:tblW w:w="0" w:type="auto"/>
        <w:tblInd w:w="108" w:type="dxa"/>
        <w:tblLayout w:type="fixed"/>
        <w:tblLook w:val="04A0" w:firstRow="1" w:lastRow="0" w:firstColumn="1" w:lastColumn="0" w:noHBand="0" w:noVBand="1"/>
      </w:tblPr>
      <w:tblGrid>
        <w:gridCol w:w="9356"/>
      </w:tblGrid>
      <w:tr w:rsidR="00B02C49" w:rsidRPr="00BD752C" w:rsidTr="00B02C49">
        <w:trPr>
          <w:cantSplit/>
          <w:trHeight w:val="341"/>
        </w:trPr>
        <w:tc>
          <w:tcPr>
            <w:tcW w:w="9356" w:type="dxa"/>
          </w:tcPr>
          <w:p w:rsidR="00B02C49" w:rsidRPr="00BD752C" w:rsidRDefault="00B02C49" w:rsidP="00B02C49">
            <w:pPr>
              <w:pStyle w:val="TableText"/>
              <w:rPr>
                <w:rFonts w:ascii="Georgia" w:hAnsi="Georgia"/>
              </w:rPr>
            </w:pPr>
            <w:r w:rsidRPr="00BD752C">
              <w:rPr>
                <w:rFonts w:ascii="Georgia" w:hAnsi="Georgia"/>
              </w:rPr>
              <w:fldChar w:fldCharType="begin">
                <w:ffData>
                  <w:name w:val="Text3"/>
                  <w:enabled/>
                  <w:calcOnExit w:val="0"/>
                  <w:textInput/>
                </w:ffData>
              </w:fldChar>
            </w:r>
            <w:r w:rsidRPr="00BD752C">
              <w:rPr>
                <w:rFonts w:ascii="Georgia" w:hAnsi="Georgia"/>
              </w:rPr>
              <w:instrText xml:space="preserve"> FORMTEXT </w:instrText>
            </w:r>
            <w:r w:rsidRPr="00BD752C">
              <w:rPr>
                <w:rFonts w:ascii="Georgia" w:hAnsi="Georgia"/>
              </w:rPr>
            </w:r>
            <w:r w:rsidRPr="00BD752C">
              <w:rPr>
                <w:rFonts w:ascii="Georgia" w:hAnsi="Georgia"/>
              </w:rPr>
              <w:fldChar w:fldCharType="separate"/>
            </w:r>
            <w:r w:rsidRPr="00BD752C">
              <w:rPr>
                <w:rFonts w:ascii="Georgia" w:hAnsi="Georgia"/>
                <w:noProof/>
              </w:rPr>
              <w:t> </w:t>
            </w:r>
            <w:r w:rsidRPr="00BD752C">
              <w:rPr>
                <w:rFonts w:ascii="Georgia" w:hAnsi="Georgia"/>
                <w:noProof/>
              </w:rPr>
              <w:t> </w:t>
            </w:r>
            <w:r w:rsidRPr="00BD752C">
              <w:rPr>
                <w:rFonts w:ascii="Georgia" w:hAnsi="Georgia"/>
                <w:noProof/>
              </w:rPr>
              <w:t> </w:t>
            </w:r>
            <w:r w:rsidRPr="00BD752C">
              <w:rPr>
                <w:rFonts w:ascii="Georgia" w:hAnsi="Georgia"/>
                <w:noProof/>
              </w:rPr>
              <w:t> </w:t>
            </w:r>
            <w:r w:rsidRPr="00BD752C">
              <w:rPr>
                <w:rFonts w:ascii="Georgia" w:hAnsi="Georgia"/>
                <w:noProof/>
              </w:rPr>
              <w:t> </w:t>
            </w:r>
            <w:r w:rsidRPr="00BD752C">
              <w:rPr>
                <w:rFonts w:ascii="Georgia" w:hAnsi="Georgia"/>
              </w:rPr>
              <w:fldChar w:fldCharType="end"/>
            </w:r>
          </w:p>
        </w:tc>
      </w:tr>
    </w:tbl>
    <w:p w:rsidR="00B02C49" w:rsidRPr="00BD752C" w:rsidRDefault="00B02C49" w:rsidP="00B02C49"/>
    <w:p w:rsidR="00C56FCC" w:rsidRPr="00BD752C" w:rsidRDefault="00C56FCC" w:rsidP="00B02C49">
      <w:pPr>
        <w:pStyle w:val="Heading3"/>
        <w:spacing w:before="240"/>
      </w:pPr>
      <w:r w:rsidRPr="00BD752C">
        <w:t>Question 7</w:t>
      </w:r>
    </w:p>
    <w:p w:rsidR="003F4D20" w:rsidRPr="00BD752C" w:rsidRDefault="00C56FCC" w:rsidP="003F4D20">
      <w:r w:rsidRPr="00BD752C">
        <w:t>Do you agree with the potential pros and cons outlined for Option 1?</w:t>
      </w:r>
    </w:p>
    <w:p w:rsidR="003F4D20" w:rsidRPr="00BD752C" w:rsidRDefault="003F4D20" w:rsidP="003F4D20">
      <w:pPr>
        <w:tabs>
          <w:tab w:val="left" w:pos="1134"/>
        </w:tabs>
        <w:spacing w:before="60"/>
        <w:ind w:left="567"/>
      </w:pPr>
      <w:r w:rsidRPr="00BD752C">
        <w:rPr>
          <w:sz w:val="28"/>
          <w:szCs w:val="28"/>
        </w:rPr>
        <w:fldChar w:fldCharType="begin">
          <w:ffData>
            <w:name w:val="Check1"/>
            <w:enabled/>
            <w:calcOnExit w:val="0"/>
            <w:checkBox>
              <w:sizeAuto/>
              <w:default w:val="0"/>
            </w:checkBox>
          </w:ffData>
        </w:fldChar>
      </w:r>
      <w:r w:rsidRPr="00BD752C">
        <w:rPr>
          <w:sz w:val="28"/>
          <w:szCs w:val="28"/>
        </w:rPr>
        <w:instrText xml:space="preserve"> FORMCHECKBOX </w:instrText>
      </w:r>
      <w:r w:rsidR="009128D7">
        <w:rPr>
          <w:sz w:val="28"/>
          <w:szCs w:val="28"/>
        </w:rPr>
      </w:r>
      <w:r w:rsidR="009128D7">
        <w:rPr>
          <w:sz w:val="28"/>
          <w:szCs w:val="28"/>
        </w:rPr>
        <w:fldChar w:fldCharType="separate"/>
      </w:r>
      <w:r w:rsidRPr="00BD752C">
        <w:rPr>
          <w:sz w:val="28"/>
          <w:szCs w:val="28"/>
        </w:rPr>
        <w:fldChar w:fldCharType="end"/>
      </w:r>
      <w:r w:rsidRPr="00BD752C">
        <w:tab/>
        <w:t>Yes</w:t>
      </w:r>
    </w:p>
    <w:p w:rsidR="003F4D20" w:rsidRPr="00BD752C" w:rsidRDefault="003F4D20" w:rsidP="003F4D20">
      <w:pPr>
        <w:tabs>
          <w:tab w:val="left" w:pos="1134"/>
        </w:tabs>
        <w:spacing w:before="60"/>
        <w:ind w:left="567"/>
      </w:pPr>
      <w:r w:rsidRPr="00BD752C">
        <w:rPr>
          <w:sz w:val="28"/>
          <w:szCs w:val="28"/>
        </w:rPr>
        <w:fldChar w:fldCharType="begin">
          <w:ffData>
            <w:name w:val="Check2"/>
            <w:enabled/>
            <w:calcOnExit w:val="0"/>
            <w:checkBox>
              <w:sizeAuto/>
              <w:default w:val="0"/>
            </w:checkBox>
          </w:ffData>
        </w:fldChar>
      </w:r>
      <w:r w:rsidRPr="00BD752C">
        <w:rPr>
          <w:sz w:val="28"/>
          <w:szCs w:val="28"/>
        </w:rPr>
        <w:instrText xml:space="preserve"> FORMCHECKBOX </w:instrText>
      </w:r>
      <w:r w:rsidR="009128D7">
        <w:rPr>
          <w:sz w:val="28"/>
          <w:szCs w:val="28"/>
        </w:rPr>
      </w:r>
      <w:r w:rsidR="009128D7">
        <w:rPr>
          <w:sz w:val="28"/>
          <w:szCs w:val="28"/>
        </w:rPr>
        <w:fldChar w:fldCharType="separate"/>
      </w:r>
      <w:r w:rsidRPr="00BD752C">
        <w:rPr>
          <w:sz w:val="28"/>
          <w:szCs w:val="28"/>
        </w:rPr>
        <w:fldChar w:fldCharType="end"/>
      </w:r>
      <w:r w:rsidRPr="00BD752C">
        <w:tab/>
        <w:t>No</w:t>
      </w:r>
    </w:p>
    <w:p w:rsidR="003F4D20" w:rsidRPr="00BD752C" w:rsidRDefault="003F4D20" w:rsidP="003F4D20"/>
    <w:p w:rsidR="00C56FCC" w:rsidRPr="00BD752C" w:rsidRDefault="00C56FCC" w:rsidP="003F4D20">
      <w:pPr>
        <w:spacing w:after="120"/>
      </w:pPr>
      <w:r w:rsidRPr="00BD752C">
        <w:t>Why or why not? What evidence or other information do you have to support this view?</w:t>
      </w:r>
    </w:p>
    <w:tbl>
      <w:tblPr>
        <w:tblStyle w:val="TableGrid"/>
        <w:tblW w:w="0" w:type="auto"/>
        <w:tblInd w:w="108" w:type="dxa"/>
        <w:tblLayout w:type="fixed"/>
        <w:tblLook w:val="04A0" w:firstRow="1" w:lastRow="0" w:firstColumn="1" w:lastColumn="0" w:noHBand="0" w:noVBand="1"/>
      </w:tblPr>
      <w:tblGrid>
        <w:gridCol w:w="9356"/>
      </w:tblGrid>
      <w:tr w:rsidR="00B02C49" w:rsidRPr="00BD752C" w:rsidTr="00B02C49">
        <w:trPr>
          <w:cantSplit/>
          <w:trHeight w:val="341"/>
        </w:trPr>
        <w:tc>
          <w:tcPr>
            <w:tcW w:w="9356" w:type="dxa"/>
          </w:tcPr>
          <w:p w:rsidR="00B02C49" w:rsidRPr="00BD752C" w:rsidRDefault="00B02C49" w:rsidP="00B02C49">
            <w:pPr>
              <w:pStyle w:val="TableText"/>
              <w:rPr>
                <w:rFonts w:ascii="Georgia" w:hAnsi="Georgia"/>
              </w:rPr>
            </w:pPr>
            <w:r w:rsidRPr="00BD752C">
              <w:rPr>
                <w:rFonts w:ascii="Georgia" w:hAnsi="Georgia"/>
              </w:rPr>
              <w:fldChar w:fldCharType="begin">
                <w:ffData>
                  <w:name w:val="Text3"/>
                  <w:enabled/>
                  <w:calcOnExit w:val="0"/>
                  <w:textInput/>
                </w:ffData>
              </w:fldChar>
            </w:r>
            <w:r w:rsidRPr="00BD752C">
              <w:rPr>
                <w:rFonts w:ascii="Georgia" w:hAnsi="Georgia"/>
              </w:rPr>
              <w:instrText xml:space="preserve"> FORMTEXT </w:instrText>
            </w:r>
            <w:r w:rsidRPr="00BD752C">
              <w:rPr>
                <w:rFonts w:ascii="Georgia" w:hAnsi="Georgia"/>
              </w:rPr>
            </w:r>
            <w:r w:rsidRPr="00BD752C">
              <w:rPr>
                <w:rFonts w:ascii="Georgia" w:hAnsi="Georgia"/>
              </w:rPr>
              <w:fldChar w:fldCharType="separate"/>
            </w:r>
            <w:r w:rsidRPr="00BD752C">
              <w:rPr>
                <w:rFonts w:ascii="Georgia" w:hAnsi="Georgia"/>
                <w:noProof/>
              </w:rPr>
              <w:t> </w:t>
            </w:r>
            <w:r w:rsidRPr="00BD752C">
              <w:rPr>
                <w:rFonts w:ascii="Georgia" w:hAnsi="Georgia"/>
                <w:noProof/>
              </w:rPr>
              <w:t> </w:t>
            </w:r>
            <w:r w:rsidRPr="00BD752C">
              <w:rPr>
                <w:rFonts w:ascii="Georgia" w:hAnsi="Georgia"/>
                <w:noProof/>
              </w:rPr>
              <w:t> </w:t>
            </w:r>
            <w:r w:rsidRPr="00BD752C">
              <w:rPr>
                <w:rFonts w:ascii="Georgia" w:hAnsi="Georgia"/>
                <w:noProof/>
              </w:rPr>
              <w:t> </w:t>
            </w:r>
            <w:r w:rsidRPr="00BD752C">
              <w:rPr>
                <w:rFonts w:ascii="Georgia" w:hAnsi="Georgia"/>
                <w:noProof/>
              </w:rPr>
              <w:t> </w:t>
            </w:r>
            <w:r w:rsidRPr="00BD752C">
              <w:rPr>
                <w:rFonts w:ascii="Georgia" w:hAnsi="Georgia"/>
              </w:rPr>
              <w:fldChar w:fldCharType="end"/>
            </w:r>
          </w:p>
        </w:tc>
      </w:tr>
    </w:tbl>
    <w:p w:rsidR="00B02C49" w:rsidRPr="00BD752C" w:rsidRDefault="00B02C49" w:rsidP="00B02C49"/>
    <w:p w:rsidR="00C56FCC" w:rsidRPr="00BD752C" w:rsidRDefault="00C56FCC" w:rsidP="00B02C49">
      <w:pPr>
        <w:pStyle w:val="Heading3"/>
        <w:spacing w:before="240"/>
      </w:pPr>
      <w:r w:rsidRPr="00BD752C">
        <w:lastRenderedPageBreak/>
        <w:t>Question 8</w:t>
      </w:r>
    </w:p>
    <w:p w:rsidR="0077735B" w:rsidRPr="00BD752C" w:rsidRDefault="00C56FCC" w:rsidP="00C56FCC">
      <w:r w:rsidRPr="00BD752C">
        <w:t>Do you agree with the potential pros and cons outlined for Option 2?</w:t>
      </w:r>
    </w:p>
    <w:p w:rsidR="0077735B" w:rsidRPr="00BD752C" w:rsidRDefault="0077735B" w:rsidP="0077735B">
      <w:pPr>
        <w:tabs>
          <w:tab w:val="left" w:pos="1134"/>
        </w:tabs>
        <w:spacing w:before="60"/>
        <w:ind w:left="567"/>
      </w:pPr>
      <w:r w:rsidRPr="00BD752C">
        <w:rPr>
          <w:sz w:val="28"/>
          <w:szCs w:val="28"/>
        </w:rPr>
        <w:fldChar w:fldCharType="begin">
          <w:ffData>
            <w:name w:val="Check1"/>
            <w:enabled/>
            <w:calcOnExit w:val="0"/>
            <w:checkBox>
              <w:sizeAuto/>
              <w:default w:val="0"/>
            </w:checkBox>
          </w:ffData>
        </w:fldChar>
      </w:r>
      <w:r w:rsidRPr="00BD752C">
        <w:rPr>
          <w:sz w:val="28"/>
          <w:szCs w:val="28"/>
        </w:rPr>
        <w:instrText xml:space="preserve"> FORMCHECKBOX </w:instrText>
      </w:r>
      <w:r w:rsidR="009128D7">
        <w:rPr>
          <w:sz w:val="28"/>
          <w:szCs w:val="28"/>
        </w:rPr>
      </w:r>
      <w:r w:rsidR="009128D7">
        <w:rPr>
          <w:sz w:val="28"/>
          <w:szCs w:val="28"/>
        </w:rPr>
        <w:fldChar w:fldCharType="separate"/>
      </w:r>
      <w:r w:rsidRPr="00BD752C">
        <w:rPr>
          <w:sz w:val="28"/>
          <w:szCs w:val="28"/>
        </w:rPr>
        <w:fldChar w:fldCharType="end"/>
      </w:r>
      <w:r w:rsidRPr="00BD752C">
        <w:tab/>
        <w:t>Yes</w:t>
      </w:r>
    </w:p>
    <w:p w:rsidR="0077735B" w:rsidRPr="00BD752C" w:rsidRDefault="0077735B" w:rsidP="0077735B">
      <w:pPr>
        <w:tabs>
          <w:tab w:val="left" w:pos="1134"/>
        </w:tabs>
        <w:spacing w:before="60"/>
        <w:ind w:left="567"/>
      </w:pPr>
      <w:r w:rsidRPr="00BD752C">
        <w:rPr>
          <w:sz w:val="28"/>
          <w:szCs w:val="28"/>
        </w:rPr>
        <w:fldChar w:fldCharType="begin">
          <w:ffData>
            <w:name w:val="Check2"/>
            <w:enabled/>
            <w:calcOnExit w:val="0"/>
            <w:checkBox>
              <w:sizeAuto/>
              <w:default w:val="0"/>
            </w:checkBox>
          </w:ffData>
        </w:fldChar>
      </w:r>
      <w:r w:rsidRPr="00BD752C">
        <w:rPr>
          <w:sz w:val="28"/>
          <w:szCs w:val="28"/>
        </w:rPr>
        <w:instrText xml:space="preserve"> FORMCHECKBOX </w:instrText>
      </w:r>
      <w:r w:rsidR="009128D7">
        <w:rPr>
          <w:sz w:val="28"/>
          <w:szCs w:val="28"/>
        </w:rPr>
      </w:r>
      <w:r w:rsidR="009128D7">
        <w:rPr>
          <w:sz w:val="28"/>
          <w:szCs w:val="28"/>
        </w:rPr>
        <w:fldChar w:fldCharType="separate"/>
      </w:r>
      <w:r w:rsidRPr="00BD752C">
        <w:rPr>
          <w:sz w:val="28"/>
          <w:szCs w:val="28"/>
        </w:rPr>
        <w:fldChar w:fldCharType="end"/>
      </w:r>
      <w:r w:rsidRPr="00BD752C">
        <w:tab/>
        <w:t>No</w:t>
      </w:r>
    </w:p>
    <w:p w:rsidR="0077735B" w:rsidRPr="00BD752C" w:rsidRDefault="0077735B" w:rsidP="0077735B"/>
    <w:p w:rsidR="00C56FCC" w:rsidRPr="00BD752C" w:rsidRDefault="00C56FCC" w:rsidP="0077735B">
      <w:pPr>
        <w:spacing w:after="120"/>
      </w:pPr>
      <w:r w:rsidRPr="00BD752C">
        <w:t>Why or why not? What evidence or other information do you have to support this view?</w:t>
      </w:r>
    </w:p>
    <w:tbl>
      <w:tblPr>
        <w:tblStyle w:val="TableGrid"/>
        <w:tblW w:w="0" w:type="auto"/>
        <w:tblInd w:w="108" w:type="dxa"/>
        <w:tblLayout w:type="fixed"/>
        <w:tblLook w:val="04A0" w:firstRow="1" w:lastRow="0" w:firstColumn="1" w:lastColumn="0" w:noHBand="0" w:noVBand="1"/>
      </w:tblPr>
      <w:tblGrid>
        <w:gridCol w:w="9356"/>
      </w:tblGrid>
      <w:tr w:rsidR="00B02C49" w:rsidRPr="00BD752C" w:rsidTr="00B02C49">
        <w:trPr>
          <w:cantSplit/>
          <w:trHeight w:val="341"/>
        </w:trPr>
        <w:tc>
          <w:tcPr>
            <w:tcW w:w="9356" w:type="dxa"/>
          </w:tcPr>
          <w:p w:rsidR="00B02C49" w:rsidRPr="00BD752C" w:rsidRDefault="00B02C49" w:rsidP="00B02C49">
            <w:pPr>
              <w:pStyle w:val="TableText"/>
              <w:rPr>
                <w:rFonts w:ascii="Georgia" w:hAnsi="Georgia"/>
              </w:rPr>
            </w:pPr>
            <w:r w:rsidRPr="00BD752C">
              <w:rPr>
                <w:rFonts w:ascii="Georgia" w:hAnsi="Georgia"/>
              </w:rPr>
              <w:fldChar w:fldCharType="begin">
                <w:ffData>
                  <w:name w:val="Text3"/>
                  <w:enabled/>
                  <w:calcOnExit w:val="0"/>
                  <w:textInput/>
                </w:ffData>
              </w:fldChar>
            </w:r>
            <w:r w:rsidRPr="00BD752C">
              <w:rPr>
                <w:rFonts w:ascii="Georgia" w:hAnsi="Georgia"/>
              </w:rPr>
              <w:instrText xml:space="preserve"> FORMTEXT </w:instrText>
            </w:r>
            <w:r w:rsidRPr="00BD752C">
              <w:rPr>
                <w:rFonts w:ascii="Georgia" w:hAnsi="Georgia"/>
              </w:rPr>
            </w:r>
            <w:r w:rsidRPr="00BD752C">
              <w:rPr>
                <w:rFonts w:ascii="Georgia" w:hAnsi="Georgia"/>
              </w:rPr>
              <w:fldChar w:fldCharType="separate"/>
            </w:r>
            <w:r w:rsidRPr="00BD752C">
              <w:rPr>
                <w:rFonts w:ascii="Georgia" w:hAnsi="Georgia"/>
                <w:noProof/>
              </w:rPr>
              <w:t> </w:t>
            </w:r>
            <w:r w:rsidRPr="00BD752C">
              <w:rPr>
                <w:rFonts w:ascii="Georgia" w:hAnsi="Georgia"/>
                <w:noProof/>
              </w:rPr>
              <w:t> </w:t>
            </w:r>
            <w:r w:rsidRPr="00BD752C">
              <w:rPr>
                <w:rFonts w:ascii="Georgia" w:hAnsi="Georgia"/>
                <w:noProof/>
              </w:rPr>
              <w:t> </w:t>
            </w:r>
            <w:r w:rsidRPr="00BD752C">
              <w:rPr>
                <w:rFonts w:ascii="Georgia" w:hAnsi="Georgia"/>
                <w:noProof/>
              </w:rPr>
              <w:t> </w:t>
            </w:r>
            <w:r w:rsidRPr="00BD752C">
              <w:rPr>
                <w:rFonts w:ascii="Georgia" w:hAnsi="Georgia"/>
                <w:noProof/>
              </w:rPr>
              <w:t> </w:t>
            </w:r>
            <w:r w:rsidRPr="00BD752C">
              <w:rPr>
                <w:rFonts w:ascii="Georgia" w:hAnsi="Georgia"/>
              </w:rPr>
              <w:fldChar w:fldCharType="end"/>
            </w:r>
          </w:p>
        </w:tc>
      </w:tr>
    </w:tbl>
    <w:p w:rsidR="00B02C49" w:rsidRPr="00BD752C" w:rsidRDefault="00B02C49" w:rsidP="00B02C49"/>
    <w:p w:rsidR="00C56FCC" w:rsidRPr="00BD752C" w:rsidRDefault="00C56FCC" w:rsidP="00B02C49">
      <w:pPr>
        <w:pStyle w:val="Heading3"/>
        <w:spacing w:before="240"/>
      </w:pPr>
      <w:r w:rsidRPr="00BD752C">
        <w:t>Any other comments</w:t>
      </w:r>
    </w:p>
    <w:tbl>
      <w:tblPr>
        <w:tblStyle w:val="TableGrid"/>
        <w:tblW w:w="0" w:type="auto"/>
        <w:tblInd w:w="108" w:type="dxa"/>
        <w:tblLayout w:type="fixed"/>
        <w:tblLook w:val="04A0" w:firstRow="1" w:lastRow="0" w:firstColumn="1" w:lastColumn="0" w:noHBand="0" w:noVBand="1"/>
      </w:tblPr>
      <w:tblGrid>
        <w:gridCol w:w="9356"/>
      </w:tblGrid>
      <w:tr w:rsidR="00B02C49" w:rsidRPr="00BD752C" w:rsidTr="00B02C49">
        <w:trPr>
          <w:cantSplit/>
          <w:trHeight w:val="341"/>
        </w:trPr>
        <w:tc>
          <w:tcPr>
            <w:tcW w:w="9356" w:type="dxa"/>
          </w:tcPr>
          <w:p w:rsidR="00B02C49" w:rsidRPr="00BD752C" w:rsidRDefault="00B02C49" w:rsidP="00B02C49">
            <w:pPr>
              <w:pStyle w:val="TableText"/>
              <w:rPr>
                <w:rFonts w:ascii="Georgia" w:hAnsi="Georgia"/>
              </w:rPr>
            </w:pPr>
            <w:r w:rsidRPr="00BD752C">
              <w:rPr>
                <w:rFonts w:ascii="Georgia" w:hAnsi="Georgia"/>
              </w:rPr>
              <w:fldChar w:fldCharType="begin">
                <w:ffData>
                  <w:name w:val="Text3"/>
                  <w:enabled/>
                  <w:calcOnExit w:val="0"/>
                  <w:textInput/>
                </w:ffData>
              </w:fldChar>
            </w:r>
            <w:r w:rsidRPr="00BD752C">
              <w:rPr>
                <w:rFonts w:ascii="Georgia" w:hAnsi="Georgia"/>
              </w:rPr>
              <w:instrText xml:space="preserve"> FORMTEXT </w:instrText>
            </w:r>
            <w:r w:rsidRPr="00BD752C">
              <w:rPr>
                <w:rFonts w:ascii="Georgia" w:hAnsi="Georgia"/>
              </w:rPr>
            </w:r>
            <w:r w:rsidRPr="00BD752C">
              <w:rPr>
                <w:rFonts w:ascii="Georgia" w:hAnsi="Georgia"/>
              </w:rPr>
              <w:fldChar w:fldCharType="separate"/>
            </w:r>
            <w:r w:rsidRPr="00BD752C">
              <w:rPr>
                <w:rFonts w:ascii="Georgia" w:hAnsi="Georgia"/>
                <w:noProof/>
              </w:rPr>
              <w:t> </w:t>
            </w:r>
            <w:r w:rsidRPr="00BD752C">
              <w:rPr>
                <w:rFonts w:ascii="Georgia" w:hAnsi="Georgia"/>
                <w:noProof/>
              </w:rPr>
              <w:t> </w:t>
            </w:r>
            <w:r w:rsidRPr="00BD752C">
              <w:rPr>
                <w:rFonts w:ascii="Georgia" w:hAnsi="Georgia"/>
                <w:noProof/>
              </w:rPr>
              <w:t> </w:t>
            </w:r>
            <w:r w:rsidRPr="00BD752C">
              <w:rPr>
                <w:rFonts w:ascii="Georgia" w:hAnsi="Georgia"/>
                <w:noProof/>
              </w:rPr>
              <w:t> </w:t>
            </w:r>
            <w:r w:rsidRPr="00BD752C">
              <w:rPr>
                <w:rFonts w:ascii="Georgia" w:hAnsi="Georgia"/>
                <w:noProof/>
              </w:rPr>
              <w:t> </w:t>
            </w:r>
            <w:r w:rsidRPr="00BD752C">
              <w:rPr>
                <w:rFonts w:ascii="Georgia" w:hAnsi="Georgia"/>
              </w:rPr>
              <w:fldChar w:fldCharType="end"/>
            </w:r>
          </w:p>
        </w:tc>
      </w:tr>
    </w:tbl>
    <w:p w:rsidR="00B02C49" w:rsidRPr="00BD752C" w:rsidRDefault="00B02C49" w:rsidP="00B02C49"/>
    <w:p w:rsidR="00F25970" w:rsidRPr="00BD752C" w:rsidRDefault="00F25970" w:rsidP="0077735B"/>
    <w:sectPr w:rsidR="00F25970" w:rsidRPr="00BD752C" w:rsidSect="000718AA">
      <w:footerReference w:type="default" r:id="rId24"/>
      <w:pgSz w:w="11907" w:h="16834" w:code="9"/>
      <w:pgMar w:top="851" w:right="1134" w:bottom="1134" w:left="1134" w:header="284" w:footer="567"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77C" w:rsidRDefault="00DA777C">
      <w:pPr>
        <w:spacing w:line="240" w:lineRule="auto"/>
      </w:pPr>
      <w:r>
        <w:separator/>
      </w:r>
    </w:p>
    <w:p w:rsidR="00DA777C" w:rsidRDefault="00DA777C"/>
  </w:endnote>
  <w:endnote w:type="continuationSeparator" w:id="0">
    <w:p w:rsidR="00DA777C" w:rsidRDefault="00DA777C">
      <w:pPr>
        <w:spacing w:line="240" w:lineRule="auto"/>
      </w:pPr>
      <w:r>
        <w:continuationSeparator/>
      </w:r>
    </w:p>
    <w:p w:rsidR="00DA777C" w:rsidRDefault="00DA7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ustan-Light">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C49" w:rsidRPr="00581136" w:rsidRDefault="00B02C49" w:rsidP="00F9366A">
    <w:pPr>
      <w:pStyle w:val="Footer"/>
      <w:pBdr>
        <w:bottom w:val="single" w:sz="4" w:space="1" w:color="auto"/>
      </w:pBdr>
      <w:tabs>
        <w:tab w:val="right" w:pos="8504"/>
      </w:tabs>
      <w:ind w:left="-1559"/>
      <w:rPr>
        <w:b/>
      </w:rPr>
    </w:pPr>
    <w:r w:rsidRPr="00581136">
      <w:rPr>
        <w:b/>
      </w:rPr>
      <w:t>Released 201</w:t>
    </w:r>
    <w:r>
      <w:rPr>
        <w:b/>
      </w:rPr>
      <w:t>6</w:t>
    </w:r>
    <w:r w:rsidRPr="00581136">
      <w:rPr>
        <w:b/>
      </w:rPr>
      <w:tab/>
      <w:t>health.govt.nz</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C49" w:rsidRDefault="00B02C49" w:rsidP="009E3C8C">
    <w:pPr>
      <w:pStyle w:val="RectoFooter"/>
    </w:pPr>
    <w:r>
      <w:tab/>
      <w:t>Review of Drug Utensils Regulation: A discussion document</w:t>
    </w:r>
    <w:r>
      <w:tab/>
    </w:r>
    <w:r>
      <w:rPr>
        <w:rStyle w:val="PageNumber"/>
      </w:rPr>
      <w:fldChar w:fldCharType="begin"/>
    </w:r>
    <w:r>
      <w:rPr>
        <w:rStyle w:val="PageNumber"/>
      </w:rPr>
      <w:instrText xml:space="preserve"> PAGE </w:instrText>
    </w:r>
    <w:r>
      <w:rPr>
        <w:rStyle w:val="PageNumber"/>
      </w:rPr>
      <w:fldChar w:fldCharType="separate"/>
    </w:r>
    <w:r w:rsidR="009128D7">
      <w:rPr>
        <w:rStyle w:val="PageNumber"/>
        <w:noProof/>
      </w:rPr>
      <w:t>25</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C49" w:rsidRDefault="00B02C49"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C49" w:rsidRDefault="00B02C4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C49" w:rsidRPr="00275D08" w:rsidRDefault="00B02C49"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Pr>
        <w:rStyle w:val="PageNumber"/>
        <w:noProof/>
      </w:rPr>
      <w:t>iv</w:t>
    </w:r>
    <w:r w:rsidRPr="00FC46E7">
      <w:rPr>
        <w:rStyle w:val="PageNumber"/>
      </w:rPr>
      <w:fldChar w:fldCharType="end"/>
    </w:r>
    <w:r>
      <w:tab/>
      <w:t>Review of Drug Utensils Regulation: A discussion document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C49" w:rsidRDefault="00B02C49" w:rsidP="00533B90">
    <w:pPr>
      <w:pStyle w:val="RectoFooter"/>
    </w:pPr>
    <w:r>
      <w:tab/>
      <w:t>Review of Drug Utensils Regulation: A discussion document</w:t>
    </w:r>
    <w:r>
      <w:tab/>
    </w:r>
    <w:r>
      <w:rPr>
        <w:rStyle w:val="PageNumber"/>
      </w:rPr>
      <w:fldChar w:fldCharType="begin"/>
    </w:r>
    <w:r>
      <w:rPr>
        <w:rStyle w:val="PageNumber"/>
      </w:rPr>
      <w:instrText xml:space="preserve"> PAGE </w:instrText>
    </w:r>
    <w:r>
      <w:rPr>
        <w:rStyle w:val="PageNumber"/>
      </w:rPr>
      <w:fldChar w:fldCharType="separate"/>
    </w:r>
    <w:r w:rsidR="009128D7">
      <w:rPr>
        <w:rStyle w:val="PageNumber"/>
        <w:noProof/>
      </w:rPr>
      <w:t>v</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C49" w:rsidRPr="005D049E" w:rsidRDefault="00B02C49" w:rsidP="005D049E">
    <w:pPr>
      <w:pStyle w:val="Footer"/>
      <w:pBdr>
        <w:bottom w:val="none" w:sz="0" w:space="0" w:color="auto"/>
      </w:pBd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C49" w:rsidRPr="00275D08" w:rsidRDefault="00B02C49"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9128D7">
      <w:rPr>
        <w:rStyle w:val="PageNumber"/>
        <w:noProof/>
      </w:rPr>
      <w:t>14</w:t>
    </w:r>
    <w:r w:rsidRPr="00FC46E7">
      <w:rPr>
        <w:rStyle w:val="PageNumber"/>
      </w:rPr>
      <w:fldChar w:fldCharType="end"/>
    </w:r>
    <w:r>
      <w:tab/>
      <w:t>Review of Drug Utensils Regulation: A discussion document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C49" w:rsidRDefault="00B02C49" w:rsidP="009E3C8C">
    <w:pPr>
      <w:pStyle w:val="RectoFooter"/>
    </w:pPr>
    <w:r>
      <w:tab/>
      <w:t>Review of Drug Utensils Regulation: A discussion document</w:t>
    </w:r>
    <w:r>
      <w:tab/>
    </w:r>
    <w:r>
      <w:rPr>
        <w:rStyle w:val="PageNumber"/>
      </w:rPr>
      <w:fldChar w:fldCharType="begin"/>
    </w:r>
    <w:r>
      <w:rPr>
        <w:rStyle w:val="PageNumber"/>
      </w:rPr>
      <w:instrText xml:space="preserve"> PAGE </w:instrText>
    </w:r>
    <w:r>
      <w:rPr>
        <w:rStyle w:val="PageNumber"/>
      </w:rPr>
      <w:fldChar w:fldCharType="separate"/>
    </w:r>
    <w:r w:rsidR="009128D7">
      <w:rPr>
        <w:rStyle w:val="PageNumber"/>
        <w:noProof/>
      </w:rPr>
      <w:t>15</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C49" w:rsidRDefault="00B02C49" w:rsidP="009A76F8">
    <w:pPr>
      <w:pStyle w:val="RectoFooter"/>
      <w:tabs>
        <w:tab w:val="clear" w:pos="8647"/>
        <w:tab w:val="clear" w:pos="9356"/>
        <w:tab w:val="right" w:pos="13892"/>
        <w:tab w:val="right" w:pos="14601"/>
      </w:tabs>
    </w:pPr>
    <w:r>
      <w:tab/>
      <w:t>Review of Drug Utensils Regulation: A discussion document</w:t>
    </w:r>
    <w:r>
      <w:tab/>
    </w:r>
    <w:r>
      <w:rPr>
        <w:rStyle w:val="PageNumber"/>
      </w:rPr>
      <w:fldChar w:fldCharType="begin"/>
    </w:r>
    <w:r>
      <w:rPr>
        <w:rStyle w:val="PageNumber"/>
      </w:rPr>
      <w:instrText xml:space="preserve"> PAGE </w:instrText>
    </w:r>
    <w:r>
      <w:rPr>
        <w:rStyle w:val="PageNumber"/>
      </w:rPr>
      <w:fldChar w:fldCharType="separate"/>
    </w:r>
    <w:r w:rsidR="009128D7">
      <w:rPr>
        <w:rStyle w:val="PageNumber"/>
        <w:noProof/>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77C" w:rsidRPr="00A26E6B" w:rsidRDefault="00DA777C" w:rsidP="00A26E6B"/>
  </w:footnote>
  <w:footnote w:type="continuationSeparator" w:id="0">
    <w:p w:rsidR="00DA777C" w:rsidRDefault="00DA777C">
      <w:pPr>
        <w:spacing w:line="240" w:lineRule="auto"/>
      </w:pPr>
      <w:r>
        <w:continuationSeparator/>
      </w:r>
    </w:p>
    <w:p w:rsidR="00DA777C" w:rsidRDefault="00DA777C"/>
  </w:footnote>
  <w:footnote w:id="1">
    <w:p w:rsidR="00B02C49" w:rsidRPr="00D3584A" w:rsidRDefault="00B02C49" w:rsidP="004931D9">
      <w:pPr>
        <w:pStyle w:val="FootnoteText"/>
      </w:pPr>
      <w:r w:rsidRPr="004931D9">
        <w:rPr>
          <w:rStyle w:val="FootnoteReference"/>
        </w:rPr>
        <w:footnoteRef/>
      </w:r>
      <w:r>
        <w:rPr>
          <w:lang w:val="en"/>
        </w:rPr>
        <w:tab/>
      </w:r>
      <w:r w:rsidRPr="00D3584A">
        <w:rPr>
          <w:lang w:val="en"/>
        </w:rPr>
        <w:t xml:space="preserve">McFadden Consultancy. 2016. </w:t>
      </w:r>
      <w:r w:rsidRPr="004931D9">
        <w:rPr>
          <w:i/>
          <w:lang w:val="en"/>
        </w:rPr>
        <w:t>Research Report: The New Zealand Drug Harm Index 2016</w:t>
      </w:r>
      <w:r w:rsidRPr="00D3584A">
        <w:rPr>
          <w:lang w:val="en"/>
        </w:rPr>
        <w:t>. Wellington: Ministry of Health.</w:t>
      </w:r>
    </w:p>
  </w:footnote>
  <w:footnote w:id="2">
    <w:p w:rsidR="00B02C49" w:rsidRPr="00B93817" w:rsidRDefault="00B02C49" w:rsidP="004931D9">
      <w:pPr>
        <w:pStyle w:val="FootnoteText"/>
      </w:pPr>
      <w:r w:rsidRPr="004931D9">
        <w:rPr>
          <w:rStyle w:val="FootnoteReference"/>
        </w:rPr>
        <w:footnoteRef/>
      </w:r>
      <w:r>
        <w:tab/>
      </w:r>
      <w:r w:rsidRPr="00B93817">
        <w:t>A fine of up to $5</w:t>
      </w:r>
      <w:r w:rsidR="000714B1">
        <w:t>,</w:t>
      </w:r>
      <w:r w:rsidRPr="00B93817">
        <w:t xml:space="preserve">000 for an individual or $25,000 for a body corporate may be imposed on an absolute liability basis or a term of imprisonment of up to </w:t>
      </w:r>
      <w:r>
        <w:t>six</w:t>
      </w:r>
      <w:r w:rsidRPr="00B93817">
        <w:t xml:space="preserve"> months or a fine of up to $10,000 for an individual or $50,000 for a body corporate where the offence was committed knowingly.</w:t>
      </w:r>
    </w:p>
  </w:footnote>
  <w:footnote w:id="3">
    <w:p w:rsidR="00B02C49" w:rsidRPr="00431C1C" w:rsidRDefault="00B02C49" w:rsidP="00691522">
      <w:pPr>
        <w:pStyle w:val="FootnoteText"/>
      </w:pPr>
      <w:r w:rsidRPr="00691522">
        <w:rPr>
          <w:rStyle w:val="FootnoteReference"/>
        </w:rPr>
        <w:footnoteRef/>
      </w:r>
      <w:r>
        <w:tab/>
        <w:t>Averaged over nine years 2005–2014.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C49" w:rsidRDefault="00B02C49" w:rsidP="009216CC">
    <w:pPr>
      <w:pStyle w:val="Header"/>
      <w:ind w:left="-1559"/>
    </w:pPr>
    <w:r>
      <w:rPr>
        <w:noProof/>
        <w:lang w:eastAsia="en-NZ"/>
      </w:rPr>
      <w:drawing>
        <wp:inline distT="0" distB="0" distL="0" distR="0" wp14:anchorId="3522EBB5" wp14:editId="17B9445D">
          <wp:extent cx="6467302" cy="5346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C49" w:rsidRDefault="00B02C49"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C49" w:rsidRDefault="00B02C49"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C49" w:rsidRDefault="00B02C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nsid w:val="07D52FD4"/>
    <w:multiLevelType w:val="hybridMultilevel"/>
    <w:tmpl w:val="323EE49E"/>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
    <w:nsid w:val="08B96213"/>
    <w:multiLevelType w:val="hybridMultilevel"/>
    <w:tmpl w:val="B606A310"/>
    <w:lvl w:ilvl="0" w:tplc="FA4843B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0AF929E0"/>
    <w:multiLevelType w:val="hybridMultilevel"/>
    <w:tmpl w:val="5F8CDF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2A25745"/>
    <w:multiLevelType w:val="hybridMultilevel"/>
    <w:tmpl w:val="45A8C5A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23373666"/>
    <w:multiLevelType w:val="hybridMultilevel"/>
    <w:tmpl w:val="26248F6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246E45BF"/>
    <w:multiLevelType w:val="hybridMultilevel"/>
    <w:tmpl w:val="FB00B39E"/>
    <w:lvl w:ilvl="0" w:tplc="14090001">
      <w:start w:val="1"/>
      <w:numFmt w:val="bullet"/>
      <w:lvlText w:val=""/>
      <w:lvlJc w:val="left"/>
      <w:pPr>
        <w:ind w:left="892" w:hanging="360"/>
      </w:pPr>
      <w:rPr>
        <w:rFonts w:ascii="Symbol" w:hAnsi="Symbol" w:hint="default"/>
      </w:rPr>
    </w:lvl>
    <w:lvl w:ilvl="1" w:tplc="14090003" w:tentative="1">
      <w:start w:val="1"/>
      <w:numFmt w:val="bullet"/>
      <w:lvlText w:val="o"/>
      <w:lvlJc w:val="left"/>
      <w:pPr>
        <w:ind w:left="1612" w:hanging="360"/>
      </w:pPr>
      <w:rPr>
        <w:rFonts w:ascii="Courier New" w:hAnsi="Courier New" w:cs="Courier New" w:hint="default"/>
      </w:rPr>
    </w:lvl>
    <w:lvl w:ilvl="2" w:tplc="14090005" w:tentative="1">
      <w:start w:val="1"/>
      <w:numFmt w:val="bullet"/>
      <w:lvlText w:val=""/>
      <w:lvlJc w:val="left"/>
      <w:pPr>
        <w:ind w:left="2332" w:hanging="360"/>
      </w:pPr>
      <w:rPr>
        <w:rFonts w:ascii="Wingdings" w:hAnsi="Wingdings" w:hint="default"/>
      </w:rPr>
    </w:lvl>
    <w:lvl w:ilvl="3" w:tplc="14090001" w:tentative="1">
      <w:start w:val="1"/>
      <w:numFmt w:val="bullet"/>
      <w:lvlText w:val=""/>
      <w:lvlJc w:val="left"/>
      <w:pPr>
        <w:ind w:left="3052" w:hanging="360"/>
      </w:pPr>
      <w:rPr>
        <w:rFonts w:ascii="Symbol" w:hAnsi="Symbol" w:hint="default"/>
      </w:rPr>
    </w:lvl>
    <w:lvl w:ilvl="4" w:tplc="14090003" w:tentative="1">
      <w:start w:val="1"/>
      <w:numFmt w:val="bullet"/>
      <w:lvlText w:val="o"/>
      <w:lvlJc w:val="left"/>
      <w:pPr>
        <w:ind w:left="3772" w:hanging="360"/>
      </w:pPr>
      <w:rPr>
        <w:rFonts w:ascii="Courier New" w:hAnsi="Courier New" w:cs="Courier New" w:hint="default"/>
      </w:rPr>
    </w:lvl>
    <w:lvl w:ilvl="5" w:tplc="14090005" w:tentative="1">
      <w:start w:val="1"/>
      <w:numFmt w:val="bullet"/>
      <w:lvlText w:val=""/>
      <w:lvlJc w:val="left"/>
      <w:pPr>
        <w:ind w:left="4492" w:hanging="360"/>
      </w:pPr>
      <w:rPr>
        <w:rFonts w:ascii="Wingdings" w:hAnsi="Wingdings" w:hint="default"/>
      </w:rPr>
    </w:lvl>
    <w:lvl w:ilvl="6" w:tplc="14090001" w:tentative="1">
      <w:start w:val="1"/>
      <w:numFmt w:val="bullet"/>
      <w:lvlText w:val=""/>
      <w:lvlJc w:val="left"/>
      <w:pPr>
        <w:ind w:left="5212" w:hanging="360"/>
      </w:pPr>
      <w:rPr>
        <w:rFonts w:ascii="Symbol" w:hAnsi="Symbol" w:hint="default"/>
      </w:rPr>
    </w:lvl>
    <w:lvl w:ilvl="7" w:tplc="14090003" w:tentative="1">
      <w:start w:val="1"/>
      <w:numFmt w:val="bullet"/>
      <w:lvlText w:val="o"/>
      <w:lvlJc w:val="left"/>
      <w:pPr>
        <w:ind w:left="5932" w:hanging="360"/>
      </w:pPr>
      <w:rPr>
        <w:rFonts w:ascii="Courier New" w:hAnsi="Courier New" w:cs="Courier New" w:hint="default"/>
      </w:rPr>
    </w:lvl>
    <w:lvl w:ilvl="8" w:tplc="14090005" w:tentative="1">
      <w:start w:val="1"/>
      <w:numFmt w:val="bullet"/>
      <w:lvlText w:val=""/>
      <w:lvlJc w:val="left"/>
      <w:pPr>
        <w:ind w:left="6652" w:hanging="360"/>
      </w:pPr>
      <w:rPr>
        <w:rFonts w:ascii="Wingdings" w:hAnsi="Wingdings" w:hint="default"/>
      </w:rPr>
    </w:lvl>
  </w:abstractNum>
  <w:abstractNum w:abstractNumId="11">
    <w:nsid w:val="267B798F"/>
    <w:multiLevelType w:val="hybridMultilevel"/>
    <w:tmpl w:val="45A8C5A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288B16BA"/>
    <w:multiLevelType w:val="hybridMultilevel"/>
    <w:tmpl w:val="323EE49E"/>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nsid w:val="2D39285A"/>
    <w:multiLevelType w:val="hybridMultilevel"/>
    <w:tmpl w:val="978A0E84"/>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326C16D2"/>
    <w:multiLevelType w:val="hybridMultilevel"/>
    <w:tmpl w:val="B606A310"/>
    <w:lvl w:ilvl="0" w:tplc="FA4843B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CEC6115"/>
    <w:multiLevelType w:val="hybridMultilevel"/>
    <w:tmpl w:val="978A0E84"/>
    <w:lvl w:ilvl="0" w:tplc="14090015">
      <w:start w:val="1"/>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nsid w:val="50952F1A"/>
    <w:multiLevelType w:val="hybridMultilevel"/>
    <w:tmpl w:val="B606A310"/>
    <w:lvl w:ilvl="0" w:tplc="FA4843B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nsid w:val="59735D83"/>
    <w:multiLevelType w:val="hybridMultilevel"/>
    <w:tmpl w:val="8B2A3D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3">
    <w:nsid w:val="6B376F39"/>
    <w:multiLevelType w:val="hybridMultilevel"/>
    <w:tmpl w:val="978A0E84"/>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6F571FE5"/>
    <w:multiLevelType w:val="hybridMultilevel"/>
    <w:tmpl w:val="AE2A0B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26">
    <w:nsid w:val="7C1218D3"/>
    <w:multiLevelType w:val="singleLevel"/>
    <w:tmpl w:val="C58C0308"/>
    <w:lvl w:ilvl="0">
      <w:start w:val="1"/>
      <w:numFmt w:val="bullet"/>
      <w:pStyle w:val="Bullet"/>
      <w:lvlText w:val=""/>
      <w:lvlJc w:val="left"/>
      <w:pPr>
        <w:tabs>
          <w:tab w:val="num" w:pos="1419"/>
        </w:tabs>
        <w:ind w:left="1419" w:hanging="284"/>
      </w:pPr>
      <w:rPr>
        <w:rFonts w:ascii="Symbol" w:hAnsi="Symbol" w:hint="default"/>
        <w:sz w:val="18"/>
      </w:rPr>
    </w:lvl>
  </w:abstractNum>
  <w:num w:numId="1">
    <w:abstractNumId w:val="26"/>
  </w:num>
  <w:num w:numId="2">
    <w:abstractNumId w:val="22"/>
  </w:num>
  <w:num w:numId="3">
    <w:abstractNumId w:val="15"/>
  </w:num>
  <w:num w:numId="4">
    <w:abstractNumId w:val="17"/>
  </w:num>
  <w:num w:numId="5">
    <w:abstractNumId w:val="1"/>
  </w:num>
  <w:num w:numId="6">
    <w:abstractNumId w:val="20"/>
  </w:num>
  <w:num w:numId="7">
    <w:abstractNumId w:val="6"/>
  </w:num>
  <w:num w:numId="8">
    <w:abstractNumId w:val="25"/>
  </w:num>
  <w:num w:numId="9">
    <w:abstractNumId w:val="5"/>
  </w:num>
  <w:num w:numId="10">
    <w:abstractNumId w:val="7"/>
  </w:num>
  <w:num w:numId="11">
    <w:abstractNumId w:val="18"/>
  </w:num>
  <w:num w:numId="12">
    <w:abstractNumId w:val="0"/>
  </w:num>
  <w:num w:numId="13">
    <w:abstractNumId w:val="26"/>
  </w:num>
  <w:num w:numId="14">
    <w:abstractNumId w:val="10"/>
  </w:num>
  <w:num w:numId="15">
    <w:abstractNumId w:val="4"/>
  </w:num>
  <w:num w:numId="16">
    <w:abstractNumId w:val="23"/>
  </w:num>
  <w:num w:numId="17">
    <w:abstractNumId w:val="13"/>
  </w:num>
  <w:num w:numId="18">
    <w:abstractNumId w:val="24"/>
  </w:num>
  <w:num w:numId="19">
    <w:abstractNumId w:val="12"/>
  </w:num>
  <w:num w:numId="20">
    <w:abstractNumId w:val="2"/>
  </w:num>
  <w:num w:numId="21">
    <w:abstractNumId w:val="16"/>
  </w:num>
  <w:num w:numId="22">
    <w:abstractNumId w:val="11"/>
  </w:num>
  <w:num w:numId="23">
    <w:abstractNumId w:val="21"/>
  </w:num>
  <w:num w:numId="24">
    <w:abstractNumId w:val="8"/>
  </w:num>
  <w:num w:numId="25">
    <w:abstractNumId w:val="3"/>
  </w:num>
  <w:num w:numId="26">
    <w:abstractNumId w:val="14"/>
  </w:num>
  <w:num w:numId="27">
    <w:abstractNumId w:val="19"/>
  </w:num>
  <w:num w:numId="2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104C5"/>
    <w:rsid w:val="000243B5"/>
    <w:rsid w:val="00024ABC"/>
    <w:rsid w:val="00030B26"/>
    <w:rsid w:val="0006228D"/>
    <w:rsid w:val="000714B1"/>
    <w:rsid w:val="000718AA"/>
    <w:rsid w:val="00072BD6"/>
    <w:rsid w:val="00075B78"/>
    <w:rsid w:val="00082CD6"/>
    <w:rsid w:val="00085AFE"/>
    <w:rsid w:val="000B0730"/>
    <w:rsid w:val="000D34E9"/>
    <w:rsid w:val="000E04DA"/>
    <w:rsid w:val="000F2AE2"/>
    <w:rsid w:val="00102063"/>
    <w:rsid w:val="0010541C"/>
    <w:rsid w:val="00106F93"/>
    <w:rsid w:val="00111D50"/>
    <w:rsid w:val="00113B8E"/>
    <w:rsid w:val="001203AB"/>
    <w:rsid w:val="001342C7"/>
    <w:rsid w:val="0013585C"/>
    <w:rsid w:val="00142954"/>
    <w:rsid w:val="001460E0"/>
    <w:rsid w:val="00147F71"/>
    <w:rsid w:val="00150A6E"/>
    <w:rsid w:val="0016468A"/>
    <w:rsid w:val="00166994"/>
    <w:rsid w:val="001739CC"/>
    <w:rsid w:val="001A4A92"/>
    <w:rsid w:val="001A5CF5"/>
    <w:rsid w:val="001B39D2"/>
    <w:rsid w:val="001B4BF8"/>
    <w:rsid w:val="001C4326"/>
    <w:rsid w:val="001D3541"/>
    <w:rsid w:val="001D7BFD"/>
    <w:rsid w:val="00201A01"/>
    <w:rsid w:val="002104D3"/>
    <w:rsid w:val="00213A33"/>
    <w:rsid w:val="0021763B"/>
    <w:rsid w:val="00246DB1"/>
    <w:rsid w:val="002476B5"/>
    <w:rsid w:val="00253ECF"/>
    <w:rsid w:val="002546A1"/>
    <w:rsid w:val="00263AF7"/>
    <w:rsid w:val="00275D08"/>
    <w:rsid w:val="00277188"/>
    <w:rsid w:val="002858E3"/>
    <w:rsid w:val="00285B77"/>
    <w:rsid w:val="0029190A"/>
    <w:rsid w:val="00292C5A"/>
    <w:rsid w:val="00295241"/>
    <w:rsid w:val="002A6C49"/>
    <w:rsid w:val="002B047D"/>
    <w:rsid w:val="002B732B"/>
    <w:rsid w:val="002C2219"/>
    <w:rsid w:val="002C2536"/>
    <w:rsid w:val="002D0DF2"/>
    <w:rsid w:val="002D23BD"/>
    <w:rsid w:val="002E0B47"/>
    <w:rsid w:val="002F0D84"/>
    <w:rsid w:val="002F7213"/>
    <w:rsid w:val="0030382F"/>
    <w:rsid w:val="0030408D"/>
    <w:rsid w:val="003060E4"/>
    <w:rsid w:val="003125A2"/>
    <w:rsid w:val="003160E7"/>
    <w:rsid w:val="0031739E"/>
    <w:rsid w:val="003325AB"/>
    <w:rsid w:val="0033412B"/>
    <w:rsid w:val="00336C19"/>
    <w:rsid w:val="00343365"/>
    <w:rsid w:val="00353501"/>
    <w:rsid w:val="003606F8"/>
    <w:rsid w:val="003648EF"/>
    <w:rsid w:val="003673E6"/>
    <w:rsid w:val="00377264"/>
    <w:rsid w:val="003A26A5"/>
    <w:rsid w:val="003A3761"/>
    <w:rsid w:val="003A5FEA"/>
    <w:rsid w:val="003B1D10"/>
    <w:rsid w:val="003C76D4"/>
    <w:rsid w:val="003D2CC5"/>
    <w:rsid w:val="003E7C46"/>
    <w:rsid w:val="003F4D20"/>
    <w:rsid w:val="003F52A7"/>
    <w:rsid w:val="0040240C"/>
    <w:rsid w:val="00413021"/>
    <w:rsid w:val="00440BE0"/>
    <w:rsid w:val="00442C1C"/>
    <w:rsid w:val="0044584B"/>
    <w:rsid w:val="00447CB7"/>
    <w:rsid w:val="004528D9"/>
    <w:rsid w:val="00460826"/>
    <w:rsid w:val="00460EA7"/>
    <w:rsid w:val="0046195B"/>
    <w:rsid w:val="00461E36"/>
    <w:rsid w:val="0046596D"/>
    <w:rsid w:val="00487C04"/>
    <w:rsid w:val="004907E1"/>
    <w:rsid w:val="004931D9"/>
    <w:rsid w:val="004A035B"/>
    <w:rsid w:val="004A38D7"/>
    <w:rsid w:val="004A778C"/>
    <w:rsid w:val="004B69C0"/>
    <w:rsid w:val="004C2E6A"/>
    <w:rsid w:val="004C64B8"/>
    <w:rsid w:val="004D2A2D"/>
    <w:rsid w:val="004D6689"/>
    <w:rsid w:val="004D7D70"/>
    <w:rsid w:val="004E1D1D"/>
    <w:rsid w:val="004E6AA1"/>
    <w:rsid w:val="004E7AC8"/>
    <w:rsid w:val="004F0C94"/>
    <w:rsid w:val="005019AE"/>
    <w:rsid w:val="00503749"/>
    <w:rsid w:val="00504CF4"/>
    <w:rsid w:val="0050635B"/>
    <w:rsid w:val="005272A8"/>
    <w:rsid w:val="0053199F"/>
    <w:rsid w:val="00533B90"/>
    <w:rsid w:val="005410F8"/>
    <w:rsid w:val="005448EC"/>
    <w:rsid w:val="00545963"/>
    <w:rsid w:val="00550256"/>
    <w:rsid w:val="00551B72"/>
    <w:rsid w:val="00553958"/>
    <w:rsid w:val="00554403"/>
    <w:rsid w:val="0055763D"/>
    <w:rsid w:val="005621F2"/>
    <w:rsid w:val="00567B58"/>
    <w:rsid w:val="005763E0"/>
    <w:rsid w:val="00581136"/>
    <w:rsid w:val="005A27CA"/>
    <w:rsid w:val="005A43BD"/>
    <w:rsid w:val="005D049E"/>
    <w:rsid w:val="005D28E2"/>
    <w:rsid w:val="005E226E"/>
    <w:rsid w:val="006015D7"/>
    <w:rsid w:val="00601B21"/>
    <w:rsid w:val="006041F0"/>
    <w:rsid w:val="006132D4"/>
    <w:rsid w:val="00626CF8"/>
    <w:rsid w:val="00636D7D"/>
    <w:rsid w:val="00637408"/>
    <w:rsid w:val="00642868"/>
    <w:rsid w:val="00646348"/>
    <w:rsid w:val="00647AFE"/>
    <w:rsid w:val="006512BC"/>
    <w:rsid w:val="00653A5A"/>
    <w:rsid w:val="006575F4"/>
    <w:rsid w:val="006579E6"/>
    <w:rsid w:val="00663EDC"/>
    <w:rsid w:val="00671078"/>
    <w:rsid w:val="006758CA"/>
    <w:rsid w:val="00680A04"/>
    <w:rsid w:val="00686D80"/>
    <w:rsid w:val="00691522"/>
    <w:rsid w:val="00694895"/>
    <w:rsid w:val="00697DA2"/>
    <w:rsid w:val="00697E2E"/>
    <w:rsid w:val="006A25A2"/>
    <w:rsid w:val="006A600B"/>
    <w:rsid w:val="006B0E73"/>
    <w:rsid w:val="006B4A4D"/>
    <w:rsid w:val="006B5695"/>
    <w:rsid w:val="006C78EB"/>
    <w:rsid w:val="006D1660"/>
    <w:rsid w:val="006D257F"/>
    <w:rsid w:val="006F1B67"/>
    <w:rsid w:val="0070091D"/>
    <w:rsid w:val="00702854"/>
    <w:rsid w:val="0071741C"/>
    <w:rsid w:val="00724287"/>
    <w:rsid w:val="00730CBC"/>
    <w:rsid w:val="00742B90"/>
    <w:rsid w:val="0074434D"/>
    <w:rsid w:val="00751E1A"/>
    <w:rsid w:val="0076546F"/>
    <w:rsid w:val="00771B1E"/>
    <w:rsid w:val="00772E1A"/>
    <w:rsid w:val="00773C95"/>
    <w:rsid w:val="007764B0"/>
    <w:rsid w:val="0077735B"/>
    <w:rsid w:val="0078171E"/>
    <w:rsid w:val="00786B10"/>
    <w:rsid w:val="00795B34"/>
    <w:rsid w:val="007B1770"/>
    <w:rsid w:val="007B4D3E"/>
    <w:rsid w:val="007B7C70"/>
    <w:rsid w:val="007D2151"/>
    <w:rsid w:val="007D42CC"/>
    <w:rsid w:val="007D4A54"/>
    <w:rsid w:val="007D5DE4"/>
    <w:rsid w:val="007D75B7"/>
    <w:rsid w:val="007E0777"/>
    <w:rsid w:val="007E1341"/>
    <w:rsid w:val="007E1B41"/>
    <w:rsid w:val="007E30B9"/>
    <w:rsid w:val="007E54C6"/>
    <w:rsid w:val="007E74F1"/>
    <w:rsid w:val="007F0F0C"/>
    <w:rsid w:val="007F1288"/>
    <w:rsid w:val="00800A8A"/>
    <w:rsid w:val="0080155C"/>
    <w:rsid w:val="008052E1"/>
    <w:rsid w:val="00822F2C"/>
    <w:rsid w:val="008272CE"/>
    <w:rsid w:val="008305E8"/>
    <w:rsid w:val="0083277B"/>
    <w:rsid w:val="008549DA"/>
    <w:rsid w:val="00860826"/>
    <w:rsid w:val="00860E21"/>
    <w:rsid w:val="00863117"/>
    <w:rsid w:val="0086388B"/>
    <w:rsid w:val="008642E5"/>
    <w:rsid w:val="00872D93"/>
    <w:rsid w:val="00873013"/>
    <w:rsid w:val="00874336"/>
    <w:rsid w:val="00880470"/>
    <w:rsid w:val="00880D94"/>
    <w:rsid w:val="008858BE"/>
    <w:rsid w:val="008924DE"/>
    <w:rsid w:val="008A3755"/>
    <w:rsid w:val="008B264F"/>
    <w:rsid w:val="008B6F83"/>
    <w:rsid w:val="008B7FD8"/>
    <w:rsid w:val="008C2973"/>
    <w:rsid w:val="008C64C4"/>
    <w:rsid w:val="008D3900"/>
    <w:rsid w:val="008D74D5"/>
    <w:rsid w:val="008F29BE"/>
    <w:rsid w:val="008F4AE5"/>
    <w:rsid w:val="008F51EB"/>
    <w:rsid w:val="00900197"/>
    <w:rsid w:val="00901088"/>
    <w:rsid w:val="00902F55"/>
    <w:rsid w:val="00903D57"/>
    <w:rsid w:val="0090582B"/>
    <w:rsid w:val="009060C0"/>
    <w:rsid w:val="009128D7"/>
    <w:rsid w:val="00912A7F"/>
    <w:rsid w:val="009133F5"/>
    <w:rsid w:val="009148CB"/>
    <w:rsid w:val="00920A27"/>
    <w:rsid w:val="00921216"/>
    <w:rsid w:val="009216CC"/>
    <w:rsid w:val="00932561"/>
    <w:rsid w:val="00932D69"/>
    <w:rsid w:val="00944647"/>
    <w:rsid w:val="009768DB"/>
    <w:rsid w:val="00977B8A"/>
    <w:rsid w:val="00982971"/>
    <w:rsid w:val="009845AD"/>
    <w:rsid w:val="00995BA0"/>
    <w:rsid w:val="009A20C7"/>
    <w:rsid w:val="009A418B"/>
    <w:rsid w:val="009A4473"/>
    <w:rsid w:val="009A54BE"/>
    <w:rsid w:val="009A76F8"/>
    <w:rsid w:val="009B1F7C"/>
    <w:rsid w:val="009C151C"/>
    <w:rsid w:val="009D1ED8"/>
    <w:rsid w:val="009D5125"/>
    <w:rsid w:val="009D60B8"/>
    <w:rsid w:val="009D7D4B"/>
    <w:rsid w:val="009E36ED"/>
    <w:rsid w:val="009E3C8C"/>
    <w:rsid w:val="009E6B77"/>
    <w:rsid w:val="009F460A"/>
    <w:rsid w:val="00A043FB"/>
    <w:rsid w:val="00A04868"/>
    <w:rsid w:val="00A0729C"/>
    <w:rsid w:val="00A07779"/>
    <w:rsid w:val="00A20B2E"/>
    <w:rsid w:val="00A25069"/>
    <w:rsid w:val="00A26E6B"/>
    <w:rsid w:val="00A3068F"/>
    <w:rsid w:val="00A3145B"/>
    <w:rsid w:val="00A339D0"/>
    <w:rsid w:val="00A3439D"/>
    <w:rsid w:val="00A41002"/>
    <w:rsid w:val="00A4201A"/>
    <w:rsid w:val="00A43608"/>
    <w:rsid w:val="00A456D2"/>
    <w:rsid w:val="00A553CE"/>
    <w:rsid w:val="00A5677A"/>
    <w:rsid w:val="00A6490D"/>
    <w:rsid w:val="00A653BF"/>
    <w:rsid w:val="00A80363"/>
    <w:rsid w:val="00A9169D"/>
    <w:rsid w:val="00AA240C"/>
    <w:rsid w:val="00AA54D8"/>
    <w:rsid w:val="00AC101C"/>
    <w:rsid w:val="00AD4CF1"/>
    <w:rsid w:val="00AD5988"/>
    <w:rsid w:val="00AF7800"/>
    <w:rsid w:val="00B02C49"/>
    <w:rsid w:val="00B072E0"/>
    <w:rsid w:val="00B253F6"/>
    <w:rsid w:val="00B305DB"/>
    <w:rsid w:val="00B332F8"/>
    <w:rsid w:val="00B3492B"/>
    <w:rsid w:val="00B4646F"/>
    <w:rsid w:val="00B547C8"/>
    <w:rsid w:val="00B55C7D"/>
    <w:rsid w:val="00B63038"/>
    <w:rsid w:val="00B64BD8"/>
    <w:rsid w:val="00B701D1"/>
    <w:rsid w:val="00B73AF2"/>
    <w:rsid w:val="00B747E0"/>
    <w:rsid w:val="00B7551A"/>
    <w:rsid w:val="00B85C0F"/>
    <w:rsid w:val="00BA6856"/>
    <w:rsid w:val="00BB3C9D"/>
    <w:rsid w:val="00BC342D"/>
    <w:rsid w:val="00BC59F1"/>
    <w:rsid w:val="00BD752C"/>
    <w:rsid w:val="00BF2EDC"/>
    <w:rsid w:val="00BF3DE1"/>
    <w:rsid w:val="00BF4843"/>
    <w:rsid w:val="00BF5205"/>
    <w:rsid w:val="00C12508"/>
    <w:rsid w:val="00C24107"/>
    <w:rsid w:val="00C24774"/>
    <w:rsid w:val="00C45AA2"/>
    <w:rsid w:val="00C55BEF"/>
    <w:rsid w:val="00C56FCC"/>
    <w:rsid w:val="00C64D2B"/>
    <w:rsid w:val="00C66296"/>
    <w:rsid w:val="00C77282"/>
    <w:rsid w:val="00C84DE5"/>
    <w:rsid w:val="00C86248"/>
    <w:rsid w:val="00C93A90"/>
    <w:rsid w:val="00CA4C33"/>
    <w:rsid w:val="00CA6F4A"/>
    <w:rsid w:val="00CC29E6"/>
    <w:rsid w:val="00CC6252"/>
    <w:rsid w:val="00CD2119"/>
    <w:rsid w:val="00CD237A"/>
    <w:rsid w:val="00CD36AC"/>
    <w:rsid w:val="00CF1747"/>
    <w:rsid w:val="00D0276C"/>
    <w:rsid w:val="00D17091"/>
    <w:rsid w:val="00D22F4D"/>
    <w:rsid w:val="00D23323"/>
    <w:rsid w:val="00D2392A"/>
    <w:rsid w:val="00D2543F"/>
    <w:rsid w:val="00D25C01"/>
    <w:rsid w:val="00D25FFE"/>
    <w:rsid w:val="00D4476F"/>
    <w:rsid w:val="00D46C7F"/>
    <w:rsid w:val="00D54D50"/>
    <w:rsid w:val="00D66797"/>
    <w:rsid w:val="00D7087C"/>
    <w:rsid w:val="00D70C3C"/>
    <w:rsid w:val="00D72BE5"/>
    <w:rsid w:val="00D82F26"/>
    <w:rsid w:val="00D863D0"/>
    <w:rsid w:val="00D87C87"/>
    <w:rsid w:val="00D976BE"/>
    <w:rsid w:val="00DA3C8E"/>
    <w:rsid w:val="00DA777C"/>
    <w:rsid w:val="00DB39CF"/>
    <w:rsid w:val="00DB4E9F"/>
    <w:rsid w:val="00DD0BCD"/>
    <w:rsid w:val="00DD170B"/>
    <w:rsid w:val="00DD447A"/>
    <w:rsid w:val="00DE3B20"/>
    <w:rsid w:val="00DE6C94"/>
    <w:rsid w:val="00DE6FD7"/>
    <w:rsid w:val="00E16876"/>
    <w:rsid w:val="00E23271"/>
    <w:rsid w:val="00E24F80"/>
    <w:rsid w:val="00E259F3"/>
    <w:rsid w:val="00E33238"/>
    <w:rsid w:val="00E4486C"/>
    <w:rsid w:val="00E460B6"/>
    <w:rsid w:val="00E511D5"/>
    <w:rsid w:val="00E60249"/>
    <w:rsid w:val="00E65269"/>
    <w:rsid w:val="00E701F0"/>
    <w:rsid w:val="00E76D66"/>
    <w:rsid w:val="00EA796A"/>
    <w:rsid w:val="00EB1856"/>
    <w:rsid w:val="00EC50CE"/>
    <w:rsid w:val="00EC5B34"/>
    <w:rsid w:val="00EC645D"/>
    <w:rsid w:val="00EE2D5C"/>
    <w:rsid w:val="00EE4ADE"/>
    <w:rsid w:val="00EE5CB7"/>
    <w:rsid w:val="00F024FE"/>
    <w:rsid w:val="00F058C6"/>
    <w:rsid w:val="00F05AD4"/>
    <w:rsid w:val="00F25970"/>
    <w:rsid w:val="00F274B3"/>
    <w:rsid w:val="00F34CAF"/>
    <w:rsid w:val="00F5180D"/>
    <w:rsid w:val="00F67496"/>
    <w:rsid w:val="00F715C4"/>
    <w:rsid w:val="00F72367"/>
    <w:rsid w:val="00F73D7C"/>
    <w:rsid w:val="00F801BA"/>
    <w:rsid w:val="00F8755C"/>
    <w:rsid w:val="00F91482"/>
    <w:rsid w:val="00F9366A"/>
    <w:rsid w:val="00F946C9"/>
    <w:rsid w:val="00FA5690"/>
    <w:rsid w:val="00FA74EE"/>
    <w:rsid w:val="00FB6B38"/>
    <w:rsid w:val="00FC3711"/>
    <w:rsid w:val="00FC46E7"/>
    <w:rsid w:val="00FC5D25"/>
    <w:rsid w:val="00FD0D7E"/>
    <w:rsid w:val="00FD3F72"/>
    <w:rsid w:val="00FE6E13"/>
    <w:rsid w:val="00FF01B5"/>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75606C2-B88B-4B22-876C-EDDFA041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4931D9"/>
    <w:pPr>
      <w:pageBreakBefore/>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D2392A"/>
    <w:pPr>
      <w:keepNext/>
      <w:spacing w:before="120" w:after="120"/>
      <w:outlineLvl w:val="1"/>
    </w:pPr>
    <w:rPr>
      <w:b/>
      <w:sz w:val="40"/>
    </w:rPr>
  </w:style>
  <w:style w:type="paragraph" w:styleId="Heading3">
    <w:name w:val="heading 3"/>
    <w:basedOn w:val="Normal"/>
    <w:next w:val="Normal"/>
    <w:link w:val="Heading3Char"/>
    <w:qFormat/>
    <w:rsid w:val="0033412B"/>
    <w:pPr>
      <w:keepNext/>
      <w:spacing w:before="120" w:after="120"/>
      <w:outlineLvl w:val="2"/>
    </w:pPr>
    <w:rPr>
      <w:b/>
      <w:sz w:val="28"/>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336C19"/>
    <w:pPr>
      <w:tabs>
        <w:tab w:val="left" w:pos="284"/>
        <w:tab w:val="right" w:pos="9356"/>
      </w:tabs>
      <w:spacing w:before="4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link w:val="BulletChar"/>
    <w:qFormat/>
    <w:rsid w:val="0033412B"/>
    <w:pPr>
      <w:numPr>
        <w:numId w:val="1"/>
      </w:numPr>
      <w:tabs>
        <w:tab w:val="clear" w:pos="1419"/>
        <w:tab w:val="num" w:pos="284"/>
      </w:tabs>
      <w:spacing w:before="90"/>
      <w:ind w:left="284"/>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qFormat/>
    <w:rsid w:val="00CD237A"/>
    <w:pPr>
      <w:pBdr>
        <w:bottom w:val="single" w:sz="48" w:space="6" w:color="auto"/>
      </w:pBd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link w:val="TableTextChar"/>
    <w:qFormat/>
    <w:rsid w:val="007B7C70"/>
    <w:pPr>
      <w:spacing w:before="60" w:after="60" w:line="240" w:lineRule="auto"/>
    </w:pPr>
    <w:rPr>
      <w:rFonts w:ascii="Arial" w:hAnsi="Arial"/>
      <w:sz w:val="18"/>
    </w:rPr>
  </w:style>
  <w:style w:type="paragraph" w:customStyle="1" w:styleId="TableBullet">
    <w:name w:val="TableBullet"/>
    <w:basedOn w:val="TableText"/>
    <w:qFormat/>
    <w:rsid w:val="00AA54D8"/>
    <w:pPr>
      <w:numPr>
        <w:numId w:val="5"/>
      </w:numPr>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C55BEF"/>
    <w:rPr>
      <w:rFonts w:ascii="Arial" w:hAnsi="Arial"/>
      <w:sz w:val="18"/>
      <w:lang w:eastAsia="en-GB"/>
    </w:rPr>
  </w:style>
  <w:style w:type="character" w:customStyle="1" w:styleId="FootnoteTextChar">
    <w:name w:val="Footnote Text Char"/>
    <w:link w:val="FootnoteText"/>
    <w:rsid w:val="003060E4"/>
    <w:rPr>
      <w:rFonts w:ascii="Georgia" w:hAnsi="Georgia"/>
      <w:sz w:val="18"/>
      <w:lang w:eastAsia="en-GB"/>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9"/>
    <w:rsid w:val="004931D9"/>
    <w:rPr>
      <w:rFonts w:ascii="Georgia" w:hAnsi="Georgia"/>
      <w:b/>
      <w:sz w:val="60"/>
      <w:lang w:eastAsia="en-GB"/>
    </w:rPr>
  </w:style>
  <w:style w:type="paragraph" w:styleId="Revision">
    <w:name w:val="Revision"/>
    <w:hidden/>
    <w:uiPriority w:val="99"/>
    <w:semiHidden/>
    <w:rsid w:val="0086388B"/>
    <w:rPr>
      <w:rFonts w:ascii="Calibri" w:eastAsia="Calibri" w:hAnsi="Calibri"/>
      <w:sz w:val="22"/>
      <w:szCs w:val="22"/>
      <w:lang w:val="en-US" w:eastAsia="en-US"/>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character" w:customStyle="1" w:styleId="BulletChar">
    <w:name w:val="Bullet Char"/>
    <w:link w:val="Bullet"/>
    <w:locked/>
    <w:rsid w:val="00C56FCC"/>
    <w:rPr>
      <w:rFonts w:ascii="Georgia" w:hAnsi="Georgia"/>
      <w:sz w:val="22"/>
      <w:lang w:eastAsia="en-GB"/>
    </w:rPr>
  </w:style>
  <w:style w:type="character" w:customStyle="1" w:styleId="TableTextChar">
    <w:name w:val="TableText Char"/>
    <w:link w:val="TableText"/>
    <w:rsid w:val="00C56FCC"/>
    <w:rPr>
      <w:rFonts w:ascii="Arial" w:hAnsi="Arial"/>
      <w:sz w:val="18"/>
      <w:lang w:eastAsia="en-GB"/>
    </w:rPr>
  </w:style>
  <w:style w:type="paragraph" w:styleId="BalloonText">
    <w:name w:val="Balloon Text"/>
    <w:basedOn w:val="Normal"/>
    <w:link w:val="BalloonTextChar"/>
    <w:uiPriority w:val="99"/>
    <w:semiHidden/>
    <w:unhideWhenUsed/>
    <w:rsid w:val="00B02C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C49"/>
    <w:rPr>
      <w:rFonts w:ascii="Segoe UI" w:hAnsi="Segoe UI" w:cs="Segoe UI"/>
      <w:sz w:val="18"/>
      <w:szCs w:val="18"/>
      <w:lang w:eastAsia="en-GB"/>
    </w:rPr>
  </w:style>
  <w:style w:type="character" w:styleId="PlaceholderText">
    <w:name w:val="Placeholder Text"/>
    <w:basedOn w:val="DefaultParagraphFont"/>
    <w:uiPriority w:val="99"/>
    <w:semiHidden/>
    <w:rsid w:val="00D2543F"/>
    <w:rPr>
      <w:color w:val="808080"/>
    </w:rPr>
  </w:style>
  <w:style w:type="character" w:styleId="CommentReference">
    <w:name w:val="annotation reference"/>
    <w:basedOn w:val="DefaultParagraphFont"/>
    <w:uiPriority w:val="99"/>
    <w:semiHidden/>
    <w:unhideWhenUsed/>
    <w:rsid w:val="001A4A92"/>
    <w:rPr>
      <w:sz w:val="16"/>
      <w:szCs w:val="16"/>
    </w:rPr>
  </w:style>
  <w:style w:type="paragraph" w:styleId="CommentText">
    <w:name w:val="annotation text"/>
    <w:basedOn w:val="Normal"/>
    <w:link w:val="CommentTextChar"/>
    <w:uiPriority w:val="99"/>
    <w:semiHidden/>
    <w:unhideWhenUsed/>
    <w:rsid w:val="001A4A92"/>
    <w:pPr>
      <w:spacing w:line="240" w:lineRule="auto"/>
    </w:pPr>
    <w:rPr>
      <w:sz w:val="20"/>
    </w:rPr>
  </w:style>
  <w:style w:type="character" w:customStyle="1" w:styleId="CommentTextChar">
    <w:name w:val="Comment Text Char"/>
    <w:basedOn w:val="DefaultParagraphFont"/>
    <w:link w:val="CommentText"/>
    <w:uiPriority w:val="99"/>
    <w:semiHidden/>
    <w:rsid w:val="001A4A92"/>
    <w:rPr>
      <w:rFonts w:ascii="Georgia" w:hAnsi="Georgia"/>
      <w:lang w:eastAsia="en-GB"/>
    </w:rPr>
  </w:style>
  <w:style w:type="paragraph" w:styleId="CommentSubject">
    <w:name w:val="annotation subject"/>
    <w:basedOn w:val="CommentText"/>
    <w:next w:val="CommentText"/>
    <w:link w:val="CommentSubjectChar"/>
    <w:uiPriority w:val="99"/>
    <w:semiHidden/>
    <w:unhideWhenUsed/>
    <w:rsid w:val="001A4A92"/>
    <w:rPr>
      <w:b/>
      <w:bCs/>
    </w:rPr>
  </w:style>
  <w:style w:type="character" w:customStyle="1" w:styleId="CommentSubjectChar">
    <w:name w:val="Comment Subject Char"/>
    <w:basedOn w:val="CommentTextChar"/>
    <w:link w:val="CommentSubject"/>
    <w:uiPriority w:val="99"/>
    <w:semiHidden/>
    <w:rsid w:val="001A4A92"/>
    <w:rPr>
      <w:rFonts w:ascii="Georgia" w:hAnsi="Georgia"/>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9.xml"/><Relationship Id="rId10" Type="http://schemas.openxmlformats.org/officeDocument/2006/relationships/image" Target="media/image2.png"/><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B4231-93D4-460B-8259-32E76FAB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6</TotalTime>
  <Pages>32</Pages>
  <Words>8678</Words>
  <Characters>47929</Characters>
  <Application>Microsoft Office Word</Application>
  <DocSecurity>0</DocSecurity>
  <Lines>1369</Lines>
  <Paragraphs>775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Drug Utensil Regualtion discussion document</dc:title>
  <dc:creator>Ministry of Health</dc:creator>
  <cp:lastModifiedBy>Jane Adam</cp:lastModifiedBy>
  <cp:revision>3</cp:revision>
  <cp:lastPrinted>2016-07-26T00:50:00Z</cp:lastPrinted>
  <dcterms:created xsi:type="dcterms:W3CDTF">2016-07-26T00:42:00Z</dcterms:created>
  <dcterms:modified xsi:type="dcterms:W3CDTF">2016-07-26T00:55:00Z</dcterms:modified>
</cp:coreProperties>
</file>