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D54D50" w:rsidRDefault="007A2240" w:rsidP="00D54D50">
      <w:pPr>
        <w:pStyle w:val="Title"/>
      </w:pPr>
      <w:bookmarkStart w:id="0" w:name="_GoBack"/>
      <w:r>
        <w:t>Health Loss in New Zealand 1990–2013</w:t>
      </w:r>
      <w:bookmarkEnd w:id="0"/>
    </w:p>
    <w:p w:rsidR="00142954" w:rsidRDefault="007A2240" w:rsidP="00133C1B">
      <w:pPr>
        <w:pStyle w:val="Subhead"/>
      </w:pPr>
      <w:r>
        <w:t>A report from the New Zealand Burden of Diseases, Injuries and Risk Factors Study</w:t>
      </w:r>
    </w:p>
    <w:p w:rsidR="00133C1B" w:rsidRPr="00133C1B" w:rsidRDefault="00133C1B" w:rsidP="00133C1B">
      <w:pPr>
        <w:sectPr w:rsidR="00133C1B" w:rsidRPr="00133C1B" w:rsidSect="000F2AE2">
          <w:headerReference w:type="default" r:id="rId8"/>
          <w:footerReference w:type="default" r:id="rId9"/>
          <w:pgSz w:w="11907" w:h="16834" w:code="9"/>
          <w:pgMar w:top="3969" w:right="851" w:bottom="851" w:left="2552" w:header="851" w:footer="851" w:gutter="0"/>
          <w:cols w:space="720"/>
        </w:sectPr>
      </w:pPr>
    </w:p>
    <w:p w:rsidR="003536DA" w:rsidRPr="00865AC9" w:rsidRDefault="003536DA" w:rsidP="00865AC9">
      <w:pPr>
        <w:pStyle w:val="Heading3"/>
        <w:rPr>
          <w:sz w:val="40"/>
          <w:szCs w:val="40"/>
        </w:rPr>
      </w:pPr>
      <w:r w:rsidRPr="00865AC9">
        <w:rPr>
          <w:sz w:val="40"/>
          <w:szCs w:val="40"/>
        </w:rPr>
        <w:lastRenderedPageBreak/>
        <w:t>Acknowledgements</w:t>
      </w:r>
    </w:p>
    <w:p w:rsidR="003536DA" w:rsidRDefault="003536DA" w:rsidP="003536DA">
      <w:r>
        <w:t xml:space="preserve">This report was written and the analyses were </w:t>
      </w:r>
      <w:r w:rsidR="00336A9A">
        <w:t>completed</w:t>
      </w:r>
      <w:r>
        <w:t xml:space="preserve"> by Martin Tobias (Health and Disability Intelligence, Ministry of Health).</w:t>
      </w:r>
    </w:p>
    <w:p w:rsidR="003536DA" w:rsidRDefault="003536DA" w:rsidP="003536DA"/>
    <w:p w:rsidR="003536DA" w:rsidRDefault="003536DA" w:rsidP="003536DA">
      <w:r>
        <w:t>The report is based on data from the Global Burden of Disease 2013 study, led by Professor Christopher Murray and colleagues at the Institute for Health Metrics and Evaluation, University of Washington, Seattle. Population and life expectancy data was sourced from Statistics New Zealand.</w:t>
      </w:r>
    </w:p>
    <w:p w:rsidR="003536DA" w:rsidRDefault="003536DA" w:rsidP="003536DA"/>
    <w:p w:rsidR="003536DA" w:rsidRDefault="003536DA" w:rsidP="006A01A0">
      <w:pPr>
        <w:spacing w:after="5160"/>
      </w:pPr>
      <w:r>
        <w:t>The author acknowledges the many people within the Ministry of Health and beyond who provided New Zealand data for the Global Burden of Disease 2013 study, and who peer reviewed this report.</w:t>
      </w:r>
    </w:p>
    <w:p w:rsidR="00A80363" w:rsidRPr="00442C1C" w:rsidRDefault="00A80363" w:rsidP="006A01A0">
      <w:pPr>
        <w:pStyle w:val="Imprint"/>
        <w:spacing w:before="3000"/>
      </w:pPr>
      <w:r>
        <w:t xml:space="preserve">Citation: </w:t>
      </w:r>
      <w:r w:rsidR="00442C1C">
        <w:t xml:space="preserve">Ministry of Health. </w:t>
      </w:r>
      <w:r w:rsidR="007A2240">
        <w:t>2016</w:t>
      </w:r>
      <w:r w:rsidR="00442C1C">
        <w:t xml:space="preserve">. </w:t>
      </w:r>
      <w:r w:rsidR="007A2240">
        <w:rPr>
          <w:i/>
        </w:rPr>
        <w:t>Health Loss in New Zealand 1990–2013</w:t>
      </w:r>
      <w:proofErr w:type="gramStart"/>
      <w:r w:rsidR="007A2240">
        <w:rPr>
          <w:i/>
        </w:rPr>
        <w:t>:</w:t>
      </w:r>
      <w:proofErr w:type="gramEnd"/>
      <w:r w:rsidR="007A2240">
        <w:rPr>
          <w:i/>
        </w:rPr>
        <w:br/>
        <w:t>A report from the New Zealand Burden of Diseases, Injuries and Risk Factors Study</w:t>
      </w:r>
      <w:r w:rsidR="00442C1C">
        <w:t>. Wellington: Ministry of Health.</w:t>
      </w:r>
    </w:p>
    <w:p w:rsidR="00C86248" w:rsidRDefault="00C86248">
      <w:pPr>
        <w:pStyle w:val="Imprint"/>
      </w:pPr>
      <w:r>
        <w:t xml:space="preserve">Published in </w:t>
      </w:r>
      <w:r w:rsidR="000F7ABF">
        <w:t xml:space="preserve">August </w:t>
      </w:r>
      <w:r w:rsidR="007A2240">
        <w:t>2016</w:t>
      </w:r>
      <w:r w:rsidR="005019AE">
        <w:br/>
      </w:r>
      <w:r>
        <w:t>by the</w:t>
      </w:r>
      <w:r w:rsidR="00442C1C">
        <w:t xml:space="preserve"> </w:t>
      </w:r>
      <w:r>
        <w:t>Ministry of Health</w:t>
      </w:r>
      <w:r>
        <w:br/>
        <w:t>PO Box 5013, Wellington</w:t>
      </w:r>
      <w:r w:rsidR="00A80363">
        <w:t xml:space="preserve"> 614</w:t>
      </w:r>
      <w:r w:rsidR="006041F0">
        <w:t>0</w:t>
      </w:r>
      <w:r>
        <w:t>, New Zealand</w:t>
      </w:r>
    </w:p>
    <w:p w:rsidR="00082CD6" w:rsidRPr="009C0F2D" w:rsidRDefault="00D863D0" w:rsidP="00082CD6">
      <w:pPr>
        <w:pStyle w:val="Imprint"/>
      </w:pPr>
      <w:r>
        <w:t>ISBN</w:t>
      </w:r>
      <w:r w:rsidR="007A2240">
        <w:t xml:space="preserve"> </w:t>
      </w:r>
      <w:r w:rsidR="00AE6E24" w:rsidRPr="00AE6E24">
        <w:t>978-0-947515-39-3</w:t>
      </w:r>
      <w:r w:rsidR="00442C1C">
        <w:t xml:space="preserve"> </w:t>
      </w:r>
      <w:r>
        <w:t>(</w:t>
      </w:r>
      <w:r w:rsidR="00442C1C">
        <w:t>online</w:t>
      </w:r>
      <w:proofErr w:type="gramStart"/>
      <w:r>
        <w:t>)</w:t>
      </w:r>
      <w:proofErr w:type="gramEnd"/>
      <w:r w:rsidR="00082CD6">
        <w:br/>
      </w:r>
      <w:r w:rsidR="00082CD6" w:rsidRPr="009C0F2D">
        <w:t xml:space="preserve">HP </w:t>
      </w:r>
      <w:r w:rsidR="00AE6E24">
        <w:t>6453</w:t>
      </w:r>
    </w:p>
    <w:p w:rsidR="00C86248" w:rsidRDefault="00C86248">
      <w:pPr>
        <w:pStyle w:val="Imprint"/>
      </w:pPr>
      <w:r>
        <w:t xml:space="preserve">This document is available </w:t>
      </w:r>
      <w:r w:rsidR="0071741C">
        <w:t xml:space="preserve">at </w:t>
      </w:r>
      <w:r>
        <w:t>h</w:t>
      </w:r>
      <w:r w:rsidR="00A80363">
        <w:t>ealth</w:t>
      </w:r>
      <w:r>
        <w:t>.govt.nz</w:t>
      </w:r>
    </w:p>
    <w:p w:rsidR="00C86248" w:rsidRDefault="005122BD">
      <w:pPr>
        <w:jc w:val="center"/>
      </w:pPr>
      <w:r>
        <w:rPr>
          <w:noProof/>
          <w:lang w:eastAsia="en-NZ"/>
        </w:rPr>
        <w:drawing>
          <wp:inline distT="0" distB="0" distL="0" distR="0">
            <wp:extent cx="1670685" cy="681355"/>
            <wp:effectExtent l="0" t="0" r="5715" b="444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1F45A7" w:rsidRDefault="005122BD" w:rsidP="001F45A7">
      <w:pPr>
        <w:spacing w:before="240"/>
        <w:ind w:right="-851"/>
        <w:rPr>
          <w:sz w:val="18"/>
          <w:szCs w:val="18"/>
        </w:rPr>
      </w:pPr>
      <w:r>
        <w:rPr>
          <w:b/>
          <w:noProof/>
          <w:sz w:val="18"/>
          <w:szCs w:val="18"/>
          <w:lang w:eastAsia="en-NZ"/>
        </w:rPr>
        <w:drawing>
          <wp:inline distT="0" distB="0" distL="0" distR="0">
            <wp:extent cx="806450" cy="282575"/>
            <wp:effectExtent l="0" t="0" r="0" b="3175"/>
            <wp:docPr id="11"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6450" cy="282575"/>
                    </a:xfrm>
                    <a:prstGeom prst="rect">
                      <a:avLst/>
                    </a:prstGeom>
                    <a:noFill/>
                    <a:ln>
                      <a:noFill/>
                    </a:ln>
                  </pic:spPr>
                </pic:pic>
              </a:graphicData>
            </a:graphic>
          </wp:inline>
        </w:drawing>
      </w:r>
      <w:r w:rsidR="007E74F1" w:rsidRPr="001F45A7">
        <w:rPr>
          <w:sz w:val="18"/>
          <w:szCs w:val="18"/>
        </w:rPr>
        <w:t xml:space="preserve"> This work is licensed under the Creative Commons Attribution 4.0 International licence. In essence, </w:t>
      </w:r>
      <w:r w:rsidR="007E74F1" w:rsidRPr="001F45A7">
        <w:rPr>
          <w:bCs/>
          <w:sz w:val="18"/>
          <w:szCs w:val="18"/>
        </w:rPr>
        <w:t xml:space="preserve">you are free to: </w:t>
      </w:r>
      <w:r w:rsidR="007E74F1" w:rsidRPr="001F45A7">
        <w:rPr>
          <w:sz w:val="18"/>
          <w:szCs w:val="18"/>
        </w:rPr>
        <w:t xml:space="preserve">share </w:t>
      </w:r>
      <w:proofErr w:type="spellStart"/>
      <w:r w:rsidR="007E74F1" w:rsidRPr="001F45A7">
        <w:rPr>
          <w:sz w:val="18"/>
          <w:szCs w:val="18"/>
        </w:rPr>
        <w:t>ie</w:t>
      </w:r>
      <w:proofErr w:type="spellEnd"/>
      <w:r w:rsidR="007E74F1" w:rsidRPr="001F45A7">
        <w:rPr>
          <w:sz w:val="18"/>
          <w:szCs w:val="18"/>
        </w:rPr>
        <w:t xml:space="preserve">, copy and redistribute the material in any medium or format; adapt </w:t>
      </w:r>
      <w:proofErr w:type="spellStart"/>
      <w:r w:rsidR="007E74F1" w:rsidRPr="001F45A7">
        <w:rPr>
          <w:sz w:val="18"/>
          <w:szCs w:val="18"/>
        </w:rPr>
        <w:t>ie</w:t>
      </w:r>
      <w:proofErr w:type="spellEnd"/>
      <w:r w:rsidR="007E74F1" w:rsidRPr="001F45A7">
        <w:rPr>
          <w:sz w:val="18"/>
          <w:szCs w:val="18"/>
        </w:rPr>
        <w:t xml:space="preserve">, remix, transform and build upon the material. </w:t>
      </w:r>
      <w:r w:rsidR="007E74F1" w:rsidRPr="001F45A7">
        <w:rPr>
          <w:bCs/>
          <w:sz w:val="18"/>
          <w:szCs w:val="18"/>
        </w:rPr>
        <w:t>You must give appropriate credit, provide a link to the licence and indicate if changes were made.</w:t>
      </w:r>
    </w:p>
    <w:p w:rsidR="00C86248" w:rsidRDefault="00C86248">
      <w:pPr>
        <w:jc w:val="center"/>
        <w:sectPr w:rsidR="00C86248" w:rsidSect="006A01A0">
          <w:footerReference w:type="even" r:id="rId12"/>
          <w:footerReference w:type="default" r:id="rId13"/>
          <w:pgSz w:w="11907" w:h="16834" w:code="9"/>
          <w:pgMar w:top="851" w:right="1134" w:bottom="1134" w:left="1985" w:header="0" w:footer="0" w:gutter="0"/>
          <w:cols w:space="720"/>
          <w:vAlign w:val="bottom"/>
        </w:sectPr>
      </w:pPr>
    </w:p>
    <w:p w:rsidR="00DE3B20" w:rsidRPr="00135BAE" w:rsidRDefault="00DE3B20" w:rsidP="00135BAE">
      <w:pPr>
        <w:pStyle w:val="Heading1"/>
      </w:pPr>
      <w:bookmarkStart w:id="1" w:name="_Toc456270662"/>
      <w:bookmarkStart w:id="2" w:name="_Toc405792991"/>
      <w:bookmarkStart w:id="3" w:name="_Toc405793224"/>
      <w:r w:rsidRPr="00135BAE">
        <w:lastRenderedPageBreak/>
        <w:t>Foreword</w:t>
      </w:r>
      <w:bookmarkEnd w:id="1"/>
    </w:p>
    <w:p w:rsidR="007A2240" w:rsidRPr="00731803" w:rsidRDefault="007A2240" w:rsidP="007148F8">
      <w:r w:rsidRPr="00731803">
        <w:t>The New Zealand Burden of Diseases, Injuries and Risk Factors is a systematic analysis of health loss experienced by New Zealanders of all ages and both sexes. Health loss is a</w:t>
      </w:r>
      <w:r w:rsidR="00762EE3">
        <w:t>n internationally accepted</w:t>
      </w:r>
      <w:r w:rsidRPr="00731803">
        <w:t xml:space="preserve"> measure of how much healthy life is lost due to early death, illness or disability.</w:t>
      </w:r>
    </w:p>
    <w:p w:rsidR="007A2240" w:rsidRPr="00731803" w:rsidRDefault="007A2240" w:rsidP="007148F8"/>
    <w:p w:rsidR="005D5D9F" w:rsidRDefault="007A2240" w:rsidP="007148F8">
      <w:r w:rsidRPr="00731803">
        <w:t>This important and influential report on health loss in New Zealand makes it possible to see the big picture: to understand the major causes impacting on health outcomes for each age by sex group, and to compare the relative impacts on health of different diseases, injuries and risk factors.</w:t>
      </w:r>
    </w:p>
    <w:p w:rsidR="007A2240" w:rsidRPr="00731803" w:rsidRDefault="007A2240" w:rsidP="007148F8"/>
    <w:p w:rsidR="005D5D9F" w:rsidRDefault="007A2240" w:rsidP="007148F8">
      <w:r w:rsidRPr="00731803">
        <w:t>It provides an evidence base for the refreshed New Zealand Health Strategy – a strategy that will guide the health and disability sector over the next 10 years.</w:t>
      </w:r>
    </w:p>
    <w:p w:rsidR="007A2240" w:rsidRPr="00731803" w:rsidRDefault="007A2240" w:rsidP="007148F8"/>
    <w:p w:rsidR="005D5D9F" w:rsidRDefault="007A2240" w:rsidP="007148F8">
      <w:r w:rsidRPr="00731803">
        <w:t xml:space="preserve">This report, </w:t>
      </w:r>
      <w:r w:rsidR="0054239E">
        <w:t xml:space="preserve">and </w:t>
      </w:r>
      <w:r w:rsidRPr="00731803">
        <w:t xml:space="preserve">in particular its executive summary (pages </w:t>
      </w:r>
      <w:r w:rsidR="00133C1B">
        <w:fldChar w:fldCharType="begin"/>
      </w:r>
      <w:r w:rsidR="00133C1B">
        <w:instrText xml:space="preserve"> PAGEREF _Ref455676298 \h </w:instrText>
      </w:r>
      <w:r w:rsidR="00133C1B">
        <w:fldChar w:fldCharType="separate"/>
      </w:r>
      <w:r w:rsidR="006C545C">
        <w:rPr>
          <w:noProof/>
        </w:rPr>
        <w:t>ix</w:t>
      </w:r>
      <w:r w:rsidR="00133C1B">
        <w:fldChar w:fldCharType="end"/>
      </w:r>
      <w:r w:rsidR="007148F8">
        <w:t>–</w:t>
      </w:r>
      <w:r w:rsidR="00133C1B">
        <w:fldChar w:fldCharType="begin"/>
      </w:r>
      <w:r w:rsidR="00133C1B">
        <w:instrText xml:space="preserve"> PAGEREF End_Exec_Summary \h </w:instrText>
      </w:r>
      <w:r w:rsidR="00133C1B">
        <w:fldChar w:fldCharType="separate"/>
      </w:r>
      <w:r w:rsidR="006C545C">
        <w:rPr>
          <w:noProof/>
        </w:rPr>
        <w:t>x</w:t>
      </w:r>
      <w:r w:rsidR="00133C1B">
        <w:fldChar w:fldCharType="end"/>
      </w:r>
      <w:r w:rsidRPr="00731803">
        <w:t>), gives all of us in the health and disability sector – policy makers, funders, health planners, researchers, front-line providers – a clear outline of New Zealand</w:t>
      </w:r>
      <w:r w:rsidR="005D5D9F">
        <w:t>’</w:t>
      </w:r>
      <w:r w:rsidRPr="00731803">
        <w:t>s achievements over the past quarter century and the challenges we face over the next decade.</w:t>
      </w:r>
    </w:p>
    <w:p w:rsidR="007A2240" w:rsidRPr="00731803" w:rsidRDefault="007A2240" w:rsidP="007148F8"/>
    <w:p w:rsidR="007A2240" w:rsidRPr="00731803" w:rsidRDefault="007A2240" w:rsidP="007148F8">
      <w:r w:rsidRPr="00731803">
        <w:t>New Zealanders</w:t>
      </w:r>
      <w:r w:rsidR="005D5D9F">
        <w:t>’</w:t>
      </w:r>
      <w:r w:rsidRPr="00731803">
        <w:t xml:space="preserve"> health is improving, but not all age groups are benefiting equally</w:t>
      </w:r>
      <w:r>
        <w:t>.</w:t>
      </w:r>
      <w:r w:rsidRPr="00731803">
        <w:t xml:space="preserve"> </w:t>
      </w:r>
      <w:r>
        <w:t>I</w:t>
      </w:r>
      <w:r w:rsidRPr="00731803">
        <w:t xml:space="preserve">nequalities in health outcomes still persist between </w:t>
      </w:r>
      <w:r>
        <w:t>genders, generations,</w:t>
      </w:r>
      <w:r w:rsidRPr="00731803">
        <w:t xml:space="preserve"> ethnic and socioeconomic groups.</w:t>
      </w:r>
    </w:p>
    <w:p w:rsidR="007A2240" w:rsidRPr="00731803" w:rsidRDefault="007A2240" w:rsidP="007148F8"/>
    <w:p w:rsidR="005D5D9F" w:rsidRDefault="007A2240" w:rsidP="007148F8">
      <w:r w:rsidRPr="00731803">
        <w:t xml:space="preserve">The report enables us to understand </w:t>
      </w:r>
      <w:r w:rsidR="00762EE3">
        <w:t xml:space="preserve">the degree to which </w:t>
      </w:r>
      <w:r w:rsidRPr="00731803">
        <w:t xml:space="preserve">different risk factors contribute to health loss – </w:t>
      </w:r>
      <w:r w:rsidR="00762EE3">
        <w:t xml:space="preserve">this is </w:t>
      </w:r>
      <w:r w:rsidRPr="00731803">
        <w:t xml:space="preserve">particularly important from the point of view of prevention. </w:t>
      </w:r>
      <w:r>
        <w:t>Also, by comparing</w:t>
      </w:r>
      <w:r w:rsidRPr="00731803">
        <w:t xml:space="preserve"> progress in health expectancy with that in full life expectancy we can see whether New Zealand is succeeding in adding </w:t>
      </w:r>
      <w:r w:rsidR="005D5D9F">
        <w:t>‘</w:t>
      </w:r>
      <w:r w:rsidRPr="00731803">
        <w:t>life to years</w:t>
      </w:r>
      <w:r w:rsidR="005D5D9F">
        <w:t>’</w:t>
      </w:r>
      <w:r w:rsidRPr="00731803">
        <w:t xml:space="preserve"> as well as </w:t>
      </w:r>
      <w:r w:rsidR="005D5D9F">
        <w:t>‘</w:t>
      </w:r>
      <w:r w:rsidRPr="00731803">
        <w:t>years to life</w:t>
      </w:r>
      <w:r w:rsidR="005D5D9F">
        <w:t>’</w:t>
      </w:r>
      <w:r w:rsidRPr="00731803">
        <w:t xml:space="preserve">: whether people are </w:t>
      </w:r>
      <w:r w:rsidR="0039525B" w:rsidRPr="00731803">
        <w:t>not only</w:t>
      </w:r>
      <w:r w:rsidR="0039525B" w:rsidRPr="000E4CD3">
        <w:t xml:space="preserve"> </w:t>
      </w:r>
      <w:r w:rsidRPr="00731803">
        <w:t>living longer but are living longer in good health. This question is becoming critical as we enter a period of rapid population ageing with an accompanying rise in long-term conditions (multi-morbidity), frailty and disability.</w:t>
      </w:r>
    </w:p>
    <w:p w:rsidR="007A2240" w:rsidRPr="00731803" w:rsidRDefault="007A2240" w:rsidP="007148F8"/>
    <w:p w:rsidR="007A2240" w:rsidRPr="00731803" w:rsidRDefault="007A2240" w:rsidP="007148F8">
      <w:r w:rsidRPr="00731803">
        <w:t>The report finds that 88% of health loss in this country is now caused by long-term mental and physical conditions (non-communicable diseases), while 8% is attributable to injuries and 4% to infectious diseases, nutritional deficiencies and neonatal disorders. It tells us, among other things, that improving the health of future cohorts of older people will be critical; that transitioning the health system to respond to people with multiple long-term conditions will be a key challenge; that mental illness and dementia are growing challenges; and that better prevention of long-term conditions can bring major benefits.</w:t>
      </w:r>
    </w:p>
    <w:p w:rsidR="007A2240" w:rsidRPr="00731803" w:rsidRDefault="007A2240" w:rsidP="00320FD6"/>
    <w:p w:rsidR="007A2240" w:rsidRPr="00731803" w:rsidRDefault="007A2240" w:rsidP="00320FD6">
      <w:r w:rsidRPr="00731803">
        <w:t>It affirms the focus in the refreshed New Zealand Health Strategy on all New Zealanders</w:t>
      </w:r>
      <w:r w:rsidR="005D5D9F">
        <w:t>’</w:t>
      </w:r>
      <w:r w:rsidRPr="00731803">
        <w:t xml:space="preserve"> life-journeys and on them living well, staying well and getting well. It gives us valuable pointers as we implement the Strategy</w:t>
      </w:r>
      <w:r w:rsidR="005D5D9F">
        <w:t>’</w:t>
      </w:r>
      <w:r w:rsidRPr="00731803">
        <w:t>s roadmap of actions. In short, it gives all in the sector a common evidence base on which to build our response to these challenges as one team.</w:t>
      </w:r>
    </w:p>
    <w:p w:rsidR="007A2240" w:rsidRPr="00731803" w:rsidRDefault="007A2240" w:rsidP="00320FD6"/>
    <w:p w:rsidR="005D5D9F" w:rsidRDefault="007A2240" w:rsidP="00320FD6">
      <w:r w:rsidRPr="00731803">
        <w:t>This broad picture of health loss, and its regular updates, will continue to inform decisions on resource allocation, priority setting, and investment in health services and prevention programmes.</w:t>
      </w:r>
    </w:p>
    <w:p w:rsidR="0034540D" w:rsidRDefault="0034540D" w:rsidP="00320FD6"/>
    <w:p w:rsidR="007A2240" w:rsidRPr="00731803" w:rsidRDefault="007A2240" w:rsidP="00320FD6">
      <w:pPr>
        <w:keepLines/>
      </w:pPr>
      <w:r w:rsidRPr="00731803">
        <w:lastRenderedPageBreak/>
        <w:t>As a sector we need to grow our capability to measure, both locally and nationally, the contribution of our interventions and services to reducing health loss for all New Zealanders. Recent organisational changes in Ministry of Health structures and accountabilities are designed to support this development.</w:t>
      </w:r>
    </w:p>
    <w:p w:rsidR="007A2240" w:rsidRPr="00731803" w:rsidRDefault="007A2240" w:rsidP="00320FD6"/>
    <w:p w:rsidR="007A2240" w:rsidRPr="00731803" w:rsidRDefault="007A2240" w:rsidP="00320FD6">
      <w:r w:rsidRPr="00731803">
        <w:t>Comments on this report are welcomed and should be addressed to HDI@moh.govt.nz</w:t>
      </w:r>
    </w:p>
    <w:p w:rsidR="007A2240" w:rsidRPr="00731803" w:rsidRDefault="007A2240" w:rsidP="003700B9"/>
    <w:p w:rsidR="007A2240" w:rsidRPr="00731803" w:rsidRDefault="007A2240" w:rsidP="003700B9"/>
    <w:p w:rsidR="007A2240" w:rsidRPr="00731803" w:rsidRDefault="007A2240" w:rsidP="003700B9"/>
    <w:p w:rsidR="007A2240" w:rsidRPr="00731803" w:rsidRDefault="007A2240" w:rsidP="00320FD6">
      <w:r w:rsidRPr="00731803">
        <w:t xml:space="preserve">Chai </w:t>
      </w:r>
      <w:proofErr w:type="spellStart"/>
      <w:r w:rsidRPr="00731803">
        <w:t>Chuah</w:t>
      </w:r>
      <w:proofErr w:type="spellEnd"/>
      <w:r w:rsidRPr="00731803">
        <w:br/>
        <w:t>Director-General of Health</w:t>
      </w:r>
      <w:r w:rsidRPr="00731803">
        <w:br/>
        <w:t>Ministry of Health</w:t>
      </w:r>
    </w:p>
    <w:p w:rsidR="00FF052D" w:rsidRDefault="005E7465" w:rsidP="00320FD6">
      <w:r>
        <w:t xml:space="preserve">July </w:t>
      </w:r>
      <w:r w:rsidR="007A2240" w:rsidRPr="00731803">
        <w:t>2016</w:t>
      </w:r>
    </w:p>
    <w:p w:rsidR="00C86248" w:rsidRDefault="005D4935" w:rsidP="00865AC9">
      <w:pPr>
        <w:pStyle w:val="IntroHead"/>
      </w:pPr>
      <w:r>
        <w:lastRenderedPageBreak/>
        <w:t>C</w:t>
      </w:r>
      <w:r w:rsidR="00C86248">
        <w:t>ontents</w:t>
      </w:r>
      <w:bookmarkEnd w:id="2"/>
      <w:bookmarkEnd w:id="3"/>
    </w:p>
    <w:p w:rsidR="00865AC9" w:rsidRPr="005B5081" w:rsidRDefault="00C86248">
      <w:pPr>
        <w:pStyle w:val="TOC1"/>
        <w:rPr>
          <w:rFonts w:ascii="Calibri" w:hAnsi="Calibri"/>
          <w:b w:val="0"/>
          <w:noProof/>
          <w:szCs w:val="22"/>
          <w:lang w:eastAsia="en-NZ"/>
        </w:rPr>
      </w:pPr>
      <w:r>
        <w:rPr>
          <w:b w:val="0"/>
        </w:rPr>
        <w:fldChar w:fldCharType="begin"/>
      </w:r>
      <w:r>
        <w:instrText xml:space="preserve"> TOC \o "1-2" </w:instrText>
      </w:r>
      <w:r>
        <w:rPr>
          <w:b w:val="0"/>
        </w:rPr>
        <w:fldChar w:fldCharType="separate"/>
      </w:r>
      <w:r w:rsidR="00865AC9">
        <w:rPr>
          <w:noProof/>
        </w:rPr>
        <w:t>Foreword</w:t>
      </w:r>
      <w:r w:rsidR="00865AC9">
        <w:rPr>
          <w:noProof/>
        </w:rPr>
        <w:tab/>
      </w:r>
      <w:r w:rsidR="00865AC9">
        <w:rPr>
          <w:noProof/>
        </w:rPr>
        <w:fldChar w:fldCharType="begin"/>
      </w:r>
      <w:r w:rsidR="00865AC9">
        <w:rPr>
          <w:noProof/>
        </w:rPr>
        <w:instrText xml:space="preserve"> PAGEREF _Toc456270662 \h </w:instrText>
      </w:r>
      <w:r w:rsidR="00865AC9">
        <w:rPr>
          <w:noProof/>
        </w:rPr>
      </w:r>
      <w:r w:rsidR="00865AC9">
        <w:rPr>
          <w:noProof/>
        </w:rPr>
        <w:fldChar w:fldCharType="separate"/>
      </w:r>
      <w:r w:rsidR="006C545C">
        <w:rPr>
          <w:noProof/>
        </w:rPr>
        <w:t>iii</w:t>
      </w:r>
      <w:r w:rsidR="00865AC9">
        <w:rPr>
          <w:noProof/>
        </w:rPr>
        <w:fldChar w:fldCharType="end"/>
      </w:r>
    </w:p>
    <w:p w:rsidR="00865AC9" w:rsidRPr="005B5081" w:rsidRDefault="00865AC9">
      <w:pPr>
        <w:pStyle w:val="TOC1"/>
        <w:rPr>
          <w:rFonts w:ascii="Calibri" w:hAnsi="Calibri"/>
          <w:b w:val="0"/>
          <w:noProof/>
          <w:szCs w:val="22"/>
          <w:lang w:eastAsia="en-NZ"/>
        </w:rPr>
      </w:pPr>
      <w:r>
        <w:rPr>
          <w:noProof/>
        </w:rPr>
        <w:t>Executive summary</w:t>
      </w:r>
      <w:r>
        <w:rPr>
          <w:noProof/>
        </w:rPr>
        <w:tab/>
      </w:r>
      <w:r>
        <w:rPr>
          <w:noProof/>
        </w:rPr>
        <w:fldChar w:fldCharType="begin"/>
      </w:r>
      <w:r>
        <w:rPr>
          <w:noProof/>
        </w:rPr>
        <w:instrText xml:space="preserve"> PAGEREF _Toc456270663 \h </w:instrText>
      </w:r>
      <w:r>
        <w:rPr>
          <w:noProof/>
        </w:rPr>
      </w:r>
      <w:r>
        <w:rPr>
          <w:noProof/>
        </w:rPr>
        <w:fldChar w:fldCharType="separate"/>
      </w:r>
      <w:r w:rsidR="006C545C">
        <w:rPr>
          <w:noProof/>
        </w:rPr>
        <w:t>ix</w:t>
      </w:r>
      <w:r>
        <w:rPr>
          <w:noProof/>
        </w:rPr>
        <w:fldChar w:fldCharType="end"/>
      </w:r>
    </w:p>
    <w:p w:rsidR="00865AC9" w:rsidRPr="005B5081" w:rsidRDefault="00865AC9">
      <w:pPr>
        <w:pStyle w:val="TOC1"/>
        <w:rPr>
          <w:rFonts w:ascii="Calibri" w:hAnsi="Calibri"/>
          <w:b w:val="0"/>
          <w:noProof/>
          <w:szCs w:val="22"/>
          <w:lang w:eastAsia="en-NZ"/>
        </w:rPr>
      </w:pPr>
      <w:r>
        <w:rPr>
          <w:noProof/>
        </w:rPr>
        <w:t>Introduction</w:t>
      </w:r>
      <w:r>
        <w:rPr>
          <w:noProof/>
        </w:rPr>
        <w:tab/>
      </w:r>
      <w:r>
        <w:rPr>
          <w:noProof/>
        </w:rPr>
        <w:fldChar w:fldCharType="begin"/>
      </w:r>
      <w:r>
        <w:rPr>
          <w:noProof/>
        </w:rPr>
        <w:instrText xml:space="preserve"> PAGEREF _Toc456270664 \h </w:instrText>
      </w:r>
      <w:r>
        <w:rPr>
          <w:noProof/>
        </w:rPr>
      </w:r>
      <w:r>
        <w:rPr>
          <w:noProof/>
        </w:rPr>
        <w:fldChar w:fldCharType="separate"/>
      </w:r>
      <w:r w:rsidR="006C545C">
        <w:rPr>
          <w:noProof/>
        </w:rPr>
        <w:t>1</w:t>
      </w:r>
      <w:r>
        <w:rPr>
          <w:noProof/>
        </w:rPr>
        <w:fldChar w:fldCharType="end"/>
      </w:r>
    </w:p>
    <w:p w:rsidR="00865AC9" w:rsidRPr="005B5081" w:rsidRDefault="00865AC9">
      <w:pPr>
        <w:pStyle w:val="TOC2"/>
        <w:rPr>
          <w:rFonts w:ascii="Calibri" w:hAnsi="Calibri"/>
          <w:noProof/>
          <w:szCs w:val="22"/>
          <w:lang w:eastAsia="en-NZ"/>
        </w:rPr>
      </w:pPr>
      <w:r>
        <w:rPr>
          <w:noProof/>
        </w:rPr>
        <w:t>Background</w:t>
      </w:r>
      <w:r>
        <w:rPr>
          <w:noProof/>
        </w:rPr>
        <w:tab/>
      </w:r>
      <w:r>
        <w:rPr>
          <w:noProof/>
        </w:rPr>
        <w:fldChar w:fldCharType="begin"/>
      </w:r>
      <w:r>
        <w:rPr>
          <w:noProof/>
        </w:rPr>
        <w:instrText xml:space="preserve"> PAGEREF _Toc456270665 \h </w:instrText>
      </w:r>
      <w:r>
        <w:rPr>
          <w:noProof/>
        </w:rPr>
      </w:r>
      <w:r>
        <w:rPr>
          <w:noProof/>
        </w:rPr>
        <w:fldChar w:fldCharType="separate"/>
      </w:r>
      <w:r w:rsidR="006C545C">
        <w:rPr>
          <w:noProof/>
        </w:rPr>
        <w:t>1</w:t>
      </w:r>
      <w:r>
        <w:rPr>
          <w:noProof/>
        </w:rPr>
        <w:fldChar w:fldCharType="end"/>
      </w:r>
    </w:p>
    <w:p w:rsidR="00865AC9" w:rsidRPr="005B5081" w:rsidRDefault="00865AC9">
      <w:pPr>
        <w:pStyle w:val="TOC2"/>
        <w:rPr>
          <w:rFonts w:ascii="Calibri" w:hAnsi="Calibri"/>
          <w:noProof/>
          <w:szCs w:val="22"/>
          <w:lang w:eastAsia="en-NZ"/>
        </w:rPr>
      </w:pPr>
      <w:r>
        <w:rPr>
          <w:noProof/>
        </w:rPr>
        <w:t>Objectives</w:t>
      </w:r>
      <w:r>
        <w:rPr>
          <w:noProof/>
        </w:rPr>
        <w:tab/>
      </w:r>
      <w:r>
        <w:rPr>
          <w:noProof/>
        </w:rPr>
        <w:fldChar w:fldCharType="begin"/>
      </w:r>
      <w:r>
        <w:rPr>
          <w:noProof/>
        </w:rPr>
        <w:instrText xml:space="preserve"> PAGEREF _Toc456270666 \h </w:instrText>
      </w:r>
      <w:r>
        <w:rPr>
          <w:noProof/>
        </w:rPr>
      </w:r>
      <w:r>
        <w:rPr>
          <w:noProof/>
        </w:rPr>
        <w:fldChar w:fldCharType="separate"/>
      </w:r>
      <w:r w:rsidR="006C545C">
        <w:rPr>
          <w:noProof/>
        </w:rPr>
        <w:t>1</w:t>
      </w:r>
      <w:r>
        <w:rPr>
          <w:noProof/>
        </w:rPr>
        <w:fldChar w:fldCharType="end"/>
      </w:r>
    </w:p>
    <w:p w:rsidR="00865AC9" w:rsidRPr="005B5081" w:rsidRDefault="00865AC9">
      <w:pPr>
        <w:pStyle w:val="TOC1"/>
        <w:rPr>
          <w:rFonts w:ascii="Calibri" w:hAnsi="Calibri"/>
          <w:b w:val="0"/>
          <w:noProof/>
          <w:szCs w:val="22"/>
          <w:lang w:eastAsia="en-NZ"/>
        </w:rPr>
      </w:pPr>
      <w:r>
        <w:rPr>
          <w:noProof/>
        </w:rPr>
        <w:t>Key findings</w:t>
      </w:r>
      <w:r>
        <w:rPr>
          <w:noProof/>
        </w:rPr>
        <w:tab/>
      </w:r>
      <w:r>
        <w:rPr>
          <w:noProof/>
        </w:rPr>
        <w:fldChar w:fldCharType="begin"/>
      </w:r>
      <w:r>
        <w:rPr>
          <w:noProof/>
        </w:rPr>
        <w:instrText xml:space="preserve"> PAGEREF _Toc456270667 \h </w:instrText>
      </w:r>
      <w:r>
        <w:rPr>
          <w:noProof/>
        </w:rPr>
      </w:r>
      <w:r>
        <w:rPr>
          <w:noProof/>
        </w:rPr>
        <w:fldChar w:fldCharType="separate"/>
      </w:r>
      <w:r w:rsidR="006C545C">
        <w:rPr>
          <w:noProof/>
        </w:rPr>
        <w:t>3</w:t>
      </w:r>
      <w:r>
        <w:rPr>
          <w:noProof/>
        </w:rPr>
        <w:fldChar w:fldCharType="end"/>
      </w:r>
    </w:p>
    <w:p w:rsidR="00865AC9" w:rsidRPr="005B5081" w:rsidRDefault="00865AC9">
      <w:pPr>
        <w:pStyle w:val="TOC2"/>
        <w:rPr>
          <w:rFonts w:ascii="Calibri" w:hAnsi="Calibri"/>
          <w:noProof/>
          <w:szCs w:val="22"/>
          <w:lang w:eastAsia="en-NZ"/>
        </w:rPr>
      </w:pPr>
      <w:r>
        <w:rPr>
          <w:noProof/>
        </w:rPr>
        <w:t>Health loss from all causes</w:t>
      </w:r>
      <w:r>
        <w:rPr>
          <w:noProof/>
        </w:rPr>
        <w:tab/>
      </w:r>
      <w:r>
        <w:rPr>
          <w:noProof/>
        </w:rPr>
        <w:fldChar w:fldCharType="begin"/>
      </w:r>
      <w:r>
        <w:rPr>
          <w:noProof/>
        </w:rPr>
        <w:instrText xml:space="preserve"> PAGEREF _Toc456270668 \h </w:instrText>
      </w:r>
      <w:r>
        <w:rPr>
          <w:noProof/>
        </w:rPr>
      </w:r>
      <w:r>
        <w:rPr>
          <w:noProof/>
        </w:rPr>
        <w:fldChar w:fldCharType="separate"/>
      </w:r>
      <w:r w:rsidR="006C545C">
        <w:rPr>
          <w:noProof/>
        </w:rPr>
        <w:t>3</w:t>
      </w:r>
      <w:r>
        <w:rPr>
          <w:noProof/>
        </w:rPr>
        <w:fldChar w:fldCharType="end"/>
      </w:r>
    </w:p>
    <w:p w:rsidR="00865AC9" w:rsidRPr="005B5081" w:rsidRDefault="00865AC9">
      <w:pPr>
        <w:pStyle w:val="TOC2"/>
        <w:rPr>
          <w:rFonts w:ascii="Calibri" w:hAnsi="Calibri"/>
          <w:noProof/>
          <w:szCs w:val="22"/>
          <w:lang w:eastAsia="en-NZ"/>
        </w:rPr>
      </w:pPr>
      <w:r>
        <w:rPr>
          <w:noProof/>
        </w:rPr>
        <w:t>Disability and epidemiological transitions</w:t>
      </w:r>
      <w:r>
        <w:rPr>
          <w:noProof/>
        </w:rPr>
        <w:tab/>
      </w:r>
      <w:r>
        <w:rPr>
          <w:noProof/>
        </w:rPr>
        <w:fldChar w:fldCharType="begin"/>
      </w:r>
      <w:r>
        <w:rPr>
          <w:noProof/>
        </w:rPr>
        <w:instrText xml:space="preserve"> PAGEREF _Toc456270669 \h </w:instrText>
      </w:r>
      <w:r>
        <w:rPr>
          <w:noProof/>
        </w:rPr>
      </w:r>
      <w:r>
        <w:rPr>
          <w:noProof/>
        </w:rPr>
        <w:fldChar w:fldCharType="separate"/>
      </w:r>
      <w:r w:rsidR="006C545C">
        <w:rPr>
          <w:noProof/>
        </w:rPr>
        <w:t>3</w:t>
      </w:r>
      <w:r>
        <w:rPr>
          <w:noProof/>
        </w:rPr>
        <w:fldChar w:fldCharType="end"/>
      </w:r>
    </w:p>
    <w:p w:rsidR="00865AC9" w:rsidRPr="005B5081" w:rsidRDefault="00865AC9">
      <w:pPr>
        <w:pStyle w:val="TOC2"/>
        <w:rPr>
          <w:rFonts w:ascii="Calibri" w:hAnsi="Calibri"/>
          <w:noProof/>
          <w:szCs w:val="22"/>
          <w:lang w:eastAsia="en-NZ"/>
        </w:rPr>
      </w:pPr>
      <w:r>
        <w:rPr>
          <w:noProof/>
        </w:rPr>
        <w:t>Health loss by condition group</w:t>
      </w:r>
      <w:r>
        <w:rPr>
          <w:noProof/>
        </w:rPr>
        <w:tab/>
      </w:r>
      <w:r>
        <w:rPr>
          <w:noProof/>
        </w:rPr>
        <w:fldChar w:fldCharType="begin"/>
      </w:r>
      <w:r>
        <w:rPr>
          <w:noProof/>
        </w:rPr>
        <w:instrText xml:space="preserve"> PAGEREF _Toc456270670 \h </w:instrText>
      </w:r>
      <w:r>
        <w:rPr>
          <w:noProof/>
        </w:rPr>
      </w:r>
      <w:r>
        <w:rPr>
          <w:noProof/>
        </w:rPr>
        <w:fldChar w:fldCharType="separate"/>
      </w:r>
      <w:r w:rsidR="006C545C">
        <w:rPr>
          <w:noProof/>
        </w:rPr>
        <w:t>3</w:t>
      </w:r>
      <w:r>
        <w:rPr>
          <w:noProof/>
        </w:rPr>
        <w:fldChar w:fldCharType="end"/>
      </w:r>
    </w:p>
    <w:p w:rsidR="00865AC9" w:rsidRPr="005B5081" w:rsidRDefault="00865AC9">
      <w:pPr>
        <w:pStyle w:val="TOC2"/>
        <w:rPr>
          <w:rFonts w:ascii="Calibri" w:hAnsi="Calibri"/>
          <w:noProof/>
          <w:szCs w:val="22"/>
          <w:lang w:eastAsia="en-NZ"/>
        </w:rPr>
      </w:pPr>
      <w:r>
        <w:rPr>
          <w:noProof/>
        </w:rPr>
        <w:t>Health loss from specific causes</w:t>
      </w:r>
      <w:r>
        <w:rPr>
          <w:noProof/>
        </w:rPr>
        <w:tab/>
      </w:r>
      <w:r>
        <w:rPr>
          <w:noProof/>
        </w:rPr>
        <w:fldChar w:fldCharType="begin"/>
      </w:r>
      <w:r>
        <w:rPr>
          <w:noProof/>
        </w:rPr>
        <w:instrText xml:space="preserve"> PAGEREF _Toc456270671 \h </w:instrText>
      </w:r>
      <w:r>
        <w:rPr>
          <w:noProof/>
        </w:rPr>
      </w:r>
      <w:r>
        <w:rPr>
          <w:noProof/>
        </w:rPr>
        <w:fldChar w:fldCharType="separate"/>
      </w:r>
      <w:r w:rsidR="006C545C">
        <w:rPr>
          <w:noProof/>
        </w:rPr>
        <w:t>4</w:t>
      </w:r>
      <w:r>
        <w:rPr>
          <w:noProof/>
        </w:rPr>
        <w:fldChar w:fldCharType="end"/>
      </w:r>
    </w:p>
    <w:p w:rsidR="00865AC9" w:rsidRPr="005B5081" w:rsidRDefault="00865AC9">
      <w:pPr>
        <w:pStyle w:val="TOC2"/>
        <w:rPr>
          <w:rFonts w:ascii="Calibri" w:hAnsi="Calibri"/>
          <w:noProof/>
          <w:szCs w:val="22"/>
          <w:lang w:eastAsia="en-NZ"/>
        </w:rPr>
      </w:pPr>
      <w:r>
        <w:rPr>
          <w:noProof/>
        </w:rPr>
        <w:t>Health loss attributable to risk factors</w:t>
      </w:r>
      <w:r>
        <w:rPr>
          <w:noProof/>
        </w:rPr>
        <w:tab/>
      </w:r>
      <w:r>
        <w:rPr>
          <w:noProof/>
        </w:rPr>
        <w:fldChar w:fldCharType="begin"/>
      </w:r>
      <w:r>
        <w:rPr>
          <w:noProof/>
        </w:rPr>
        <w:instrText xml:space="preserve"> PAGEREF _Toc456270672 \h </w:instrText>
      </w:r>
      <w:r>
        <w:rPr>
          <w:noProof/>
        </w:rPr>
      </w:r>
      <w:r>
        <w:rPr>
          <w:noProof/>
        </w:rPr>
        <w:fldChar w:fldCharType="separate"/>
      </w:r>
      <w:r w:rsidR="006C545C">
        <w:rPr>
          <w:noProof/>
        </w:rPr>
        <w:t>5</w:t>
      </w:r>
      <w:r>
        <w:rPr>
          <w:noProof/>
        </w:rPr>
        <w:fldChar w:fldCharType="end"/>
      </w:r>
    </w:p>
    <w:p w:rsidR="00865AC9" w:rsidRPr="005B5081" w:rsidRDefault="00865AC9">
      <w:pPr>
        <w:pStyle w:val="TOC2"/>
        <w:rPr>
          <w:rFonts w:ascii="Calibri" w:hAnsi="Calibri"/>
          <w:noProof/>
          <w:szCs w:val="22"/>
          <w:lang w:eastAsia="en-NZ"/>
        </w:rPr>
      </w:pPr>
      <w:r>
        <w:rPr>
          <w:noProof/>
        </w:rPr>
        <w:t>Health expectancy and the compression of morbidity</w:t>
      </w:r>
      <w:r>
        <w:rPr>
          <w:noProof/>
        </w:rPr>
        <w:tab/>
      </w:r>
      <w:r>
        <w:rPr>
          <w:noProof/>
        </w:rPr>
        <w:fldChar w:fldCharType="begin"/>
      </w:r>
      <w:r>
        <w:rPr>
          <w:noProof/>
        </w:rPr>
        <w:instrText xml:space="preserve"> PAGEREF _Toc456270673 \h </w:instrText>
      </w:r>
      <w:r>
        <w:rPr>
          <w:noProof/>
        </w:rPr>
      </w:r>
      <w:r>
        <w:rPr>
          <w:noProof/>
        </w:rPr>
        <w:fldChar w:fldCharType="separate"/>
      </w:r>
      <w:r w:rsidR="006C545C">
        <w:rPr>
          <w:noProof/>
        </w:rPr>
        <w:t>6</w:t>
      </w:r>
      <w:r>
        <w:rPr>
          <w:noProof/>
        </w:rPr>
        <w:fldChar w:fldCharType="end"/>
      </w:r>
    </w:p>
    <w:p w:rsidR="00865AC9" w:rsidRPr="005B5081" w:rsidRDefault="00865AC9">
      <w:pPr>
        <w:pStyle w:val="TOC2"/>
        <w:rPr>
          <w:rFonts w:ascii="Calibri" w:hAnsi="Calibri"/>
          <w:noProof/>
          <w:szCs w:val="22"/>
          <w:lang w:eastAsia="en-NZ"/>
        </w:rPr>
      </w:pPr>
      <w:r>
        <w:rPr>
          <w:noProof/>
        </w:rPr>
        <w:t>International comparisons</w:t>
      </w:r>
      <w:r>
        <w:rPr>
          <w:noProof/>
        </w:rPr>
        <w:tab/>
      </w:r>
      <w:r>
        <w:rPr>
          <w:noProof/>
        </w:rPr>
        <w:fldChar w:fldCharType="begin"/>
      </w:r>
      <w:r>
        <w:rPr>
          <w:noProof/>
        </w:rPr>
        <w:instrText xml:space="preserve"> PAGEREF _Toc456270674 \h </w:instrText>
      </w:r>
      <w:r>
        <w:rPr>
          <w:noProof/>
        </w:rPr>
      </w:r>
      <w:r>
        <w:rPr>
          <w:noProof/>
        </w:rPr>
        <w:fldChar w:fldCharType="separate"/>
      </w:r>
      <w:r w:rsidR="006C545C">
        <w:rPr>
          <w:noProof/>
        </w:rPr>
        <w:t>6</w:t>
      </w:r>
      <w:r>
        <w:rPr>
          <w:noProof/>
        </w:rPr>
        <w:fldChar w:fldCharType="end"/>
      </w:r>
    </w:p>
    <w:p w:rsidR="00865AC9" w:rsidRPr="005B5081" w:rsidRDefault="00865AC9">
      <w:pPr>
        <w:pStyle w:val="TOC1"/>
        <w:rPr>
          <w:rFonts w:ascii="Calibri" w:hAnsi="Calibri"/>
          <w:b w:val="0"/>
          <w:noProof/>
          <w:szCs w:val="22"/>
          <w:lang w:eastAsia="en-NZ"/>
        </w:rPr>
      </w:pPr>
      <w:r>
        <w:rPr>
          <w:noProof/>
        </w:rPr>
        <w:t>Health loss in New Zealand 1990–2013: all causes</w:t>
      </w:r>
      <w:r>
        <w:rPr>
          <w:noProof/>
        </w:rPr>
        <w:tab/>
      </w:r>
      <w:r>
        <w:rPr>
          <w:noProof/>
        </w:rPr>
        <w:fldChar w:fldCharType="begin"/>
      </w:r>
      <w:r>
        <w:rPr>
          <w:noProof/>
        </w:rPr>
        <w:instrText xml:space="preserve"> PAGEREF _Toc456270675 \h </w:instrText>
      </w:r>
      <w:r>
        <w:rPr>
          <w:noProof/>
        </w:rPr>
      </w:r>
      <w:r>
        <w:rPr>
          <w:noProof/>
        </w:rPr>
        <w:fldChar w:fldCharType="separate"/>
      </w:r>
      <w:r w:rsidR="006C545C">
        <w:rPr>
          <w:noProof/>
        </w:rPr>
        <w:t>7</w:t>
      </w:r>
      <w:r>
        <w:rPr>
          <w:noProof/>
        </w:rPr>
        <w:fldChar w:fldCharType="end"/>
      </w:r>
    </w:p>
    <w:p w:rsidR="00865AC9" w:rsidRPr="005B5081" w:rsidRDefault="00865AC9">
      <w:pPr>
        <w:pStyle w:val="TOC2"/>
        <w:rPr>
          <w:rFonts w:ascii="Calibri" w:hAnsi="Calibri"/>
          <w:noProof/>
          <w:szCs w:val="22"/>
          <w:lang w:eastAsia="en-NZ"/>
        </w:rPr>
      </w:pPr>
      <w:r>
        <w:rPr>
          <w:noProof/>
        </w:rPr>
        <w:t>Older people make up one-eighth of the population but experience over one-third of all health los</w:t>
      </w:r>
      <w:r w:rsidR="00336A9A">
        <w:rPr>
          <w:noProof/>
        </w:rPr>
        <w:t>s</w:t>
      </w:r>
      <w:r>
        <w:rPr>
          <w:noProof/>
        </w:rPr>
        <w:tab/>
      </w:r>
      <w:r>
        <w:rPr>
          <w:noProof/>
        </w:rPr>
        <w:fldChar w:fldCharType="begin"/>
      </w:r>
      <w:r>
        <w:rPr>
          <w:noProof/>
        </w:rPr>
        <w:instrText xml:space="preserve"> PAGEREF _Toc456270676 \h </w:instrText>
      </w:r>
      <w:r>
        <w:rPr>
          <w:noProof/>
        </w:rPr>
      </w:r>
      <w:r>
        <w:rPr>
          <w:noProof/>
        </w:rPr>
        <w:fldChar w:fldCharType="separate"/>
      </w:r>
      <w:r w:rsidR="006C545C">
        <w:rPr>
          <w:noProof/>
        </w:rPr>
        <w:t>7</w:t>
      </w:r>
      <w:r>
        <w:rPr>
          <w:noProof/>
        </w:rPr>
        <w:fldChar w:fldCharType="end"/>
      </w:r>
    </w:p>
    <w:p w:rsidR="00865AC9" w:rsidRPr="005B5081" w:rsidRDefault="00865AC9">
      <w:pPr>
        <w:pStyle w:val="TOC2"/>
        <w:rPr>
          <w:rFonts w:ascii="Calibri" w:hAnsi="Calibri"/>
          <w:noProof/>
          <w:szCs w:val="22"/>
          <w:lang w:eastAsia="en-NZ"/>
        </w:rPr>
      </w:pPr>
      <w:r>
        <w:rPr>
          <w:noProof/>
        </w:rPr>
        <w:t>Health loss is increasing, but the rate of health loss is falling</w:t>
      </w:r>
      <w:r>
        <w:rPr>
          <w:noProof/>
        </w:rPr>
        <w:tab/>
      </w:r>
      <w:r>
        <w:rPr>
          <w:noProof/>
        </w:rPr>
        <w:fldChar w:fldCharType="begin"/>
      </w:r>
      <w:r>
        <w:rPr>
          <w:noProof/>
        </w:rPr>
        <w:instrText xml:space="preserve"> PAGEREF _Toc456270677 \h </w:instrText>
      </w:r>
      <w:r>
        <w:rPr>
          <w:noProof/>
        </w:rPr>
      </w:r>
      <w:r>
        <w:rPr>
          <w:noProof/>
        </w:rPr>
        <w:fldChar w:fldCharType="separate"/>
      </w:r>
      <w:r w:rsidR="006C545C">
        <w:rPr>
          <w:noProof/>
        </w:rPr>
        <w:t>8</w:t>
      </w:r>
      <w:r>
        <w:rPr>
          <w:noProof/>
        </w:rPr>
        <w:fldChar w:fldCharType="end"/>
      </w:r>
    </w:p>
    <w:p w:rsidR="00865AC9" w:rsidRPr="005B5081" w:rsidRDefault="00865AC9">
      <w:pPr>
        <w:pStyle w:val="TOC2"/>
        <w:rPr>
          <w:rFonts w:ascii="Calibri" w:hAnsi="Calibri"/>
          <w:noProof/>
          <w:szCs w:val="22"/>
          <w:lang w:eastAsia="en-NZ"/>
        </w:rPr>
      </w:pPr>
      <w:r>
        <w:rPr>
          <w:noProof/>
        </w:rPr>
        <w:t>Health has improved least for youth and young adults</w:t>
      </w:r>
      <w:r>
        <w:rPr>
          <w:noProof/>
        </w:rPr>
        <w:tab/>
      </w:r>
      <w:r>
        <w:rPr>
          <w:noProof/>
        </w:rPr>
        <w:fldChar w:fldCharType="begin"/>
      </w:r>
      <w:r>
        <w:rPr>
          <w:noProof/>
        </w:rPr>
        <w:instrText xml:space="preserve"> PAGEREF _Toc456270678 \h </w:instrText>
      </w:r>
      <w:r>
        <w:rPr>
          <w:noProof/>
        </w:rPr>
      </w:r>
      <w:r>
        <w:rPr>
          <w:noProof/>
        </w:rPr>
        <w:fldChar w:fldCharType="separate"/>
      </w:r>
      <w:r w:rsidR="006C545C">
        <w:rPr>
          <w:noProof/>
        </w:rPr>
        <w:t>9</w:t>
      </w:r>
      <w:r>
        <w:rPr>
          <w:noProof/>
        </w:rPr>
        <w:fldChar w:fldCharType="end"/>
      </w:r>
    </w:p>
    <w:p w:rsidR="00865AC9" w:rsidRPr="005B5081" w:rsidRDefault="00865AC9">
      <w:pPr>
        <w:pStyle w:val="TOC2"/>
        <w:rPr>
          <w:rFonts w:ascii="Calibri" w:hAnsi="Calibri"/>
          <w:noProof/>
          <w:szCs w:val="22"/>
          <w:lang w:eastAsia="en-NZ"/>
        </w:rPr>
      </w:pPr>
      <w:r>
        <w:rPr>
          <w:noProof/>
        </w:rPr>
        <w:t>New Zealand has undergone a ‘disability transition’</w:t>
      </w:r>
      <w:r>
        <w:rPr>
          <w:noProof/>
        </w:rPr>
        <w:tab/>
      </w:r>
      <w:r>
        <w:rPr>
          <w:noProof/>
        </w:rPr>
        <w:fldChar w:fldCharType="begin"/>
      </w:r>
      <w:r>
        <w:rPr>
          <w:noProof/>
        </w:rPr>
        <w:instrText xml:space="preserve"> PAGEREF _Toc456270679 \h </w:instrText>
      </w:r>
      <w:r>
        <w:rPr>
          <w:noProof/>
        </w:rPr>
      </w:r>
      <w:r>
        <w:rPr>
          <w:noProof/>
        </w:rPr>
        <w:fldChar w:fldCharType="separate"/>
      </w:r>
      <w:r w:rsidR="006C545C">
        <w:rPr>
          <w:noProof/>
        </w:rPr>
        <w:t>10</w:t>
      </w:r>
      <w:r>
        <w:rPr>
          <w:noProof/>
        </w:rPr>
        <w:fldChar w:fldCharType="end"/>
      </w:r>
    </w:p>
    <w:p w:rsidR="00865AC9" w:rsidRPr="005B5081" w:rsidRDefault="00865AC9">
      <w:pPr>
        <w:pStyle w:val="TOC1"/>
        <w:rPr>
          <w:rFonts w:ascii="Calibri" w:hAnsi="Calibri"/>
          <w:b w:val="0"/>
          <w:noProof/>
          <w:szCs w:val="22"/>
          <w:lang w:eastAsia="en-NZ"/>
        </w:rPr>
      </w:pPr>
      <w:r>
        <w:rPr>
          <w:noProof/>
        </w:rPr>
        <w:t>Causes of health loss: condition groups</w:t>
      </w:r>
      <w:r>
        <w:rPr>
          <w:noProof/>
        </w:rPr>
        <w:tab/>
      </w:r>
      <w:r>
        <w:rPr>
          <w:noProof/>
        </w:rPr>
        <w:fldChar w:fldCharType="begin"/>
      </w:r>
      <w:r>
        <w:rPr>
          <w:noProof/>
        </w:rPr>
        <w:instrText xml:space="preserve"> PAGEREF _Toc456270680 \h </w:instrText>
      </w:r>
      <w:r>
        <w:rPr>
          <w:noProof/>
        </w:rPr>
      </w:r>
      <w:r>
        <w:rPr>
          <w:noProof/>
        </w:rPr>
        <w:fldChar w:fldCharType="separate"/>
      </w:r>
      <w:r w:rsidR="006C545C">
        <w:rPr>
          <w:noProof/>
        </w:rPr>
        <w:t>11</w:t>
      </w:r>
      <w:r>
        <w:rPr>
          <w:noProof/>
        </w:rPr>
        <w:fldChar w:fldCharType="end"/>
      </w:r>
    </w:p>
    <w:p w:rsidR="00865AC9" w:rsidRPr="005B5081" w:rsidRDefault="00865AC9">
      <w:pPr>
        <w:pStyle w:val="TOC2"/>
        <w:rPr>
          <w:rFonts w:ascii="Calibri" w:hAnsi="Calibri"/>
          <w:noProof/>
          <w:szCs w:val="22"/>
          <w:lang w:eastAsia="en-NZ"/>
        </w:rPr>
      </w:pPr>
      <w:r>
        <w:rPr>
          <w:noProof/>
        </w:rPr>
        <w:t>Neuropsychiatric disorders are the leading cause of health loss among condition groups, overall and in females</w:t>
      </w:r>
      <w:r>
        <w:rPr>
          <w:noProof/>
        </w:rPr>
        <w:tab/>
      </w:r>
      <w:r>
        <w:rPr>
          <w:noProof/>
        </w:rPr>
        <w:fldChar w:fldCharType="begin"/>
      </w:r>
      <w:r>
        <w:rPr>
          <w:noProof/>
        </w:rPr>
        <w:instrText xml:space="preserve"> PAGEREF _Toc456270681 \h </w:instrText>
      </w:r>
      <w:r>
        <w:rPr>
          <w:noProof/>
        </w:rPr>
      </w:r>
      <w:r>
        <w:rPr>
          <w:noProof/>
        </w:rPr>
        <w:fldChar w:fldCharType="separate"/>
      </w:r>
      <w:r w:rsidR="006C545C">
        <w:rPr>
          <w:noProof/>
        </w:rPr>
        <w:t>11</w:t>
      </w:r>
      <w:r>
        <w:rPr>
          <w:noProof/>
        </w:rPr>
        <w:fldChar w:fldCharType="end"/>
      </w:r>
    </w:p>
    <w:p w:rsidR="00865AC9" w:rsidRPr="005B5081" w:rsidRDefault="00865AC9">
      <w:pPr>
        <w:pStyle w:val="TOC2"/>
        <w:rPr>
          <w:rFonts w:ascii="Calibri" w:hAnsi="Calibri"/>
          <w:noProof/>
          <w:szCs w:val="22"/>
          <w:lang w:eastAsia="en-NZ"/>
        </w:rPr>
      </w:pPr>
      <w:r>
        <w:rPr>
          <w:noProof/>
        </w:rPr>
        <w:t>Birth defects and pre-transitional disorders are still important in childhood</w:t>
      </w:r>
      <w:r>
        <w:rPr>
          <w:noProof/>
        </w:rPr>
        <w:tab/>
      </w:r>
      <w:r>
        <w:rPr>
          <w:noProof/>
        </w:rPr>
        <w:fldChar w:fldCharType="begin"/>
      </w:r>
      <w:r>
        <w:rPr>
          <w:noProof/>
        </w:rPr>
        <w:instrText xml:space="preserve"> PAGEREF _Toc456270682 \h </w:instrText>
      </w:r>
      <w:r>
        <w:rPr>
          <w:noProof/>
        </w:rPr>
      </w:r>
      <w:r>
        <w:rPr>
          <w:noProof/>
        </w:rPr>
        <w:fldChar w:fldCharType="separate"/>
      </w:r>
      <w:r w:rsidR="006C545C">
        <w:rPr>
          <w:noProof/>
        </w:rPr>
        <w:t>13</w:t>
      </w:r>
      <w:r>
        <w:rPr>
          <w:noProof/>
        </w:rPr>
        <w:fldChar w:fldCharType="end"/>
      </w:r>
    </w:p>
    <w:p w:rsidR="00865AC9" w:rsidRPr="005B5081" w:rsidRDefault="00865AC9">
      <w:pPr>
        <w:pStyle w:val="TOC2"/>
        <w:rPr>
          <w:rFonts w:ascii="Calibri" w:hAnsi="Calibri"/>
          <w:noProof/>
          <w:szCs w:val="22"/>
          <w:lang w:eastAsia="en-NZ"/>
        </w:rPr>
      </w:pPr>
      <w:r>
        <w:rPr>
          <w:noProof/>
        </w:rPr>
        <w:t>The burden of neuropsychiatric and musculoskeletal disorders is increasing</w:t>
      </w:r>
      <w:r>
        <w:rPr>
          <w:noProof/>
        </w:rPr>
        <w:tab/>
      </w:r>
      <w:r>
        <w:rPr>
          <w:noProof/>
        </w:rPr>
        <w:fldChar w:fldCharType="begin"/>
      </w:r>
      <w:r>
        <w:rPr>
          <w:noProof/>
        </w:rPr>
        <w:instrText xml:space="preserve"> PAGEREF _Toc456270683 \h </w:instrText>
      </w:r>
      <w:r>
        <w:rPr>
          <w:noProof/>
        </w:rPr>
      </w:r>
      <w:r>
        <w:rPr>
          <w:noProof/>
        </w:rPr>
        <w:fldChar w:fldCharType="separate"/>
      </w:r>
      <w:r w:rsidR="006C545C">
        <w:rPr>
          <w:noProof/>
        </w:rPr>
        <w:t>14</w:t>
      </w:r>
      <w:r>
        <w:rPr>
          <w:noProof/>
        </w:rPr>
        <w:fldChar w:fldCharType="end"/>
      </w:r>
    </w:p>
    <w:p w:rsidR="00865AC9" w:rsidRPr="005B5081" w:rsidRDefault="00865AC9">
      <w:pPr>
        <w:pStyle w:val="TOC2"/>
        <w:rPr>
          <w:rFonts w:ascii="Calibri" w:hAnsi="Calibri"/>
          <w:noProof/>
          <w:szCs w:val="22"/>
          <w:lang w:eastAsia="en-NZ"/>
        </w:rPr>
      </w:pPr>
      <w:r>
        <w:rPr>
          <w:noProof/>
        </w:rPr>
        <w:t>New Zealand is well advanced along the epidemiological transition</w:t>
      </w:r>
      <w:r>
        <w:rPr>
          <w:noProof/>
        </w:rPr>
        <w:tab/>
      </w:r>
      <w:r>
        <w:rPr>
          <w:noProof/>
        </w:rPr>
        <w:fldChar w:fldCharType="begin"/>
      </w:r>
      <w:r>
        <w:rPr>
          <w:noProof/>
        </w:rPr>
        <w:instrText xml:space="preserve"> PAGEREF _Toc456270684 \h </w:instrText>
      </w:r>
      <w:r>
        <w:rPr>
          <w:noProof/>
        </w:rPr>
      </w:r>
      <w:r>
        <w:rPr>
          <w:noProof/>
        </w:rPr>
        <w:fldChar w:fldCharType="separate"/>
      </w:r>
      <w:r w:rsidR="006C545C">
        <w:rPr>
          <w:noProof/>
        </w:rPr>
        <w:t>15</w:t>
      </w:r>
      <w:r>
        <w:rPr>
          <w:noProof/>
        </w:rPr>
        <w:fldChar w:fldCharType="end"/>
      </w:r>
    </w:p>
    <w:p w:rsidR="00865AC9" w:rsidRPr="005B5081" w:rsidRDefault="00865AC9">
      <w:pPr>
        <w:pStyle w:val="TOC1"/>
        <w:rPr>
          <w:rFonts w:ascii="Calibri" w:hAnsi="Calibri"/>
          <w:b w:val="0"/>
          <w:noProof/>
          <w:szCs w:val="22"/>
          <w:lang w:eastAsia="en-NZ"/>
        </w:rPr>
      </w:pPr>
      <w:r>
        <w:rPr>
          <w:noProof/>
        </w:rPr>
        <w:t>Causes of health loss: specific diseases and injuries</w:t>
      </w:r>
      <w:r>
        <w:rPr>
          <w:noProof/>
        </w:rPr>
        <w:tab/>
      </w:r>
      <w:r>
        <w:rPr>
          <w:noProof/>
        </w:rPr>
        <w:fldChar w:fldCharType="begin"/>
      </w:r>
      <w:r>
        <w:rPr>
          <w:noProof/>
        </w:rPr>
        <w:instrText xml:space="preserve"> PAGEREF _Toc456270685 \h </w:instrText>
      </w:r>
      <w:r>
        <w:rPr>
          <w:noProof/>
        </w:rPr>
      </w:r>
      <w:r>
        <w:rPr>
          <w:noProof/>
        </w:rPr>
        <w:fldChar w:fldCharType="separate"/>
      </w:r>
      <w:r w:rsidR="006C545C">
        <w:rPr>
          <w:noProof/>
        </w:rPr>
        <w:t>17</w:t>
      </w:r>
      <w:r>
        <w:rPr>
          <w:noProof/>
        </w:rPr>
        <w:fldChar w:fldCharType="end"/>
      </w:r>
    </w:p>
    <w:p w:rsidR="00865AC9" w:rsidRPr="005B5081" w:rsidRDefault="00865AC9">
      <w:pPr>
        <w:pStyle w:val="TOC2"/>
        <w:rPr>
          <w:rFonts w:ascii="Calibri" w:hAnsi="Calibri"/>
          <w:noProof/>
          <w:szCs w:val="22"/>
          <w:lang w:eastAsia="en-NZ"/>
        </w:rPr>
      </w:pPr>
      <w:r>
        <w:rPr>
          <w:noProof/>
        </w:rPr>
        <w:t>Health loss is heavily concentrated into a small number of diseases and injuries</w:t>
      </w:r>
      <w:r>
        <w:rPr>
          <w:noProof/>
        </w:rPr>
        <w:tab/>
      </w:r>
      <w:r>
        <w:rPr>
          <w:noProof/>
        </w:rPr>
        <w:fldChar w:fldCharType="begin"/>
      </w:r>
      <w:r>
        <w:rPr>
          <w:noProof/>
        </w:rPr>
        <w:instrText xml:space="preserve"> PAGEREF _Toc456270686 \h </w:instrText>
      </w:r>
      <w:r>
        <w:rPr>
          <w:noProof/>
        </w:rPr>
      </w:r>
      <w:r>
        <w:rPr>
          <w:noProof/>
        </w:rPr>
        <w:fldChar w:fldCharType="separate"/>
      </w:r>
      <w:r w:rsidR="006C545C">
        <w:rPr>
          <w:noProof/>
        </w:rPr>
        <w:t>17</w:t>
      </w:r>
      <w:r>
        <w:rPr>
          <w:noProof/>
        </w:rPr>
        <w:fldChar w:fldCharType="end"/>
      </w:r>
    </w:p>
    <w:p w:rsidR="00865AC9" w:rsidRPr="005B5081" w:rsidRDefault="00865AC9">
      <w:pPr>
        <w:pStyle w:val="TOC2"/>
        <w:rPr>
          <w:rFonts w:ascii="Calibri" w:hAnsi="Calibri"/>
          <w:noProof/>
          <w:szCs w:val="22"/>
          <w:lang w:eastAsia="en-NZ"/>
        </w:rPr>
      </w:pPr>
      <w:r>
        <w:rPr>
          <w:noProof/>
        </w:rPr>
        <w:t>Diabetes and dementia have advanced most in rank</w:t>
      </w:r>
      <w:r>
        <w:rPr>
          <w:noProof/>
        </w:rPr>
        <w:tab/>
      </w:r>
      <w:r>
        <w:rPr>
          <w:noProof/>
        </w:rPr>
        <w:fldChar w:fldCharType="begin"/>
      </w:r>
      <w:r>
        <w:rPr>
          <w:noProof/>
        </w:rPr>
        <w:instrText xml:space="preserve"> PAGEREF _Toc456270687 \h </w:instrText>
      </w:r>
      <w:r>
        <w:rPr>
          <w:noProof/>
        </w:rPr>
      </w:r>
      <w:r>
        <w:rPr>
          <w:noProof/>
        </w:rPr>
        <w:fldChar w:fldCharType="separate"/>
      </w:r>
      <w:r w:rsidR="006C545C">
        <w:rPr>
          <w:noProof/>
        </w:rPr>
        <w:t>18</w:t>
      </w:r>
      <w:r>
        <w:rPr>
          <w:noProof/>
        </w:rPr>
        <w:fldChar w:fldCharType="end"/>
      </w:r>
    </w:p>
    <w:p w:rsidR="00865AC9" w:rsidRPr="005B5081" w:rsidRDefault="00865AC9">
      <w:pPr>
        <w:pStyle w:val="TOC2"/>
        <w:rPr>
          <w:rFonts w:ascii="Calibri" w:hAnsi="Calibri"/>
          <w:noProof/>
          <w:szCs w:val="22"/>
          <w:lang w:eastAsia="en-NZ"/>
        </w:rPr>
      </w:pPr>
      <w:r>
        <w:rPr>
          <w:noProof/>
        </w:rPr>
        <w:t>Back disorders are the leading specific condition from age 15–64 years</w:t>
      </w:r>
      <w:r>
        <w:rPr>
          <w:noProof/>
        </w:rPr>
        <w:tab/>
      </w:r>
      <w:r>
        <w:rPr>
          <w:noProof/>
        </w:rPr>
        <w:fldChar w:fldCharType="begin"/>
      </w:r>
      <w:r>
        <w:rPr>
          <w:noProof/>
        </w:rPr>
        <w:instrText xml:space="preserve"> PAGEREF _Toc456270688 \h </w:instrText>
      </w:r>
      <w:r>
        <w:rPr>
          <w:noProof/>
        </w:rPr>
      </w:r>
      <w:r>
        <w:rPr>
          <w:noProof/>
        </w:rPr>
        <w:fldChar w:fldCharType="separate"/>
      </w:r>
      <w:r w:rsidR="006C545C">
        <w:rPr>
          <w:noProof/>
        </w:rPr>
        <w:t>20</w:t>
      </w:r>
      <w:r>
        <w:rPr>
          <w:noProof/>
        </w:rPr>
        <w:fldChar w:fldCharType="end"/>
      </w:r>
    </w:p>
    <w:p w:rsidR="00865AC9" w:rsidRPr="005B5081" w:rsidRDefault="00865AC9">
      <w:pPr>
        <w:pStyle w:val="TOC2"/>
        <w:rPr>
          <w:rFonts w:ascii="Calibri" w:hAnsi="Calibri"/>
          <w:noProof/>
          <w:szCs w:val="22"/>
          <w:lang w:eastAsia="en-NZ"/>
        </w:rPr>
      </w:pPr>
      <w:r>
        <w:rPr>
          <w:noProof/>
        </w:rPr>
        <w:t>The diabetes burden is no longer increasing (once adjusted for demographic drivers)</w:t>
      </w:r>
      <w:r>
        <w:rPr>
          <w:noProof/>
        </w:rPr>
        <w:tab/>
      </w:r>
      <w:r>
        <w:rPr>
          <w:noProof/>
        </w:rPr>
        <w:fldChar w:fldCharType="begin"/>
      </w:r>
      <w:r>
        <w:rPr>
          <w:noProof/>
        </w:rPr>
        <w:instrText xml:space="preserve"> PAGEREF _Toc456270689 \h </w:instrText>
      </w:r>
      <w:r>
        <w:rPr>
          <w:noProof/>
        </w:rPr>
      </w:r>
      <w:r>
        <w:rPr>
          <w:noProof/>
        </w:rPr>
        <w:fldChar w:fldCharType="separate"/>
      </w:r>
      <w:r w:rsidR="006C545C">
        <w:rPr>
          <w:noProof/>
        </w:rPr>
        <w:t>22</w:t>
      </w:r>
      <w:r>
        <w:rPr>
          <w:noProof/>
        </w:rPr>
        <w:fldChar w:fldCharType="end"/>
      </w:r>
    </w:p>
    <w:p w:rsidR="00865AC9" w:rsidRPr="005B5081" w:rsidRDefault="00865AC9">
      <w:pPr>
        <w:pStyle w:val="TOC2"/>
        <w:rPr>
          <w:rFonts w:ascii="Calibri" w:hAnsi="Calibri"/>
          <w:noProof/>
          <w:szCs w:val="22"/>
          <w:lang w:eastAsia="en-NZ"/>
        </w:rPr>
      </w:pPr>
      <w:r>
        <w:rPr>
          <w:noProof/>
        </w:rPr>
        <w:t>The mesothelioma epidemic is peaking</w:t>
      </w:r>
      <w:r>
        <w:rPr>
          <w:noProof/>
        </w:rPr>
        <w:tab/>
      </w:r>
      <w:r>
        <w:rPr>
          <w:noProof/>
        </w:rPr>
        <w:fldChar w:fldCharType="begin"/>
      </w:r>
      <w:r>
        <w:rPr>
          <w:noProof/>
        </w:rPr>
        <w:instrText xml:space="preserve"> PAGEREF _Toc456270690 \h </w:instrText>
      </w:r>
      <w:r>
        <w:rPr>
          <w:noProof/>
        </w:rPr>
      </w:r>
      <w:r>
        <w:rPr>
          <w:noProof/>
        </w:rPr>
        <w:fldChar w:fldCharType="separate"/>
      </w:r>
      <w:r w:rsidR="006C545C">
        <w:rPr>
          <w:noProof/>
        </w:rPr>
        <w:t>23</w:t>
      </w:r>
      <w:r>
        <w:rPr>
          <w:noProof/>
        </w:rPr>
        <w:fldChar w:fldCharType="end"/>
      </w:r>
    </w:p>
    <w:p w:rsidR="00865AC9" w:rsidRPr="005B5081" w:rsidRDefault="00865AC9">
      <w:pPr>
        <w:pStyle w:val="TOC1"/>
        <w:rPr>
          <w:rFonts w:ascii="Calibri" w:hAnsi="Calibri"/>
          <w:b w:val="0"/>
          <w:noProof/>
          <w:szCs w:val="22"/>
          <w:lang w:eastAsia="en-NZ"/>
        </w:rPr>
      </w:pPr>
      <w:r>
        <w:rPr>
          <w:noProof/>
        </w:rPr>
        <w:t>Risks to health: health losses caused by risk clusters</w:t>
      </w:r>
      <w:r>
        <w:rPr>
          <w:noProof/>
        </w:rPr>
        <w:tab/>
      </w:r>
      <w:r>
        <w:rPr>
          <w:noProof/>
        </w:rPr>
        <w:fldChar w:fldCharType="begin"/>
      </w:r>
      <w:r>
        <w:rPr>
          <w:noProof/>
        </w:rPr>
        <w:instrText xml:space="preserve"> PAGEREF _Toc456270691 \h </w:instrText>
      </w:r>
      <w:r>
        <w:rPr>
          <w:noProof/>
        </w:rPr>
      </w:r>
      <w:r>
        <w:rPr>
          <w:noProof/>
        </w:rPr>
        <w:fldChar w:fldCharType="separate"/>
      </w:r>
      <w:r w:rsidR="006C545C">
        <w:rPr>
          <w:noProof/>
        </w:rPr>
        <w:t>25</w:t>
      </w:r>
      <w:r>
        <w:rPr>
          <w:noProof/>
        </w:rPr>
        <w:fldChar w:fldCharType="end"/>
      </w:r>
    </w:p>
    <w:p w:rsidR="00865AC9" w:rsidRPr="005B5081" w:rsidRDefault="00865AC9">
      <w:pPr>
        <w:pStyle w:val="TOC2"/>
        <w:rPr>
          <w:rFonts w:ascii="Calibri" w:hAnsi="Calibri"/>
          <w:noProof/>
          <w:szCs w:val="22"/>
          <w:lang w:eastAsia="en-NZ"/>
        </w:rPr>
      </w:pPr>
      <w:r>
        <w:rPr>
          <w:noProof/>
        </w:rPr>
        <w:t xml:space="preserve">Over one-third of </w:t>
      </w:r>
      <w:r w:rsidR="007F1117">
        <w:rPr>
          <w:noProof/>
        </w:rPr>
        <w:t xml:space="preserve">all </w:t>
      </w:r>
      <w:r>
        <w:rPr>
          <w:noProof/>
        </w:rPr>
        <w:t>health loss is potentially preventable</w:t>
      </w:r>
      <w:r>
        <w:rPr>
          <w:noProof/>
        </w:rPr>
        <w:tab/>
      </w:r>
      <w:r>
        <w:rPr>
          <w:noProof/>
        </w:rPr>
        <w:fldChar w:fldCharType="begin"/>
      </w:r>
      <w:r>
        <w:rPr>
          <w:noProof/>
        </w:rPr>
        <w:instrText xml:space="preserve"> PAGEREF _Toc456270692 \h </w:instrText>
      </w:r>
      <w:r>
        <w:rPr>
          <w:noProof/>
        </w:rPr>
      </w:r>
      <w:r>
        <w:rPr>
          <w:noProof/>
        </w:rPr>
        <w:fldChar w:fldCharType="separate"/>
      </w:r>
      <w:r w:rsidR="006C545C">
        <w:rPr>
          <w:noProof/>
        </w:rPr>
        <w:t>26</w:t>
      </w:r>
      <w:r>
        <w:rPr>
          <w:noProof/>
        </w:rPr>
        <w:fldChar w:fldCharType="end"/>
      </w:r>
    </w:p>
    <w:p w:rsidR="00865AC9" w:rsidRPr="005B5081" w:rsidRDefault="00865AC9">
      <w:pPr>
        <w:pStyle w:val="TOC2"/>
        <w:rPr>
          <w:rFonts w:ascii="Calibri" w:hAnsi="Calibri"/>
          <w:noProof/>
          <w:szCs w:val="22"/>
          <w:lang w:eastAsia="en-NZ"/>
        </w:rPr>
      </w:pPr>
      <w:r>
        <w:rPr>
          <w:noProof/>
        </w:rPr>
        <w:t>Health impacts of all risk clusters are falling</w:t>
      </w:r>
      <w:r>
        <w:rPr>
          <w:noProof/>
        </w:rPr>
        <w:tab/>
      </w:r>
      <w:r>
        <w:rPr>
          <w:noProof/>
        </w:rPr>
        <w:fldChar w:fldCharType="begin"/>
      </w:r>
      <w:r>
        <w:rPr>
          <w:noProof/>
        </w:rPr>
        <w:instrText xml:space="preserve"> PAGEREF _Toc456270693 \h </w:instrText>
      </w:r>
      <w:r>
        <w:rPr>
          <w:noProof/>
        </w:rPr>
      </w:r>
      <w:r>
        <w:rPr>
          <w:noProof/>
        </w:rPr>
        <w:fldChar w:fldCharType="separate"/>
      </w:r>
      <w:r w:rsidR="006C545C">
        <w:rPr>
          <w:noProof/>
        </w:rPr>
        <w:t>27</w:t>
      </w:r>
      <w:r>
        <w:rPr>
          <w:noProof/>
        </w:rPr>
        <w:fldChar w:fldCharType="end"/>
      </w:r>
    </w:p>
    <w:p w:rsidR="00865AC9" w:rsidRPr="005B5081" w:rsidRDefault="00865AC9">
      <w:pPr>
        <w:pStyle w:val="TOC1"/>
        <w:rPr>
          <w:rFonts w:ascii="Calibri" w:hAnsi="Calibri"/>
          <w:b w:val="0"/>
          <w:noProof/>
          <w:szCs w:val="22"/>
          <w:lang w:eastAsia="en-NZ"/>
        </w:rPr>
      </w:pPr>
      <w:r>
        <w:rPr>
          <w:noProof/>
        </w:rPr>
        <w:lastRenderedPageBreak/>
        <w:t>Risks to health: health losses attributable to specific risk factors</w:t>
      </w:r>
      <w:r>
        <w:rPr>
          <w:noProof/>
        </w:rPr>
        <w:tab/>
      </w:r>
      <w:r>
        <w:rPr>
          <w:noProof/>
        </w:rPr>
        <w:fldChar w:fldCharType="begin"/>
      </w:r>
      <w:r>
        <w:rPr>
          <w:noProof/>
        </w:rPr>
        <w:instrText xml:space="preserve"> PAGEREF _Toc456270694 \h </w:instrText>
      </w:r>
      <w:r>
        <w:rPr>
          <w:noProof/>
        </w:rPr>
      </w:r>
      <w:r>
        <w:rPr>
          <w:noProof/>
        </w:rPr>
        <w:fldChar w:fldCharType="separate"/>
      </w:r>
      <w:r w:rsidR="006C545C">
        <w:rPr>
          <w:noProof/>
        </w:rPr>
        <w:t>28</w:t>
      </w:r>
      <w:r>
        <w:rPr>
          <w:noProof/>
        </w:rPr>
        <w:fldChar w:fldCharType="end"/>
      </w:r>
    </w:p>
    <w:p w:rsidR="00865AC9" w:rsidRPr="005B5081" w:rsidRDefault="00865AC9">
      <w:pPr>
        <w:pStyle w:val="TOC2"/>
        <w:rPr>
          <w:rFonts w:ascii="Calibri" w:hAnsi="Calibri"/>
          <w:noProof/>
          <w:szCs w:val="22"/>
          <w:lang w:eastAsia="en-NZ"/>
        </w:rPr>
      </w:pPr>
      <w:r>
        <w:rPr>
          <w:noProof/>
        </w:rPr>
        <w:t>Dietary risks are the leading cause of health loss</w:t>
      </w:r>
      <w:r>
        <w:rPr>
          <w:noProof/>
        </w:rPr>
        <w:tab/>
      </w:r>
      <w:r>
        <w:rPr>
          <w:noProof/>
        </w:rPr>
        <w:fldChar w:fldCharType="begin"/>
      </w:r>
      <w:r>
        <w:rPr>
          <w:noProof/>
        </w:rPr>
        <w:instrText xml:space="preserve"> PAGEREF _Toc456270695 \h </w:instrText>
      </w:r>
      <w:r>
        <w:rPr>
          <w:noProof/>
        </w:rPr>
      </w:r>
      <w:r>
        <w:rPr>
          <w:noProof/>
        </w:rPr>
        <w:fldChar w:fldCharType="separate"/>
      </w:r>
      <w:r w:rsidR="006C545C">
        <w:rPr>
          <w:noProof/>
        </w:rPr>
        <w:t>28</w:t>
      </w:r>
      <w:r>
        <w:rPr>
          <w:noProof/>
        </w:rPr>
        <w:fldChar w:fldCharType="end"/>
      </w:r>
    </w:p>
    <w:p w:rsidR="00865AC9" w:rsidRPr="005B5081" w:rsidRDefault="00865AC9">
      <w:pPr>
        <w:pStyle w:val="TOC2"/>
        <w:rPr>
          <w:rFonts w:ascii="Calibri" w:hAnsi="Calibri"/>
          <w:noProof/>
          <w:szCs w:val="22"/>
          <w:lang w:eastAsia="en-NZ"/>
        </w:rPr>
      </w:pPr>
      <w:r>
        <w:rPr>
          <w:noProof/>
        </w:rPr>
        <w:t>Burden caused by use of illegal psychoactive drugs is low but increasing</w:t>
      </w:r>
      <w:r>
        <w:rPr>
          <w:noProof/>
        </w:rPr>
        <w:tab/>
      </w:r>
      <w:r>
        <w:rPr>
          <w:noProof/>
        </w:rPr>
        <w:fldChar w:fldCharType="begin"/>
      </w:r>
      <w:r>
        <w:rPr>
          <w:noProof/>
        </w:rPr>
        <w:instrText xml:space="preserve"> PAGEREF _Toc456270696 \h </w:instrText>
      </w:r>
      <w:r>
        <w:rPr>
          <w:noProof/>
        </w:rPr>
      </w:r>
      <w:r>
        <w:rPr>
          <w:noProof/>
        </w:rPr>
        <w:fldChar w:fldCharType="separate"/>
      </w:r>
      <w:r w:rsidR="006C545C">
        <w:rPr>
          <w:noProof/>
        </w:rPr>
        <w:t>29</w:t>
      </w:r>
      <w:r>
        <w:rPr>
          <w:noProof/>
        </w:rPr>
        <w:fldChar w:fldCharType="end"/>
      </w:r>
    </w:p>
    <w:p w:rsidR="00865AC9" w:rsidRPr="005B5081" w:rsidRDefault="00865AC9">
      <w:pPr>
        <w:pStyle w:val="TOC1"/>
        <w:rPr>
          <w:rFonts w:ascii="Calibri" w:hAnsi="Calibri"/>
          <w:b w:val="0"/>
          <w:noProof/>
          <w:szCs w:val="22"/>
          <w:lang w:eastAsia="en-NZ"/>
        </w:rPr>
      </w:pPr>
      <w:r>
        <w:rPr>
          <w:noProof/>
        </w:rPr>
        <w:t>Health expectancy and the compression of morbidity</w:t>
      </w:r>
      <w:r>
        <w:rPr>
          <w:noProof/>
        </w:rPr>
        <w:tab/>
      </w:r>
      <w:r>
        <w:rPr>
          <w:noProof/>
        </w:rPr>
        <w:fldChar w:fldCharType="begin"/>
      </w:r>
      <w:r>
        <w:rPr>
          <w:noProof/>
        </w:rPr>
        <w:instrText xml:space="preserve"> PAGEREF _Toc456270697 \h </w:instrText>
      </w:r>
      <w:r>
        <w:rPr>
          <w:noProof/>
        </w:rPr>
      </w:r>
      <w:r>
        <w:rPr>
          <w:noProof/>
        </w:rPr>
        <w:fldChar w:fldCharType="separate"/>
      </w:r>
      <w:r w:rsidR="006C545C">
        <w:rPr>
          <w:noProof/>
        </w:rPr>
        <w:t>32</w:t>
      </w:r>
      <w:r>
        <w:rPr>
          <w:noProof/>
        </w:rPr>
        <w:fldChar w:fldCharType="end"/>
      </w:r>
    </w:p>
    <w:p w:rsidR="00865AC9" w:rsidRPr="005B5081" w:rsidRDefault="00865AC9">
      <w:pPr>
        <w:pStyle w:val="TOC1"/>
        <w:rPr>
          <w:rFonts w:ascii="Calibri" w:hAnsi="Calibri"/>
          <w:b w:val="0"/>
          <w:noProof/>
          <w:szCs w:val="22"/>
          <w:lang w:eastAsia="en-NZ"/>
        </w:rPr>
      </w:pPr>
      <w:r>
        <w:rPr>
          <w:noProof/>
        </w:rPr>
        <w:t>International comparisons</w:t>
      </w:r>
      <w:r>
        <w:rPr>
          <w:noProof/>
        </w:rPr>
        <w:tab/>
      </w:r>
      <w:r>
        <w:rPr>
          <w:noProof/>
        </w:rPr>
        <w:fldChar w:fldCharType="begin"/>
      </w:r>
      <w:r>
        <w:rPr>
          <w:noProof/>
        </w:rPr>
        <w:instrText xml:space="preserve"> PAGEREF _Toc456270698 \h </w:instrText>
      </w:r>
      <w:r>
        <w:rPr>
          <w:noProof/>
        </w:rPr>
      </w:r>
      <w:r>
        <w:rPr>
          <w:noProof/>
        </w:rPr>
        <w:fldChar w:fldCharType="separate"/>
      </w:r>
      <w:r w:rsidR="006C545C">
        <w:rPr>
          <w:noProof/>
        </w:rPr>
        <w:t>34</w:t>
      </w:r>
      <w:r>
        <w:rPr>
          <w:noProof/>
        </w:rPr>
        <w:fldChar w:fldCharType="end"/>
      </w:r>
    </w:p>
    <w:p w:rsidR="00865AC9" w:rsidRPr="005B5081" w:rsidRDefault="00865AC9">
      <w:pPr>
        <w:pStyle w:val="TOC2"/>
        <w:rPr>
          <w:rFonts w:ascii="Calibri" w:hAnsi="Calibri"/>
          <w:noProof/>
          <w:szCs w:val="22"/>
          <w:lang w:eastAsia="en-NZ"/>
        </w:rPr>
      </w:pPr>
      <w:r>
        <w:rPr>
          <w:noProof/>
        </w:rPr>
        <w:t>Current level of health loss</w:t>
      </w:r>
      <w:r>
        <w:rPr>
          <w:noProof/>
        </w:rPr>
        <w:tab/>
      </w:r>
      <w:r>
        <w:rPr>
          <w:noProof/>
        </w:rPr>
        <w:fldChar w:fldCharType="begin"/>
      </w:r>
      <w:r>
        <w:rPr>
          <w:noProof/>
        </w:rPr>
        <w:instrText xml:space="preserve"> PAGEREF _Toc456270699 \h </w:instrText>
      </w:r>
      <w:r>
        <w:rPr>
          <w:noProof/>
        </w:rPr>
      </w:r>
      <w:r>
        <w:rPr>
          <w:noProof/>
        </w:rPr>
        <w:fldChar w:fldCharType="separate"/>
      </w:r>
      <w:r w:rsidR="006C545C">
        <w:rPr>
          <w:noProof/>
        </w:rPr>
        <w:t>34</w:t>
      </w:r>
      <w:r>
        <w:rPr>
          <w:noProof/>
        </w:rPr>
        <w:fldChar w:fldCharType="end"/>
      </w:r>
    </w:p>
    <w:p w:rsidR="00865AC9" w:rsidRPr="005B5081" w:rsidRDefault="00865AC9">
      <w:pPr>
        <w:pStyle w:val="TOC2"/>
        <w:rPr>
          <w:rFonts w:ascii="Calibri" w:hAnsi="Calibri"/>
          <w:noProof/>
          <w:szCs w:val="22"/>
          <w:lang w:eastAsia="en-NZ"/>
        </w:rPr>
      </w:pPr>
      <w:r>
        <w:rPr>
          <w:noProof/>
        </w:rPr>
        <w:t>Trends in health loss</w:t>
      </w:r>
      <w:r>
        <w:rPr>
          <w:noProof/>
        </w:rPr>
        <w:tab/>
      </w:r>
      <w:r>
        <w:rPr>
          <w:noProof/>
        </w:rPr>
        <w:fldChar w:fldCharType="begin"/>
      </w:r>
      <w:r>
        <w:rPr>
          <w:noProof/>
        </w:rPr>
        <w:instrText xml:space="preserve"> PAGEREF _Toc456270700 \h </w:instrText>
      </w:r>
      <w:r>
        <w:rPr>
          <w:noProof/>
        </w:rPr>
      </w:r>
      <w:r>
        <w:rPr>
          <w:noProof/>
        </w:rPr>
        <w:fldChar w:fldCharType="separate"/>
      </w:r>
      <w:r w:rsidR="006C545C">
        <w:rPr>
          <w:noProof/>
        </w:rPr>
        <w:t>35</w:t>
      </w:r>
      <w:r>
        <w:rPr>
          <w:noProof/>
        </w:rPr>
        <w:fldChar w:fldCharType="end"/>
      </w:r>
    </w:p>
    <w:p w:rsidR="00865AC9" w:rsidRPr="005B5081" w:rsidRDefault="00865AC9">
      <w:pPr>
        <w:pStyle w:val="TOC2"/>
        <w:rPr>
          <w:rFonts w:ascii="Calibri" w:hAnsi="Calibri"/>
          <w:noProof/>
          <w:szCs w:val="22"/>
          <w:lang w:eastAsia="en-NZ"/>
        </w:rPr>
      </w:pPr>
      <w:r>
        <w:rPr>
          <w:noProof/>
        </w:rPr>
        <w:t>Disability transition</w:t>
      </w:r>
      <w:r>
        <w:rPr>
          <w:noProof/>
        </w:rPr>
        <w:tab/>
      </w:r>
      <w:r>
        <w:rPr>
          <w:noProof/>
        </w:rPr>
        <w:fldChar w:fldCharType="begin"/>
      </w:r>
      <w:r>
        <w:rPr>
          <w:noProof/>
        </w:rPr>
        <w:instrText xml:space="preserve"> PAGEREF _Toc456270701 \h </w:instrText>
      </w:r>
      <w:r>
        <w:rPr>
          <w:noProof/>
        </w:rPr>
      </w:r>
      <w:r>
        <w:rPr>
          <w:noProof/>
        </w:rPr>
        <w:fldChar w:fldCharType="separate"/>
      </w:r>
      <w:r w:rsidR="006C545C">
        <w:rPr>
          <w:noProof/>
        </w:rPr>
        <w:t>36</w:t>
      </w:r>
      <w:r>
        <w:rPr>
          <w:noProof/>
        </w:rPr>
        <w:fldChar w:fldCharType="end"/>
      </w:r>
    </w:p>
    <w:p w:rsidR="00865AC9" w:rsidRPr="005B5081" w:rsidRDefault="00865AC9">
      <w:pPr>
        <w:pStyle w:val="TOC2"/>
        <w:rPr>
          <w:rFonts w:ascii="Calibri" w:hAnsi="Calibri"/>
          <w:noProof/>
          <w:szCs w:val="22"/>
          <w:lang w:eastAsia="en-NZ"/>
        </w:rPr>
      </w:pPr>
      <w:r>
        <w:rPr>
          <w:noProof/>
        </w:rPr>
        <w:t>Epidemiological transition</w:t>
      </w:r>
      <w:r>
        <w:rPr>
          <w:noProof/>
        </w:rPr>
        <w:tab/>
      </w:r>
      <w:r>
        <w:rPr>
          <w:noProof/>
        </w:rPr>
        <w:fldChar w:fldCharType="begin"/>
      </w:r>
      <w:r>
        <w:rPr>
          <w:noProof/>
        </w:rPr>
        <w:instrText xml:space="preserve"> PAGEREF _Toc456270702 \h </w:instrText>
      </w:r>
      <w:r>
        <w:rPr>
          <w:noProof/>
        </w:rPr>
      </w:r>
      <w:r>
        <w:rPr>
          <w:noProof/>
        </w:rPr>
        <w:fldChar w:fldCharType="separate"/>
      </w:r>
      <w:r w:rsidR="006C545C">
        <w:rPr>
          <w:noProof/>
        </w:rPr>
        <w:t>37</w:t>
      </w:r>
      <w:r>
        <w:rPr>
          <w:noProof/>
        </w:rPr>
        <w:fldChar w:fldCharType="end"/>
      </w:r>
    </w:p>
    <w:p w:rsidR="00865AC9" w:rsidRPr="005B5081" w:rsidRDefault="00865AC9">
      <w:pPr>
        <w:pStyle w:val="TOC2"/>
        <w:rPr>
          <w:rFonts w:ascii="Calibri" w:hAnsi="Calibri"/>
          <w:noProof/>
          <w:szCs w:val="22"/>
          <w:lang w:eastAsia="en-NZ"/>
        </w:rPr>
      </w:pPr>
      <w:r>
        <w:rPr>
          <w:noProof/>
        </w:rPr>
        <w:t>Contribution of different causes to health loss</w:t>
      </w:r>
      <w:r>
        <w:rPr>
          <w:noProof/>
        </w:rPr>
        <w:tab/>
      </w:r>
      <w:r>
        <w:rPr>
          <w:noProof/>
        </w:rPr>
        <w:fldChar w:fldCharType="begin"/>
      </w:r>
      <w:r>
        <w:rPr>
          <w:noProof/>
        </w:rPr>
        <w:instrText xml:space="preserve"> PAGEREF _Toc456270703 \h </w:instrText>
      </w:r>
      <w:r>
        <w:rPr>
          <w:noProof/>
        </w:rPr>
      </w:r>
      <w:r>
        <w:rPr>
          <w:noProof/>
        </w:rPr>
        <w:fldChar w:fldCharType="separate"/>
      </w:r>
      <w:r w:rsidR="006C545C">
        <w:rPr>
          <w:noProof/>
        </w:rPr>
        <w:t>38</w:t>
      </w:r>
      <w:r>
        <w:rPr>
          <w:noProof/>
        </w:rPr>
        <w:fldChar w:fldCharType="end"/>
      </w:r>
    </w:p>
    <w:p w:rsidR="00865AC9" w:rsidRPr="005B5081" w:rsidRDefault="00865AC9">
      <w:pPr>
        <w:pStyle w:val="TOC2"/>
        <w:rPr>
          <w:rFonts w:ascii="Calibri" w:hAnsi="Calibri"/>
          <w:noProof/>
          <w:szCs w:val="22"/>
          <w:lang w:eastAsia="en-NZ"/>
        </w:rPr>
      </w:pPr>
      <w:r>
        <w:rPr>
          <w:noProof/>
        </w:rPr>
        <w:t>Health expectancy, life expectancy and the compression of morbidity</w:t>
      </w:r>
      <w:r>
        <w:rPr>
          <w:noProof/>
        </w:rPr>
        <w:tab/>
      </w:r>
      <w:r>
        <w:rPr>
          <w:noProof/>
        </w:rPr>
        <w:fldChar w:fldCharType="begin"/>
      </w:r>
      <w:r>
        <w:rPr>
          <w:noProof/>
        </w:rPr>
        <w:instrText xml:space="preserve"> PAGEREF _Toc456270704 \h </w:instrText>
      </w:r>
      <w:r>
        <w:rPr>
          <w:noProof/>
        </w:rPr>
      </w:r>
      <w:r>
        <w:rPr>
          <w:noProof/>
        </w:rPr>
        <w:fldChar w:fldCharType="separate"/>
      </w:r>
      <w:r w:rsidR="006C545C">
        <w:rPr>
          <w:noProof/>
        </w:rPr>
        <w:t>40</w:t>
      </w:r>
      <w:r>
        <w:rPr>
          <w:noProof/>
        </w:rPr>
        <w:fldChar w:fldCharType="end"/>
      </w:r>
    </w:p>
    <w:p w:rsidR="00865AC9" w:rsidRPr="005B5081" w:rsidRDefault="00865AC9">
      <w:pPr>
        <w:pStyle w:val="TOC1"/>
        <w:rPr>
          <w:rFonts w:ascii="Calibri" w:hAnsi="Calibri"/>
          <w:b w:val="0"/>
          <w:noProof/>
          <w:szCs w:val="22"/>
          <w:lang w:eastAsia="en-NZ"/>
        </w:rPr>
      </w:pPr>
      <w:r>
        <w:rPr>
          <w:noProof/>
        </w:rPr>
        <w:t>Next steps</w:t>
      </w:r>
      <w:r>
        <w:rPr>
          <w:noProof/>
        </w:rPr>
        <w:tab/>
      </w:r>
      <w:r>
        <w:rPr>
          <w:noProof/>
        </w:rPr>
        <w:fldChar w:fldCharType="begin"/>
      </w:r>
      <w:r>
        <w:rPr>
          <w:noProof/>
        </w:rPr>
        <w:instrText xml:space="preserve"> PAGEREF _Toc456270705 \h </w:instrText>
      </w:r>
      <w:r>
        <w:rPr>
          <w:noProof/>
        </w:rPr>
      </w:r>
      <w:r>
        <w:rPr>
          <w:noProof/>
        </w:rPr>
        <w:fldChar w:fldCharType="separate"/>
      </w:r>
      <w:r w:rsidR="006C545C">
        <w:rPr>
          <w:noProof/>
        </w:rPr>
        <w:t>41</w:t>
      </w:r>
      <w:r>
        <w:rPr>
          <w:noProof/>
        </w:rPr>
        <w:fldChar w:fldCharType="end"/>
      </w:r>
    </w:p>
    <w:p w:rsidR="00865AC9" w:rsidRPr="005B5081" w:rsidRDefault="00865AC9">
      <w:pPr>
        <w:pStyle w:val="TOC2"/>
        <w:rPr>
          <w:rFonts w:ascii="Calibri" w:hAnsi="Calibri"/>
          <w:noProof/>
          <w:szCs w:val="22"/>
          <w:lang w:eastAsia="en-NZ"/>
        </w:rPr>
      </w:pPr>
      <w:r>
        <w:rPr>
          <w:noProof/>
        </w:rPr>
        <w:t>Using the NZBD to inform policy and planning</w:t>
      </w:r>
      <w:r>
        <w:rPr>
          <w:noProof/>
        </w:rPr>
        <w:tab/>
      </w:r>
      <w:r>
        <w:rPr>
          <w:noProof/>
        </w:rPr>
        <w:fldChar w:fldCharType="begin"/>
      </w:r>
      <w:r>
        <w:rPr>
          <w:noProof/>
        </w:rPr>
        <w:instrText xml:space="preserve"> PAGEREF _Toc456270706 \h </w:instrText>
      </w:r>
      <w:r>
        <w:rPr>
          <w:noProof/>
        </w:rPr>
      </w:r>
      <w:r>
        <w:rPr>
          <w:noProof/>
        </w:rPr>
        <w:fldChar w:fldCharType="separate"/>
      </w:r>
      <w:r w:rsidR="006C545C">
        <w:rPr>
          <w:noProof/>
        </w:rPr>
        <w:t>41</w:t>
      </w:r>
      <w:r>
        <w:rPr>
          <w:noProof/>
        </w:rPr>
        <w:fldChar w:fldCharType="end"/>
      </w:r>
    </w:p>
    <w:p w:rsidR="00865AC9" w:rsidRPr="005B5081" w:rsidRDefault="00865AC9">
      <w:pPr>
        <w:pStyle w:val="TOC2"/>
        <w:rPr>
          <w:rFonts w:ascii="Calibri" w:hAnsi="Calibri"/>
          <w:noProof/>
          <w:szCs w:val="22"/>
          <w:lang w:eastAsia="en-NZ"/>
        </w:rPr>
      </w:pPr>
      <w:r>
        <w:rPr>
          <w:noProof/>
        </w:rPr>
        <w:t>Future monitoring of health loss and health expectancy</w:t>
      </w:r>
      <w:r>
        <w:rPr>
          <w:noProof/>
        </w:rPr>
        <w:tab/>
      </w:r>
      <w:r>
        <w:rPr>
          <w:noProof/>
        </w:rPr>
        <w:fldChar w:fldCharType="begin"/>
      </w:r>
      <w:r>
        <w:rPr>
          <w:noProof/>
        </w:rPr>
        <w:instrText xml:space="preserve"> PAGEREF _Toc456270707 \h </w:instrText>
      </w:r>
      <w:r>
        <w:rPr>
          <w:noProof/>
        </w:rPr>
      </w:r>
      <w:r>
        <w:rPr>
          <w:noProof/>
        </w:rPr>
        <w:fldChar w:fldCharType="separate"/>
      </w:r>
      <w:r w:rsidR="006C545C">
        <w:rPr>
          <w:noProof/>
        </w:rPr>
        <w:t>42</w:t>
      </w:r>
      <w:r>
        <w:rPr>
          <w:noProof/>
        </w:rPr>
        <w:fldChar w:fldCharType="end"/>
      </w:r>
    </w:p>
    <w:p w:rsidR="00865AC9" w:rsidRPr="005B5081" w:rsidRDefault="00865AC9">
      <w:pPr>
        <w:pStyle w:val="TOC1"/>
        <w:rPr>
          <w:rFonts w:ascii="Calibri" w:hAnsi="Calibri"/>
          <w:b w:val="0"/>
          <w:noProof/>
          <w:szCs w:val="22"/>
          <w:lang w:eastAsia="en-NZ"/>
        </w:rPr>
      </w:pPr>
      <w:r>
        <w:rPr>
          <w:noProof/>
        </w:rPr>
        <w:t>Glossary</w:t>
      </w:r>
      <w:r>
        <w:rPr>
          <w:noProof/>
        </w:rPr>
        <w:tab/>
      </w:r>
      <w:r>
        <w:rPr>
          <w:noProof/>
        </w:rPr>
        <w:fldChar w:fldCharType="begin"/>
      </w:r>
      <w:r>
        <w:rPr>
          <w:noProof/>
        </w:rPr>
        <w:instrText xml:space="preserve"> PAGEREF _Toc456270708 \h </w:instrText>
      </w:r>
      <w:r>
        <w:rPr>
          <w:noProof/>
        </w:rPr>
      </w:r>
      <w:r>
        <w:rPr>
          <w:noProof/>
        </w:rPr>
        <w:fldChar w:fldCharType="separate"/>
      </w:r>
      <w:r w:rsidR="006C545C">
        <w:rPr>
          <w:noProof/>
        </w:rPr>
        <w:t>43</w:t>
      </w:r>
      <w:r>
        <w:rPr>
          <w:noProof/>
        </w:rPr>
        <w:fldChar w:fldCharType="end"/>
      </w:r>
    </w:p>
    <w:p w:rsidR="002B7E97" w:rsidRDefault="002B7E97">
      <w:pPr>
        <w:pStyle w:val="TOC1"/>
        <w:rPr>
          <w:noProof/>
        </w:rPr>
      </w:pPr>
      <w:r>
        <w:rPr>
          <w:noProof/>
        </w:rPr>
        <w:t>Appendices</w:t>
      </w:r>
    </w:p>
    <w:p w:rsidR="00865AC9" w:rsidRPr="005B5081" w:rsidRDefault="00865AC9" w:rsidP="002B7E97">
      <w:pPr>
        <w:pStyle w:val="TOC2"/>
        <w:rPr>
          <w:rFonts w:ascii="Calibri" w:hAnsi="Calibri"/>
          <w:b/>
          <w:noProof/>
          <w:szCs w:val="22"/>
          <w:lang w:eastAsia="en-NZ"/>
        </w:rPr>
      </w:pPr>
      <w:r>
        <w:rPr>
          <w:noProof/>
        </w:rPr>
        <w:t>Appendix 1: Further information</w:t>
      </w:r>
      <w:r>
        <w:rPr>
          <w:noProof/>
        </w:rPr>
        <w:tab/>
      </w:r>
      <w:r>
        <w:rPr>
          <w:noProof/>
        </w:rPr>
        <w:fldChar w:fldCharType="begin"/>
      </w:r>
      <w:r>
        <w:rPr>
          <w:noProof/>
        </w:rPr>
        <w:instrText xml:space="preserve"> PAGEREF _Toc456270709 \h </w:instrText>
      </w:r>
      <w:r>
        <w:rPr>
          <w:noProof/>
        </w:rPr>
      </w:r>
      <w:r>
        <w:rPr>
          <w:noProof/>
        </w:rPr>
        <w:fldChar w:fldCharType="separate"/>
      </w:r>
      <w:r w:rsidR="006C545C">
        <w:rPr>
          <w:noProof/>
        </w:rPr>
        <w:t>45</w:t>
      </w:r>
      <w:r>
        <w:rPr>
          <w:noProof/>
        </w:rPr>
        <w:fldChar w:fldCharType="end"/>
      </w:r>
    </w:p>
    <w:p w:rsidR="00865AC9" w:rsidRPr="005B5081" w:rsidRDefault="00865AC9" w:rsidP="002B7E97">
      <w:pPr>
        <w:pStyle w:val="TOC2"/>
        <w:rPr>
          <w:rFonts w:ascii="Calibri" w:hAnsi="Calibri"/>
          <w:b/>
          <w:noProof/>
          <w:szCs w:val="22"/>
          <w:lang w:eastAsia="en-NZ"/>
        </w:rPr>
      </w:pPr>
      <w:r>
        <w:rPr>
          <w:noProof/>
        </w:rPr>
        <w:t>Appendix 2: Global Burden of Disease methods</w:t>
      </w:r>
      <w:r>
        <w:rPr>
          <w:noProof/>
        </w:rPr>
        <w:tab/>
      </w:r>
      <w:r>
        <w:rPr>
          <w:noProof/>
        </w:rPr>
        <w:fldChar w:fldCharType="begin"/>
      </w:r>
      <w:r>
        <w:rPr>
          <w:noProof/>
        </w:rPr>
        <w:instrText xml:space="preserve"> PAGEREF _Toc456270713 \h </w:instrText>
      </w:r>
      <w:r>
        <w:rPr>
          <w:noProof/>
        </w:rPr>
      </w:r>
      <w:r>
        <w:rPr>
          <w:noProof/>
        </w:rPr>
        <w:fldChar w:fldCharType="separate"/>
      </w:r>
      <w:r w:rsidR="006C545C">
        <w:rPr>
          <w:noProof/>
        </w:rPr>
        <w:t>46</w:t>
      </w:r>
      <w:r>
        <w:rPr>
          <w:noProof/>
        </w:rPr>
        <w:fldChar w:fldCharType="end"/>
      </w:r>
    </w:p>
    <w:p w:rsidR="00865AC9" w:rsidRPr="005B5081" w:rsidRDefault="00865AC9" w:rsidP="002B7E97">
      <w:pPr>
        <w:pStyle w:val="TOC2"/>
        <w:rPr>
          <w:rFonts w:ascii="Calibri" w:hAnsi="Calibri"/>
          <w:b/>
          <w:noProof/>
          <w:szCs w:val="22"/>
          <w:lang w:eastAsia="en-NZ"/>
        </w:rPr>
      </w:pPr>
      <w:r>
        <w:rPr>
          <w:noProof/>
        </w:rPr>
        <w:t>Appendix 3: New Zealand data sources</w:t>
      </w:r>
      <w:r>
        <w:rPr>
          <w:noProof/>
        </w:rPr>
        <w:tab/>
      </w:r>
      <w:r>
        <w:rPr>
          <w:noProof/>
        </w:rPr>
        <w:fldChar w:fldCharType="begin"/>
      </w:r>
      <w:r>
        <w:rPr>
          <w:noProof/>
        </w:rPr>
        <w:instrText xml:space="preserve"> PAGEREF _Toc456270726 \h </w:instrText>
      </w:r>
      <w:r>
        <w:rPr>
          <w:noProof/>
        </w:rPr>
      </w:r>
      <w:r>
        <w:rPr>
          <w:noProof/>
        </w:rPr>
        <w:fldChar w:fldCharType="separate"/>
      </w:r>
      <w:r w:rsidR="006C545C">
        <w:rPr>
          <w:noProof/>
        </w:rPr>
        <w:t>51</w:t>
      </w:r>
      <w:r>
        <w:rPr>
          <w:noProof/>
        </w:rPr>
        <w:fldChar w:fldCharType="end"/>
      </w:r>
    </w:p>
    <w:p w:rsidR="00C86248" w:rsidRDefault="00C86248">
      <w:r>
        <w:rPr>
          <w:b/>
        </w:rPr>
        <w:fldChar w:fldCharType="end"/>
      </w:r>
    </w:p>
    <w:p w:rsidR="00C86248" w:rsidRDefault="00C86248" w:rsidP="003B1D10">
      <w:pPr>
        <w:pStyle w:val="TOC1"/>
        <w:keepNext/>
      </w:pPr>
      <w:r>
        <w:t xml:space="preserve">List of </w:t>
      </w:r>
      <w:r w:rsidR="00336A9A">
        <w:t>t</w:t>
      </w:r>
      <w:r>
        <w:t>ables</w:t>
      </w:r>
    </w:p>
    <w:p w:rsidR="002263BB" w:rsidRPr="002B3B21" w:rsidRDefault="00C86248">
      <w:pPr>
        <w:pStyle w:val="TOC3"/>
        <w:rPr>
          <w:rFonts w:ascii="Calibri" w:hAnsi="Calibri"/>
          <w:noProof/>
          <w:szCs w:val="22"/>
          <w:lang w:eastAsia="en-NZ"/>
        </w:rPr>
      </w:pPr>
      <w:r>
        <w:rPr>
          <w:sz w:val="20"/>
        </w:rPr>
        <w:fldChar w:fldCharType="begin"/>
      </w:r>
      <w:r>
        <w:instrText xml:space="preserve"> TOC \t "Table,3" </w:instrText>
      </w:r>
      <w:r>
        <w:rPr>
          <w:sz w:val="20"/>
        </w:rPr>
        <w:fldChar w:fldCharType="separate"/>
      </w:r>
      <w:r w:rsidR="002263BB">
        <w:rPr>
          <w:noProof/>
        </w:rPr>
        <w:t>Table 1:</w:t>
      </w:r>
      <w:r w:rsidR="002263BB">
        <w:rPr>
          <w:noProof/>
        </w:rPr>
        <w:tab/>
        <w:t>Condition groups used in analysis</w:t>
      </w:r>
      <w:r w:rsidR="002263BB">
        <w:rPr>
          <w:noProof/>
        </w:rPr>
        <w:tab/>
      </w:r>
      <w:r w:rsidR="002263BB">
        <w:rPr>
          <w:noProof/>
        </w:rPr>
        <w:fldChar w:fldCharType="begin"/>
      </w:r>
      <w:r w:rsidR="002263BB">
        <w:rPr>
          <w:noProof/>
        </w:rPr>
        <w:instrText xml:space="preserve"> PAGEREF _Toc455733247 \h </w:instrText>
      </w:r>
      <w:r w:rsidR="002263BB">
        <w:rPr>
          <w:noProof/>
        </w:rPr>
      </w:r>
      <w:r w:rsidR="002263BB">
        <w:rPr>
          <w:noProof/>
        </w:rPr>
        <w:fldChar w:fldCharType="separate"/>
      </w:r>
      <w:r w:rsidR="006C545C">
        <w:rPr>
          <w:noProof/>
        </w:rPr>
        <w:t>11</w:t>
      </w:r>
      <w:r w:rsidR="002263BB">
        <w:rPr>
          <w:noProof/>
        </w:rPr>
        <w:fldChar w:fldCharType="end"/>
      </w:r>
    </w:p>
    <w:p w:rsidR="002263BB" w:rsidRPr="002B3B21" w:rsidRDefault="002263BB" w:rsidP="002263BB">
      <w:pPr>
        <w:pStyle w:val="TOC3"/>
        <w:spacing w:before="90"/>
        <w:rPr>
          <w:rFonts w:ascii="Calibri" w:hAnsi="Calibri"/>
          <w:noProof/>
          <w:szCs w:val="22"/>
          <w:lang w:eastAsia="en-NZ"/>
        </w:rPr>
      </w:pPr>
      <w:r>
        <w:rPr>
          <w:noProof/>
        </w:rPr>
        <w:t>Table 2:</w:t>
      </w:r>
      <w:r>
        <w:rPr>
          <w:noProof/>
        </w:rPr>
        <w:tab/>
        <w:t>Contribution of top two leading condition groups to health loss (% total DALYs), by lifecycle stage, 2013</w:t>
      </w:r>
      <w:r>
        <w:rPr>
          <w:noProof/>
        </w:rPr>
        <w:tab/>
      </w:r>
      <w:r>
        <w:rPr>
          <w:noProof/>
        </w:rPr>
        <w:fldChar w:fldCharType="begin"/>
      </w:r>
      <w:r>
        <w:rPr>
          <w:noProof/>
        </w:rPr>
        <w:instrText xml:space="preserve"> PAGEREF _Toc455733248 \h </w:instrText>
      </w:r>
      <w:r>
        <w:rPr>
          <w:noProof/>
        </w:rPr>
      </w:r>
      <w:r>
        <w:rPr>
          <w:noProof/>
        </w:rPr>
        <w:fldChar w:fldCharType="separate"/>
      </w:r>
      <w:r w:rsidR="006C545C">
        <w:rPr>
          <w:noProof/>
        </w:rPr>
        <w:t>13</w:t>
      </w:r>
      <w:r>
        <w:rPr>
          <w:noProof/>
        </w:rPr>
        <w:fldChar w:fldCharType="end"/>
      </w:r>
    </w:p>
    <w:p w:rsidR="002263BB" w:rsidRPr="002B3B21" w:rsidRDefault="002263BB" w:rsidP="002263BB">
      <w:pPr>
        <w:pStyle w:val="TOC3"/>
        <w:spacing w:before="90"/>
        <w:rPr>
          <w:rFonts w:ascii="Calibri" w:hAnsi="Calibri"/>
          <w:noProof/>
          <w:szCs w:val="22"/>
          <w:lang w:eastAsia="en-NZ"/>
        </w:rPr>
      </w:pPr>
      <w:r>
        <w:rPr>
          <w:noProof/>
        </w:rPr>
        <w:t>Table 3:</w:t>
      </w:r>
      <w:r>
        <w:rPr>
          <w:noProof/>
        </w:rPr>
        <w:tab/>
        <w:t>Contribution of top 10 leading conditions to health loss (% total DALYs), by lifecycle stage, 2013</w:t>
      </w:r>
      <w:r>
        <w:rPr>
          <w:noProof/>
        </w:rPr>
        <w:tab/>
      </w:r>
      <w:r>
        <w:rPr>
          <w:noProof/>
        </w:rPr>
        <w:fldChar w:fldCharType="begin"/>
      </w:r>
      <w:r>
        <w:rPr>
          <w:noProof/>
        </w:rPr>
        <w:instrText xml:space="preserve"> PAGEREF _Toc455733249 \h </w:instrText>
      </w:r>
      <w:r>
        <w:rPr>
          <w:noProof/>
        </w:rPr>
      </w:r>
      <w:r>
        <w:rPr>
          <w:noProof/>
        </w:rPr>
        <w:fldChar w:fldCharType="separate"/>
      </w:r>
      <w:r w:rsidR="006C545C">
        <w:rPr>
          <w:noProof/>
        </w:rPr>
        <w:t>21</w:t>
      </w:r>
      <w:r>
        <w:rPr>
          <w:noProof/>
        </w:rPr>
        <w:fldChar w:fldCharType="end"/>
      </w:r>
    </w:p>
    <w:p w:rsidR="002263BB" w:rsidRPr="002B3B21" w:rsidRDefault="002263BB" w:rsidP="002263BB">
      <w:pPr>
        <w:pStyle w:val="TOC3"/>
        <w:spacing w:before="90"/>
        <w:rPr>
          <w:rFonts w:ascii="Calibri" w:hAnsi="Calibri"/>
          <w:noProof/>
          <w:szCs w:val="22"/>
          <w:lang w:eastAsia="en-NZ"/>
        </w:rPr>
      </w:pPr>
      <w:r>
        <w:rPr>
          <w:noProof/>
        </w:rPr>
        <w:t>Table 4:</w:t>
      </w:r>
      <w:r>
        <w:rPr>
          <w:noProof/>
        </w:rPr>
        <w:tab/>
        <w:t>Risk clusters used in analysis</w:t>
      </w:r>
      <w:r>
        <w:rPr>
          <w:noProof/>
        </w:rPr>
        <w:tab/>
      </w:r>
      <w:r>
        <w:rPr>
          <w:noProof/>
        </w:rPr>
        <w:fldChar w:fldCharType="begin"/>
      </w:r>
      <w:r>
        <w:rPr>
          <w:noProof/>
        </w:rPr>
        <w:instrText xml:space="preserve"> PAGEREF _Toc455733250 \h </w:instrText>
      </w:r>
      <w:r>
        <w:rPr>
          <w:noProof/>
        </w:rPr>
      </w:r>
      <w:r>
        <w:rPr>
          <w:noProof/>
        </w:rPr>
        <w:fldChar w:fldCharType="separate"/>
      </w:r>
      <w:r w:rsidR="006C545C">
        <w:rPr>
          <w:noProof/>
        </w:rPr>
        <w:t>25</w:t>
      </w:r>
      <w:r>
        <w:rPr>
          <w:noProof/>
        </w:rPr>
        <w:fldChar w:fldCharType="end"/>
      </w:r>
    </w:p>
    <w:p w:rsidR="002263BB" w:rsidRPr="002B3B21" w:rsidRDefault="002263BB" w:rsidP="002263BB">
      <w:pPr>
        <w:pStyle w:val="TOC3"/>
        <w:spacing w:before="90"/>
        <w:rPr>
          <w:rFonts w:ascii="Calibri" w:hAnsi="Calibri"/>
          <w:noProof/>
          <w:szCs w:val="22"/>
          <w:lang w:eastAsia="en-NZ"/>
        </w:rPr>
      </w:pPr>
      <w:r>
        <w:rPr>
          <w:noProof/>
        </w:rPr>
        <w:t>Table 5:</w:t>
      </w:r>
      <w:r>
        <w:rPr>
          <w:noProof/>
        </w:rPr>
        <w:tab/>
        <w:t>Health expectancy and life expectancy at birth, 1990–2013</w:t>
      </w:r>
      <w:r>
        <w:rPr>
          <w:noProof/>
        </w:rPr>
        <w:tab/>
      </w:r>
      <w:r>
        <w:rPr>
          <w:noProof/>
        </w:rPr>
        <w:fldChar w:fldCharType="begin"/>
      </w:r>
      <w:r>
        <w:rPr>
          <w:noProof/>
        </w:rPr>
        <w:instrText xml:space="preserve"> PAGEREF _Toc455733251 \h </w:instrText>
      </w:r>
      <w:r>
        <w:rPr>
          <w:noProof/>
        </w:rPr>
      </w:r>
      <w:r>
        <w:rPr>
          <w:noProof/>
        </w:rPr>
        <w:fldChar w:fldCharType="separate"/>
      </w:r>
      <w:r w:rsidR="006C545C">
        <w:rPr>
          <w:noProof/>
        </w:rPr>
        <w:t>33</w:t>
      </w:r>
      <w:r>
        <w:rPr>
          <w:noProof/>
        </w:rPr>
        <w:fldChar w:fldCharType="end"/>
      </w:r>
    </w:p>
    <w:p w:rsidR="002263BB" w:rsidRPr="002B3B21" w:rsidRDefault="002263BB" w:rsidP="002263BB">
      <w:pPr>
        <w:pStyle w:val="TOC3"/>
        <w:spacing w:before="90"/>
        <w:rPr>
          <w:rFonts w:ascii="Calibri" w:hAnsi="Calibri"/>
          <w:noProof/>
          <w:szCs w:val="22"/>
          <w:lang w:eastAsia="en-NZ"/>
        </w:rPr>
      </w:pPr>
      <w:r>
        <w:rPr>
          <w:noProof/>
        </w:rPr>
        <w:t>Table 6:</w:t>
      </w:r>
      <w:r>
        <w:rPr>
          <w:noProof/>
        </w:rPr>
        <w:tab/>
        <w:t>Health expectancy and life expectancy at birth, selected countries, 1990 and 2013</w:t>
      </w:r>
      <w:r>
        <w:rPr>
          <w:noProof/>
        </w:rPr>
        <w:tab/>
      </w:r>
      <w:r>
        <w:rPr>
          <w:noProof/>
        </w:rPr>
        <w:fldChar w:fldCharType="begin"/>
      </w:r>
      <w:r>
        <w:rPr>
          <w:noProof/>
        </w:rPr>
        <w:instrText xml:space="preserve"> PAGEREF _Toc455733252 \h </w:instrText>
      </w:r>
      <w:r>
        <w:rPr>
          <w:noProof/>
        </w:rPr>
      </w:r>
      <w:r>
        <w:rPr>
          <w:noProof/>
        </w:rPr>
        <w:fldChar w:fldCharType="separate"/>
      </w:r>
      <w:r w:rsidR="006C545C">
        <w:rPr>
          <w:noProof/>
        </w:rPr>
        <w:t>40</w:t>
      </w:r>
      <w:r>
        <w:rPr>
          <w:noProof/>
        </w:rPr>
        <w:fldChar w:fldCharType="end"/>
      </w:r>
    </w:p>
    <w:p w:rsidR="002263BB" w:rsidRPr="002B3B21" w:rsidRDefault="002263BB" w:rsidP="002263BB">
      <w:pPr>
        <w:pStyle w:val="TOC3"/>
        <w:spacing w:before="90"/>
        <w:rPr>
          <w:rFonts w:ascii="Calibri" w:hAnsi="Calibri"/>
          <w:noProof/>
          <w:szCs w:val="22"/>
          <w:lang w:eastAsia="en-NZ"/>
        </w:rPr>
      </w:pPr>
      <w:r>
        <w:rPr>
          <w:noProof/>
        </w:rPr>
        <w:t>Table 7:</w:t>
      </w:r>
      <w:r>
        <w:rPr>
          <w:noProof/>
        </w:rPr>
        <w:tab/>
        <w:t>Absolute and relative compression of morbidity, selected countries,</w:t>
      </w:r>
      <w:r w:rsidR="00201CE5">
        <w:rPr>
          <w:noProof/>
        </w:rPr>
        <w:br/>
      </w:r>
      <w:r>
        <w:rPr>
          <w:noProof/>
        </w:rPr>
        <w:t>1990–2013</w:t>
      </w:r>
      <w:r>
        <w:rPr>
          <w:noProof/>
        </w:rPr>
        <w:tab/>
      </w:r>
      <w:r>
        <w:rPr>
          <w:noProof/>
        </w:rPr>
        <w:fldChar w:fldCharType="begin"/>
      </w:r>
      <w:r>
        <w:rPr>
          <w:noProof/>
        </w:rPr>
        <w:instrText xml:space="preserve"> PAGEREF _Toc455733253 \h </w:instrText>
      </w:r>
      <w:r>
        <w:rPr>
          <w:noProof/>
        </w:rPr>
      </w:r>
      <w:r>
        <w:rPr>
          <w:noProof/>
        </w:rPr>
        <w:fldChar w:fldCharType="separate"/>
      </w:r>
      <w:r w:rsidR="006C545C">
        <w:rPr>
          <w:noProof/>
        </w:rPr>
        <w:t>40</w:t>
      </w:r>
      <w:r>
        <w:rPr>
          <w:noProof/>
        </w:rPr>
        <w:fldChar w:fldCharType="end"/>
      </w:r>
    </w:p>
    <w:p w:rsidR="002263BB" w:rsidRPr="002B3B21" w:rsidRDefault="002263BB" w:rsidP="002263BB">
      <w:pPr>
        <w:pStyle w:val="TOC3"/>
        <w:spacing w:before="90"/>
        <w:rPr>
          <w:rFonts w:ascii="Calibri" w:hAnsi="Calibri"/>
          <w:noProof/>
          <w:szCs w:val="22"/>
          <w:lang w:eastAsia="en-NZ"/>
        </w:rPr>
      </w:pPr>
      <w:r>
        <w:rPr>
          <w:noProof/>
        </w:rPr>
        <w:t>Table A1:</w:t>
      </w:r>
      <w:r>
        <w:rPr>
          <w:noProof/>
        </w:rPr>
        <w:tab/>
        <w:t>Administrative data used in GBD 2013</w:t>
      </w:r>
      <w:r>
        <w:rPr>
          <w:noProof/>
        </w:rPr>
        <w:tab/>
      </w:r>
      <w:r>
        <w:rPr>
          <w:noProof/>
        </w:rPr>
        <w:fldChar w:fldCharType="begin"/>
      </w:r>
      <w:r>
        <w:rPr>
          <w:noProof/>
        </w:rPr>
        <w:instrText xml:space="preserve"> PAGEREF _Toc455733254 \h </w:instrText>
      </w:r>
      <w:r>
        <w:rPr>
          <w:noProof/>
        </w:rPr>
      </w:r>
      <w:r>
        <w:rPr>
          <w:noProof/>
        </w:rPr>
        <w:fldChar w:fldCharType="separate"/>
      </w:r>
      <w:r w:rsidR="006C545C">
        <w:rPr>
          <w:noProof/>
        </w:rPr>
        <w:t>51</w:t>
      </w:r>
      <w:r>
        <w:rPr>
          <w:noProof/>
        </w:rPr>
        <w:fldChar w:fldCharType="end"/>
      </w:r>
    </w:p>
    <w:p w:rsidR="002263BB" w:rsidRPr="002B3B21" w:rsidRDefault="002263BB" w:rsidP="002263BB">
      <w:pPr>
        <w:pStyle w:val="TOC3"/>
        <w:spacing w:before="90"/>
        <w:rPr>
          <w:rFonts w:ascii="Calibri" w:hAnsi="Calibri"/>
          <w:noProof/>
          <w:szCs w:val="22"/>
          <w:lang w:eastAsia="en-NZ"/>
        </w:rPr>
      </w:pPr>
      <w:r>
        <w:rPr>
          <w:noProof/>
        </w:rPr>
        <w:t>Table A2:</w:t>
      </w:r>
      <w:r>
        <w:rPr>
          <w:noProof/>
        </w:rPr>
        <w:tab/>
        <w:t>Survey data used in GBD 2013</w:t>
      </w:r>
      <w:r>
        <w:rPr>
          <w:noProof/>
        </w:rPr>
        <w:tab/>
      </w:r>
      <w:r>
        <w:rPr>
          <w:noProof/>
        </w:rPr>
        <w:fldChar w:fldCharType="begin"/>
      </w:r>
      <w:r>
        <w:rPr>
          <w:noProof/>
        </w:rPr>
        <w:instrText xml:space="preserve"> PAGEREF _Toc455733255 \h </w:instrText>
      </w:r>
      <w:r>
        <w:rPr>
          <w:noProof/>
        </w:rPr>
      </w:r>
      <w:r>
        <w:rPr>
          <w:noProof/>
        </w:rPr>
        <w:fldChar w:fldCharType="separate"/>
      </w:r>
      <w:r w:rsidR="006C545C">
        <w:rPr>
          <w:noProof/>
        </w:rPr>
        <w:t>51</w:t>
      </w:r>
      <w:r>
        <w:rPr>
          <w:noProof/>
        </w:rPr>
        <w:fldChar w:fldCharType="end"/>
      </w:r>
    </w:p>
    <w:p w:rsidR="002263BB" w:rsidRPr="002B3B21" w:rsidRDefault="002263BB" w:rsidP="002263BB">
      <w:pPr>
        <w:pStyle w:val="TOC3"/>
        <w:spacing w:before="90"/>
        <w:rPr>
          <w:rFonts w:ascii="Calibri" w:hAnsi="Calibri"/>
          <w:noProof/>
          <w:szCs w:val="22"/>
          <w:lang w:eastAsia="en-NZ"/>
        </w:rPr>
      </w:pPr>
      <w:r>
        <w:rPr>
          <w:noProof/>
        </w:rPr>
        <w:t>Table A3:</w:t>
      </w:r>
      <w:r>
        <w:rPr>
          <w:noProof/>
        </w:rPr>
        <w:tab/>
        <w:t>Administrative data not yet used extensively for GBD</w:t>
      </w:r>
      <w:r>
        <w:rPr>
          <w:noProof/>
        </w:rPr>
        <w:tab/>
      </w:r>
      <w:r>
        <w:rPr>
          <w:noProof/>
        </w:rPr>
        <w:fldChar w:fldCharType="begin"/>
      </w:r>
      <w:r>
        <w:rPr>
          <w:noProof/>
        </w:rPr>
        <w:instrText xml:space="preserve"> PAGEREF _Toc455733256 \h </w:instrText>
      </w:r>
      <w:r>
        <w:rPr>
          <w:noProof/>
        </w:rPr>
      </w:r>
      <w:r>
        <w:rPr>
          <w:noProof/>
        </w:rPr>
        <w:fldChar w:fldCharType="separate"/>
      </w:r>
      <w:r w:rsidR="006C545C">
        <w:rPr>
          <w:noProof/>
        </w:rPr>
        <w:t>52</w:t>
      </w:r>
      <w:r>
        <w:rPr>
          <w:noProof/>
        </w:rPr>
        <w:fldChar w:fldCharType="end"/>
      </w:r>
    </w:p>
    <w:p w:rsidR="002263BB" w:rsidRPr="002B3B21" w:rsidRDefault="002263BB" w:rsidP="002263BB">
      <w:pPr>
        <w:pStyle w:val="TOC3"/>
        <w:spacing w:before="90"/>
        <w:rPr>
          <w:rFonts w:ascii="Calibri" w:hAnsi="Calibri"/>
          <w:noProof/>
          <w:szCs w:val="22"/>
          <w:lang w:eastAsia="en-NZ"/>
        </w:rPr>
      </w:pPr>
      <w:r>
        <w:rPr>
          <w:noProof/>
        </w:rPr>
        <w:t>Table A4:</w:t>
      </w:r>
      <w:r>
        <w:rPr>
          <w:noProof/>
        </w:rPr>
        <w:tab/>
        <w:t>Survey data not yet used extensively for GBD</w:t>
      </w:r>
      <w:r>
        <w:rPr>
          <w:noProof/>
        </w:rPr>
        <w:tab/>
      </w:r>
      <w:r>
        <w:rPr>
          <w:noProof/>
        </w:rPr>
        <w:fldChar w:fldCharType="begin"/>
      </w:r>
      <w:r>
        <w:rPr>
          <w:noProof/>
        </w:rPr>
        <w:instrText xml:space="preserve"> PAGEREF _Toc455733257 \h </w:instrText>
      </w:r>
      <w:r>
        <w:rPr>
          <w:noProof/>
        </w:rPr>
      </w:r>
      <w:r>
        <w:rPr>
          <w:noProof/>
        </w:rPr>
        <w:fldChar w:fldCharType="separate"/>
      </w:r>
      <w:r w:rsidR="006C545C">
        <w:rPr>
          <w:noProof/>
        </w:rPr>
        <w:t>52</w:t>
      </w:r>
      <w:r>
        <w:rPr>
          <w:noProof/>
        </w:rPr>
        <w:fldChar w:fldCharType="end"/>
      </w:r>
    </w:p>
    <w:p w:rsidR="002263BB" w:rsidRPr="002B3B21" w:rsidRDefault="002263BB" w:rsidP="002263BB">
      <w:pPr>
        <w:pStyle w:val="TOC3"/>
        <w:spacing w:before="90"/>
        <w:rPr>
          <w:rFonts w:ascii="Calibri" w:hAnsi="Calibri"/>
          <w:noProof/>
          <w:szCs w:val="22"/>
          <w:lang w:eastAsia="en-NZ"/>
        </w:rPr>
      </w:pPr>
      <w:r>
        <w:rPr>
          <w:noProof/>
        </w:rPr>
        <w:t>Table A5:</w:t>
      </w:r>
      <w:r>
        <w:rPr>
          <w:noProof/>
        </w:rPr>
        <w:tab/>
        <w:t>Other data sources used to varying extents for GBD 2013</w:t>
      </w:r>
      <w:r>
        <w:rPr>
          <w:noProof/>
        </w:rPr>
        <w:tab/>
      </w:r>
      <w:r>
        <w:rPr>
          <w:noProof/>
        </w:rPr>
        <w:fldChar w:fldCharType="begin"/>
      </w:r>
      <w:r>
        <w:rPr>
          <w:noProof/>
        </w:rPr>
        <w:instrText xml:space="preserve"> PAGEREF _Toc455733258 \h </w:instrText>
      </w:r>
      <w:r>
        <w:rPr>
          <w:noProof/>
        </w:rPr>
      </w:r>
      <w:r>
        <w:rPr>
          <w:noProof/>
        </w:rPr>
        <w:fldChar w:fldCharType="separate"/>
      </w:r>
      <w:r w:rsidR="006C545C">
        <w:rPr>
          <w:noProof/>
        </w:rPr>
        <w:t>53</w:t>
      </w:r>
      <w:r>
        <w:rPr>
          <w:noProof/>
        </w:rPr>
        <w:fldChar w:fldCharType="end"/>
      </w:r>
    </w:p>
    <w:p w:rsidR="00A363BC" w:rsidRDefault="00C86248" w:rsidP="00A363BC">
      <w:r>
        <w:fldChar w:fldCharType="end"/>
      </w:r>
    </w:p>
    <w:p w:rsidR="003A5FEA" w:rsidRDefault="003A5FEA" w:rsidP="00A363BC">
      <w:pPr>
        <w:pStyle w:val="TOC1"/>
        <w:keepNext/>
      </w:pPr>
      <w:r>
        <w:lastRenderedPageBreak/>
        <w:t xml:space="preserve">List of </w:t>
      </w:r>
      <w:r w:rsidR="00336A9A">
        <w:t>f</w:t>
      </w:r>
      <w:r>
        <w:t>igures</w:t>
      </w:r>
    </w:p>
    <w:p w:rsidR="00A363BC"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A363BC">
        <w:rPr>
          <w:noProof/>
        </w:rPr>
        <w:t>Figure 1:</w:t>
      </w:r>
      <w:r w:rsidR="00A363BC">
        <w:rPr>
          <w:noProof/>
        </w:rPr>
        <w:tab/>
        <w:t>Share of total DALYs, by lifecycle stage (%), 2013</w:t>
      </w:r>
      <w:r w:rsidR="00A363BC">
        <w:rPr>
          <w:noProof/>
        </w:rPr>
        <w:tab/>
      </w:r>
      <w:r w:rsidR="00A363BC">
        <w:rPr>
          <w:noProof/>
        </w:rPr>
        <w:fldChar w:fldCharType="begin"/>
      </w:r>
      <w:r w:rsidR="00A363BC">
        <w:rPr>
          <w:noProof/>
        </w:rPr>
        <w:instrText xml:space="preserve"> PAGEREF _Toc456613614 \h </w:instrText>
      </w:r>
      <w:r w:rsidR="00A363BC">
        <w:rPr>
          <w:noProof/>
        </w:rPr>
      </w:r>
      <w:r w:rsidR="00A363BC">
        <w:rPr>
          <w:noProof/>
        </w:rPr>
        <w:fldChar w:fldCharType="separate"/>
      </w:r>
      <w:r w:rsidR="006C545C">
        <w:rPr>
          <w:noProof/>
        </w:rPr>
        <w:t>7</w:t>
      </w:r>
      <w:r w:rsidR="00A363BC">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2:</w:t>
      </w:r>
      <w:r>
        <w:rPr>
          <w:noProof/>
        </w:rPr>
        <w:tab/>
        <w:t>Age-specific DALY rates per 1000, 2013</w:t>
      </w:r>
      <w:r>
        <w:rPr>
          <w:noProof/>
        </w:rPr>
        <w:tab/>
      </w:r>
      <w:r>
        <w:rPr>
          <w:noProof/>
        </w:rPr>
        <w:fldChar w:fldCharType="begin"/>
      </w:r>
      <w:r>
        <w:rPr>
          <w:noProof/>
        </w:rPr>
        <w:instrText xml:space="preserve"> PAGEREF _Toc456613615 \h </w:instrText>
      </w:r>
      <w:r>
        <w:rPr>
          <w:noProof/>
        </w:rPr>
      </w:r>
      <w:r>
        <w:rPr>
          <w:noProof/>
        </w:rPr>
        <w:fldChar w:fldCharType="separate"/>
      </w:r>
      <w:r w:rsidR="006C545C">
        <w:rPr>
          <w:noProof/>
        </w:rPr>
        <w:t>8</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3:</w:t>
      </w:r>
      <w:r>
        <w:rPr>
          <w:noProof/>
        </w:rPr>
        <w:tab/>
        <w:t>Total DALYs, 1990–2013</w:t>
      </w:r>
      <w:r>
        <w:rPr>
          <w:noProof/>
        </w:rPr>
        <w:tab/>
      </w:r>
      <w:r>
        <w:rPr>
          <w:noProof/>
        </w:rPr>
        <w:fldChar w:fldCharType="begin"/>
      </w:r>
      <w:r>
        <w:rPr>
          <w:noProof/>
        </w:rPr>
        <w:instrText xml:space="preserve"> PAGEREF _Toc456613616 \h </w:instrText>
      </w:r>
      <w:r>
        <w:rPr>
          <w:noProof/>
        </w:rPr>
      </w:r>
      <w:r>
        <w:rPr>
          <w:noProof/>
        </w:rPr>
        <w:fldChar w:fldCharType="separate"/>
      </w:r>
      <w:r w:rsidR="006C545C">
        <w:rPr>
          <w:noProof/>
        </w:rPr>
        <w:t>8</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4:</w:t>
      </w:r>
      <w:r>
        <w:rPr>
          <w:noProof/>
        </w:rPr>
        <w:tab/>
        <w:t>Age-standardised total DALY rate per 1000, 1990–2015</w:t>
      </w:r>
      <w:r>
        <w:rPr>
          <w:noProof/>
        </w:rPr>
        <w:tab/>
      </w:r>
      <w:r>
        <w:rPr>
          <w:noProof/>
        </w:rPr>
        <w:fldChar w:fldCharType="begin"/>
      </w:r>
      <w:r>
        <w:rPr>
          <w:noProof/>
        </w:rPr>
        <w:instrText xml:space="preserve"> PAGEREF _Toc456613617 \h </w:instrText>
      </w:r>
      <w:r>
        <w:rPr>
          <w:noProof/>
        </w:rPr>
      </w:r>
      <w:r>
        <w:rPr>
          <w:noProof/>
        </w:rPr>
        <w:fldChar w:fldCharType="separate"/>
      </w:r>
      <w:r w:rsidR="006C545C">
        <w:rPr>
          <w:noProof/>
        </w:rPr>
        <w:t>9</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5:</w:t>
      </w:r>
      <w:r>
        <w:rPr>
          <w:noProof/>
        </w:rPr>
        <w:tab/>
        <w:t>Fall in DALY rates, by lifecycle stage (%), 1990–2013</w:t>
      </w:r>
      <w:r>
        <w:rPr>
          <w:noProof/>
        </w:rPr>
        <w:tab/>
      </w:r>
      <w:r>
        <w:rPr>
          <w:noProof/>
        </w:rPr>
        <w:fldChar w:fldCharType="begin"/>
      </w:r>
      <w:r>
        <w:rPr>
          <w:noProof/>
        </w:rPr>
        <w:instrText xml:space="preserve"> PAGEREF _Toc456613618 \h </w:instrText>
      </w:r>
      <w:r>
        <w:rPr>
          <w:noProof/>
        </w:rPr>
      </w:r>
      <w:r>
        <w:rPr>
          <w:noProof/>
        </w:rPr>
        <w:fldChar w:fldCharType="separate"/>
      </w:r>
      <w:r w:rsidR="006C545C">
        <w:rPr>
          <w:noProof/>
        </w:rPr>
        <w:t>9</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6:</w:t>
      </w:r>
      <w:r>
        <w:rPr>
          <w:noProof/>
        </w:rPr>
        <w:tab/>
        <w:t>Contribution of YLD to health loss, whole population (% total DALYs),</w:t>
      </w:r>
      <w:r>
        <w:rPr>
          <w:noProof/>
        </w:rPr>
        <w:br/>
        <w:t>1990–2013</w:t>
      </w:r>
      <w:r>
        <w:rPr>
          <w:noProof/>
        </w:rPr>
        <w:tab/>
      </w:r>
      <w:r>
        <w:rPr>
          <w:noProof/>
        </w:rPr>
        <w:fldChar w:fldCharType="begin"/>
      </w:r>
      <w:r>
        <w:rPr>
          <w:noProof/>
        </w:rPr>
        <w:instrText xml:space="preserve"> PAGEREF _Toc456613619 \h </w:instrText>
      </w:r>
      <w:r>
        <w:rPr>
          <w:noProof/>
        </w:rPr>
      </w:r>
      <w:r>
        <w:rPr>
          <w:noProof/>
        </w:rPr>
        <w:fldChar w:fldCharType="separate"/>
      </w:r>
      <w:r w:rsidR="006C545C">
        <w:rPr>
          <w:noProof/>
        </w:rPr>
        <w:t>10</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7:</w:t>
      </w:r>
      <w:r>
        <w:rPr>
          <w:noProof/>
        </w:rPr>
        <w:tab/>
        <w:t>All-cause YLL and YLD age-standardised rates per 1000, whole population, 1990–2013</w:t>
      </w:r>
      <w:r>
        <w:rPr>
          <w:noProof/>
        </w:rPr>
        <w:tab/>
      </w:r>
      <w:r>
        <w:rPr>
          <w:noProof/>
        </w:rPr>
        <w:fldChar w:fldCharType="begin"/>
      </w:r>
      <w:r>
        <w:rPr>
          <w:noProof/>
        </w:rPr>
        <w:instrText xml:space="preserve"> PAGEREF _Toc456613620 \h </w:instrText>
      </w:r>
      <w:r>
        <w:rPr>
          <w:noProof/>
        </w:rPr>
      </w:r>
      <w:r>
        <w:rPr>
          <w:noProof/>
        </w:rPr>
        <w:fldChar w:fldCharType="separate"/>
      </w:r>
      <w:r w:rsidR="006C545C">
        <w:rPr>
          <w:noProof/>
        </w:rPr>
        <w:t>10</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8:</w:t>
      </w:r>
      <w:r>
        <w:rPr>
          <w:noProof/>
        </w:rPr>
        <w:tab/>
        <w:t>Contribution of condition groups to health loss (% total DALYs), 2013</w:t>
      </w:r>
      <w:r>
        <w:rPr>
          <w:noProof/>
        </w:rPr>
        <w:tab/>
      </w:r>
      <w:r>
        <w:rPr>
          <w:noProof/>
        </w:rPr>
        <w:fldChar w:fldCharType="begin"/>
      </w:r>
      <w:r>
        <w:rPr>
          <w:noProof/>
        </w:rPr>
        <w:instrText xml:space="preserve"> PAGEREF _Toc456613621 \h </w:instrText>
      </w:r>
      <w:r>
        <w:rPr>
          <w:noProof/>
        </w:rPr>
      </w:r>
      <w:r>
        <w:rPr>
          <w:noProof/>
        </w:rPr>
        <w:fldChar w:fldCharType="separate"/>
      </w:r>
      <w:r w:rsidR="006C545C">
        <w:rPr>
          <w:noProof/>
        </w:rPr>
        <w:t>12</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9:</w:t>
      </w:r>
      <w:r>
        <w:rPr>
          <w:noProof/>
        </w:rPr>
        <w:tab/>
        <w:t>Age-standardised DALY rate, condition groups, 1990–2015</w:t>
      </w:r>
      <w:r>
        <w:rPr>
          <w:noProof/>
        </w:rPr>
        <w:tab/>
      </w:r>
      <w:r>
        <w:rPr>
          <w:noProof/>
        </w:rPr>
        <w:fldChar w:fldCharType="begin"/>
      </w:r>
      <w:r>
        <w:rPr>
          <w:noProof/>
        </w:rPr>
        <w:instrText xml:space="preserve"> PAGEREF _Toc456613622 \h </w:instrText>
      </w:r>
      <w:r>
        <w:rPr>
          <w:noProof/>
        </w:rPr>
      </w:r>
      <w:r>
        <w:rPr>
          <w:noProof/>
        </w:rPr>
        <w:fldChar w:fldCharType="separate"/>
      </w:r>
      <w:r w:rsidR="006C545C">
        <w:rPr>
          <w:noProof/>
        </w:rPr>
        <w:t>14</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10:</w:t>
      </w:r>
      <w:r>
        <w:rPr>
          <w:noProof/>
        </w:rPr>
        <w:tab/>
        <w:t>Contribution of pre-transitional disorders to health loss (% total DALYs), 1990–2015</w:t>
      </w:r>
      <w:r>
        <w:rPr>
          <w:noProof/>
        </w:rPr>
        <w:tab/>
      </w:r>
      <w:r>
        <w:rPr>
          <w:noProof/>
        </w:rPr>
        <w:fldChar w:fldCharType="begin"/>
      </w:r>
      <w:r>
        <w:rPr>
          <w:noProof/>
        </w:rPr>
        <w:instrText xml:space="preserve"> PAGEREF _Toc456613623 \h </w:instrText>
      </w:r>
      <w:r>
        <w:rPr>
          <w:noProof/>
        </w:rPr>
      </w:r>
      <w:r>
        <w:rPr>
          <w:noProof/>
        </w:rPr>
        <w:fldChar w:fldCharType="separate"/>
      </w:r>
      <w:r w:rsidR="006C545C">
        <w:rPr>
          <w:noProof/>
        </w:rPr>
        <w:t>15</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11:</w:t>
      </w:r>
      <w:r>
        <w:rPr>
          <w:noProof/>
        </w:rPr>
        <w:tab/>
        <w:t>Contribution of high-level cause groups to health loss (% total DALYs), 1990 and 2013</w:t>
      </w:r>
      <w:r>
        <w:rPr>
          <w:noProof/>
        </w:rPr>
        <w:tab/>
      </w:r>
      <w:r>
        <w:rPr>
          <w:noProof/>
        </w:rPr>
        <w:fldChar w:fldCharType="begin"/>
      </w:r>
      <w:r>
        <w:rPr>
          <w:noProof/>
        </w:rPr>
        <w:instrText xml:space="preserve"> PAGEREF _Toc456613624 \h </w:instrText>
      </w:r>
      <w:r>
        <w:rPr>
          <w:noProof/>
        </w:rPr>
      </w:r>
      <w:r>
        <w:rPr>
          <w:noProof/>
        </w:rPr>
        <w:fldChar w:fldCharType="separate"/>
      </w:r>
      <w:r w:rsidR="006C545C">
        <w:rPr>
          <w:noProof/>
        </w:rPr>
        <w:t>16</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12:</w:t>
      </w:r>
      <w:r>
        <w:rPr>
          <w:noProof/>
        </w:rPr>
        <w:tab/>
        <w:t>Contribution of leading major specific conditions to health loss (% total DALYs), by gender, 2013</w:t>
      </w:r>
      <w:r>
        <w:rPr>
          <w:noProof/>
        </w:rPr>
        <w:tab/>
      </w:r>
      <w:r>
        <w:rPr>
          <w:noProof/>
        </w:rPr>
        <w:fldChar w:fldCharType="begin"/>
      </w:r>
      <w:r>
        <w:rPr>
          <w:noProof/>
        </w:rPr>
        <w:instrText xml:space="preserve"> PAGEREF _Toc456613625 \h </w:instrText>
      </w:r>
      <w:r>
        <w:rPr>
          <w:noProof/>
        </w:rPr>
      </w:r>
      <w:r>
        <w:rPr>
          <w:noProof/>
        </w:rPr>
        <w:fldChar w:fldCharType="separate"/>
      </w:r>
      <w:r w:rsidR="006C545C">
        <w:rPr>
          <w:noProof/>
        </w:rPr>
        <w:t>18</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13:</w:t>
      </w:r>
      <w:r>
        <w:rPr>
          <w:noProof/>
        </w:rPr>
        <w:tab/>
        <w:t>Contribution of ‘top 20’ leading major specific conditions to health loss (% total DALYs), whole of population, by gender, 1990 and 2013</w:t>
      </w:r>
      <w:r>
        <w:rPr>
          <w:noProof/>
        </w:rPr>
        <w:tab/>
      </w:r>
      <w:r>
        <w:rPr>
          <w:noProof/>
        </w:rPr>
        <w:fldChar w:fldCharType="begin"/>
      </w:r>
      <w:r>
        <w:rPr>
          <w:noProof/>
        </w:rPr>
        <w:instrText xml:space="preserve"> PAGEREF _Toc456613626 \h </w:instrText>
      </w:r>
      <w:r>
        <w:rPr>
          <w:noProof/>
        </w:rPr>
      </w:r>
      <w:r>
        <w:rPr>
          <w:noProof/>
        </w:rPr>
        <w:fldChar w:fldCharType="separate"/>
      </w:r>
      <w:r w:rsidR="006C545C">
        <w:rPr>
          <w:noProof/>
        </w:rPr>
        <w:t>19</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14:</w:t>
      </w:r>
      <w:r>
        <w:rPr>
          <w:noProof/>
        </w:rPr>
        <w:tab/>
        <w:t>Age-standardised DALY rate per 1000, selected conditions, 1990–2015</w:t>
      </w:r>
      <w:r>
        <w:rPr>
          <w:noProof/>
        </w:rPr>
        <w:tab/>
      </w:r>
      <w:r>
        <w:rPr>
          <w:noProof/>
        </w:rPr>
        <w:fldChar w:fldCharType="begin"/>
      </w:r>
      <w:r>
        <w:rPr>
          <w:noProof/>
        </w:rPr>
        <w:instrText xml:space="preserve"> PAGEREF _Toc456613627 \h </w:instrText>
      </w:r>
      <w:r>
        <w:rPr>
          <w:noProof/>
        </w:rPr>
      </w:r>
      <w:r>
        <w:rPr>
          <w:noProof/>
        </w:rPr>
        <w:fldChar w:fldCharType="separate"/>
      </w:r>
      <w:r w:rsidR="006C545C">
        <w:rPr>
          <w:noProof/>
        </w:rPr>
        <w:t>22</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15:</w:t>
      </w:r>
      <w:r>
        <w:rPr>
          <w:noProof/>
        </w:rPr>
        <w:tab/>
        <w:t>Age-standardised DALY rate per 1000, selected cancers, 1990–2015</w:t>
      </w:r>
      <w:r>
        <w:rPr>
          <w:noProof/>
        </w:rPr>
        <w:tab/>
      </w:r>
      <w:r>
        <w:rPr>
          <w:noProof/>
        </w:rPr>
        <w:fldChar w:fldCharType="begin"/>
      </w:r>
      <w:r>
        <w:rPr>
          <w:noProof/>
        </w:rPr>
        <w:instrText xml:space="preserve"> PAGEREF _Toc456613628 \h </w:instrText>
      </w:r>
      <w:r>
        <w:rPr>
          <w:noProof/>
        </w:rPr>
      </w:r>
      <w:r>
        <w:rPr>
          <w:noProof/>
        </w:rPr>
        <w:fldChar w:fldCharType="separate"/>
      </w:r>
      <w:r w:rsidR="006C545C">
        <w:rPr>
          <w:noProof/>
        </w:rPr>
        <w:t>23</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16:</w:t>
      </w:r>
      <w:r>
        <w:rPr>
          <w:noProof/>
        </w:rPr>
        <w:tab/>
        <w:t>Age-standardised DALY rate per 10,000, mesothelioma, 1990–2015</w:t>
      </w:r>
      <w:r>
        <w:rPr>
          <w:noProof/>
        </w:rPr>
        <w:tab/>
      </w:r>
      <w:r>
        <w:rPr>
          <w:noProof/>
        </w:rPr>
        <w:fldChar w:fldCharType="begin"/>
      </w:r>
      <w:r>
        <w:rPr>
          <w:noProof/>
        </w:rPr>
        <w:instrText xml:space="preserve"> PAGEREF _Toc456613629 \h </w:instrText>
      </w:r>
      <w:r>
        <w:rPr>
          <w:noProof/>
        </w:rPr>
      </w:r>
      <w:r>
        <w:rPr>
          <w:noProof/>
        </w:rPr>
        <w:fldChar w:fldCharType="separate"/>
      </w:r>
      <w:r w:rsidR="006C545C">
        <w:rPr>
          <w:noProof/>
        </w:rPr>
        <w:t>24</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17:</w:t>
      </w:r>
      <w:r>
        <w:rPr>
          <w:noProof/>
        </w:rPr>
        <w:tab/>
        <w:t>Health losses caused by risk clusters (% total DALYs), 2013</w:t>
      </w:r>
      <w:r>
        <w:rPr>
          <w:noProof/>
        </w:rPr>
        <w:tab/>
      </w:r>
      <w:r>
        <w:rPr>
          <w:noProof/>
        </w:rPr>
        <w:fldChar w:fldCharType="begin"/>
      </w:r>
      <w:r>
        <w:rPr>
          <w:noProof/>
        </w:rPr>
        <w:instrText xml:space="preserve"> PAGEREF _Toc456613630 \h </w:instrText>
      </w:r>
      <w:r>
        <w:rPr>
          <w:noProof/>
        </w:rPr>
      </w:r>
      <w:r>
        <w:rPr>
          <w:noProof/>
        </w:rPr>
        <w:fldChar w:fldCharType="separate"/>
      </w:r>
      <w:r w:rsidR="006C545C">
        <w:rPr>
          <w:noProof/>
        </w:rPr>
        <w:t>26</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18:</w:t>
      </w:r>
      <w:r>
        <w:rPr>
          <w:noProof/>
        </w:rPr>
        <w:tab/>
        <w:t>Age-standardised DALY rate per 1000 attributable to risk clusters,</w:t>
      </w:r>
      <w:r>
        <w:rPr>
          <w:noProof/>
        </w:rPr>
        <w:br/>
        <w:t>1990–2015</w:t>
      </w:r>
      <w:r>
        <w:rPr>
          <w:noProof/>
        </w:rPr>
        <w:tab/>
      </w:r>
      <w:r>
        <w:rPr>
          <w:noProof/>
        </w:rPr>
        <w:fldChar w:fldCharType="begin"/>
      </w:r>
      <w:r>
        <w:rPr>
          <w:noProof/>
        </w:rPr>
        <w:instrText xml:space="preserve"> PAGEREF _Toc456613631 \h </w:instrText>
      </w:r>
      <w:r>
        <w:rPr>
          <w:noProof/>
        </w:rPr>
      </w:r>
      <w:r>
        <w:rPr>
          <w:noProof/>
        </w:rPr>
        <w:fldChar w:fldCharType="separate"/>
      </w:r>
      <w:r w:rsidR="006C545C">
        <w:rPr>
          <w:noProof/>
        </w:rPr>
        <w:t>27</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19:</w:t>
      </w:r>
      <w:r>
        <w:rPr>
          <w:noProof/>
        </w:rPr>
        <w:tab/>
        <w:t>Health losses caused by selected risk factors (% total DALYs), 2013</w:t>
      </w:r>
      <w:r>
        <w:rPr>
          <w:noProof/>
        </w:rPr>
        <w:tab/>
      </w:r>
      <w:r>
        <w:rPr>
          <w:noProof/>
        </w:rPr>
        <w:fldChar w:fldCharType="begin"/>
      </w:r>
      <w:r>
        <w:rPr>
          <w:noProof/>
        </w:rPr>
        <w:instrText xml:space="preserve"> PAGEREF _Toc456613632 \h </w:instrText>
      </w:r>
      <w:r>
        <w:rPr>
          <w:noProof/>
        </w:rPr>
      </w:r>
      <w:r>
        <w:rPr>
          <w:noProof/>
        </w:rPr>
        <w:fldChar w:fldCharType="separate"/>
      </w:r>
      <w:r w:rsidR="006C545C">
        <w:rPr>
          <w:noProof/>
        </w:rPr>
        <w:t>29</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20:</w:t>
      </w:r>
      <w:r>
        <w:rPr>
          <w:noProof/>
        </w:rPr>
        <w:tab/>
        <w:t>Age-standardised attributable DALY rates, selected risk factors, 1990–2015</w:t>
      </w:r>
      <w:r>
        <w:rPr>
          <w:noProof/>
        </w:rPr>
        <w:tab/>
      </w:r>
      <w:r>
        <w:rPr>
          <w:noProof/>
        </w:rPr>
        <w:fldChar w:fldCharType="begin"/>
      </w:r>
      <w:r>
        <w:rPr>
          <w:noProof/>
        </w:rPr>
        <w:instrText xml:space="preserve"> PAGEREF _Toc456613633 \h </w:instrText>
      </w:r>
      <w:r>
        <w:rPr>
          <w:noProof/>
        </w:rPr>
      </w:r>
      <w:r>
        <w:rPr>
          <w:noProof/>
        </w:rPr>
        <w:fldChar w:fldCharType="separate"/>
      </w:r>
      <w:r w:rsidR="006C545C">
        <w:rPr>
          <w:noProof/>
        </w:rPr>
        <w:t>30</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21:</w:t>
      </w:r>
      <w:r>
        <w:rPr>
          <w:noProof/>
        </w:rPr>
        <w:tab/>
        <w:t>Health loss attributable to BMI and tobacco use, 1990–2015</w:t>
      </w:r>
      <w:r>
        <w:rPr>
          <w:noProof/>
        </w:rPr>
        <w:tab/>
      </w:r>
      <w:r>
        <w:rPr>
          <w:noProof/>
        </w:rPr>
        <w:fldChar w:fldCharType="begin"/>
      </w:r>
      <w:r>
        <w:rPr>
          <w:noProof/>
        </w:rPr>
        <w:instrText xml:space="preserve"> PAGEREF _Toc456613634 \h </w:instrText>
      </w:r>
      <w:r>
        <w:rPr>
          <w:noProof/>
        </w:rPr>
      </w:r>
      <w:r>
        <w:rPr>
          <w:noProof/>
        </w:rPr>
        <w:fldChar w:fldCharType="separate"/>
      </w:r>
      <w:r w:rsidR="006C545C">
        <w:rPr>
          <w:noProof/>
        </w:rPr>
        <w:t>30</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22:</w:t>
      </w:r>
      <w:r>
        <w:rPr>
          <w:noProof/>
        </w:rPr>
        <w:tab/>
        <w:t>Obesity prevalence (age-standardised rate per 100) and BMI attributable burden (age-standardised attributable DALY rate per 1000) among adults, 1990–2015</w:t>
      </w:r>
      <w:r>
        <w:rPr>
          <w:noProof/>
        </w:rPr>
        <w:tab/>
      </w:r>
      <w:r>
        <w:rPr>
          <w:noProof/>
        </w:rPr>
        <w:fldChar w:fldCharType="begin"/>
      </w:r>
      <w:r>
        <w:rPr>
          <w:noProof/>
        </w:rPr>
        <w:instrText xml:space="preserve"> PAGEREF _Toc456613635 \h </w:instrText>
      </w:r>
      <w:r>
        <w:rPr>
          <w:noProof/>
        </w:rPr>
      </w:r>
      <w:r>
        <w:rPr>
          <w:noProof/>
        </w:rPr>
        <w:fldChar w:fldCharType="separate"/>
      </w:r>
      <w:r w:rsidR="006C545C">
        <w:rPr>
          <w:noProof/>
        </w:rPr>
        <w:t>31</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23:</w:t>
      </w:r>
      <w:r>
        <w:rPr>
          <w:noProof/>
        </w:rPr>
        <w:tab/>
        <w:t>Health loss, by peer group country (all-cause DALY age-standardised rate), 2013</w:t>
      </w:r>
      <w:r>
        <w:rPr>
          <w:noProof/>
        </w:rPr>
        <w:tab/>
      </w:r>
      <w:r>
        <w:rPr>
          <w:noProof/>
        </w:rPr>
        <w:fldChar w:fldCharType="begin"/>
      </w:r>
      <w:r>
        <w:rPr>
          <w:noProof/>
        </w:rPr>
        <w:instrText xml:space="preserve"> PAGEREF _Toc456613636 \h </w:instrText>
      </w:r>
      <w:r>
        <w:rPr>
          <w:noProof/>
        </w:rPr>
      </w:r>
      <w:r>
        <w:rPr>
          <w:noProof/>
        </w:rPr>
        <w:fldChar w:fldCharType="separate"/>
      </w:r>
      <w:r w:rsidR="006C545C">
        <w:rPr>
          <w:noProof/>
        </w:rPr>
        <w:t>34</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24:</w:t>
      </w:r>
      <w:r>
        <w:rPr>
          <w:noProof/>
        </w:rPr>
        <w:tab/>
        <w:t>Percentage change in age-standardised, all-cause DALY rate, by peer group country, 1990–2013</w:t>
      </w:r>
      <w:r>
        <w:rPr>
          <w:noProof/>
        </w:rPr>
        <w:tab/>
      </w:r>
      <w:r>
        <w:rPr>
          <w:noProof/>
        </w:rPr>
        <w:fldChar w:fldCharType="begin"/>
      </w:r>
      <w:r>
        <w:rPr>
          <w:noProof/>
        </w:rPr>
        <w:instrText xml:space="preserve"> PAGEREF _Toc456613637 \h </w:instrText>
      </w:r>
      <w:r>
        <w:rPr>
          <w:noProof/>
        </w:rPr>
      </w:r>
      <w:r>
        <w:rPr>
          <w:noProof/>
        </w:rPr>
        <w:fldChar w:fldCharType="separate"/>
      </w:r>
      <w:r w:rsidR="006C545C">
        <w:rPr>
          <w:noProof/>
        </w:rPr>
        <w:t>35</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25:</w:t>
      </w:r>
      <w:r>
        <w:rPr>
          <w:noProof/>
        </w:rPr>
        <w:tab/>
        <w:t>Extent of disability transition (YLD as % total DALYs), by peer group country, 2013</w:t>
      </w:r>
      <w:r>
        <w:rPr>
          <w:noProof/>
        </w:rPr>
        <w:tab/>
      </w:r>
      <w:r>
        <w:rPr>
          <w:noProof/>
        </w:rPr>
        <w:fldChar w:fldCharType="begin"/>
      </w:r>
      <w:r>
        <w:rPr>
          <w:noProof/>
        </w:rPr>
        <w:instrText xml:space="preserve"> PAGEREF _Toc456613638 \h </w:instrText>
      </w:r>
      <w:r>
        <w:rPr>
          <w:noProof/>
        </w:rPr>
      </w:r>
      <w:r>
        <w:rPr>
          <w:noProof/>
        </w:rPr>
        <w:fldChar w:fldCharType="separate"/>
      </w:r>
      <w:r w:rsidR="006C545C">
        <w:rPr>
          <w:noProof/>
        </w:rPr>
        <w:t>36</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26:</w:t>
      </w:r>
      <w:r>
        <w:rPr>
          <w:noProof/>
        </w:rPr>
        <w:tab/>
        <w:t>Extent of epidemiological transition (pre-transitional disorders burden as % total DALYs), by peer group country, 2013</w:t>
      </w:r>
      <w:r>
        <w:rPr>
          <w:noProof/>
        </w:rPr>
        <w:tab/>
      </w:r>
      <w:r>
        <w:rPr>
          <w:noProof/>
        </w:rPr>
        <w:fldChar w:fldCharType="begin"/>
      </w:r>
      <w:r>
        <w:rPr>
          <w:noProof/>
        </w:rPr>
        <w:instrText xml:space="preserve"> PAGEREF _Toc456613639 \h </w:instrText>
      </w:r>
      <w:r>
        <w:rPr>
          <w:noProof/>
        </w:rPr>
      </w:r>
      <w:r>
        <w:rPr>
          <w:noProof/>
        </w:rPr>
        <w:fldChar w:fldCharType="separate"/>
      </w:r>
      <w:r w:rsidR="006C545C">
        <w:rPr>
          <w:noProof/>
        </w:rPr>
        <w:t>37</w:t>
      </w:r>
      <w:r>
        <w:rPr>
          <w:noProof/>
        </w:rPr>
        <w:fldChar w:fldCharType="end"/>
      </w:r>
    </w:p>
    <w:p w:rsidR="00A363BC" w:rsidRDefault="00A363BC">
      <w:pPr>
        <w:pStyle w:val="TOC3"/>
        <w:rPr>
          <w:rFonts w:asciiTheme="minorHAnsi" w:eastAsiaTheme="minorEastAsia" w:hAnsiTheme="minorHAnsi" w:cstheme="minorBidi"/>
          <w:noProof/>
          <w:szCs w:val="22"/>
          <w:lang w:eastAsia="en-NZ"/>
        </w:rPr>
      </w:pPr>
      <w:r>
        <w:rPr>
          <w:noProof/>
        </w:rPr>
        <w:t>Figure 27:</w:t>
      </w:r>
      <w:r>
        <w:rPr>
          <w:noProof/>
        </w:rPr>
        <w:tab/>
        <w:t>Health loss from selected conditions, by selected peer group countries (age</w:t>
      </w:r>
      <w:r>
        <w:rPr>
          <w:noProof/>
        </w:rPr>
        <w:noBreakHyphen/>
        <w:t>standardised DALY rates), 2013</w:t>
      </w:r>
      <w:r>
        <w:rPr>
          <w:noProof/>
        </w:rPr>
        <w:tab/>
      </w:r>
      <w:r>
        <w:rPr>
          <w:noProof/>
        </w:rPr>
        <w:fldChar w:fldCharType="begin"/>
      </w:r>
      <w:r>
        <w:rPr>
          <w:noProof/>
        </w:rPr>
        <w:instrText xml:space="preserve"> PAGEREF _Toc456613640 \h </w:instrText>
      </w:r>
      <w:r>
        <w:rPr>
          <w:noProof/>
        </w:rPr>
      </w:r>
      <w:r>
        <w:rPr>
          <w:noProof/>
        </w:rPr>
        <w:fldChar w:fldCharType="separate"/>
      </w:r>
      <w:r w:rsidR="006C545C">
        <w:rPr>
          <w:noProof/>
        </w:rPr>
        <w:t>38</w:t>
      </w:r>
      <w:r>
        <w:rPr>
          <w:noProof/>
        </w:rPr>
        <w:fldChar w:fldCharType="end"/>
      </w:r>
    </w:p>
    <w:p w:rsidR="00A363BC" w:rsidRDefault="00A363BC" w:rsidP="00120AB6">
      <w:pPr>
        <w:pStyle w:val="TOC3"/>
      </w:pPr>
      <w:r>
        <w:rPr>
          <w:noProof/>
        </w:rPr>
        <w:t>Figure 28:</w:t>
      </w:r>
      <w:r>
        <w:rPr>
          <w:noProof/>
        </w:rPr>
        <w:tab/>
        <w:t>Potentially preventable proportion of health loss, by peer group country (% total DALYs), 2013</w:t>
      </w:r>
      <w:r>
        <w:rPr>
          <w:noProof/>
        </w:rPr>
        <w:tab/>
      </w:r>
      <w:r>
        <w:rPr>
          <w:noProof/>
        </w:rPr>
        <w:fldChar w:fldCharType="begin"/>
      </w:r>
      <w:r>
        <w:rPr>
          <w:noProof/>
        </w:rPr>
        <w:instrText xml:space="preserve"> PAGEREF _Toc456613641 \h </w:instrText>
      </w:r>
      <w:r>
        <w:rPr>
          <w:noProof/>
        </w:rPr>
      </w:r>
      <w:r>
        <w:rPr>
          <w:noProof/>
        </w:rPr>
        <w:fldChar w:fldCharType="separate"/>
      </w:r>
      <w:r w:rsidR="006C545C">
        <w:rPr>
          <w:noProof/>
        </w:rPr>
        <w:t>39</w:t>
      </w:r>
      <w:r>
        <w:rPr>
          <w:noProof/>
        </w:rPr>
        <w:fldChar w:fldCharType="end"/>
      </w:r>
      <w:r w:rsidR="003A5FEA">
        <w:fldChar w:fldCharType="end"/>
      </w:r>
    </w:p>
    <w:p w:rsidR="0020109E" w:rsidRPr="0020109E" w:rsidRDefault="0020109E" w:rsidP="0020109E">
      <w:pPr>
        <w:sectPr w:rsidR="0020109E" w:rsidRPr="0020109E" w:rsidSect="006E7228">
          <w:headerReference w:type="default" r:id="rId14"/>
          <w:footerReference w:type="even" r:id="rId15"/>
          <w:footerReference w:type="default" r:id="rId16"/>
          <w:type w:val="continuous"/>
          <w:pgSz w:w="11907" w:h="16840" w:code="9"/>
          <w:pgMar w:top="851" w:right="1134" w:bottom="1134" w:left="1134" w:header="284" w:footer="567" w:gutter="284"/>
          <w:pgNumType w:fmt="lowerRoman"/>
          <w:cols w:space="720"/>
        </w:sectPr>
      </w:pPr>
    </w:p>
    <w:p w:rsidR="00E72B0A" w:rsidRDefault="00E72B0A" w:rsidP="00336A9A">
      <w:pPr>
        <w:pStyle w:val="TOC3"/>
        <w:spacing w:before="90"/>
        <w:ind w:right="425"/>
      </w:pPr>
    </w:p>
    <w:p w:rsidR="00A363BC" w:rsidRDefault="00A363BC" w:rsidP="00A363BC">
      <w:pPr>
        <w:sectPr w:rsidR="00A363BC" w:rsidSect="00A363BC">
          <w:footerReference w:type="even" r:id="rId17"/>
          <w:pgSz w:w="11907" w:h="16840" w:code="9"/>
          <w:pgMar w:top="851" w:right="1134" w:bottom="1134" w:left="1134" w:header="284" w:footer="567" w:gutter="284"/>
          <w:pgNumType w:fmt="lowerRoman"/>
          <w:cols w:space="720"/>
        </w:sectPr>
      </w:pPr>
    </w:p>
    <w:p w:rsidR="0021763B" w:rsidRDefault="0021763B" w:rsidP="00135BAE">
      <w:pPr>
        <w:pStyle w:val="Heading1"/>
      </w:pPr>
      <w:bookmarkStart w:id="4" w:name="_Ref454885996"/>
      <w:bookmarkStart w:id="5" w:name="_Ref455676298"/>
      <w:bookmarkStart w:id="6" w:name="_Toc456270663"/>
      <w:r>
        <w:lastRenderedPageBreak/>
        <w:t>Executive summary</w:t>
      </w:r>
      <w:bookmarkEnd w:id="4"/>
      <w:bookmarkEnd w:id="5"/>
      <w:bookmarkEnd w:id="6"/>
    </w:p>
    <w:p w:rsidR="007A2240" w:rsidRDefault="007A2240" w:rsidP="00061D0D">
      <w:r w:rsidRPr="00C56767">
        <w:t xml:space="preserve">Burden of disease information is widely used </w:t>
      </w:r>
      <w:r>
        <w:t xml:space="preserve">internationally as evidence for strategic health policy. Information on the levels and trends in health loss and health expectancy by age, sex, cause, year and country provides the </w:t>
      </w:r>
      <w:r w:rsidR="005D5D9F">
        <w:t>‘</w:t>
      </w:r>
      <w:r>
        <w:t>big picture</w:t>
      </w:r>
      <w:r w:rsidR="005D5D9F">
        <w:t>’</w:t>
      </w:r>
      <w:r>
        <w:t xml:space="preserve"> of health need and how well a health system is performing.</w:t>
      </w:r>
    </w:p>
    <w:p w:rsidR="007A2240" w:rsidRDefault="007A2240" w:rsidP="00061D0D"/>
    <w:p w:rsidR="007A2240" w:rsidRDefault="007A2240" w:rsidP="00061D0D">
      <w:r>
        <w:t>Two key metrics employed in this report are the disability-adjusted life year (DALY) and health-adjusted life expectancy (health expectancy). The DALY is the unit of health loss. One DALY represents the loss of one year lived in full health. DALYs integrate health losses from premature mortality (years of life lost, YLL) and years lived with disability adjusted for severity (YLD). Health expectancy is a generalisation of life expectancy that takes account of time lived in different health states, defined by level of functioning (disability). So health expectancy can be thought of as the number of years the average person can expect to live in full health.</w:t>
      </w:r>
    </w:p>
    <w:p w:rsidR="007A2240" w:rsidRDefault="007A2240" w:rsidP="00061D0D"/>
    <w:p w:rsidR="007A2240" w:rsidRDefault="007A2240" w:rsidP="00061D0D">
      <w:r>
        <w:t xml:space="preserve">The </w:t>
      </w:r>
      <w:r w:rsidRPr="001A6D9F">
        <w:t xml:space="preserve">New Zealand </w:t>
      </w:r>
      <w:r>
        <w:t>Burden of Diseases, Injuries and Risk Factors extracted data from the Ministry of Health</w:t>
      </w:r>
      <w:r w:rsidR="005D5D9F">
        <w:t>’</w:t>
      </w:r>
      <w:r>
        <w:t>s national data collections, health surveys and other sources. The Institute for Health Metrics and Evaluation, University of Washington</w:t>
      </w:r>
      <w:r w:rsidRPr="003A6DD7">
        <w:t xml:space="preserve"> </w:t>
      </w:r>
      <w:r>
        <w:t>provided</w:t>
      </w:r>
      <w:r w:rsidRPr="003A6DD7">
        <w:t xml:space="preserve"> </w:t>
      </w:r>
      <w:r>
        <w:t>statistical models and standards, as part of the Global Burden of Disease 2013 study.</w:t>
      </w:r>
    </w:p>
    <w:p w:rsidR="007A2240" w:rsidRDefault="007A2240" w:rsidP="00061D0D"/>
    <w:p w:rsidR="007A2240" w:rsidRDefault="007A2240" w:rsidP="00061D0D">
      <w:r>
        <w:t>Key findings are summarised below</w:t>
      </w:r>
      <w:r w:rsidR="0094490A">
        <w:t xml:space="preserve"> (and in more detail on pages </w:t>
      </w:r>
      <w:r w:rsidR="002B7E97">
        <w:fldChar w:fldCharType="begin"/>
      </w:r>
      <w:r w:rsidR="002B7E97">
        <w:instrText xml:space="preserve"> PAGEREF _Ref456273234 \h </w:instrText>
      </w:r>
      <w:r w:rsidR="002B7E97">
        <w:fldChar w:fldCharType="separate"/>
      </w:r>
      <w:r w:rsidR="006C545C">
        <w:rPr>
          <w:noProof/>
        </w:rPr>
        <w:t>3</w:t>
      </w:r>
      <w:r w:rsidR="002B7E97">
        <w:fldChar w:fldCharType="end"/>
      </w:r>
      <w:r w:rsidR="0094490A" w:rsidRPr="002B7E97">
        <w:t>–</w:t>
      </w:r>
      <w:r w:rsidR="002B7E97" w:rsidRPr="002B7E97">
        <w:fldChar w:fldCharType="begin"/>
      </w:r>
      <w:r w:rsidR="002B7E97" w:rsidRPr="002B7E97">
        <w:instrText xml:space="preserve"> REF End_Key_Findings \h </w:instrText>
      </w:r>
      <w:r w:rsidR="002B7E97">
        <w:instrText xml:space="preserve"> \* MERGEFORMAT </w:instrText>
      </w:r>
      <w:r w:rsidR="002B7E97" w:rsidRPr="002B7E97">
        <w:fldChar w:fldCharType="end"/>
      </w:r>
      <w:r w:rsidR="002B7E97" w:rsidRPr="002B7E97">
        <w:fldChar w:fldCharType="begin"/>
      </w:r>
      <w:r w:rsidR="002B7E97" w:rsidRPr="002B7E97">
        <w:instrText xml:space="preserve"> PAGEREF End_Key_Findings \h </w:instrText>
      </w:r>
      <w:r w:rsidR="002B7E97" w:rsidRPr="002B7E97">
        <w:fldChar w:fldCharType="separate"/>
      </w:r>
      <w:r w:rsidR="006C545C">
        <w:rPr>
          <w:noProof/>
        </w:rPr>
        <w:t>6</w:t>
      </w:r>
      <w:r w:rsidR="002B7E97" w:rsidRPr="002B7E97">
        <w:fldChar w:fldCharType="end"/>
      </w:r>
      <w:r w:rsidR="0094490A" w:rsidRPr="002B7E97">
        <w:t>)</w:t>
      </w:r>
      <w:r w:rsidRPr="002B7E97">
        <w:t>.</w:t>
      </w:r>
    </w:p>
    <w:p w:rsidR="007A2240" w:rsidRDefault="007A2240" w:rsidP="00061D0D">
      <w:pPr>
        <w:pStyle w:val="Bullet"/>
        <w:spacing w:before="120"/>
      </w:pPr>
      <w:r w:rsidRPr="00530E79">
        <w:rPr>
          <w:b/>
        </w:rPr>
        <w:t>Health is improving:</w:t>
      </w:r>
      <w:r w:rsidRPr="00E75E02">
        <w:t xml:space="preserve"> </w:t>
      </w:r>
      <w:r>
        <w:t>New Zealanders are living longer, and are living longer in good health (</w:t>
      </w:r>
      <w:proofErr w:type="spellStart"/>
      <w:r>
        <w:t>ie</w:t>
      </w:r>
      <w:proofErr w:type="spellEnd"/>
      <w:r>
        <w:t>, both life expectancy and health expectancy are increasing). Health loss, measured in DALYs, is declining by an estimated 1.2% per year, once adjusted for changes in population size and age structure – a major achievement for the health and wider social sectors. Yet because the population is growing and ageing, the absolute number of DALYs is still increasing. This finding suggests that improvements in health do not necessarily reduce health care expenditure.</w:t>
      </w:r>
    </w:p>
    <w:p w:rsidR="007A2240" w:rsidRDefault="007A2240" w:rsidP="00061D0D">
      <w:pPr>
        <w:pStyle w:val="Bullet"/>
        <w:spacing w:before="120"/>
      </w:pPr>
      <w:r w:rsidRPr="00530E79">
        <w:rPr>
          <w:b/>
        </w:rPr>
        <w:t>However, not all age groups are benefiting equally</w:t>
      </w:r>
      <w:r w:rsidRPr="00E75E02">
        <w:rPr>
          <w:b/>
        </w:rPr>
        <w:t>:</w:t>
      </w:r>
      <w:r>
        <w:t xml:space="preserve"> The rate of fall in DALYs for youth and young adults, 20% and 13%</w:t>
      </w:r>
      <w:r w:rsidRPr="00A96D41">
        <w:t xml:space="preserve"> </w:t>
      </w:r>
      <w:r>
        <w:t>from 1990–2013 respectively, is substantially less than for other age groups, for whom the fall ranges from 24–36%.</w:t>
      </w:r>
    </w:p>
    <w:p w:rsidR="007A2240" w:rsidRDefault="007A2240" w:rsidP="00061D0D">
      <w:pPr>
        <w:pStyle w:val="Bullet"/>
        <w:spacing w:before="120"/>
      </w:pPr>
      <w:r w:rsidRPr="00530E79">
        <w:rPr>
          <w:b/>
        </w:rPr>
        <w:t xml:space="preserve">New Zealand is far advanced along the </w:t>
      </w:r>
      <w:r w:rsidR="005D5D9F">
        <w:rPr>
          <w:b/>
        </w:rPr>
        <w:t>‘</w:t>
      </w:r>
      <w:r w:rsidRPr="00530E79">
        <w:rPr>
          <w:b/>
        </w:rPr>
        <w:t>epidemiological transition</w:t>
      </w:r>
      <w:r w:rsidR="005D5D9F">
        <w:rPr>
          <w:b/>
        </w:rPr>
        <w:t>’</w:t>
      </w:r>
      <w:r w:rsidRPr="00530E79">
        <w:rPr>
          <w:b/>
        </w:rPr>
        <w:t>:</w:t>
      </w:r>
      <w:r w:rsidRPr="00E75E02">
        <w:t xml:space="preserve"> </w:t>
      </w:r>
      <w:r>
        <w:t xml:space="preserve">For the </w:t>
      </w:r>
      <w:r w:rsidRPr="006921E9">
        <w:t>population</w:t>
      </w:r>
      <w:r>
        <w:t xml:space="preserve"> as a whole</w:t>
      </w:r>
      <w:r w:rsidRPr="006921E9">
        <w:t xml:space="preserve">, </w:t>
      </w:r>
      <w:r>
        <w:t>less than 4% of health loss still results from pre-transitional causes (common infectious diseases, nutritional deficiency disorders and neonatal disorders). In contrast, 88% of health loss is now caused by non-communicable diseases</w:t>
      </w:r>
      <w:r w:rsidRPr="00321B17">
        <w:t xml:space="preserve"> </w:t>
      </w:r>
      <w:r>
        <w:t xml:space="preserve">(NCDs – </w:t>
      </w:r>
      <w:proofErr w:type="spellStart"/>
      <w:r>
        <w:t>ie</w:t>
      </w:r>
      <w:proofErr w:type="spellEnd"/>
      <w:r>
        <w:t>, long</w:t>
      </w:r>
      <w:r w:rsidR="00061D0D">
        <w:noBreakHyphen/>
      </w:r>
      <w:r>
        <w:t>term mental and physical conditions) and 8% is attributable to injuries.</w:t>
      </w:r>
    </w:p>
    <w:p w:rsidR="005D5D9F" w:rsidRDefault="007A2240" w:rsidP="00061D0D">
      <w:pPr>
        <w:pStyle w:val="Bullet"/>
        <w:spacing w:before="120"/>
      </w:pPr>
      <w:r w:rsidRPr="00530E79">
        <w:rPr>
          <w:b/>
        </w:rPr>
        <w:t xml:space="preserve">New Zealand is undergoing a </w:t>
      </w:r>
      <w:r w:rsidR="005D5D9F">
        <w:rPr>
          <w:b/>
        </w:rPr>
        <w:t>‘</w:t>
      </w:r>
      <w:r w:rsidRPr="00530E79">
        <w:rPr>
          <w:b/>
        </w:rPr>
        <w:t>disability transition</w:t>
      </w:r>
      <w:r w:rsidR="005D5D9F">
        <w:rPr>
          <w:b/>
        </w:rPr>
        <w:t>’</w:t>
      </w:r>
      <w:r w:rsidRPr="00E75E02">
        <w:rPr>
          <w:b/>
        </w:rPr>
        <w:t>:</w:t>
      </w:r>
      <w:r w:rsidRPr="00E75E02">
        <w:t xml:space="preserve"> </w:t>
      </w:r>
      <w:r>
        <w:t>The epidemiological transition described above is also reflected in a disability transition. Disability (defined here in terms of non-fatal health loss, measured in YLD) now accounts for over half of the total health loss experienced by the population as a whole (52% of total DALYs in 2013).</w:t>
      </w:r>
    </w:p>
    <w:p w:rsidR="007A2240" w:rsidRDefault="007A2240" w:rsidP="00061D0D">
      <w:pPr>
        <w:pStyle w:val="Bullet"/>
        <w:spacing w:before="120"/>
      </w:pPr>
      <w:r w:rsidRPr="00530E79">
        <w:rPr>
          <w:b/>
        </w:rPr>
        <w:t>Morbidity</w:t>
      </w:r>
      <w:r>
        <w:rPr>
          <w:b/>
        </w:rPr>
        <w:t xml:space="preserve"> (ill health)</w:t>
      </w:r>
      <w:r w:rsidRPr="00530E79">
        <w:rPr>
          <w:b/>
        </w:rPr>
        <w:t xml:space="preserve"> is expanding</w:t>
      </w:r>
      <w:r w:rsidRPr="00E75E02">
        <w:rPr>
          <w:b/>
        </w:rPr>
        <w:t>:</w:t>
      </w:r>
      <w:r>
        <w:t xml:space="preserve"> We may be living longer, and living longer in good health, but we are also living longer in poor health. Put another way, only 70–80% of the years of life gained over the past quarter century have been years lived in good health: our health system and wider society have proved more adept at preventing early death than at avoiding or ameliorating morbidity. A greater focus on addressing the impact of non-fatal disabling conditions, whether through prevention or improved management, will enable people to live more of their </w:t>
      </w:r>
      <w:r w:rsidR="005D5D9F">
        <w:t>‘</w:t>
      </w:r>
      <w:r>
        <w:t>extra</w:t>
      </w:r>
      <w:r w:rsidR="005D5D9F">
        <w:t>’</w:t>
      </w:r>
      <w:r>
        <w:t xml:space="preserve"> years of life in full health.</w:t>
      </w:r>
    </w:p>
    <w:p w:rsidR="007A2240" w:rsidRDefault="007A2240" w:rsidP="00061D0D">
      <w:pPr>
        <w:pStyle w:val="Bullet"/>
        <w:spacing w:before="120" w:line="257" w:lineRule="auto"/>
      </w:pPr>
      <w:r w:rsidRPr="00530E79">
        <w:rPr>
          <w:b/>
        </w:rPr>
        <w:lastRenderedPageBreak/>
        <w:t>Improving the health of future cohorts of older people will be critical</w:t>
      </w:r>
      <w:r w:rsidRPr="00E75E02">
        <w:rPr>
          <w:b/>
        </w:rPr>
        <w:t>:</w:t>
      </w:r>
      <w:r>
        <w:t xml:space="preserve"> An ageing population will increase demand pressure on the health system, but the level of this impact will depend on how healthy future cohorts of older people are. As we progress through the epidemiological and disability transitions, </w:t>
      </w:r>
      <w:r w:rsidR="005E7465">
        <w:t xml:space="preserve">it appears that </w:t>
      </w:r>
      <w:r>
        <w:t>an increasing proportion of frail older people will survive for longer with multi-morbidity and associated disability.</w:t>
      </w:r>
    </w:p>
    <w:p w:rsidR="007A2240" w:rsidRDefault="007A2240" w:rsidP="00061D0D">
      <w:pPr>
        <w:pStyle w:val="Bullet"/>
        <w:spacing w:before="120" w:line="257" w:lineRule="auto"/>
      </w:pPr>
      <w:r w:rsidRPr="001D64DE">
        <w:rPr>
          <w:b/>
        </w:rPr>
        <w:t xml:space="preserve">Transitioning the health system </w:t>
      </w:r>
      <w:r>
        <w:rPr>
          <w:b/>
        </w:rPr>
        <w:t>to respond to</w:t>
      </w:r>
      <w:r w:rsidRPr="001D64DE">
        <w:rPr>
          <w:b/>
        </w:rPr>
        <w:t xml:space="preserve"> multi-morbidity is a key challenge</w:t>
      </w:r>
      <w:r w:rsidRPr="00E75E02">
        <w:rPr>
          <w:b/>
        </w:rPr>
        <w:t>:</w:t>
      </w:r>
      <w:r>
        <w:t xml:space="preserve"> The evidence in this report shows that all-cause DALY rates increase exponentially as people age, to reach very high levels in the rapidly growing 75+ </w:t>
      </w:r>
      <w:proofErr w:type="gramStart"/>
      <w:r>
        <w:t>years</w:t>
      </w:r>
      <w:proofErr w:type="gramEnd"/>
      <w:r>
        <w:t xml:space="preserve"> age group. These high rates of health loss reflect the steeply increasing prevalence of multiple long-term conditions with advancing age. A health system oriented to managing single diseases individually will struggle to cope.</w:t>
      </w:r>
    </w:p>
    <w:p w:rsidR="007A2240" w:rsidRDefault="007A2240" w:rsidP="00061D0D">
      <w:pPr>
        <w:pStyle w:val="Bullet"/>
        <w:spacing w:before="120" w:line="257" w:lineRule="auto"/>
      </w:pPr>
      <w:r w:rsidRPr="00530E79">
        <w:rPr>
          <w:b/>
        </w:rPr>
        <w:t>Mental health and dementia are growing challenges</w:t>
      </w:r>
      <w:r w:rsidRPr="00E75E02">
        <w:rPr>
          <w:b/>
        </w:rPr>
        <w:t>:</w:t>
      </w:r>
      <w:r>
        <w:t xml:space="preserve"> Neuropsychiatric disorders are now the leading cause of health loss, accounting for 19% of total DALYs. Dementia has risen to become the fifth-ranked cause of health loss in females and thirteenth in males. Providing better care for people living with mental illness, addiction and dementia – including care for their physical health – is a growing challenge for the health and social sectors.</w:t>
      </w:r>
    </w:p>
    <w:p w:rsidR="005D5D9F" w:rsidRDefault="007A2240" w:rsidP="00061D0D">
      <w:pPr>
        <w:pStyle w:val="Bullet"/>
        <w:spacing w:before="120" w:line="257" w:lineRule="auto"/>
      </w:pPr>
      <w:r w:rsidRPr="00530E79">
        <w:rPr>
          <w:b/>
        </w:rPr>
        <w:t>The burden of musculoskeletal disorders is increasing</w:t>
      </w:r>
      <w:r w:rsidRPr="00E75E02">
        <w:rPr>
          <w:b/>
        </w:rPr>
        <w:t>:</w:t>
      </w:r>
      <w:r>
        <w:t xml:space="preserve"> Health loss from musculoskeletal disorders, including neck and lower back disorders and arthritis, is increasing – partly because of rising rates of obesity. Musculoskeletal disorders already account for 13% of all health loss.</w:t>
      </w:r>
    </w:p>
    <w:p w:rsidR="005D5D9F" w:rsidRDefault="007A2240" w:rsidP="00061D0D">
      <w:pPr>
        <w:pStyle w:val="Bullet"/>
        <w:spacing w:before="120" w:line="257" w:lineRule="auto"/>
      </w:pPr>
      <w:r w:rsidRPr="00B55EED">
        <w:rPr>
          <w:b/>
        </w:rPr>
        <w:t xml:space="preserve">At the same time, </w:t>
      </w:r>
      <w:r>
        <w:rPr>
          <w:b/>
        </w:rPr>
        <w:t xml:space="preserve">addressing </w:t>
      </w:r>
      <w:r w:rsidRPr="00B55EED">
        <w:rPr>
          <w:b/>
        </w:rPr>
        <w:t xml:space="preserve">cardiovascular disorders </w:t>
      </w:r>
      <w:r>
        <w:rPr>
          <w:b/>
        </w:rPr>
        <w:t xml:space="preserve">is </w:t>
      </w:r>
      <w:r w:rsidRPr="00B55EED">
        <w:rPr>
          <w:b/>
        </w:rPr>
        <w:t>an unfinished agenda:</w:t>
      </w:r>
      <w:r>
        <w:t xml:space="preserve"> Although the coronary heart disease epidemic peaked in the 1970s, this disease still accounts for over 8% of all health lost. About 70–80% of this burden is potentially avoidable through a combination of prevention and treatment. Stroke also continues to account for substantial health loss (over 3%) and again most of this loss is potentially avoidable with existing technologies.</w:t>
      </w:r>
    </w:p>
    <w:p w:rsidR="005D5D9F" w:rsidRDefault="007A2240" w:rsidP="00061D0D">
      <w:pPr>
        <w:pStyle w:val="Bullet"/>
        <w:spacing w:before="120" w:line="257" w:lineRule="auto"/>
      </w:pPr>
      <w:r w:rsidRPr="00B55EED">
        <w:rPr>
          <w:b/>
        </w:rPr>
        <w:t>Burden is becoming decoupled from prevalence:</w:t>
      </w:r>
      <w:r w:rsidRPr="00E75E02">
        <w:t xml:space="preserve"> </w:t>
      </w:r>
      <w:r>
        <w:t>Many long-term conditions, including diabetes, are increasing in prevalence yet their age adjusted per capita burdens are stabilising or even falling. This decoupling of burden from prevalence applies also to risk factors, including obesity. Decoupling reflects the complex interactions of disease or risk factor prevalence with demographic trends, joint exposure to other risk factors or diseases, and improvements in clinical care that have reduced disease progression and case fatality.</w:t>
      </w:r>
    </w:p>
    <w:p w:rsidR="007A2240" w:rsidRDefault="007A2240" w:rsidP="00061D0D">
      <w:pPr>
        <w:pStyle w:val="Bullet"/>
        <w:spacing w:before="120" w:line="257" w:lineRule="auto"/>
      </w:pPr>
      <w:r w:rsidRPr="00530E79">
        <w:rPr>
          <w:b/>
        </w:rPr>
        <w:t xml:space="preserve">Strengthening prevention could </w:t>
      </w:r>
      <w:r>
        <w:rPr>
          <w:b/>
        </w:rPr>
        <w:t>bring</w:t>
      </w:r>
      <w:r w:rsidRPr="00530E79">
        <w:rPr>
          <w:b/>
        </w:rPr>
        <w:t xml:space="preserve"> major benefits</w:t>
      </w:r>
      <w:r w:rsidRPr="00E75E02">
        <w:rPr>
          <w:b/>
        </w:rPr>
        <w:t>:</w:t>
      </w:r>
      <w:r>
        <w:t xml:space="preserve"> The opportunity</w:t>
      </w:r>
      <w:r w:rsidDel="00AC31BE">
        <w:t xml:space="preserve"> </w:t>
      </w:r>
      <w:r>
        <w:t xml:space="preserve">to achieve health gains by reducing exposure to hazards remains strong. Potentially, over one-third of all health loss is preventable. Beyond the benefits to health, a strengthened focus on prevention could help the health system to become more sustainable clinically, fiscally and economically (by reducing demand pressure), depending on the affordability and effectiveness of relevant interventions. Although tobacco use has been declining for almost half a century, its impact on health loss is still large (contributing just under 9% of total DALYs), and the </w:t>
      </w:r>
      <w:r w:rsidR="005D5D9F">
        <w:t>‘</w:t>
      </w:r>
      <w:r>
        <w:t>tobacco end game</w:t>
      </w:r>
      <w:r w:rsidR="005D5D9F">
        <w:t>’</w:t>
      </w:r>
      <w:r>
        <w:t xml:space="preserve"> remains an important policy objective. Even greater challenges are to address diet, physical inactivity and the obesity epidemic – challenges that go well beyond the health system and will require not only a whole of government but also a whole of society response.</w:t>
      </w:r>
    </w:p>
    <w:p w:rsidR="00C86248" w:rsidRDefault="007A2240" w:rsidP="0086388B">
      <w:pPr>
        <w:pStyle w:val="Bullet"/>
        <w:spacing w:before="120" w:line="257" w:lineRule="auto"/>
      </w:pPr>
      <w:r w:rsidRPr="00061D0D">
        <w:rPr>
          <w:b/>
        </w:rPr>
        <w:t>Internationally, New Zealand is doing well, but inequalities persist:</w:t>
      </w:r>
      <w:r w:rsidRPr="00E75E02">
        <w:t xml:space="preserve"> </w:t>
      </w:r>
      <w:r>
        <w:t xml:space="preserve">Over the past quarter century New Zealand achieved one of the fastest rates of decline in health loss from all causes </w:t>
      </w:r>
      <w:r w:rsidRPr="00061D0D">
        <w:t>combined among high-income countries, although we still have relatively high DALY rates from coronary heart disease, chronic obstructive pulmonary disease, chronic kidney disease, bowel cancer and self-harm. Yet within New Zealand, serious inequalities in health outcomes persist between different genders, generations, ethnic and socioeconomic groups. While not</w:t>
      </w:r>
      <w:r>
        <w:t xml:space="preserve"> all of these inequalities could not be analysed in the current burden of disease assessment because of data limitations, disaggregation of the data at least by Māori and non-Māori ethnicity is planned for the next edition of this report.</w:t>
      </w:r>
      <w:bookmarkStart w:id="7" w:name="End_Exec_Summary"/>
      <w:bookmarkEnd w:id="7"/>
    </w:p>
    <w:p w:rsidR="00C86248" w:rsidRDefault="00C86248">
      <w:pPr>
        <w:sectPr w:rsidR="00C86248" w:rsidSect="00A363BC">
          <w:footerReference w:type="even" r:id="rId18"/>
          <w:pgSz w:w="11907" w:h="16840" w:code="9"/>
          <w:pgMar w:top="851" w:right="1134" w:bottom="1134" w:left="1134" w:header="284" w:footer="567" w:gutter="284"/>
          <w:pgNumType w:fmt="lowerRoman"/>
          <w:cols w:space="720"/>
        </w:sectPr>
      </w:pPr>
    </w:p>
    <w:p w:rsidR="008C2973" w:rsidRDefault="0086388B" w:rsidP="00135BAE">
      <w:pPr>
        <w:pStyle w:val="Heading1"/>
      </w:pPr>
      <w:bookmarkStart w:id="8" w:name="_Toc456270664"/>
      <w:r>
        <w:lastRenderedPageBreak/>
        <w:t>Introduction</w:t>
      </w:r>
      <w:bookmarkEnd w:id="8"/>
    </w:p>
    <w:p w:rsidR="006B41CA" w:rsidRPr="00FC2DA3" w:rsidRDefault="006B41CA" w:rsidP="00733F16">
      <w:pPr>
        <w:pStyle w:val="Heading2"/>
      </w:pPr>
      <w:bookmarkStart w:id="9" w:name="_Toc442416666"/>
      <w:bookmarkStart w:id="10" w:name="_Toc456270665"/>
      <w:r w:rsidRPr="00FC2DA3">
        <w:t>Background</w:t>
      </w:r>
      <w:bookmarkEnd w:id="9"/>
      <w:bookmarkEnd w:id="10"/>
    </w:p>
    <w:p w:rsidR="006B41CA" w:rsidRDefault="006B41CA" w:rsidP="00733F16">
      <w:r>
        <w:t xml:space="preserve">Burden of disease information is widely used throughout the world as a valid and valued input to national and global health policy. Information on the levels and trends in health loss by age, sex, cause, year and country paints the </w:t>
      </w:r>
      <w:r w:rsidR="005D5D9F">
        <w:t>‘</w:t>
      </w:r>
      <w:r>
        <w:t>big picture</w:t>
      </w:r>
      <w:r w:rsidR="005D5D9F">
        <w:t>’</w:t>
      </w:r>
      <w:r>
        <w:t>. This provides a frame within which it is possible to systematically set priorities and to design and evaluate</w:t>
      </w:r>
      <w:r w:rsidRPr="00663BA1">
        <w:t xml:space="preserve"> </w:t>
      </w:r>
      <w:r>
        <w:t>strategic policies.</w:t>
      </w:r>
    </w:p>
    <w:p w:rsidR="006B41CA" w:rsidRDefault="006B41CA" w:rsidP="00733F16"/>
    <w:p w:rsidR="006B41CA" w:rsidRDefault="006B41CA" w:rsidP="00733F16">
      <w:r>
        <w:t>The Institute for Health Metrics and Evaluation (IHME), University of Washington has recently published</w:t>
      </w:r>
      <w:r w:rsidRPr="00602990">
        <w:t xml:space="preserve"> </w:t>
      </w:r>
      <w:r>
        <w:t>global, regional and country estimates of the burden of disease for 1990–2013 (Global Burden of Disease 2013</w:t>
      </w:r>
      <w:r w:rsidR="005D5D9F">
        <w:t xml:space="preserve"> </w:t>
      </w:r>
      <w:r>
        <w:t>– see Appendix 1 for further information). This database can be used to extract and compile the results for</w:t>
      </w:r>
      <w:r w:rsidRPr="00F41A19">
        <w:t xml:space="preserve"> </w:t>
      </w:r>
      <w:r>
        <w:t>New Zealand and relevant peer group countries, providing a useful source of information for a range of current and future policy needs.</w:t>
      </w:r>
    </w:p>
    <w:p w:rsidR="006B41CA" w:rsidRDefault="006B41CA" w:rsidP="00733F16"/>
    <w:p w:rsidR="006B41CA" w:rsidRDefault="006B41CA" w:rsidP="00733F16">
      <w:r>
        <w:t>In future (</w:t>
      </w:r>
      <w:proofErr w:type="spellStart"/>
      <w:r>
        <w:t>ie</w:t>
      </w:r>
      <w:proofErr w:type="spellEnd"/>
      <w:r>
        <w:t xml:space="preserve">, beginning with GBD 2016), IHME and the Ministry of Health will conduct this analysis jointly. The analysis will also include two additional </w:t>
      </w:r>
      <w:r w:rsidR="005D5D9F">
        <w:t>‘</w:t>
      </w:r>
      <w:r>
        <w:t>countries</w:t>
      </w:r>
      <w:r w:rsidR="005D5D9F">
        <w:t>’</w:t>
      </w:r>
      <w:r>
        <w:t xml:space="preserve"> – Māori New Zealand and non-Māori New Zealand – so that indigenous inequalities can be tracked. However, for the current (2013) analysis, ethnic groups cannot be compared.</w:t>
      </w:r>
    </w:p>
    <w:p w:rsidR="006B41CA" w:rsidRDefault="006B41CA" w:rsidP="00733F16"/>
    <w:p w:rsidR="006B41CA" w:rsidRDefault="006B41CA" w:rsidP="00733F16">
      <w:r>
        <w:t xml:space="preserve">This report on the New Zealand Burden of Diseases, Injuries and Risk Factors (NZBD) 1990–2013 supersedes all earlier </w:t>
      </w:r>
      <w:r w:rsidRPr="00CB5BF9">
        <w:t>NZBD</w:t>
      </w:r>
      <w:r>
        <w:t xml:space="preserve"> reports, which were based on </w:t>
      </w:r>
      <w:r w:rsidR="00762EE3">
        <w:t xml:space="preserve">less up-to-date </w:t>
      </w:r>
      <w:r>
        <w:t>methods and data. This report (which includes re</w:t>
      </w:r>
      <w:r>
        <w:noBreakHyphen/>
        <w:t>calculated estimates for all earlier years back to 1990) therefore makes all previous reports obsolete.</w:t>
      </w:r>
    </w:p>
    <w:p w:rsidR="006B41CA" w:rsidRDefault="006B41CA" w:rsidP="00733F16"/>
    <w:p w:rsidR="006B41CA" w:rsidRPr="00FC2DA3" w:rsidRDefault="006B41CA" w:rsidP="00733F16">
      <w:pPr>
        <w:pStyle w:val="Heading2"/>
      </w:pPr>
      <w:bookmarkStart w:id="11" w:name="_Toc442416667"/>
      <w:bookmarkStart w:id="12" w:name="_Toc456270666"/>
      <w:r w:rsidRPr="00FC2DA3">
        <w:t>Objectives</w:t>
      </w:r>
      <w:bookmarkEnd w:id="11"/>
      <w:bookmarkEnd w:id="12"/>
    </w:p>
    <w:p w:rsidR="006B41CA" w:rsidRDefault="006B41CA" w:rsidP="00733F16">
      <w:pPr>
        <w:spacing w:before="90"/>
        <w:ind w:left="567" w:hanging="567"/>
      </w:pPr>
      <w:r>
        <w:t>1.</w:t>
      </w:r>
      <w:r>
        <w:tab/>
        <w:t>Update estimates of health loss in New Zealand, by age, sex, year and cause.</w:t>
      </w:r>
    </w:p>
    <w:p w:rsidR="006B41CA" w:rsidRDefault="006B41CA" w:rsidP="00733F16">
      <w:pPr>
        <w:spacing w:before="120"/>
        <w:ind w:left="567" w:hanging="567"/>
      </w:pPr>
      <w:r>
        <w:t>2.</w:t>
      </w:r>
      <w:r>
        <w:tab/>
        <w:t>Update estimates of health expectancy (health-adjusted life expectancy) by sex and year.</w:t>
      </w:r>
    </w:p>
    <w:p w:rsidR="0094490A" w:rsidRDefault="0094490A" w:rsidP="00733F16">
      <w:pPr>
        <w:spacing w:before="120"/>
        <w:ind w:left="567" w:hanging="567"/>
      </w:pPr>
      <w:r>
        <w:t>3.</w:t>
      </w:r>
      <w:r>
        <w:tab/>
        <w:t>Benchmark New Zealand against an appropriate set of peer group countries in regard to health loss, health expectancy and the compression or expansion of morbidity.</w:t>
      </w:r>
    </w:p>
    <w:p w:rsidR="0094490A" w:rsidRDefault="0094490A" w:rsidP="00733F16">
      <w:pPr>
        <w:spacing w:before="120"/>
        <w:ind w:left="567" w:hanging="567"/>
      </w:pPr>
    </w:p>
    <w:p w:rsidR="0094490A" w:rsidRDefault="0094490A" w:rsidP="00865AC9">
      <w:r>
        <w:t xml:space="preserve">Methods used for this report are summarised in Appendix 2 (pages </w:t>
      </w:r>
      <w:r w:rsidR="002B7E97">
        <w:fldChar w:fldCharType="begin"/>
      </w:r>
      <w:r w:rsidR="002B7E97">
        <w:instrText xml:space="preserve"> PAGEREF _Ref456273326 \h </w:instrText>
      </w:r>
      <w:r w:rsidR="002B7E97">
        <w:fldChar w:fldCharType="separate"/>
      </w:r>
      <w:r w:rsidR="006C545C">
        <w:rPr>
          <w:noProof/>
        </w:rPr>
        <w:t>46</w:t>
      </w:r>
      <w:r w:rsidR="002B7E97">
        <w:fldChar w:fldCharType="end"/>
      </w:r>
      <w:r w:rsidR="002B7E97">
        <w:t>–</w:t>
      </w:r>
      <w:r w:rsidR="002B7E97">
        <w:fldChar w:fldCharType="begin"/>
      </w:r>
      <w:r w:rsidR="002B7E97">
        <w:instrText xml:space="preserve"> PAGEREF End_Appendix_2 \h </w:instrText>
      </w:r>
      <w:r w:rsidR="002B7E97">
        <w:fldChar w:fldCharType="separate"/>
      </w:r>
      <w:r w:rsidR="006C545C">
        <w:rPr>
          <w:noProof/>
        </w:rPr>
        <w:t>50</w:t>
      </w:r>
      <w:r w:rsidR="002B7E97">
        <w:fldChar w:fldCharType="end"/>
      </w:r>
      <w:r>
        <w:t>).</w:t>
      </w:r>
    </w:p>
    <w:p w:rsidR="0094490A" w:rsidRDefault="0094490A" w:rsidP="00865AC9"/>
    <w:p w:rsidR="006B41CA" w:rsidRPr="006A01A0" w:rsidRDefault="006B41CA" w:rsidP="00865AC9">
      <w:pPr>
        <w:pStyle w:val="BoxHeading"/>
        <w:keepNext/>
        <w:rPr>
          <w:rFonts w:ascii="Arial" w:hAnsi="Arial" w:cs="Arial"/>
        </w:rPr>
      </w:pPr>
      <w:r w:rsidRPr="006A01A0">
        <w:rPr>
          <w:rFonts w:ascii="Arial" w:hAnsi="Arial" w:cs="Arial"/>
        </w:rPr>
        <w:lastRenderedPageBreak/>
        <w:t>The DALY metric</w:t>
      </w:r>
    </w:p>
    <w:p w:rsidR="006B41CA" w:rsidRPr="006A01A0" w:rsidRDefault="006B41CA" w:rsidP="00865AC9">
      <w:pPr>
        <w:pStyle w:val="Box"/>
        <w:keepNext/>
        <w:rPr>
          <w:rFonts w:ascii="Arial" w:hAnsi="Arial" w:cs="Arial"/>
          <w:sz w:val="20"/>
        </w:rPr>
      </w:pPr>
      <w:r w:rsidRPr="006A01A0">
        <w:rPr>
          <w:rFonts w:ascii="Arial" w:hAnsi="Arial" w:cs="Arial"/>
          <w:sz w:val="20"/>
        </w:rPr>
        <w:t>The disability-adjusted life year (DALY) is the unit of health loss. It integrates health lost from premature mortality (years of life lost, YLL) and health lost from morbidity (years lived with disability adjusted for severity, YLD).</w:t>
      </w:r>
    </w:p>
    <w:p w:rsidR="005D5D9F" w:rsidRPr="006A01A0" w:rsidRDefault="006B41CA" w:rsidP="00865AC9">
      <w:pPr>
        <w:pStyle w:val="Box"/>
        <w:keepNext/>
        <w:rPr>
          <w:rFonts w:ascii="Arial" w:hAnsi="Arial" w:cs="Arial"/>
          <w:sz w:val="20"/>
        </w:rPr>
      </w:pPr>
      <w:r w:rsidRPr="006A01A0">
        <w:rPr>
          <w:rFonts w:ascii="Arial" w:hAnsi="Arial" w:cs="Arial"/>
          <w:sz w:val="20"/>
        </w:rPr>
        <w:t>Non-fatal health loss (morbidity or disability) is adjusted for severity on a 0–1 scale, where 0 represents full health (</w:t>
      </w:r>
      <w:proofErr w:type="spellStart"/>
      <w:r w:rsidRPr="006A01A0">
        <w:rPr>
          <w:rFonts w:ascii="Arial" w:hAnsi="Arial" w:cs="Arial"/>
          <w:sz w:val="20"/>
        </w:rPr>
        <w:t>ie</w:t>
      </w:r>
      <w:proofErr w:type="spellEnd"/>
      <w:r w:rsidRPr="006A01A0">
        <w:rPr>
          <w:rFonts w:ascii="Arial" w:hAnsi="Arial" w:cs="Arial"/>
          <w:sz w:val="20"/>
        </w:rPr>
        <w:t>, no health loss) and 1 represents complete health loss (</w:t>
      </w:r>
      <w:proofErr w:type="spellStart"/>
      <w:r w:rsidRPr="006A01A0">
        <w:rPr>
          <w:rFonts w:ascii="Arial" w:hAnsi="Arial" w:cs="Arial"/>
          <w:sz w:val="20"/>
        </w:rPr>
        <w:t>ie</w:t>
      </w:r>
      <w:proofErr w:type="spellEnd"/>
      <w:r w:rsidRPr="006A01A0">
        <w:rPr>
          <w:rFonts w:ascii="Arial" w:hAnsi="Arial" w:cs="Arial"/>
          <w:sz w:val="20"/>
        </w:rPr>
        <w:t>, equivalent to being dead).</w:t>
      </w:r>
    </w:p>
    <w:p w:rsidR="006B41CA" w:rsidRPr="006A01A0" w:rsidRDefault="006B41CA" w:rsidP="00865AC9">
      <w:pPr>
        <w:pStyle w:val="Box"/>
        <w:keepNext/>
        <w:rPr>
          <w:rFonts w:ascii="Arial" w:hAnsi="Arial" w:cs="Arial"/>
          <w:sz w:val="20"/>
        </w:rPr>
      </w:pPr>
      <w:r w:rsidRPr="006A01A0">
        <w:rPr>
          <w:rFonts w:ascii="Arial" w:hAnsi="Arial" w:cs="Arial"/>
          <w:sz w:val="20"/>
        </w:rPr>
        <w:t>For this reason, YLDs and YLLs are commensurate and can simply be added together to estimate DALYs. So one DALY represents the loss of one year lived in full health:</w:t>
      </w:r>
    </w:p>
    <w:p w:rsidR="006B41CA" w:rsidRPr="006A01A0" w:rsidRDefault="00733F16" w:rsidP="00865AC9">
      <w:pPr>
        <w:pStyle w:val="Box"/>
        <w:keepNext/>
        <w:ind w:left="851" w:hanging="567"/>
        <w:rPr>
          <w:rFonts w:ascii="Arial" w:hAnsi="Arial" w:cs="Arial"/>
          <w:sz w:val="20"/>
        </w:rPr>
      </w:pPr>
      <w:r w:rsidRPr="006A01A0">
        <w:rPr>
          <w:rFonts w:ascii="Arial" w:hAnsi="Arial" w:cs="Arial"/>
          <w:sz w:val="20"/>
        </w:rPr>
        <w:tab/>
      </w:r>
      <w:r w:rsidR="006B41CA" w:rsidRPr="006A01A0">
        <w:rPr>
          <w:rFonts w:ascii="Arial" w:hAnsi="Arial" w:cs="Arial"/>
          <w:sz w:val="20"/>
        </w:rPr>
        <w:t>DALY = YLL + YLD</w:t>
      </w:r>
    </w:p>
    <w:p w:rsidR="006B41CA" w:rsidRDefault="006B41CA" w:rsidP="00733F16">
      <w:pPr>
        <w:pStyle w:val="Box"/>
        <w:rPr>
          <w:rFonts w:ascii="Arial" w:hAnsi="Arial" w:cs="Arial"/>
          <w:sz w:val="20"/>
        </w:rPr>
      </w:pPr>
      <w:r w:rsidRPr="006A01A0">
        <w:rPr>
          <w:rFonts w:ascii="Arial" w:hAnsi="Arial" w:cs="Arial"/>
          <w:sz w:val="20"/>
        </w:rPr>
        <w:t xml:space="preserve">Note that the DALYs lost by a population represent the </w:t>
      </w:r>
      <w:r w:rsidRPr="006A01A0">
        <w:rPr>
          <w:rFonts w:ascii="Arial" w:hAnsi="Arial" w:cs="Arial"/>
          <w:b/>
          <w:sz w:val="20"/>
        </w:rPr>
        <w:t>residual</w:t>
      </w:r>
      <w:r w:rsidRPr="006A01A0">
        <w:rPr>
          <w:rFonts w:ascii="Arial" w:hAnsi="Arial" w:cs="Arial"/>
          <w:i/>
          <w:sz w:val="20"/>
        </w:rPr>
        <w:t xml:space="preserve"> </w:t>
      </w:r>
      <w:r w:rsidRPr="006A01A0">
        <w:rPr>
          <w:rFonts w:ascii="Arial" w:hAnsi="Arial" w:cs="Arial"/>
          <w:sz w:val="20"/>
        </w:rPr>
        <w:t>health loss experienced by that population in the index year – that is, the health loss that remains despite</w:t>
      </w:r>
      <w:r>
        <w:t xml:space="preserve"> </w:t>
      </w:r>
      <w:r w:rsidRPr="006A01A0">
        <w:rPr>
          <w:rFonts w:ascii="Arial" w:hAnsi="Arial" w:cs="Arial"/>
          <w:sz w:val="20"/>
        </w:rPr>
        <w:t xml:space="preserve">consumption of health care (including prevention, treatment, </w:t>
      </w:r>
      <w:proofErr w:type="gramStart"/>
      <w:r w:rsidRPr="006A01A0">
        <w:rPr>
          <w:rFonts w:ascii="Arial" w:hAnsi="Arial" w:cs="Arial"/>
          <w:sz w:val="20"/>
        </w:rPr>
        <w:t>rehabilitation</w:t>
      </w:r>
      <w:proofErr w:type="gramEnd"/>
      <w:r w:rsidRPr="006A01A0">
        <w:rPr>
          <w:rFonts w:ascii="Arial" w:hAnsi="Arial" w:cs="Arial"/>
          <w:sz w:val="20"/>
        </w:rPr>
        <w:t xml:space="preserve"> and palliation services).</w:t>
      </w:r>
    </w:p>
    <w:p w:rsidR="0094490A" w:rsidRDefault="0094490A" w:rsidP="00733F16">
      <w:pPr>
        <w:pStyle w:val="Box"/>
      </w:pPr>
      <w:r>
        <w:rPr>
          <w:rFonts w:ascii="Arial" w:hAnsi="Arial" w:cs="Arial"/>
          <w:sz w:val="20"/>
        </w:rPr>
        <w:t>For definitions of other technical terms used in this report, please see the Glossary (page</w:t>
      </w:r>
      <w:r w:rsidR="002B7E97">
        <w:rPr>
          <w:rFonts w:ascii="Arial" w:hAnsi="Arial" w:cs="Arial"/>
          <w:sz w:val="20"/>
        </w:rPr>
        <w:t>s</w:t>
      </w:r>
      <w:r>
        <w:rPr>
          <w:rFonts w:ascii="Arial" w:hAnsi="Arial" w:cs="Arial"/>
          <w:sz w:val="20"/>
        </w:rPr>
        <w:t xml:space="preserve"> </w:t>
      </w:r>
      <w:r w:rsidR="002B7E97">
        <w:rPr>
          <w:rFonts w:ascii="Arial" w:hAnsi="Arial" w:cs="Arial"/>
          <w:sz w:val="20"/>
        </w:rPr>
        <w:fldChar w:fldCharType="begin"/>
      </w:r>
      <w:r w:rsidR="002B7E97">
        <w:rPr>
          <w:rFonts w:ascii="Arial" w:hAnsi="Arial" w:cs="Arial"/>
          <w:sz w:val="20"/>
        </w:rPr>
        <w:instrText xml:space="preserve"> PAGEREF _Ref456273401 \h </w:instrText>
      </w:r>
      <w:r w:rsidR="002B7E97">
        <w:rPr>
          <w:rFonts w:ascii="Arial" w:hAnsi="Arial" w:cs="Arial"/>
          <w:sz w:val="20"/>
        </w:rPr>
      </w:r>
      <w:r w:rsidR="002B7E97">
        <w:rPr>
          <w:rFonts w:ascii="Arial" w:hAnsi="Arial" w:cs="Arial"/>
          <w:sz w:val="20"/>
        </w:rPr>
        <w:fldChar w:fldCharType="separate"/>
      </w:r>
      <w:r w:rsidR="006C545C">
        <w:rPr>
          <w:rFonts w:ascii="Arial" w:hAnsi="Arial" w:cs="Arial"/>
          <w:noProof/>
          <w:sz w:val="20"/>
        </w:rPr>
        <w:t>43</w:t>
      </w:r>
      <w:r w:rsidR="002B7E97">
        <w:rPr>
          <w:rFonts w:ascii="Arial" w:hAnsi="Arial" w:cs="Arial"/>
          <w:sz w:val="20"/>
        </w:rPr>
        <w:fldChar w:fldCharType="end"/>
      </w:r>
      <w:r w:rsidRPr="002B7E97">
        <w:rPr>
          <w:rFonts w:ascii="Arial" w:hAnsi="Arial" w:cs="Arial"/>
          <w:sz w:val="20"/>
        </w:rPr>
        <w:t>–</w:t>
      </w:r>
      <w:r w:rsidR="002B7E97" w:rsidRPr="002B7E97">
        <w:rPr>
          <w:rFonts w:ascii="Arial" w:hAnsi="Arial" w:cs="Arial"/>
          <w:sz w:val="20"/>
        </w:rPr>
        <w:fldChar w:fldCharType="begin"/>
      </w:r>
      <w:r w:rsidR="002B7E97" w:rsidRPr="002B7E97">
        <w:rPr>
          <w:rFonts w:ascii="Arial" w:hAnsi="Arial" w:cs="Arial"/>
          <w:sz w:val="20"/>
        </w:rPr>
        <w:instrText xml:space="preserve"> PAGEREF End_Glossary \h </w:instrText>
      </w:r>
      <w:r w:rsidR="002B7E97" w:rsidRPr="002B7E97">
        <w:rPr>
          <w:rFonts w:ascii="Arial" w:hAnsi="Arial" w:cs="Arial"/>
          <w:sz w:val="20"/>
        </w:rPr>
      </w:r>
      <w:r w:rsidR="002B7E97" w:rsidRPr="002B7E97">
        <w:rPr>
          <w:rFonts w:ascii="Arial" w:hAnsi="Arial" w:cs="Arial"/>
          <w:sz w:val="20"/>
        </w:rPr>
        <w:fldChar w:fldCharType="separate"/>
      </w:r>
      <w:r w:rsidR="006C545C">
        <w:rPr>
          <w:rFonts w:ascii="Arial" w:hAnsi="Arial" w:cs="Arial"/>
          <w:noProof/>
          <w:sz w:val="20"/>
        </w:rPr>
        <w:t>44</w:t>
      </w:r>
      <w:r w:rsidR="002B7E97" w:rsidRPr="002B7E97">
        <w:rPr>
          <w:rFonts w:ascii="Arial" w:hAnsi="Arial" w:cs="Arial"/>
          <w:sz w:val="20"/>
        </w:rPr>
        <w:fldChar w:fldCharType="end"/>
      </w:r>
      <w:r w:rsidRPr="002B7E97">
        <w:rPr>
          <w:rFonts w:ascii="Arial" w:hAnsi="Arial" w:cs="Arial"/>
          <w:sz w:val="20"/>
        </w:rPr>
        <w:t>).</w:t>
      </w:r>
    </w:p>
    <w:p w:rsidR="00263C33" w:rsidRDefault="00263C33">
      <w:pPr>
        <w:spacing w:line="240" w:lineRule="auto"/>
      </w:pPr>
    </w:p>
    <w:p w:rsidR="00263C33" w:rsidRDefault="00263C33" w:rsidP="00135BAE">
      <w:pPr>
        <w:pStyle w:val="Heading1"/>
      </w:pPr>
      <w:bookmarkStart w:id="13" w:name="_Toc456270667"/>
      <w:bookmarkStart w:id="14" w:name="_Ref456273231"/>
      <w:bookmarkStart w:id="15" w:name="_Ref456273234"/>
      <w:r>
        <w:lastRenderedPageBreak/>
        <w:t>K</w:t>
      </w:r>
      <w:r w:rsidRPr="00B307A9">
        <w:t>ey findings</w:t>
      </w:r>
      <w:bookmarkEnd w:id="13"/>
      <w:bookmarkEnd w:id="14"/>
      <w:bookmarkEnd w:id="15"/>
    </w:p>
    <w:p w:rsidR="00263C33" w:rsidRDefault="00263C33" w:rsidP="00263C33">
      <w:pPr>
        <w:pStyle w:val="Heading2"/>
      </w:pPr>
      <w:bookmarkStart w:id="16" w:name="_Toc456270668"/>
      <w:r w:rsidRPr="000171CF">
        <w:t>Health loss from all causes</w:t>
      </w:r>
      <w:bookmarkEnd w:id="16"/>
    </w:p>
    <w:p w:rsidR="00263C33" w:rsidRDefault="00263C33" w:rsidP="00263C33">
      <w:pPr>
        <w:pStyle w:val="Bullet"/>
      </w:pPr>
      <w:r>
        <w:t>New Zealanders lose about 1 million disability-adjusted life years (DALYs) per year.</w:t>
      </w:r>
    </w:p>
    <w:p w:rsidR="00263C33" w:rsidRDefault="00263C33" w:rsidP="00263C33">
      <w:pPr>
        <w:pStyle w:val="Bullet"/>
      </w:pPr>
      <w:r>
        <w:t>Adjusting for population size and age structure, males lose 15% more health than females.</w:t>
      </w:r>
    </w:p>
    <w:p w:rsidR="00263C33" w:rsidRDefault="00263C33" w:rsidP="00263C33">
      <w:pPr>
        <w:pStyle w:val="Bullet"/>
      </w:pPr>
      <w:r>
        <w:t>Older people make up 12% of the population but experience one-third of all health lost.</w:t>
      </w:r>
    </w:p>
    <w:p w:rsidR="00263C33" w:rsidRPr="00FE3097" w:rsidRDefault="00263C33" w:rsidP="00263C33">
      <w:pPr>
        <w:pStyle w:val="Bullet"/>
        <w:rPr>
          <w:spacing w:val="-2"/>
        </w:rPr>
      </w:pPr>
      <w:r w:rsidRPr="00FE3097">
        <w:rPr>
          <w:spacing w:val="-2"/>
        </w:rPr>
        <w:t>By contrast, children make up 20% of the population but account for only 7% of all health lost.</w:t>
      </w:r>
    </w:p>
    <w:p w:rsidR="00263C33" w:rsidRDefault="00263C33" w:rsidP="00263C33">
      <w:pPr>
        <w:pStyle w:val="Bullet"/>
      </w:pPr>
      <w:r>
        <w:t>Absolute health loss is increasing slowly over time, from 950,000 DALYs in 1990 to 1,100,000 DALYs in 2013 for the whole population.</w:t>
      </w:r>
    </w:p>
    <w:p w:rsidR="00263C33" w:rsidRDefault="00263C33" w:rsidP="00263C33">
      <w:pPr>
        <w:pStyle w:val="Bullet"/>
      </w:pPr>
      <w:r>
        <w:t>However, once adjusted for growth in population size and structural ageing of the population, health loss has been steadily declining over the past quarter century, by 1.2% per year on average.</w:t>
      </w:r>
    </w:p>
    <w:p w:rsidR="00263C33" w:rsidRPr="00FE3097" w:rsidRDefault="00263C33" w:rsidP="00263C33">
      <w:pPr>
        <w:pStyle w:val="Bullet"/>
        <w:rPr>
          <w:spacing w:val="-2"/>
        </w:rPr>
      </w:pPr>
      <w:r>
        <w:rPr>
          <w:spacing w:val="-2"/>
        </w:rPr>
        <w:t>T</w:t>
      </w:r>
      <w:r w:rsidRPr="00FE3097">
        <w:rPr>
          <w:spacing w:val="-2"/>
        </w:rPr>
        <w:t>he health of youth and young adults has been improving more slowly than that of other age groups.</w:t>
      </w:r>
    </w:p>
    <w:p w:rsidR="00263C33" w:rsidRDefault="00263C33" w:rsidP="00263C33"/>
    <w:p w:rsidR="00263C33" w:rsidRDefault="00263C33" w:rsidP="00263C33">
      <w:pPr>
        <w:pStyle w:val="Heading2"/>
      </w:pPr>
      <w:bookmarkStart w:id="17" w:name="_Toc456270669"/>
      <w:r w:rsidRPr="000171CF">
        <w:t>Disability and epidemiological transitions</w:t>
      </w:r>
      <w:bookmarkEnd w:id="17"/>
    </w:p>
    <w:p w:rsidR="00263C33" w:rsidRDefault="00263C33" w:rsidP="00263C33">
      <w:pPr>
        <w:pStyle w:val="Bullet"/>
      </w:pPr>
      <w:r>
        <w:t>Premature mortality was the main cause of health loss in New Zealand until 2000–2005.</w:t>
      </w:r>
    </w:p>
    <w:p w:rsidR="00263C33" w:rsidRDefault="00263C33" w:rsidP="00263C33">
      <w:pPr>
        <w:pStyle w:val="Bullet"/>
      </w:pPr>
      <w:r>
        <w:t>Since 2000–2005, however, morbidity (non-fatal outcomes – years lived with disability, YLD) has overtaken mortality (fatal outcomes – years of life lost, YLL) as the main cause of health loss. This change is the ‘disability transition’.</w:t>
      </w:r>
    </w:p>
    <w:p w:rsidR="00263C33" w:rsidRDefault="00263C33" w:rsidP="00263C33">
      <w:pPr>
        <w:pStyle w:val="Bullet"/>
      </w:pPr>
      <w:r>
        <w:t>The reason for this transition is that premature mortality (the YLL rate) has declined steadily, while morbidity (the YLD rate) has remained fairly stable.</w:t>
      </w:r>
    </w:p>
    <w:p w:rsidR="00263C33" w:rsidRDefault="00263C33" w:rsidP="00263C33">
      <w:pPr>
        <w:pStyle w:val="Bullet"/>
      </w:pPr>
      <w:r>
        <w:t>In other words, over the past quarter century New Zealand has been more successful in preventing early death than in preventing or ameliorating non-fatal illness or disability.</w:t>
      </w:r>
    </w:p>
    <w:p w:rsidR="00263C33" w:rsidRDefault="00263C33" w:rsidP="00263C33">
      <w:pPr>
        <w:pStyle w:val="Bullet"/>
      </w:pPr>
      <w:r>
        <w:t>Underlying these trends in mortality and morbidity has been another transition: long-term mental and physical conditions (the so-called non-communicable diseases or NCDs) have displaced infectious diseases, nutritional deficiency diseases, and maternal and neonatal disorders (the so-called ‘pre-transitional disorders’) as the leading causes of health loss. New Zealand is well advanced along this ‘epidemiological transition’: pre-transitional disorders now account for less than 4% of all health lost by the population as a whole.</w:t>
      </w:r>
    </w:p>
    <w:p w:rsidR="00263C33" w:rsidRDefault="00263C33" w:rsidP="00263C33">
      <w:pPr>
        <w:pStyle w:val="Bullet"/>
      </w:pPr>
      <w:r>
        <w:t>By contrast, NCDs now account for 88% of health loss (up from 82% in 1990) and injuries for the remaining 8% (down from 12% in 1990).</w:t>
      </w:r>
    </w:p>
    <w:p w:rsidR="00263C33" w:rsidRDefault="00263C33" w:rsidP="00263C33"/>
    <w:p w:rsidR="00263C33" w:rsidRDefault="00263C33" w:rsidP="00263C33">
      <w:pPr>
        <w:pStyle w:val="Heading2"/>
      </w:pPr>
      <w:bookmarkStart w:id="18" w:name="_Toc456270670"/>
      <w:r>
        <w:t>Health loss by condition group</w:t>
      </w:r>
      <w:bookmarkEnd w:id="18"/>
    </w:p>
    <w:p w:rsidR="00263C33" w:rsidRDefault="00263C33" w:rsidP="00263C33">
      <w:pPr>
        <w:pStyle w:val="Bullet"/>
      </w:pPr>
      <w:r>
        <w:t>Among condition groups, neuropsychiatric disorders are now the leading cause of health loss in the population as a whole, accounting for 19% of total DALYs.</w:t>
      </w:r>
    </w:p>
    <w:p w:rsidR="00263C33" w:rsidRDefault="00263C33" w:rsidP="00263C33">
      <w:pPr>
        <w:pStyle w:val="Bullet"/>
      </w:pPr>
      <w:r>
        <w:t>Cancers account for 17% of health loss; cardiovascular diseases including diabetes for 17%; musculoskeletal disorders for 13%; and the complex of chronic lung, liver and kidney disease for almost 10%.</w:t>
      </w:r>
    </w:p>
    <w:p w:rsidR="00263C33" w:rsidRDefault="00263C33" w:rsidP="00263C33">
      <w:pPr>
        <w:pStyle w:val="Bullet"/>
      </w:pPr>
      <w:r>
        <w:lastRenderedPageBreak/>
        <w:t>Major sex differences are found for: injury, which is a more important cause of health loss among males (11% of total DALYs versus 5% for females); and neuropsychiatric disorders, which impact more on females (22% of total DALYs versus 16% for males).</w:t>
      </w:r>
    </w:p>
    <w:p w:rsidR="00263C33" w:rsidRDefault="00263C33" w:rsidP="00263C33">
      <w:pPr>
        <w:pStyle w:val="Bullet"/>
      </w:pPr>
      <w:r>
        <w:t>Causes of health loss differ over the lifecycle. For children, pre-transitional disorders (mainly infectious diseases and neonatal disorders) and birth defects are still by far the leading cause</w:t>
      </w:r>
      <w:r w:rsidR="007F1117">
        <w:t>s</w:t>
      </w:r>
      <w:r>
        <w:t xml:space="preserve"> of health loss among the condition groups, accounting for over 40% of all health lost.</w:t>
      </w:r>
    </w:p>
    <w:p w:rsidR="00263C33" w:rsidRDefault="00263C33" w:rsidP="00263C33">
      <w:pPr>
        <w:pStyle w:val="Bullet"/>
      </w:pPr>
      <w:r>
        <w:t>Injuries are ranked second in both children and youth, accounting for 10% and 23% of health loss respectively.</w:t>
      </w:r>
    </w:p>
    <w:p w:rsidR="00263C33" w:rsidRDefault="00263C33" w:rsidP="00263C33">
      <w:pPr>
        <w:pStyle w:val="Bullet"/>
      </w:pPr>
      <w:r>
        <w:t>Neuropsychiatric disorders are the leading cause of health loss in both youth and young adults (</w:t>
      </w:r>
      <w:proofErr w:type="spellStart"/>
      <w:r>
        <w:t>ie</w:t>
      </w:r>
      <w:proofErr w:type="spellEnd"/>
      <w:r>
        <w:t>, from ages 15–44 years), accounting for one-third of all health lost in both groups.</w:t>
      </w:r>
    </w:p>
    <w:p w:rsidR="00263C33" w:rsidRDefault="00263C33" w:rsidP="00263C33">
      <w:pPr>
        <w:pStyle w:val="Bullet"/>
      </w:pPr>
      <w:r>
        <w:t>The major chronic physical disorders – cancers, cardiovascular disorders and musculoskeletal disorders – are the main causes of health loss from middle age on, although neuropsychiatric disorders continue to be important.</w:t>
      </w:r>
    </w:p>
    <w:p w:rsidR="00263C33" w:rsidRDefault="00263C33" w:rsidP="00263C33">
      <w:pPr>
        <w:pStyle w:val="Bullet"/>
      </w:pPr>
      <w:r>
        <w:t>Adjusting for demographic trends, health loss from cardiovascular disorders, injuries and pre-transitional conditions is declining steeply; health loss from cancers and other NCDs is declining slowly; while health loss from neuropsychiatric and musculoskeletal disorders is increasing slowly.</w:t>
      </w:r>
    </w:p>
    <w:p w:rsidR="00263C33" w:rsidRDefault="00263C33" w:rsidP="00263C33">
      <w:pPr>
        <w:pStyle w:val="Bullet"/>
      </w:pPr>
      <w:r>
        <w:t>As a result, neuropsychiatric disorders overtook cardiovascular disorders and cancers in or around the year 2000 to become the leading cause of health loss among the condition groups. Cancer in its turn overtook cardiovascular disease in or around the year 2010 to become the second-ranked cause, relegating cardiovascular disease to third place.</w:t>
      </w:r>
    </w:p>
    <w:p w:rsidR="00263C33" w:rsidRDefault="00263C33" w:rsidP="00263C33"/>
    <w:p w:rsidR="00263C33" w:rsidRDefault="00263C33" w:rsidP="00263C33">
      <w:pPr>
        <w:pStyle w:val="Heading2"/>
      </w:pPr>
      <w:bookmarkStart w:id="19" w:name="_Toc456270671"/>
      <w:r w:rsidRPr="00901531">
        <w:t>Health loss from specific causes</w:t>
      </w:r>
      <w:bookmarkEnd w:id="19"/>
    </w:p>
    <w:p w:rsidR="00263C33" w:rsidRDefault="00263C33" w:rsidP="00263C33">
      <w:pPr>
        <w:pStyle w:val="Bullet"/>
      </w:pPr>
      <w:r>
        <w:t>Among males, coronary heart disease (CHD) is the leading specific cause of health loss in the population as a whole, accounting for 10% of all health lost, followed by back disorders (mainly lower back pain and neck pain) (8%).</w:t>
      </w:r>
    </w:p>
    <w:p w:rsidR="00263C33" w:rsidRDefault="00263C33" w:rsidP="00263C33">
      <w:pPr>
        <w:pStyle w:val="Bullet"/>
      </w:pPr>
      <w:r>
        <w:t>This rank order is reversed among females, with back disorders ranked first (10%) and CHD second (6%).</w:t>
      </w:r>
    </w:p>
    <w:p w:rsidR="00263C33" w:rsidRDefault="00263C33" w:rsidP="00263C33">
      <w:pPr>
        <w:pStyle w:val="Bullet"/>
      </w:pPr>
      <w:r>
        <w:t>The remaining ‘top five’ conditions are (in order): chronic obstructive pulmonary disease (COPD), lung cancer and transport injury in males; and depressive disorders, COPD and dementia in females.</w:t>
      </w:r>
    </w:p>
    <w:p w:rsidR="00263C33" w:rsidRPr="002B1C25" w:rsidRDefault="00263C33" w:rsidP="00263C33">
      <w:pPr>
        <w:pStyle w:val="Bullet"/>
      </w:pPr>
      <w:r>
        <w:t xml:space="preserve">Although not in the top five, diabetes has advanced the furthest in rank since 1990: from </w:t>
      </w:r>
      <w:r w:rsidRPr="002B1C25">
        <w:t>16</w:t>
      </w:r>
      <w:r w:rsidRPr="00404D64">
        <w:t>th</w:t>
      </w:r>
      <w:r w:rsidRPr="002B1C25">
        <w:t xml:space="preserve"> to 7</w:t>
      </w:r>
      <w:r w:rsidRPr="00404D64">
        <w:t>th</w:t>
      </w:r>
      <w:r w:rsidRPr="002B1C25">
        <w:t xml:space="preserve"> for males</w:t>
      </w:r>
      <w:r>
        <w:t>;</w:t>
      </w:r>
      <w:r w:rsidRPr="002B1C25">
        <w:t xml:space="preserve"> and from 22</w:t>
      </w:r>
      <w:r w:rsidRPr="00404D64">
        <w:t>nd</w:t>
      </w:r>
      <w:r w:rsidRPr="002B1C25">
        <w:t xml:space="preserve"> to 12</w:t>
      </w:r>
      <w:r w:rsidRPr="00404D64">
        <w:t>th</w:t>
      </w:r>
      <w:r w:rsidRPr="002B1C25">
        <w:t xml:space="preserve"> for females.</w:t>
      </w:r>
    </w:p>
    <w:p w:rsidR="00263C33" w:rsidRPr="002B1C25" w:rsidRDefault="00263C33" w:rsidP="00263C33">
      <w:pPr>
        <w:pStyle w:val="Bullet"/>
      </w:pPr>
      <w:r w:rsidRPr="002B1C25">
        <w:t>Dementia has also risen rapidly through the ranks: from 22</w:t>
      </w:r>
      <w:r w:rsidRPr="00404D64">
        <w:t>nd</w:t>
      </w:r>
      <w:r w:rsidRPr="002B1C25">
        <w:t xml:space="preserve"> to 13</w:t>
      </w:r>
      <w:r w:rsidRPr="00404D64">
        <w:t>th</w:t>
      </w:r>
      <w:r w:rsidRPr="002B1C25">
        <w:t xml:space="preserve"> for males</w:t>
      </w:r>
      <w:r>
        <w:t>;</w:t>
      </w:r>
      <w:r w:rsidRPr="002B1C25">
        <w:t xml:space="preserve"> and from 11</w:t>
      </w:r>
      <w:r w:rsidRPr="00404D64">
        <w:t>th</w:t>
      </w:r>
      <w:r w:rsidRPr="002B1C25">
        <w:t xml:space="preserve"> to 5</w:t>
      </w:r>
      <w:r w:rsidRPr="00404D64">
        <w:t>th</w:t>
      </w:r>
      <w:r w:rsidRPr="002B1C25">
        <w:t xml:space="preserve"> for females.</w:t>
      </w:r>
    </w:p>
    <w:p w:rsidR="00263C33" w:rsidRDefault="00263C33" w:rsidP="00263C33">
      <w:pPr>
        <w:pStyle w:val="Bullet"/>
      </w:pPr>
      <w:r>
        <w:t>The contribution of specific causes to health loss varies widely by lifecycle stage. Among children, birth defects are the leading specific cause (13.4%), followed by neonatal disorders (13.1%).</w:t>
      </w:r>
    </w:p>
    <w:p w:rsidR="00263C33" w:rsidRDefault="00263C33" w:rsidP="00263C33">
      <w:pPr>
        <w:pStyle w:val="Bullet"/>
      </w:pPr>
      <w:r>
        <w:t>Back disorders are the leading specific cause of health loss from age 15–64 years.</w:t>
      </w:r>
    </w:p>
    <w:p w:rsidR="00263C33" w:rsidRDefault="00263C33" w:rsidP="00263C33">
      <w:pPr>
        <w:pStyle w:val="Bullet"/>
      </w:pPr>
      <w:r>
        <w:t>Other important causes among youth and young adults are transport injuries, self-harm, addiction disorders, and anxiety and depressive disorders.</w:t>
      </w:r>
    </w:p>
    <w:p w:rsidR="00263C33" w:rsidRDefault="00263C33" w:rsidP="00263C33">
      <w:pPr>
        <w:pStyle w:val="Bullet"/>
      </w:pPr>
      <w:r>
        <w:t>Back disorders and depressive disorders continue to be leading causes of health loss in middle age, but are joined in the top five by CHD, lung cancer and COPD.</w:t>
      </w:r>
    </w:p>
    <w:p w:rsidR="00263C33" w:rsidRDefault="00263C33" w:rsidP="00263C33">
      <w:pPr>
        <w:pStyle w:val="Bullet"/>
      </w:pPr>
      <w:r>
        <w:t>Among older people, neither back disorders nor depressive disorders rank in the top five. Instead, CHD, dementia, lung cancer, COPD and stroke comprise the leading specific causes of health loss in this age group.</w:t>
      </w:r>
    </w:p>
    <w:p w:rsidR="00263C33" w:rsidRDefault="00263C33" w:rsidP="00263C33">
      <w:pPr>
        <w:pStyle w:val="Bullet"/>
      </w:pPr>
      <w:r>
        <w:lastRenderedPageBreak/>
        <w:t>Despite rising through the ranks, health loss from diabetes is no longer increasing once demographic trends are taken into account. Burden has become decoupled from prevalence (which is still increasing), reflecting more effective health care for this disease.</w:t>
      </w:r>
    </w:p>
    <w:p w:rsidR="00263C33" w:rsidRDefault="00263C33" w:rsidP="00263C33">
      <w:pPr>
        <w:pStyle w:val="Bullet"/>
      </w:pPr>
      <w:r>
        <w:t>Rates of health loss (adjusted, where relevant, for trends in population age structure) are also decreasing for most other major specific causes. The steepest fall (71%) has been for health loss from sudden unexpected death in infancy</w:t>
      </w:r>
      <w:r w:rsidRPr="00244A3C">
        <w:t xml:space="preserve"> </w:t>
      </w:r>
      <w:r>
        <w:t xml:space="preserve">(SUDI), </w:t>
      </w:r>
      <w:r w:rsidR="007E7B56">
        <w:t xml:space="preserve">most probably </w:t>
      </w:r>
      <w:r>
        <w:t>reflecting the change in preferred sleeping position for infants since the early 1990s.</w:t>
      </w:r>
    </w:p>
    <w:p w:rsidR="00263C33" w:rsidRDefault="00263C33" w:rsidP="00263C33"/>
    <w:p w:rsidR="00263C33" w:rsidRDefault="00263C33" w:rsidP="00263C33">
      <w:pPr>
        <w:pStyle w:val="Heading2"/>
      </w:pPr>
      <w:bookmarkStart w:id="20" w:name="_Toc456270672"/>
      <w:r w:rsidRPr="00990301">
        <w:t>Health loss attributable to risk factors</w:t>
      </w:r>
      <w:bookmarkEnd w:id="20"/>
    </w:p>
    <w:p w:rsidR="00263C33" w:rsidRDefault="00263C33" w:rsidP="00263C33">
      <w:pPr>
        <w:pStyle w:val="Bullet"/>
      </w:pPr>
      <w:r>
        <w:t>Over one-third (38%) of all health lost by the New Zealand population as a whole is caused by known modifiable risk factors (</w:t>
      </w:r>
      <w:proofErr w:type="spellStart"/>
      <w:r>
        <w:t>ie</w:t>
      </w:r>
      <w:proofErr w:type="spellEnd"/>
      <w:r>
        <w:t>, is potentially preventable through reducing exposure to these hazards). This estimate is adjusted for overlaps, whereby one risk factor mediates the impact of another.</w:t>
      </w:r>
    </w:p>
    <w:p w:rsidR="00263C33" w:rsidRDefault="00263C33" w:rsidP="00263C33">
      <w:pPr>
        <w:pStyle w:val="Bullet"/>
      </w:pPr>
      <w:r>
        <w:t>Behavioural risks account for 25% of all health lost, biological risks for 19%, and occupational and environmental hazards for 4%. (These proportions cannot simply be added together because of mediation.)</w:t>
      </w:r>
    </w:p>
    <w:p w:rsidR="00263C33" w:rsidRDefault="00263C33" w:rsidP="00263C33">
      <w:pPr>
        <w:pStyle w:val="Bullet"/>
      </w:pPr>
      <w:r>
        <w:t>Adjusting for demographic trends, health losses from all risk clusters have been falling over the past quarter century (by 2.2% per year</w:t>
      </w:r>
      <w:r w:rsidRPr="00244A3C">
        <w:t xml:space="preserve"> </w:t>
      </w:r>
      <w:r>
        <w:t>for behavioural, 2.0% for</w:t>
      </w:r>
      <w:r w:rsidRPr="00244A3C">
        <w:t xml:space="preserve"> </w:t>
      </w:r>
      <w:r>
        <w:t>biological and 1.5% for occupational and environmental clusters).</w:t>
      </w:r>
    </w:p>
    <w:p w:rsidR="00263C33" w:rsidRDefault="00263C33" w:rsidP="00263C33">
      <w:pPr>
        <w:pStyle w:val="Bullet"/>
      </w:pPr>
      <w:r>
        <w:t xml:space="preserve">Dietary risks are the leading cause of health loss among specific risk factors (accounting for 9.4% of total DALYs). However, diet is actually a composite risk factor. Within diet, low fruit and vegetable intake and high salt intake are the leading risks, accounting for 2.5% and </w:t>
      </w:r>
      <w:r w:rsidRPr="000215A2">
        <w:t>1.3%</w:t>
      </w:r>
      <w:r>
        <w:t xml:space="preserve"> of total DALYs respectively.</w:t>
      </w:r>
    </w:p>
    <w:p w:rsidR="00263C33" w:rsidRDefault="00263C33" w:rsidP="00263C33">
      <w:pPr>
        <w:pStyle w:val="Bullet"/>
      </w:pPr>
      <w:r>
        <w:t>High body mass index (BMI) has probably now overtaken tobacco as a risk factor. Higher than optimal BMI might now account for as much as 9.2% of all health lost, compared with 8.7% for tobacco.</w:t>
      </w:r>
    </w:p>
    <w:p w:rsidR="00263C33" w:rsidRDefault="00263C33" w:rsidP="00263C33">
      <w:pPr>
        <w:pStyle w:val="Bullet"/>
      </w:pPr>
      <w:r>
        <w:t>High blood pressure is another major cause of health loss, accounting for 8.3% of total DALYs.</w:t>
      </w:r>
    </w:p>
    <w:p w:rsidR="00263C33" w:rsidRDefault="00263C33" w:rsidP="00263C33">
      <w:pPr>
        <w:pStyle w:val="Bullet"/>
      </w:pPr>
      <w:r>
        <w:t>High blood glucose (including both diabetes and so-called ‘pre-diabetes’) accounts for 5.7% of all health lost. High total blood cholesterol accounts for 4.5%.</w:t>
      </w:r>
    </w:p>
    <w:p w:rsidR="00263C33" w:rsidRDefault="00263C33" w:rsidP="00263C33">
      <w:pPr>
        <w:pStyle w:val="Bullet"/>
      </w:pPr>
      <w:r>
        <w:t>Alcohol accounts for just under 4% of health loss, net of its protective effects against cardiovascular disease.</w:t>
      </w:r>
      <w:r w:rsidR="0099319A">
        <w:t xml:space="preserve"> Illegal drug use accounts for 2.3%.</w:t>
      </w:r>
    </w:p>
    <w:p w:rsidR="00263C33" w:rsidRDefault="00263C33" w:rsidP="00263C33">
      <w:pPr>
        <w:pStyle w:val="Bullet"/>
      </w:pPr>
      <w:r>
        <w:t>Low levels of physical activity are estimated to account for approximately 3% of all health lost.</w:t>
      </w:r>
    </w:p>
    <w:p w:rsidR="00263C33" w:rsidRDefault="00263C33" w:rsidP="00263C33">
      <w:pPr>
        <w:pStyle w:val="Bullet"/>
      </w:pPr>
      <w:r>
        <w:t>The burden caused by all major specific risk factors is declining (once adjusted for demographic trends</w:t>
      </w:r>
      <w:r w:rsidR="0099319A">
        <w:t>). The sole exception is illegal</w:t>
      </w:r>
      <w:r>
        <w:t xml:space="preserve"> drug use, for which the attributable burden is increasing slowly.</w:t>
      </w:r>
    </w:p>
    <w:p w:rsidR="00263C33" w:rsidRPr="00990301" w:rsidRDefault="00263C33" w:rsidP="00263C33">
      <w:pPr>
        <w:pStyle w:val="Bullet"/>
      </w:pPr>
      <w:r>
        <w:t>The burdens caused by high BMI and high blood glucose are falling (although slowly), once adjusted for trends in population size and age structure. This trend has occurred even though the prevalence of these risk factors continues to increase. The main reasons for this decoupling of burden from prevalence are that (1) health care has improved for some of the diseases that these risk factors act through (the ‘linked conditions’) and (2) the total burdens of these linked conditions have fallen because exposure to other risk factors (such as tobacco) has declined.</w:t>
      </w:r>
    </w:p>
    <w:p w:rsidR="00263C33" w:rsidRDefault="00263C33" w:rsidP="00263C33"/>
    <w:p w:rsidR="00263C33" w:rsidRDefault="00263C33" w:rsidP="00263C33">
      <w:pPr>
        <w:pStyle w:val="Heading2"/>
      </w:pPr>
      <w:bookmarkStart w:id="21" w:name="_Toc456270673"/>
      <w:r w:rsidRPr="00EE2F83">
        <w:lastRenderedPageBreak/>
        <w:t>Health expectancy and the compression of morbidity</w:t>
      </w:r>
      <w:bookmarkEnd w:id="21"/>
    </w:p>
    <w:p w:rsidR="00263C33" w:rsidRDefault="00263C33" w:rsidP="00263C33">
      <w:pPr>
        <w:pStyle w:val="Bullet"/>
      </w:pPr>
      <w:r>
        <w:t>Both life expectancy and health expectancy have increased over the past quarter century. This trend is a major success story for the health and social sectors.</w:t>
      </w:r>
    </w:p>
    <w:p w:rsidR="00263C33" w:rsidRDefault="00263C33" w:rsidP="00263C33">
      <w:pPr>
        <w:pStyle w:val="Bullet"/>
      </w:pPr>
      <w:r>
        <w:t>However, life expectancy has increased faster (by 6.1 years for males and 4.5 years for females) than health expectancy (which has increased by 4.9 years for males and 3.3 years for females).</w:t>
      </w:r>
    </w:p>
    <w:p w:rsidR="00263C33" w:rsidRDefault="00263C33" w:rsidP="00263C33">
      <w:pPr>
        <w:pStyle w:val="Bullet"/>
      </w:pPr>
      <w:r>
        <w:t xml:space="preserve">In other words, of the 6.1 years added to their life </w:t>
      </w:r>
      <w:r w:rsidR="0099319A">
        <w:t xml:space="preserve">expectancy </w:t>
      </w:r>
      <w:r>
        <w:t>over the past quarter century, males lived 4.9 years or 80% in good health; the female percentage is lower (74%).</w:t>
      </w:r>
    </w:p>
    <w:p w:rsidR="00263C33" w:rsidRDefault="00263C33" w:rsidP="00263C33">
      <w:pPr>
        <w:pStyle w:val="Bullet"/>
      </w:pPr>
      <w:r>
        <w:t>So the gap between life and health expectancy has increased in absolute terms: from 9.2 years (1990) to 10.4 years (2013) for males; and from 11.0 to 12.2 years for females over the same period. That is, morbidity has expanded in absolute terms.</w:t>
      </w:r>
    </w:p>
    <w:p w:rsidR="00263C33" w:rsidRDefault="00263C33" w:rsidP="00263C33">
      <w:pPr>
        <w:pStyle w:val="Bullet"/>
      </w:pPr>
      <w:r>
        <w:t>At the same time, the ratio of health to life expectancy may have declined, yet only slightly (and not to a level of statistical significance). That is, whether morbidity has also expanded in relative terms is not clear. Certainly there is as yet no evidence of the reverse trend: compression of morbidity, whereby people spend a higher proportion of their (longer) lives in good health.</w:t>
      </w:r>
    </w:p>
    <w:p w:rsidR="00263C33" w:rsidRDefault="00263C33" w:rsidP="00263C33"/>
    <w:p w:rsidR="00263C33" w:rsidRDefault="00263C33" w:rsidP="00263C33">
      <w:pPr>
        <w:pStyle w:val="Heading2"/>
      </w:pPr>
      <w:bookmarkStart w:id="22" w:name="_Toc456270674"/>
      <w:r>
        <w:t>International comparisons</w:t>
      </w:r>
      <w:bookmarkEnd w:id="22"/>
    </w:p>
    <w:p w:rsidR="00263C33" w:rsidRDefault="00263C33" w:rsidP="00263C33">
      <w:pPr>
        <w:pStyle w:val="Bullet"/>
      </w:pPr>
      <w:r>
        <w:t xml:space="preserve">New Zealand’s level of health loss from all causes (adjusted for population size and age structure) is similar to that of most peer group countries (see </w:t>
      </w:r>
      <w:r w:rsidRPr="00EB6705">
        <w:t xml:space="preserve">page </w:t>
      </w:r>
      <w:r w:rsidRPr="00EB6705">
        <w:fldChar w:fldCharType="begin"/>
      </w:r>
      <w:r w:rsidRPr="00EB6705">
        <w:instrText xml:space="preserve"> PAGEREF _Ref454888817 \h </w:instrText>
      </w:r>
      <w:r w:rsidRPr="00EB6705">
        <w:fldChar w:fldCharType="separate"/>
      </w:r>
      <w:r w:rsidR="006C545C">
        <w:rPr>
          <w:noProof/>
        </w:rPr>
        <w:t>34</w:t>
      </w:r>
      <w:r w:rsidRPr="00EB6705">
        <w:fldChar w:fldCharType="end"/>
      </w:r>
      <w:r w:rsidRPr="00EB6705">
        <w:t xml:space="preserve"> for the list of</w:t>
      </w:r>
      <w:r>
        <w:t xml:space="preserve"> peer group countries).</w:t>
      </w:r>
    </w:p>
    <w:p w:rsidR="00263C33" w:rsidRDefault="00263C33" w:rsidP="00263C33">
      <w:pPr>
        <w:pStyle w:val="Bullet"/>
      </w:pPr>
      <w:r>
        <w:t>However, over the past quarter century, New Zealand has enjoyed one of the fastest rates of decline in health loss from all causes combined.</w:t>
      </w:r>
    </w:p>
    <w:p w:rsidR="00263C33" w:rsidRDefault="00263C33" w:rsidP="00263C33">
      <w:pPr>
        <w:pStyle w:val="Bullet"/>
      </w:pPr>
      <w:r>
        <w:t>All peer group countries, including New Zealand, are well advanced in making their disability and epidemiological transitions.</w:t>
      </w:r>
    </w:p>
    <w:p w:rsidR="00263C33" w:rsidRDefault="00263C33" w:rsidP="00263C33">
      <w:pPr>
        <w:pStyle w:val="Bullet"/>
      </w:pPr>
      <w:r>
        <w:t>New Zealand has a relatively high rate of health loss from CHD, COPD, chronic kidney disease, bowel cancer and self-harm, compared with the peer group countries, although not all differences are statistically significant at the conventional 95% confidence level.</w:t>
      </w:r>
    </w:p>
    <w:p w:rsidR="00263C33" w:rsidRDefault="00263C33" w:rsidP="00263C33">
      <w:pPr>
        <w:pStyle w:val="Bullet"/>
      </w:pPr>
      <w:r>
        <w:t>Health loss caused by all risk factors combined (the ‘potentially preventable proportion’) is about average for New Zealand compared with the peer group countries.</w:t>
      </w:r>
    </w:p>
    <w:p w:rsidR="00263C33" w:rsidRDefault="00263C33" w:rsidP="00263C33">
      <w:pPr>
        <w:pStyle w:val="Bullet"/>
      </w:pPr>
      <w:r>
        <w:t>Life expectancy and health expectancy at birth increased in all peer group countries over the past quarter century. New Zealand’s increases were generally greater than the peer group average, although not all differences were statistically significant.</w:t>
      </w:r>
    </w:p>
    <w:p w:rsidR="00263C33" w:rsidRDefault="00263C33" w:rsidP="00263C33">
      <w:pPr>
        <w:pStyle w:val="Bullet"/>
      </w:pPr>
      <w:r>
        <w:t>For all peer group countries, morbidity expanded over the past quarter century when measured on an absolute scale (that is, life expectancy grew faster than health expectancy). New Zealand’s morbidity expansion was about average among the peer group countries.</w:t>
      </w:r>
    </w:p>
    <w:p w:rsidR="006B41CA" w:rsidRDefault="006B41CA" w:rsidP="00733F16">
      <w:bookmarkStart w:id="23" w:name="End_Key_Findings"/>
      <w:bookmarkEnd w:id="23"/>
    </w:p>
    <w:p w:rsidR="006B41CA" w:rsidRPr="004534E8" w:rsidRDefault="006B41CA" w:rsidP="00135BAE">
      <w:pPr>
        <w:pStyle w:val="Heading1"/>
      </w:pPr>
      <w:bookmarkStart w:id="24" w:name="_Toc441468884"/>
      <w:bookmarkStart w:id="25" w:name="_Toc442416669"/>
      <w:bookmarkStart w:id="26" w:name="_Toc456270675"/>
      <w:r w:rsidRPr="00474A78">
        <w:lastRenderedPageBreak/>
        <w:t>Health loss in N</w:t>
      </w:r>
      <w:r>
        <w:t>ew Zealand</w:t>
      </w:r>
      <w:r w:rsidRPr="00474A78">
        <w:t xml:space="preserve"> 199</w:t>
      </w:r>
      <w:r>
        <w:t>0–2013: all causes</w:t>
      </w:r>
      <w:bookmarkEnd w:id="24"/>
      <w:bookmarkEnd w:id="25"/>
      <w:bookmarkEnd w:id="26"/>
    </w:p>
    <w:p w:rsidR="006B41CA" w:rsidRPr="00FF716C" w:rsidRDefault="006B41CA" w:rsidP="00733F16">
      <w:pPr>
        <w:pStyle w:val="Heading2"/>
      </w:pPr>
      <w:bookmarkStart w:id="27" w:name="_Toc442416670"/>
      <w:bookmarkStart w:id="28" w:name="_Toc456270676"/>
      <w:r>
        <w:t>Older people make up one-eighth of the population but experience over one-third of all health los</w:t>
      </w:r>
      <w:bookmarkEnd w:id="27"/>
      <w:bookmarkEnd w:id="28"/>
      <w:r w:rsidR="00336A9A">
        <w:t>s</w:t>
      </w:r>
    </w:p>
    <w:p w:rsidR="006B41CA" w:rsidRDefault="006B41CA" w:rsidP="00733F16">
      <w:r>
        <w:t>New Zealanders lose about 1 million years of healthy life each year (1,092,000 DALYs in 2013), shared almost equally between males (51.5%) and females (48.5%). However, adjusting for differences in population size and age structure, males experience 15% more health loss than females (age-standardised DALY rates in 2013 of 225 per 1000 and 195 per 1000 respectively).</w:t>
      </w:r>
    </w:p>
    <w:p w:rsidR="006B41CA" w:rsidRPr="00BD3829" w:rsidRDefault="006B41CA" w:rsidP="00733F16"/>
    <w:p w:rsidR="00A26E6B" w:rsidRDefault="006B41CA" w:rsidP="00733F16">
      <w:pPr>
        <w:pStyle w:val="Figure"/>
      </w:pPr>
      <w:bookmarkStart w:id="29" w:name="_Ref454886759"/>
      <w:bookmarkStart w:id="30" w:name="_Toc442416790"/>
      <w:bookmarkStart w:id="31" w:name="_Toc454078629"/>
      <w:bookmarkStart w:id="32" w:name="_Toc456613614"/>
      <w:r>
        <w:t xml:space="preserve">Figure </w:t>
      </w:r>
      <w:r w:rsidR="00F456CC">
        <w:fldChar w:fldCharType="begin"/>
      </w:r>
      <w:r w:rsidR="00F456CC">
        <w:instrText xml:space="preserve"> SEQ Figure \* ARABIC </w:instrText>
      </w:r>
      <w:r w:rsidR="00F456CC">
        <w:fldChar w:fldCharType="separate"/>
      </w:r>
      <w:r w:rsidR="006C545C">
        <w:rPr>
          <w:noProof/>
        </w:rPr>
        <w:t>1</w:t>
      </w:r>
      <w:r w:rsidR="00F456CC">
        <w:rPr>
          <w:noProof/>
        </w:rPr>
        <w:fldChar w:fldCharType="end"/>
      </w:r>
      <w:bookmarkStart w:id="33" w:name="_Toc441576056"/>
      <w:bookmarkEnd w:id="29"/>
      <w:r>
        <w:t xml:space="preserve">: </w:t>
      </w:r>
      <w:r w:rsidRPr="00674F10">
        <w:t xml:space="preserve">Share of </w:t>
      </w:r>
      <w:r>
        <w:t xml:space="preserve">total </w:t>
      </w:r>
      <w:r w:rsidRPr="00674F10">
        <w:t>DALYs</w:t>
      </w:r>
      <w:r>
        <w:t>,</w:t>
      </w:r>
      <w:r w:rsidRPr="00674F10">
        <w:t xml:space="preserve"> by lifecycle stage</w:t>
      </w:r>
      <w:r>
        <w:t xml:space="preserve"> (%)</w:t>
      </w:r>
      <w:r w:rsidRPr="00674F10">
        <w:t>, 2013</w:t>
      </w:r>
      <w:bookmarkEnd w:id="30"/>
      <w:bookmarkEnd w:id="31"/>
      <w:bookmarkEnd w:id="32"/>
      <w:bookmarkEnd w:id="33"/>
    </w:p>
    <w:p w:rsidR="0036600C" w:rsidRPr="0036600C" w:rsidRDefault="005122BD" w:rsidP="0081070A">
      <w:r>
        <w:rPr>
          <w:noProof/>
          <w:lang w:eastAsia="en-NZ"/>
        </w:rPr>
        <w:drawing>
          <wp:inline distT="0" distB="0" distL="0" distR="0">
            <wp:extent cx="4679950" cy="2859405"/>
            <wp:effectExtent l="0" t="0" r="6350" b="0"/>
            <wp:docPr id="830" name="Picture 1" descr="Figure 1: Share of total DALYs, by lifecycle stage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are of total DALYs, by lifecycle stage (%), 20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9950" cy="2859405"/>
                    </a:xfrm>
                    <a:prstGeom prst="rect">
                      <a:avLst/>
                    </a:prstGeom>
                    <a:noFill/>
                    <a:ln>
                      <a:noFill/>
                    </a:ln>
                  </pic:spPr>
                </pic:pic>
              </a:graphicData>
            </a:graphic>
          </wp:inline>
        </w:drawing>
      </w:r>
    </w:p>
    <w:p w:rsidR="00A712AA" w:rsidRDefault="00A712AA" w:rsidP="00E92F31"/>
    <w:p w:rsidR="00A712AA" w:rsidRPr="00742480" w:rsidRDefault="00A712AA" w:rsidP="00733F16">
      <w:r>
        <w:t>Age patterns of health loss are similar for males and females. Males experience slightly more health loss in childhood and youth, and females slightly more in old age and the reproductive years (young adulthood), although the differences are not statistically significant (</w:t>
      </w:r>
      <w:r w:rsidR="0086384E">
        <w:fldChar w:fldCharType="begin"/>
      </w:r>
      <w:r w:rsidR="0086384E">
        <w:instrText xml:space="preserve"> REF _Ref454886759 \h </w:instrText>
      </w:r>
      <w:r w:rsidR="0086384E">
        <w:fldChar w:fldCharType="separate"/>
      </w:r>
      <w:r w:rsidR="006C545C">
        <w:t xml:space="preserve">Figure </w:t>
      </w:r>
      <w:r w:rsidR="006C545C">
        <w:rPr>
          <w:noProof/>
        </w:rPr>
        <w:t>1</w:t>
      </w:r>
      <w:r w:rsidR="0086384E">
        <w:fldChar w:fldCharType="end"/>
      </w:r>
      <w:r>
        <w:fldChar w:fldCharType="begin"/>
      </w:r>
      <w:r>
        <w:instrText xml:space="preserve"> REF Figure1 \h </w:instrText>
      </w:r>
      <w:r>
        <w:fldChar w:fldCharType="end"/>
      </w:r>
      <w:r>
        <w:fldChar w:fldCharType="begin"/>
      </w:r>
      <w:r>
        <w:instrText xml:space="preserve"> REF Figure1 \h </w:instrText>
      </w:r>
      <w:r>
        <w:fldChar w:fldCharType="end"/>
      </w:r>
      <w:r>
        <w:t>).</w:t>
      </w:r>
    </w:p>
    <w:p w:rsidR="00A712AA" w:rsidRDefault="00A712AA" w:rsidP="0086384E"/>
    <w:p w:rsidR="00A712AA" w:rsidRDefault="00A712AA" w:rsidP="0086384E">
      <w:r w:rsidRPr="006133B8">
        <w:t xml:space="preserve">Children </w:t>
      </w:r>
      <w:r>
        <w:t xml:space="preserve">make up 20% of the population but account for only 7% of total health loss (of which almost half is contributed by the 0–4 </w:t>
      </w:r>
      <w:proofErr w:type="gramStart"/>
      <w:r>
        <w:t>years</w:t>
      </w:r>
      <w:proofErr w:type="gramEnd"/>
      <w:r>
        <w:t xml:space="preserve"> age group). In contrast, older people make up only 12% of the population but account for 37% of total DALYs. Of this share, over half (58%) is contributed by the 75+ years age group – which makes up only 43% of the older population.</w:t>
      </w:r>
    </w:p>
    <w:p w:rsidR="00A712AA" w:rsidRDefault="00A712AA" w:rsidP="0086384E"/>
    <w:p w:rsidR="00A712AA" w:rsidRDefault="00A712AA" w:rsidP="0086384E">
      <w:pPr>
        <w:pStyle w:val="Figure"/>
      </w:pPr>
      <w:bookmarkStart w:id="34" w:name="_Ref441126870"/>
      <w:bookmarkStart w:id="35" w:name="_Toc441576057"/>
      <w:bookmarkStart w:id="36" w:name="_Toc442416791"/>
      <w:bookmarkStart w:id="37" w:name="_Toc454078630"/>
      <w:bookmarkStart w:id="38" w:name="_Toc456613615"/>
      <w:r>
        <w:lastRenderedPageBreak/>
        <w:t xml:space="preserve">Figure </w:t>
      </w:r>
      <w:r w:rsidR="00F456CC">
        <w:fldChar w:fldCharType="begin"/>
      </w:r>
      <w:r w:rsidR="00F456CC">
        <w:instrText xml:space="preserve"> SEQ Figure \* ARABIC </w:instrText>
      </w:r>
      <w:r w:rsidR="00F456CC">
        <w:fldChar w:fldCharType="separate"/>
      </w:r>
      <w:r w:rsidR="006C545C">
        <w:rPr>
          <w:noProof/>
        </w:rPr>
        <w:t>2</w:t>
      </w:r>
      <w:r w:rsidR="00F456CC">
        <w:rPr>
          <w:noProof/>
        </w:rPr>
        <w:fldChar w:fldCharType="end"/>
      </w:r>
      <w:bookmarkEnd w:id="34"/>
      <w:r>
        <w:t>: Age-specific DALY rates per 1000, 2013</w:t>
      </w:r>
      <w:bookmarkEnd w:id="35"/>
      <w:bookmarkEnd w:id="36"/>
      <w:bookmarkEnd w:id="37"/>
      <w:bookmarkEnd w:id="38"/>
    </w:p>
    <w:p w:rsidR="00A712AA" w:rsidRDefault="005122BD" w:rsidP="00E92F31">
      <w:r>
        <w:rPr>
          <w:noProof/>
          <w:lang w:eastAsia="en-NZ"/>
        </w:rPr>
        <w:drawing>
          <wp:inline distT="0" distB="0" distL="0" distR="0">
            <wp:extent cx="4671695" cy="2851150"/>
            <wp:effectExtent l="0" t="0" r="0" b="6350"/>
            <wp:docPr id="836" name="Picture 1" descr="Figure 2: Age-specific DALY rates per 1000,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Age-specific DALY rates per 1000, 20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1695" cy="2851150"/>
                    </a:xfrm>
                    <a:prstGeom prst="rect">
                      <a:avLst/>
                    </a:prstGeom>
                    <a:noFill/>
                    <a:ln>
                      <a:noFill/>
                    </a:ln>
                  </pic:spPr>
                </pic:pic>
              </a:graphicData>
            </a:graphic>
          </wp:inline>
        </w:drawing>
      </w:r>
    </w:p>
    <w:p w:rsidR="00A712AA" w:rsidRDefault="00A712AA" w:rsidP="0086384E"/>
    <w:p w:rsidR="002471B5" w:rsidRDefault="002471B5" w:rsidP="0086384E">
      <w:r w:rsidRPr="00F0543A">
        <w:t xml:space="preserve">The </w:t>
      </w:r>
      <w:r>
        <w:t xml:space="preserve">rate of </w:t>
      </w:r>
      <w:r w:rsidRPr="00F0543A">
        <w:t>health</w:t>
      </w:r>
      <w:r>
        <w:t xml:space="preserve"> loss is moderately high in infancy (255 DALYs per 1000 infants in 2013) and drops to low levels in childhood. It then rises exponentially to reach very high levels in old age (743 DALYs per 1000 older people) (</w:t>
      </w:r>
      <w:r w:rsidR="0086384E">
        <w:fldChar w:fldCharType="begin"/>
      </w:r>
      <w:r w:rsidR="0086384E">
        <w:instrText xml:space="preserve"> REF _Ref441126870 \h </w:instrText>
      </w:r>
      <w:r w:rsidR="0086384E">
        <w:fldChar w:fldCharType="separate"/>
      </w:r>
      <w:r w:rsidR="006C545C">
        <w:t xml:space="preserve">Figure </w:t>
      </w:r>
      <w:r w:rsidR="006C545C">
        <w:rPr>
          <w:noProof/>
        </w:rPr>
        <w:t>2</w:t>
      </w:r>
      <w:r w:rsidR="0086384E">
        <w:fldChar w:fldCharType="end"/>
      </w:r>
      <w:r>
        <w:t>).</w:t>
      </w:r>
    </w:p>
    <w:p w:rsidR="002471B5" w:rsidRDefault="002471B5" w:rsidP="0086384E"/>
    <w:p w:rsidR="002471B5" w:rsidRDefault="002471B5" w:rsidP="0086384E">
      <w:pPr>
        <w:pStyle w:val="Heading2"/>
      </w:pPr>
      <w:bookmarkStart w:id="39" w:name="_Toc442416671"/>
      <w:bookmarkStart w:id="40" w:name="_Toc456270677"/>
      <w:r>
        <w:t>Health loss is increasing, but the rate of health loss is falling</w:t>
      </w:r>
      <w:bookmarkEnd w:id="39"/>
      <w:bookmarkEnd w:id="40"/>
    </w:p>
    <w:p w:rsidR="002471B5" w:rsidRDefault="002471B5" w:rsidP="0086384E">
      <w:r w:rsidRPr="009E44B9">
        <w:t>Total health loss has increased</w:t>
      </w:r>
      <w:r>
        <w:t xml:space="preserve"> slowly, from approximately 950,000 DALYs in 1990 to just under 1.1 million DALYs in 2013 (</w:t>
      </w:r>
      <w:r>
        <w:fldChar w:fldCharType="begin"/>
      </w:r>
      <w:r>
        <w:instrText xml:space="preserve"> REF _Ref441127409 \h </w:instrText>
      </w:r>
      <w:r>
        <w:fldChar w:fldCharType="separate"/>
      </w:r>
      <w:r w:rsidR="006C545C">
        <w:t xml:space="preserve">Figure </w:t>
      </w:r>
      <w:r w:rsidR="006C545C">
        <w:rPr>
          <w:noProof/>
        </w:rPr>
        <w:t>3</w:t>
      </w:r>
      <w:r>
        <w:fldChar w:fldCharType="end"/>
      </w:r>
      <w:r>
        <w:t>), although this increase is not statistically significant.</w:t>
      </w:r>
    </w:p>
    <w:p w:rsidR="002471B5" w:rsidRDefault="002471B5" w:rsidP="0086384E"/>
    <w:p w:rsidR="002471B5" w:rsidRDefault="002471B5" w:rsidP="0086384E">
      <w:r>
        <w:t xml:space="preserve">However, once adjusted for trends in the size and age structure of the population, the </w:t>
      </w:r>
      <w:r w:rsidRPr="00404D64">
        <w:t>rate</w:t>
      </w:r>
      <w:r>
        <w:t xml:space="preserve"> of health loss has been steadily declining. It has fallen by 25% over the past 25 years, or an average of approximately 1.2% per year (</w:t>
      </w:r>
      <w:r>
        <w:fldChar w:fldCharType="begin"/>
      </w:r>
      <w:r>
        <w:instrText xml:space="preserve"> REF _Ref441127500 \h </w:instrText>
      </w:r>
      <w:r>
        <w:fldChar w:fldCharType="separate"/>
      </w:r>
      <w:r w:rsidR="006C545C">
        <w:t xml:space="preserve">Figure </w:t>
      </w:r>
      <w:r w:rsidR="006C545C">
        <w:rPr>
          <w:noProof/>
        </w:rPr>
        <w:t>4</w:t>
      </w:r>
      <w:r>
        <w:fldChar w:fldCharType="end"/>
      </w:r>
      <w:r>
        <w:t>).</w:t>
      </w:r>
    </w:p>
    <w:p w:rsidR="002471B5" w:rsidRDefault="002471B5" w:rsidP="0086384E"/>
    <w:p w:rsidR="002471B5" w:rsidRDefault="002471B5" w:rsidP="0086384E">
      <w:pPr>
        <w:pStyle w:val="Figure"/>
      </w:pPr>
      <w:bookmarkStart w:id="41" w:name="_Ref441127409"/>
      <w:bookmarkStart w:id="42" w:name="_Toc441576058"/>
      <w:bookmarkStart w:id="43" w:name="_Toc442416792"/>
      <w:bookmarkStart w:id="44" w:name="_Toc454078631"/>
      <w:bookmarkStart w:id="45" w:name="_Toc456613616"/>
      <w:r>
        <w:t xml:space="preserve">Figure </w:t>
      </w:r>
      <w:r w:rsidR="00F456CC">
        <w:fldChar w:fldCharType="begin"/>
      </w:r>
      <w:r w:rsidR="00F456CC">
        <w:instrText xml:space="preserve"> SEQ Figu</w:instrText>
      </w:r>
      <w:r w:rsidR="00F456CC">
        <w:instrText xml:space="preserve">re \* ARABIC </w:instrText>
      </w:r>
      <w:r w:rsidR="00F456CC">
        <w:fldChar w:fldCharType="separate"/>
      </w:r>
      <w:r w:rsidR="006C545C">
        <w:rPr>
          <w:noProof/>
        </w:rPr>
        <w:t>3</w:t>
      </w:r>
      <w:r w:rsidR="00F456CC">
        <w:rPr>
          <w:noProof/>
        </w:rPr>
        <w:fldChar w:fldCharType="end"/>
      </w:r>
      <w:bookmarkEnd w:id="41"/>
      <w:r>
        <w:t>: Total DALYs, 1990–2013</w:t>
      </w:r>
      <w:bookmarkEnd w:id="42"/>
      <w:bookmarkEnd w:id="43"/>
      <w:bookmarkEnd w:id="44"/>
      <w:bookmarkEnd w:id="45"/>
    </w:p>
    <w:p w:rsidR="007E698F" w:rsidRDefault="005122BD" w:rsidP="00E82937">
      <w:r>
        <w:rPr>
          <w:noProof/>
          <w:lang w:eastAsia="en-NZ"/>
        </w:rPr>
        <w:drawing>
          <wp:inline distT="0" distB="0" distL="0" distR="0">
            <wp:extent cx="4671695" cy="2851150"/>
            <wp:effectExtent l="0" t="0" r="0" b="6350"/>
            <wp:docPr id="842" name="Picture 1" descr="Figure 3: Total DALYs, 199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Total DALYs, 1990–20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1695" cy="2851150"/>
                    </a:xfrm>
                    <a:prstGeom prst="rect">
                      <a:avLst/>
                    </a:prstGeom>
                    <a:noFill/>
                    <a:ln>
                      <a:noFill/>
                    </a:ln>
                  </pic:spPr>
                </pic:pic>
              </a:graphicData>
            </a:graphic>
          </wp:inline>
        </w:drawing>
      </w:r>
    </w:p>
    <w:p w:rsidR="007E698F" w:rsidRPr="007E698F" w:rsidRDefault="007E698F" w:rsidP="0086384E"/>
    <w:p w:rsidR="00686A9A" w:rsidRDefault="00686A9A" w:rsidP="0086384E">
      <w:pPr>
        <w:pStyle w:val="Figure"/>
      </w:pPr>
      <w:bookmarkStart w:id="46" w:name="_Ref441127500"/>
      <w:bookmarkStart w:id="47" w:name="_Toc441576059"/>
      <w:bookmarkStart w:id="48" w:name="_Toc442416793"/>
      <w:bookmarkStart w:id="49" w:name="_Toc454078632"/>
      <w:bookmarkStart w:id="50" w:name="_Toc456613617"/>
      <w:r>
        <w:lastRenderedPageBreak/>
        <w:t xml:space="preserve">Figure </w:t>
      </w:r>
      <w:r w:rsidR="00F456CC">
        <w:fldChar w:fldCharType="begin"/>
      </w:r>
      <w:r w:rsidR="00F456CC">
        <w:instrText xml:space="preserve"> SEQ Figure \* ARABIC </w:instrText>
      </w:r>
      <w:r w:rsidR="00F456CC">
        <w:fldChar w:fldCharType="separate"/>
      </w:r>
      <w:r w:rsidR="006C545C">
        <w:rPr>
          <w:noProof/>
        </w:rPr>
        <w:t>4</w:t>
      </w:r>
      <w:r w:rsidR="00F456CC">
        <w:rPr>
          <w:noProof/>
        </w:rPr>
        <w:fldChar w:fldCharType="end"/>
      </w:r>
      <w:bookmarkEnd w:id="46"/>
      <w:r>
        <w:t xml:space="preserve">: </w:t>
      </w:r>
      <w:r w:rsidRPr="009E44B9">
        <w:t>Age</w:t>
      </w:r>
      <w:r>
        <w:t>-</w:t>
      </w:r>
      <w:r w:rsidRPr="009E44B9">
        <w:t>standardised total DALY rate</w:t>
      </w:r>
      <w:r>
        <w:t xml:space="preserve"> per 1000</w:t>
      </w:r>
      <w:r w:rsidRPr="009E44B9">
        <w:t>, 1990</w:t>
      </w:r>
      <w:r>
        <w:t>–</w:t>
      </w:r>
      <w:r w:rsidRPr="009E44B9">
        <w:t>2015</w:t>
      </w:r>
      <w:bookmarkEnd w:id="47"/>
      <w:bookmarkEnd w:id="48"/>
      <w:bookmarkEnd w:id="49"/>
      <w:bookmarkEnd w:id="50"/>
    </w:p>
    <w:p w:rsidR="00686A9A" w:rsidRDefault="005122BD" w:rsidP="00134AC8">
      <w:r>
        <w:rPr>
          <w:noProof/>
          <w:lang w:eastAsia="en-NZ"/>
        </w:rPr>
        <w:drawing>
          <wp:inline distT="0" distB="0" distL="0" distR="0">
            <wp:extent cx="4671695" cy="2851150"/>
            <wp:effectExtent l="0" t="0" r="0" b="6350"/>
            <wp:docPr id="848" name="Picture 1" descr="Figure 4: Age-standardised total DALY rate per 1000,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 Age-standardised total DALY rate per 1000, 1990–20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1695" cy="2851150"/>
                    </a:xfrm>
                    <a:prstGeom prst="rect">
                      <a:avLst/>
                    </a:prstGeom>
                    <a:noFill/>
                    <a:ln>
                      <a:noFill/>
                    </a:ln>
                  </pic:spPr>
                </pic:pic>
              </a:graphicData>
            </a:graphic>
          </wp:inline>
        </w:drawing>
      </w:r>
    </w:p>
    <w:p w:rsidR="005D5D9F" w:rsidRDefault="00686A9A" w:rsidP="0086384E">
      <w:pPr>
        <w:pStyle w:val="Note"/>
      </w:pPr>
      <w:r>
        <w:t>Rates age standardised by the direct method to the GBD model population.</w:t>
      </w:r>
    </w:p>
    <w:p w:rsidR="00686A9A" w:rsidRDefault="00686A9A" w:rsidP="0086384E">
      <w:pPr>
        <w:pStyle w:val="Note"/>
      </w:pPr>
      <w:r w:rsidRPr="009E44B9">
        <w:t>Data ha</w:t>
      </w:r>
      <w:r>
        <w:t>s</w:t>
      </w:r>
      <w:r w:rsidRPr="009E44B9">
        <w:t xml:space="preserve"> been projected to 2015 to provide equal time intervals</w:t>
      </w:r>
      <w:r>
        <w:t>.</w:t>
      </w:r>
    </w:p>
    <w:p w:rsidR="00686A9A" w:rsidRDefault="00686A9A" w:rsidP="0086384E"/>
    <w:p w:rsidR="00686A9A" w:rsidRDefault="00686A9A" w:rsidP="0086384E">
      <w:pPr>
        <w:pStyle w:val="Heading2"/>
      </w:pPr>
      <w:bookmarkStart w:id="51" w:name="_Toc442416672"/>
      <w:bookmarkStart w:id="52" w:name="_Toc456270678"/>
      <w:r>
        <w:t>Health has improved least for youth and young adults</w:t>
      </w:r>
      <w:bookmarkEnd w:id="51"/>
      <w:bookmarkEnd w:id="52"/>
    </w:p>
    <w:p w:rsidR="00686A9A" w:rsidRPr="00282C35" w:rsidRDefault="00686A9A" w:rsidP="0086384E">
      <w:r w:rsidRPr="00282C35">
        <w:t>All age groups have benefited</w:t>
      </w:r>
      <w:r>
        <w:t xml:space="preserve"> from the fall in health loss, but not</w:t>
      </w:r>
      <w:r w:rsidRPr="00282C35">
        <w:t xml:space="preserve"> equally</w:t>
      </w:r>
      <w:r>
        <w:t>. Young adults and youth show smaller improvements (reduction in DALY rates over the past 25 years of 13% and 20% respectively) than other lifecycle stages (approximately 26–34%), although not all differences are statistically significant at the conventional 95% confidence level (</w:t>
      </w:r>
      <w:r>
        <w:fldChar w:fldCharType="begin"/>
      </w:r>
      <w:r>
        <w:instrText xml:space="preserve"> REF _Ref441127815 \h </w:instrText>
      </w:r>
      <w:r>
        <w:fldChar w:fldCharType="separate"/>
      </w:r>
      <w:r w:rsidR="006C545C">
        <w:t xml:space="preserve">Figure </w:t>
      </w:r>
      <w:r w:rsidR="006C545C">
        <w:rPr>
          <w:noProof/>
        </w:rPr>
        <w:t>5</w:t>
      </w:r>
      <w:r>
        <w:fldChar w:fldCharType="end"/>
      </w:r>
      <w:r>
        <w:t>).</w:t>
      </w:r>
    </w:p>
    <w:p w:rsidR="00686A9A" w:rsidRDefault="00686A9A" w:rsidP="0086384E"/>
    <w:p w:rsidR="00686A9A" w:rsidRDefault="00686A9A" w:rsidP="0086384E">
      <w:pPr>
        <w:pStyle w:val="Figure"/>
      </w:pPr>
      <w:bookmarkStart w:id="53" w:name="_Ref441127815"/>
      <w:bookmarkStart w:id="54" w:name="_Toc441576060"/>
      <w:bookmarkStart w:id="55" w:name="_Toc442416794"/>
      <w:bookmarkStart w:id="56" w:name="_Toc454078633"/>
      <w:bookmarkStart w:id="57" w:name="_Toc456613618"/>
      <w:r>
        <w:t xml:space="preserve">Figure </w:t>
      </w:r>
      <w:r w:rsidR="00F456CC">
        <w:fldChar w:fldCharType="begin"/>
      </w:r>
      <w:r w:rsidR="00F456CC">
        <w:instrText xml:space="preserve"> SEQ Figure \* ARABIC </w:instrText>
      </w:r>
      <w:r w:rsidR="00F456CC">
        <w:fldChar w:fldCharType="separate"/>
      </w:r>
      <w:r w:rsidR="006C545C">
        <w:rPr>
          <w:noProof/>
        </w:rPr>
        <w:t>5</w:t>
      </w:r>
      <w:r w:rsidR="00F456CC">
        <w:rPr>
          <w:noProof/>
        </w:rPr>
        <w:fldChar w:fldCharType="end"/>
      </w:r>
      <w:bookmarkEnd w:id="53"/>
      <w:r>
        <w:t>: Fall in DALY rates, by lifecycle stage (%), 1990–2013</w:t>
      </w:r>
      <w:bookmarkEnd w:id="54"/>
      <w:bookmarkEnd w:id="55"/>
      <w:bookmarkEnd w:id="56"/>
      <w:bookmarkEnd w:id="57"/>
    </w:p>
    <w:p w:rsidR="00686A9A" w:rsidRDefault="005122BD" w:rsidP="00D22287">
      <w:r>
        <w:rPr>
          <w:noProof/>
          <w:lang w:eastAsia="en-NZ"/>
        </w:rPr>
        <w:drawing>
          <wp:inline distT="0" distB="0" distL="0" distR="0">
            <wp:extent cx="4688205" cy="2867660"/>
            <wp:effectExtent l="0" t="0" r="0" b="8890"/>
            <wp:docPr id="854" name="Picture 1" descr="Figure 5: Fall in DALY rates, by lifecycle stage (%), 199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5: Fall in DALY rates, by lifecycle stage (%), 1990–20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8205" cy="2867660"/>
                    </a:xfrm>
                    <a:prstGeom prst="rect">
                      <a:avLst/>
                    </a:prstGeom>
                    <a:noFill/>
                    <a:ln>
                      <a:noFill/>
                    </a:ln>
                  </pic:spPr>
                </pic:pic>
              </a:graphicData>
            </a:graphic>
          </wp:inline>
        </w:drawing>
      </w:r>
    </w:p>
    <w:p w:rsidR="0086384E" w:rsidRDefault="0086384E" w:rsidP="0086384E"/>
    <w:p w:rsidR="00686A9A" w:rsidRDefault="00686A9A" w:rsidP="0086384E">
      <w:pPr>
        <w:pStyle w:val="Heading2"/>
      </w:pPr>
      <w:bookmarkStart w:id="58" w:name="_Toc442416673"/>
      <w:bookmarkStart w:id="59" w:name="_Toc456270679"/>
      <w:r>
        <w:lastRenderedPageBreak/>
        <w:t xml:space="preserve">New Zealand has undergone a </w:t>
      </w:r>
      <w:r w:rsidR="005D5D9F">
        <w:t>‘</w:t>
      </w:r>
      <w:r>
        <w:t>d</w:t>
      </w:r>
      <w:r w:rsidRPr="00EF3C98">
        <w:t>isability transition</w:t>
      </w:r>
      <w:r w:rsidR="005D5D9F">
        <w:t>’</w:t>
      </w:r>
      <w:bookmarkEnd w:id="58"/>
      <w:bookmarkEnd w:id="59"/>
    </w:p>
    <w:p w:rsidR="00686A9A" w:rsidRDefault="00686A9A" w:rsidP="0086384E">
      <w:r w:rsidRPr="00C10C49">
        <w:t xml:space="preserve">Until the early years of the </w:t>
      </w:r>
      <w:r w:rsidRPr="00C6608D">
        <w:t>21</w:t>
      </w:r>
      <w:r w:rsidRPr="00404D64">
        <w:t>st</w:t>
      </w:r>
      <w:r>
        <w:t xml:space="preserve"> c</w:t>
      </w:r>
      <w:r w:rsidRPr="00C10C49">
        <w:t>entury, premature mortality</w:t>
      </w:r>
      <w:r>
        <w:t xml:space="preserve"> (early death)</w:t>
      </w:r>
      <w:r w:rsidRPr="00C6608D">
        <w:t xml:space="preserve"> </w:t>
      </w:r>
      <w:r>
        <w:t xml:space="preserve">was the main cause of </w:t>
      </w:r>
      <w:r w:rsidRPr="00C10C49">
        <w:t xml:space="preserve">health loss. </w:t>
      </w:r>
      <w:r>
        <w:t xml:space="preserve">Over the period 2000–2004, however, morbidity (YLD) overtook mortality (YLL) as a cause of health loss (DALYs) – this is the </w:t>
      </w:r>
      <w:r w:rsidR="005D5D9F">
        <w:t>‘</w:t>
      </w:r>
      <w:r>
        <w:t>disability transition</w:t>
      </w:r>
      <w:r w:rsidR="005D5D9F">
        <w:t>’</w:t>
      </w:r>
      <w:r>
        <w:t xml:space="preserve"> (</w:t>
      </w:r>
      <w:r w:rsidR="0086384E">
        <w:fldChar w:fldCharType="begin"/>
      </w:r>
      <w:r w:rsidR="0086384E">
        <w:instrText xml:space="preserve"> REF _Ref441129316 \h </w:instrText>
      </w:r>
      <w:r w:rsidR="0086384E">
        <w:fldChar w:fldCharType="separate"/>
      </w:r>
      <w:r w:rsidR="006C545C">
        <w:t xml:space="preserve">Figure </w:t>
      </w:r>
      <w:r w:rsidR="006C545C">
        <w:rPr>
          <w:noProof/>
        </w:rPr>
        <w:t>6</w:t>
      </w:r>
      <w:r w:rsidR="0086384E">
        <w:fldChar w:fldCharType="end"/>
      </w:r>
      <w:r>
        <w:t>).</w:t>
      </w:r>
    </w:p>
    <w:p w:rsidR="00686A9A" w:rsidRDefault="00686A9A" w:rsidP="0086384E"/>
    <w:p w:rsidR="00686A9A" w:rsidRDefault="00686A9A" w:rsidP="0086384E">
      <w:r>
        <w:t>The reason for the transition is that the YLL rate has declined steadily, while the YLD rate has remained stable, once adjusted for population ageing (</w:t>
      </w:r>
      <w:r>
        <w:fldChar w:fldCharType="begin"/>
      </w:r>
      <w:r>
        <w:instrText xml:space="preserve"> REF _Ref441129424 \h </w:instrText>
      </w:r>
      <w:r>
        <w:fldChar w:fldCharType="separate"/>
      </w:r>
      <w:r w:rsidR="006C545C">
        <w:t xml:space="preserve">Figure </w:t>
      </w:r>
      <w:r w:rsidR="006C545C">
        <w:rPr>
          <w:noProof/>
        </w:rPr>
        <w:t>7</w:t>
      </w:r>
      <w:r>
        <w:fldChar w:fldCharType="end"/>
      </w:r>
      <w:r>
        <w:t>). That is, New Zealand has been more successful in preventing premature mortality than in preventing or ameliorating ill health and disability.</w:t>
      </w:r>
    </w:p>
    <w:p w:rsidR="00686A9A" w:rsidRDefault="00686A9A" w:rsidP="0086384E"/>
    <w:p w:rsidR="00686A9A" w:rsidRDefault="00686A9A" w:rsidP="0086384E">
      <w:r>
        <w:t>Perhaps surprisingly, the morbidity contribution appears to have stabilised over the past decade, settling at just over half of total DALYs: the YLD contribution shows only a small increase from approximately 52% of total DALYs in 2005 to a projected 53% in 2015 (</w:t>
      </w:r>
      <w:r>
        <w:fldChar w:fldCharType="begin"/>
      </w:r>
      <w:r>
        <w:instrText xml:space="preserve"> REF _Ref441129316 \h </w:instrText>
      </w:r>
      <w:r>
        <w:fldChar w:fldCharType="separate"/>
      </w:r>
      <w:r w:rsidR="006C545C">
        <w:t xml:space="preserve">Figure </w:t>
      </w:r>
      <w:r w:rsidR="006C545C">
        <w:rPr>
          <w:noProof/>
        </w:rPr>
        <w:t>6</w:t>
      </w:r>
      <w:r>
        <w:fldChar w:fldCharType="end"/>
      </w:r>
      <w:r>
        <w:t>).</w:t>
      </w:r>
    </w:p>
    <w:p w:rsidR="00686A9A" w:rsidRPr="000A2E99" w:rsidRDefault="00686A9A" w:rsidP="0086384E"/>
    <w:p w:rsidR="006D2184" w:rsidRDefault="006D2184" w:rsidP="0086384E">
      <w:pPr>
        <w:pStyle w:val="Figure"/>
      </w:pPr>
      <w:bookmarkStart w:id="60" w:name="_Ref441129316"/>
      <w:bookmarkStart w:id="61" w:name="_Toc441576061"/>
      <w:bookmarkStart w:id="62" w:name="_Toc442416795"/>
      <w:bookmarkStart w:id="63" w:name="_Toc454078634"/>
      <w:bookmarkStart w:id="64" w:name="_Ref455044907"/>
      <w:bookmarkStart w:id="65" w:name="_Toc456613619"/>
      <w:r>
        <w:t xml:space="preserve">Figure </w:t>
      </w:r>
      <w:r w:rsidR="00F456CC">
        <w:fldChar w:fldCharType="begin"/>
      </w:r>
      <w:r w:rsidR="00F456CC">
        <w:instrText xml:space="preserve"> SEQ Figure \* ARABIC </w:instrText>
      </w:r>
      <w:r w:rsidR="00F456CC">
        <w:fldChar w:fldCharType="separate"/>
      </w:r>
      <w:r w:rsidR="006C545C">
        <w:rPr>
          <w:noProof/>
        </w:rPr>
        <w:t>6</w:t>
      </w:r>
      <w:r w:rsidR="00F456CC">
        <w:rPr>
          <w:noProof/>
        </w:rPr>
        <w:fldChar w:fldCharType="end"/>
      </w:r>
      <w:bookmarkEnd w:id="60"/>
      <w:r>
        <w:t>: Contribution of YLD to health loss, whole population (% total DALYs), 1990–2013</w:t>
      </w:r>
      <w:bookmarkEnd w:id="61"/>
      <w:bookmarkEnd w:id="62"/>
      <w:bookmarkEnd w:id="63"/>
      <w:bookmarkEnd w:id="64"/>
      <w:bookmarkEnd w:id="65"/>
    </w:p>
    <w:p w:rsidR="006B18F5" w:rsidRPr="006B18F5" w:rsidRDefault="005122BD" w:rsidP="006B18F5">
      <w:r>
        <w:rPr>
          <w:noProof/>
          <w:lang w:eastAsia="en-NZ"/>
        </w:rPr>
        <w:drawing>
          <wp:inline distT="0" distB="0" distL="0" distR="0">
            <wp:extent cx="4148051" cy="2591561"/>
            <wp:effectExtent l="0" t="0" r="5080" b="0"/>
            <wp:docPr id="860" name="Picture 1" descr="Figure 6: Contribution of YLD to health loss, whole population (% total DALYs), 199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6: Contribution of YLD to health loss, whole population (% total DALYs), 1990–2013"/>
                    <pic:cNvPicPr>
                      <a:picLocks noChangeAspect="1" noChangeArrowheads="1"/>
                    </pic:cNvPicPr>
                  </pic:nvPicPr>
                  <pic:blipFill rotWithShape="1">
                    <a:blip r:embed="rId24">
                      <a:extLst>
                        <a:ext uri="{28A0092B-C50C-407E-A947-70E740481C1C}">
                          <a14:useLocalDpi xmlns:a14="http://schemas.microsoft.com/office/drawing/2010/main" val="0"/>
                        </a:ext>
                      </a:extLst>
                    </a:blip>
                    <a:srcRect r="2426"/>
                    <a:stretch/>
                  </pic:blipFill>
                  <pic:spPr bwMode="auto">
                    <a:xfrm>
                      <a:off x="0" y="0"/>
                      <a:ext cx="4154621" cy="2595666"/>
                    </a:xfrm>
                    <a:prstGeom prst="rect">
                      <a:avLst/>
                    </a:prstGeom>
                    <a:noFill/>
                    <a:ln>
                      <a:noFill/>
                    </a:ln>
                    <a:extLst>
                      <a:ext uri="{53640926-AAD7-44D8-BBD7-CCE9431645EC}">
                        <a14:shadowObscured xmlns:a14="http://schemas.microsoft.com/office/drawing/2010/main"/>
                      </a:ext>
                    </a:extLst>
                  </pic:spPr>
                </pic:pic>
              </a:graphicData>
            </a:graphic>
          </wp:inline>
        </w:drawing>
      </w:r>
    </w:p>
    <w:p w:rsidR="006D2184" w:rsidRPr="004534E8" w:rsidRDefault="006D2184" w:rsidP="0086384E">
      <w:pPr>
        <w:pStyle w:val="Note"/>
      </w:pPr>
      <w:r w:rsidRPr="004534E8">
        <w:t>Data projected to 2015</w:t>
      </w:r>
      <w:r>
        <w:t>.</w:t>
      </w:r>
      <w:r w:rsidR="007E7B56">
        <w:t xml:space="preserve">   Blue (dark) line = YLD; Grey (light) line = 50% gridline.</w:t>
      </w:r>
    </w:p>
    <w:p w:rsidR="006D2184" w:rsidRDefault="006D2184" w:rsidP="0086384E"/>
    <w:p w:rsidR="006D2184" w:rsidRDefault="006D2184" w:rsidP="0086384E">
      <w:pPr>
        <w:pStyle w:val="Figure"/>
      </w:pPr>
      <w:bookmarkStart w:id="66" w:name="_Ref441129424"/>
      <w:bookmarkStart w:id="67" w:name="_Toc441576062"/>
      <w:bookmarkStart w:id="68" w:name="_Toc442416796"/>
      <w:bookmarkStart w:id="69" w:name="_Toc454078635"/>
      <w:bookmarkStart w:id="70" w:name="_Toc456613620"/>
      <w:r>
        <w:t xml:space="preserve">Figure </w:t>
      </w:r>
      <w:r w:rsidR="00F456CC">
        <w:fldChar w:fldCharType="begin"/>
      </w:r>
      <w:r w:rsidR="00F456CC">
        <w:instrText xml:space="preserve"> SEQ Figure \* ARABIC </w:instrText>
      </w:r>
      <w:r w:rsidR="00F456CC">
        <w:fldChar w:fldCharType="separate"/>
      </w:r>
      <w:r w:rsidR="006C545C">
        <w:rPr>
          <w:noProof/>
        </w:rPr>
        <w:t>7</w:t>
      </w:r>
      <w:r w:rsidR="00F456CC">
        <w:rPr>
          <w:noProof/>
        </w:rPr>
        <w:fldChar w:fldCharType="end"/>
      </w:r>
      <w:bookmarkEnd w:id="66"/>
      <w:r>
        <w:t>: A</w:t>
      </w:r>
      <w:r w:rsidRPr="00BD2CAB">
        <w:t xml:space="preserve">ll-cause YLL and YLD </w:t>
      </w:r>
      <w:r>
        <w:t xml:space="preserve">age-standardised </w:t>
      </w:r>
      <w:r w:rsidRPr="00BD2CAB">
        <w:t>rates</w:t>
      </w:r>
      <w:r>
        <w:t xml:space="preserve"> per 1000</w:t>
      </w:r>
      <w:r w:rsidRPr="00BD2CAB">
        <w:t>, whole population</w:t>
      </w:r>
      <w:proofErr w:type="gramStart"/>
      <w:r w:rsidRPr="00BD2CAB">
        <w:t>,</w:t>
      </w:r>
      <w:proofErr w:type="gramEnd"/>
      <w:r w:rsidR="0086384E">
        <w:br/>
      </w:r>
      <w:r w:rsidRPr="00BD2CAB">
        <w:t>1990</w:t>
      </w:r>
      <w:r>
        <w:t>–</w:t>
      </w:r>
      <w:r w:rsidRPr="00BD2CAB">
        <w:t>2013</w:t>
      </w:r>
      <w:bookmarkEnd w:id="67"/>
      <w:bookmarkEnd w:id="68"/>
      <w:bookmarkEnd w:id="69"/>
      <w:bookmarkEnd w:id="70"/>
    </w:p>
    <w:p w:rsidR="0086384E" w:rsidRDefault="005122BD" w:rsidP="001066DC">
      <w:r>
        <w:rPr>
          <w:noProof/>
          <w:lang w:eastAsia="en-NZ"/>
        </w:rPr>
        <w:drawing>
          <wp:inline distT="0" distB="0" distL="0" distR="0">
            <wp:extent cx="4145521" cy="2576945"/>
            <wp:effectExtent l="0" t="0" r="7620" b="0"/>
            <wp:docPr id="866" name="Picture 1" descr="Figure 7: All-cause YLL and YLD age-standardised rates per 1000, whole population,&#10;199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7: All-cause YLL and YLD age-standardised rates per 1000, whole population,&#10;1990–2013"/>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1821"/>
                    <a:stretch/>
                  </pic:blipFill>
                  <pic:spPr bwMode="auto">
                    <a:xfrm>
                      <a:off x="0" y="0"/>
                      <a:ext cx="4161958" cy="2587163"/>
                    </a:xfrm>
                    <a:prstGeom prst="rect">
                      <a:avLst/>
                    </a:prstGeom>
                    <a:noFill/>
                    <a:ln>
                      <a:noFill/>
                    </a:ln>
                    <a:extLst>
                      <a:ext uri="{53640926-AAD7-44D8-BBD7-CCE9431645EC}">
                        <a14:shadowObscured xmlns:a14="http://schemas.microsoft.com/office/drawing/2010/main"/>
                      </a:ext>
                    </a:extLst>
                  </pic:spPr>
                </pic:pic>
              </a:graphicData>
            </a:graphic>
          </wp:inline>
        </w:drawing>
      </w:r>
    </w:p>
    <w:p w:rsidR="006D2184" w:rsidRDefault="006D2184" w:rsidP="00135BAE">
      <w:pPr>
        <w:pStyle w:val="Heading1"/>
      </w:pPr>
      <w:bookmarkStart w:id="71" w:name="_Toc441468885"/>
      <w:bookmarkStart w:id="72" w:name="_Toc442416674"/>
      <w:bookmarkStart w:id="73" w:name="_Toc456270680"/>
      <w:r>
        <w:lastRenderedPageBreak/>
        <w:t>Causes of health loss: condition groups</w:t>
      </w:r>
      <w:bookmarkEnd w:id="71"/>
      <w:bookmarkEnd w:id="72"/>
      <w:bookmarkEnd w:id="73"/>
    </w:p>
    <w:p w:rsidR="006D2184" w:rsidRPr="0052773B" w:rsidRDefault="006D2184" w:rsidP="0086384E">
      <w:pPr>
        <w:rPr>
          <w:b/>
        </w:rPr>
      </w:pPr>
      <w:r>
        <w:t>All diseases and injuries have been mapped into eight condition groups, based on three criteria: organ system involved; pathophysiological mechanism; and medical discipline most involved in managing the condition (</w:t>
      </w:r>
      <w:r w:rsidR="0086384E">
        <w:fldChar w:fldCharType="begin"/>
      </w:r>
      <w:r w:rsidR="0086384E">
        <w:instrText xml:space="preserve"> REF _Ref454886887 \h </w:instrText>
      </w:r>
      <w:r w:rsidR="0086384E">
        <w:fldChar w:fldCharType="separate"/>
      </w:r>
      <w:r w:rsidR="006C545C">
        <w:t xml:space="preserve">Table </w:t>
      </w:r>
      <w:r w:rsidR="006C545C">
        <w:rPr>
          <w:noProof/>
        </w:rPr>
        <w:t>1</w:t>
      </w:r>
      <w:r w:rsidR="0086384E">
        <w:fldChar w:fldCharType="end"/>
      </w:r>
      <w:r>
        <w:t>).</w:t>
      </w:r>
    </w:p>
    <w:p w:rsidR="006D2184" w:rsidRDefault="006D2184" w:rsidP="0086384E"/>
    <w:p w:rsidR="006D2184" w:rsidRDefault="006D2184" w:rsidP="0086384E">
      <w:pPr>
        <w:pStyle w:val="Table"/>
      </w:pPr>
      <w:bookmarkStart w:id="74" w:name="_Ref441129790"/>
      <w:bookmarkStart w:id="75" w:name="_Ref454886887"/>
      <w:bookmarkStart w:id="76" w:name="_Toc454078603"/>
      <w:bookmarkStart w:id="77" w:name="_Toc455733247"/>
      <w:r>
        <w:t xml:space="preserve">Table </w:t>
      </w:r>
      <w:bookmarkEnd w:id="74"/>
      <w:r>
        <w:fldChar w:fldCharType="begin"/>
      </w:r>
      <w:r>
        <w:instrText xml:space="preserve"> SEQ Table \* ARABIC </w:instrText>
      </w:r>
      <w:r>
        <w:fldChar w:fldCharType="separate"/>
      </w:r>
      <w:r w:rsidR="006C545C">
        <w:rPr>
          <w:noProof/>
        </w:rPr>
        <w:t>1</w:t>
      </w:r>
      <w:r>
        <w:fldChar w:fldCharType="end"/>
      </w:r>
      <w:bookmarkEnd w:id="75"/>
      <w:r>
        <w:t>: Condition groups used in analysis</w:t>
      </w:r>
      <w:bookmarkEnd w:id="76"/>
      <w:bookmarkEnd w:id="77"/>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567"/>
        <w:gridCol w:w="2977"/>
        <w:gridCol w:w="5812"/>
      </w:tblGrid>
      <w:tr w:rsidR="006D2184" w:rsidTr="0086384E">
        <w:trPr>
          <w:cantSplit/>
        </w:trPr>
        <w:tc>
          <w:tcPr>
            <w:tcW w:w="567" w:type="dxa"/>
            <w:tcBorders>
              <w:top w:val="single" w:sz="4" w:space="0" w:color="auto"/>
              <w:bottom w:val="single" w:sz="4" w:space="0" w:color="auto"/>
            </w:tcBorders>
            <w:shd w:val="clear" w:color="auto" w:fill="auto"/>
          </w:tcPr>
          <w:p w:rsidR="006D2184" w:rsidRPr="00F231D7" w:rsidRDefault="006D2184" w:rsidP="0086384E">
            <w:pPr>
              <w:pStyle w:val="TableText"/>
            </w:pPr>
          </w:p>
        </w:tc>
        <w:tc>
          <w:tcPr>
            <w:tcW w:w="2977" w:type="dxa"/>
            <w:tcBorders>
              <w:top w:val="single" w:sz="4" w:space="0" w:color="auto"/>
              <w:bottom w:val="single" w:sz="4" w:space="0" w:color="auto"/>
            </w:tcBorders>
            <w:shd w:val="clear" w:color="auto" w:fill="auto"/>
          </w:tcPr>
          <w:p w:rsidR="006D2184" w:rsidRPr="00F231D7" w:rsidRDefault="006D2184" w:rsidP="0086384E">
            <w:pPr>
              <w:pStyle w:val="TableText"/>
              <w:ind w:right="142"/>
              <w:rPr>
                <w:b/>
              </w:rPr>
            </w:pPr>
            <w:r w:rsidRPr="00F231D7">
              <w:rPr>
                <w:b/>
              </w:rPr>
              <w:t>Condition group</w:t>
            </w:r>
          </w:p>
        </w:tc>
        <w:tc>
          <w:tcPr>
            <w:tcW w:w="5812" w:type="dxa"/>
            <w:tcBorders>
              <w:top w:val="single" w:sz="4" w:space="0" w:color="auto"/>
              <w:bottom w:val="single" w:sz="4" w:space="0" w:color="auto"/>
            </w:tcBorders>
            <w:shd w:val="clear" w:color="auto" w:fill="auto"/>
          </w:tcPr>
          <w:p w:rsidR="006D2184" w:rsidRPr="00F231D7" w:rsidRDefault="006D2184" w:rsidP="0086384E">
            <w:pPr>
              <w:pStyle w:val="TableText"/>
              <w:rPr>
                <w:b/>
              </w:rPr>
            </w:pPr>
            <w:r w:rsidRPr="00F231D7">
              <w:rPr>
                <w:b/>
              </w:rPr>
              <w:t>Conditions included</w:t>
            </w:r>
          </w:p>
        </w:tc>
      </w:tr>
      <w:tr w:rsidR="006D2184" w:rsidTr="000E5D47">
        <w:trPr>
          <w:cantSplit/>
        </w:trPr>
        <w:tc>
          <w:tcPr>
            <w:tcW w:w="567" w:type="dxa"/>
            <w:tcBorders>
              <w:top w:val="single" w:sz="4" w:space="0" w:color="auto"/>
              <w:bottom w:val="single" w:sz="4" w:space="0" w:color="A6A6A6"/>
            </w:tcBorders>
            <w:shd w:val="clear" w:color="auto" w:fill="auto"/>
          </w:tcPr>
          <w:p w:rsidR="006D2184" w:rsidRPr="00F231D7" w:rsidRDefault="006D2184" w:rsidP="0086384E">
            <w:pPr>
              <w:pStyle w:val="TableText"/>
            </w:pPr>
            <w:r w:rsidRPr="00F231D7">
              <w:t>1</w:t>
            </w:r>
          </w:p>
        </w:tc>
        <w:tc>
          <w:tcPr>
            <w:tcW w:w="2977" w:type="dxa"/>
            <w:tcBorders>
              <w:top w:val="single" w:sz="4" w:space="0" w:color="auto"/>
              <w:bottom w:val="single" w:sz="4" w:space="0" w:color="A6A6A6"/>
            </w:tcBorders>
            <w:shd w:val="clear" w:color="auto" w:fill="auto"/>
          </w:tcPr>
          <w:p w:rsidR="006D2184" w:rsidRPr="00F231D7" w:rsidRDefault="006D2184" w:rsidP="0086384E">
            <w:pPr>
              <w:pStyle w:val="TableText"/>
              <w:ind w:right="142"/>
            </w:pPr>
            <w:r w:rsidRPr="00F231D7">
              <w:t>Cancer (CA)</w:t>
            </w:r>
          </w:p>
        </w:tc>
        <w:tc>
          <w:tcPr>
            <w:tcW w:w="5812" w:type="dxa"/>
            <w:tcBorders>
              <w:top w:val="single" w:sz="4" w:space="0" w:color="auto"/>
              <w:bottom w:val="single" w:sz="4" w:space="0" w:color="A6A6A6"/>
            </w:tcBorders>
            <w:shd w:val="clear" w:color="auto" w:fill="auto"/>
          </w:tcPr>
          <w:p w:rsidR="006D2184" w:rsidRPr="00F231D7" w:rsidRDefault="006D2184" w:rsidP="0086384E">
            <w:pPr>
              <w:pStyle w:val="TableText"/>
            </w:pPr>
            <w:r w:rsidRPr="00F231D7">
              <w:t>Benign and malignant neoplasms</w:t>
            </w:r>
          </w:p>
        </w:tc>
      </w:tr>
      <w:tr w:rsidR="006D2184" w:rsidTr="000E5D47">
        <w:trPr>
          <w:cantSplit/>
        </w:trPr>
        <w:tc>
          <w:tcPr>
            <w:tcW w:w="567" w:type="dxa"/>
            <w:tcBorders>
              <w:top w:val="single" w:sz="4" w:space="0" w:color="A6A6A6"/>
              <w:bottom w:val="single" w:sz="4" w:space="0" w:color="A6A6A6"/>
            </w:tcBorders>
            <w:shd w:val="clear" w:color="auto" w:fill="auto"/>
          </w:tcPr>
          <w:p w:rsidR="006D2184" w:rsidRPr="00F231D7" w:rsidRDefault="006D2184" w:rsidP="0086384E">
            <w:pPr>
              <w:pStyle w:val="TableText"/>
            </w:pPr>
            <w:r w:rsidRPr="00F231D7">
              <w:t>2</w:t>
            </w:r>
          </w:p>
        </w:tc>
        <w:tc>
          <w:tcPr>
            <w:tcW w:w="2977" w:type="dxa"/>
            <w:tcBorders>
              <w:top w:val="single" w:sz="4" w:space="0" w:color="A6A6A6"/>
              <w:bottom w:val="single" w:sz="4" w:space="0" w:color="A6A6A6"/>
            </w:tcBorders>
            <w:shd w:val="clear" w:color="auto" w:fill="auto"/>
          </w:tcPr>
          <w:p w:rsidR="006D2184" w:rsidRPr="00F231D7" w:rsidRDefault="006D2184" w:rsidP="0086384E">
            <w:pPr>
              <w:pStyle w:val="TableText"/>
              <w:ind w:right="142"/>
            </w:pPr>
            <w:r w:rsidRPr="00F231D7">
              <w:t>Cardiovascular disorders and diabetes (CVD</w:t>
            </w:r>
            <w:r>
              <w:t>D</w:t>
            </w:r>
            <w:r w:rsidRPr="00F231D7">
              <w:t>)</w:t>
            </w:r>
          </w:p>
        </w:tc>
        <w:tc>
          <w:tcPr>
            <w:tcW w:w="5812" w:type="dxa"/>
            <w:tcBorders>
              <w:top w:val="single" w:sz="4" w:space="0" w:color="A6A6A6"/>
              <w:bottom w:val="single" w:sz="4" w:space="0" w:color="A6A6A6"/>
            </w:tcBorders>
            <w:shd w:val="clear" w:color="auto" w:fill="auto"/>
          </w:tcPr>
          <w:p w:rsidR="006D2184" w:rsidRPr="00F231D7" w:rsidRDefault="006D2184" w:rsidP="0086384E">
            <w:pPr>
              <w:pStyle w:val="TableText"/>
            </w:pPr>
            <w:r w:rsidRPr="00F231D7">
              <w:t>Cardiac and vascular diseases; and diabetes mellitus (included here because most diabetes-related health loss is vascular in nature)</w:t>
            </w:r>
          </w:p>
        </w:tc>
      </w:tr>
      <w:tr w:rsidR="006D2184" w:rsidTr="000E5D47">
        <w:trPr>
          <w:cantSplit/>
        </w:trPr>
        <w:tc>
          <w:tcPr>
            <w:tcW w:w="567" w:type="dxa"/>
            <w:tcBorders>
              <w:top w:val="single" w:sz="4" w:space="0" w:color="A6A6A6"/>
              <w:bottom w:val="single" w:sz="4" w:space="0" w:color="A6A6A6"/>
            </w:tcBorders>
            <w:shd w:val="clear" w:color="auto" w:fill="auto"/>
          </w:tcPr>
          <w:p w:rsidR="006D2184" w:rsidRPr="00F231D7" w:rsidRDefault="006D2184" w:rsidP="0086384E">
            <w:pPr>
              <w:pStyle w:val="TableText"/>
            </w:pPr>
            <w:r w:rsidRPr="00F231D7">
              <w:t>3</w:t>
            </w:r>
          </w:p>
        </w:tc>
        <w:tc>
          <w:tcPr>
            <w:tcW w:w="2977" w:type="dxa"/>
            <w:tcBorders>
              <w:top w:val="single" w:sz="4" w:space="0" w:color="A6A6A6"/>
              <w:bottom w:val="single" w:sz="4" w:space="0" w:color="A6A6A6"/>
            </w:tcBorders>
            <w:shd w:val="clear" w:color="auto" w:fill="auto"/>
          </w:tcPr>
          <w:p w:rsidR="006D2184" w:rsidRPr="00F231D7" w:rsidRDefault="006D2184" w:rsidP="0086384E">
            <w:pPr>
              <w:pStyle w:val="TableText"/>
              <w:ind w:right="142"/>
            </w:pPr>
            <w:r w:rsidRPr="00F231D7">
              <w:t>Chronic lung, liver and kidney disease (CLLKD)</w:t>
            </w:r>
          </w:p>
        </w:tc>
        <w:tc>
          <w:tcPr>
            <w:tcW w:w="5812" w:type="dxa"/>
            <w:tcBorders>
              <w:top w:val="single" w:sz="4" w:space="0" w:color="A6A6A6"/>
              <w:bottom w:val="single" w:sz="4" w:space="0" w:color="A6A6A6"/>
            </w:tcBorders>
            <w:shd w:val="clear" w:color="auto" w:fill="auto"/>
          </w:tcPr>
          <w:p w:rsidR="006D2184" w:rsidRPr="00F231D7" w:rsidRDefault="006D2184" w:rsidP="0086384E">
            <w:pPr>
              <w:pStyle w:val="TableText"/>
            </w:pPr>
            <w:r w:rsidRPr="00F231D7">
              <w:t>Chronic lung disease (asthma, chronic obstructive pulmonary disease (COPD), interstitial lung disease), chronic liver disease (cirrhosis) and chronic kidney disease (CKD, including diabetic nephropathy)</w:t>
            </w:r>
          </w:p>
        </w:tc>
      </w:tr>
      <w:tr w:rsidR="006D2184" w:rsidTr="000E5D47">
        <w:trPr>
          <w:cantSplit/>
        </w:trPr>
        <w:tc>
          <w:tcPr>
            <w:tcW w:w="567" w:type="dxa"/>
            <w:tcBorders>
              <w:top w:val="single" w:sz="4" w:space="0" w:color="A6A6A6"/>
              <w:bottom w:val="single" w:sz="4" w:space="0" w:color="A6A6A6"/>
            </w:tcBorders>
            <w:shd w:val="clear" w:color="auto" w:fill="auto"/>
          </w:tcPr>
          <w:p w:rsidR="006D2184" w:rsidRPr="00F231D7" w:rsidRDefault="006D2184" w:rsidP="0086384E">
            <w:pPr>
              <w:pStyle w:val="TableText"/>
            </w:pPr>
            <w:r w:rsidRPr="00F231D7">
              <w:t>4</w:t>
            </w:r>
          </w:p>
        </w:tc>
        <w:tc>
          <w:tcPr>
            <w:tcW w:w="2977" w:type="dxa"/>
            <w:tcBorders>
              <w:top w:val="single" w:sz="4" w:space="0" w:color="A6A6A6"/>
              <w:bottom w:val="single" w:sz="4" w:space="0" w:color="A6A6A6"/>
            </w:tcBorders>
            <w:shd w:val="clear" w:color="auto" w:fill="auto"/>
          </w:tcPr>
          <w:p w:rsidR="006D2184" w:rsidRPr="00F231D7" w:rsidRDefault="006D2184" w:rsidP="0086384E">
            <w:pPr>
              <w:pStyle w:val="TableText"/>
              <w:ind w:right="142"/>
            </w:pPr>
            <w:r w:rsidRPr="00F231D7">
              <w:t>Other non-communicable diseases (ONCD)</w:t>
            </w:r>
          </w:p>
        </w:tc>
        <w:tc>
          <w:tcPr>
            <w:tcW w:w="5812" w:type="dxa"/>
            <w:tcBorders>
              <w:top w:val="single" w:sz="4" w:space="0" w:color="A6A6A6"/>
              <w:bottom w:val="single" w:sz="4" w:space="0" w:color="A6A6A6"/>
            </w:tcBorders>
            <w:shd w:val="clear" w:color="auto" w:fill="auto"/>
          </w:tcPr>
          <w:p w:rsidR="006D2184" w:rsidRPr="00F231D7" w:rsidRDefault="006D2184" w:rsidP="0086384E">
            <w:pPr>
              <w:pStyle w:val="TableText"/>
            </w:pPr>
            <w:r w:rsidRPr="00F231D7">
              <w:t>Skin disorders, disorders of vision and hearing, endocrine and related disorders except diabetes mellitus, digestive disorders, urological disord</w:t>
            </w:r>
            <w:r>
              <w:t xml:space="preserve">ers, gynaecologic disorders, </w:t>
            </w:r>
            <w:r w:rsidRPr="00F231D7">
              <w:t>dental disorders</w:t>
            </w:r>
          </w:p>
        </w:tc>
      </w:tr>
      <w:tr w:rsidR="006D2184" w:rsidTr="000E5D47">
        <w:trPr>
          <w:cantSplit/>
        </w:trPr>
        <w:tc>
          <w:tcPr>
            <w:tcW w:w="567" w:type="dxa"/>
            <w:tcBorders>
              <w:top w:val="single" w:sz="4" w:space="0" w:color="A6A6A6"/>
              <w:bottom w:val="single" w:sz="4" w:space="0" w:color="A6A6A6"/>
            </w:tcBorders>
            <w:shd w:val="clear" w:color="auto" w:fill="auto"/>
          </w:tcPr>
          <w:p w:rsidR="006D2184" w:rsidRPr="00F231D7" w:rsidRDefault="006D2184" w:rsidP="0086384E">
            <w:pPr>
              <w:pStyle w:val="TableText"/>
            </w:pPr>
            <w:r w:rsidRPr="00F231D7">
              <w:t>5</w:t>
            </w:r>
          </w:p>
        </w:tc>
        <w:tc>
          <w:tcPr>
            <w:tcW w:w="2977" w:type="dxa"/>
            <w:tcBorders>
              <w:top w:val="single" w:sz="4" w:space="0" w:color="A6A6A6"/>
              <w:bottom w:val="single" w:sz="4" w:space="0" w:color="A6A6A6"/>
            </w:tcBorders>
            <w:shd w:val="clear" w:color="auto" w:fill="auto"/>
          </w:tcPr>
          <w:p w:rsidR="006D2184" w:rsidRPr="00F231D7" w:rsidRDefault="006D2184" w:rsidP="0086384E">
            <w:pPr>
              <w:pStyle w:val="TableText"/>
              <w:ind w:right="142"/>
            </w:pPr>
            <w:r w:rsidRPr="00F231D7">
              <w:t>Neuropsychiatric disorders (NP)</w:t>
            </w:r>
          </w:p>
        </w:tc>
        <w:tc>
          <w:tcPr>
            <w:tcW w:w="5812" w:type="dxa"/>
            <w:tcBorders>
              <w:top w:val="single" w:sz="4" w:space="0" w:color="A6A6A6"/>
              <w:bottom w:val="single" w:sz="4" w:space="0" w:color="A6A6A6"/>
            </w:tcBorders>
            <w:shd w:val="clear" w:color="auto" w:fill="auto"/>
          </w:tcPr>
          <w:p w:rsidR="006D2184" w:rsidRPr="00F231D7" w:rsidRDefault="006D2184" w:rsidP="0086384E">
            <w:pPr>
              <w:pStyle w:val="TableText"/>
            </w:pPr>
            <w:r w:rsidRPr="00F231D7">
              <w:t xml:space="preserve">Neurological disorders, mental disorders and addiction </w:t>
            </w:r>
            <w:proofErr w:type="gramStart"/>
            <w:r w:rsidRPr="00F231D7">
              <w:t>disorders</w:t>
            </w:r>
            <w:proofErr w:type="gramEnd"/>
            <w:r w:rsidR="0086384E">
              <w:br/>
            </w:r>
            <w:r w:rsidRPr="00F231D7">
              <w:t>(These conditions are grouped together because of the difficulty in separating disorders of the mind from disorders of the brain.)</w:t>
            </w:r>
          </w:p>
        </w:tc>
      </w:tr>
      <w:tr w:rsidR="006D2184" w:rsidTr="000E5D47">
        <w:trPr>
          <w:cantSplit/>
        </w:trPr>
        <w:tc>
          <w:tcPr>
            <w:tcW w:w="567" w:type="dxa"/>
            <w:tcBorders>
              <w:top w:val="single" w:sz="4" w:space="0" w:color="A6A6A6"/>
              <w:bottom w:val="single" w:sz="4" w:space="0" w:color="A6A6A6"/>
            </w:tcBorders>
            <w:shd w:val="clear" w:color="auto" w:fill="auto"/>
          </w:tcPr>
          <w:p w:rsidR="006D2184" w:rsidRPr="00F231D7" w:rsidRDefault="006D2184" w:rsidP="0086384E">
            <w:pPr>
              <w:pStyle w:val="TableText"/>
            </w:pPr>
            <w:r w:rsidRPr="00F231D7">
              <w:t>6</w:t>
            </w:r>
          </w:p>
        </w:tc>
        <w:tc>
          <w:tcPr>
            <w:tcW w:w="2977" w:type="dxa"/>
            <w:tcBorders>
              <w:top w:val="single" w:sz="4" w:space="0" w:color="A6A6A6"/>
              <w:bottom w:val="single" w:sz="4" w:space="0" w:color="A6A6A6"/>
            </w:tcBorders>
            <w:shd w:val="clear" w:color="auto" w:fill="auto"/>
          </w:tcPr>
          <w:p w:rsidR="006D2184" w:rsidRPr="00F231D7" w:rsidRDefault="006D2184" w:rsidP="0086384E">
            <w:pPr>
              <w:pStyle w:val="TableText"/>
              <w:ind w:right="142"/>
            </w:pPr>
            <w:r w:rsidRPr="00F231D7">
              <w:t>Musculoskeletal disorders (MSK)</w:t>
            </w:r>
          </w:p>
        </w:tc>
        <w:tc>
          <w:tcPr>
            <w:tcW w:w="5812" w:type="dxa"/>
            <w:tcBorders>
              <w:top w:val="single" w:sz="4" w:space="0" w:color="A6A6A6"/>
              <w:bottom w:val="single" w:sz="4" w:space="0" w:color="A6A6A6"/>
            </w:tcBorders>
            <w:shd w:val="clear" w:color="auto" w:fill="auto"/>
          </w:tcPr>
          <w:p w:rsidR="006D2184" w:rsidRPr="00F231D7" w:rsidRDefault="006D2184" w:rsidP="0086384E">
            <w:pPr>
              <w:pStyle w:val="TableText"/>
            </w:pPr>
            <w:r w:rsidRPr="00F231D7">
              <w:t>Disorders of bone, joints, muscles and related structures, including chronic pain syndromes</w:t>
            </w:r>
          </w:p>
        </w:tc>
      </w:tr>
      <w:tr w:rsidR="006D2184" w:rsidTr="000E5D47">
        <w:trPr>
          <w:cantSplit/>
        </w:trPr>
        <w:tc>
          <w:tcPr>
            <w:tcW w:w="567" w:type="dxa"/>
            <w:tcBorders>
              <w:top w:val="single" w:sz="4" w:space="0" w:color="A6A6A6"/>
              <w:bottom w:val="single" w:sz="4" w:space="0" w:color="A6A6A6"/>
            </w:tcBorders>
            <w:shd w:val="clear" w:color="auto" w:fill="auto"/>
          </w:tcPr>
          <w:p w:rsidR="006D2184" w:rsidRPr="00F231D7" w:rsidRDefault="006D2184" w:rsidP="0086384E">
            <w:pPr>
              <w:pStyle w:val="TableText"/>
            </w:pPr>
            <w:r w:rsidRPr="00F231D7">
              <w:t>7</w:t>
            </w:r>
          </w:p>
        </w:tc>
        <w:tc>
          <w:tcPr>
            <w:tcW w:w="2977" w:type="dxa"/>
            <w:tcBorders>
              <w:top w:val="single" w:sz="4" w:space="0" w:color="A6A6A6"/>
              <w:bottom w:val="single" w:sz="4" w:space="0" w:color="A6A6A6"/>
            </w:tcBorders>
            <w:shd w:val="clear" w:color="auto" w:fill="auto"/>
          </w:tcPr>
          <w:p w:rsidR="006D2184" w:rsidRPr="00F231D7" w:rsidRDefault="006D2184" w:rsidP="0086384E">
            <w:pPr>
              <w:pStyle w:val="TableText"/>
              <w:ind w:right="142"/>
            </w:pPr>
            <w:r w:rsidRPr="00F231D7">
              <w:t>Maternal, neonatal, nutritional deficiency and infectious disorders (MNNI)</w:t>
            </w:r>
          </w:p>
        </w:tc>
        <w:tc>
          <w:tcPr>
            <w:tcW w:w="5812" w:type="dxa"/>
            <w:tcBorders>
              <w:top w:val="single" w:sz="4" w:space="0" w:color="A6A6A6"/>
              <w:bottom w:val="single" w:sz="4" w:space="0" w:color="A6A6A6"/>
            </w:tcBorders>
            <w:shd w:val="clear" w:color="auto" w:fill="auto"/>
          </w:tcPr>
          <w:p w:rsidR="006D2184" w:rsidRPr="00F231D7" w:rsidRDefault="006D2184" w:rsidP="0086384E">
            <w:pPr>
              <w:pStyle w:val="TableText"/>
            </w:pPr>
            <w:r w:rsidRPr="00F231D7">
              <w:t>Maternal (obstetric) disorders, disorders of the neonatal period, micronutrient deficiency diseases, infectious diseases, and birth defects (congenital disorders)</w:t>
            </w:r>
          </w:p>
        </w:tc>
      </w:tr>
      <w:tr w:rsidR="006D2184" w:rsidTr="000E5D47">
        <w:trPr>
          <w:cantSplit/>
        </w:trPr>
        <w:tc>
          <w:tcPr>
            <w:tcW w:w="567" w:type="dxa"/>
            <w:tcBorders>
              <w:top w:val="single" w:sz="4" w:space="0" w:color="A6A6A6"/>
            </w:tcBorders>
            <w:shd w:val="clear" w:color="auto" w:fill="auto"/>
          </w:tcPr>
          <w:p w:rsidR="006D2184" w:rsidRPr="00F231D7" w:rsidRDefault="006D2184" w:rsidP="0086384E">
            <w:pPr>
              <w:pStyle w:val="TableText"/>
            </w:pPr>
            <w:r w:rsidRPr="00F231D7">
              <w:t>8</w:t>
            </w:r>
          </w:p>
        </w:tc>
        <w:tc>
          <w:tcPr>
            <w:tcW w:w="2977" w:type="dxa"/>
            <w:tcBorders>
              <w:top w:val="single" w:sz="4" w:space="0" w:color="A6A6A6"/>
            </w:tcBorders>
            <w:shd w:val="clear" w:color="auto" w:fill="auto"/>
          </w:tcPr>
          <w:p w:rsidR="006D2184" w:rsidRPr="00F231D7" w:rsidRDefault="006D2184" w:rsidP="0086384E">
            <w:pPr>
              <w:pStyle w:val="TableText"/>
              <w:ind w:right="142"/>
            </w:pPr>
            <w:r w:rsidRPr="00F231D7">
              <w:t>Injury (INJ)</w:t>
            </w:r>
          </w:p>
        </w:tc>
        <w:tc>
          <w:tcPr>
            <w:tcW w:w="5812" w:type="dxa"/>
            <w:tcBorders>
              <w:top w:val="single" w:sz="4" w:space="0" w:color="A6A6A6"/>
            </w:tcBorders>
            <w:shd w:val="clear" w:color="auto" w:fill="auto"/>
          </w:tcPr>
          <w:p w:rsidR="006D2184" w:rsidRPr="00F231D7" w:rsidRDefault="006D2184" w:rsidP="0086384E">
            <w:pPr>
              <w:pStyle w:val="TableText"/>
            </w:pPr>
            <w:r w:rsidRPr="00F231D7">
              <w:t>Unintentional injuries and intentional injuries (</w:t>
            </w:r>
            <w:proofErr w:type="spellStart"/>
            <w:r w:rsidRPr="00F231D7">
              <w:t>ie</w:t>
            </w:r>
            <w:proofErr w:type="spellEnd"/>
            <w:r w:rsidRPr="00F231D7">
              <w:t>, self-harm and interpersonal violence)</w:t>
            </w:r>
          </w:p>
        </w:tc>
      </w:tr>
    </w:tbl>
    <w:p w:rsidR="006D2184" w:rsidRDefault="006D2184" w:rsidP="0086384E"/>
    <w:p w:rsidR="006D2184" w:rsidRPr="006013E7" w:rsidRDefault="006D2184" w:rsidP="0086384E">
      <w:r w:rsidRPr="006013E7">
        <w:t>This classification gives priority to injuries, followed by cancers, infections</w:t>
      </w:r>
      <w:r>
        <w:t>, vascular disorders</w:t>
      </w:r>
      <w:r w:rsidRPr="006013E7">
        <w:t xml:space="preserve"> and finally organ systems. </w:t>
      </w:r>
      <w:r>
        <w:t>So, for example, rather than being classified as neuropsychiatric disorders, traumatic brain injury is classified under injury, brain cancer under cancer, meningitis under infection, and stroke under cardiovascular disorders. Alternative classifications may be used for specific purposes.</w:t>
      </w:r>
    </w:p>
    <w:p w:rsidR="006D2184" w:rsidRDefault="006D2184" w:rsidP="0086384E"/>
    <w:p w:rsidR="006D2184" w:rsidRDefault="006D2184" w:rsidP="0086384E">
      <w:pPr>
        <w:pStyle w:val="Heading2"/>
      </w:pPr>
      <w:bookmarkStart w:id="78" w:name="_Toc442416675"/>
      <w:bookmarkStart w:id="79" w:name="_Toc456270681"/>
      <w:r>
        <w:t>Neuropsychiatric disorders are the leading cause of health loss among condition groups, overall and in females</w:t>
      </w:r>
      <w:bookmarkEnd w:id="78"/>
      <w:bookmarkEnd w:id="79"/>
    </w:p>
    <w:p w:rsidR="006D2184" w:rsidRDefault="006D2184" w:rsidP="00882DF2">
      <w:pPr>
        <w:keepNext/>
      </w:pPr>
      <w:r w:rsidRPr="00DE3C55">
        <w:t xml:space="preserve">Just </w:t>
      </w:r>
      <w:r>
        <w:t>t</w:t>
      </w:r>
      <w:r w:rsidRPr="00DE3C55">
        <w:t xml:space="preserve">hree condition groups account for </w:t>
      </w:r>
      <w:r>
        <w:t>over half (53%) of all health loss in the total New Zealand population in 2013: neuropsychiatric disorders (19%), cancers (17%) and cardiovascular diseases including diabetes (17%) (</w:t>
      </w:r>
      <w:r>
        <w:fldChar w:fldCharType="begin"/>
      </w:r>
      <w:r>
        <w:instrText xml:space="preserve"> REF _Ref441131645 \h </w:instrText>
      </w:r>
      <w:r>
        <w:fldChar w:fldCharType="separate"/>
      </w:r>
      <w:r w:rsidR="006C545C">
        <w:t xml:space="preserve">Figure </w:t>
      </w:r>
      <w:r w:rsidR="006C545C">
        <w:rPr>
          <w:noProof/>
        </w:rPr>
        <w:t>8</w:t>
      </w:r>
      <w:r>
        <w:fldChar w:fldCharType="end"/>
      </w:r>
      <w:r>
        <w:t xml:space="preserve">). Musculoskeletal disorders account for approximately 13% and chronic lung, liver and kidney disease for almost 10% of health loss. </w:t>
      </w:r>
      <w:r>
        <w:lastRenderedPageBreak/>
        <w:t>Collectively, therefore, these five leading condition groups are responsible for over three-quarters (76%) of all health loss.</w:t>
      </w:r>
    </w:p>
    <w:p w:rsidR="006D2184" w:rsidRDefault="006D2184" w:rsidP="00882DF2">
      <w:pPr>
        <w:keepNext/>
      </w:pPr>
    </w:p>
    <w:p w:rsidR="006D2184" w:rsidRDefault="006D2184" w:rsidP="0086384E">
      <w:pPr>
        <w:pStyle w:val="Figure"/>
      </w:pPr>
      <w:bookmarkStart w:id="80" w:name="_Ref441131645"/>
      <w:bookmarkStart w:id="81" w:name="_Toc441576063"/>
      <w:bookmarkStart w:id="82" w:name="_Toc442416797"/>
      <w:bookmarkStart w:id="83" w:name="_Toc454078636"/>
      <w:bookmarkStart w:id="84" w:name="_Toc456613621"/>
      <w:r>
        <w:t xml:space="preserve">Figure </w:t>
      </w:r>
      <w:r w:rsidR="00F456CC">
        <w:fldChar w:fldCharType="begin"/>
      </w:r>
      <w:r w:rsidR="00F456CC">
        <w:instrText xml:space="preserve"> SEQ Figure \* ARABIC </w:instrText>
      </w:r>
      <w:r w:rsidR="00F456CC">
        <w:fldChar w:fldCharType="separate"/>
      </w:r>
      <w:r w:rsidR="006C545C">
        <w:rPr>
          <w:noProof/>
        </w:rPr>
        <w:t>8</w:t>
      </w:r>
      <w:r w:rsidR="00F456CC">
        <w:rPr>
          <w:noProof/>
        </w:rPr>
        <w:fldChar w:fldCharType="end"/>
      </w:r>
      <w:bookmarkEnd w:id="80"/>
      <w:r>
        <w:t xml:space="preserve">: </w:t>
      </w:r>
      <w:r w:rsidRPr="005B163D">
        <w:t xml:space="preserve">Contribution of condition groups to </w:t>
      </w:r>
      <w:r>
        <w:t xml:space="preserve">health loss (% </w:t>
      </w:r>
      <w:r w:rsidRPr="005B163D">
        <w:t>total DALYs</w:t>
      </w:r>
      <w:r>
        <w:t>)</w:t>
      </w:r>
      <w:r w:rsidRPr="005B163D">
        <w:t>, 2013</w:t>
      </w:r>
      <w:bookmarkEnd w:id="81"/>
      <w:bookmarkEnd w:id="82"/>
      <w:bookmarkEnd w:id="83"/>
      <w:bookmarkEnd w:id="84"/>
    </w:p>
    <w:p w:rsidR="006D2184" w:rsidRDefault="005122BD" w:rsidP="006D2184">
      <w:r>
        <w:rPr>
          <w:noProof/>
          <w:lang w:eastAsia="en-NZ"/>
        </w:rPr>
        <w:drawing>
          <wp:inline distT="0" distB="0" distL="0" distR="0">
            <wp:extent cx="4289425" cy="3624580"/>
            <wp:effectExtent l="0" t="0" r="0" b="0"/>
            <wp:docPr id="872" name="Picture 1" descr="Figure 8: Contribution of condition groups to health loss (% total DALY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8: Contribution of condition groups to health loss (% total DALYs), 2013"/>
                    <pic:cNvPicPr>
                      <a:picLocks noChangeAspect="1" noChangeArrowheads="1"/>
                    </pic:cNvPicPr>
                  </pic:nvPicPr>
                  <pic:blipFill>
                    <a:blip r:embed="rId26">
                      <a:extLst>
                        <a:ext uri="{28A0092B-C50C-407E-A947-70E740481C1C}">
                          <a14:useLocalDpi xmlns:a14="http://schemas.microsoft.com/office/drawing/2010/main" val="0"/>
                        </a:ext>
                      </a:extLst>
                    </a:blip>
                    <a:srcRect r="27832"/>
                    <a:stretch>
                      <a:fillRect/>
                    </a:stretch>
                  </pic:blipFill>
                  <pic:spPr bwMode="auto">
                    <a:xfrm>
                      <a:off x="0" y="0"/>
                      <a:ext cx="4289425" cy="3624580"/>
                    </a:xfrm>
                    <a:prstGeom prst="rect">
                      <a:avLst/>
                    </a:prstGeom>
                    <a:noFill/>
                    <a:ln>
                      <a:noFill/>
                    </a:ln>
                  </pic:spPr>
                </pic:pic>
              </a:graphicData>
            </a:graphic>
          </wp:inline>
        </w:drawing>
      </w:r>
    </w:p>
    <w:p w:rsidR="006D2184" w:rsidRPr="0086384E" w:rsidRDefault="006D2184" w:rsidP="0086384E">
      <w:pPr>
        <w:pStyle w:val="Note"/>
        <w:rPr>
          <w:b/>
        </w:rPr>
      </w:pPr>
      <w:r w:rsidRPr="0086384E">
        <w:rPr>
          <w:b/>
        </w:rPr>
        <w:t>Key</w:t>
      </w:r>
    </w:p>
    <w:p w:rsidR="006D2184" w:rsidRDefault="006D2184" w:rsidP="006D2184">
      <w:pPr>
        <w:pStyle w:val="Note"/>
        <w:tabs>
          <w:tab w:val="left" w:pos="709"/>
          <w:tab w:val="left" w:pos="993"/>
        </w:tabs>
        <w:ind w:left="993" w:hanging="993"/>
      </w:pPr>
      <w:r>
        <w:t>CA</w:t>
      </w:r>
      <w:r>
        <w:tab/>
        <w:t>=</w:t>
      </w:r>
      <w:r>
        <w:tab/>
        <w:t>cancers</w:t>
      </w:r>
    </w:p>
    <w:p w:rsidR="006D2184" w:rsidRDefault="006D2184" w:rsidP="006D2184">
      <w:pPr>
        <w:pStyle w:val="Note"/>
        <w:tabs>
          <w:tab w:val="left" w:pos="709"/>
          <w:tab w:val="left" w:pos="993"/>
        </w:tabs>
        <w:ind w:left="993" w:hanging="993"/>
      </w:pPr>
      <w:r>
        <w:t>CVDD</w:t>
      </w:r>
      <w:r>
        <w:tab/>
        <w:t>=</w:t>
      </w:r>
      <w:r>
        <w:tab/>
        <w:t>cardiovascular disorders (dark shade) and diabetes (light shade)</w:t>
      </w:r>
    </w:p>
    <w:p w:rsidR="006D2184" w:rsidRDefault="006D2184" w:rsidP="006D2184">
      <w:pPr>
        <w:pStyle w:val="Note"/>
        <w:tabs>
          <w:tab w:val="left" w:pos="709"/>
          <w:tab w:val="left" w:pos="993"/>
        </w:tabs>
        <w:ind w:left="993" w:hanging="993"/>
      </w:pPr>
      <w:r>
        <w:t>CLLKD</w:t>
      </w:r>
      <w:r>
        <w:tab/>
        <w:t>=</w:t>
      </w:r>
      <w:r>
        <w:tab/>
        <w:t>chronic lung (dark shade), kidney (mid shade) and liver disease (light shade)</w:t>
      </w:r>
    </w:p>
    <w:p w:rsidR="006D2184" w:rsidRDefault="006D2184" w:rsidP="006D2184">
      <w:pPr>
        <w:pStyle w:val="Note"/>
        <w:tabs>
          <w:tab w:val="left" w:pos="709"/>
          <w:tab w:val="left" w:pos="993"/>
        </w:tabs>
        <w:ind w:left="993" w:hanging="993"/>
      </w:pPr>
      <w:r>
        <w:t>ONCD</w:t>
      </w:r>
      <w:r>
        <w:tab/>
        <w:t>=</w:t>
      </w:r>
      <w:r>
        <w:tab/>
        <w:t>other non-communicable diseases</w:t>
      </w:r>
    </w:p>
    <w:p w:rsidR="006D2184" w:rsidRDefault="006D2184" w:rsidP="006D2184">
      <w:pPr>
        <w:pStyle w:val="Note"/>
        <w:tabs>
          <w:tab w:val="left" w:pos="709"/>
          <w:tab w:val="left" w:pos="993"/>
        </w:tabs>
        <w:ind w:left="993" w:hanging="993"/>
      </w:pPr>
      <w:r>
        <w:t>NP</w:t>
      </w:r>
      <w:r>
        <w:tab/>
        <w:t>=</w:t>
      </w:r>
      <w:r>
        <w:tab/>
        <w:t>neuropsychiatric disorders: mental disorders (dark shade), neurological disorders including dementia (light shade)</w:t>
      </w:r>
    </w:p>
    <w:p w:rsidR="006D2184" w:rsidRDefault="006D2184" w:rsidP="006D2184">
      <w:pPr>
        <w:pStyle w:val="Note"/>
        <w:tabs>
          <w:tab w:val="left" w:pos="709"/>
          <w:tab w:val="left" w:pos="993"/>
        </w:tabs>
        <w:ind w:left="993" w:hanging="993"/>
      </w:pPr>
      <w:r>
        <w:t>MSK</w:t>
      </w:r>
      <w:r>
        <w:tab/>
        <w:t>=</w:t>
      </w:r>
      <w:r>
        <w:tab/>
        <w:t>musculoskeletal disorders</w:t>
      </w:r>
    </w:p>
    <w:p w:rsidR="006D2184" w:rsidRDefault="006D2184" w:rsidP="006D2184">
      <w:pPr>
        <w:pStyle w:val="Note"/>
        <w:tabs>
          <w:tab w:val="left" w:pos="709"/>
          <w:tab w:val="left" w:pos="993"/>
        </w:tabs>
        <w:ind w:left="993" w:hanging="993"/>
      </w:pPr>
      <w:r>
        <w:t>MNNI</w:t>
      </w:r>
      <w:r>
        <w:tab/>
        <w:t>=</w:t>
      </w:r>
      <w:r>
        <w:tab/>
        <w:t>birth defects, maternal and neonatal disorders, infectious disorders, nutritional deficiency disorders (in that order from left to right)</w:t>
      </w:r>
    </w:p>
    <w:p w:rsidR="006D2184" w:rsidRPr="007455A8" w:rsidRDefault="006D2184" w:rsidP="006D2184">
      <w:pPr>
        <w:pStyle w:val="Note"/>
        <w:tabs>
          <w:tab w:val="left" w:pos="709"/>
          <w:tab w:val="left" w:pos="993"/>
        </w:tabs>
        <w:ind w:left="993" w:hanging="993"/>
      </w:pPr>
      <w:r>
        <w:t>INJ</w:t>
      </w:r>
      <w:r>
        <w:tab/>
        <w:t>=</w:t>
      </w:r>
      <w:r>
        <w:tab/>
        <w:t>injuries, unintentional (dark shade) and intentional (light shade)</w:t>
      </w:r>
    </w:p>
    <w:p w:rsidR="006D2184" w:rsidRPr="004A07A6" w:rsidRDefault="006D2184" w:rsidP="00EF1235">
      <w:pPr>
        <w:spacing w:before="80"/>
        <w:rPr>
          <w:rFonts w:ascii="Arial" w:hAnsi="Arial" w:cs="Arial"/>
          <w:sz w:val="18"/>
          <w:szCs w:val="18"/>
        </w:rPr>
      </w:pPr>
      <w:r w:rsidRPr="004A07A6">
        <w:rPr>
          <w:rFonts w:ascii="Arial" w:hAnsi="Arial" w:cs="Arial"/>
          <w:sz w:val="18"/>
          <w:szCs w:val="18"/>
        </w:rPr>
        <w:t>Note: Confidence intervals not shown for clarity of presentation.</w:t>
      </w:r>
    </w:p>
    <w:p w:rsidR="006D2184" w:rsidRDefault="006D2184" w:rsidP="0086384E"/>
    <w:p w:rsidR="006D2184" w:rsidRDefault="006D2184" w:rsidP="00B86826">
      <w:pPr>
        <w:keepNext/>
        <w:keepLines/>
      </w:pPr>
      <w:r>
        <w:t xml:space="preserve">Neuropsychiatric disorders are considered a single condition group because it is difficult to clearly separate disorders of the mind from disorders of the brain – although </w:t>
      </w:r>
      <w:r>
        <w:fldChar w:fldCharType="begin"/>
      </w:r>
      <w:r>
        <w:instrText xml:space="preserve"> REF _Ref441131645 \h </w:instrText>
      </w:r>
      <w:r>
        <w:fldChar w:fldCharType="separate"/>
      </w:r>
      <w:r w:rsidR="006C545C">
        <w:t xml:space="preserve">Figure </w:t>
      </w:r>
      <w:r w:rsidR="006C545C">
        <w:rPr>
          <w:noProof/>
        </w:rPr>
        <w:t>8</w:t>
      </w:r>
      <w:r>
        <w:fldChar w:fldCharType="end"/>
      </w:r>
      <w:r>
        <w:t xml:space="preserve"> attempts to do so. Given this classification, mental disorders alone would account for 12% of total DALYs and neurological disorders (including dementia) for 7%.</w:t>
      </w:r>
    </w:p>
    <w:p w:rsidR="006D2184" w:rsidRDefault="006D2184" w:rsidP="0086384E"/>
    <w:p w:rsidR="006D2184" w:rsidRPr="00DE3C55" w:rsidRDefault="006D2184" w:rsidP="0086384E">
      <w:r>
        <w:t>The causal structure of health loss is fairly similar for both genders across condition groups. However, injury is a much more important cause of health loss among males (11% for males versus 5% for females), and neuropsychiatric disorders are a more important cause among females (22% for females versus 16% for males).</w:t>
      </w:r>
    </w:p>
    <w:p w:rsidR="006D2184" w:rsidRDefault="006D2184" w:rsidP="0086384E"/>
    <w:p w:rsidR="006D2184" w:rsidRDefault="006D2184" w:rsidP="0086384E">
      <w:pPr>
        <w:pStyle w:val="Heading2"/>
      </w:pPr>
      <w:bookmarkStart w:id="85" w:name="_Toc442416676"/>
      <w:bookmarkStart w:id="86" w:name="_Toc456270682"/>
      <w:r>
        <w:lastRenderedPageBreak/>
        <w:t>Birth defects and pre-transitional disorders are still important in childhood</w:t>
      </w:r>
      <w:bookmarkEnd w:id="85"/>
      <w:bookmarkEnd w:id="86"/>
    </w:p>
    <w:p w:rsidR="006D2184" w:rsidRDefault="006D2184" w:rsidP="00882DF2">
      <w:r>
        <w:t>In each lifecycle stage, the two leading condition groups collectively account for half or more of all health lost (</w:t>
      </w:r>
      <w:r w:rsidR="0086384E">
        <w:fldChar w:fldCharType="begin"/>
      </w:r>
      <w:r w:rsidR="0086384E">
        <w:instrText xml:space="preserve"> REF _Ref454887023 \h </w:instrText>
      </w:r>
      <w:r w:rsidR="0086384E">
        <w:fldChar w:fldCharType="separate"/>
      </w:r>
      <w:r w:rsidR="006C545C">
        <w:t xml:space="preserve">Table </w:t>
      </w:r>
      <w:r w:rsidR="006C545C">
        <w:rPr>
          <w:noProof/>
        </w:rPr>
        <w:t>2</w:t>
      </w:r>
      <w:r w:rsidR="0086384E">
        <w:fldChar w:fldCharType="end"/>
      </w:r>
      <w:r>
        <w:t>).</w:t>
      </w:r>
    </w:p>
    <w:p w:rsidR="006D2184" w:rsidRDefault="006D2184" w:rsidP="00882DF2"/>
    <w:p w:rsidR="006D2184" w:rsidRDefault="006D2184" w:rsidP="0086384E">
      <w:pPr>
        <w:pStyle w:val="Table"/>
      </w:pPr>
      <w:bookmarkStart w:id="87" w:name="_Ref441133217"/>
      <w:bookmarkStart w:id="88" w:name="_Ref454887023"/>
      <w:bookmarkStart w:id="89" w:name="_Toc441576064"/>
      <w:bookmarkStart w:id="90" w:name="_Toc454078604"/>
      <w:bookmarkStart w:id="91" w:name="_Toc455733248"/>
      <w:r>
        <w:t xml:space="preserve">Table </w:t>
      </w:r>
      <w:bookmarkEnd w:id="87"/>
      <w:r>
        <w:fldChar w:fldCharType="begin"/>
      </w:r>
      <w:r>
        <w:instrText xml:space="preserve"> SEQ Table \* ARABIC </w:instrText>
      </w:r>
      <w:r>
        <w:fldChar w:fldCharType="separate"/>
      </w:r>
      <w:r w:rsidR="006C545C">
        <w:rPr>
          <w:noProof/>
        </w:rPr>
        <w:t>2</w:t>
      </w:r>
      <w:r>
        <w:fldChar w:fldCharType="end"/>
      </w:r>
      <w:bookmarkEnd w:id="88"/>
      <w:r>
        <w:rPr>
          <w:noProof/>
        </w:rPr>
        <w:t>:</w:t>
      </w:r>
      <w:r>
        <w:t xml:space="preserve"> Contribution of top two leading condition groups to health loss (% total DALYs), by lifecycle stage, 2013</w:t>
      </w:r>
      <w:bookmarkEnd w:id="89"/>
      <w:bookmarkEnd w:id="90"/>
      <w:bookmarkEnd w:id="91"/>
    </w:p>
    <w:tbl>
      <w:tblPr>
        <w:tblW w:w="0" w:type="auto"/>
        <w:tblInd w:w="57" w:type="dxa"/>
        <w:tblBorders>
          <w:top w:val="single" w:sz="8" w:space="0" w:color="4F81BD"/>
          <w:left w:val="single" w:sz="8" w:space="0" w:color="4F81BD"/>
          <w:bottom w:val="single" w:sz="8" w:space="0" w:color="4F81BD"/>
          <w:right w:val="single" w:sz="8" w:space="0" w:color="4F81BD"/>
        </w:tblBorders>
        <w:tblLayout w:type="fixed"/>
        <w:tblCellMar>
          <w:left w:w="57" w:type="dxa"/>
          <w:right w:w="57" w:type="dxa"/>
        </w:tblCellMar>
        <w:tblLook w:val="04A0" w:firstRow="1" w:lastRow="0" w:firstColumn="1" w:lastColumn="0" w:noHBand="0" w:noVBand="1"/>
      </w:tblPr>
      <w:tblGrid>
        <w:gridCol w:w="1461"/>
        <w:gridCol w:w="1091"/>
        <w:gridCol w:w="1772"/>
        <w:gridCol w:w="1772"/>
        <w:gridCol w:w="1842"/>
        <w:gridCol w:w="1418"/>
      </w:tblGrid>
      <w:tr w:rsidR="006D2184" w:rsidRPr="000B3B91" w:rsidTr="00733F16">
        <w:trPr>
          <w:cantSplit/>
        </w:trPr>
        <w:tc>
          <w:tcPr>
            <w:tcW w:w="1461" w:type="dxa"/>
            <w:vMerge w:val="restart"/>
            <w:tcBorders>
              <w:top w:val="single" w:sz="4" w:space="0" w:color="auto"/>
              <w:left w:val="nil"/>
              <w:bottom w:val="nil"/>
              <w:right w:val="nil"/>
            </w:tcBorders>
            <w:shd w:val="clear" w:color="auto" w:fill="auto"/>
          </w:tcPr>
          <w:p w:rsidR="006D2184" w:rsidRPr="000B3B91" w:rsidRDefault="006D2184" w:rsidP="0086384E">
            <w:pPr>
              <w:pStyle w:val="TableText"/>
              <w:rPr>
                <w:b/>
              </w:rPr>
            </w:pPr>
            <w:r w:rsidRPr="000B3B91">
              <w:rPr>
                <w:b/>
              </w:rPr>
              <w:t>Ranking of condition group</w:t>
            </w:r>
          </w:p>
        </w:tc>
        <w:tc>
          <w:tcPr>
            <w:tcW w:w="7895" w:type="dxa"/>
            <w:gridSpan w:val="5"/>
            <w:tcBorders>
              <w:top w:val="single" w:sz="4" w:space="0" w:color="auto"/>
              <w:left w:val="nil"/>
              <w:bottom w:val="single" w:sz="4" w:space="0" w:color="A6A6A6"/>
              <w:right w:val="nil"/>
            </w:tcBorders>
            <w:shd w:val="clear" w:color="auto" w:fill="auto"/>
          </w:tcPr>
          <w:p w:rsidR="006D2184" w:rsidRPr="000B3B91" w:rsidRDefault="006D2184" w:rsidP="0086384E">
            <w:pPr>
              <w:pStyle w:val="TableText"/>
              <w:jc w:val="center"/>
              <w:rPr>
                <w:b/>
              </w:rPr>
            </w:pPr>
            <w:r w:rsidRPr="000B3B91">
              <w:rPr>
                <w:b/>
              </w:rPr>
              <w:t>Lifecycle stage (years)</w:t>
            </w:r>
          </w:p>
        </w:tc>
      </w:tr>
      <w:tr w:rsidR="006D2184" w:rsidTr="00733F16">
        <w:trPr>
          <w:cantSplit/>
        </w:trPr>
        <w:tc>
          <w:tcPr>
            <w:tcW w:w="1461" w:type="dxa"/>
            <w:vMerge/>
            <w:tcBorders>
              <w:top w:val="nil"/>
              <w:left w:val="nil"/>
              <w:bottom w:val="single" w:sz="4" w:space="0" w:color="auto"/>
            </w:tcBorders>
            <w:shd w:val="clear" w:color="auto" w:fill="auto"/>
          </w:tcPr>
          <w:p w:rsidR="006D2184" w:rsidRPr="00F231D7" w:rsidRDefault="006D2184" w:rsidP="00733F16">
            <w:pPr>
              <w:pStyle w:val="TableText"/>
            </w:pPr>
          </w:p>
        </w:tc>
        <w:tc>
          <w:tcPr>
            <w:tcW w:w="1091" w:type="dxa"/>
            <w:tcBorders>
              <w:top w:val="single" w:sz="4" w:space="0" w:color="A6A6A6"/>
              <w:bottom w:val="single" w:sz="4" w:space="0" w:color="auto"/>
            </w:tcBorders>
            <w:shd w:val="clear" w:color="auto" w:fill="auto"/>
          </w:tcPr>
          <w:p w:rsidR="006D2184" w:rsidRPr="000B3B91" w:rsidRDefault="006D2184" w:rsidP="00733F16">
            <w:pPr>
              <w:pStyle w:val="TableText"/>
              <w:jc w:val="center"/>
              <w:rPr>
                <w:b/>
              </w:rPr>
            </w:pPr>
            <w:r w:rsidRPr="000B3B91">
              <w:rPr>
                <w:b/>
              </w:rPr>
              <w:t>Children</w:t>
            </w:r>
            <w:r>
              <w:rPr>
                <w:b/>
              </w:rPr>
              <w:br/>
            </w:r>
            <w:r w:rsidRPr="000B3B91">
              <w:rPr>
                <w:b/>
              </w:rPr>
              <w:t>(0–14)</w:t>
            </w:r>
          </w:p>
        </w:tc>
        <w:tc>
          <w:tcPr>
            <w:tcW w:w="1772" w:type="dxa"/>
            <w:tcBorders>
              <w:top w:val="single" w:sz="4" w:space="0" w:color="A6A6A6"/>
              <w:bottom w:val="single" w:sz="4" w:space="0" w:color="auto"/>
            </w:tcBorders>
            <w:shd w:val="clear" w:color="auto" w:fill="auto"/>
          </w:tcPr>
          <w:p w:rsidR="006D2184" w:rsidRPr="000B3B91" w:rsidRDefault="006D2184" w:rsidP="00733F16">
            <w:pPr>
              <w:pStyle w:val="TableText"/>
              <w:jc w:val="center"/>
              <w:rPr>
                <w:b/>
              </w:rPr>
            </w:pPr>
            <w:r w:rsidRPr="000B3B91">
              <w:rPr>
                <w:b/>
              </w:rPr>
              <w:t>Youth</w:t>
            </w:r>
            <w:r>
              <w:rPr>
                <w:b/>
              </w:rPr>
              <w:br/>
            </w:r>
            <w:r w:rsidRPr="000B3B91">
              <w:rPr>
                <w:b/>
              </w:rPr>
              <w:t>(15–24)</w:t>
            </w:r>
          </w:p>
        </w:tc>
        <w:tc>
          <w:tcPr>
            <w:tcW w:w="1772" w:type="dxa"/>
            <w:tcBorders>
              <w:top w:val="single" w:sz="4" w:space="0" w:color="A6A6A6"/>
              <w:bottom w:val="single" w:sz="4" w:space="0" w:color="auto"/>
            </w:tcBorders>
            <w:shd w:val="clear" w:color="auto" w:fill="auto"/>
          </w:tcPr>
          <w:p w:rsidR="006D2184" w:rsidRPr="000B3B91" w:rsidRDefault="006D2184" w:rsidP="00733F16">
            <w:pPr>
              <w:pStyle w:val="TableText"/>
              <w:jc w:val="center"/>
              <w:rPr>
                <w:b/>
              </w:rPr>
            </w:pPr>
            <w:r w:rsidRPr="000B3B91">
              <w:rPr>
                <w:b/>
              </w:rPr>
              <w:t>Young adults</w:t>
            </w:r>
            <w:r>
              <w:rPr>
                <w:b/>
              </w:rPr>
              <w:br/>
            </w:r>
            <w:r w:rsidRPr="000B3B91">
              <w:rPr>
                <w:b/>
              </w:rPr>
              <w:t>(25–44)</w:t>
            </w:r>
          </w:p>
        </w:tc>
        <w:tc>
          <w:tcPr>
            <w:tcW w:w="1842" w:type="dxa"/>
            <w:tcBorders>
              <w:top w:val="single" w:sz="4" w:space="0" w:color="A6A6A6"/>
              <w:bottom w:val="single" w:sz="4" w:space="0" w:color="auto"/>
            </w:tcBorders>
            <w:shd w:val="clear" w:color="auto" w:fill="auto"/>
          </w:tcPr>
          <w:p w:rsidR="006D2184" w:rsidRPr="000B3B91" w:rsidRDefault="006D2184" w:rsidP="00733F16">
            <w:pPr>
              <w:pStyle w:val="TableText"/>
              <w:jc w:val="center"/>
              <w:rPr>
                <w:b/>
              </w:rPr>
            </w:pPr>
            <w:r w:rsidRPr="000B3B91">
              <w:rPr>
                <w:b/>
              </w:rPr>
              <w:t>Middle-aged adults</w:t>
            </w:r>
            <w:r>
              <w:rPr>
                <w:b/>
              </w:rPr>
              <w:br/>
            </w:r>
            <w:r w:rsidRPr="000B3B91">
              <w:rPr>
                <w:b/>
              </w:rPr>
              <w:t>(45–64)</w:t>
            </w:r>
          </w:p>
        </w:tc>
        <w:tc>
          <w:tcPr>
            <w:tcW w:w="1418" w:type="dxa"/>
            <w:tcBorders>
              <w:top w:val="single" w:sz="4" w:space="0" w:color="A6A6A6"/>
              <w:bottom w:val="single" w:sz="4" w:space="0" w:color="auto"/>
              <w:right w:val="nil"/>
            </w:tcBorders>
            <w:shd w:val="clear" w:color="auto" w:fill="auto"/>
          </w:tcPr>
          <w:p w:rsidR="006D2184" w:rsidRPr="000B3B91" w:rsidRDefault="006D2184" w:rsidP="00733F16">
            <w:pPr>
              <w:pStyle w:val="TableText"/>
              <w:jc w:val="center"/>
              <w:rPr>
                <w:b/>
              </w:rPr>
            </w:pPr>
            <w:r w:rsidRPr="000B3B91">
              <w:rPr>
                <w:b/>
              </w:rPr>
              <w:t>Older people</w:t>
            </w:r>
            <w:r>
              <w:rPr>
                <w:b/>
              </w:rPr>
              <w:br/>
            </w:r>
            <w:r w:rsidRPr="000B3B91">
              <w:rPr>
                <w:b/>
              </w:rPr>
              <w:t>(65+)</w:t>
            </w:r>
          </w:p>
        </w:tc>
      </w:tr>
      <w:tr w:rsidR="006D2184" w:rsidTr="00733F16">
        <w:trPr>
          <w:cantSplit/>
        </w:trPr>
        <w:tc>
          <w:tcPr>
            <w:tcW w:w="1461" w:type="dxa"/>
            <w:tcBorders>
              <w:top w:val="single" w:sz="4" w:space="0" w:color="auto"/>
              <w:left w:val="nil"/>
              <w:bottom w:val="single" w:sz="4" w:space="0" w:color="A6A6A6"/>
            </w:tcBorders>
            <w:shd w:val="clear" w:color="auto" w:fill="auto"/>
          </w:tcPr>
          <w:p w:rsidR="006D2184" w:rsidRPr="00F231D7" w:rsidRDefault="006D2184" w:rsidP="00733F16">
            <w:pPr>
              <w:pStyle w:val="TableText"/>
            </w:pPr>
            <w:r w:rsidRPr="00F231D7">
              <w:t>First ranked</w:t>
            </w:r>
          </w:p>
        </w:tc>
        <w:tc>
          <w:tcPr>
            <w:tcW w:w="1091" w:type="dxa"/>
            <w:tcBorders>
              <w:top w:val="single" w:sz="4" w:space="0" w:color="auto"/>
              <w:bottom w:val="single" w:sz="4" w:space="0" w:color="A6A6A6"/>
            </w:tcBorders>
            <w:shd w:val="clear" w:color="auto" w:fill="auto"/>
          </w:tcPr>
          <w:p w:rsidR="006D2184" w:rsidRPr="00F231D7" w:rsidRDefault="006D2184" w:rsidP="00733F16">
            <w:pPr>
              <w:pStyle w:val="TableText"/>
              <w:jc w:val="center"/>
            </w:pPr>
            <w:proofErr w:type="gramStart"/>
            <w:r w:rsidRPr="00F231D7">
              <w:t>MNNI</w:t>
            </w:r>
            <w:proofErr w:type="gramEnd"/>
            <w:r>
              <w:br/>
            </w:r>
            <w:r w:rsidRPr="00F231D7">
              <w:t>(41%)</w:t>
            </w:r>
          </w:p>
        </w:tc>
        <w:tc>
          <w:tcPr>
            <w:tcW w:w="1772" w:type="dxa"/>
            <w:tcBorders>
              <w:top w:val="single" w:sz="4" w:space="0" w:color="auto"/>
              <w:bottom w:val="single" w:sz="4" w:space="0" w:color="A6A6A6"/>
            </w:tcBorders>
            <w:shd w:val="clear" w:color="auto" w:fill="auto"/>
          </w:tcPr>
          <w:p w:rsidR="006D2184" w:rsidRPr="00F231D7" w:rsidRDefault="006D2184" w:rsidP="00733F16">
            <w:pPr>
              <w:pStyle w:val="TableText"/>
              <w:jc w:val="center"/>
            </w:pPr>
            <w:proofErr w:type="gramStart"/>
            <w:r w:rsidRPr="00F231D7">
              <w:t>Neuropsychiatric</w:t>
            </w:r>
            <w:proofErr w:type="gramEnd"/>
            <w:r>
              <w:br/>
            </w:r>
            <w:r w:rsidRPr="00F231D7">
              <w:t>(35%)</w:t>
            </w:r>
          </w:p>
        </w:tc>
        <w:tc>
          <w:tcPr>
            <w:tcW w:w="1772" w:type="dxa"/>
            <w:tcBorders>
              <w:top w:val="single" w:sz="4" w:space="0" w:color="auto"/>
              <w:bottom w:val="single" w:sz="4" w:space="0" w:color="A6A6A6"/>
            </w:tcBorders>
            <w:shd w:val="clear" w:color="auto" w:fill="auto"/>
          </w:tcPr>
          <w:p w:rsidR="006D2184" w:rsidRPr="00F231D7" w:rsidRDefault="006D2184" w:rsidP="00733F16">
            <w:pPr>
              <w:pStyle w:val="TableText"/>
              <w:jc w:val="center"/>
            </w:pPr>
            <w:proofErr w:type="gramStart"/>
            <w:r w:rsidRPr="00F231D7">
              <w:t>Neuropsychiatric</w:t>
            </w:r>
            <w:proofErr w:type="gramEnd"/>
            <w:r>
              <w:br/>
            </w:r>
            <w:r w:rsidRPr="00F231D7">
              <w:t>(31%)</w:t>
            </w:r>
          </w:p>
        </w:tc>
        <w:tc>
          <w:tcPr>
            <w:tcW w:w="1842" w:type="dxa"/>
            <w:tcBorders>
              <w:top w:val="single" w:sz="4" w:space="0" w:color="auto"/>
              <w:bottom w:val="single" w:sz="4" w:space="0" w:color="A6A6A6"/>
            </w:tcBorders>
            <w:shd w:val="clear" w:color="auto" w:fill="auto"/>
          </w:tcPr>
          <w:p w:rsidR="006D2184" w:rsidRPr="00F231D7" w:rsidRDefault="006D2184" w:rsidP="00733F16">
            <w:pPr>
              <w:pStyle w:val="TableText"/>
              <w:jc w:val="center"/>
            </w:pPr>
            <w:proofErr w:type="gramStart"/>
            <w:r w:rsidRPr="00F231D7">
              <w:t>Cancer</w:t>
            </w:r>
            <w:proofErr w:type="gramEnd"/>
            <w:r>
              <w:br/>
            </w:r>
            <w:r w:rsidRPr="00F231D7">
              <w:t>(23%)</w:t>
            </w:r>
          </w:p>
        </w:tc>
        <w:tc>
          <w:tcPr>
            <w:tcW w:w="1418" w:type="dxa"/>
            <w:tcBorders>
              <w:top w:val="single" w:sz="4" w:space="0" w:color="auto"/>
              <w:bottom w:val="single" w:sz="4" w:space="0" w:color="A6A6A6"/>
              <w:right w:val="nil"/>
            </w:tcBorders>
            <w:shd w:val="clear" w:color="auto" w:fill="auto"/>
          </w:tcPr>
          <w:p w:rsidR="006D2184" w:rsidRPr="00F231D7" w:rsidRDefault="006D2184" w:rsidP="00733F16">
            <w:pPr>
              <w:pStyle w:val="TableText"/>
              <w:jc w:val="center"/>
            </w:pPr>
            <w:proofErr w:type="gramStart"/>
            <w:r w:rsidRPr="00F231D7">
              <w:t>CVD</w:t>
            </w:r>
            <w:r>
              <w:t>D</w:t>
            </w:r>
            <w:proofErr w:type="gramEnd"/>
            <w:r>
              <w:br/>
            </w:r>
            <w:r w:rsidRPr="00F231D7">
              <w:t>(28%)</w:t>
            </w:r>
          </w:p>
        </w:tc>
      </w:tr>
      <w:tr w:rsidR="006D2184" w:rsidTr="00733F16">
        <w:trPr>
          <w:cantSplit/>
        </w:trPr>
        <w:tc>
          <w:tcPr>
            <w:tcW w:w="1461" w:type="dxa"/>
            <w:tcBorders>
              <w:top w:val="single" w:sz="4" w:space="0" w:color="A6A6A6"/>
              <w:left w:val="nil"/>
              <w:bottom w:val="single" w:sz="4" w:space="0" w:color="auto"/>
            </w:tcBorders>
            <w:shd w:val="clear" w:color="auto" w:fill="auto"/>
          </w:tcPr>
          <w:p w:rsidR="006D2184" w:rsidRPr="00F231D7" w:rsidRDefault="006D2184" w:rsidP="00733F16">
            <w:pPr>
              <w:pStyle w:val="TableText"/>
            </w:pPr>
            <w:r w:rsidRPr="00F231D7">
              <w:t>Second ranked</w:t>
            </w:r>
          </w:p>
        </w:tc>
        <w:tc>
          <w:tcPr>
            <w:tcW w:w="1091" w:type="dxa"/>
            <w:tcBorders>
              <w:top w:val="single" w:sz="4" w:space="0" w:color="A6A6A6"/>
              <w:bottom w:val="single" w:sz="4" w:space="0" w:color="auto"/>
            </w:tcBorders>
            <w:shd w:val="clear" w:color="auto" w:fill="auto"/>
          </w:tcPr>
          <w:p w:rsidR="006D2184" w:rsidRPr="00F231D7" w:rsidRDefault="006D2184" w:rsidP="00733F16">
            <w:pPr>
              <w:pStyle w:val="TableText"/>
              <w:jc w:val="center"/>
            </w:pPr>
            <w:proofErr w:type="gramStart"/>
            <w:r w:rsidRPr="00F231D7">
              <w:t>Injury</w:t>
            </w:r>
            <w:proofErr w:type="gramEnd"/>
            <w:r>
              <w:br/>
            </w:r>
            <w:r w:rsidRPr="00F231D7">
              <w:t>(10%)</w:t>
            </w:r>
          </w:p>
        </w:tc>
        <w:tc>
          <w:tcPr>
            <w:tcW w:w="1772" w:type="dxa"/>
            <w:tcBorders>
              <w:top w:val="single" w:sz="4" w:space="0" w:color="A6A6A6"/>
              <w:bottom w:val="single" w:sz="4" w:space="0" w:color="auto"/>
            </w:tcBorders>
            <w:shd w:val="clear" w:color="auto" w:fill="auto"/>
          </w:tcPr>
          <w:p w:rsidR="006D2184" w:rsidRPr="00F231D7" w:rsidRDefault="006D2184" w:rsidP="00733F16">
            <w:pPr>
              <w:pStyle w:val="TableText"/>
              <w:jc w:val="center"/>
            </w:pPr>
            <w:proofErr w:type="gramStart"/>
            <w:r w:rsidRPr="00F231D7">
              <w:t>Injury</w:t>
            </w:r>
            <w:proofErr w:type="gramEnd"/>
            <w:r>
              <w:br/>
            </w:r>
            <w:r w:rsidRPr="00F231D7">
              <w:t>(23%)</w:t>
            </w:r>
          </w:p>
        </w:tc>
        <w:tc>
          <w:tcPr>
            <w:tcW w:w="1772" w:type="dxa"/>
            <w:tcBorders>
              <w:top w:val="single" w:sz="4" w:space="0" w:color="A6A6A6"/>
              <w:bottom w:val="single" w:sz="4" w:space="0" w:color="auto"/>
            </w:tcBorders>
            <w:shd w:val="clear" w:color="auto" w:fill="auto"/>
          </w:tcPr>
          <w:p w:rsidR="006D2184" w:rsidRPr="00F231D7" w:rsidRDefault="006D2184" w:rsidP="00733F16">
            <w:pPr>
              <w:pStyle w:val="TableText"/>
              <w:jc w:val="center"/>
            </w:pPr>
            <w:proofErr w:type="gramStart"/>
            <w:r w:rsidRPr="00F231D7">
              <w:t>Musculoskeletal</w:t>
            </w:r>
            <w:proofErr w:type="gramEnd"/>
            <w:r>
              <w:br/>
            </w:r>
            <w:r w:rsidRPr="00F231D7">
              <w:t>(19%)</w:t>
            </w:r>
          </w:p>
        </w:tc>
        <w:tc>
          <w:tcPr>
            <w:tcW w:w="1842" w:type="dxa"/>
            <w:tcBorders>
              <w:top w:val="single" w:sz="4" w:space="0" w:color="A6A6A6"/>
              <w:bottom w:val="single" w:sz="4" w:space="0" w:color="auto"/>
            </w:tcBorders>
            <w:shd w:val="clear" w:color="auto" w:fill="auto"/>
          </w:tcPr>
          <w:p w:rsidR="006D2184" w:rsidRPr="00F231D7" w:rsidRDefault="006D2184" w:rsidP="00733F16">
            <w:pPr>
              <w:pStyle w:val="TableText"/>
              <w:jc w:val="center"/>
            </w:pPr>
            <w:r w:rsidRPr="00F231D7">
              <w:t>CVD</w:t>
            </w:r>
            <w:r>
              <w:t>D</w:t>
            </w:r>
            <w:r w:rsidRPr="00F231D7">
              <w:t xml:space="preserve"> and </w:t>
            </w:r>
            <w:proofErr w:type="gramStart"/>
            <w:r w:rsidRPr="00F231D7">
              <w:t>MSK</w:t>
            </w:r>
            <w:proofErr w:type="gramEnd"/>
            <w:r>
              <w:br/>
            </w:r>
            <w:r w:rsidRPr="00F231D7">
              <w:t>(both 17%)</w:t>
            </w:r>
          </w:p>
        </w:tc>
        <w:tc>
          <w:tcPr>
            <w:tcW w:w="1418" w:type="dxa"/>
            <w:tcBorders>
              <w:top w:val="single" w:sz="4" w:space="0" w:color="A6A6A6"/>
              <w:bottom w:val="single" w:sz="4" w:space="0" w:color="auto"/>
              <w:right w:val="nil"/>
            </w:tcBorders>
            <w:shd w:val="clear" w:color="auto" w:fill="auto"/>
          </w:tcPr>
          <w:p w:rsidR="006D2184" w:rsidRPr="00F231D7" w:rsidRDefault="006D2184" w:rsidP="00733F16">
            <w:pPr>
              <w:pStyle w:val="TableText"/>
              <w:jc w:val="center"/>
            </w:pPr>
            <w:proofErr w:type="gramStart"/>
            <w:r w:rsidRPr="00F231D7">
              <w:t>Cancer</w:t>
            </w:r>
            <w:proofErr w:type="gramEnd"/>
            <w:r>
              <w:br/>
            </w:r>
            <w:r w:rsidRPr="00F231D7">
              <w:t>(22%)</w:t>
            </w:r>
          </w:p>
        </w:tc>
      </w:tr>
    </w:tbl>
    <w:p w:rsidR="006D2184" w:rsidRDefault="006D2184" w:rsidP="006D2184">
      <w:pPr>
        <w:pStyle w:val="Note"/>
        <w:ind w:right="0"/>
      </w:pPr>
      <w:r w:rsidRPr="00730A1D">
        <w:t>% is percentage of all-cause DALYs in age group</w:t>
      </w:r>
      <w:r>
        <w:t>. Confidence intervals not shown for clarity of presentation.</w:t>
      </w:r>
    </w:p>
    <w:p w:rsidR="006D2184" w:rsidRPr="00730A1D" w:rsidRDefault="006D2184" w:rsidP="006D2184">
      <w:pPr>
        <w:pStyle w:val="Note"/>
        <w:ind w:left="0" w:right="0" w:firstLine="0"/>
      </w:pPr>
      <w:r>
        <w:t>Key: MNNI = m</w:t>
      </w:r>
      <w:r w:rsidRPr="006823A3">
        <w:t>aternal, neonatal, nutritional deficiency and infectious disorders</w:t>
      </w:r>
      <w:r>
        <w:t xml:space="preserve"> (so-called </w:t>
      </w:r>
      <w:r w:rsidR="005D5D9F">
        <w:t>‘</w:t>
      </w:r>
      <w:r>
        <w:t>pre-transitional disorders</w:t>
      </w:r>
      <w:r w:rsidR="005D5D9F">
        <w:t>’</w:t>
      </w:r>
      <w:r>
        <w:t>) plus birth defects (congenital disorders); CVDD = cardiovascular disorders and diabetes; MSK =</w:t>
      </w:r>
      <w:r w:rsidRPr="001203D4">
        <w:t xml:space="preserve"> </w:t>
      </w:r>
      <w:r>
        <w:t>musculoskeletal disorders.</w:t>
      </w:r>
    </w:p>
    <w:p w:rsidR="006D2184" w:rsidRDefault="006D2184" w:rsidP="0086384E"/>
    <w:p w:rsidR="005D5D9F" w:rsidRDefault="006D2184" w:rsidP="0086384E">
      <w:r>
        <w:t xml:space="preserve">Maternal, neonatal, </w:t>
      </w:r>
      <w:r w:rsidRPr="00FE4694">
        <w:t>nutritional deficiency and infectious disorders</w:t>
      </w:r>
      <w:r>
        <w:t xml:space="preserve"> plus birth defects </w:t>
      </w:r>
      <w:r w:rsidRPr="00FE4694">
        <w:t xml:space="preserve">are </w:t>
      </w:r>
      <w:r>
        <w:t xml:space="preserve">still by far </w:t>
      </w:r>
      <w:r w:rsidRPr="00FE4694">
        <w:t>the leading condition group in childhood</w:t>
      </w:r>
      <w:r>
        <w:t>. They account for more than 40% of all health lost by this age group, mostly in under-fives, in 2013</w:t>
      </w:r>
      <w:r w:rsidRPr="00FE4694">
        <w:t xml:space="preserve">. </w:t>
      </w:r>
      <w:r>
        <w:t>This is followed a long way behind by injury (intentional and unintentional) (10%).</w:t>
      </w:r>
    </w:p>
    <w:p w:rsidR="006D2184" w:rsidRDefault="006D2184" w:rsidP="0086384E"/>
    <w:p w:rsidR="006D2184" w:rsidRDefault="006D2184" w:rsidP="0086384E">
      <w:r>
        <w:t>Mental health is the main health challenge for youth: neuropsychiatric disorders account for over one-third (35%) of all health lost by this age group in 2013. Injury is again in second place, with just under one-quarter of total DALYs (23%) – by far the highest relative contribution of injury in any age group.</w:t>
      </w:r>
    </w:p>
    <w:p w:rsidR="006D2184" w:rsidRDefault="006D2184" w:rsidP="0086384E"/>
    <w:p w:rsidR="006D2184" w:rsidRDefault="006D2184" w:rsidP="0086384E">
      <w:r>
        <w:t>Similarly, n</w:t>
      </w:r>
      <w:r w:rsidRPr="00406924">
        <w:t xml:space="preserve">europsychiatric disorders </w:t>
      </w:r>
      <w:r>
        <w:t>are</w:t>
      </w:r>
      <w:r w:rsidRPr="00406924">
        <w:t xml:space="preserve"> the leading c</w:t>
      </w:r>
      <w:r>
        <w:t>ondition group in young adults, accounting for just under one-third (31%) of all health loss in this age group. However, musculoskeletal disorders are the second-ranked cause of health loss (19%), ahead of injuries (13%). Reproductive disorders are another important cause of health loss in young adult females, accounting for almost 4% of their DALYs.</w:t>
      </w:r>
    </w:p>
    <w:p w:rsidR="006D2184" w:rsidRDefault="006D2184" w:rsidP="0086384E"/>
    <w:p w:rsidR="006D2184" w:rsidRDefault="006D2184" w:rsidP="0086384E">
      <w:r>
        <w:t>In middle age, cancer is the major cause of health loss, accounting for just under one-quarter (23%) of all health loss. This is followed by cardiovascular disease (including diabetes) and, again, musculoskeletal disorders (both 17%). Neuropsychiatric disorders are ranked fourth (with 15% of total DALYs).</w:t>
      </w:r>
    </w:p>
    <w:p w:rsidR="006D2184" w:rsidRDefault="006D2184" w:rsidP="0086384E"/>
    <w:p w:rsidR="006D2184" w:rsidRDefault="006D2184" w:rsidP="0086384E">
      <w:r>
        <w:t>Cardiovascular disorders (including diabetes) are the main cause of health loss (among condition groups) in old age, responsible for 28% of all health loss in this age group in 2013. Cancer is in second place (with 22% of total health loss), followed by neuropsychiatric disorders (14%) and musculoskeletal disorders (9%).</w:t>
      </w:r>
    </w:p>
    <w:p w:rsidR="006D2184" w:rsidRDefault="006D2184" w:rsidP="0086384E"/>
    <w:p w:rsidR="006D2184" w:rsidRPr="00F82FA8" w:rsidRDefault="006D2184" w:rsidP="0086384E">
      <w:pPr>
        <w:pStyle w:val="Heading2"/>
      </w:pPr>
      <w:bookmarkStart w:id="92" w:name="_Toc442416677"/>
      <w:bookmarkStart w:id="93" w:name="_Toc456270683"/>
      <w:r>
        <w:lastRenderedPageBreak/>
        <w:t>The burden of neuropsychiatric and musculoskeletal disorders is increasing</w:t>
      </w:r>
      <w:bookmarkEnd w:id="92"/>
      <w:bookmarkEnd w:id="93"/>
    </w:p>
    <w:p w:rsidR="006D2184" w:rsidRDefault="006D2184" w:rsidP="0086384E">
      <w:r>
        <w:t>After adjusting for trends in the size and age structure of the New Zealand population, the rate of health loss can be seen to have fallen steeply for cardiovascular disorders,</w:t>
      </w:r>
      <w:r w:rsidRPr="00DA337B">
        <w:t xml:space="preserve"> </w:t>
      </w:r>
      <w:r>
        <w:t>MNNI disorders and injury over the past quarter century (</w:t>
      </w:r>
      <w:r>
        <w:fldChar w:fldCharType="begin"/>
      </w:r>
      <w:r>
        <w:instrText xml:space="preserve"> REF _Ref441201535 \h </w:instrText>
      </w:r>
      <w:r>
        <w:fldChar w:fldCharType="separate"/>
      </w:r>
      <w:r w:rsidR="006C545C">
        <w:t xml:space="preserve">Figure </w:t>
      </w:r>
      <w:r w:rsidR="006C545C">
        <w:rPr>
          <w:noProof/>
        </w:rPr>
        <w:t>9</w:t>
      </w:r>
      <w:r>
        <w:fldChar w:fldCharType="end"/>
      </w:r>
      <w:r>
        <w:t xml:space="preserve">). The decline has been more gradual for cancers and </w:t>
      </w:r>
      <w:r w:rsidR="005D5D9F">
        <w:t>‘</w:t>
      </w:r>
      <w:r>
        <w:t>other non-communicable diseases</w:t>
      </w:r>
      <w:r w:rsidR="005D5D9F">
        <w:t>’</w:t>
      </w:r>
      <w:r>
        <w:t>. By contrast, the rate of health loss has been increasing (though slowly) for neuropsychiatric and musculoskeletal disorders.</w:t>
      </w:r>
    </w:p>
    <w:p w:rsidR="006D2184" w:rsidRDefault="006D2184" w:rsidP="0086384E"/>
    <w:p w:rsidR="006D2184" w:rsidRDefault="006D2184" w:rsidP="0086384E">
      <w:pPr>
        <w:pStyle w:val="Figure"/>
      </w:pPr>
      <w:bookmarkStart w:id="94" w:name="_Ref441201535"/>
      <w:bookmarkStart w:id="95" w:name="_Toc441576065"/>
      <w:bookmarkStart w:id="96" w:name="_Toc442416798"/>
      <w:bookmarkStart w:id="97" w:name="_Toc454078637"/>
      <w:bookmarkStart w:id="98" w:name="_Toc456613622"/>
      <w:r>
        <w:t xml:space="preserve">Figure </w:t>
      </w:r>
      <w:r w:rsidR="00F456CC">
        <w:fldChar w:fldCharType="begin"/>
      </w:r>
      <w:r w:rsidR="00F456CC">
        <w:instrText xml:space="preserve"> SEQ Figure \* ARABIC </w:instrText>
      </w:r>
      <w:r w:rsidR="00F456CC">
        <w:fldChar w:fldCharType="separate"/>
      </w:r>
      <w:r w:rsidR="006C545C">
        <w:rPr>
          <w:noProof/>
        </w:rPr>
        <w:t>9</w:t>
      </w:r>
      <w:r w:rsidR="00F456CC">
        <w:rPr>
          <w:noProof/>
        </w:rPr>
        <w:fldChar w:fldCharType="end"/>
      </w:r>
      <w:bookmarkEnd w:id="94"/>
      <w:r>
        <w:t xml:space="preserve">: </w:t>
      </w:r>
      <w:r w:rsidRPr="009E44B9">
        <w:t>Age</w:t>
      </w:r>
      <w:r>
        <w:t>-</w:t>
      </w:r>
      <w:r w:rsidRPr="009E44B9">
        <w:t xml:space="preserve">standardised DALY rate, </w:t>
      </w:r>
      <w:r>
        <w:t xml:space="preserve">condition groups, </w:t>
      </w:r>
      <w:r w:rsidRPr="009E44B9">
        <w:t>1990</w:t>
      </w:r>
      <w:r>
        <w:t>–</w:t>
      </w:r>
      <w:r w:rsidRPr="009E44B9">
        <w:t>2015</w:t>
      </w:r>
      <w:bookmarkEnd w:id="95"/>
      <w:bookmarkEnd w:id="96"/>
      <w:bookmarkEnd w:id="97"/>
      <w:bookmarkEnd w:id="98"/>
    </w:p>
    <w:p w:rsidR="00EF4D7A" w:rsidRPr="00EF4D7A" w:rsidRDefault="005122BD" w:rsidP="00EF4D7A">
      <w:r>
        <w:rPr>
          <w:noProof/>
          <w:lang w:eastAsia="en-NZ"/>
        </w:rPr>
        <w:drawing>
          <wp:inline distT="0" distB="0" distL="0" distR="0">
            <wp:extent cx="4671695" cy="2851150"/>
            <wp:effectExtent l="0" t="0" r="0" b="6350"/>
            <wp:docPr id="878" name="Picture 1" descr="Figure 9: Age-standardised DALY rate, condition groups,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9: Age-standardised DALY rate, condition groups, 1990–20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1695" cy="2851150"/>
                    </a:xfrm>
                    <a:prstGeom prst="rect">
                      <a:avLst/>
                    </a:prstGeom>
                    <a:noFill/>
                    <a:ln>
                      <a:noFill/>
                    </a:ln>
                  </pic:spPr>
                </pic:pic>
              </a:graphicData>
            </a:graphic>
          </wp:inline>
        </w:drawing>
      </w:r>
    </w:p>
    <w:p w:rsidR="004D1024" w:rsidRPr="004D1024" w:rsidRDefault="004D1024" w:rsidP="004D1024"/>
    <w:p w:rsidR="006D2184" w:rsidRDefault="006D2184" w:rsidP="0086384E">
      <w:pPr>
        <w:pStyle w:val="Note"/>
        <w:ind w:left="0" w:firstLine="0"/>
      </w:pPr>
      <w:r>
        <w:t>Key: CA = cancers; CVDD = cardiovascular disorders and diabetes; CLLKD = chronic lung, liver and kidney disease; ONCD = other non-communicable diseases; NP = neuropsychiatric disorders; MSK = musculoskeletal disorders; MNNI = maternal, neonatal, nutritional deficiency and infectious disorders plus birth defects; INJ = injuries, unintentional and intentional.</w:t>
      </w:r>
    </w:p>
    <w:p w:rsidR="006D2184" w:rsidRPr="004A07A6" w:rsidRDefault="006D2184" w:rsidP="0086384E">
      <w:pPr>
        <w:pStyle w:val="Note"/>
      </w:pPr>
      <w:r w:rsidRPr="004A07A6">
        <w:t>Note: Confidence intervals not shown for clarity of presentation.</w:t>
      </w:r>
    </w:p>
    <w:p w:rsidR="006D2184" w:rsidRDefault="006D2184" w:rsidP="0086384E"/>
    <w:p w:rsidR="006D2184" w:rsidRDefault="006D2184" w:rsidP="0086384E">
      <w:r>
        <w:t>As a result, neuropsychiatric disorders overtook cardiovascular disorders and cancers to become the leading cause of health loss (among condition groups) in the New Zealand population as a whole around or shortly before the year 2000. Cancer overtook cardiovascular disease to become the second-ranked cause around 2005–2010.</w:t>
      </w:r>
    </w:p>
    <w:p w:rsidR="006D2184" w:rsidRDefault="006D2184" w:rsidP="0086384E"/>
    <w:p w:rsidR="006D2184" w:rsidRPr="00C166AD" w:rsidRDefault="006D2184" w:rsidP="0086384E">
      <w:pPr>
        <w:pStyle w:val="Heading2"/>
      </w:pPr>
      <w:bookmarkStart w:id="99" w:name="_Toc442416678"/>
      <w:bookmarkStart w:id="100" w:name="_Toc456270684"/>
      <w:r>
        <w:lastRenderedPageBreak/>
        <w:t xml:space="preserve">New Zealand is well advanced along the </w:t>
      </w:r>
      <w:r w:rsidR="00762EE3">
        <w:t>‘</w:t>
      </w:r>
      <w:r>
        <w:t>e</w:t>
      </w:r>
      <w:r w:rsidRPr="00C166AD">
        <w:t>pidemiologic</w:t>
      </w:r>
      <w:r>
        <w:t>al</w:t>
      </w:r>
      <w:r w:rsidRPr="00C166AD">
        <w:t xml:space="preserve"> transition</w:t>
      </w:r>
      <w:bookmarkEnd w:id="99"/>
      <w:bookmarkEnd w:id="100"/>
      <w:r w:rsidR="00762EE3">
        <w:t>’</w:t>
      </w:r>
    </w:p>
    <w:p w:rsidR="006D2184" w:rsidRDefault="006D2184" w:rsidP="00CE7FFE">
      <w:pPr>
        <w:keepLines/>
      </w:pPr>
      <w:r>
        <w:t xml:space="preserve">The epidemiological transition involves the decline of maternal and neonatal disorders, nutritional deficiencies and common infectious diseases (especially diarrhoea and pneumonia in under-fives) – the so-called </w:t>
      </w:r>
      <w:r w:rsidR="005D5D9F">
        <w:t>‘</w:t>
      </w:r>
      <w:r>
        <w:t>pre-transitional disorders</w:t>
      </w:r>
      <w:r w:rsidR="005D5D9F">
        <w:t>’</w:t>
      </w:r>
      <w:r>
        <w:t xml:space="preserve"> – as the leading causes of health loss in the population as a whole, to be overtaken by long-term physical and mental conditions – the so-called </w:t>
      </w:r>
      <w:r w:rsidR="005D5D9F">
        <w:t>‘</w:t>
      </w:r>
      <w:r>
        <w:t>NCDs</w:t>
      </w:r>
      <w:r w:rsidR="005D5D9F">
        <w:t>’</w:t>
      </w:r>
      <w:r>
        <w:t xml:space="preserve"> (non-communicable diseases). This process has happened over the long term, accompanying economic development and the demographic transition from a </w:t>
      </w:r>
      <w:r w:rsidR="005D5D9F">
        <w:t>‘</w:t>
      </w:r>
      <w:r>
        <w:t>high mortality, high fertility</w:t>
      </w:r>
      <w:r w:rsidR="005D5D9F">
        <w:t>’</w:t>
      </w:r>
      <w:r>
        <w:t xml:space="preserve"> to a </w:t>
      </w:r>
      <w:r w:rsidR="005D5D9F">
        <w:t>‘</w:t>
      </w:r>
      <w:r>
        <w:t>low mortality, low fertility</w:t>
      </w:r>
      <w:r w:rsidR="005D5D9F">
        <w:t>’</w:t>
      </w:r>
      <w:r>
        <w:t xml:space="preserve"> regime in all high-income countries – and indeed has been partly responsible for this demographic shift. How far along the epidemiological transition New Zealand has progressed can be gauged by assessing the trend in the contribution of MNNI disorders excluding birth defects (so-called </w:t>
      </w:r>
      <w:r w:rsidR="005D5D9F">
        <w:t>‘</w:t>
      </w:r>
      <w:r>
        <w:t>pre-transitional</w:t>
      </w:r>
      <w:r w:rsidR="005D5D9F">
        <w:t>’</w:t>
      </w:r>
      <w:r>
        <w:t xml:space="preserve"> disorders) to total health loss.</w:t>
      </w:r>
    </w:p>
    <w:p w:rsidR="006D2184" w:rsidRDefault="006D2184" w:rsidP="0086384E"/>
    <w:p w:rsidR="005D5D9F" w:rsidRDefault="006D2184" w:rsidP="0086384E">
      <w:pPr>
        <w:pStyle w:val="Figure"/>
      </w:pPr>
      <w:bookmarkStart w:id="101" w:name="_Ref441210946"/>
      <w:bookmarkStart w:id="102" w:name="_Toc441576066"/>
      <w:bookmarkStart w:id="103" w:name="_Toc442416799"/>
      <w:bookmarkStart w:id="104" w:name="_Toc454078638"/>
      <w:bookmarkStart w:id="105" w:name="_Toc456613623"/>
      <w:r>
        <w:t xml:space="preserve">Figure </w:t>
      </w:r>
      <w:r w:rsidR="00F456CC">
        <w:fldChar w:fldCharType="begin"/>
      </w:r>
      <w:r w:rsidR="00F456CC">
        <w:instrText xml:space="preserve"> SEQ Figure \* ARABIC </w:instrText>
      </w:r>
      <w:r w:rsidR="00F456CC">
        <w:fldChar w:fldCharType="separate"/>
      </w:r>
      <w:r w:rsidR="006C545C">
        <w:rPr>
          <w:noProof/>
        </w:rPr>
        <w:t>10</w:t>
      </w:r>
      <w:r w:rsidR="00F456CC">
        <w:rPr>
          <w:noProof/>
        </w:rPr>
        <w:fldChar w:fldCharType="end"/>
      </w:r>
      <w:bookmarkEnd w:id="101"/>
      <w:r>
        <w:t>: Contribution of pre-transitional disorders to health loss (% total DALYs)</w:t>
      </w:r>
      <w:proofErr w:type="gramStart"/>
      <w:r>
        <w:t>,</w:t>
      </w:r>
      <w:proofErr w:type="gramEnd"/>
      <w:r w:rsidR="0086384E">
        <w:br/>
      </w:r>
      <w:r>
        <w:t>1990–2015</w:t>
      </w:r>
      <w:bookmarkEnd w:id="102"/>
      <w:bookmarkEnd w:id="103"/>
      <w:bookmarkEnd w:id="104"/>
      <w:bookmarkEnd w:id="105"/>
    </w:p>
    <w:p w:rsidR="006D2184" w:rsidRDefault="005122BD" w:rsidP="00CE7FFE">
      <w:r>
        <w:rPr>
          <w:noProof/>
          <w:lang w:eastAsia="en-NZ"/>
        </w:rPr>
        <w:drawing>
          <wp:inline distT="0" distB="0" distL="0" distR="0">
            <wp:extent cx="4679950" cy="2859405"/>
            <wp:effectExtent l="0" t="0" r="6350" b="0"/>
            <wp:docPr id="887" name="Picture 1" descr="Figure 10: Contribution of pre-transitional disorders to health loss (% total DALYs),&#10;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0: Contribution of pre-transitional disorders to health loss (% total DALYs),&#10;1990–20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9950" cy="2859405"/>
                    </a:xfrm>
                    <a:prstGeom prst="rect">
                      <a:avLst/>
                    </a:prstGeom>
                    <a:noFill/>
                    <a:ln>
                      <a:noFill/>
                    </a:ln>
                  </pic:spPr>
                </pic:pic>
              </a:graphicData>
            </a:graphic>
          </wp:inline>
        </w:drawing>
      </w:r>
    </w:p>
    <w:p w:rsidR="006D2184" w:rsidRDefault="006D2184" w:rsidP="0086384E">
      <w:pPr>
        <w:pStyle w:val="Note"/>
      </w:pPr>
      <w:r>
        <w:t>2015 value is extrapolated by fitting a mathematical model to the data.</w:t>
      </w:r>
    </w:p>
    <w:p w:rsidR="006D2184" w:rsidRDefault="006D2184" w:rsidP="0086384E">
      <w:pPr>
        <w:pStyle w:val="Note"/>
        <w:ind w:left="0" w:firstLine="0"/>
      </w:pPr>
      <w:r>
        <w:t xml:space="preserve">Pre-transitional disorders are maternal, neonatal, nutritional deficiency and infectious disorders </w:t>
      </w:r>
      <w:r w:rsidR="00814BD1">
        <w:t>(</w:t>
      </w:r>
      <w:proofErr w:type="spellStart"/>
      <w:r>
        <w:t>ie</w:t>
      </w:r>
      <w:proofErr w:type="spellEnd"/>
      <w:r>
        <w:t>, the MNNI condition group minus birth defects</w:t>
      </w:r>
      <w:r w:rsidR="00814BD1">
        <w:t>)</w:t>
      </w:r>
      <w:r>
        <w:t>.</w:t>
      </w:r>
    </w:p>
    <w:p w:rsidR="006D2184" w:rsidRPr="00EB76AE" w:rsidRDefault="006D2184" w:rsidP="0086384E"/>
    <w:p w:rsidR="006D2184" w:rsidRDefault="006D2184" w:rsidP="0086384E">
      <w:r>
        <w:t xml:space="preserve">The percentage of all-cause health loss arising from </w:t>
      </w:r>
      <w:r w:rsidR="005D5D9F">
        <w:t>‘</w:t>
      </w:r>
      <w:r>
        <w:t>pre-transitional</w:t>
      </w:r>
      <w:r w:rsidR="005D5D9F">
        <w:t>’</w:t>
      </w:r>
      <w:r>
        <w:t xml:space="preserve"> conditions has declined fairly steadily over the past quarter century. Already very low to begin with (at 5.5% in 1990), it had fallen by one-third to only 3.8% in 2013 (</w:t>
      </w:r>
      <w:r>
        <w:fldChar w:fldCharType="begin"/>
      </w:r>
      <w:r>
        <w:instrText xml:space="preserve"> REF _Ref441210946 \h </w:instrText>
      </w:r>
      <w:r>
        <w:fldChar w:fldCharType="separate"/>
      </w:r>
      <w:r w:rsidR="006C545C">
        <w:t xml:space="preserve">Figure </w:t>
      </w:r>
      <w:r w:rsidR="006C545C">
        <w:rPr>
          <w:noProof/>
        </w:rPr>
        <w:t>10</w:t>
      </w:r>
      <w:r>
        <w:fldChar w:fldCharType="end"/>
      </w:r>
      <w:r>
        <w:t>).</w:t>
      </w:r>
    </w:p>
    <w:p w:rsidR="006D2184" w:rsidRDefault="006D2184" w:rsidP="0086384E"/>
    <w:p w:rsidR="006D2184" w:rsidRDefault="006D2184" w:rsidP="0086384E">
      <w:r>
        <w:t>By contrast, the burden of NCDs (long-term conditions) increased from 82.7% of total health loss in 1990 to 88.0% in 2013, while the contribution from injuries fell from 11.8% to 8.2% (</w:t>
      </w:r>
      <w:r w:rsidR="0086384E">
        <w:fldChar w:fldCharType="begin"/>
      </w:r>
      <w:r w:rsidR="0086384E">
        <w:instrText xml:space="preserve"> REF _Ref454887129 \h </w:instrText>
      </w:r>
      <w:r w:rsidR="0086384E">
        <w:fldChar w:fldCharType="separate"/>
      </w:r>
      <w:r w:rsidR="006C545C" w:rsidRPr="00790AFF">
        <w:t>Figure</w:t>
      </w:r>
      <w:r w:rsidR="006C545C">
        <w:t xml:space="preserve"> </w:t>
      </w:r>
      <w:r w:rsidR="006C545C">
        <w:rPr>
          <w:noProof/>
        </w:rPr>
        <w:t>11</w:t>
      </w:r>
      <w:r w:rsidR="0086384E">
        <w:fldChar w:fldCharType="end"/>
      </w:r>
      <w:r>
        <w:t>).</w:t>
      </w:r>
    </w:p>
    <w:p w:rsidR="006D2184" w:rsidRDefault="006D2184" w:rsidP="0086384E"/>
    <w:p w:rsidR="006D2184" w:rsidRDefault="006D2184" w:rsidP="0086384E">
      <w:pPr>
        <w:pStyle w:val="Figure"/>
      </w:pPr>
      <w:bookmarkStart w:id="106" w:name="_Ref454887129"/>
      <w:bookmarkStart w:id="107" w:name="_Toc454078639"/>
      <w:bookmarkStart w:id="108" w:name="_Toc456613624"/>
      <w:r w:rsidRPr="00790AFF">
        <w:lastRenderedPageBreak/>
        <w:t>Figure</w:t>
      </w:r>
      <w:r>
        <w:t xml:space="preserve"> </w:t>
      </w:r>
      <w:r w:rsidR="00F456CC">
        <w:fldChar w:fldCharType="begin"/>
      </w:r>
      <w:r w:rsidR="00F456CC">
        <w:instrText xml:space="preserve"> SEQ Figure \* ARABIC </w:instrText>
      </w:r>
      <w:r w:rsidR="00F456CC">
        <w:fldChar w:fldCharType="separate"/>
      </w:r>
      <w:r w:rsidR="006C545C">
        <w:rPr>
          <w:noProof/>
        </w:rPr>
        <w:t>11</w:t>
      </w:r>
      <w:r w:rsidR="00F456CC">
        <w:rPr>
          <w:noProof/>
        </w:rPr>
        <w:fldChar w:fldCharType="end"/>
      </w:r>
      <w:bookmarkEnd w:id="106"/>
      <w:r w:rsidRPr="00790AFF">
        <w:t xml:space="preserve">: </w:t>
      </w:r>
      <w:r>
        <w:t xml:space="preserve">Contribution of </w:t>
      </w:r>
      <w:r w:rsidRPr="00790AFF">
        <w:t>high</w:t>
      </w:r>
      <w:r>
        <w:t>-</w:t>
      </w:r>
      <w:r w:rsidRPr="00790AFF">
        <w:t>level cause groups</w:t>
      </w:r>
      <w:r w:rsidRPr="007033FF">
        <w:t xml:space="preserve"> </w:t>
      </w:r>
      <w:r>
        <w:t>to health loss (% total DALYs),</w:t>
      </w:r>
      <w:r w:rsidRPr="00790AFF">
        <w:t xml:space="preserve"> 1990 and 2013</w:t>
      </w:r>
      <w:bookmarkEnd w:id="107"/>
      <w:bookmarkEnd w:id="108"/>
    </w:p>
    <w:p w:rsidR="006D2184" w:rsidRDefault="005122BD" w:rsidP="00AD2381">
      <w:r>
        <w:rPr>
          <w:noProof/>
          <w:lang w:eastAsia="en-NZ"/>
        </w:rPr>
        <w:drawing>
          <wp:inline distT="0" distB="0" distL="0" distR="0">
            <wp:extent cx="4671695" cy="2851150"/>
            <wp:effectExtent l="0" t="0" r="0" b="6350"/>
            <wp:docPr id="893" name="Picture 1" descr="Figure 11: Contribution of high-level cause groups to health loss (% total DALYs), 1990 a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1: Contribution of high-level cause groups to health loss (% total DALYs), 1990 and 20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1695" cy="2851150"/>
                    </a:xfrm>
                    <a:prstGeom prst="rect">
                      <a:avLst/>
                    </a:prstGeom>
                    <a:noFill/>
                    <a:ln>
                      <a:noFill/>
                    </a:ln>
                  </pic:spPr>
                </pic:pic>
              </a:graphicData>
            </a:graphic>
          </wp:inline>
        </w:drawing>
      </w:r>
    </w:p>
    <w:p w:rsidR="006D2184" w:rsidRDefault="006D2184" w:rsidP="0086384E"/>
    <w:p w:rsidR="00BE154C" w:rsidRPr="00932DDA" w:rsidRDefault="00BE154C" w:rsidP="00135BAE">
      <w:pPr>
        <w:pStyle w:val="Heading1"/>
      </w:pPr>
      <w:bookmarkStart w:id="109" w:name="_Toc441468886"/>
      <w:bookmarkStart w:id="110" w:name="_Toc442416679"/>
      <w:bookmarkStart w:id="111" w:name="_Toc456270685"/>
      <w:r w:rsidRPr="00BF5239">
        <w:lastRenderedPageBreak/>
        <w:t>Causes of health loss: specific diseases and injuries</w:t>
      </w:r>
      <w:bookmarkEnd w:id="109"/>
      <w:bookmarkEnd w:id="110"/>
      <w:bookmarkEnd w:id="111"/>
    </w:p>
    <w:p w:rsidR="00BE154C" w:rsidRDefault="00BE154C" w:rsidP="0086384E">
      <w:r>
        <w:t>This section describes the contribution of specific diseases and injuries to health loss</w:t>
      </w:r>
      <w:r w:rsidRPr="002A14DA">
        <w:t xml:space="preserve">, </w:t>
      </w:r>
      <w:r w:rsidRPr="00404D64">
        <w:rPr>
          <w:b/>
        </w:rPr>
        <w:t>regardless of which condition group</w:t>
      </w:r>
      <w:r>
        <w:t xml:space="preserve"> they belong to</w:t>
      </w:r>
      <w:r w:rsidRPr="002A14DA">
        <w:t xml:space="preserve">. </w:t>
      </w:r>
      <w:r>
        <w:t xml:space="preserve">Rather than reporting health loss from all 306 conditions included in the data set, however, it focuses on </w:t>
      </w:r>
      <w:r w:rsidR="005D5D9F">
        <w:t>‘</w:t>
      </w:r>
      <w:r>
        <w:t>major</w:t>
      </w:r>
      <w:r w:rsidR="005D5D9F">
        <w:t>’</w:t>
      </w:r>
      <w:r>
        <w:t xml:space="preserve"> conditions only, defined as diseases or injuries accounting for more than 1% of total health loss (</w:t>
      </w:r>
      <w:proofErr w:type="spellStart"/>
      <w:r>
        <w:t>ie</w:t>
      </w:r>
      <w:proofErr w:type="spellEnd"/>
      <w:r>
        <w:t>, 10,000 DALYs).</w:t>
      </w:r>
    </w:p>
    <w:p w:rsidR="00BE154C" w:rsidRDefault="00BE154C" w:rsidP="0086384E"/>
    <w:p w:rsidR="00BE154C" w:rsidRDefault="00BE154C" w:rsidP="0086384E">
      <w:pPr>
        <w:pStyle w:val="Heading2"/>
      </w:pPr>
      <w:bookmarkStart w:id="112" w:name="_Toc442416680"/>
      <w:bookmarkStart w:id="113" w:name="_Toc456270686"/>
      <w:r>
        <w:t>Health loss is heavily concentrated into a small number of diseases and injuries</w:t>
      </w:r>
      <w:bookmarkEnd w:id="112"/>
      <w:bookmarkEnd w:id="113"/>
    </w:p>
    <w:p w:rsidR="00BE154C" w:rsidRDefault="00BE154C" w:rsidP="0086384E">
      <w:r>
        <w:t xml:space="preserve">Of the 306 conditions included in the data set, 31 (approximately 10%) are responsible for three-quarters of all health loss, and 26 of these conditions are common to both genders. Twelve conditions account for 50% of health loss and just four are responsible for 25% of all health loss in each gender, although the specific conditions involved differ for males and </w:t>
      </w:r>
      <w:proofErr w:type="gramStart"/>
      <w:r>
        <w:t>females</w:t>
      </w:r>
      <w:proofErr w:type="gramEnd"/>
      <w:r w:rsidR="004877E7">
        <w:br/>
      </w:r>
      <w:r>
        <w:t>(</w:t>
      </w:r>
      <w:r w:rsidR="0086384E">
        <w:fldChar w:fldCharType="begin"/>
      </w:r>
      <w:r w:rsidR="0086384E">
        <w:instrText xml:space="preserve"> REF _Ref441211826 \h </w:instrText>
      </w:r>
      <w:r w:rsidR="0086384E">
        <w:fldChar w:fldCharType="separate"/>
      </w:r>
      <w:r w:rsidR="006C545C">
        <w:t xml:space="preserve">Figure </w:t>
      </w:r>
      <w:r w:rsidR="006C545C">
        <w:rPr>
          <w:noProof/>
        </w:rPr>
        <w:t>12</w:t>
      </w:r>
      <w:r w:rsidR="0086384E">
        <w:fldChar w:fldCharType="end"/>
      </w:r>
      <w:r>
        <w:t>).</w:t>
      </w:r>
    </w:p>
    <w:p w:rsidR="00BE154C" w:rsidRDefault="00BE154C" w:rsidP="0086384E"/>
    <w:p w:rsidR="00BE154C" w:rsidRDefault="00BE154C" w:rsidP="0086384E">
      <w:r>
        <w:t xml:space="preserve">Among males, the first-ranked condition, coronary heart disease (CHD), accounts for 10% of all health loss, followed by back disorders (mainly lower back pain and neck pain) (8%). This rank order is reversed among females, with back disorders ranked first (10%) and CHD second (6%). The remaining </w:t>
      </w:r>
      <w:r w:rsidR="005D5D9F">
        <w:t>‘</w:t>
      </w:r>
      <w:r>
        <w:t>top five</w:t>
      </w:r>
      <w:r w:rsidR="005D5D9F">
        <w:t>’</w:t>
      </w:r>
      <w:r>
        <w:t xml:space="preserve"> conditions are (in order) COPD, lung cancer and transport injury in males; and depressive disorders, COPD and dementia in females. So three of the top five conditions – CHD, back disorders and COPD – are common to both genders.</w:t>
      </w:r>
    </w:p>
    <w:p w:rsidR="00BE154C" w:rsidRDefault="00BE154C" w:rsidP="0086384E"/>
    <w:p w:rsidR="00BE154C" w:rsidRDefault="00BE154C" w:rsidP="0086384E">
      <w:r>
        <w:t>Lung cancer, transport injury, self-harm and addiction disorders are more highly ranked among males, while depressive disorders, anxiety disorders, dementia and arthritis are more highly ranked among females. Most other disorders have similar rankings – and percentage shares – in both genders.</w:t>
      </w:r>
    </w:p>
    <w:p w:rsidR="00BE154C" w:rsidRDefault="00BE154C" w:rsidP="0086384E"/>
    <w:p w:rsidR="00BE154C" w:rsidRDefault="00BE154C" w:rsidP="0086384E">
      <w:pPr>
        <w:pStyle w:val="Figure"/>
      </w:pPr>
      <w:bookmarkStart w:id="114" w:name="_Ref441211826"/>
      <w:bookmarkStart w:id="115" w:name="_Toc441576067"/>
      <w:bookmarkStart w:id="116" w:name="_Toc442416800"/>
      <w:bookmarkStart w:id="117" w:name="_Toc454078640"/>
      <w:bookmarkStart w:id="118" w:name="_Toc456613625"/>
      <w:r>
        <w:lastRenderedPageBreak/>
        <w:t xml:space="preserve">Figure </w:t>
      </w:r>
      <w:r w:rsidR="00F456CC">
        <w:fldChar w:fldCharType="begin"/>
      </w:r>
      <w:r w:rsidR="00F456CC">
        <w:instrText xml:space="preserve"> SEQ Figure \* ARABIC </w:instrText>
      </w:r>
      <w:r w:rsidR="00F456CC">
        <w:fldChar w:fldCharType="separate"/>
      </w:r>
      <w:r w:rsidR="006C545C">
        <w:rPr>
          <w:noProof/>
        </w:rPr>
        <w:t>12</w:t>
      </w:r>
      <w:r w:rsidR="00F456CC">
        <w:rPr>
          <w:noProof/>
        </w:rPr>
        <w:fldChar w:fldCharType="end"/>
      </w:r>
      <w:bookmarkEnd w:id="114"/>
      <w:r>
        <w:t xml:space="preserve">: Contribution of leading </w:t>
      </w:r>
      <w:r w:rsidRPr="002D6093">
        <w:t>major specific conditions</w:t>
      </w:r>
      <w:r>
        <w:t xml:space="preserve"> </w:t>
      </w:r>
      <w:r w:rsidRPr="002D6093">
        <w:t xml:space="preserve">to </w:t>
      </w:r>
      <w:r>
        <w:t xml:space="preserve">health loss (% </w:t>
      </w:r>
      <w:r w:rsidRPr="002D6093">
        <w:t>total</w:t>
      </w:r>
      <w:r>
        <w:t xml:space="preserve"> DALYs), by gender, 2013</w:t>
      </w:r>
      <w:bookmarkEnd w:id="115"/>
      <w:bookmarkEnd w:id="116"/>
      <w:bookmarkEnd w:id="117"/>
      <w:bookmarkEnd w:id="118"/>
    </w:p>
    <w:tbl>
      <w:tblPr>
        <w:tblW w:w="0" w:type="auto"/>
        <w:tblLayout w:type="fixed"/>
        <w:tblLook w:val="04A0" w:firstRow="1" w:lastRow="0" w:firstColumn="1" w:lastColumn="0" w:noHBand="0" w:noVBand="1"/>
      </w:tblPr>
      <w:tblGrid>
        <w:gridCol w:w="4732"/>
        <w:gridCol w:w="4732"/>
      </w:tblGrid>
      <w:tr w:rsidR="00BE154C" w:rsidRPr="00FC49E7" w:rsidTr="00733F16">
        <w:trPr>
          <w:cantSplit/>
        </w:trPr>
        <w:tc>
          <w:tcPr>
            <w:tcW w:w="4732" w:type="dxa"/>
            <w:shd w:val="clear" w:color="auto" w:fill="auto"/>
          </w:tcPr>
          <w:p w:rsidR="00BE154C" w:rsidRPr="00FC49E7" w:rsidRDefault="00BE154C" w:rsidP="00733F16">
            <w:pPr>
              <w:pStyle w:val="TableText"/>
              <w:keepNext/>
              <w:rPr>
                <w:b/>
              </w:rPr>
            </w:pPr>
            <w:r w:rsidRPr="00FC49E7">
              <w:rPr>
                <w:b/>
              </w:rPr>
              <w:t>Males</w:t>
            </w:r>
          </w:p>
        </w:tc>
        <w:tc>
          <w:tcPr>
            <w:tcW w:w="4732" w:type="dxa"/>
            <w:shd w:val="clear" w:color="auto" w:fill="auto"/>
          </w:tcPr>
          <w:p w:rsidR="00BE154C" w:rsidRPr="00FC49E7" w:rsidRDefault="00BE154C" w:rsidP="00733F16">
            <w:pPr>
              <w:pStyle w:val="TableText"/>
              <w:keepNext/>
              <w:rPr>
                <w:b/>
              </w:rPr>
            </w:pPr>
            <w:r w:rsidRPr="00FC49E7">
              <w:rPr>
                <w:b/>
              </w:rPr>
              <w:t>Females</w:t>
            </w:r>
          </w:p>
        </w:tc>
      </w:tr>
      <w:tr w:rsidR="00BE154C" w:rsidTr="00B052C9">
        <w:trPr>
          <w:cantSplit/>
        </w:trPr>
        <w:tc>
          <w:tcPr>
            <w:tcW w:w="4732" w:type="dxa"/>
            <w:shd w:val="clear" w:color="auto" w:fill="auto"/>
          </w:tcPr>
          <w:p w:rsidR="00BE154C" w:rsidRDefault="005122BD" w:rsidP="005E1710">
            <w:pPr>
              <w:pStyle w:val="TableText"/>
              <w:spacing w:before="0" w:after="0"/>
            </w:pPr>
            <w:r>
              <w:rPr>
                <w:noProof/>
                <w:lang w:eastAsia="en-NZ"/>
              </w:rPr>
              <w:drawing>
                <wp:inline distT="0" distB="0" distL="0" distR="0">
                  <wp:extent cx="3001010" cy="3895725"/>
                  <wp:effectExtent l="0" t="0" r="8890" b="9525"/>
                  <wp:docPr id="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r="46118"/>
                          <a:stretch>
                            <a:fillRect/>
                          </a:stretch>
                        </pic:blipFill>
                        <pic:spPr bwMode="auto">
                          <a:xfrm>
                            <a:off x="0" y="0"/>
                            <a:ext cx="3001010" cy="3895725"/>
                          </a:xfrm>
                          <a:prstGeom prst="rect">
                            <a:avLst/>
                          </a:prstGeom>
                          <a:noFill/>
                          <a:ln>
                            <a:noFill/>
                          </a:ln>
                        </pic:spPr>
                      </pic:pic>
                    </a:graphicData>
                  </a:graphic>
                </wp:inline>
              </w:drawing>
            </w:r>
          </w:p>
        </w:tc>
        <w:tc>
          <w:tcPr>
            <w:tcW w:w="4732" w:type="dxa"/>
            <w:shd w:val="clear" w:color="auto" w:fill="auto"/>
          </w:tcPr>
          <w:p w:rsidR="00BE154C" w:rsidRDefault="005122BD" w:rsidP="005E1710">
            <w:pPr>
              <w:pStyle w:val="TableText"/>
              <w:spacing w:before="0" w:after="0"/>
            </w:pPr>
            <w:r>
              <w:rPr>
                <w:noProof/>
                <w:lang w:eastAsia="en-NZ"/>
              </w:rPr>
              <w:drawing>
                <wp:inline distT="0" distB="0" distL="0" distR="0">
                  <wp:extent cx="3009265" cy="3886200"/>
                  <wp:effectExtent l="0" t="0" r="635" b="0"/>
                  <wp:docPr id="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r="46072"/>
                          <a:stretch>
                            <a:fillRect/>
                          </a:stretch>
                        </pic:blipFill>
                        <pic:spPr bwMode="auto">
                          <a:xfrm>
                            <a:off x="0" y="0"/>
                            <a:ext cx="3009265" cy="3886200"/>
                          </a:xfrm>
                          <a:prstGeom prst="rect">
                            <a:avLst/>
                          </a:prstGeom>
                          <a:noFill/>
                          <a:ln>
                            <a:noFill/>
                          </a:ln>
                        </pic:spPr>
                      </pic:pic>
                    </a:graphicData>
                  </a:graphic>
                </wp:inline>
              </w:drawing>
            </w:r>
          </w:p>
        </w:tc>
      </w:tr>
    </w:tbl>
    <w:p w:rsidR="00BE154C" w:rsidRDefault="00BE154C" w:rsidP="00BE154C">
      <w:pPr>
        <w:pStyle w:val="Note"/>
        <w:ind w:left="0" w:right="0" w:firstLine="0"/>
      </w:pPr>
      <w:r w:rsidRPr="00CE6BCB">
        <w:t>Adverse health care events</w:t>
      </w:r>
      <w:r>
        <w:t xml:space="preserve"> have</w:t>
      </w:r>
      <w:r w:rsidRPr="00CE6BCB">
        <w:t xml:space="preserve"> not </w:t>
      </w:r>
      <w:r>
        <w:t xml:space="preserve">been </w:t>
      </w:r>
      <w:r w:rsidRPr="00CE6BCB">
        <w:t>included</w:t>
      </w:r>
      <w:r>
        <w:t xml:space="preserve"> because of low data quality; however, such events are estimated to account for approximately 3% of DALYs in both sexes.</w:t>
      </w:r>
    </w:p>
    <w:p w:rsidR="00BE154C" w:rsidRPr="00CE6BCB" w:rsidRDefault="00BE154C" w:rsidP="00BE154C">
      <w:pPr>
        <w:pStyle w:val="Note"/>
        <w:ind w:left="0" w:right="0" w:firstLine="0"/>
      </w:pPr>
      <w:r>
        <w:t xml:space="preserve">Heart failure has not been included as this is considered a </w:t>
      </w:r>
      <w:proofErr w:type="spellStart"/>
      <w:r>
        <w:t>sequela</w:t>
      </w:r>
      <w:proofErr w:type="spellEnd"/>
      <w:r>
        <w:t xml:space="preserve"> (complication) of several different diseases, not a disease in itself.</w:t>
      </w:r>
    </w:p>
    <w:p w:rsidR="00BE154C" w:rsidRPr="00CE6BCB" w:rsidRDefault="005D5D9F" w:rsidP="00BE154C">
      <w:pPr>
        <w:pStyle w:val="Note"/>
        <w:ind w:left="0" w:right="0" w:firstLine="0"/>
      </w:pPr>
      <w:r>
        <w:t>‘</w:t>
      </w:r>
      <w:r w:rsidR="00BE154C" w:rsidRPr="00CE6BCB">
        <w:t>Other</w:t>
      </w:r>
      <w:r>
        <w:t>’</w:t>
      </w:r>
      <w:r w:rsidR="00BE154C" w:rsidRPr="00CE6BCB">
        <w:t xml:space="preserve"> categories (</w:t>
      </w:r>
      <w:proofErr w:type="spellStart"/>
      <w:r w:rsidR="00BE154C" w:rsidRPr="00CE6BCB">
        <w:t>eg</w:t>
      </w:r>
      <w:proofErr w:type="spellEnd"/>
      <w:r w:rsidR="00BE154C">
        <w:t>,</w:t>
      </w:r>
      <w:r w:rsidR="00BE154C" w:rsidRPr="00CE6BCB">
        <w:t xml:space="preserve"> </w:t>
      </w:r>
      <w:r>
        <w:t>‘</w:t>
      </w:r>
      <w:r w:rsidR="00BE154C" w:rsidRPr="00CE6BCB">
        <w:t>Other MSK</w:t>
      </w:r>
      <w:r>
        <w:t>’</w:t>
      </w:r>
      <w:r w:rsidR="00BE154C" w:rsidRPr="00CE6BCB">
        <w:t xml:space="preserve">) </w:t>
      </w:r>
      <w:r w:rsidR="00BE154C">
        <w:t xml:space="preserve">have </w:t>
      </w:r>
      <w:r w:rsidR="00BE154C" w:rsidRPr="00CE6BCB">
        <w:t xml:space="preserve">not </w:t>
      </w:r>
      <w:r w:rsidR="00BE154C">
        <w:t xml:space="preserve">been </w:t>
      </w:r>
      <w:r w:rsidR="00BE154C" w:rsidRPr="00CE6BCB">
        <w:t>included</w:t>
      </w:r>
      <w:r w:rsidR="00BE154C">
        <w:t>, as these are heterogeneous categories.</w:t>
      </w:r>
    </w:p>
    <w:p w:rsidR="00BE154C" w:rsidRPr="00CE6BCB" w:rsidRDefault="00BE154C" w:rsidP="00BE154C">
      <w:pPr>
        <w:pStyle w:val="Note"/>
        <w:ind w:left="0" w:right="0" w:firstLine="0"/>
      </w:pPr>
      <w:r w:rsidRPr="00CE6BCB">
        <w:t>Diabetes includes only health loss directly attributable to diabetes</w:t>
      </w:r>
      <w:r>
        <w:t xml:space="preserve"> as a disease, rather than high blood glucose as a risk factor.</w:t>
      </w:r>
    </w:p>
    <w:p w:rsidR="00BE154C" w:rsidRDefault="005D5D9F" w:rsidP="00BE154C">
      <w:pPr>
        <w:pStyle w:val="Note"/>
        <w:ind w:left="0" w:right="0" w:firstLine="0"/>
      </w:pPr>
      <w:r>
        <w:t>‘</w:t>
      </w:r>
      <w:r w:rsidR="00BE154C" w:rsidRPr="00CE6BCB">
        <w:t>Vision loss</w:t>
      </w:r>
      <w:r>
        <w:t>’</w:t>
      </w:r>
      <w:r w:rsidR="00BE154C" w:rsidRPr="00CE6BCB">
        <w:t xml:space="preserve"> and </w:t>
      </w:r>
      <w:r>
        <w:t>‘</w:t>
      </w:r>
      <w:r w:rsidR="00BE154C">
        <w:t>H</w:t>
      </w:r>
      <w:r w:rsidR="00BE154C" w:rsidRPr="00CE6BCB">
        <w:t>earing loss</w:t>
      </w:r>
      <w:r>
        <w:t>’</w:t>
      </w:r>
      <w:r w:rsidR="00BE154C" w:rsidRPr="00CE6BCB">
        <w:t xml:space="preserve"> exclude such losses captured under other conditions</w:t>
      </w:r>
      <w:r w:rsidR="00BE154C">
        <w:t>.</w:t>
      </w:r>
    </w:p>
    <w:p w:rsidR="00BE154C" w:rsidRPr="00A85B8A" w:rsidRDefault="005D5D9F" w:rsidP="00BE154C">
      <w:pPr>
        <w:pStyle w:val="Note"/>
        <w:ind w:left="0" w:right="0" w:firstLine="0"/>
      </w:pPr>
      <w:r>
        <w:t>‘</w:t>
      </w:r>
      <w:r w:rsidR="00BE154C">
        <w:t>Arthritis</w:t>
      </w:r>
      <w:r>
        <w:t>’</w:t>
      </w:r>
      <w:r w:rsidR="00BE154C">
        <w:t xml:space="preserve"> includes osteoarthritis, rheumatoid arthritis and gout.</w:t>
      </w:r>
    </w:p>
    <w:p w:rsidR="00BE154C" w:rsidRPr="006C35E2" w:rsidRDefault="005D5D9F" w:rsidP="00BE154C">
      <w:pPr>
        <w:pStyle w:val="Note"/>
        <w:ind w:left="0" w:right="0" w:firstLine="0"/>
      </w:pPr>
      <w:r>
        <w:t>‘</w:t>
      </w:r>
      <w:r w:rsidR="00BE154C" w:rsidRPr="006C35E2">
        <w:t>Psychotic disorders</w:t>
      </w:r>
      <w:r>
        <w:t>’</w:t>
      </w:r>
      <w:r w:rsidR="00BE154C" w:rsidRPr="006C35E2">
        <w:t xml:space="preserve"> includes schizophrenia and bipolar disorder</w:t>
      </w:r>
      <w:r w:rsidR="00BE154C">
        <w:t>.</w:t>
      </w:r>
    </w:p>
    <w:p w:rsidR="00BE154C" w:rsidRDefault="00BE154C" w:rsidP="00BE154C">
      <w:pPr>
        <w:pStyle w:val="Note"/>
        <w:ind w:left="0" w:right="0" w:firstLine="0"/>
      </w:pPr>
      <w:r>
        <w:t xml:space="preserve">Key: </w:t>
      </w:r>
      <w:r w:rsidRPr="006C35E2">
        <w:t xml:space="preserve">CHD </w:t>
      </w:r>
      <w:r>
        <w:t xml:space="preserve">= </w:t>
      </w:r>
      <w:r w:rsidRPr="006C35E2">
        <w:t>coronary heart disease</w:t>
      </w:r>
      <w:r>
        <w:t>;</w:t>
      </w:r>
      <w:r w:rsidRPr="006C35E2">
        <w:t xml:space="preserve"> COPD </w:t>
      </w:r>
      <w:r>
        <w:t xml:space="preserve">= </w:t>
      </w:r>
      <w:r w:rsidRPr="006C35E2">
        <w:t>chronic obstructive pulmonary disease</w:t>
      </w:r>
      <w:r>
        <w:t>;</w:t>
      </w:r>
      <w:r w:rsidRPr="006C35E2">
        <w:t xml:space="preserve"> CKD </w:t>
      </w:r>
      <w:r>
        <w:t xml:space="preserve">= </w:t>
      </w:r>
      <w:r w:rsidRPr="006C35E2">
        <w:t>chronic kidney disease</w:t>
      </w:r>
      <w:r>
        <w:t>;</w:t>
      </w:r>
      <w:r w:rsidRPr="006C35E2">
        <w:t xml:space="preserve"> </w:t>
      </w:r>
      <w:proofErr w:type="spellStart"/>
      <w:r>
        <w:t>gynae</w:t>
      </w:r>
      <w:proofErr w:type="spellEnd"/>
      <w:r>
        <w:t xml:space="preserve"> = gynaecological; </w:t>
      </w:r>
      <w:r w:rsidRPr="006C35E2">
        <w:t xml:space="preserve">IDA </w:t>
      </w:r>
      <w:r>
        <w:t xml:space="preserve">= </w:t>
      </w:r>
      <w:r w:rsidRPr="006C35E2">
        <w:t>iron deficiency an</w:t>
      </w:r>
      <w:r>
        <w:t>a</w:t>
      </w:r>
      <w:r w:rsidRPr="006C35E2">
        <w:t>emia</w:t>
      </w:r>
      <w:r>
        <w:t>.</w:t>
      </w:r>
    </w:p>
    <w:p w:rsidR="00BE154C" w:rsidRPr="004A07A6" w:rsidRDefault="00BE154C" w:rsidP="0086384E">
      <w:pPr>
        <w:pStyle w:val="Note"/>
      </w:pPr>
      <w:r w:rsidRPr="004A07A6">
        <w:t>Note: Confidence intervals not shown for clarity of presentation.</w:t>
      </w:r>
    </w:p>
    <w:p w:rsidR="00BE154C" w:rsidRPr="0084121D" w:rsidRDefault="00BE154C" w:rsidP="0086384E">
      <w:pPr>
        <w:rPr>
          <w:highlight w:val="yellow"/>
        </w:rPr>
      </w:pPr>
    </w:p>
    <w:p w:rsidR="00BE154C" w:rsidRPr="00AD12F9" w:rsidRDefault="00BE154C" w:rsidP="0086384E">
      <w:pPr>
        <w:pStyle w:val="Heading2"/>
      </w:pPr>
      <w:bookmarkStart w:id="119" w:name="_Toc442416681"/>
      <w:bookmarkStart w:id="120" w:name="_Toc456270687"/>
      <w:r w:rsidRPr="00AD12F9">
        <w:t xml:space="preserve">Diabetes and dementia have </w:t>
      </w:r>
      <w:r>
        <w:t>advanced</w:t>
      </w:r>
      <w:r w:rsidRPr="00AD12F9">
        <w:t xml:space="preserve"> most in rank</w:t>
      </w:r>
      <w:bookmarkEnd w:id="119"/>
      <w:bookmarkEnd w:id="120"/>
    </w:p>
    <w:p w:rsidR="00BE154C" w:rsidRDefault="00BE154C" w:rsidP="0086384E">
      <w:r>
        <w:t xml:space="preserve">The </w:t>
      </w:r>
      <w:r w:rsidR="005D5D9F">
        <w:t>‘</w:t>
      </w:r>
      <w:r>
        <w:t>top 20</w:t>
      </w:r>
      <w:r w:rsidR="005D5D9F">
        <w:t>’</w:t>
      </w:r>
      <w:r>
        <w:t xml:space="preserve"> leading conditions have remained largely the same over the past quarter century, although some have moved up or down in rank order. </w:t>
      </w:r>
      <w:r>
        <w:fldChar w:fldCharType="begin"/>
      </w:r>
      <w:r>
        <w:instrText xml:space="preserve"> REF _Ref441212522 \h </w:instrText>
      </w:r>
      <w:r>
        <w:fldChar w:fldCharType="separate"/>
      </w:r>
      <w:r w:rsidR="006C545C">
        <w:t xml:space="preserve">Figure </w:t>
      </w:r>
      <w:r w:rsidR="006C545C">
        <w:rPr>
          <w:noProof/>
        </w:rPr>
        <w:t>13</w:t>
      </w:r>
      <w:r>
        <w:fldChar w:fldCharType="end"/>
      </w:r>
      <w:r>
        <w:t xml:space="preserve"> compares 1990 with 2013, for the population as a whole (all ages combined), by gender.</w:t>
      </w:r>
    </w:p>
    <w:p w:rsidR="00BE154C" w:rsidRDefault="00BE154C" w:rsidP="000964BD"/>
    <w:p w:rsidR="00BE154C" w:rsidRPr="00795207" w:rsidRDefault="00BE154C" w:rsidP="000964BD">
      <w:pPr>
        <w:pStyle w:val="Figure"/>
      </w:pPr>
      <w:bookmarkStart w:id="121" w:name="_Ref441212522"/>
      <w:bookmarkStart w:id="122" w:name="_Toc441576068"/>
      <w:bookmarkStart w:id="123" w:name="_Toc442416801"/>
      <w:bookmarkStart w:id="124" w:name="_Toc454078641"/>
      <w:bookmarkStart w:id="125" w:name="_Toc456613626"/>
      <w:r>
        <w:lastRenderedPageBreak/>
        <w:t xml:space="preserve">Figure </w:t>
      </w:r>
      <w:r w:rsidR="00F456CC">
        <w:fldChar w:fldCharType="begin"/>
      </w:r>
      <w:r w:rsidR="00F456CC">
        <w:instrText xml:space="preserve"> SEQ Figure \* ARABIC </w:instrText>
      </w:r>
      <w:r w:rsidR="00F456CC">
        <w:fldChar w:fldCharType="separate"/>
      </w:r>
      <w:r w:rsidR="006C545C">
        <w:rPr>
          <w:noProof/>
        </w:rPr>
        <w:t>13</w:t>
      </w:r>
      <w:r w:rsidR="00F456CC">
        <w:rPr>
          <w:noProof/>
        </w:rPr>
        <w:fldChar w:fldCharType="end"/>
      </w:r>
      <w:bookmarkEnd w:id="121"/>
      <w:r>
        <w:t xml:space="preserve">: Contribution of </w:t>
      </w:r>
      <w:r w:rsidR="005D5D9F">
        <w:t>‘</w:t>
      </w:r>
      <w:r w:rsidRPr="00DB1997">
        <w:t xml:space="preserve">top </w:t>
      </w:r>
      <w:r>
        <w:t>20</w:t>
      </w:r>
      <w:r w:rsidR="005D5D9F">
        <w:t>’</w:t>
      </w:r>
      <w:r w:rsidRPr="00DB1997">
        <w:t xml:space="preserve"> leading </w:t>
      </w:r>
      <w:r>
        <w:t xml:space="preserve">major specific </w:t>
      </w:r>
      <w:r w:rsidRPr="00DB1997">
        <w:t>conditions to health loss</w:t>
      </w:r>
      <w:r>
        <w:t xml:space="preserve"> (% total DALYs)</w:t>
      </w:r>
      <w:r w:rsidRPr="00DB1997">
        <w:t xml:space="preserve">, whole of population, </w:t>
      </w:r>
      <w:r>
        <w:t xml:space="preserve">by gender, </w:t>
      </w:r>
      <w:r w:rsidRPr="00DB1997">
        <w:t>1990 and 2013</w:t>
      </w:r>
      <w:bookmarkEnd w:id="122"/>
      <w:bookmarkEnd w:id="123"/>
      <w:bookmarkEnd w:id="124"/>
      <w:bookmarkEnd w:id="125"/>
    </w:p>
    <w:p w:rsidR="00F7595D" w:rsidRDefault="00F7595D" w:rsidP="00F7595D">
      <w:pPr>
        <w:pStyle w:val="TableText"/>
        <w:keepNext/>
        <w:rPr>
          <w:b/>
        </w:rPr>
      </w:pPr>
      <w:r w:rsidRPr="00A85B8A">
        <w:rPr>
          <w:b/>
        </w:rPr>
        <w:t>Males</w:t>
      </w:r>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709"/>
        <w:gridCol w:w="1964"/>
        <w:gridCol w:w="871"/>
        <w:gridCol w:w="2552"/>
        <w:gridCol w:w="750"/>
        <w:gridCol w:w="1923"/>
        <w:gridCol w:w="587"/>
      </w:tblGrid>
      <w:tr w:rsidR="00865AC9" w:rsidRPr="002263BB" w:rsidTr="002B3B21">
        <w:trPr>
          <w:cantSplit/>
        </w:trPr>
        <w:tc>
          <w:tcPr>
            <w:tcW w:w="3544" w:type="dxa"/>
            <w:gridSpan w:val="3"/>
            <w:tcBorders>
              <w:bottom w:val="single" w:sz="4" w:space="0" w:color="A6A6A6"/>
            </w:tcBorders>
            <w:shd w:val="clear" w:color="auto" w:fill="auto"/>
          </w:tcPr>
          <w:p w:rsidR="00342829" w:rsidRPr="002B3B21" w:rsidRDefault="00342829" w:rsidP="002B3B21">
            <w:pPr>
              <w:pStyle w:val="TableText"/>
              <w:keepNext/>
              <w:spacing w:before="25" w:after="25"/>
              <w:jc w:val="center"/>
              <w:rPr>
                <w:b/>
                <w:sz w:val="16"/>
                <w:szCs w:val="16"/>
              </w:rPr>
            </w:pPr>
            <w:r w:rsidRPr="002B3B21">
              <w:rPr>
                <w:b/>
                <w:sz w:val="16"/>
                <w:szCs w:val="16"/>
              </w:rPr>
              <w:t>1990</w:t>
            </w:r>
          </w:p>
        </w:tc>
        <w:tc>
          <w:tcPr>
            <w:tcW w:w="2552" w:type="dxa"/>
            <w:tcBorders>
              <w:top w:val="nil"/>
              <w:bottom w:val="nil"/>
            </w:tcBorders>
            <w:shd w:val="clear" w:color="auto" w:fill="auto"/>
          </w:tcPr>
          <w:p w:rsidR="00342829" w:rsidRPr="002B3B21" w:rsidRDefault="00342829" w:rsidP="002B3B21">
            <w:pPr>
              <w:pStyle w:val="TableText"/>
              <w:keepNext/>
              <w:spacing w:before="25" w:after="25"/>
              <w:rPr>
                <w:b/>
                <w:sz w:val="16"/>
                <w:szCs w:val="16"/>
              </w:rPr>
            </w:pPr>
          </w:p>
        </w:tc>
        <w:tc>
          <w:tcPr>
            <w:tcW w:w="3260" w:type="dxa"/>
            <w:gridSpan w:val="3"/>
            <w:tcBorders>
              <w:bottom w:val="single" w:sz="4" w:space="0" w:color="A6A6A6"/>
            </w:tcBorders>
            <w:shd w:val="clear" w:color="auto" w:fill="auto"/>
          </w:tcPr>
          <w:p w:rsidR="00342829" w:rsidRPr="002B3B21" w:rsidRDefault="00342829" w:rsidP="002B3B21">
            <w:pPr>
              <w:pStyle w:val="TableText"/>
              <w:keepNext/>
              <w:spacing w:before="25" w:after="25"/>
              <w:jc w:val="center"/>
              <w:rPr>
                <w:b/>
                <w:sz w:val="16"/>
                <w:szCs w:val="16"/>
              </w:rPr>
            </w:pPr>
            <w:r w:rsidRPr="002B3B21">
              <w:rPr>
                <w:b/>
                <w:sz w:val="16"/>
                <w:szCs w:val="16"/>
              </w:rPr>
              <w:t>2013</w:t>
            </w:r>
          </w:p>
        </w:tc>
      </w:tr>
      <w:tr w:rsidR="00865AC9" w:rsidRPr="002263BB" w:rsidTr="002B3B21">
        <w:trPr>
          <w:cantSplit/>
        </w:trPr>
        <w:tc>
          <w:tcPr>
            <w:tcW w:w="709" w:type="dxa"/>
            <w:tcBorders>
              <w:top w:val="single" w:sz="4" w:space="0" w:color="A6A6A6"/>
              <w:bottom w:val="single" w:sz="4" w:space="0" w:color="auto"/>
            </w:tcBorders>
            <w:shd w:val="clear" w:color="auto" w:fill="auto"/>
          </w:tcPr>
          <w:p w:rsidR="00342829" w:rsidRPr="002B3B21" w:rsidRDefault="00342829" w:rsidP="002B3B21">
            <w:pPr>
              <w:pStyle w:val="TableText"/>
              <w:keepNext/>
              <w:spacing w:before="25" w:after="25"/>
              <w:rPr>
                <w:b/>
                <w:sz w:val="16"/>
                <w:szCs w:val="16"/>
              </w:rPr>
            </w:pPr>
            <w:r w:rsidRPr="002B3B21">
              <w:rPr>
                <w:b/>
                <w:sz w:val="16"/>
                <w:szCs w:val="16"/>
              </w:rPr>
              <w:t>Rank</w:t>
            </w:r>
          </w:p>
        </w:tc>
        <w:tc>
          <w:tcPr>
            <w:tcW w:w="1964" w:type="dxa"/>
            <w:tcBorders>
              <w:top w:val="single" w:sz="4" w:space="0" w:color="A6A6A6"/>
              <w:bottom w:val="single" w:sz="4" w:space="0" w:color="auto"/>
            </w:tcBorders>
            <w:shd w:val="clear" w:color="auto" w:fill="auto"/>
          </w:tcPr>
          <w:p w:rsidR="00342829" w:rsidRPr="002B3B21" w:rsidRDefault="00342829" w:rsidP="002B3B21">
            <w:pPr>
              <w:pStyle w:val="TableText"/>
              <w:keepNext/>
              <w:spacing w:before="25" w:after="25"/>
              <w:rPr>
                <w:b/>
                <w:sz w:val="16"/>
                <w:szCs w:val="16"/>
              </w:rPr>
            </w:pPr>
            <w:r w:rsidRPr="002B3B21">
              <w:rPr>
                <w:b/>
                <w:sz w:val="16"/>
                <w:szCs w:val="16"/>
              </w:rPr>
              <w:t>Condition</w:t>
            </w:r>
          </w:p>
        </w:tc>
        <w:tc>
          <w:tcPr>
            <w:tcW w:w="871" w:type="dxa"/>
            <w:tcBorders>
              <w:top w:val="single" w:sz="4" w:space="0" w:color="A6A6A6"/>
              <w:bottom w:val="single" w:sz="4" w:space="0" w:color="auto"/>
            </w:tcBorders>
            <w:shd w:val="clear" w:color="auto" w:fill="auto"/>
          </w:tcPr>
          <w:p w:rsidR="00342829" w:rsidRPr="002B3B21" w:rsidRDefault="00342829" w:rsidP="002B3B21">
            <w:pPr>
              <w:pStyle w:val="TableText"/>
              <w:keepNext/>
              <w:tabs>
                <w:tab w:val="decimal" w:pos="389"/>
              </w:tabs>
              <w:spacing w:before="25" w:after="25"/>
              <w:rPr>
                <w:b/>
                <w:sz w:val="16"/>
                <w:szCs w:val="16"/>
              </w:rPr>
            </w:pPr>
            <w:r w:rsidRPr="002B3B21">
              <w:rPr>
                <w:b/>
                <w:sz w:val="16"/>
                <w:szCs w:val="16"/>
              </w:rPr>
              <w:t>%</w:t>
            </w:r>
          </w:p>
        </w:tc>
        <w:tc>
          <w:tcPr>
            <w:tcW w:w="2552" w:type="dxa"/>
            <w:tcBorders>
              <w:top w:val="nil"/>
              <w:bottom w:val="nil"/>
            </w:tcBorders>
            <w:shd w:val="clear" w:color="auto" w:fill="auto"/>
          </w:tcPr>
          <w:p w:rsidR="00342829" w:rsidRPr="002B3B21" w:rsidRDefault="00342829" w:rsidP="002B3B21">
            <w:pPr>
              <w:pStyle w:val="TableText"/>
              <w:keepNext/>
              <w:spacing w:before="25" w:after="25"/>
              <w:rPr>
                <w:b/>
                <w:sz w:val="16"/>
                <w:szCs w:val="16"/>
              </w:rPr>
            </w:pPr>
          </w:p>
        </w:tc>
        <w:tc>
          <w:tcPr>
            <w:tcW w:w="750" w:type="dxa"/>
            <w:tcBorders>
              <w:top w:val="single" w:sz="4" w:space="0" w:color="A6A6A6"/>
              <w:bottom w:val="single" w:sz="4" w:space="0" w:color="auto"/>
            </w:tcBorders>
            <w:shd w:val="clear" w:color="auto" w:fill="auto"/>
          </w:tcPr>
          <w:p w:rsidR="00342829" w:rsidRPr="002B3B21" w:rsidRDefault="00342829" w:rsidP="002B3B21">
            <w:pPr>
              <w:pStyle w:val="TableText"/>
              <w:keepNext/>
              <w:spacing w:before="25" w:after="25"/>
              <w:jc w:val="center"/>
              <w:rPr>
                <w:b/>
                <w:sz w:val="16"/>
                <w:szCs w:val="16"/>
              </w:rPr>
            </w:pPr>
            <w:r w:rsidRPr="002B3B21">
              <w:rPr>
                <w:b/>
                <w:sz w:val="16"/>
                <w:szCs w:val="16"/>
              </w:rPr>
              <w:t>Rank</w:t>
            </w:r>
          </w:p>
        </w:tc>
        <w:tc>
          <w:tcPr>
            <w:tcW w:w="1923" w:type="dxa"/>
            <w:tcBorders>
              <w:top w:val="single" w:sz="4" w:space="0" w:color="A6A6A6"/>
              <w:bottom w:val="single" w:sz="4" w:space="0" w:color="auto"/>
            </w:tcBorders>
            <w:shd w:val="clear" w:color="auto" w:fill="auto"/>
          </w:tcPr>
          <w:p w:rsidR="00342829" w:rsidRPr="002B3B21" w:rsidRDefault="00342829" w:rsidP="002B3B21">
            <w:pPr>
              <w:pStyle w:val="TableText"/>
              <w:keepNext/>
              <w:spacing w:before="25" w:after="25"/>
              <w:rPr>
                <w:b/>
                <w:sz w:val="16"/>
                <w:szCs w:val="16"/>
              </w:rPr>
            </w:pPr>
            <w:r w:rsidRPr="002B3B21">
              <w:rPr>
                <w:b/>
                <w:sz w:val="16"/>
                <w:szCs w:val="16"/>
              </w:rPr>
              <w:t>Condition</w:t>
            </w:r>
          </w:p>
        </w:tc>
        <w:tc>
          <w:tcPr>
            <w:tcW w:w="587" w:type="dxa"/>
            <w:tcBorders>
              <w:top w:val="single" w:sz="4" w:space="0" w:color="A6A6A6"/>
              <w:bottom w:val="single" w:sz="4" w:space="0" w:color="auto"/>
            </w:tcBorders>
            <w:shd w:val="clear" w:color="auto" w:fill="auto"/>
          </w:tcPr>
          <w:p w:rsidR="00342829" w:rsidRPr="002B3B21" w:rsidRDefault="00342829" w:rsidP="002B3B21">
            <w:pPr>
              <w:pStyle w:val="TableText"/>
              <w:keepNext/>
              <w:tabs>
                <w:tab w:val="decimal" w:pos="247"/>
              </w:tabs>
              <w:spacing w:before="25" w:after="25"/>
              <w:rPr>
                <w:b/>
                <w:sz w:val="16"/>
                <w:szCs w:val="16"/>
              </w:rPr>
            </w:pPr>
            <w:r w:rsidRPr="002B3B21">
              <w:rPr>
                <w:b/>
                <w:sz w:val="16"/>
                <w:szCs w:val="16"/>
              </w:rPr>
              <w:t>%</w:t>
            </w:r>
          </w:p>
        </w:tc>
      </w:tr>
      <w:tr w:rsidR="00865AC9" w:rsidRPr="002263BB" w:rsidTr="002B3B21">
        <w:trPr>
          <w:cantSplit/>
        </w:trPr>
        <w:tc>
          <w:tcPr>
            <w:tcW w:w="709" w:type="dxa"/>
            <w:tcBorders>
              <w:top w:val="single" w:sz="4" w:space="0" w:color="auto"/>
              <w:bottom w:val="single" w:sz="4" w:space="0" w:color="A6A6A6"/>
            </w:tcBorders>
            <w:shd w:val="clear" w:color="auto" w:fill="auto"/>
          </w:tcPr>
          <w:p w:rsidR="00342829" w:rsidRPr="002B3B21" w:rsidRDefault="00342829" w:rsidP="002B3B21">
            <w:pPr>
              <w:pStyle w:val="TableText"/>
              <w:keepNext/>
              <w:tabs>
                <w:tab w:val="decimal" w:pos="227"/>
              </w:tabs>
              <w:spacing w:before="25" w:after="25"/>
              <w:rPr>
                <w:sz w:val="16"/>
                <w:szCs w:val="16"/>
              </w:rPr>
            </w:pPr>
            <w:r w:rsidRPr="002B3B21">
              <w:rPr>
                <w:sz w:val="16"/>
                <w:szCs w:val="16"/>
              </w:rPr>
              <w:t>1</w:t>
            </w:r>
          </w:p>
        </w:tc>
        <w:tc>
          <w:tcPr>
            <w:tcW w:w="1964" w:type="dxa"/>
            <w:tcBorders>
              <w:top w:val="single" w:sz="4" w:space="0" w:color="auto"/>
              <w:bottom w:val="single" w:sz="4" w:space="0" w:color="A6A6A6"/>
            </w:tcBorders>
            <w:shd w:val="clear" w:color="auto" w:fill="auto"/>
          </w:tcPr>
          <w:p w:rsidR="00342829" w:rsidRPr="002B3B21" w:rsidRDefault="00F23414" w:rsidP="002B3B21">
            <w:pPr>
              <w:pStyle w:val="TableText"/>
              <w:keepNext/>
              <w:spacing w:before="25" w:after="25"/>
              <w:rPr>
                <w:sz w:val="16"/>
                <w:szCs w:val="16"/>
              </w:rPr>
            </w:pPr>
            <w:r w:rsidRPr="002B3B21">
              <w:rPr>
                <w:sz w:val="16"/>
                <w:szCs w:val="16"/>
              </w:rPr>
              <w:t>CHD</w:t>
            </w:r>
          </w:p>
        </w:tc>
        <w:tc>
          <w:tcPr>
            <w:tcW w:w="871" w:type="dxa"/>
            <w:tcBorders>
              <w:top w:val="single" w:sz="4" w:space="0" w:color="auto"/>
              <w:bottom w:val="single" w:sz="4" w:space="0" w:color="A6A6A6"/>
            </w:tcBorders>
            <w:shd w:val="clear" w:color="auto" w:fill="auto"/>
          </w:tcPr>
          <w:p w:rsidR="00342829" w:rsidRPr="002B3B21" w:rsidRDefault="00476CB0" w:rsidP="002B3B21">
            <w:pPr>
              <w:pStyle w:val="TableText"/>
              <w:keepNext/>
              <w:tabs>
                <w:tab w:val="decimal" w:pos="389"/>
              </w:tabs>
              <w:spacing w:before="25" w:after="25"/>
              <w:rPr>
                <w:sz w:val="16"/>
                <w:szCs w:val="16"/>
              </w:rPr>
            </w:pPr>
            <w:r w:rsidRPr="002B3B21">
              <w:rPr>
                <w:sz w:val="16"/>
                <w:szCs w:val="16"/>
              </w:rPr>
              <w:t>14.9</w:t>
            </w:r>
          </w:p>
        </w:tc>
        <w:tc>
          <w:tcPr>
            <w:tcW w:w="2552" w:type="dxa"/>
            <w:tcBorders>
              <w:top w:val="nil"/>
              <w:bottom w:val="nil"/>
            </w:tcBorders>
            <w:shd w:val="clear" w:color="auto" w:fill="auto"/>
          </w:tcPr>
          <w:p w:rsidR="00342829" w:rsidRPr="002B3B21" w:rsidRDefault="005122BD" w:rsidP="002B3B21">
            <w:pPr>
              <w:pStyle w:val="TableText"/>
              <w:keepNext/>
              <w:spacing w:before="25" w:after="25"/>
              <w:rPr>
                <w:sz w:val="16"/>
                <w:szCs w:val="16"/>
              </w:rPr>
            </w:pPr>
            <w:r>
              <w:rPr>
                <w:noProof/>
                <w:lang w:eastAsia="en-NZ"/>
              </w:rPr>
              <mc:AlternateContent>
                <mc:Choice Requires="wps">
                  <w:drawing>
                    <wp:anchor distT="0" distB="0" distL="114300" distR="114300" simplePos="0" relativeHeight="251631104" behindDoc="0" locked="0" layoutInCell="1" allowOverlap="1">
                      <wp:simplePos x="0" y="0"/>
                      <wp:positionH relativeFrom="column">
                        <wp:posOffset>-13335</wp:posOffset>
                      </wp:positionH>
                      <wp:positionV relativeFrom="paragraph">
                        <wp:posOffset>86360</wp:posOffset>
                      </wp:positionV>
                      <wp:extent cx="1583055" cy="0"/>
                      <wp:effectExtent l="15240" t="67310" r="30480" b="66040"/>
                      <wp:wrapNone/>
                      <wp:docPr id="90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055"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9C783A" id="_x0000_t32" coordsize="21600,21600" o:spt="32" o:oned="t" path="m,l21600,21600e" filled="f">
                      <v:path arrowok="t" fillok="f" o:connecttype="none"/>
                      <o:lock v:ext="edit" shapetype="t"/>
                    </v:shapetype>
                    <v:shape id="Straight Arrow Connector 3" o:spid="_x0000_s1026" type="#_x0000_t32" style="position:absolute;margin-left:-1.05pt;margin-top:6.8pt;width:124.65pt;height: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" strokeweight="2pt">
                      <v:stroke endarrow="block"/>
                    </v:shape>
                  </w:pict>
                </mc:Fallback>
              </mc:AlternateContent>
            </w:r>
          </w:p>
        </w:tc>
        <w:tc>
          <w:tcPr>
            <w:tcW w:w="750" w:type="dxa"/>
            <w:tcBorders>
              <w:top w:val="single" w:sz="4" w:space="0" w:color="auto"/>
              <w:bottom w:val="single" w:sz="4" w:space="0" w:color="A6A6A6"/>
            </w:tcBorders>
            <w:shd w:val="clear" w:color="auto" w:fill="auto"/>
          </w:tcPr>
          <w:p w:rsidR="00342829" w:rsidRPr="002B3B21" w:rsidRDefault="00342829" w:rsidP="002B3B21">
            <w:pPr>
              <w:pStyle w:val="TableText"/>
              <w:keepNext/>
              <w:tabs>
                <w:tab w:val="decimal" w:pos="333"/>
              </w:tabs>
              <w:spacing w:before="25" w:after="25"/>
              <w:rPr>
                <w:sz w:val="16"/>
                <w:szCs w:val="16"/>
              </w:rPr>
            </w:pPr>
            <w:r w:rsidRPr="002B3B21">
              <w:rPr>
                <w:sz w:val="16"/>
                <w:szCs w:val="16"/>
              </w:rPr>
              <w:t>1</w:t>
            </w:r>
          </w:p>
        </w:tc>
        <w:tc>
          <w:tcPr>
            <w:tcW w:w="1923" w:type="dxa"/>
            <w:tcBorders>
              <w:top w:val="single" w:sz="4" w:space="0" w:color="auto"/>
              <w:bottom w:val="single" w:sz="4" w:space="0" w:color="A6A6A6"/>
            </w:tcBorders>
            <w:shd w:val="clear" w:color="auto" w:fill="auto"/>
          </w:tcPr>
          <w:p w:rsidR="00342829" w:rsidRPr="002B3B21" w:rsidRDefault="00476CB0" w:rsidP="002B3B21">
            <w:pPr>
              <w:pStyle w:val="TableText"/>
              <w:keepNext/>
              <w:spacing w:before="25" w:after="25"/>
              <w:rPr>
                <w:sz w:val="16"/>
                <w:szCs w:val="16"/>
              </w:rPr>
            </w:pPr>
            <w:r w:rsidRPr="002B3B21">
              <w:rPr>
                <w:sz w:val="16"/>
                <w:szCs w:val="16"/>
              </w:rPr>
              <w:t>CHD</w:t>
            </w:r>
          </w:p>
        </w:tc>
        <w:tc>
          <w:tcPr>
            <w:tcW w:w="587" w:type="dxa"/>
            <w:tcBorders>
              <w:top w:val="single" w:sz="4" w:space="0" w:color="auto"/>
              <w:bottom w:val="single" w:sz="4" w:space="0" w:color="A6A6A6"/>
            </w:tcBorders>
            <w:shd w:val="clear" w:color="auto" w:fill="auto"/>
          </w:tcPr>
          <w:p w:rsidR="00342829" w:rsidRPr="002B3B21" w:rsidRDefault="00476CB0" w:rsidP="002B3B21">
            <w:pPr>
              <w:pStyle w:val="TableText"/>
              <w:keepNext/>
              <w:tabs>
                <w:tab w:val="decimal" w:pos="247"/>
              </w:tabs>
              <w:spacing w:before="25" w:after="25"/>
              <w:rPr>
                <w:sz w:val="16"/>
                <w:szCs w:val="16"/>
              </w:rPr>
            </w:pPr>
            <w:r w:rsidRPr="002B3B21">
              <w:rPr>
                <w:sz w:val="16"/>
                <w:szCs w:val="16"/>
              </w:rPr>
              <w:t>10.1</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keepNext/>
              <w:tabs>
                <w:tab w:val="decimal" w:pos="227"/>
              </w:tabs>
              <w:spacing w:before="25" w:after="25"/>
              <w:rPr>
                <w:sz w:val="16"/>
                <w:szCs w:val="16"/>
              </w:rPr>
            </w:pPr>
            <w:r w:rsidRPr="002B3B21">
              <w:rPr>
                <w:sz w:val="16"/>
                <w:szCs w:val="16"/>
              </w:rPr>
              <w:t>2</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keepNext/>
              <w:spacing w:before="25" w:after="25"/>
              <w:rPr>
                <w:sz w:val="16"/>
                <w:szCs w:val="16"/>
              </w:rPr>
            </w:pPr>
            <w:r w:rsidRPr="002B3B21">
              <w:rPr>
                <w:sz w:val="16"/>
                <w:szCs w:val="16"/>
              </w:rPr>
              <w:t>Transport injury</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keepNext/>
              <w:tabs>
                <w:tab w:val="decimal" w:pos="389"/>
              </w:tabs>
              <w:spacing w:before="25" w:after="25"/>
              <w:rPr>
                <w:sz w:val="16"/>
                <w:szCs w:val="16"/>
              </w:rPr>
            </w:pPr>
            <w:r w:rsidRPr="002B3B21">
              <w:rPr>
                <w:sz w:val="16"/>
                <w:szCs w:val="16"/>
              </w:rPr>
              <w:t>7.0</w:t>
            </w:r>
          </w:p>
        </w:tc>
        <w:tc>
          <w:tcPr>
            <w:tcW w:w="2552" w:type="dxa"/>
            <w:tcBorders>
              <w:top w:val="nil"/>
              <w:bottom w:val="nil"/>
            </w:tcBorders>
            <w:shd w:val="clear" w:color="auto" w:fill="auto"/>
          </w:tcPr>
          <w:p w:rsidR="00342829" w:rsidRPr="002B3B21" w:rsidRDefault="005122BD" w:rsidP="002B3B21">
            <w:pPr>
              <w:pStyle w:val="TableText"/>
              <w:keepNext/>
              <w:spacing w:before="25" w:after="25"/>
              <w:rPr>
                <w:sz w:val="16"/>
                <w:szCs w:val="16"/>
              </w:rPr>
            </w:pPr>
            <w:r>
              <w:rPr>
                <w:noProof/>
                <w:lang w:eastAsia="en-NZ"/>
              </w:rPr>
              <mc:AlternateContent>
                <mc:Choice Requires="wps">
                  <w:drawing>
                    <wp:anchor distT="0" distB="0" distL="114300" distR="114300" simplePos="0" relativeHeight="251633152" behindDoc="0" locked="0" layoutInCell="1" allowOverlap="1">
                      <wp:simplePos x="0" y="0"/>
                      <wp:positionH relativeFrom="column">
                        <wp:posOffset>-13335</wp:posOffset>
                      </wp:positionH>
                      <wp:positionV relativeFrom="paragraph">
                        <wp:posOffset>85090</wp:posOffset>
                      </wp:positionV>
                      <wp:extent cx="1582420" cy="476250"/>
                      <wp:effectExtent l="15240" t="18415" r="40640" b="67310"/>
                      <wp:wrapNone/>
                      <wp:docPr id="90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47625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7C9A64F" id="Straight Arrow Connector 5" o:spid="_x0000_s1026" type="#_x0000_t32" style="position:absolute;margin-left:-1.05pt;margin-top:6.7pt;width:124.6pt;height:3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" strokecolor="#92d050" strokeweight="1.5pt">
                      <v:stroke endarrow="block"/>
                    </v:shape>
                  </w:pict>
                </mc:Fallback>
              </mc:AlternateContent>
            </w:r>
            <w:r>
              <w:rPr>
                <w:noProof/>
                <w:lang w:eastAsia="en-NZ"/>
              </w:rPr>
              <mc:AlternateContent>
                <mc:Choice Requires="wps">
                  <w:drawing>
                    <wp:anchor distT="0" distB="0" distL="114300" distR="114300" simplePos="0" relativeHeight="251632128" behindDoc="0" locked="0" layoutInCell="1" allowOverlap="1">
                      <wp:simplePos x="0" y="0"/>
                      <wp:positionH relativeFrom="column">
                        <wp:posOffset>-13970</wp:posOffset>
                      </wp:positionH>
                      <wp:positionV relativeFrom="paragraph">
                        <wp:posOffset>92075</wp:posOffset>
                      </wp:positionV>
                      <wp:extent cx="1582420" cy="145415"/>
                      <wp:effectExtent l="0" t="57150" r="17780" b="26035"/>
                      <wp:wrapNone/>
                      <wp:docPr id="90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145415"/>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6C2D6FFD" id="Straight Arrow Connector 4" o:spid="_x0000_s1026" type="#_x0000_t32" style="position:absolute;margin-left:-1.1pt;margin-top:7.25pt;width:124.6pt;height:11.45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" strokecolor="red" strokeweight="1.5pt">
                      <v:stroke endarrow="block"/>
                      <o:lock v:ext="edit" shapetype="f"/>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keepNext/>
              <w:tabs>
                <w:tab w:val="decimal" w:pos="333"/>
              </w:tabs>
              <w:spacing w:before="25" w:after="25"/>
              <w:rPr>
                <w:sz w:val="16"/>
                <w:szCs w:val="16"/>
              </w:rPr>
            </w:pPr>
            <w:r w:rsidRPr="002B3B21">
              <w:rPr>
                <w:sz w:val="16"/>
                <w:szCs w:val="16"/>
              </w:rPr>
              <w:t>2</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keepNext/>
              <w:spacing w:before="25" w:after="25"/>
              <w:rPr>
                <w:sz w:val="16"/>
                <w:szCs w:val="16"/>
              </w:rPr>
            </w:pPr>
            <w:r w:rsidRPr="002B3B21">
              <w:rPr>
                <w:sz w:val="16"/>
                <w:szCs w:val="16"/>
              </w:rPr>
              <w:t>Back disorders</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keepNext/>
              <w:tabs>
                <w:tab w:val="decimal" w:pos="247"/>
              </w:tabs>
              <w:spacing w:before="25" w:after="25"/>
              <w:rPr>
                <w:sz w:val="16"/>
                <w:szCs w:val="16"/>
              </w:rPr>
            </w:pPr>
            <w:r w:rsidRPr="002B3B21">
              <w:rPr>
                <w:sz w:val="16"/>
                <w:szCs w:val="16"/>
              </w:rPr>
              <w:t>8.2</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keepNext/>
              <w:tabs>
                <w:tab w:val="decimal" w:pos="227"/>
              </w:tabs>
              <w:spacing w:before="25" w:after="25"/>
              <w:rPr>
                <w:sz w:val="16"/>
                <w:szCs w:val="16"/>
              </w:rPr>
            </w:pPr>
            <w:r w:rsidRPr="002B3B21">
              <w:rPr>
                <w:sz w:val="16"/>
                <w:szCs w:val="16"/>
              </w:rPr>
              <w:t>3</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keepNext/>
              <w:spacing w:before="25" w:after="25"/>
              <w:rPr>
                <w:sz w:val="16"/>
                <w:szCs w:val="16"/>
              </w:rPr>
            </w:pPr>
            <w:r w:rsidRPr="002B3B21">
              <w:rPr>
                <w:sz w:val="16"/>
                <w:szCs w:val="16"/>
              </w:rPr>
              <w:t>Back disorders</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keepNext/>
              <w:tabs>
                <w:tab w:val="decimal" w:pos="389"/>
              </w:tabs>
              <w:spacing w:before="25" w:after="25"/>
              <w:rPr>
                <w:sz w:val="16"/>
                <w:szCs w:val="16"/>
              </w:rPr>
            </w:pPr>
            <w:r w:rsidRPr="002B3B21">
              <w:rPr>
                <w:sz w:val="16"/>
                <w:szCs w:val="16"/>
              </w:rPr>
              <w:t>6.6</w:t>
            </w:r>
          </w:p>
        </w:tc>
        <w:tc>
          <w:tcPr>
            <w:tcW w:w="2552" w:type="dxa"/>
            <w:tcBorders>
              <w:top w:val="nil"/>
              <w:bottom w:val="nil"/>
            </w:tcBorders>
            <w:shd w:val="clear" w:color="auto" w:fill="auto"/>
          </w:tcPr>
          <w:p w:rsidR="00342829" w:rsidRPr="002B3B21" w:rsidRDefault="005122BD" w:rsidP="002B3B21">
            <w:pPr>
              <w:pStyle w:val="TableText"/>
              <w:keepNext/>
              <w:spacing w:before="25" w:after="25"/>
              <w:rPr>
                <w:sz w:val="16"/>
                <w:szCs w:val="16"/>
              </w:rPr>
            </w:pPr>
            <w:r>
              <w:rPr>
                <w:noProof/>
                <w:lang w:eastAsia="en-NZ"/>
              </w:rPr>
              <mc:AlternateContent>
                <mc:Choice Requires="wps">
                  <w:drawing>
                    <wp:anchor distT="0" distB="0" distL="114300" distR="114300" simplePos="0" relativeHeight="251635200" behindDoc="0" locked="0" layoutInCell="1" allowOverlap="1">
                      <wp:simplePos x="0" y="0"/>
                      <wp:positionH relativeFrom="column">
                        <wp:posOffset>-13970</wp:posOffset>
                      </wp:positionH>
                      <wp:positionV relativeFrom="paragraph">
                        <wp:posOffset>74930</wp:posOffset>
                      </wp:positionV>
                      <wp:extent cx="1582420" cy="330835"/>
                      <wp:effectExtent l="0" t="57150" r="0" b="31115"/>
                      <wp:wrapNone/>
                      <wp:docPr id="89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330835"/>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6EF6F956" id="Straight Arrow Connector 7" o:spid="_x0000_s1026" type="#_x0000_t32" style="position:absolute;margin-left:-1.1pt;margin-top:5.9pt;width:124.6pt;height:26.05pt;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" strokecolor="red" strokeweight="1.5pt">
                      <v:stroke endarrow="block"/>
                      <o:lock v:ext="edit" shapetype="f"/>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keepNext/>
              <w:tabs>
                <w:tab w:val="decimal" w:pos="333"/>
              </w:tabs>
              <w:spacing w:before="25" w:after="25"/>
              <w:rPr>
                <w:sz w:val="16"/>
                <w:szCs w:val="16"/>
              </w:rPr>
            </w:pPr>
            <w:r w:rsidRPr="002B3B21">
              <w:rPr>
                <w:sz w:val="16"/>
                <w:szCs w:val="16"/>
              </w:rPr>
              <w:t>3</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keepNext/>
              <w:spacing w:before="25" w:after="25"/>
              <w:rPr>
                <w:sz w:val="16"/>
                <w:szCs w:val="16"/>
              </w:rPr>
            </w:pPr>
            <w:r w:rsidRPr="002B3B21">
              <w:rPr>
                <w:sz w:val="16"/>
                <w:szCs w:val="16"/>
              </w:rPr>
              <w:t>COPD</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keepNext/>
              <w:tabs>
                <w:tab w:val="decimal" w:pos="247"/>
              </w:tabs>
              <w:spacing w:before="25" w:after="25"/>
              <w:rPr>
                <w:sz w:val="16"/>
                <w:szCs w:val="16"/>
              </w:rPr>
            </w:pPr>
            <w:r w:rsidRPr="002B3B21">
              <w:rPr>
                <w:sz w:val="16"/>
                <w:szCs w:val="16"/>
              </w:rPr>
              <w:t>3.7</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4</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spacing w:before="25" w:after="25"/>
              <w:rPr>
                <w:sz w:val="16"/>
                <w:szCs w:val="16"/>
              </w:rPr>
            </w:pPr>
            <w:r w:rsidRPr="002B3B21">
              <w:rPr>
                <w:sz w:val="16"/>
                <w:szCs w:val="16"/>
              </w:rPr>
              <w:t>Lung cancer</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3.7</w:t>
            </w:r>
          </w:p>
        </w:tc>
        <w:tc>
          <w:tcPr>
            <w:tcW w:w="2552" w:type="dxa"/>
            <w:tcBorders>
              <w:top w:val="nil"/>
              <w:bottom w:val="nil"/>
            </w:tcBorders>
            <w:shd w:val="clear" w:color="auto" w:fill="auto"/>
          </w:tcPr>
          <w:p w:rsidR="00342829"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34176" behindDoc="0" locked="0" layoutInCell="1" allowOverlap="1">
                      <wp:simplePos x="0" y="0"/>
                      <wp:positionH relativeFrom="column">
                        <wp:posOffset>-15240</wp:posOffset>
                      </wp:positionH>
                      <wp:positionV relativeFrom="paragraph">
                        <wp:posOffset>64770</wp:posOffset>
                      </wp:positionV>
                      <wp:extent cx="1582420" cy="0"/>
                      <wp:effectExtent l="13335" t="64770" r="23495" b="68580"/>
                      <wp:wrapNone/>
                      <wp:docPr id="89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A666F" id="Straight Arrow Connector 6" o:spid="_x0000_s1026" type="#_x0000_t32" style="position:absolute;margin-left:-1.2pt;margin-top:5.1pt;width:124.6pt;height: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" strokeweight="2pt">
                      <v:stroke endarrow="block"/>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4</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Lung cancer</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3.4</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5</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spacing w:before="25" w:after="25"/>
              <w:rPr>
                <w:sz w:val="16"/>
                <w:szCs w:val="16"/>
              </w:rPr>
            </w:pPr>
            <w:r w:rsidRPr="002B3B21">
              <w:rPr>
                <w:sz w:val="16"/>
                <w:szCs w:val="16"/>
              </w:rPr>
              <w:t>COPD</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3.6</w:t>
            </w:r>
          </w:p>
        </w:tc>
        <w:tc>
          <w:tcPr>
            <w:tcW w:w="2552" w:type="dxa"/>
            <w:tcBorders>
              <w:top w:val="nil"/>
              <w:bottom w:val="nil"/>
            </w:tcBorders>
            <w:shd w:val="clear" w:color="auto" w:fill="auto"/>
          </w:tcPr>
          <w:p w:rsidR="00342829" w:rsidRPr="002B3B21" w:rsidRDefault="00342829" w:rsidP="002B3B21">
            <w:pPr>
              <w:pStyle w:val="TableText"/>
              <w:spacing w:before="25" w:after="25"/>
              <w:rPr>
                <w:sz w:val="16"/>
                <w:szCs w:val="16"/>
              </w:rPr>
            </w:pP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5</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Transport injury</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3.4</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6</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spacing w:before="25" w:after="25"/>
              <w:rPr>
                <w:sz w:val="16"/>
                <w:szCs w:val="16"/>
              </w:rPr>
            </w:pPr>
            <w:proofErr w:type="spellStart"/>
            <w:r w:rsidRPr="002B3B21">
              <w:rPr>
                <w:sz w:val="16"/>
                <w:szCs w:val="16"/>
              </w:rPr>
              <w:t>Self harm</w:t>
            </w:r>
            <w:proofErr w:type="spellEnd"/>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3.5</w:t>
            </w:r>
          </w:p>
        </w:tc>
        <w:tc>
          <w:tcPr>
            <w:tcW w:w="2552" w:type="dxa"/>
            <w:tcBorders>
              <w:top w:val="nil"/>
              <w:bottom w:val="nil"/>
            </w:tcBorders>
            <w:shd w:val="clear" w:color="auto" w:fill="auto"/>
          </w:tcPr>
          <w:p w:rsidR="00342829"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36224" behindDoc="0" locked="0" layoutInCell="1" allowOverlap="1">
                      <wp:simplePos x="0" y="0"/>
                      <wp:positionH relativeFrom="column">
                        <wp:posOffset>-15240</wp:posOffset>
                      </wp:positionH>
                      <wp:positionV relativeFrom="paragraph">
                        <wp:posOffset>78105</wp:posOffset>
                      </wp:positionV>
                      <wp:extent cx="1582420" cy="0"/>
                      <wp:effectExtent l="13335" t="68580" r="23495" b="64770"/>
                      <wp:wrapNone/>
                      <wp:docPr id="89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0"/>
                              </a:xfrm>
                              <a:prstGeom prst="straightConnector1">
                                <a:avLst/>
                              </a:prstGeom>
                              <a:noFill/>
                              <a:ln w="254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E3779" id="Straight Arrow Connector 8" o:spid="_x0000_s1026" type="#_x0000_t32" style="position:absolute;margin-left:-1.2pt;margin-top:6.15pt;width:124.6pt;height: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" strokeweight="2pt">
                      <v:stroke endarrow="block"/>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6</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proofErr w:type="spellStart"/>
            <w:r w:rsidRPr="002B3B21">
              <w:rPr>
                <w:sz w:val="16"/>
                <w:szCs w:val="16"/>
              </w:rPr>
              <w:t>Self harm</w:t>
            </w:r>
            <w:proofErr w:type="spellEnd"/>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3.2</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7</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spacing w:before="25" w:after="25"/>
              <w:rPr>
                <w:sz w:val="16"/>
                <w:szCs w:val="16"/>
              </w:rPr>
            </w:pPr>
            <w:r w:rsidRPr="002B3B21">
              <w:rPr>
                <w:sz w:val="16"/>
                <w:szCs w:val="16"/>
              </w:rPr>
              <w:t>Stroke</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3.5</w:t>
            </w:r>
          </w:p>
        </w:tc>
        <w:tc>
          <w:tcPr>
            <w:tcW w:w="2552" w:type="dxa"/>
            <w:tcBorders>
              <w:top w:val="nil"/>
              <w:bottom w:val="nil"/>
            </w:tcBorders>
            <w:shd w:val="clear" w:color="auto" w:fill="auto"/>
          </w:tcPr>
          <w:p w:rsidR="00342829"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46464" behindDoc="0" locked="0" layoutInCell="1" allowOverlap="1">
                      <wp:simplePos x="0" y="0"/>
                      <wp:positionH relativeFrom="column">
                        <wp:posOffset>-13970</wp:posOffset>
                      </wp:positionH>
                      <wp:positionV relativeFrom="paragraph">
                        <wp:posOffset>78105</wp:posOffset>
                      </wp:positionV>
                      <wp:extent cx="1582420" cy="1390650"/>
                      <wp:effectExtent l="0" t="38100" r="55880" b="19050"/>
                      <wp:wrapNone/>
                      <wp:docPr id="896"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139065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00D477CA" id="Straight Arrow Connector 23" o:spid="_x0000_s1026" type="#_x0000_t32" style="position:absolute;margin-left:-1.1pt;margin-top:6.15pt;width:124.6pt;height:109.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" strokecolor="red" strokeweight="1.5pt">
                      <v:stroke endarrow="block"/>
                      <o:lock v:ext="edit" shapetype="f"/>
                    </v:shape>
                  </w:pict>
                </mc:Fallback>
              </mc:AlternateContent>
            </w:r>
            <w:r>
              <w:rPr>
                <w:noProof/>
                <w:lang w:eastAsia="en-NZ"/>
              </w:rPr>
              <mc:AlternateContent>
                <mc:Choice Requires="wps">
                  <w:drawing>
                    <wp:anchor distT="0" distB="0" distL="114300" distR="114300" simplePos="0" relativeHeight="251637248" behindDoc="0" locked="0" layoutInCell="1" allowOverlap="1">
                      <wp:simplePos x="0" y="0"/>
                      <wp:positionH relativeFrom="column">
                        <wp:posOffset>-13335</wp:posOffset>
                      </wp:positionH>
                      <wp:positionV relativeFrom="paragraph">
                        <wp:posOffset>78740</wp:posOffset>
                      </wp:positionV>
                      <wp:extent cx="1582420" cy="153670"/>
                      <wp:effectExtent l="15240" t="12065" r="31115" b="62865"/>
                      <wp:wrapNone/>
                      <wp:docPr id="30"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15367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F2FE7FE" id="Straight Arrow Connector 9" o:spid="_x0000_s1026" type="#_x0000_t32" style="position:absolute;margin-left:-1.05pt;margin-top:6.2pt;width:124.6pt;height:12.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7</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Diabetes</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2.9</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8</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spacing w:before="25" w:after="25"/>
              <w:rPr>
                <w:sz w:val="16"/>
                <w:szCs w:val="16"/>
              </w:rPr>
            </w:pPr>
            <w:r w:rsidRPr="002B3B21">
              <w:rPr>
                <w:sz w:val="16"/>
                <w:szCs w:val="16"/>
              </w:rPr>
              <w:t>Addictive disorders</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2.4</w:t>
            </w:r>
          </w:p>
        </w:tc>
        <w:tc>
          <w:tcPr>
            <w:tcW w:w="2552" w:type="dxa"/>
            <w:tcBorders>
              <w:top w:val="nil"/>
              <w:bottom w:val="nil"/>
            </w:tcBorders>
            <w:shd w:val="clear" w:color="auto" w:fill="auto"/>
          </w:tcPr>
          <w:p w:rsidR="00342829"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38272" behindDoc="0" locked="0" layoutInCell="1" allowOverlap="1">
                      <wp:simplePos x="0" y="0"/>
                      <wp:positionH relativeFrom="column">
                        <wp:posOffset>-15240</wp:posOffset>
                      </wp:positionH>
                      <wp:positionV relativeFrom="paragraph">
                        <wp:posOffset>75565</wp:posOffset>
                      </wp:positionV>
                      <wp:extent cx="1582420" cy="153670"/>
                      <wp:effectExtent l="13335" t="18415" r="33020" b="66040"/>
                      <wp:wrapNone/>
                      <wp:docPr id="2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15367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6BD5F3D" id="Straight Arrow Connector 12" o:spid="_x0000_s1026" type="#_x0000_t32" style="position:absolute;margin-left:-1.2pt;margin-top:5.95pt;width:124.6pt;height:1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8</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Stroke</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2.7</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9</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spacing w:before="25" w:after="25"/>
              <w:rPr>
                <w:sz w:val="16"/>
                <w:szCs w:val="16"/>
              </w:rPr>
            </w:pPr>
            <w:r w:rsidRPr="002B3B21">
              <w:rPr>
                <w:sz w:val="16"/>
                <w:szCs w:val="16"/>
              </w:rPr>
              <w:t>Bowel cancer</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2.3</w:t>
            </w:r>
          </w:p>
        </w:tc>
        <w:tc>
          <w:tcPr>
            <w:tcW w:w="2552" w:type="dxa"/>
            <w:tcBorders>
              <w:top w:val="nil"/>
              <w:bottom w:val="nil"/>
            </w:tcBorders>
            <w:shd w:val="clear" w:color="auto" w:fill="auto"/>
          </w:tcPr>
          <w:p w:rsidR="00342829"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39296" behindDoc="0" locked="0" layoutInCell="1" allowOverlap="1">
                      <wp:simplePos x="0" y="0"/>
                      <wp:positionH relativeFrom="column">
                        <wp:posOffset>-15240</wp:posOffset>
                      </wp:positionH>
                      <wp:positionV relativeFrom="paragraph">
                        <wp:posOffset>74295</wp:posOffset>
                      </wp:positionV>
                      <wp:extent cx="1582420" cy="153670"/>
                      <wp:effectExtent l="13335" t="17145" r="33020" b="67310"/>
                      <wp:wrapNone/>
                      <wp:docPr id="24"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15367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EC15AE5" id="Straight Arrow Connector 13" o:spid="_x0000_s1026" type="#_x0000_t32" style="position:absolute;margin-left:-1.2pt;margin-top:5.85pt;width:124.6pt;height:1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9</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Addictive disorders</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2.7</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10</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spacing w:before="25" w:after="25"/>
              <w:rPr>
                <w:sz w:val="16"/>
                <w:szCs w:val="16"/>
              </w:rPr>
            </w:pPr>
            <w:r w:rsidRPr="002B3B21">
              <w:rPr>
                <w:sz w:val="16"/>
                <w:szCs w:val="16"/>
              </w:rPr>
              <w:t>Asthma</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2.3</w:t>
            </w:r>
          </w:p>
        </w:tc>
        <w:tc>
          <w:tcPr>
            <w:tcW w:w="2552" w:type="dxa"/>
            <w:tcBorders>
              <w:top w:val="nil"/>
              <w:bottom w:val="nil"/>
            </w:tcBorders>
            <w:shd w:val="clear" w:color="auto" w:fill="auto"/>
          </w:tcPr>
          <w:p w:rsidR="00342829"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40320" behindDoc="0" locked="0" layoutInCell="1" allowOverlap="1">
                      <wp:simplePos x="0" y="0"/>
                      <wp:positionH relativeFrom="column">
                        <wp:posOffset>-13335</wp:posOffset>
                      </wp:positionH>
                      <wp:positionV relativeFrom="paragraph">
                        <wp:posOffset>90170</wp:posOffset>
                      </wp:positionV>
                      <wp:extent cx="1582420" cy="614680"/>
                      <wp:effectExtent l="15240" t="13970" r="40640" b="66675"/>
                      <wp:wrapNone/>
                      <wp:docPr id="2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61468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B4CCF4B" id="Straight Arrow Connector 14" o:spid="_x0000_s1026" type="#_x0000_t32" style="position:absolute;margin-left:-1.05pt;margin-top:7.1pt;width:124.6pt;height:48.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10</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Bowel cancer</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2.6</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11</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spacing w:before="25" w:after="25"/>
              <w:rPr>
                <w:sz w:val="16"/>
                <w:szCs w:val="16"/>
              </w:rPr>
            </w:pPr>
            <w:r w:rsidRPr="002B3B21">
              <w:rPr>
                <w:sz w:val="16"/>
                <w:szCs w:val="16"/>
              </w:rPr>
              <w:t>Birth defects</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2.3</w:t>
            </w:r>
          </w:p>
        </w:tc>
        <w:tc>
          <w:tcPr>
            <w:tcW w:w="2552" w:type="dxa"/>
            <w:tcBorders>
              <w:top w:val="nil"/>
              <w:bottom w:val="nil"/>
            </w:tcBorders>
            <w:shd w:val="clear" w:color="auto" w:fill="auto"/>
          </w:tcPr>
          <w:p w:rsidR="00342829"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42368" behindDoc="0" locked="0" layoutInCell="1" allowOverlap="1">
                      <wp:simplePos x="0" y="0"/>
                      <wp:positionH relativeFrom="column">
                        <wp:posOffset>-13970</wp:posOffset>
                      </wp:positionH>
                      <wp:positionV relativeFrom="paragraph">
                        <wp:posOffset>73025</wp:posOffset>
                      </wp:positionV>
                      <wp:extent cx="1582420" cy="176530"/>
                      <wp:effectExtent l="0" t="57150" r="17780" b="33020"/>
                      <wp:wrapNone/>
                      <wp:docPr id="22"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17653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788CF6D5" id="Straight Arrow Connector 18" o:spid="_x0000_s1026" type="#_x0000_t32" style="position:absolute;margin-left:-1.1pt;margin-top:5.75pt;width:124.6pt;height:13.9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" strokecolor="red" strokeweight="1.5pt">
                      <v:stroke endarrow="block"/>
                      <o:lock v:ext="edit" shapetype="f"/>
                    </v:shape>
                  </w:pict>
                </mc:Fallback>
              </mc:AlternateContent>
            </w:r>
            <w:r>
              <w:rPr>
                <w:noProof/>
                <w:lang w:eastAsia="en-NZ"/>
              </w:rPr>
              <mc:AlternateContent>
                <mc:Choice Requires="wps">
                  <w:drawing>
                    <wp:anchor distT="0" distB="0" distL="114300" distR="114300" simplePos="0" relativeHeight="251641344" behindDoc="0" locked="0" layoutInCell="1" allowOverlap="1">
                      <wp:simplePos x="0" y="0"/>
                      <wp:positionH relativeFrom="column">
                        <wp:posOffset>-13335</wp:posOffset>
                      </wp:positionH>
                      <wp:positionV relativeFrom="paragraph">
                        <wp:posOffset>73660</wp:posOffset>
                      </wp:positionV>
                      <wp:extent cx="1582420" cy="1283335"/>
                      <wp:effectExtent l="15240" t="16510" r="50165" b="52705"/>
                      <wp:wrapNone/>
                      <wp:docPr id="21"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1283335"/>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DEC8A7D" id="Straight Arrow Connector 15" o:spid="_x0000_s1026" type="#_x0000_t32" style="position:absolute;margin-left:-1.05pt;margin-top:5.8pt;width:124.6pt;height:10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11</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Depressive disorders</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2.6</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12</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spacing w:before="25" w:after="25"/>
              <w:rPr>
                <w:sz w:val="16"/>
                <w:szCs w:val="16"/>
              </w:rPr>
            </w:pPr>
            <w:r w:rsidRPr="002B3B21">
              <w:rPr>
                <w:sz w:val="16"/>
                <w:szCs w:val="16"/>
              </w:rPr>
              <w:t>Depressive disorders</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2.1</w:t>
            </w:r>
          </w:p>
        </w:tc>
        <w:tc>
          <w:tcPr>
            <w:tcW w:w="2552" w:type="dxa"/>
            <w:tcBorders>
              <w:top w:val="nil"/>
              <w:bottom w:val="nil"/>
            </w:tcBorders>
            <w:shd w:val="clear" w:color="auto" w:fill="auto"/>
          </w:tcPr>
          <w:p w:rsidR="00342829"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43392" behindDoc="0" locked="0" layoutInCell="1" allowOverlap="1">
                      <wp:simplePos x="0" y="0"/>
                      <wp:positionH relativeFrom="column">
                        <wp:posOffset>-15875</wp:posOffset>
                      </wp:positionH>
                      <wp:positionV relativeFrom="paragraph">
                        <wp:posOffset>70485</wp:posOffset>
                      </wp:positionV>
                      <wp:extent cx="1582420" cy="176530"/>
                      <wp:effectExtent l="0" t="57150" r="17780" b="3302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17653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715FE747" id="Straight Arrow Connector 20" o:spid="_x0000_s1026" type="#_x0000_t32" style="position:absolute;margin-left:-1.25pt;margin-top:5.55pt;width:124.6pt;height:13.9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" strokecolor="red" strokeweight="1.5pt">
                      <v:stroke endarrow="block"/>
                      <o:lock v:ext="edit" shapetype="f"/>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12</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Skin diseases</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2.5</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13</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spacing w:before="25" w:after="25"/>
              <w:rPr>
                <w:sz w:val="16"/>
                <w:szCs w:val="16"/>
              </w:rPr>
            </w:pPr>
            <w:r w:rsidRPr="002B3B21">
              <w:rPr>
                <w:sz w:val="16"/>
                <w:szCs w:val="16"/>
              </w:rPr>
              <w:t>Skin diseases</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1.9</w:t>
            </w:r>
          </w:p>
        </w:tc>
        <w:tc>
          <w:tcPr>
            <w:tcW w:w="2552" w:type="dxa"/>
            <w:tcBorders>
              <w:top w:val="nil"/>
              <w:bottom w:val="nil"/>
            </w:tcBorders>
            <w:shd w:val="clear" w:color="auto" w:fill="auto"/>
          </w:tcPr>
          <w:p w:rsidR="00342829"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52608" behindDoc="0" locked="0" layoutInCell="1" allowOverlap="1">
                      <wp:simplePos x="0" y="0"/>
                      <wp:positionH relativeFrom="column">
                        <wp:posOffset>-13970</wp:posOffset>
                      </wp:positionH>
                      <wp:positionV relativeFrom="paragraph">
                        <wp:posOffset>85725</wp:posOffset>
                      </wp:positionV>
                      <wp:extent cx="1582420" cy="1405890"/>
                      <wp:effectExtent l="0" t="38100" r="55880" b="2286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140589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508FA4AD" id="Straight Arrow Connector 29" o:spid="_x0000_s1026" type="#_x0000_t32" style="position:absolute;margin-left:-1.1pt;margin-top:6.75pt;width:124.6pt;height:110.7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" strokecolor="red" strokeweight="1.5pt">
                      <v:stroke endarrow="block"/>
                      <o:lock v:ext="edit" shapetype="f"/>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13</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Dementia</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2.4</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14</w:t>
            </w:r>
          </w:p>
        </w:tc>
        <w:tc>
          <w:tcPr>
            <w:tcW w:w="1964" w:type="dxa"/>
            <w:tcBorders>
              <w:top w:val="single" w:sz="4" w:space="0" w:color="A6A6A6"/>
              <w:bottom w:val="single" w:sz="4" w:space="0" w:color="A6A6A6"/>
            </w:tcBorders>
            <w:shd w:val="clear" w:color="auto" w:fill="auto"/>
          </w:tcPr>
          <w:p w:rsidR="00342829" w:rsidRPr="002B3B21" w:rsidRDefault="00F23414" w:rsidP="002B3B21">
            <w:pPr>
              <w:pStyle w:val="TableText"/>
              <w:spacing w:before="25" w:after="25"/>
              <w:rPr>
                <w:sz w:val="16"/>
                <w:szCs w:val="16"/>
              </w:rPr>
            </w:pPr>
            <w:r w:rsidRPr="002B3B21">
              <w:rPr>
                <w:sz w:val="16"/>
                <w:szCs w:val="16"/>
              </w:rPr>
              <w:t>Neonatal disorders</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1.9</w:t>
            </w:r>
          </w:p>
        </w:tc>
        <w:tc>
          <w:tcPr>
            <w:tcW w:w="2552" w:type="dxa"/>
            <w:tcBorders>
              <w:top w:val="nil"/>
              <w:bottom w:val="nil"/>
            </w:tcBorders>
            <w:shd w:val="clear" w:color="auto" w:fill="auto"/>
          </w:tcPr>
          <w:p w:rsidR="00342829"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44416" behindDoc="0" locked="0" layoutInCell="1" allowOverlap="1">
                      <wp:simplePos x="0" y="0"/>
                      <wp:positionH relativeFrom="column">
                        <wp:posOffset>-13335</wp:posOffset>
                      </wp:positionH>
                      <wp:positionV relativeFrom="paragraph">
                        <wp:posOffset>85090</wp:posOffset>
                      </wp:positionV>
                      <wp:extent cx="1582420" cy="1252220"/>
                      <wp:effectExtent l="15240" t="18415" r="50165" b="53340"/>
                      <wp:wrapNone/>
                      <wp:docPr id="19"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125222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149D270" id="Straight Arrow Connector 21" o:spid="_x0000_s1026" type="#_x0000_t32" style="position:absolute;margin-left:-1.05pt;margin-top:6.7pt;width:124.6pt;height:98.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14</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Asthma</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2.2</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15</w:t>
            </w:r>
          </w:p>
        </w:tc>
        <w:tc>
          <w:tcPr>
            <w:tcW w:w="1964"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Falls</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1.6</w:t>
            </w:r>
          </w:p>
        </w:tc>
        <w:tc>
          <w:tcPr>
            <w:tcW w:w="2552" w:type="dxa"/>
            <w:tcBorders>
              <w:top w:val="nil"/>
              <w:bottom w:val="nil"/>
            </w:tcBorders>
            <w:shd w:val="clear" w:color="auto" w:fill="auto"/>
          </w:tcPr>
          <w:p w:rsidR="00342829"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49536" behindDoc="0" locked="0" layoutInCell="1" allowOverlap="1">
                      <wp:simplePos x="0" y="0"/>
                      <wp:positionH relativeFrom="column">
                        <wp:posOffset>-13970</wp:posOffset>
                      </wp:positionH>
                      <wp:positionV relativeFrom="paragraph">
                        <wp:posOffset>83820</wp:posOffset>
                      </wp:positionV>
                      <wp:extent cx="1582420" cy="598805"/>
                      <wp:effectExtent l="0" t="38100" r="55880" b="2984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598805"/>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22610D40" id="Straight Arrow Connector 26" o:spid="_x0000_s1026" type="#_x0000_t32" style="position:absolute;margin-left:-1.1pt;margin-top:6.6pt;width:124.6pt;height:47.1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" strokecolor="red" strokeweight="1.5pt">
                      <v:stroke endarrow="block"/>
                      <o:lock v:ext="edit" shapetype="f"/>
                    </v:shape>
                  </w:pict>
                </mc:Fallback>
              </mc:AlternateContent>
            </w:r>
            <w:r>
              <w:rPr>
                <w:noProof/>
                <w:lang w:eastAsia="en-NZ"/>
              </w:rPr>
              <mc:AlternateContent>
                <mc:Choice Requires="wps">
                  <w:drawing>
                    <wp:anchor distT="0" distB="0" distL="114300" distR="114300" simplePos="0" relativeHeight="251645440" behindDoc="0" locked="0" layoutInCell="1" allowOverlap="1">
                      <wp:simplePos x="0" y="0"/>
                      <wp:positionH relativeFrom="column">
                        <wp:posOffset>-13335</wp:posOffset>
                      </wp:positionH>
                      <wp:positionV relativeFrom="paragraph">
                        <wp:posOffset>83820</wp:posOffset>
                      </wp:positionV>
                      <wp:extent cx="1582420" cy="468630"/>
                      <wp:effectExtent l="15240" t="17145" r="40640" b="66675"/>
                      <wp:wrapNone/>
                      <wp:docPr id="1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46863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E695E89" id="Straight Arrow Connector 22" o:spid="_x0000_s1026" type="#_x0000_t32" style="position:absolute;margin-left:-1.05pt;margin-top:6.6pt;width:124.6pt;height:3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15</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Prostate cancer</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2.1</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227"/>
              </w:tabs>
              <w:spacing w:before="25" w:after="25"/>
              <w:rPr>
                <w:sz w:val="16"/>
                <w:szCs w:val="16"/>
              </w:rPr>
            </w:pPr>
            <w:r w:rsidRPr="002B3B21">
              <w:rPr>
                <w:sz w:val="16"/>
                <w:szCs w:val="16"/>
              </w:rPr>
              <w:t>16</w:t>
            </w:r>
          </w:p>
        </w:tc>
        <w:tc>
          <w:tcPr>
            <w:tcW w:w="1964"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Diabetes</w:t>
            </w:r>
          </w:p>
        </w:tc>
        <w:tc>
          <w:tcPr>
            <w:tcW w:w="871"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389"/>
              </w:tabs>
              <w:spacing w:before="25" w:after="25"/>
              <w:rPr>
                <w:sz w:val="16"/>
                <w:szCs w:val="16"/>
              </w:rPr>
            </w:pPr>
            <w:r w:rsidRPr="002B3B21">
              <w:rPr>
                <w:sz w:val="16"/>
                <w:szCs w:val="16"/>
              </w:rPr>
              <w:t>1.5</w:t>
            </w:r>
          </w:p>
        </w:tc>
        <w:tc>
          <w:tcPr>
            <w:tcW w:w="2552" w:type="dxa"/>
            <w:tcBorders>
              <w:top w:val="nil"/>
              <w:bottom w:val="nil"/>
            </w:tcBorders>
            <w:shd w:val="clear" w:color="auto" w:fill="auto"/>
          </w:tcPr>
          <w:p w:rsidR="00342829"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50560" behindDoc="0" locked="0" layoutInCell="1" allowOverlap="1">
                      <wp:simplePos x="0" y="0"/>
                      <wp:positionH relativeFrom="column">
                        <wp:posOffset>-13970</wp:posOffset>
                      </wp:positionH>
                      <wp:positionV relativeFrom="paragraph">
                        <wp:posOffset>74295</wp:posOffset>
                      </wp:positionV>
                      <wp:extent cx="1582420" cy="614680"/>
                      <wp:effectExtent l="0" t="38100" r="55880" b="330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61468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341D5092" id="Straight Arrow Connector 27" o:spid="_x0000_s1026" type="#_x0000_t32" style="position:absolute;margin-left:-1.1pt;margin-top:5.85pt;width:124.6pt;height:48.4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" strokecolor="red" strokeweight="1.5pt">
                      <v:stroke endarrow="block"/>
                      <o:lock v:ext="edit" shapetype="f"/>
                    </v:shape>
                  </w:pict>
                </mc:Fallback>
              </mc:AlternateContent>
            </w:r>
          </w:p>
        </w:tc>
        <w:tc>
          <w:tcPr>
            <w:tcW w:w="750" w:type="dxa"/>
            <w:tcBorders>
              <w:top w:val="single" w:sz="4" w:space="0" w:color="A6A6A6"/>
              <w:bottom w:val="single" w:sz="4" w:space="0" w:color="A6A6A6"/>
            </w:tcBorders>
            <w:shd w:val="clear" w:color="auto" w:fill="auto"/>
          </w:tcPr>
          <w:p w:rsidR="00342829" w:rsidRPr="002B3B21" w:rsidRDefault="00342829" w:rsidP="002B3B21">
            <w:pPr>
              <w:pStyle w:val="TableText"/>
              <w:tabs>
                <w:tab w:val="decimal" w:pos="333"/>
              </w:tabs>
              <w:spacing w:before="25" w:after="25"/>
              <w:rPr>
                <w:sz w:val="16"/>
                <w:szCs w:val="16"/>
              </w:rPr>
            </w:pPr>
            <w:r w:rsidRPr="002B3B21">
              <w:rPr>
                <w:sz w:val="16"/>
                <w:szCs w:val="16"/>
              </w:rPr>
              <w:t>16</w:t>
            </w:r>
          </w:p>
        </w:tc>
        <w:tc>
          <w:tcPr>
            <w:tcW w:w="1923" w:type="dxa"/>
            <w:tcBorders>
              <w:top w:val="single" w:sz="4" w:space="0" w:color="A6A6A6"/>
              <w:bottom w:val="single" w:sz="4" w:space="0" w:color="A6A6A6"/>
            </w:tcBorders>
            <w:shd w:val="clear" w:color="auto" w:fill="auto"/>
          </w:tcPr>
          <w:p w:rsidR="00342829" w:rsidRPr="002B3B21" w:rsidRDefault="00476CB0" w:rsidP="002B3B21">
            <w:pPr>
              <w:pStyle w:val="TableText"/>
              <w:spacing w:before="25" w:after="25"/>
              <w:rPr>
                <w:sz w:val="16"/>
                <w:szCs w:val="16"/>
              </w:rPr>
            </w:pPr>
            <w:r w:rsidRPr="002B3B21">
              <w:rPr>
                <w:sz w:val="16"/>
                <w:szCs w:val="16"/>
              </w:rPr>
              <w:t>CKD</w:t>
            </w:r>
          </w:p>
        </w:tc>
        <w:tc>
          <w:tcPr>
            <w:tcW w:w="587" w:type="dxa"/>
            <w:tcBorders>
              <w:top w:val="single" w:sz="4" w:space="0" w:color="A6A6A6"/>
              <w:bottom w:val="single" w:sz="4" w:space="0" w:color="A6A6A6"/>
            </w:tcBorders>
            <w:shd w:val="clear" w:color="auto" w:fill="auto"/>
          </w:tcPr>
          <w:p w:rsidR="00342829" w:rsidRPr="002B3B21" w:rsidRDefault="00476CB0" w:rsidP="002B3B21">
            <w:pPr>
              <w:pStyle w:val="TableText"/>
              <w:tabs>
                <w:tab w:val="decimal" w:pos="247"/>
              </w:tabs>
              <w:spacing w:before="25" w:after="25"/>
              <w:rPr>
                <w:sz w:val="16"/>
                <w:szCs w:val="16"/>
              </w:rPr>
            </w:pPr>
            <w:r w:rsidRPr="002B3B21">
              <w:rPr>
                <w:sz w:val="16"/>
                <w:szCs w:val="16"/>
              </w:rPr>
              <w:t>2.1</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227"/>
              </w:tabs>
              <w:spacing w:before="25" w:after="25"/>
              <w:rPr>
                <w:sz w:val="16"/>
                <w:szCs w:val="16"/>
              </w:rPr>
            </w:pPr>
            <w:r w:rsidRPr="002B3B21">
              <w:rPr>
                <w:sz w:val="16"/>
                <w:szCs w:val="16"/>
              </w:rPr>
              <w:t>17</w:t>
            </w:r>
          </w:p>
        </w:tc>
        <w:tc>
          <w:tcPr>
            <w:tcW w:w="1964" w:type="dxa"/>
            <w:tcBorders>
              <w:top w:val="single" w:sz="4" w:space="0" w:color="A6A6A6"/>
              <w:bottom w:val="single" w:sz="4" w:space="0" w:color="A6A6A6"/>
            </w:tcBorders>
            <w:shd w:val="clear" w:color="auto" w:fill="auto"/>
          </w:tcPr>
          <w:p w:rsidR="00476CB0" w:rsidRPr="002B3B21" w:rsidRDefault="00476CB0" w:rsidP="002B3B21">
            <w:pPr>
              <w:pStyle w:val="TableText"/>
              <w:spacing w:before="25" w:after="25"/>
              <w:rPr>
                <w:sz w:val="16"/>
                <w:szCs w:val="16"/>
              </w:rPr>
            </w:pPr>
            <w:r w:rsidRPr="002B3B21">
              <w:rPr>
                <w:sz w:val="16"/>
                <w:szCs w:val="16"/>
              </w:rPr>
              <w:t>Psychotic disorders</w:t>
            </w:r>
          </w:p>
        </w:tc>
        <w:tc>
          <w:tcPr>
            <w:tcW w:w="871"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389"/>
              </w:tabs>
              <w:spacing w:before="25" w:after="25"/>
              <w:rPr>
                <w:sz w:val="16"/>
                <w:szCs w:val="16"/>
              </w:rPr>
            </w:pPr>
            <w:r w:rsidRPr="002B3B21">
              <w:rPr>
                <w:sz w:val="16"/>
                <w:szCs w:val="16"/>
              </w:rPr>
              <w:t>1.4</w:t>
            </w:r>
          </w:p>
        </w:tc>
        <w:tc>
          <w:tcPr>
            <w:tcW w:w="2552" w:type="dxa"/>
            <w:tcBorders>
              <w:top w:val="nil"/>
              <w:bottom w:val="nil"/>
            </w:tcBorders>
            <w:shd w:val="clear" w:color="auto" w:fill="auto"/>
          </w:tcPr>
          <w:p w:rsidR="00476CB0"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51584" behindDoc="0" locked="0" layoutInCell="1" allowOverlap="1">
                      <wp:simplePos x="0" y="0"/>
                      <wp:positionH relativeFrom="column">
                        <wp:posOffset>-13970</wp:posOffset>
                      </wp:positionH>
                      <wp:positionV relativeFrom="paragraph">
                        <wp:posOffset>73660</wp:posOffset>
                      </wp:positionV>
                      <wp:extent cx="1582420" cy="629920"/>
                      <wp:effectExtent l="0" t="38100" r="55880" b="3683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62992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1496C619" id="Straight Arrow Connector 28" o:spid="_x0000_s1026" type="#_x0000_t32" style="position:absolute;margin-left:-1.1pt;margin-top:5.8pt;width:124.6pt;height:49.6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" strokecolor="red" strokeweight="1.5pt">
                      <v:stroke endarrow="block"/>
                      <o:lock v:ext="edit" shapetype="f"/>
                    </v:shape>
                  </w:pict>
                </mc:Fallback>
              </mc:AlternateContent>
            </w:r>
            <w:r>
              <w:rPr>
                <w:noProof/>
                <w:lang w:eastAsia="en-NZ"/>
              </w:rPr>
              <mc:AlternateContent>
                <mc:Choice Requires="wps">
                  <w:drawing>
                    <wp:anchor distT="0" distB="0" distL="114300" distR="114300" simplePos="0" relativeHeight="251647488" behindDoc="0" locked="0" layoutInCell="1" allowOverlap="1">
                      <wp:simplePos x="0" y="0"/>
                      <wp:positionH relativeFrom="column">
                        <wp:posOffset>-13335</wp:posOffset>
                      </wp:positionH>
                      <wp:positionV relativeFrom="paragraph">
                        <wp:posOffset>73660</wp:posOffset>
                      </wp:positionV>
                      <wp:extent cx="1582420" cy="461010"/>
                      <wp:effectExtent l="15240" t="16510" r="40640" b="65405"/>
                      <wp:wrapNone/>
                      <wp:docPr id="17"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46101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950B925" id="Straight Arrow Connector 24" o:spid="_x0000_s1026" type="#_x0000_t32" style="position:absolute;margin-left:-1.05pt;margin-top:5.8pt;width:124.6pt;height:36.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333"/>
              </w:tabs>
              <w:spacing w:before="25" w:after="25"/>
              <w:rPr>
                <w:sz w:val="16"/>
                <w:szCs w:val="16"/>
              </w:rPr>
            </w:pPr>
            <w:r w:rsidRPr="002B3B21">
              <w:rPr>
                <w:sz w:val="16"/>
                <w:szCs w:val="16"/>
              </w:rPr>
              <w:t>17</w:t>
            </w:r>
          </w:p>
        </w:tc>
        <w:tc>
          <w:tcPr>
            <w:tcW w:w="1923" w:type="dxa"/>
            <w:tcBorders>
              <w:top w:val="single" w:sz="4" w:space="0" w:color="A6A6A6"/>
              <w:bottom w:val="single" w:sz="4" w:space="0" w:color="A6A6A6"/>
            </w:tcBorders>
            <w:shd w:val="clear" w:color="auto" w:fill="auto"/>
          </w:tcPr>
          <w:p w:rsidR="00476CB0" w:rsidRPr="002B3B21" w:rsidRDefault="00476CB0" w:rsidP="002B3B21">
            <w:pPr>
              <w:pStyle w:val="TableText"/>
              <w:spacing w:before="25" w:after="25"/>
              <w:rPr>
                <w:sz w:val="16"/>
                <w:szCs w:val="16"/>
              </w:rPr>
            </w:pPr>
            <w:r w:rsidRPr="002B3B21">
              <w:rPr>
                <w:sz w:val="16"/>
                <w:szCs w:val="16"/>
              </w:rPr>
              <w:t>Hearing loss</w:t>
            </w:r>
          </w:p>
        </w:tc>
        <w:tc>
          <w:tcPr>
            <w:tcW w:w="587"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247"/>
              </w:tabs>
              <w:spacing w:before="25" w:after="25"/>
              <w:rPr>
                <w:sz w:val="16"/>
                <w:szCs w:val="16"/>
              </w:rPr>
            </w:pPr>
            <w:r w:rsidRPr="002B3B21">
              <w:rPr>
                <w:sz w:val="16"/>
                <w:szCs w:val="16"/>
              </w:rPr>
              <w:t>1.9</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227"/>
              </w:tabs>
              <w:spacing w:before="25" w:after="25"/>
              <w:rPr>
                <w:sz w:val="16"/>
                <w:szCs w:val="16"/>
              </w:rPr>
            </w:pPr>
            <w:r w:rsidRPr="002B3B21">
              <w:rPr>
                <w:sz w:val="16"/>
                <w:szCs w:val="16"/>
              </w:rPr>
              <w:t>18</w:t>
            </w:r>
          </w:p>
        </w:tc>
        <w:tc>
          <w:tcPr>
            <w:tcW w:w="1964" w:type="dxa"/>
            <w:tcBorders>
              <w:top w:val="single" w:sz="4" w:space="0" w:color="A6A6A6"/>
              <w:bottom w:val="single" w:sz="4" w:space="0" w:color="A6A6A6"/>
            </w:tcBorders>
            <w:shd w:val="clear" w:color="auto" w:fill="auto"/>
          </w:tcPr>
          <w:p w:rsidR="00476CB0" w:rsidRPr="002B3B21" w:rsidRDefault="00476CB0" w:rsidP="002B3B21">
            <w:pPr>
              <w:pStyle w:val="TableText"/>
              <w:spacing w:before="25" w:after="25"/>
              <w:rPr>
                <w:sz w:val="16"/>
                <w:szCs w:val="16"/>
              </w:rPr>
            </w:pPr>
            <w:r w:rsidRPr="002B3B21">
              <w:rPr>
                <w:sz w:val="16"/>
                <w:szCs w:val="16"/>
              </w:rPr>
              <w:t>Anxiety disorders</w:t>
            </w:r>
          </w:p>
        </w:tc>
        <w:tc>
          <w:tcPr>
            <w:tcW w:w="871"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389"/>
              </w:tabs>
              <w:spacing w:before="25" w:after="25"/>
              <w:rPr>
                <w:sz w:val="16"/>
                <w:szCs w:val="16"/>
              </w:rPr>
            </w:pPr>
            <w:r w:rsidRPr="002B3B21">
              <w:rPr>
                <w:sz w:val="16"/>
                <w:szCs w:val="16"/>
              </w:rPr>
              <w:t>1.4</w:t>
            </w:r>
          </w:p>
        </w:tc>
        <w:tc>
          <w:tcPr>
            <w:tcW w:w="2552" w:type="dxa"/>
            <w:tcBorders>
              <w:top w:val="nil"/>
              <w:bottom w:val="nil"/>
            </w:tcBorders>
            <w:shd w:val="clear" w:color="auto" w:fill="auto"/>
          </w:tcPr>
          <w:p w:rsidR="00476CB0"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48512" behindDoc="0" locked="0" layoutInCell="1" allowOverlap="1">
                      <wp:simplePos x="0" y="0"/>
                      <wp:positionH relativeFrom="column">
                        <wp:posOffset>-13335</wp:posOffset>
                      </wp:positionH>
                      <wp:positionV relativeFrom="paragraph">
                        <wp:posOffset>87630</wp:posOffset>
                      </wp:positionV>
                      <wp:extent cx="1582420" cy="461010"/>
                      <wp:effectExtent l="15240" t="11430" r="40640" b="60960"/>
                      <wp:wrapNone/>
                      <wp:docPr id="16"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46101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7A1CCBE" id="Straight Arrow Connector 25" o:spid="_x0000_s1026" type="#_x0000_t32" style="position:absolute;margin-left:-1.05pt;margin-top:6.9pt;width:124.6pt;height:36.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333"/>
              </w:tabs>
              <w:spacing w:before="25" w:after="25"/>
              <w:rPr>
                <w:sz w:val="16"/>
                <w:szCs w:val="16"/>
              </w:rPr>
            </w:pPr>
            <w:r w:rsidRPr="002B3B21">
              <w:rPr>
                <w:sz w:val="16"/>
                <w:szCs w:val="16"/>
              </w:rPr>
              <w:t>18</w:t>
            </w:r>
          </w:p>
        </w:tc>
        <w:tc>
          <w:tcPr>
            <w:tcW w:w="1923" w:type="dxa"/>
            <w:tcBorders>
              <w:top w:val="single" w:sz="4" w:space="0" w:color="A6A6A6"/>
              <w:bottom w:val="single" w:sz="4" w:space="0" w:color="A6A6A6"/>
            </w:tcBorders>
            <w:shd w:val="clear" w:color="auto" w:fill="auto"/>
          </w:tcPr>
          <w:p w:rsidR="00476CB0" w:rsidRPr="002B3B21" w:rsidRDefault="00476CB0" w:rsidP="002B3B21">
            <w:pPr>
              <w:pStyle w:val="TableText"/>
              <w:spacing w:before="25" w:after="25"/>
              <w:rPr>
                <w:sz w:val="16"/>
                <w:szCs w:val="16"/>
              </w:rPr>
            </w:pPr>
            <w:r w:rsidRPr="002B3B21">
              <w:rPr>
                <w:sz w:val="16"/>
                <w:szCs w:val="16"/>
              </w:rPr>
              <w:t>Falls</w:t>
            </w:r>
          </w:p>
        </w:tc>
        <w:tc>
          <w:tcPr>
            <w:tcW w:w="587"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247"/>
              </w:tabs>
              <w:spacing w:before="25" w:after="25"/>
              <w:rPr>
                <w:sz w:val="16"/>
                <w:szCs w:val="16"/>
              </w:rPr>
            </w:pPr>
            <w:r w:rsidRPr="002B3B21">
              <w:rPr>
                <w:sz w:val="16"/>
                <w:szCs w:val="16"/>
              </w:rPr>
              <w:t>1.9</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227"/>
              </w:tabs>
              <w:spacing w:before="25" w:after="25"/>
              <w:rPr>
                <w:sz w:val="16"/>
                <w:szCs w:val="16"/>
              </w:rPr>
            </w:pPr>
            <w:r w:rsidRPr="002B3B21">
              <w:rPr>
                <w:sz w:val="16"/>
                <w:szCs w:val="16"/>
              </w:rPr>
              <w:t>19</w:t>
            </w:r>
          </w:p>
        </w:tc>
        <w:tc>
          <w:tcPr>
            <w:tcW w:w="1964" w:type="dxa"/>
            <w:tcBorders>
              <w:top w:val="single" w:sz="4" w:space="0" w:color="A6A6A6"/>
              <w:bottom w:val="single" w:sz="4" w:space="0" w:color="A6A6A6"/>
            </w:tcBorders>
            <w:shd w:val="clear" w:color="auto" w:fill="auto"/>
          </w:tcPr>
          <w:p w:rsidR="00476CB0" w:rsidRPr="002B3B21" w:rsidRDefault="00476CB0" w:rsidP="002B3B21">
            <w:pPr>
              <w:pStyle w:val="TableText"/>
              <w:spacing w:before="25" w:after="25"/>
              <w:rPr>
                <w:sz w:val="16"/>
                <w:szCs w:val="16"/>
              </w:rPr>
            </w:pPr>
            <w:r w:rsidRPr="002B3B21">
              <w:rPr>
                <w:sz w:val="16"/>
                <w:szCs w:val="16"/>
              </w:rPr>
              <w:t>Prostate cancer</w:t>
            </w:r>
          </w:p>
        </w:tc>
        <w:tc>
          <w:tcPr>
            <w:tcW w:w="871"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389"/>
              </w:tabs>
              <w:spacing w:before="25" w:after="25"/>
              <w:rPr>
                <w:sz w:val="16"/>
                <w:szCs w:val="16"/>
              </w:rPr>
            </w:pPr>
            <w:r w:rsidRPr="002B3B21">
              <w:rPr>
                <w:sz w:val="16"/>
                <w:szCs w:val="16"/>
              </w:rPr>
              <w:t>1.3</w:t>
            </w:r>
          </w:p>
        </w:tc>
        <w:tc>
          <w:tcPr>
            <w:tcW w:w="2552" w:type="dxa"/>
            <w:tcBorders>
              <w:top w:val="nil"/>
              <w:bottom w:val="nil"/>
            </w:tcBorders>
            <w:shd w:val="clear" w:color="auto" w:fill="auto"/>
          </w:tcPr>
          <w:p w:rsidR="00476CB0" w:rsidRPr="002B3B21" w:rsidRDefault="00476CB0" w:rsidP="002B3B21">
            <w:pPr>
              <w:pStyle w:val="TableText"/>
              <w:spacing w:before="25" w:after="25"/>
              <w:rPr>
                <w:sz w:val="16"/>
                <w:szCs w:val="16"/>
              </w:rPr>
            </w:pPr>
          </w:p>
        </w:tc>
        <w:tc>
          <w:tcPr>
            <w:tcW w:w="750"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333"/>
              </w:tabs>
              <w:spacing w:before="25" w:after="25"/>
              <w:rPr>
                <w:sz w:val="16"/>
                <w:szCs w:val="16"/>
              </w:rPr>
            </w:pPr>
            <w:r w:rsidRPr="002B3B21">
              <w:rPr>
                <w:sz w:val="16"/>
                <w:szCs w:val="16"/>
              </w:rPr>
              <w:t>19</w:t>
            </w:r>
          </w:p>
        </w:tc>
        <w:tc>
          <w:tcPr>
            <w:tcW w:w="1923" w:type="dxa"/>
            <w:tcBorders>
              <w:top w:val="single" w:sz="4" w:space="0" w:color="A6A6A6"/>
              <w:bottom w:val="single" w:sz="4" w:space="0" w:color="A6A6A6"/>
            </w:tcBorders>
            <w:shd w:val="clear" w:color="auto" w:fill="auto"/>
          </w:tcPr>
          <w:p w:rsidR="00476CB0" w:rsidRPr="002B3B21" w:rsidRDefault="00476CB0" w:rsidP="002B3B21">
            <w:pPr>
              <w:pStyle w:val="TableText"/>
              <w:spacing w:before="25" w:after="25"/>
              <w:rPr>
                <w:sz w:val="16"/>
                <w:szCs w:val="16"/>
              </w:rPr>
            </w:pPr>
            <w:r w:rsidRPr="002B3B21">
              <w:rPr>
                <w:sz w:val="16"/>
                <w:szCs w:val="16"/>
              </w:rPr>
              <w:t>Birth defects</w:t>
            </w:r>
          </w:p>
        </w:tc>
        <w:tc>
          <w:tcPr>
            <w:tcW w:w="587"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247"/>
              </w:tabs>
              <w:spacing w:before="25" w:after="25"/>
              <w:rPr>
                <w:sz w:val="16"/>
                <w:szCs w:val="16"/>
              </w:rPr>
            </w:pPr>
            <w:r w:rsidRPr="002B3B21">
              <w:rPr>
                <w:sz w:val="16"/>
                <w:szCs w:val="16"/>
              </w:rPr>
              <w:t>1.7</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227"/>
              </w:tabs>
              <w:spacing w:before="25" w:after="25"/>
              <w:rPr>
                <w:sz w:val="16"/>
                <w:szCs w:val="16"/>
              </w:rPr>
            </w:pPr>
            <w:r w:rsidRPr="002B3B21">
              <w:rPr>
                <w:sz w:val="16"/>
                <w:szCs w:val="16"/>
              </w:rPr>
              <w:t>20</w:t>
            </w:r>
          </w:p>
        </w:tc>
        <w:tc>
          <w:tcPr>
            <w:tcW w:w="1964" w:type="dxa"/>
            <w:tcBorders>
              <w:top w:val="single" w:sz="4" w:space="0" w:color="A6A6A6"/>
              <w:bottom w:val="single" w:sz="4" w:space="0" w:color="A6A6A6"/>
            </w:tcBorders>
            <w:shd w:val="clear" w:color="auto" w:fill="auto"/>
          </w:tcPr>
          <w:p w:rsidR="00476CB0" w:rsidRPr="002B3B21" w:rsidRDefault="00476CB0" w:rsidP="002B3B21">
            <w:pPr>
              <w:pStyle w:val="TableText"/>
              <w:spacing w:before="25" w:after="25"/>
              <w:rPr>
                <w:sz w:val="16"/>
                <w:szCs w:val="16"/>
              </w:rPr>
            </w:pPr>
            <w:r w:rsidRPr="002B3B21">
              <w:rPr>
                <w:sz w:val="16"/>
                <w:szCs w:val="16"/>
              </w:rPr>
              <w:t>CKD</w:t>
            </w:r>
          </w:p>
        </w:tc>
        <w:tc>
          <w:tcPr>
            <w:tcW w:w="871"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389"/>
              </w:tabs>
              <w:spacing w:before="25" w:after="25"/>
              <w:rPr>
                <w:sz w:val="16"/>
                <w:szCs w:val="16"/>
              </w:rPr>
            </w:pPr>
            <w:r w:rsidRPr="002B3B21">
              <w:rPr>
                <w:sz w:val="16"/>
                <w:szCs w:val="16"/>
              </w:rPr>
              <w:t>1.3</w:t>
            </w:r>
          </w:p>
        </w:tc>
        <w:tc>
          <w:tcPr>
            <w:tcW w:w="2552" w:type="dxa"/>
            <w:tcBorders>
              <w:top w:val="nil"/>
              <w:bottom w:val="nil"/>
            </w:tcBorders>
            <w:shd w:val="clear" w:color="auto" w:fill="auto"/>
          </w:tcPr>
          <w:p w:rsidR="00476CB0" w:rsidRPr="002B3B21" w:rsidRDefault="00476CB0" w:rsidP="002B3B21">
            <w:pPr>
              <w:pStyle w:val="TableText"/>
              <w:spacing w:before="25" w:after="25"/>
              <w:rPr>
                <w:sz w:val="16"/>
                <w:szCs w:val="16"/>
              </w:rPr>
            </w:pPr>
          </w:p>
        </w:tc>
        <w:tc>
          <w:tcPr>
            <w:tcW w:w="750"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333"/>
              </w:tabs>
              <w:spacing w:before="25" w:after="25"/>
              <w:rPr>
                <w:sz w:val="16"/>
                <w:szCs w:val="16"/>
              </w:rPr>
            </w:pPr>
            <w:r w:rsidRPr="002B3B21">
              <w:rPr>
                <w:sz w:val="16"/>
                <w:szCs w:val="16"/>
              </w:rPr>
              <w:t>20</w:t>
            </w:r>
          </w:p>
        </w:tc>
        <w:tc>
          <w:tcPr>
            <w:tcW w:w="1923" w:type="dxa"/>
            <w:tcBorders>
              <w:top w:val="single" w:sz="4" w:space="0" w:color="A6A6A6"/>
              <w:bottom w:val="single" w:sz="4" w:space="0" w:color="A6A6A6"/>
            </w:tcBorders>
            <w:shd w:val="clear" w:color="auto" w:fill="auto"/>
          </w:tcPr>
          <w:p w:rsidR="00476CB0" w:rsidRPr="002B3B21" w:rsidRDefault="00476CB0" w:rsidP="002B3B21">
            <w:pPr>
              <w:pStyle w:val="TableText"/>
              <w:spacing w:before="25" w:after="25"/>
              <w:rPr>
                <w:sz w:val="16"/>
                <w:szCs w:val="16"/>
              </w:rPr>
            </w:pPr>
            <w:r w:rsidRPr="002B3B21">
              <w:rPr>
                <w:sz w:val="16"/>
                <w:szCs w:val="16"/>
              </w:rPr>
              <w:t>Psychotic disorders</w:t>
            </w:r>
          </w:p>
        </w:tc>
        <w:tc>
          <w:tcPr>
            <w:tcW w:w="587"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247"/>
              </w:tabs>
              <w:spacing w:before="25" w:after="25"/>
              <w:rPr>
                <w:sz w:val="16"/>
                <w:szCs w:val="16"/>
              </w:rPr>
            </w:pPr>
            <w:r w:rsidRPr="002B3B21">
              <w:rPr>
                <w:sz w:val="16"/>
                <w:szCs w:val="16"/>
              </w:rPr>
              <w:t>1.7</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227"/>
              </w:tabs>
              <w:spacing w:before="25" w:after="25"/>
              <w:rPr>
                <w:sz w:val="16"/>
                <w:szCs w:val="16"/>
              </w:rPr>
            </w:pPr>
            <w:r w:rsidRPr="002B3B21">
              <w:rPr>
                <w:sz w:val="16"/>
                <w:szCs w:val="16"/>
              </w:rPr>
              <w:t>21</w:t>
            </w:r>
          </w:p>
        </w:tc>
        <w:tc>
          <w:tcPr>
            <w:tcW w:w="1964" w:type="dxa"/>
            <w:tcBorders>
              <w:top w:val="single" w:sz="4" w:space="0" w:color="A6A6A6"/>
              <w:bottom w:val="single" w:sz="4" w:space="0" w:color="A6A6A6"/>
            </w:tcBorders>
            <w:shd w:val="clear" w:color="auto" w:fill="auto"/>
          </w:tcPr>
          <w:p w:rsidR="00476CB0" w:rsidRPr="002B3B21" w:rsidRDefault="00476CB0" w:rsidP="002B3B21">
            <w:pPr>
              <w:pStyle w:val="TableText"/>
              <w:spacing w:before="25" w:after="25"/>
              <w:rPr>
                <w:sz w:val="16"/>
                <w:szCs w:val="16"/>
              </w:rPr>
            </w:pPr>
            <w:r w:rsidRPr="002B3B21">
              <w:rPr>
                <w:sz w:val="16"/>
                <w:szCs w:val="16"/>
              </w:rPr>
              <w:t>Hearing loss</w:t>
            </w:r>
          </w:p>
        </w:tc>
        <w:tc>
          <w:tcPr>
            <w:tcW w:w="871"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389"/>
              </w:tabs>
              <w:spacing w:before="25" w:after="25"/>
              <w:rPr>
                <w:sz w:val="16"/>
                <w:szCs w:val="16"/>
              </w:rPr>
            </w:pPr>
            <w:r w:rsidRPr="002B3B21">
              <w:rPr>
                <w:sz w:val="16"/>
                <w:szCs w:val="16"/>
              </w:rPr>
              <w:t>1.3</w:t>
            </w:r>
          </w:p>
        </w:tc>
        <w:tc>
          <w:tcPr>
            <w:tcW w:w="2552" w:type="dxa"/>
            <w:tcBorders>
              <w:top w:val="nil"/>
              <w:bottom w:val="nil"/>
            </w:tcBorders>
            <w:shd w:val="clear" w:color="auto" w:fill="auto"/>
          </w:tcPr>
          <w:p w:rsidR="00476CB0" w:rsidRPr="002B3B21" w:rsidRDefault="00476CB0" w:rsidP="002B3B21">
            <w:pPr>
              <w:pStyle w:val="TableText"/>
              <w:spacing w:before="25" w:after="25"/>
              <w:rPr>
                <w:sz w:val="16"/>
                <w:szCs w:val="16"/>
              </w:rPr>
            </w:pPr>
          </w:p>
        </w:tc>
        <w:tc>
          <w:tcPr>
            <w:tcW w:w="750"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333"/>
              </w:tabs>
              <w:spacing w:before="25" w:after="25"/>
              <w:rPr>
                <w:sz w:val="16"/>
                <w:szCs w:val="16"/>
              </w:rPr>
            </w:pPr>
            <w:r w:rsidRPr="002B3B21">
              <w:rPr>
                <w:sz w:val="16"/>
                <w:szCs w:val="16"/>
              </w:rPr>
              <w:t>21</w:t>
            </w:r>
          </w:p>
        </w:tc>
        <w:tc>
          <w:tcPr>
            <w:tcW w:w="1923" w:type="dxa"/>
            <w:tcBorders>
              <w:top w:val="single" w:sz="4" w:space="0" w:color="A6A6A6"/>
              <w:bottom w:val="single" w:sz="4" w:space="0" w:color="A6A6A6"/>
            </w:tcBorders>
            <w:shd w:val="clear" w:color="auto" w:fill="auto"/>
          </w:tcPr>
          <w:p w:rsidR="00476CB0" w:rsidRPr="002B3B21" w:rsidRDefault="00476CB0" w:rsidP="002B3B21">
            <w:pPr>
              <w:pStyle w:val="TableText"/>
              <w:spacing w:before="25" w:after="25"/>
              <w:rPr>
                <w:sz w:val="16"/>
                <w:szCs w:val="16"/>
              </w:rPr>
            </w:pPr>
            <w:r w:rsidRPr="002B3B21">
              <w:rPr>
                <w:sz w:val="16"/>
                <w:szCs w:val="16"/>
              </w:rPr>
              <w:t>Anxiety disorders</w:t>
            </w:r>
          </w:p>
        </w:tc>
        <w:tc>
          <w:tcPr>
            <w:tcW w:w="587" w:type="dxa"/>
            <w:tcBorders>
              <w:top w:val="single" w:sz="4" w:space="0" w:color="A6A6A6"/>
              <w:bottom w:val="single" w:sz="4" w:space="0" w:color="A6A6A6"/>
            </w:tcBorders>
            <w:shd w:val="clear" w:color="auto" w:fill="auto"/>
          </w:tcPr>
          <w:p w:rsidR="00476CB0" w:rsidRPr="002B3B21" w:rsidRDefault="00476CB0" w:rsidP="002B3B21">
            <w:pPr>
              <w:pStyle w:val="TableText"/>
              <w:tabs>
                <w:tab w:val="decimal" w:pos="247"/>
              </w:tabs>
              <w:spacing w:before="25" w:after="25"/>
              <w:rPr>
                <w:sz w:val="16"/>
                <w:szCs w:val="16"/>
              </w:rPr>
            </w:pPr>
            <w:r w:rsidRPr="002B3B21">
              <w:rPr>
                <w:sz w:val="16"/>
                <w:szCs w:val="16"/>
              </w:rPr>
              <w:t>1.6</w:t>
            </w:r>
          </w:p>
        </w:tc>
      </w:tr>
      <w:tr w:rsidR="00865AC9" w:rsidRPr="002263BB" w:rsidTr="002B3B21">
        <w:trPr>
          <w:cantSplit/>
        </w:trPr>
        <w:tc>
          <w:tcPr>
            <w:tcW w:w="709" w:type="dxa"/>
            <w:tcBorders>
              <w:top w:val="single" w:sz="4" w:space="0" w:color="A6A6A6"/>
            </w:tcBorders>
            <w:shd w:val="clear" w:color="auto" w:fill="auto"/>
          </w:tcPr>
          <w:p w:rsidR="00476CB0" w:rsidRPr="002B3B21" w:rsidRDefault="00476CB0" w:rsidP="002B3B21">
            <w:pPr>
              <w:pStyle w:val="TableText"/>
              <w:tabs>
                <w:tab w:val="decimal" w:pos="227"/>
              </w:tabs>
              <w:spacing w:before="25" w:after="25"/>
              <w:rPr>
                <w:sz w:val="16"/>
                <w:szCs w:val="16"/>
              </w:rPr>
            </w:pPr>
            <w:r w:rsidRPr="002B3B21">
              <w:rPr>
                <w:sz w:val="16"/>
                <w:szCs w:val="16"/>
              </w:rPr>
              <w:t>22</w:t>
            </w:r>
          </w:p>
        </w:tc>
        <w:tc>
          <w:tcPr>
            <w:tcW w:w="1964" w:type="dxa"/>
            <w:tcBorders>
              <w:top w:val="single" w:sz="4" w:space="0" w:color="A6A6A6"/>
            </w:tcBorders>
            <w:shd w:val="clear" w:color="auto" w:fill="auto"/>
          </w:tcPr>
          <w:p w:rsidR="00476CB0" w:rsidRPr="002B3B21" w:rsidRDefault="00476CB0" w:rsidP="002B3B21">
            <w:pPr>
              <w:pStyle w:val="TableText"/>
              <w:spacing w:before="25" w:after="25"/>
              <w:rPr>
                <w:sz w:val="16"/>
                <w:szCs w:val="16"/>
              </w:rPr>
            </w:pPr>
            <w:r w:rsidRPr="002B3B21">
              <w:rPr>
                <w:sz w:val="16"/>
                <w:szCs w:val="16"/>
              </w:rPr>
              <w:t>Dementia</w:t>
            </w:r>
          </w:p>
        </w:tc>
        <w:tc>
          <w:tcPr>
            <w:tcW w:w="871" w:type="dxa"/>
            <w:tcBorders>
              <w:top w:val="single" w:sz="4" w:space="0" w:color="A6A6A6"/>
            </w:tcBorders>
            <w:shd w:val="clear" w:color="auto" w:fill="auto"/>
          </w:tcPr>
          <w:p w:rsidR="00476CB0" w:rsidRPr="002B3B21" w:rsidRDefault="00476CB0" w:rsidP="002B3B21">
            <w:pPr>
              <w:pStyle w:val="TableText"/>
              <w:tabs>
                <w:tab w:val="decimal" w:pos="389"/>
              </w:tabs>
              <w:spacing w:before="25" w:after="25"/>
              <w:rPr>
                <w:sz w:val="16"/>
                <w:szCs w:val="16"/>
              </w:rPr>
            </w:pPr>
            <w:r w:rsidRPr="002B3B21">
              <w:rPr>
                <w:sz w:val="16"/>
                <w:szCs w:val="16"/>
              </w:rPr>
              <w:t>1.2</w:t>
            </w:r>
          </w:p>
        </w:tc>
        <w:tc>
          <w:tcPr>
            <w:tcW w:w="2552" w:type="dxa"/>
            <w:tcBorders>
              <w:top w:val="nil"/>
              <w:bottom w:val="nil"/>
            </w:tcBorders>
            <w:shd w:val="clear" w:color="auto" w:fill="auto"/>
          </w:tcPr>
          <w:p w:rsidR="00476CB0" w:rsidRPr="002B3B21" w:rsidRDefault="00476CB0" w:rsidP="002B3B21">
            <w:pPr>
              <w:pStyle w:val="TableText"/>
              <w:spacing w:before="25" w:after="25"/>
              <w:rPr>
                <w:sz w:val="16"/>
                <w:szCs w:val="16"/>
              </w:rPr>
            </w:pPr>
          </w:p>
        </w:tc>
        <w:tc>
          <w:tcPr>
            <w:tcW w:w="750" w:type="dxa"/>
            <w:tcBorders>
              <w:top w:val="single" w:sz="4" w:space="0" w:color="A6A6A6"/>
            </w:tcBorders>
            <w:shd w:val="clear" w:color="auto" w:fill="auto"/>
          </w:tcPr>
          <w:p w:rsidR="00476CB0" w:rsidRPr="002B3B21" w:rsidRDefault="00476CB0" w:rsidP="002B3B21">
            <w:pPr>
              <w:pStyle w:val="TableText"/>
              <w:tabs>
                <w:tab w:val="decimal" w:pos="333"/>
              </w:tabs>
              <w:spacing w:before="25" w:after="25"/>
              <w:rPr>
                <w:sz w:val="16"/>
                <w:szCs w:val="16"/>
              </w:rPr>
            </w:pPr>
            <w:r w:rsidRPr="002B3B21">
              <w:rPr>
                <w:sz w:val="16"/>
                <w:szCs w:val="16"/>
              </w:rPr>
              <w:t>2</w:t>
            </w:r>
            <w:r w:rsidR="002263BB" w:rsidRPr="002B3B21">
              <w:rPr>
                <w:sz w:val="16"/>
                <w:szCs w:val="16"/>
              </w:rPr>
              <w:t>4</w:t>
            </w:r>
          </w:p>
        </w:tc>
        <w:tc>
          <w:tcPr>
            <w:tcW w:w="1923" w:type="dxa"/>
            <w:tcBorders>
              <w:top w:val="single" w:sz="4" w:space="0" w:color="A6A6A6"/>
            </w:tcBorders>
            <w:shd w:val="clear" w:color="auto" w:fill="auto"/>
          </w:tcPr>
          <w:p w:rsidR="00476CB0" w:rsidRPr="002B3B21" w:rsidRDefault="00476CB0" w:rsidP="002B3B21">
            <w:pPr>
              <w:pStyle w:val="TableText"/>
              <w:spacing w:before="25" w:after="25"/>
              <w:rPr>
                <w:sz w:val="16"/>
                <w:szCs w:val="16"/>
              </w:rPr>
            </w:pPr>
            <w:r w:rsidRPr="002B3B21">
              <w:rPr>
                <w:sz w:val="16"/>
                <w:szCs w:val="16"/>
              </w:rPr>
              <w:t>Neonatal disorders</w:t>
            </w:r>
          </w:p>
        </w:tc>
        <w:tc>
          <w:tcPr>
            <w:tcW w:w="587" w:type="dxa"/>
            <w:tcBorders>
              <w:top w:val="single" w:sz="4" w:space="0" w:color="A6A6A6"/>
            </w:tcBorders>
            <w:shd w:val="clear" w:color="auto" w:fill="auto"/>
          </w:tcPr>
          <w:p w:rsidR="00476CB0" w:rsidRPr="002B3B21" w:rsidRDefault="00476CB0" w:rsidP="002B3B21">
            <w:pPr>
              <w:pStyle w:val="TableText"/>
              <w:tabs>
                <w:tab w:val="decimal" w:pos="247"/>
              </w:tabs>
              <w:spacing w:before="25" w:after="25"/>
              <w:rPr>
                <w:sz w:val="16"/>
                <w:szCs w:val="16"/>
              </w:rPr>
            </w:pPr>
            <w:r w:rsidRPr="002B3B21">
              <w:rPr>
                <w:sz w:val="16"/>
                <w:szCs w:val="16"/>
              </w:rPr>
              <w:t>1.2</w:t>
            </w:r>
          </w:p>
        </w:tc>
      </w:tr>
    </w:tbl>
    <w:p w:rsidR="002263BB" w:rsidRPr="002263BB" w:rsidRDefault="002263BB" w:rsidP="002263BB">
      <w:pPr>
        <w:pStyle w:val="TableText"/>
        <w:spacing w:before="120"/>
        <w:rPr>
          <w:b/>
        </w:rPr>
      </w:pPr>
      <w:r>
        <w:rPr>
          <w:b/>
        </w:rPr>
        <w:t>Females</w:t>
      </w:r>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709"/>
        <w:gridCol w:w="1964"/>
        <w:gridCol w:w="871"/>
        <w:gridCol w:w="2552"/>
        <w:gridCol w:w="750"/>
        <w:gridCol w:w="1923"/>
        <w:gridCol w:w="587"/>
      </w:tblGrid>
      <w:tr w:rsidR="00865AC9" w:rsidRPr="002263BB" w:rsidTr="002B3B21">
        <w:trPr>
          <w:cantSplit/>
        </w:trPr>
        <w:tc>
          <w:tcPr>
            <w:tcW w:w="3544" w:type="dxa"/>
            <w:gridSpan w:val="3"/>
            <w:tcBorders>
              <w:bottom w:val="single" w:sz="4" w:space="0" w:color="A6A6A6"/>
            </w:tcBorders>
            <w:shd w:val="clear" w:color="auto" w:fill="auto"/>
          </w:tcPr>
          <w:p w:rsidR="002263BB" w:rsidRPr="002B3B21" w:rsidRDefault="002263BB" w:rsidP="002B3B21">
            <w:pPr>
              <w:pStyle w:val="TableText"/>
              <w:spacing w:before="25" w:after="25"/>
              <w:jc w:val="center"/>
              <w:rPr>
                <w:b/>
                <w:sz w:val="16"/>
                <w:szCs w:val="16"/>
              </w:rPr>
            </w:pPr>
            <w:r w:rsidRPr="002B3B21">
              <w:rPr>
                <w:b/>
                <w:sz w:val="16"/>
                <w:szCs w:val="16"/>
              </w:rPr>
              <w:t>1990</w:t>
            </w:r>
          </w:p>
        </w:tc>
        <w:tc>
          <w:tcPr>
            <w:tcW w:w="2552" w:type="dxa"/>
            <w:tcBorders>
              <w:top w:val="nil"/>
              <w:bottom w:val="nil"/>
            </w:tcBorders>
            <w:shd w:val="clear" w:color="auto" w:fill="auto"/>
          </w:tcPr>
          <w:p w:rsidR="002263BB" w:rsidRPr="002B3B21" w:rsidRDefault="002263BB" w:rsidP="002B3B21">
            <w:pPr>
              <w:pStyle w:val="TableText"/>
              <w:spacing w:before="25" w:after="25"/>
              <w:rPr>
                <w:b/>
                <w:sz w:val="16"/>
                <w:szCs w:val="16"/>
              </w:rPr>
            </w:pPr>
          </w:p>
        </w:tc>
        <w:tc>
          <w:tcPr>
            <w:tcW w:w="3260" w:type="dxa"/>
            <w:gridSpan w:val="3"/>
            <w:tcBorders>
              <w:bottom w:val="single" w:sz="4" w:space="0" w:color="A6A6A6"/>
            </w:tcBorders>
            <w:shd w:val="clear" w:color="auto" w:fill="auto"/>
          </w:tcPr>
          <w:p w:rsidR="002263BB" w:rsidRPr="002B3B21" w:rsidRDefault="002263BB" w:rsidP="002B3B21">
            <w:pPr>
              <w:pStyle w:val="TableText"/>
              <w:spacing w:before="25" w:after="25"/>
              <w:jc w:val="center"/>
              <w:rPr>
                <w:b/>
                <w:sz w:val="16"/>
                <w:szCs w:val="16"/>
              </w:rPr>
            </w:pPr>
            <w:r w:rsidRPr="002B3B21">
              <w:rPr>
                <w:b/>
                <w:sz w:val="16"/>
                <w:szCs w:val="16"/>
              </w:rPr>
              <w:t>2013</w:t>
            </w:r>
          </w:p>
        </w:tc>
      </w:tr>
      <w:tr w:rsidR="00865AC9" w:rsidRPr="002263BB" w:rsidTr="002B3B21">
        <w:trPr>
          <w:cantSplit/>
        </w:trPr>
        <w:tc>
          <w:tcPr>
            <w:tcW w:w="709" w:type="dxa"/>
            <w:tcBorders>
              <w:top w:val="single" w:sz="4" w:space="0" w:color="A6A6A6"/>
              <w:bottom w:val="single" w:sz="4" w:space="0" w:color="auto"/>
            </w:tcBorders>
            <w:shd w:val="clear" w:color="auto" w:fill="auto"/>
          </w:tcPr>
          <w:p w:rsidR="002263BB" w:rsidRPr="002B3B21" w:rsidRDefault="002263BB" w:rsidP="002B3B21">
            <w:pPr>
              <w:pStyle w:val="TableText"/>
              <w:spacing w:before="25" w:after="25"/>
              <w:rPr>
                <w:b/>
                <w:sz w:val="16"/>
                <w:szCs w:val="16"/>
              </w:rPr>
            </w:pPr>
            <w:r w:rsidRPr="002B3B21">
              <w:rPr>
                <w:b/>
                <w:sz w:val="16"/>
                <w:szCs w:val="16"/>
              </w:rPr>
              <w:t>Rank</w:t>
            </w:r>
          </w:p>
        </w:tc>
        <w:tc>
          <w:tcPr>
            <w:tcW w:w="1964" w:type="dxa"/>
            <w:tcBorders>
              <w:top w:val="single" w:sz="4" w:space="0" w:color="A6A6A6"/>
              <w:bottom w:val="single" w:sz="4" w:space="0" w:color="auto"/>
            </w:tcBorders>
            <w:shd w:val="clear" w:color="auto" w:fill="auto"/>
          </w:tcPr>
          <w:p w:rsidR="002263BB" w:rsidRPr="002B3B21" w:rsidRDefault="002263BB" w:rsidP="002B3B21">
            <w:pPr>
              <w:pStyle w:val="TableText"/>
              <w:spacing w:before="25" w:after="25"/>
              <w:rPr>
                <w:b/>
                <w:sz w:val="16"/>
                <w:szCs w:val="16"/>
              </w:rPr>
            </w:pPr>
            <w:r w:rsidRPr="002B3B21">
              <w:rPr>
                <w:b/>
                <w:sz w:val="16"/>
                <w:szCs w:val="16"/>
              </w:rPr>
              <w:t>Condition</w:t>
            </w:r>
          </w:p>
        </w:tc>
        <w:tc>
          <w:tcPr>
            <w:tcW w:w="871" w:type="dxa"/>
            <w:tcBorders>
              <w:top w:val="single" w:sz="4" w:space="0" w:color="A6A6A6"/>
              <w:bottom w:val="single" w:sz="4" w:space="0" w:color="auto"/>
            </w:tcBorders>
            <w:shd w:val="clear" w:color="auto" w:fill="auto"/>
          </w:tcPr>
          <w:p w:rsidR="002263BB" w:rsidRPr="002B3B21" w:rsidRDefault="002263BB" w:rsidP="002B3B21">
            <w:pPr>
              <w:pStyle w:val="TableText"/>
              <w:tabs>
                <w:tab w:val="decimal" w:pos="389"/>
              </w:tabs>
              <w:spacing w:before="25" w:after="25"/>
              <w:rPr>
                <w:b/>
                <w:sz w:val="16"/>
                <w:szCs w:val="16"/>
              </w:rPr>
            </w:pPr>
            <w:r w:rsidRPr="002B3B21">
              <w:rPr>
                <w:b/>
                <w:sz w:val="16"/>
                <w:szCs w:val="16"/>
              </w:rPr>
              <w:t>%</w:t>
            </w:r>
          </w:p>
        </w:tc>
        <w:tc>
          <w:tcPr>
            <w:tcW w:w="2552" w:type="dxa"/>
            <w:tcBorders>
              <w:top w:val="nil"/>
              <w:bottom w:val="nil"/>
            </w:tcBorders>
            <w:shd w:val="clear" w:color="auto" w:fill="auto"/>
          </w:tcPr>
          <w:p w:rsidR="002263BB" w:rsidRPr="002B3B21" w:rsidRDefault="002263BB" w:rsidP="002B3B21">
            <w:pPr>
              <w:pStyle w:val="TableText"/>
              <w:spacing w:before="25" w:after="25"/>
              <w:rPr>
                <w:b/>
                <w:sz w:val="16"/>
                <w:szCs w:val="16"/>
              </w:rPr>
            </w:pPr>
          </w:p>
        </w:tc>
        <w:tc>
          <w:tcPr>
            <w:tcW w:w="750" w:type="dxa"/>
            <w:tcBorders>
              <w:top w:val="single" w:sz="4" w:space="0" w:color="A6A6A6"/>
              <w:bottom w:val="single" w:sz="4" w:space="0" w:color="auto"/>
            </w:tcBorders>
            <w:shd w:val="clear" w:color="auto" w:fill="auto"/>
          </w:tcPr>
          <w:p w:rsidR="002263BB" w:rsidRPr="002B3B21" w:rsidRDefault="002263BB" w:rsidP="002B3B21">
            <w:pPr>
              <w:pStyle w:val="TableText"/>
              <w:spacing w:before="25" w:after="25"/>
              <w:jc w:val="center"/>
              <w:rPr>
                <w:b/>
                <w:sz w:val="16"/>
                <w:szCs w:val="16"/>
              </w:rPr>
            </w:pPr>
            <w:r w:rsidRPr="002B3B21">
              <w:rPr>
                <w:b/>
                <w:sz w:val="16"/>
                <w:szCs w:val="16"/>
              </w:rPr>
              <w:t>Rank</w:t>
            </w:r>
          </w:p>
        </w:tc>
        <w:tc>
          <w:tcPr>
            <w:tcW w:w="1923" w:type="dxa"/>
            <w:tcBorders>
              <w:top w:val="single" w:sz="4" w:space="0" w:color="A6A6A6"/>
              <w:bottom w:val="single" w:sz="4" w:space="0" w:color="auto"/>
            </w:tcBorders>
            <w:shd w:val="clear" w:color="auto" w:fill="auto"/>
          </w:tcPr>
          <w:p w:rsidR="002263BB" w:rsidRPr="002B3B21" w:rsidRDefault="002263BB" w:rsidP="002B3B21">
            <w:pPr>
              <w:pStyle w:val="TableText"/>
              <w:spacing w:before="25" w:after="25"/>
              <w:rPr>
                <w:b/>
                <w:sz w:val="16"/>
                <w:szCs w:val="16"/>
              </w:rPr>
            </w:pPr>
            <w:r w:rsidRPr="002B3B21">
              <w:rPr>
                <w:b/>
                <w:sz w:val="16"/>
                <w:szCs w:val="16"/>
              </w:rPr>
              <w:t>Condition</w:t>
            </w:r>
          </w:p>
        </w:tc>
        <w:tc>
          <w:tcPr>
            <w:tcW w:w="587" w:type="dxa"/>
            <w:tcBorders>
              <w:top w:val="single" w:sz="4" w:space="0" w:color="A6A6A6"/>
              <w:bottom w:val="single" w:sz="4" w:space="0" w:color="auto"/>
            </w:tcBorders>
            <w:shd w:val="clear" w:color="auto" w:fill="auto"/>
          </w:tcPr>
          <w:p w:rsidR="002263BB" w:rsidRPr="002B3B21" w:rsidRDefault="002263BB" w:rsidP="002B3B21">
            <w:pPr>
              <w:pStyle w:val="TableText"/>
              <w:tabs>
                <w:tab w:val="decimal" w:pos="247"/>
              </w:tabs>
              <w:spacing w:before="25" w:after="25"/>
              <w:rPr>
                <w:b/>
                <w:sz w:val="16"/>
                <w:szCs w:val="16"/>
              </w:rPr>
            </w:pPr>
            <w:r w:rsidRPr="002B3B21">
              <w:rPr>
                <w:b/>
                <w:sz w:val="16"/>
                <w:szCs w:val="16"/>
              </w:rPr>
              <w:t>%</w:t>
            </w:r>
          </w:p>
        </w:tc>
      </w:tr>
      <w:tr w:rsidR="00865AC9" w:rsidRPr="002263BB" w:rsidTr="002B3B21">
        <w:trPr>
          <w:cantSplit/>
        </w:trPr>
        <w:tc>
          <w:tcPr>
            <w:tcW w:w="709" w:type="dxa"/>
            <w:tcBorders>
              <w:top w:val="single" w:sz="4" w:space="0" w:color="auto"/>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1</w:t>
            </w:r>
          </w:p>
        </w:tc>
        <w:tc>
          <w:tcPr>
            <w:tcW w:w="1964" w:type="dxa"/>
            <w:tcBorders>
              <w:top w:val="single" w:sz="4" w:space="0" w:color="auto"/>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CHD</w:t>
            </w:r>
          </w:p>
        </w:tc>
        <w:tc>
          <w:tcPr>
            <w:tcW w:w="871" w:type="dxa"/>
            <w:tcBorders>
              <w:top w:val="single" w:sz="4" w:space="0" w:color="auto"/>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9.2</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54656" behindDoc="0" locked="0" layoutInCell="1" allowOverlap="1">
                      <wp:simplePos x="0" y="0"/>
                      <wp:positionH relativeFrom="column">
                        <wp:posOffset>-13970</wp:posOffset>
                      </wp:positionH>
                      <wp:positionV relativeFrom="paragraph">
                        <wp:posOffset>80010</wp:posOffset>
                      </wp:positionV>
                      <wp:extent cx="1582420" cy="168910"/>
                      <wp:effectExtent l="0" t="57150" r="17780" b="2159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16891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4F0C6F0C" id="Straight Arrow Connector 31" o:spid="_x0000_s1026" type="#_x0000_t32" style="position:absolute;margin-left:-1.1pt;margin-top:6.3pt;width:124.6pt;height:13.3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" strokecolor="red" strokeweight="1.5pt">
                      <v:stroke endarrow="block"/>
                      <o:lock v:ext="edit" shapetype="f"/>
                    </v:shape>
                  </w:pict>
                </mc:Fallback>
              </mc:AlternateContent>
            </w:r>
            <w:r>
              <w:rPr>
                <w:noProof/>
                <w:lang w:eastAsia="en-NZ"/>
              </w:rPr>
              <mc:AlternateContent>
                <mc:Choice Requires="wps">
                  <w:drawing>
                    <wp:anchor distT="0" distB="0" distL="114300" distR="114300" simplePos="0" relativeHeight="251653632" behindDoc="0" locked="0" layoutInCell="1" allowOverlap="1">
                      <wp:simplePos x="0" y="0"/>
                      <wp:positionH relativeFrom="column">
                        <wp:posOffset>-13335</wp:posOffset>
                      </wp:positionH>
                      <wp:positionV relativeFrom="paragraph">
                        <wp:posOffset>80645</wp:posOffset>
                      </wp:positionV>
                      <wp:extent cx="1582420" cy="161290"/>
                      <wp:effectExtent l="15240" t="13970" r="31115" b="62865"/>
                      <wp:wrapNone/>
                      <wp:docPr id="1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16129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B1C0DBE" id="Straight Arrow Connector 30" o:spid="_x0000_s1026" type="#_x0000_t32" style="position:absolute;margin-left:-1.05pt;margin-top:6.35pt;width:124.6pt;height:1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" strokecolor="#92d050" strokeweight="1.5pt">
                      <v:stroke endarrow="block"/>
                    </v:shape>
                  </w:pict>
                </mc:Fallback>
              </mc:AlternateContent>
            </w:r>
          </w:p>
        </w:tc>
        <w:tc>
          <w:tcPr>
            <w:tcW w:w="750" w:type="dxa"/>
            <w:tcBorders>
              <w:top w:val="single" w:sz="4" w:space="0" w:color="auto"/>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1</w:t>
            </w:r>
          </w:p>
        </w:tc>
        <w:tc>
          <w:tcPr>
            <w:tcW w:w="1923" w:type="dxa"/>
            <w:tcBorders>
              <w:top w:val="single" w:sz="4" w:space="0" w:color="auto"/>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Back disorders</w:t>
            </w:r>
          </w:p>
        </w:tc>
        <w:tc>
          <w:tcPr>
            <w:tcW w:w="587" w:type="dxa"/>
            <w:tcBorders>
              <w:top w:val="single" w:sz="4" w:space="0" w:color="auto"/>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9.7</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2</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Back disorders</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7.9</w:t>
            </w:r>
          </w:p>
        </w:tc>
        <w:tc>
          <w:tcPr>
            <w:tcW w:w="2552" w:type="dxa"/>
            <w:tcBorders>
              <w:top w:val="nil"/>
              <w:bottom w:val="nil"/>
            </w:tcBorders>
            <w:shd w:val="clear" w:color="auto" w:fill="auto"/>
          </w:tcPr>
          <w:p w:rsidR="002263BB" w:rsidRPr="002B3B21" w:rsidRDefault="002263BB" w:rsidP="002B3B21">
            <w:pPr>
              <w:pStyle w:val="TableText"/>
              <w:spacing w:before="25" w:after="25"/>
              <w:rPr>
                <w:sz w:val="16"/>
                <w:szCs w:val="16"/>
              </w:rPr>
            </w:pP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2</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CHD</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5.8</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3</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Stroke</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4.7</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56704" behindDoc="0" locked="0" layoutInCell="1" allowOverlap="1">
                      <wp:simplePos x="0" y="0"/>
                      <wp:positionH relativeFrom="column">
                        <wp:posOffset>-13970</wp:posOffset>
                      </wp:positionH>
                      <wp:positionV relativeFrom="paragraph">
                        <wp:posOffset>93980</wp:posOffset>
                      </wp:positionV>
                      <wp:extent cx="1582420" cy="130175"/>
                      <wp:effectExtent l="0" t="57150" r="17780" b="222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130175"/>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054CA1AF" id="Straight Arrow Connector 33" o:spid="_x0000_s1026" type="#_x0000_t32" style="position:absolute;margin-left:-1.1pt;margin-top:7.4pt;width:124.6pt;height:10.2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" strokecolor="red" strokeweight="1.5pt">
                      <v:stroke endarrow="block"/>
                      <o:lock v:ext="edit" shapetype="f"/>
                    </v:shape>
                  </w:pict>
                </mc:Fallback>
              </mc:AlternateContent>
            </w:r>
            <w:r>
              <w:rPr>
                <w:noProof/>
                <w:lang w:eastAsia="en-NZ"/>
              </w:rPr>
              <mc:AlternateContent>
                <mc:Choice Requires="wps">
                  <w:drawing>
                    <wp:anchor distT="0" distB="0" distL="114300" distR="114300" simplePos="0" relativeHeight="251655680" behindDoc="0" locked="0" layoutInCell="1" allowOverlap="1">
                      <wp:simplePos x="0" y="0"/>
                      <wp:positionH relativeFrom="column">
                        <wp:posOffset>-13335</wp:posOffset>
                      </wp:positionH>
                      <wp:positionV relativeFrom="paragraph">
                        <wp:posOffset>93980</wp:posOffset>
                      </wp:positionV>
                      <wp:extent cx="1582420" cy="753110"/>
                      <wp:effectExtent l="15240" t="17780" r="40640" b="57785"/>
                      <wp:wrapNone/>
                      <wp:docPr id="14"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75311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F41B173" id="Straight Arrow Connector 32" o:spid="_x0000_s1026" type="#_x0000_t32" style="position:absolute;margin-left:-1.05pt;margin-top:7.4pt;width:124.6pt;height:5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3</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Depressive disorders</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4.7</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4</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Depressive disorders</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4.2</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58752" behindDoc="0" locked="0" layoutInCell="1" allowOverlap="1">
                      <wp:simplePos x="0" y="0"/>
                      <wp:positionH relativeFrom="column">
                        <wp:posOffset>-13970</wp:posOffset>
                      </wp:positionH>
                      <wp:positionV relativeFrom="paragraph">
                        <wp:posOffset>69215</wp:posOffset>
                      </wp:positionV>
                      <wp:extent cx="1582420" cy="314960"/>
                      <wp:effectExtent l="0" t="57150" r="0" b="2794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31496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0088B788" id="Straight Arrow Connector 35" o:spid="_x0000_s1026" type="#_x0000_t32" style="position:absolute;margin-left:-1.1pt;margin-top:5.45pt;width:124.6pt;height:24.8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" strokecolor="red" strokeweight="1.5pt">
                      <v:stroke endarrow="block"/>
                      <o:lock v:ext="edit" shapetype="f"/>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4</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COPD</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4.1</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5</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Breast cancer</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3.7</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63872" behindDoc="0" locked="0" layoutInCell="1" allowOverlap="1">
                      <wp:simplePos x="0" y="0"/>
                      <wp:positionH relativeFrom="column">
                        <wp:posOffset>-13970</wp:posOffset>
                      </wp:positionH>
                      <wp:positionV relativeFrom="paragraph">
                        <wp:posOffset>75565</wp:posOffset>
                      </wp:positionV>
                      <wp:extent cx="1582420" cy="929640"/>
                      <wp:effectExtent l="0" t="38100" r="55880" b="2286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92964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460165C6" id="Straight Arrow Connector 44" o:spid="_x0000_s1026" type="#_x0000_t32" style="position:absolute;margin-left:-1.1pt;margin-top:5.95pt;width:124.6pt;height:73.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" strokecolor="red" strokeweight="1.5pt">
                      <v:stroke endarrow="block"/>
                      <o:lock v:ext="edit" shapetype="f"/>
                    </v:shape>
                  </w:pict>
                </mc:Fallback>
              </mc:AlternateContent>
            </w:r>
            <w:r>
              <w:rPr>
                <w:noProof/>
                <w:lang w:eastAsia="en-NZ"/>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76200</wp:posOffset>
                      </wp:positionV>
                      <wp:extent cx="1582420" cy="314960"/>
                      <wp:effectExtent l="15240" t="9525" r="31115" b="66040"/>
                      <wp:wrapNone/>
                      <wp:docPr id="13"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31496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0458789" id="Straight Arrow Connector 34" o:spid="_x0000_s1026" type="#_x0000_t32" style="position:absolute;margin-left:-1.05pt;margin-top:6pt;width:124.6pt;height:2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5</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Dementia</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4.0</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6</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COPD</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3.4</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59776" behindDoc="0" locked="0" layoutInCell="1" allowOverlap="1">
                      <wp:simplePos x="0" y="0"/>
                      <wp:positionH relativeFrom="column">
                        <wp:posOffset>-13970</wp:posOffset>
                      </wp:positionH>
                      <wp:positionV relativeFrom="paragraph">
                        <wp:posOffset>74295</wp:posOffset>
                      </wp:positionV>
                      <wp:extent cx="1582420" cy="168910"/>
                      <wp:effectExtent l="0" t="57150" r="17780" b="2159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16891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6B43D07E" id="Straight Arrow Connector 36" o:spid="_x0000_s1026" type="#_x0000_t32" style="position:absolute;margin-left:-1.1pt;margin-top:5.85pt;width:124.6pt;height:13.3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" strokecolor="red" strokeweight="1.5pt">
                      <v:stroke endarrow="block"/>
                      <o:lock v:ext="edit" shapetype="f"/>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6</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Anxiety disorders</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3.6</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7</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Anxiety disorders</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3.3</w:t>
            </w:r>
          </w:p>
        </w:tc>
        <w:tc>
          <w:tcPr>
            <w:tcW w:w="2552" w:type="dxa"/>
            <w:tcBorders>
              <w:top w:val="nil"/>
              <w:bottom w:val="nil"/>
            </w:tcBorders>
            <w:shd w:val="clear" w:color="auto" w:fill="auto"/>
          </w:tcPr>
          <w:p w:rsidR="002263BB" w:rsidRPr="002B3B21" w:rsidRDefault="002263BB" w:rsidP="002B3B21">
            <w:pPr>
              <w:pStyle w:val="TableText"/>
              <w:spacing w:before="25" w:after="25"/>
              <w:rPr>
                <w:sz w:val="16"/>
                <w:szCs w:val="16"/>
              </w:rPr>
            </w:pP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7</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Breast cancer</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3.4</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8</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Transport injury</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3.2</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60800" behindDoc="0" locked="0" layoutInCell="1" allowOverlap="1">
                      <wp:simplePos x="0" y="0"/>
                      <wp:positionH relativeFrom="column">
                        <wp:posOffset>-13335</wp:posOffset>
                      </wp:positionH>
                      <wp:positionV relativeFrom="paragraph">
                        <wp:posOffset>87630</wp:posOffset>
                      </wp:positionV>
                      <wp:extent cx="1582420" cy="2012950"/>
                      <wp:effectExtent l="15240" t="11430" r="59690" b="52070"/>
                      <wp:wrapNone/>
                      <wp:docPr id="12"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201295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B22E251" id="Straight Arrow Connector 37" o:spid="_x0000_s1026" type="#_x0000_t32" style="position:absolute;margin-left:-1.05pt;margin-top:6.9pt;width:124.6pt;height:1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8</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Stroke</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3.4</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9</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Asthma</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2.8</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67968" behindDoc="0" locked="0" layoutInCell="1" allowOverlap="1">
                      <wp:simplePos x="0" y="0"/>
                      <wp:positionH relativeFrom="column">
                        <wp:posOffset>-13970</wp:posOffset>
                      </wp:positionH>
                      <wp:positionV relativeFrom="paragraph">
                        <wp:posOffset>62865</wp:posOffset>
                      </wp:positionV>
                      <wp:extent cx="1582420" cy="944880"/>
                      <wp:effectExtent l="0" t="38100" r="55880" b="2667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94488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6DFA3294" id="Straight Arrow Connector 48" o:spid="_x0000_s1026" type="#_x0000_t32" style="position:absolute;margin-left:-1.1pt;margin-top:4.95pt;width:124.6pt;height:74.4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" strokecolor="red" strokeweight="1.5pt">
                      <v:stroke endarrow="block"/>
                      <o:lock v:ext="edit" shapetype="f"/>
                    </v:shape>
                  </w:pict>
                </mc:Fallback>
              </mc:AlternateContent>
            </w:r>
            <w:r>
              <w:rPr>
                <w:noProof/>
                <w:lang w:eastAsia="en-NZ"/>
              </w:rPr>
              <mc:AlternateContent>
                <mc:Choice Requires="wps">
                  <w:drawing>
                    <wp:anchor distT="0" distB="0" distL="114300" distR="114300" simplePos="0" relativeHeight="251661824" behindDoc="0" locked="0" layoutInCell="1" allowOverlap="1">
                      <wp:simplePos x="0" y="0"/>
                      <wp:positionH relativeFrom="column">
                        <wp:posOffset>-13335</wp:posOffset>
                      </wp:positionH>
                      <wp:positionV relativeFrom="paragraph">
                        <wp:posOffset>63500</wp:posOffset>
                      </wp:positionV>
                      <wp:extent cx="1582420" cy="168910"/>
                      <wp:effectExtent l="15240" t="15875" r="31115" b="62865"/>
                      <wp:wrapNone/>
                      <wp:docPr id="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16891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2ADB712" id="Straight Arrow Connector 38" o:spid="_x0000_s1026" type="#_x0000_t32" style="position:absolute;margin-left:-1.05pt;margin-top:5pt;width:124.6pt;height:13.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9</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Lung cancer</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2.9</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10</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Skin diseases</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2.6</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62848" behindDoc="0" locked="0" layoutInCell="1" allowOverlap="1">
                      <wp:simplePos x="0" y="0"/>
                      <wp:positionH relativeFrom="column">
                        <wp:posOffset>-15240</wp:posOffset>
                      </wp:positionH>
                      <wp:positionV relativeFrom="paragraph">
                        <wp:posOffset>74295</wp:posOffset>
                      </wp:positionV>
                      <wp:extent cx="1582420" cy="168275"/>
                      <wp:effectExtent l="13335" t="17145" r="33020" b="62230"/>
                      <wp:wrapNone/>
                      <wp:docPr id="7"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168275"/>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9C7F926" id="Straight Arrow Connector 43" o:spid="_x0000_s1026" type="#_x0000_t32" style="position:absolute;margin-left:-1.2pt;margin-top:5.85pt;width:124.6pt;height:1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10</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Asthma</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2.7</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11</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Dementia</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2.4</w:t>
            </w:r>
          </w:p>
        </w:tc>
        <w:tc>
          <w:tcPr>
            <w:tcW w:w="2552" w:type="dxa"/>
            <w:tcBorders>
              <w:top w:val="nil"/>
              <w:bottom w:val="nil"/>
            </w:tcBorders>
            <w:shd w:val="clear" w:color="auto" w:fill="auto"/>
          </w:tcPr>
          <w:p w:rsidR="002263BB" w:rsidRPr="002B3B21" w:rsidRDefault="002263BB" w:rsidP="002B3B21">
            <w:pPr>
              <w:pStyle w:val="TableText"/>
              <w:spacing w:before="25" w:after="25"/>
              <w:rPr>
                <w:sz w:val="16"/>
                <w:szCs w:val="16"/>
              </w:rPr>
            </w:pP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11</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Skin diseases</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2.7</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12</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Birth defects</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2.4</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75136" behindDoc="0" locked="0" layoutInCell="1" allowOverlap="1">
                      <wp:simplePos x="0" y="0"/>
                      <wp:positionH relativeFrom="column">
                        <wp:posOffset>-13970</wp:posOffset>
                      </wp:positionH>
                      <wp:positionV relativeFrom="paragraph">
                        <wp:posOffset>74930</wp:posOffset>
                      </wp:positionV>
                      <wp:extent cx="1582420" cy="1544320"/>
                      <wp:effectExtent l="0" t="38100" r="55880" b="1778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154432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7083DFE6" id="Straight Arrow Connector 62" o:spid="_x0000_s1026" type="#_x0000_t32" style="position:absolute;margin-left:-1.1pt;margin-top:5.9pt;width:124.6pt;height:121.6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" strokecolor="red" strokeweight="1.5pt">
                      <v:stroke endarrow="block"/>
                      <o:lock v:ext="edit" shapetype="f"/>
                    </v:shape>
                  </w:pict>
                </mc:Fallback>
              </mc:AlternateContent>
            </w:r>
            <w:r>
              <w:rPr>
                <w:noProof/>
                <w:lang w:eastAsia="en-NZ"/>
              </w:rPr>
              <mc:AlternateContent>
                <mc:Choice Requires="wps">
                  <w:drawing>
                    <wp:anchor distT="0" distB="0" distL="114300" distR="114300" simplePos="0" relativeHeight="251664896" behindDoc="0" locked="0" layoutInCell="1" allowOverlap="1">
                      <wp:simplePos x="0" y="0"/>
                      <wp:positionH relativeFrom="column">
                        <wp:posOffset>-13335</wp:posOffset>
                      </wp:positionH>
                      <wp:positionV relativeFrom="paragraph">
                        <wp:posOffset>74930</wp:posOffset>
                      </wp:positionV>
                      <wp:extent cx="1582420" cy="944880"/>
                      <wp:effectExtent l="15240" t="17780" r="50165" b="56515"/>
                      <wp:wrapNone/>
                      <wp:docPr id="6"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94488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1606765" id="Straight Arrow Connector 45" o:spid="_x0000_s1026" type="#_x0000_t32" style="position:absolute;margin-left:-1.05pt;margin-top:5.9pt;width:124.6pt;height:7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12</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Diabetes</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2.6</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13</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Bowel cancer</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2.4</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66944" behindDoc="0" locked="0" layoutInCell="1" allowOverlap="1">
                      <wp:simplePos x="0" y="0"/>
                      <wp:positionH relativeFrom="column">
                        <wp:posOffset>-13970</wp:posOffset>
                      </wp:positionH>
                      <wp:positionV relativeFrom="paragraph">
                        <wp:posOffset>73660</wp:posOffset>
                      </wp:positionV>
                      <wp:extent cx="1582420" cy="168910"/>
                      <wp:effectExtent l="0" t="57150" r="17780" b="2159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16891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40DC0CBE" id="Straight Arrow Connector 47" o:spid="_x0000_s1026" type="#_x0000_t32" style="position:absolute;margin-left:-1.1pt;margin-top:5.8pt;width:124.6pt;height:13.3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" strokecolor="red" strokeweight="1.5pt">
                      <v:stroke endarrow="block"/>
                      <o:lock v:ext="edit" shapetype="f"/>
                    </v:shape>
                  </w:pict>
                </mc:Fallback>
              </mc:AlternateContent>
            </w:r>
            <w:r>
              <w:rPr>
                <w:noProof/>
                <w:lang w:eastAsia="en-NZ"/>
              </w:rPr>
              <mc:AlternateContent>
                <mc:Choice Requires="wps">
                  <w:drawing>
                    <wp:anchor distT="0" distB="0" distL="114300" distR="114300" simplePos="0" relativeHeight="251665920" behindDoc="0" locked="0" layoutInCell="1" allowOverlap="1">
                      <wp:simplePos x="0" y="0"/>
                      <wp:positionH relativeFrom="column">
                        <wp:posOffset>-15240</wp:posOffset>
                      </wp:positionH>
                      <wp:positionV relativeFrom="paragraph">
                        <wp:posOffset>71755</wp:posOffset>
                      </wp:positionV>
                      <wp:extent cx="1582420" cy="168275"/>
                      <wp:effectExtent l="13335" t="14605" r="33020" b="64770"/>
                      <wp:wrapNone/>
                      <wp:docPr id="5"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168275"/>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880AD8F" id="Straight Arrow Connector 46" o:spid="_x0000_s1026" type="#_x0000_t32" style="position:absolute;margin-left:-1.2pt;margin-top:5.65pt;width:124.6pt;height:1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13</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Migraine</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2.4</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14</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Migraine</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2.4</w:t>
            </w:r>
          </w:p>
        </w:tc>
        <w:tc>
          <w:tcPr>
            <w:tcW w:w="2552" w:type="dxa"/>
            <w:tcBorders>
              <w:top w:val="nil"/>
              <w:bottom w:val="nil"/>
            </w:tcBorders>
            <w:shd w:val="clear" w:color="auto" w:fill="auto"/>
          </w:tcPr>
          <w:p w:rsidR="002263BB" w:rsidRPr="002B3B21" w:rsidRDefault="002263BB" w:rsidP="002B3B21">
            <w:pPr>
              <w:pStyle w:val="TableText"/>
              <w:spacing w:before="25" w:after="25"/>
              <w:rPr>
                <w:sz w:val="16"/>
                <w:szCs w:val="16"/>
              </w:rPr>
            </w:pP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14</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Bowel cancer</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2.3</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15</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Lung cancer</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2.3</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70016" behindDoc="0" locked="0" layoutInCell="1" allowOverlap="1">
                      <wp:simplePos x="0" y="0"/>
                      <wp:positionH relativeFrom="column">
                        <wp:posOffset>-13970</wp:posOffset>
                      </wp:positionH>
                      <wp:positionV relativeFrom="paragraph">
                        <wp:posOffset>78105</wp:posOffset>
                      </wp:positionV>
                      <wp:extent cx="1582420" cy="307340"/>
                      <wp:effectExtent l="0" t="57150" r="0" b="3556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30734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627C3049" id="Straight Arrow Connector 50" o:spid="_x0000_s1026" type="#_x0000_t32" style="position:absolute;margin-left:-1.1pt;margin-top:6.15pt;width:124.6pt;height:24.2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" strokecolor="red" strokeweight="1.5pt">
                      <v:stroke endarrow="block"/>
                      <o:lock v:ext="edit" shapetype="f"/>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15</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CKD</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2.2</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16</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Gynae</w:t>
            </w:r>
            <w:r w:rsidR="00FD7F00" w:rsidRPr="002B3B21">
              <w:rPr>
                <w:sz w:val="16"/>
                <w:szCs w:val="16"/>
              </w:rPr>
              <w:t>cological</w:t>
            </w:r>
            <w:r w:rsidRPr="002B3B21">
              <w:rPr>
                <w:sz w:val="16"/>
                <w:szCs w:val="16"/>
              </w:rPr>
              <w:t xml:space="preserve"> cancer</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1.9</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73088" behindDoc="0" locked="0" layoutInCell="1" allowOverlap="1">
                      <wp:simplePos x="0" y="0"/>
                      <wp:positionH relativeFrom="column">
                        <wp:posOffset>-13970</wp:posOffset>
                      </wp:positionH>
                      <wp:positionV relativeFrom="paragraph">
                        <wp:posOffset>69850</wp:posOffset>
                      </wp:positionV>
                      <wp:extent cx="1582420" cy="645160"/>
                      <wp:effectExtent l="0" t="38100" r="55880" b="2159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64516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18FC84E4" id="Straight Arrow Connector 53" o:spid="_x0000_s1026" type="#_x0000_t32" style="position:absolute;margin-left:-1.1pt;margin-top:5.5pt;width:124.6pt;height:50.8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" strokecolor="red" strokeweight="1.5pt">
                      <v:stroke endarrow="block"/>
                      <o:lock v:ext="edit" shapetype="f"/>
                    </v:shape>
                  </w:pict>
                </mc:Fallback>
              </mc:AlternateContent>
            </w:r>
            <w:r>
              <w:rPr>
                <w:noProof/>
                <w:lang w:eastAsia="en-NZ"/>
              </w:rPr>
              <mc:AlternateContent>
                <mc:Choice Requires="wps">
                  <w:drawing>
                    <wp:anchor distT="0" distB="0" distL="114300" distR="114300" simplePos="0" relativeHeight="251668992" behindDoc="0" locked="0" layoutInCell="1" allowOverlap="1">
                      <wp:simplePos x="0" y="0"/>
                      <wp:positionH relativeFrom="column">
                        <wp:posOffset>-15240</wp:posOffset>
                      </wp:positionH>
                      <wp:positionV relativeFrom="paragraph">
                        <wp:posOffset>67945</wp:posOffset>
                      </wp:positionV>
                      <wp:extent cx="1582420" cy="168275"/>
                      <wp:effectExtent l="13335" t="10795" r="33020" b="59055"/>
                      <wp:wrapNone/>
                      <wp:docPr id="4"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168275"/>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0EB95E9" id="Straight Arrow Connector 49" o:spid="_x0000_s1026" type="#_x0000_t32" style="position:absolute;margin-left:-1.2pt;margin-top:5.35pt;width:124.6pt;height:1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16</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Arthritis</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2.1</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17</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CKD</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1.7</w:t>
            </w:r>
          </w:p>
        </w:tc>
        <w:tc>
          <w:tcPr>
            <w:tcW w:w="2552" w:type="dxa"/>
            <w:tcBorders>
              <w:top w:val="nil"/>
              <w:bottom w:val="nil"/>
            </w:tcBorders>
            <w:shd w:val="clear" w:color="auto" w:fill="auto"/>
          </w:tcPr>
          <w:p w:rsidR="002263BB" w:rsidRPr="002B3B21" w:rsidRDefault="002263BB" w:rsidP="002B3B21">
            <w:pPr>
              <w:pStyle w:val="TableText"/>
              <w:spacing w:before="25" w:after="25"/>
              <w:rPr>
                <w:sz w:val="16"/>
                <w:szCs w:val="16"/>
              </w:rPr>
            </w:pP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17</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Gynae</w:t>
            </w:r>
            <w:r w:rsidR="00FD7F00" w:rsidRPr="002B3B21">
              <w:rPr>
                <w:sz w:val="16"/>
                <w:szCs w:val="16"/>
              </w:rPr>
              <w:t>cological</w:t>
            </w:r>
            <w:r w:rsidRPr="002B3B21">
              <w:rPr>
                <w:sz w:val="16"/>
                <w:szCs w:val="16"/>
              </w:rPr>
              <w:t xml:space="preserve"> cancer</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1.7</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18</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LRI</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1.7</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71040" behindDoc="0" locked="0" layoutInCell="1" allowOverlap="1">
                      <wp:simplePos x="0" y="0"/>
                      <wp:positionH relativeFrom="column">
                        <wp:posOffset>-13335</wp:posOffset>
                      </wp:positionH>
                      <wp:positionV relativeFrom="paragraph">
                        <wp:posOffset>90170</wp:posOffset>
                      </wp:positionV>
                      <wp:extent cx="1582420" cy="760730"/>
                      <wp:effectExtent l="15240" t="13970" r="40640" b="63500"/>
                      <wp:wrapNone/>
                      <wp:docPr id="3"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76073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068DCEC" id="Straight Arrow Connector 51" o:spid="_x0000_s1026" type="#_x0000_t32" style="position:absolute;margin-left:-1.05pt;margin-top:7.1pt;width:124.6pt;height:59.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18</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Birth defects</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1.7</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19</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Neonatal disorders</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1.6</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74112" behindDoc="0" locked="0" layoutInCell="1" allowOverlap="1">
                      <wp:simplePos x="0" y="0"/>
                      <wp:positionH relativeFrom="column">
                        <wp:posOffset>-13970</wp:posOffset>
                      </wp:positionH>
                      <wp:positionV relativeFrom="paragraph">
                        <wp:posOffset>73660</wp:posOffset>
                      </wp:positionV>
                      <wp:extent cx="1582420" cy="314960"/>
                      <wp:effectExtent l="0" t="57150" r="0" b="2794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31496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191843F7" id="Straight Arrow Connector 55" o:spid="_x0000_s1026" type="#_x0000_t32" style="position:absolute;margin-left:-1.1pt;margin-top:5.8pt;width:124.6pt;height:24.8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" strokecolor="red" strokeweight="1.5pt">
                      <v:stroke endarrow="block"/>
                      <o:lock v:ext="edit" shapetype="f"/>
                    </v:shape>
                  </w:pict>
                </mc:Fallback>
              </mc:AlternateContent>
            </w:r>
            <w:r>
              <w:rPr>
                <w:noProof/>
                <w:lang w:eastAsia="en-NZ"/>
              </w:rPr>
              <mc:AlternateContent>
                <mc:Choice Requires="wps">
                  <w:drawing>
                    <wp:anchor distT="0" distB="0" distL="114300" distR="114300" simplePos="0" relativeHeight="251672064" behindDoc="0" locked="0" layoutInCell="1" allowOverlap="1">
                      <wp:simplePos x="0" y="0"/>
                      <wp:positionH relativeFrom="column">
                        <wp:posOffset>-13335</wp:posOffset>
                      </wp:positionH>
                      <wp:positionV relativeFrom="paragraph">
                        <wp:posOffset>73660</wp:posOffset>
                      </wp:positionV>
                      <wp:extent cx="1582420" cy="461010"/>
                      <wp:effectExtent l="15240" t="16510" r="40640" b="65405"/>
                      <wp:wrapNone/>
                      <wp:docPr id="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2420" cy="461010"/>
                              </a:xfrm>
                              <a:prstGeom prst="straightConnector1">
                                <a:avLst/>
                              </a:prstGeom>
                              <a:noFill/>
                              <a:ln w="19050" algn="ctr">
                                <a:solidFill>
                                  <a:srgbClr val="92D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51442A4" id="Straight Arrow Connector 52" o:spid="_x0000_s1026" type="#_x0000_t32" style="position:absolute;margin-left:-1.05pt;margin-top:5.8pt;width:124.6pt;height:3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" strokecolor="#92d050" strokeweight="1.5pt">
                      <v:stroke endarrow="block"/>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19</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Psychotic disorders</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1.7</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20</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Arthritis</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1.6</w:t>
            </w:r>
          </w:p>
        </w:tc>
        <w:tc>
          <w:tcPr>
            <w:tcW w:w="2552" w:type="dxa"/>
            <w:tcBorders>
              <w:top w:val="nil"/>
              <w:bottom w:val="nil"/>
            </w:tcBorders>
            <w:shd w:val="clear" w:color="auto" w:fill="auto"/>
          </w:tcPr>
          <w:p w:rsidR="002263BB" w:rsidRPr="002B3B21" w:rsidRDefault="005122BD" w:rsidP="002B3B21">
            <w:pPr>
              <w:pStyle w:val="TableText"/>
              <w:spacing w:before="25" w:after="25"/>
              <w:rPr>
                <w:sz w:val="16"/>
                <w:szCs w:val="16"/>
              </w:rPr>
            </w:pPr>
            <w:r>
              <w:rPr>
                <w:noProof/>
                <w:lang w:eastAsia="en-NZ"/>
              </w:rPr>
              <mc:AlternateContent>
                <mc:Choice Requires="wps">
                  <w:drawing>
                    <wp:anchor distT="0" distB="0" distL="114300" distR="114300" simplePos="0" relativeHeight="251676160" behindDoc="0" locked="0" layoutInCell="1" allowOverlap="1">
                      <wp:simplePos x="0" y="0"/>
                      <wp:positionH relativeFrom="column">
                        <wp:posOffset>-13970</wp:posOffset>
                      </wp:positionH>
                      <wp:positionV relativeFrom="paragraph">
                        <wp:posOffset>95250</wp:posOffset>
                      </wp:positionV>
                      <wp:extent cx="1582420" cy="445770"/>
                      <wp:effectExtent l="0" t="57150" r="0" b="3048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2420" cy="445770"/>
                              </a:xfrm>
                              <a:prstGeom prst="straightConnector1">
                                <a:avLst/>
                              </a:prstGeom>
                              <a:noFill/>
                              <a:ln w="19050" cap="flat" cmpd="sng" algn="ctr">
                                <a:solidFill>
                                  <a:srgbClr val="FF0000"/>
                                </a:solidFill>
                                <a:prstDash val="solid"/>
                                <a:headEnd type="none" w="med" len="med"/>
                                <a:tailEnd type="triangle" w="med" len="med"/>
                              </a:ln>
                              <a:effectLst/>
                            </wps:spPr>
                            <wps:bodyPr/>
                          </wps:wsp>
                        </a:graphicData>
                      </a:graphic>
                      <wp14:sizeRelH relativeFrom="page">
                        <wp14:pctWidth>0</wp14:pctWidth>
                      </wp14:sizeRelH>
                      <wp14:sizeRelV relativeFrom="margin">
                        <wp14:pctHeight>0</wp14:pctHeight>
                      </wp14:sizeRelV>
                    </wp:anchor>
                  </w:drawing>
                </mc:Choice>
                <mc:Fallback>
                  <w:pict>
                    <v:shape w14:anchorId="3164A335" id="Straight Arrow Connector 79" o:spid="_x0000_s1026" type="#_x0000_t32" style="position:absolute;margin-left:-1.1pt;margin-top:7.5pt;width:124.6pt;height:35.1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" strokecolor="red" strokeweight="1.5pt">
                      <v:stroke endarrow="block"/>
                      <o:lock v:ext="edit" shapetype="f"/>
                    </v:shape>
                  </w:pict>
                </mc:Fallback>
              </mc:AlternateContent>
            </w: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20</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Dental disorders</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1.6</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21</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Psychotic disorders</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1.5</w:t>
            </w:r>
          </w:p>
        </w:tc>
        <w:tc>
          <w:tcPr>
            <w:tcW w:w="2552" w:type="dxa"/>
            <w:tcBorders>
              <w:top w:val="nil"/>
              <w:bottom w:val="nil"/>
            </w:tcBorders>
            <w:shd w:val="clear" w:color="auto" w:fill="auto"/>
          </w:tcPr>
          <w:p w:rsidR="002263BB" w:rsidRPr="002B3B21" w:rsidRDefault="002263BB" w:rsidP="002B3B21">
            <w:pPr>
              <w:pStyle w:val="TableText"/>
              <w:spacing w:before="25" w:after="25"/>
              <w:rPr>
                <w:sz w:val="16"/>
                <w:szCs w:val="16"/>
              </w:rPr>
            </w:pP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22</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Transport injury</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1.5</w:t>
            </w:r>
          </w:p>
        </w:tc>
      </w:tr>
      <w:tr w:rsidR="00865AC9" w:rsidRPr="002263BB" w:rsidTr="002B3B21">
        <w:trPr>
          <w:cantSplit/>
        </w:trPr>
        <w:tc>
          <w:tcPr>
            <w:tcW w:w="709"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22</w:t>
            </w:r>
          </w:p>
        </w:tc>
        <w:tc>
          <w:tcPr>
            <w:tcW w:w="1964"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Diabetes</w:t>
            </w:r>
          </w:p>
        </w:tc>
        <w:tc>
          <w:tcPr>
            <w:tcW w:w="871"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1.5</w:t>
            </w:r>
          </w:p>
        </w:tc>
        <w:tc>
          <w:tcPr>
            <w:tcW w:w="2552" w:type="dxa"/>
            <w:tcBorders>
              <w:top w:val="nil"/>
              <w:bottom w:val="nil"/>
            </w:tcBorders>
            <w:shd w:val="clear" w:color="auto" w:fill="auto"/>
          </w:tcPr>
          <w:p w:rsidR="002263BB" w:rsidRPr="002B3B21" w:rsidRDefault="002263BB" w:rsidP="002B3B21">
            <w:pPr>
              <w:pStyle w:val="TableText"/>
              <w:spacing w:before="25" w:after="25"/>
              <w:rPr>
                <w:sz w:val="16"/>
                <w:szCs w:val="16"/>
              </w:rPr>
            </w:pPr>
          </w:p>
        </w:tc>
        <w:tc>
          <w:tcPr>
            <w:tcW w:w="750" w:type="dxa"/>
            <w:tcBorders>
              <w:top w:val="single" w:sz="4" w:space="0" w:color="A6A6A6"/>
              <w:bottom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25</w:t>
            </w:r>
          </w:p>
        </w:tc>
        <w:tc>
          <w:tcPr>
            <w:tcW w:w="1923" w:type="dxa"/>
            <w:tcBorders>
              <w:top w:val="single" w:sz="4" w:space="0" w:color="A6A6A6"/>
              <w:bottom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Neonatal disorders</w:t>
            </w:r>
          </w:p>
        </w:tc>
        <w:tc>
          <w:tcPr>
            <w:tcW w:w="587" w:type="dxa"/>
            <w:tcBorders>
              <w:top w:val="single" w:sz="4" w:space="0" w:color="A6A6A6"/>
              <w:bottom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1.2</w:t>
            </w:r>
          </w:p>
        </w:tc>
      </w:tr>
      <w:tr w:rsidR="00865AC9" w:rsidRPr="002263BB" w:rsidTr="002B3B21">
        <w:trPr>
          <w:cantSplit/>
        </w:trPr>
        <w:tc>
          <w:tcPr>
            <w:tcW w:w="709" w:type="dxa"/>
            <w:tcBorders>
              <w:top w:val="single" w:sz="4" w:space="0" w:color="A6A6A6"/>
            </w:tcBorders>
            <w:shd w:val="clear" w:color="auto" w:fill="auto"/>
          </w:tcPr>
          <w:p w:rsidR="002263BB" w:rsidRPr="002B3B21" w:rsidRDefault="002263BB" w:rsidP="002B3B21">
            <w:pPr>
              <w:pStyle w:val="TableText"/>
              <w:tabs>
                <w:tab w:val="decimal" w:pos="227"/>
              </w:tabs>
              <w:spacing w:before="25" w:after="25"/>
              <w:rPr>
                <w:sz w:val="16"/>
                <w:szCs w:val="16"/>
              </w:rPr>
            </w:pPr>
            <w:r w:rsidRPr="002B3B21">
              <w:rPr>
                <w:sz w:val="16"/>
                <w:szCs w:val="16"/>
              </w:rPr>
              <w:t>24</w:t>
            </w:r>
          </w:p>
        </w:tc>
        <w:tc>
          <w:tcPr>
            <w:tcW w:w="1964" w:type="dxa"/>
            <w:tcBorders>
              <w:top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Dental disorders</w:t>
            </w:r>
          </w:p>
        </w:tc>
        <w:tc>
          <w:tcPr>
            <w:tcW w:w="871" w:type="dxa"/>
            <w:tcBorders>
              <w:top w:val="single" w:sz="4" w:space="0" w:color="A6A6A6"/>
            </w:tcBorders>
            <w:shd w:val="clear" w:color="auto" w:fill="auto"/>
          </w:tcPr>
          <w:p w:rsidR="002263BB" w:rsidRPr="002B3B21" w:rsidRDefault="0097232E" w:rsidP="002B3B21">
            <w:pPr>
              <w:pStyle w:val="TableText"/>
              <w:tabs>
                <w:tab w:val="decimal" w:pos="389"/>
              </w:tabs>
              <w:spacing w:before="25" w:after="25"/>
              <w:rPr>
                <w:sz w:val="16"/>
                <w:szCs w:val="16"/>
              </w:rPr>
            </w:pPr>
            <w:r w:rsidRPr="002B3B21">
              <w:rPr>
                <w:sz w:val="16"/>
                <w:szCs w:val="16"/>
              </w:rPr>
              <w:t>1.4</w:t>
            </w:r>
          </w:p>
        </w:tc>
        <w:tc>
          <w:tcPr>
            <w:tcW w:w="2552" w:type="dxa"/>
            <w:tcBorders>
              <w:top w:val="nil"/>
              <w:bottom w:val="nil"/>
            </w:tcBorders>
            <w:shd w:val="clear" w:color="auto" w:fill="auto"/>
          </w:tcPr>
          <w:p w:rsidR="002263BB" w:rsidRPr="002B3B21" w:rsidRDefault="002263BB" w:rsidP="002B3B21">
            <w:pPr>
              <w:pStyle w:val="TableText"/>
              <w:spacing w:before="25" w:after="25"/>
              <w:rPr>
                <w:sz w:val="16"/>
                <w:szCs w:val="16"/>
              </w:rPr>
            </w:pPr>
          </w:p>
        </w:tc>
        <w:tc>
          <w:tcPr>
            <w:tcW w:w="750" w:type="dxa"/>
            <w:tcBorders>
              <w:top w:val="single" w:sz="4" w:space="0" w:color="A6A6A6"/>
            </w:tcBorders>
            <w:shd w:val="clear" w:color="auto" w:fill="auto"/>
          </w:tcPr>
          <w:p w:rsidR="002263BB" w:rsidRPr="002B3B21" w:rsidRDefault="002263BB" w:rsidP="002B3B21">
            <w:pPr>
              <w:pStyle w:val="TableText"/>
              <w:tabs>
                <w:tab w:val="decimal" w:pos="309"/>
              </w:tabs>
              <w:spacing w:before="25" w:after="25"/>
              <w:rPr>
                <w:sz w:val="16"/>
                <w:szCs w:val="16"/>
              </w:rPr>
            </w:pPr>
            <w:r w:rsidRPr="002B3B21">
              <w:rPr>
                <w:sz w:val="16"/>
                <w:szCs w:val="16"/>
              </w:rPr>
              <w:t>29</w:t>
            </w:r>
          </w:p>
        </w:tc>
        <w:tc>
          <w:tcPr>
            <w:tcW w:w="1923" w:type="dxa"/>
            <w:tcBorders>
              <w:top w:val="single" w:sz="4" w:space="0" w:color="A6A6A6"/>
            </w:tcBorders>
            <w:shd w:val="clear" w:color="auto" w:fill="auto"/>
          </w:tcPr>
          <w:p w:rsidR="002263BB" w:rsidRPr="002B3B21" w:rsidRDefault="002263BB" w:rsidP="002B3B21">
            <w:pPr>
              <w:pStyle w:val="TableText"/>
              <w:spacing w:before="25" w:after="25"/>
              <w:rPr>
                <w:sz w:val="16"/>
                <w:szCs w:val="16"/>
              </w:rPr>
            </w:pPr>
            <w:r w:rsidRPr="002B3B21">
              <w:rPr>
                <w:sz w:val="16"/>
                <w:szCs w:val="16"/>
              </w:rPr>
              <w:t>LRI</w:t>
            </w:r>
          </w:p>
        </w:tc>
        <w:tc>
          <w:tcPr>
            <w:tcW w:w="587" w:type="dxa"/>
            <w:tcBorders>
              <w:top w:val="single" w:sz="4" w:space="0" w:color="A6A6A6"/>
            </w:tcBorders>
            <w:shd w:val="clear" w:color="auto" w:fill="auto"/>
          </w:tcPr>
          <w:p w:rsidR="002263BB" w:rsidRPr="002B3B21" w:rsidRDefault="0097232E" w:rsidP="002B3B21">
            <w:pPr>
              <w:pStyle w:val="TableText"/>
              <w:tabs>
                <w:tab w:val="decimal" w:pos="247"/>
              </w:tabs>
              <w:spacing w:before="25" w:after="25"/>
              <w:rPr>
                <w:sz w:val="16"/>
                <w:szCs w:val="16"/>
              </w:rPr>
            </w:pPr>
            <w:r w:rsidRPr="002B3B21">
              <w:rPr>
                <w:sz w:val="16"/>
                <w:szCs w:val="16"/>
              </w:rPr>
              <w:t>0.7</w:t>
            </w:r>
          </w:p>
        </w:tc>
      </w:tr>
    </w:tbl>
    <w:p w:rsidR="002263BB" w:rsidRPr="002263BB" w:rsidRDefault="002263BB" w:rsidP="002263BB">
      <w:pPr>
        <w:pStyle w:val="Note"/>
        <w:ind w:left="0" w:right="0" w:firstLine="0"/>
        <w:rPr>
          <w:sz w:val="16"/>
          <w:szCs w:val="16"/>
        </w:rPr>
      </w:pPr>
      <w:r w:rsidRPr="002263BB">
        <w:rPr>
          <w:sz w:val="16"/>
          <w:szCs w:val="16"/>
        </w:rPr>
        <w:t xml:space="preserve">Neonatal disorders include complications of prematurity, neonatal encephalopathy, and sepsis only, </w:t>
      </w:r>
      <w:r w:rsidRPr="002263BB">
        <w:rPr>
          <w:b/>
          <w:sz w:val="16"/>
          <w:szCs w:val="16"/>
        </w:rPr>
        <w:t>not</w:t>
      </w:r>
      <w:r w:rsidRPr="002263BB">
        <w:rPr>
          <w:sz w:val="16"/>
          <w:szCs w:val="16"/>
        </w:rPr>
        <w:t xml:space="preserve"> birth defects or sudden unexpected death in infancy.</w:t>
      </w:r>
    </w:p>
    <w:p w:rsidR="002263BB" w:rsidRPr="002263BB" w:rsidRDefault="002263BB" w:rsidP="002263BB">
      <w:pPr>
        <w:pStyle w:val="Note"/>
        <w:spacing w:before="40"/>
        <w:ind w:left="0" w:right="0" w:firstLine="0"/>
        <w:rPr>
          <w:sz w:val="16"/>
          <w:szCs w:val="16"/>
        </w:rPr>
      </w:pPr>
      <w:r w:rsidRPr="002263BB">
        <w:rPr>
          <w:sz w:val="16"/>
          <w:szCs w:val="16"/>
        </w:rPr>
        <w:t>Key: Black arrow = stable rank; green arrow = decreasing rank; red arrow = increasing rank; CHD = coronary heart disease, COPD</w:t>
      </w:r>
      <w:r w:rsidR="00FD7F00">
        <w:rPr>
          <w:sz w:val="16"/>
          <w:szCs w:val="16"/>
        </w:rPr>
        <w:t> </w:t>
      </w:r>
      <w:r w:rsidRPr="002263BB">
        <w:rPr>
          <w:sz w:val="16"/>
          <w:szCs w:val="16"/>
        </w:rPr>
        <w:t>= chronic obstructive pulmonary disease, CKD = chronic kidney disease.</w:t>
      </w:r>
    </w:p>
    <w:p w:rsidR="002263BB" w:rsidRPr="002263BB" w:rsidRDefault="002263BB" w:rsidP="002263BB">
      <w:pPr>
        <w:pStyle w:val="Note"/>
        <w:spacing w:before="40"/>
        <w:ind w:left="0" w:right="0" w:firstLine="0"/>
        <w:rPr>
          <w:sz w:val="16"/>
          <w:szCs w:val="16"/>
        </w:rPr>
      </w:pPr>
      <w:r w:rsidRPr="002263BB">
        <w:rPr>
          <w:sz w:val="16"/>
          <w:szCs w:val="16"/>
        </w:rPr>
        <w:t>Notes: (1) Ranks are based on relative shares (percentage contribution to total DALYs). Some conditions (</w:t>
      </w:r>
      <w:proofErr w:type="spellStart"/>
      <w:r w:rsidRPr="002263BB">
        <w:rPr>
          <w:sz w:val="16"/>
          <w:szCs w:val="16"/>
        </w:rPr>
        <w:t>eg</w:t>
      </w:r>
      <w:proofErr w:type="spellEnd"/>
      <w:r w:rsidRPr="002263BB">
        <w:rPr>
          <w:sz w:val="16"/>
          <w:szCs w:val="16"/>
        </w:rPr>
        <w:t>, diabetes from 2005 onwards) may increase in relative share (and hence rank) even though their absolute age-standardised DALY rates are stable or decreasing. (2) Confidence intervals not shown for clarity of presentation.</w:t>
      </w:r>
    </w:p>
    <w:p w:rsidR="00EF72D1" w:rsidRDefault="00EF72D1" w:rsidP="000F4F37">
      <w:pPr>
        <w:spacing w:before="240"/>
      </w:pPr>
      <w:r>
        <w:lastRenderedPageBreak/>
        <w:t>Conditions that have moved up in rank order from 1990–2013 include diabetes and dementia in both genders, prostate cancer in males and lung cancer in females.</w:t>
      </w:r>
    </w:p>
    <w:p w:rsidR="00EF72D1" w:rsidRDefault="00EF72D1" w:rsidP="000964BD"/>
    <w:p w:rsidR="00EF72D1" w:rsidRPr="005649FD" w:rsidRDefault="00EF72D1" w:rsidP="000964BD">
      <w:r w:rsidRPr="005649FD">
        <w:t xml:space="preserve">Diabetes has </w:t>
      </w:r>
      <w:r>
        <w:t>advanced</w:t>
      </w:r>
      <w:r w:rsidRPr="005649FD">
        <w:t xml:space="preserve"> most in rank over the past quarter century, from </w:t>
      </w:r>
      <w:r w:rsidRPr="005554AD">
        <w:t>16</w:t>
      </w:r>
      <w:r w:rsidRPr="00404D64">
        <w:t>th</w:t>
      </w:r>
      <w:r w:rsidRPr="005554AD">
        <w:t xml:space="preserve"> to 7</w:t>
      </w:r>
      <w:r w:rsidRPr="00404D64">
        <w:t>th</w:t>
      </w:r>
      <w:r w:rsidRPr="005649FD">
        <w:t xml:space="preserve"> </w:t>
      </w:r>
      <w:r>
        <w:t xml:space="preserve">among </w:t>
      </w:r>
      <w:r w:rsidRPr="005649FD">
        <w:t xml:space="preserve">males and from </w:t>
      </w:r>
      <w:r w:rsidRPr="005554AD">
        <w:t>22</w:t>
      </w:r>
      <w:r w:rsidRPr="00404D64">
        <w:t>nd</w:t>
      </w:r>
      <w:r w:rsidRPr="005649FD">
        <w:t xml:space="preserve"> to </w:t>
      </w:r>
      <w:r w:rsidRPr="005554AD">
        <w:t>12</w:t>
      </w:r>
      <w:r w:rsidRPr="00404D64">
        <w:t>th</w:t>
      </w:r>
      <w:r w:rsidRPr="005649FD">
        <w:t xml:space="preserve"> </w:t>
      </w:r>
      <w:r>
        <w:t xml:space="preserve">among </w:t>
      </w:r>
      <w:r w:rsidRPr="005649FD">
        <w:t xml:space="preserve">females. Dementia has also risen </w:t>
      </w:r>
      <w:r>
        <w:t xml:space="preserve">rapidly in rank, </w:t>
      </w:r>
      <w:r w:rsidRPr="005649FD">
        <w:t xml:space="preserve">from </w:t>
      </w:r>
      <w:r w:rsidRPr="005554AD">
        <w:t>22</w:t>
      </w:r>
      <w:r w:rsidRPr="00404D64">
        <w:t>nd</w:t>
      </w:r>
      <w:r w:rsidRPr="005554AD">
        <w:t xml:space="preserve"> to 13</w:t>
      </w:r>
      <w:r w:rsidRPr="00404D64">
        <w:t>th</w:t>
      </w:r>
      <w:r w:rsidRPr="005554AD">
        <w:t xml:space="preserve"> </w:t>
      </w:r>
      <w:r>
        <w:t xml:space="preserve">among </w:t>
      </w:r>
      <w:r w:rsidRPr="005649FD">
        <w:t xml:space="preserve">males and </w:t>
      </w:r>
      <w:r>
        <w:t xml:space="preserve">from </w:t>
      </w:r>
      <w:r w:rsidRPr="005554AD">
        <w:t>11</w:t>
      </w:r>
      <w:r w:rsidRPr="00404D64">
        <w:t>th</w:t>
      </w:r>
      <w:r w:rsidRPr="005649FD">
        <w:t xml:space="preserve"> to </w:t>
      </w:r>
      <w:r w:rsidRPr="005554AD">
        <w:t>5</w:t>
      </w:r>
      <w:r w:rsidRPr="00404D64">
        <w:t>th</w:t>
      </w:r>
      <w:r w:rsidRPr="005649FD">
        <w:t xml:space="preserve"> </w:t>
      </w:r>
      <w:r>
        <w:t xml:space="preserve">among </w:t>
      </w:r>
      <w:r w:rsidRPr="005649FD">
        <w:t>females.</w:t>
      </w:r>
    </w:p>
    <w:p w:rsidR="00EF72D1" w:rsidRPr="005649FD" w:rsidRDefault="00EF72D1" w:rsidP="000964BD"/>
    <w:p w:rsidR="00EF72D1" w:rsidRDefault="00EF72D1" w:rsidP="000964BD">
      <w:r>
        <w:t>Conditions that have moved down in rank order from 1990–2013 include transport injury, birth defects and neonatal disorders in both genders; asthma and anxiety disorders in males; and stroke and lower respiratory infection in females.</w:t>
      </w:r>
    </w:p>
    <w:p w:rsidR="000F4F37" w:rsidRDefault="000F4F37" w:rsidP="000964BD"/>
    <w:p w:rsidR="00EF72D1" w:rsidRDefault="00EF72D1" w:rsidP="000964BD">
      <w:pPr>
        <w:pStyle w:val="Heading2"/>
      </w:pPr>
      <w:bookmarkStart w:id="126" w:name="_Toc442416682"/>
      <w:bookmarkStart w:id="127" w:name="_Toc456270688"/>
      <w:r>
        <w:t>Back disorders are the leading specific condition from age 15–64 years</w:t>
      </w:r>
      <w:bookmarkEnd w:id="126"/>
      <w:bookmarkEnd w:id="127"/>
    </w:p>
    <w:p w:rsidR="00EF72D1" w:rsidRDefault="00EF72D1" w:rsidP="000964BD">
      <w:r>
        <w:t xml:space="preserve">The </w:t>
      </w:r>
      <w:r w:rsidR="005D5D9F">
        <w:t>‘</w:t>
      </w:r>
      <w:r>
        <w:t xml:space="preserve">top </w:t>
      </w:r>
      <w:r w:rsidR="000964BD">
        <w:t>10</w:t>
      </w:r>
      <w:r w:rsidR="005D5D9F">
        <w:t>’</w:t>
      </w:r>
      <w:r>
        <w:t xml:space="preserve"> specific conditions account for approximately one-half to three-quarters of all health loss, depending on the lifecycle stage (</w:t>
      </w:r>
      <w:r w:rsidR="000964BD">
        <w:fldChar w:fldCharType="begin"/>
      </w:r>
      <w:r w:rsidR="000964BD">
        <w:instrText xml:space="preserve"> REF _Ref441214498 \h </w:instrText>
      </w:r>
      <w:r w:rsidR="000964BD">
        <w:fldChar w:fldCharType="separate"/>
      </w:r>
      <w:r w:rsidR="006C545C">
        <w:t xml:space="preserve">Table </w:t>
      </w:r>
      <w:r w:rsidR="006C545C">
        <w:rPr>
          <w:noProof/>
        </w:rPr>
        <w:t>3</w:t>
      </w:r>
      <w:r w:rsidR="000964BD">
        <w:fldChar w:fldCharType="end"/>
      </w:r>
      <w:r>
        <w:t>).</w:t>
      </w:r>
    </w:p>
    <w:p w:rsidR="00EF72D1" w:rsidRDefault="00EF72D1" w:rsidP="000964BD"/>
    <w:p w:rsidR="00EF72D1" w:rsidRDefault="00EF72D1" w:rsidP="000964BD">
      <w:r>
        <w:t xml:space="preserve">Leading causes of health loss among young children </w:t>
      </w:r>
      <w:r w:rsidR="0092226F">
        <w:t xml:space="preserve">(0-4 years) </w:t>
      </w:r>
      <w:r>
        <w:t>are birth defects (especially congenital heart disease) and neonatal disorders (especially complications of prematurity). Sudden unexpected death in infancy</w:t>
      </w:r>
      <w:r w:rsidRPr="00977BB2">
        <w:t xml:space="preserve"> </w:t>
      </w:r>
      <w:r>
        <w:t>(SUDI) still ranks third, despite a 71% fall in health loss from this condition since 1990 – the largest relative decline of any leading condition in any age group.</w:t>
      </w:r>
    </w:p>
    <w:p w:rsidR="00EF72D1" w:rsidRDefault="00EF72D1" w:rsidP="000964BD"/>
    <w:p w:rsidR="005D5D9F" w:rsidRDefault="00EF72D1" w:rsidP="000964BD">
      <w:r>
        <w:t>Among older children</w:t>
      </w:r>
      <w:r w:rsidR="0092226F">
        <w:t xml:space="preserve"> (5-14 years)</w:t>
      </w:r>
      <w:r>
        <w:t>, iron deficiency anaemia and asthma are the leading conditions, followed by skin disorders (including eczema, acne and psoriasis).</w:t>
      </w:r>
    </w:p>
    <w:p w:rsidR="00EF72D1" w:rsidRDefault="00EF72D1" w:rsidP="000964BD"/>
    <w:p w:rsidR="00EF72D1" w:rsidRDefault="00EF72D1" w:rsidP="000964BD">
      <w:r>
        <w:t>Among youth, the leading cause of health loss is back disorders. This is followed by two injury categories: transport injuries and self-harm; and then two mental disorders: addictive or substance use disorder</w:t>
      </w:r>
      <w:r w:rsidR="00EA098F">
        <w:t>s (including alcohol and illegal</w:t>
      </w:r>
      <w:r>
        <w:t xml:space="preserve"> drug use disorders) and depressive disorders.</w:t>
      </w:r>
    </w:p>
    <w:p w:rsidR="00EF72D1" w:rsidRDefault="00EF72D1" w:rsidP="000964BD"/>
    <w:p w:rsidR="00EF72D1" w:rsidRDefault="00EF72D1" w:rsidP="000964BD">
      <w:r>
        <w:t>The pattern in young adults is fairly similar to that in youth. Back disorders continue to rank first, followed by several mental disorders (anxiety and depressive disorders, and addictive disorders) and self-harm. Transport injuries just miss out on inclusion in the top five.</w:t>
      </w:r>
    </w:p>
    <w:p w:rsidR="00EF72D1" w:rsidRDefault="00EF72D1" w:rsidP="000964BD"/>
    <w:p w:rsidR="00EF72D1" w:rsidRDefault="00EF72D1" w:rsidP="000964BD">
      <w:r>
        <w:t>Back disorders remain the leading specific cause of health loss in middle age. However, the common NCDs now also feature in the top five: coronary heart disease is in second place, followed by lung cancer and then COPD. Depressive disorders drop to fifth place, narrowly ahead of diabetes.</w:t>
      </w:r>
    </w:p>
    <w:p w:rsidR="00EF72D1" w:rsidRDefault="00EF72D1" w:rsidP="000964BD"/>
    <w:p w:rsidR="00EF72D1" w:rsidRDefault="00EF72D1" w:rsidP="000964BD">
      <w:r>
        <w:t>Coronary heart disease continues to dominate health loss in older people, but the contribution of dementia is rising rapidly; this cause already ranks second among the very old</w:t>
      </w:r>
      <w:r w:rsidR="0092226F">
        <w:t xml:space="preserve"> (75+ years)</w:t>
      </w:r>
      <w:r>
        <w:t xml:space="preserve">, where it has overtaken stroke. COPD, age-related hearing loss, lung cancer, colorectal cancer and diabetes also rank highly among older people. Back disorders are still an important cause of health loss in this age group, as </w:t>
      </w:r>
      <w:r w:rsidR="003D792E">
        <w:t xml:space="preserve">are </w:t>
      </w:r>
      <w:r>
        <w:t>falls in the very old.</w:t>
      </w:r>
    </w:p>
    <w:p w:rsidR="00EF72D1" w:rsidRDefault="00EF72D1" w:rsidP="000964BD"/>
    <w:p w:rsidR="00EF72D1" w:rsidRDefault="00EF72D1" w:rsidP="000964BD">
      <w:pPr>
        <w:pStyle w:val="Table"/>
      </w:pPr>
      <w:bookmarkStart w:id="128" w:name="_Ref441214498"/>
      <w:bookmarkStart w:id="129" w:name="_Ref441477981"/>
      <w:bookmarkStart w:id="130" w:name="_Toc441576069"/>
      <w:bookmarkStart w:id="131" w:name="_Toc454078605"/>
      <w:bookmarkStart w:id="132" w:name="_Toc455733249"/>
      <w:r>
        <w:lastRenderedPageBreak/>
        <w:t xml:space="preserve">Table </w:t>
      </w:r>
      <w:r w:rsidR="00F456CC">
        <w:fldChar w:fldCharType="begin"/>
      </w:r>
      <w:r w:rsidR="00F456CC">
        <w:instrText xml:space="preserve"> SEQ Table \* ARABIC </w:instrText>
      </w:r>
      <w:r w:rsidR="00F456CC">
        <w:fldChar w:fldCharType="separate"/>
      </w:r>
      <w:r w:rsidR="006C545C">
        <w:rPr>
          <w:noProof/>
        </w:rPr>
        <w:t>3</w:t>
      </w:r>
      <w:r w:rsidR="00F456CC">
        <w:rPr>
          <w:noProof/>
        </w:rPr>
        <w:fldChar w:fldCharType="end"/>
      </w:r>
      <w:bookmarkEnd w:id="128"/>
      <w:bookmarkEnd w:id="129"/>
      <w:r>
        <w:t xml:space="preserve">: Contribution of top </w:t>
      </w:r>
      <w:r w:rsidR="002263BB">
        <w:t xml:space="preserve">10 </w:t>
      </w:r>
      <w:r>
        <w:t>leading conditions to health loss (% total DALYs), by lifecycle stage, 2013</w:t>
      </w:r>
      <w:bookmarkEnd w:id="130"/>
      <w:bookmarkEnd w:id="131"/>
      <w:bookmarkEnd w:id="132"/>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1"/>
        <w:gridCol w:w="1220"/>
        <w:gridCol w:w="1220"/>
        <w:gridCol w:w="1220"/>
        <w:gridCol w:w="1220"/>
        <w:gridCol w:w="1220"/>
        <w:gridCol w:w="1220"/>
        <w:gridCol w:w="1222"/>
      </w:tblGrid>
      <w:tr w:rsidR="00EF72D1" w:rsidRPr="000964BD" w:rsidTr="000E5D47">
        <w:trPr>
          <w:cantSplit/>
        </w:trPr>
        <w:tc>
          <w:tcPr>
            <w:tcW w:w="379" w:type="pct"/>
            <w:vMerge w:val="restart"/>
            <w:tcBorders>
              <w:left w:val="nil"/>
              <w:bottom w:val="nil"/>
              <w:right w:val="nil"/>
            </w:tcBorders>
            <w:shd w:val="clear" w:color="auto" w:fill="auto"/>
          </w:tcPr>
          <w:p w:rsidR="00EF72D1" w:rsidRPr="002F0DDA" w:rsidRDefault="00EF72D1" w:rsidP="000964BD">
            <w:pPr>
              <w:pStyle w:val="TableText"/>
              <w:keepNext/>
              <w:jc w:val="both"/>
              <w:rPr>
                <w:b/>
                <w:sz w:val="17"/>
                <w:szCs w:val="17"/>
              </w:rPr>
            </w:pPr>
            <w:r w:rsidRPr="002F0DDA">
              <w:rPr>
                <w:b/>
                <w:sz w:val="17"/>
                <w:szCs w:val="17"/>
              </w:rPr>
              <w:t>Rank</w:t>
            </w:r>
          </w:p>
        </w:tc>
        <w:tc>
          <w:tcPr>
            <w:tcW w:w="4621" w:type="pct"/>
            <w:gridSpan w:val="7"/>
            <w:tcBorders>
              <w:left w:val="nil"/>
              <w:bottom w:val="single" w:sz="4" w:space="0" w:color="A6A6A6"/>
              <w:right w:val="nil"/>
            </w:tcBorders>
          </w:tcPr>
          <w:p w:rsidR="00EF72D1" w:rsidRPr="002F0DDA" w:rsidRDefault="00EF72D1" w:rsidP="000964BD">
            <w:pPr>
              <w:pStyle w:val="TableText"/>
              <w:keepNext/>
              <w:jc w:val="center"/>
              <w:rPr>
                <w:b/>
                <w:sz w:val="17"/>
                <w:szCs w:val="17"/>
              </w:rPr>
            </w:pPr>
            <w:r w:rsidRPr="002F0DDA">
              <w:rPr>
                <w:b/>
                <w:sz w:val="17"/>
                <w:szCs w:val="17"/>
              </w:rPr>
              <w:t>Lifecycle stage (years)</w:t>
            </w:r>
          </w:p>
        </w:tc>
      </w:tr>
      <w:tr w:rsidR="00EF72D1" w:rsidRPr="000964BD" w:rsidTr="000E5D47">
        <w:trPr>
          <w:cantSplit/>
        </w:trPr>
        <w:tc>
          <w:tcPr>
            <w:tcW w:w="379" w:type="pct"/>
            <w:vMerge/>
            <w:tcBorders>
              <w:top w:val="nil"/>
              <w:left w:val="nil"/>
              <w:bottom w:val="single" w:sz="4" w:space="0" w:color="auto"/>
              <w:right w:val="nil"/>
            </w:tcBorders>
            <w:shd w:val="clear" w:color="auto" w:fill="auto"/>
          </w:tcPr>
          <w:p w:rsidR="00EF72D1" w:rsidRPr="002F0DDA" w:rsidRDefault="00EF72D1" w:rsidP="000964BD">
            <w:pPr>
              <w:pStyle w:val="TableText"/>
              <w:keepNext/>
              <w:rPr>
                <w:b/>
                <w:sz w:val="17"/>
                <w:szCs w:val="17"/>
              </w:rPr>
            </w:pPr>
          </w:p>
        </w:tc>
        <w:tc>
          <w:tcPr>
            <w:tcW w:w="660" w:type="pct"/>
            <w:tcBorders>
              <w:top w:val="single" w:sz="4" w:space="0" w:color="A6A6A6"/>
              <w:left w:val="nil"/>
              <w:bottom w:val="single" w:sz="4" w:space="0" w:color="auto"/>
              <w:right w:val="nil"/>
            </w:tcBorders>
            <w:shd w:val="clear" w:color="auto" w:fill="auto"/>
          </w:tcPr>
          <w:p w:rsidR="00EF72D1" w:rsidRPr="002F0DDA" w:rsidRDefault="00EF72D1" w:rsidP="000964BD">
            <w:pPr>
              <w:pStyle w:val="TableText"/>
              <w:keepNext/>
              <w:jc w:val="center"/>
              <w:rPr>
                <w:b/>
                <w:sz w:val="17"/>
                <w:szCs w:val="17"/>
              </w:rPr>
            </w:pPr>
            <w:r w:rsidRPr="002F0DDA">
              <w:rPr>
                <w:b/>
                <w:sz w:val="17"/>
                <w:szCs w:val="17"/>
              </w:rPr>
              <w:t>Children</w:t>
            </w:r>
            <w:r w:rsidR="000964BD" w:rsidRPr="002F0DDA">
              <w:rPr>
                <w:b/>
                <w:sz w:val="17"/>
                <w:szCs w:val="17"/>
              </w:rPr>
              <w:br/>
            </w:r>
            <w:r w:rsidRPr="002F0DDA">
              <w:rPr>
                <w:b/>
                <w:sz w:val="17"/>
                <w:szCs w:val="17"/>
              </w:rPr>
              <w:br/>
              <w:t>(0–4)</w:t>
            </w:r>
          </w:p>
        </w:tc>
        <w:tc>
          <w:tcPr>
            <w:tcW w:w="660" w:type="pct"/>
            <w:tcBorders>
              <w:top w:val="single" w:sz="4" w:space="0" w:color="A6A6A6"/>
              <w:left w:val="nil"/>
              <w:bottom w:val="single" w:sz="4" w:space="0" w:color="auto"/>
              <w:right w:val="nil"/>
            </w:tcBorders>
          </w:tcPr>
          <w:p w:rsidR="00EF72D1" w:rsidRPr="002F0DDA" w:rsidRDefault="00EF72D1" w:rsidP="000964BD">
            <w:pPr>
              <w:pStyle w:val="TableText"/>
              <w:keepNext/>
              <w:jc w:val="center"/>
              <w:rPr>
                <w:b/>
                <w:sz w:val="17"/>
                <w:szCs w:val="17"/>
              </w:rPr>
            </w:pPr>
            <w:r w:rsidRPr="002F0DDA">
              <w:rPr>
                <w:b/>
                <w:sz w:val="17"/>
                <w:szCs w:val="17"/>
              </w:rPr>
              <w:t>Children</w:t>
            </w:r>
            <w:r w:rsidR="000964BD" w:rsidRPr="002F0DDA">
              <w:rPr>
                <w:b/>
                <w:sz w:val="17"/>
                <w:szCs w:val="17"/>
              </w:rPr>
              <w:br/>
            </w:r>
            <w:r w:rsidR="000964BD" w:rsidRPr="002F0DDA">
              <w:rPr>
                <w:b/>
                <w:sz w:val="17"/>
                <w:szCs w:val="17"/>
              </w:rPr>
              <w:br/>
            </w:r>
            <w:r w:rsidRPr="002F0DDA">
              <w:rPr>
                <w:b/>
                <w:sz w:val="17"/>
                <w:szCs w:val="17"/>
              </w:rPr>
              <w:t>(5–14)</w:t>
            </w:r>
          </w:p>
        </w:tc>
        <w:tc>
          <w:tcPr>
            <w:tcW w:w="660" w:type="pct"/>
            <w:tcBorders>
              <w:top w:val="single" w:sz="4" w:space="0" w:color="A6A6A6"/>
              <w:left w:val="nil"/>
              <w:bottom w:val="single" w:sz="4" w:space="0" w:color="auto"/>
              <w:right w:val="nil"/>
            </w:tcBorders>
            <w:shd w:val="clear" w:color="auto" w:fill="auto"/>
          </w:tcPr>
          <w:p w:rsidR="00EF72D1" w:rsidRPr="002F0DDA" w:rsidRDefault="00EF72D1" w:rsidP="000964BD">
            <w:pPr>
              <w:pStyle w:val="TableText"/>
              <w:keepNext/>
              <w:jc w:val="center"/>
              <w:rPr>
                <w:b/>
                <w:sz w:val="17"/>
                <w:szCs w:val="17"/>
              </w:rPr>
            </w:pPr>
            <w:r w:rsidRPr="002F0DDA">
              <w:rPr>
                <w:b/>
                <w:sz w:val="17"/>
                <w:szCs w:val="17"/>
              </w:rPr>
              <w:t>Youth</w:t>
            </w:r>
            <w:r w:rsidR="000964BD" w:rsidRPr="002F0DDA">
              <w:rPr>
                <w:b/>
                <w:sz w:val="17"/>
                <w:szCs w:val="17"/>
              </w:rPr>
              <w:br/>
            </w:r>
            <w:r w:rsidRPr="002F0DDA">
              <w:rPr>
                <w:b/>
                <w:sz w:val="17"/>
                <w:szCs w:val="17"/>
              </w:rPr>
              <w:br/>
              <w:t>(15–24)</w:t>
            </w:r>
          </w:p>
        </w:tc>
        <w:tc>
          <w:tcPr>
            <w:tcW w:w="660" w:type="pct"/>
            <w:tcBorders>
              <w:top w:val="single" w:sz="4" w:space="0" w:color="A6A6A6"/>
              <w:left w:val="nil"/>
              <w:bottom w:val="single" w:sz="4" w:space="0" w:color="auto"/>
              <w:right w:val="nil"/>
            </w:tcBorders>
            <w:shd w:val="clear" w:color="auto" w:fill="auto"/>
          </w:tcPr>
          <w:p w:rsidR="00EF72D1" w:rsidRPr="002F0DDA" w:rsidRDefault="00EF72D1" w:rsidP="000964BD">
            <w:pPr>
              <w:pStyle w:val="TableText"/>
              <w:keepNext/>
              <w:jc w:val="center"/>
              <w:rPr>
                <w:b/>
                <w:sz w:val="17"/>
                <w:szCs w:val="17"/>
              </w:rPr>
            </w:pPr>
            <w:r w:rsidRPr="002F0DDA">
              <w:rPr>
                <w:b/>
                <w:sz w:val="17"/>
                <w:szCs w:val="17"/>
              </w:rPr>
              <w:t>Young</w:t>
            </w:r>
            <w:r w:rsidR="000964BD" w:rsidRPr="002F0DDA">
              <w:rPr>
                <w:b/>
                <w:sz w:val="17"/>
                <w:szCs w:val="17"/>
              </w:rPr>
              <w:br/>
            </w:r>
            <w:r w:rsidRPr="002F0DDA">
              <w:rPr>
                <w:b/>
                <w:sz w:val="17"/>
                <w:szCs w:val="17"/>
              </w:rPr>
              <w:t>adults</w:t>
            </w:r>
            <w:r w:rsidRPr="002F0DDA">
              <w:rPr>
                <w:b/>
                <w:sz w:val="17"/>
                <w:szCs w:val="17"/>
              </w:rPr>
              <w:br/>
              <w:t>(25–44)</w:t>
            </w:r>
          </w:p>
        </w:tc>
        <w:tc>
          <w:tcPr>
            <w:tcW w:w="660" w:type="pct"/>
            <w:tcBorders>
              <w:top w:val="single" w:sz="4" w:space="0" w:color="A6A6A6"/>
              <w:left w:val="nil"/>
              <w:bottom w:val="single" w:sz="4" w:space="0" w:color="auto"/>
              <w:right w:val="nil"/>
            </w:tcBorders>
            <w:shd w:val="clear" w:color="auto" w:fill="auto"/>
          </w:tcPr>
          <w:p w:rsidR="00EF72D1" w:rsidRPr="002F0DDA" w:rsidRDefault="00EF72D1" w:rsidP="000964BD">
            <w:pPr>
              <w:pStyle w:val="TableText"/>
              <w:keepNext/>
              <w:jc w:val="center"/>
              <w:rPr>
                <w:b/>
                <w:sz w:val="17"/>
                <w:szCs w:val="17"/>
              </w:rPr>
            </w:pPr>
            <w:r w:rsidRPr="002F0DDA">
              <w:rPr>
                <w:b/>
                <w:sz w:val="17"/>
                <w:szCs w:val="17"/>
              </w:rPr>
              <w:t>Middle-aged</w:t>
            </w:r>
            <w:r w:rsidR="000964BD" w:rsidRPr="002F0DDA">
              <w:rPr>
                <w:b/>
                <w:sz w:val="17"/>
                <w:szCs w:val="17"/>
              </w:rPr>
              <w:br/>
            </w:r>
            <w:r w:rsidRPr="002F0DDA">
              <w:rPr>
                <w:b/>
                <w:sz w:val="17"/>
                <w:szCs w:val="17"/>
              </w:rPr>
              <w:t>adults</w:t>
            </w:r>
            <w:r w:rsidRPr="002F0DDA">
              <w:rPr>
                <w:b/>
                <w:sz w:val="17"/>
                <w:szCs w:val="17"/>
              </w:rPr>
              <w:br/>
              <w:t>(45–64)</w:t>
            </w:r>
          </w:p>
        </w:tc>
        <w:tc>
          <w:tcPr>
            <w:tcW w:w="660" w:type="pct"/>
            <w:tcBorders>
              <w:top w:val="single" w:sz="4" w:space="0" w:color="A6A6A6"/>
              <w:left w:val="nil"/>
              <w:bottom w:val="single" w:sz="4" w:space="0" w:color="auto"/>
              <w:right w:val="nil"/>
            </w:tcBorders>
          </w:tcPr>
          <w:p w:rsidR="00EF72D1" w:rsidRPr="002F0DDA" w:rsidRDefault="00EF72D1" w:rsidP="000964BD">
            <w:pPr>
              <w:pStyle w:val="TableText"/>
              <w:keepNext/>
              <w:jc w:val="center"/>
              <w:rPr>
                <w:b/>
                <w:sz w:val="17"/>
                <w:szCs w:val="17"/>
              </w:rPr>
            </w:pPr>
            <w:r w:rsidRPr="002F0DDA">
              <w:rPr>
                <w:b/>
                <w:sz w:val="17"/>
                <w:szCs w:val="17"/>
              </w:rPr>
              <w:t>Older</w:t>
            </w:r>
            <w:r w:rsidR="000964BD" w:rsidRPr="002F0DDA">
              <w:rPr>
                <w:b/>
                <w:sz w:val="17"/>
                <w:szCs w:val="17"/>
              </w:rPr>
              <w:br/>
            </w:r>
            <w:r w:rsidRPr="002F0DDA">
              <w:rPr>
                <w:b/>
                <w:sz w:val="17"/>
                <w:szCs w:val="17"/>
              </w:rPr>
              <w:t>people</w:t>
            </w:r>
            <w:r w:rsidR="000964BD" w:rsidRPr="002F0DDA">
              <w:rPr>
                <w:b/>
                <w:sz w:val="17"/>
                <w:szCs w:val="17"/>
              </w:rPr>
              <w:br/>
            </w:r>
            <w:r w:rsidRPr="002F0DDA">
              <w:rPr>
                <w:b/>
                <w:sz w:val="17"/>
                <w:szCs w:val="17"/>
              </w:rPr>
              <w:t>(65–74)</w:t>
            </w:r>
          </w:p>
        </w:tc>
        <w:tc>
          <w:tcPr>
            <w:tcW w:w="660" w:type="pct"/>
            <w:tcBorders>
              <w:top w:val="single" w:sz="4" w:space="0" w:color="A6A6A6"/>
              <w:left w:val="nil"/>
              <w:bottom w:val="single" w:sz="4" w:space="0" w:color="auto"/>
              <w:right w:val="nil"/>
            </w:tcBorders>
            <w:shd w:val="clear" w:color="auto" w:fill="auto"/>
          </w:tcPr>
          <w:p w:rsidR="00EF72D1" w:rsidRPr="002F0DDA" w:rsidRDefault="00EF72D1" w:rsidP="000964BD">
            <w:pPr>
              <w:pStyle w:val="TableText"/>
              <w:keepNext/>
              <w:jc w:val="center"/>
              <w:rPr>
                <w:b/>
                <w:sz w:val="17"/>
                <w:szCs w:val="17"/>
              </w:rPr>
            </w:pPr>
            <w:r w:rsidRPr="002F0DDA">
              <w:rPr>
                <w:b/>
                <w:sz w:val="17"/>
                <w:szCs w:val="17"/>
              </w:rPr>
              <w:t>Older</w:t>
            </w:r>
            <w:r w:rsidR="000964BD" w:rsidRPr="002F0DDA">
              <w:rPr>
                <w:b/>
                <w:sz w:val="17"/>
                <w:szCs w:val="17"/>
              </w:rPr>
              <w:br/>
            </w:r>
            <w:r w:rsidRPr="002F0DDA">
              <w:rPr>
                <w:b/>
                <w:sz w:val="17"/>
                <w:szCs w:val="17"/>
              </w:rPr>
              <w:t>people</w:t>
            </w:r>
            <w:r w:rsidRPr="002F0DDA">
              <w:rPr>
                <w:b/>
                <w:sz w:val="17"/>
                <w:szCs w:val="17"/>
              </w:rPr>
              <w:br/>
              <w:t>(75+)</w:t>
            </w:r>
          </w:p>
        </w:tc>
      </w:tr>
      <w:tr w:rsidR="00EF72D1" w:rsidRPr="00CD19F8" w:rsidTr="000E5D47">
        <w:trPr>
          <w:cantSplit/>
        </w:trPr>
        <w:tc>
          <w:tcPr>
            <w:tcW w:w="379" w:type="pct"/>
            <w:tcBorders>
              <w:top w:val="single" w:sz="4" w:space="0" w:color="auto"/>
              <w:left w:val="nil"/>
              <w:bottom w:val="single" w:sz="4" w:space="0" w:color="A6A6A6"/>
              <w:right w:val="nil"/>
            </w:tcBorders>
            <w:shd w:val="clear" w:color="auto" w:fill="auto"/>
          </w:tcPr>
          <w:p w:rsidR="00EF72D1" w:rsidRPr="002F0DDA" w:rsidRDefault="00EF72D1" w:rsidP="000964BD">
            <w:pPr>
              <w:pStyle w:val="TableText"/>
              <w:rPr>
                <w:sz w:val="17"/>
                <w:szCs w:val="17"/>
              </w:rPr>
            </w:pPr>
            <w:r w:rsidRPr="002F0DDA">
              <w:rPr>
                <w:sz w:val="17"/>
                <w:szCs w:val="17"/>
              </w:rPr>
              <w:t>1</w:t>
            </w:r>
          </w:p>
        </w:tc>
        <w:tc>
          <w:tcPr>
            <w:tcW w:w="660" w:type="pct"/>
            <w:tcBorders>
              <w:top w:val="single" w:sz="4" w:space="0" w:color="auto"/>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lang w:eastAsia="en-NZ"/>
              </w:rPr>
            </w:pPr>
            <w:r w:rsidRPr="002F0DDA">
              <w:rPr>
                <w:color w:val="000000"/>
                <w:sz w:val="17"/>
                <w:szCs w:val="17"/>
              </w:rPr>
              <w:t xml:space="preserve">Neonatal </w:t>
            </w:r>
            <w:proofErr w:type="gramStart"/>
            <w:r w:rsidRPr="002F0DDA">
              <w:rPr>
                <w:color w:val="000000"/>
                <w:sz w:val="17"/>
                <w:szCs w:val="17"/>
              </w:rPr>
              <w:t>disorders</w:t>
            </w:r>
            <w:proofErr w:type="gramEnd"/>
            <w:r w:rsidR="002F0DDA" w:rsidRPr="002F0DDA">
              <w:rPr>
                <w:color w:val="000000"/>
                <w:sz w:val="17"/>
                <w:szCs w:val="17"/>
              </w:rPr>
              <w:br/>
            </w:r>
            <w:r w:rsidRPr="002F0DDA">
              <w:rPr>
                <w:color w:val="000000"/>
                <w:sz w:val="17"/>
                <w:szCs w:val="17"/>
              </w:rPr>
              <w:t>(24.6%)</w:t>
            </w:r>
          </w:p>
        </w:tc>
        <w:tc>
          <w:tcPr>
            <w:tcW w:w="660" w:type="pct"/>
            <w:tcBorders>
              <w:top w:val="single" w:sz="4" w:space="0" w:color="auto"/>
              <w:left w:val="nil"/>
              <w:bottom w:val="single" w:sz="4" w:space="0" w:color="A6A6A6"/>
              <w:right w:val="nil"/>
            </w:tcBorders>
          </w:tcPr>
          <w:p w:rsidR="00EF72D1" w:rsidRPr="002F0DDA" w:rsidRDefault="00EF72D1" w:rsidP="002F0DDA">
            <w:pPr>
              <w:pStyle w:val="TableText"/>
              <w:jc w:val="center"/>
              <w:rPr>
                <w:color w:val="000000"/>
                <w:sz w:val="17"/>
                <w:szCs w:val="17"/>
                <w:lang w:eastAsia="en-NZ"/>
              </w:rPr>
            </w:pPr>
            <w:r w:rsidRPr="002F0DDA">
              <w:rPr>
                <w:color w:val="000000"/>
                <w:sz w:val="17"/>
                <w:szCs w:val="17"/>
              </w:rPr>
              <w:t xml:space="preserve">Iron deficiency </w:t>
            </w:r>
            <w:proofErr w:type="gramStart"/>
            <w:r w:rsidRPr="002F0DDA">
              <w:rPr>
                <w:color w:val="000000"/>
                <w:sz w:val="17"/>
                <w:szCs w:val="17"/>
              </w:rPr>
              <w:t>anaemia</w:t>
            </w:r>
            <w:proofErr w:type="gramEnd"/>
            <w:r w:rsidR="002F0DDA" w:rsidRPr="002F0DDA">
              <w:rPr>
                <w:color w:val="000000"/>
                <w:sz w:val="17"/>
                <w:szCs w:val="17"/>
              </w:rPr>
              <w:br/>
            </w:r>
            <w:r w:rsidRPr="002F0DDA">
              <w:rPr>
                <w:color w:val="000000"/>
                <w:sz w:val="17"/>
                <w:szCs w:val="17"/>
              </w:rPr>
              <w:t>(16.9%)</w:t>
            </w:r>
          </w:p>
        </w:tc>
        <w:tc>
          <w:tcPr>
            <w:tcW w:w="660" w:type="pct"/>
            <w:tcBorders>
              <w:top w:val="single" w:sz="4" w:space="0" w:color="auto"/>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r w:rsidRPr="002F0DDA">
              <w:rPr>
                <w:sz w:val="17"/>
                <w:szCs w:val="17"/>
              </w:rPr>
              <w:t>Back</w:t>
            </w:r>
            <w:r w:rsidR="002F0DDA">
              <w:rPr>
                <w:sz w:val="17"/>
                <w:szCs w:val="17"/>
              </w:rPr>
              <w:t xml:space="preserve"> </w:t>
            </w:r>
            <w:proofErr w:type="gramStart"/>
            <w:r w:rsidRPr="002F0DDA">
              <w:rPr>
                <w:sz w:val="17"/>
                <w:szCs w:val="17"/>
              </w:rPr>
              <w:t>disorders</w:t>
            </w:r>
            <w:proofErr w:type="gramEnd"/>
            <w:r w:rsidRPr="002F0DDA">
              <w:rPr>
                <w:sz w:val="17"/>
                <w:szCs w:val="17"/>
              </w:rPr>
              <w:br/>
              <w:t>(11.3%)</w:t>
            </w:r>
          </w:p>
        </w:tc>
        <w:tc>
          <w:tcPr>
            <w:tcW w:w="660" w:type="pct"/>
            <w:tcBorders>
              <w:top w:val="single" w:sz="4" w:space="0" w:color="auto"/>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r w:rsidRPr="002F0DDA">
              <w:rPr>
                <w:sz w:val="17"/>
                <w:szCs w:val="17"/>
              </w:rPr>
              <w:t>Back</w:t>
            </w:r>
            <w:r w:rsidR="002F0DDA">
              <w:rPr>
                <w:sz w:val="17"/>
                <w:szCs w:val="17"/>
              </w:rPr>
              <w:t xml:space="preserve"> </w:t>
            </w:r>
            <w:proofErr w:type="gramStart"/>
            <w:r w:rsidRPr="002F0DDA">
              <w:rPr>
                <w:sz w:val="17"/>
                <w:szCs w:val="17"/>
              </w:rPr>
              <w:t>disorders</w:t>
            </w:r>
            <w:proofErr w:type="gramEnd"/>
            <w:r w:rsidRPr="002F0DDA">
              <w:rPr>
                <w:sz w:val="17"/>
                <w:szCs w:val="17"/>
              </w:rPr>
              <w:br/>
              <w:t>(15.4%)</w:t>
            </w:r>
          </w:p>
        </w:tc>
        <w:tc>
          <w:tcPr>
            <w:tcW w:w="660" w:type="pct"/>
            <w:tcBorders>
              <w:top w:val="single" w:sz="4" w:space="0" w:color="auto"/>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r w:rsidRPr="002F0DDA">
              <w:rPr>
                <w:sz w:val="17"/>
                <w:szCs w:val="17"/>
              </w:rPr>
              <w:t>Back</w:t>
            </w:r>
            <w:r w:rsidR="002F0DDA">
              <w:rPr>
                <w:sz w:val="17"/>
                <w:szCs w:val="17"/>
              </w:rPr>
              <w:t xml:space="preserve"> </w:t>
            </w:r>
            <w:proofErr w:type="gramStart"/>
            <w:r w:rsidRPr="002F0DDA">
              <w:rPr>
                <w:sz w:val="17"/>
                <w:szCs w:val="17"/>
              </w:rPr>
              <w:t>disorders</w:t>
            </w:r>
            <w:proofErr w:type="gramEnd"/>
            <w:r w:rsidRPr="002F0DDA">
              <w:rPr>
                <w:sz w:val="17"/>
                <w:szCs w:val="17"/>
              </w:rPr>
              <w:br/>
              <w:t>(11.1%)</w:t>
            </w:r>
          </w:p>
        </w:tc>
        <w:tc>
          <w:tcPr>
            <w:tcW w:w="660" w:type="pct"/>
            <w:tcBorders>
              <w:top w:val="single" w:sz="4" w:space="0" w:color="auto"/>
              <w:left w:val="nil"/>
              <w:bottom w:val="single" w:sz="4" w:space="0" w:color="A6A6A6"/>
              <w:right w:val="nil"/>
            </w:tcBorders>
          </w:tcPr>
          <w:p w:rsidR="00EF72D1" w:rsidRPr="002F0DDA" w:rsidRDefault="00EF72D1" w:rsidP="002F0DDA">
            <w:pPr>
              <w:pStyle w:val="TableText"/>
              <w:jc w:val="center"/>
              <w:rPr>
                <w:color w:val="000000"/>
                <w:sz w:val="17"/>
                <w:szCs w:val="17"/>
                <w:lang w:eastAsia="en-NZ"/>
              </w:rPr>
            </w:pPr>
            <w:proofErr w:type="gramStart"/>
            <w:r w:rsidRPr="002F0DDA">
              <w:rPr>
                <w:color w:val="000000"/>
                <w:sz w:val="17"/>
                <w:szCs w:val="17"/>
              </w:rPr>
              <w:t>CHD</w:t>
            </w:r>
            <w:proofErr w:type="gramEnd"/>
            <w:r w:rsidR="002F0DDA">
              <w:rPr>
                <w:color w:val="000000"/>
                <w:sz w:val="17"/>
                <w:szCs w:val="17"/>
              </w:rPr>
              <w:br/>
            </w:r>
            <w:r w:rsidR="002F0DDA" w:rsidRPr="002F0DDA">
              <w:rPr>
                <w:color w:val="000000"/>
                <w:sz w:val="17"/>
                <w:szCs w:val="17"/>
              </w:rPr>
              <w:br/>
            </w:r>
            <w:r w:rsidRPr="002F0DDA">
              <w:rPr>
                <w:color w:val="000000"/>
                <w:sz w:val="17"/>
                <w:szCs w:val="17"/>
              </w:rPr>
              <w:t>(12.0%)</w:t>
            </w:r>
          </w:p>
        </w:tc>
        <w:tc>
          <w:tcPr>
            <w:tcW w:w="660" w:type="pct"/>
            <w:tcBorders>
              <w:top w:val="single" w:sz="4" w:space="0" w:color="auto"/>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lang w:eastAsia="en-NZ"/>
              </w:rPr>
            </w:pPr>
            <w:proofErr w:type="gramStart"/>
            <w:r w:rsidRPr="002F0DDA">
              <w:rPr>
                <w:color w:val="000000"/>
                <w:sz w:val="17"/>
                <w:szCs w:val="17"/>
              </w:rPr>
              <w:t>CHD</w:t>
            </w:r>
            <w:proofErr w:type="gramEnd"/>
            <w:r w:rsidR="002F0DDA">
              <w:rPr>
                <w:color w:val="000000"/>
                <w:sz w:val="17"/>
                <w:szCs w:val="17"/>
              </w:rPr>
              <w:br/>
            </w:r>
            <w:r w:rsidR="002F0DDA" w:rsidRPr="002F0DDA">
              <w:rPr>
                <w:color w:val="000000"/>
                <w:sz w:val="17"/>
                <w:szCs w:val="17"/>
              </w:rPr>
              <w:br/>
            </w:r>
            <w:r w:rsidRPr="002F0DDA">
              <w:rPr>
                <w:color w:val="000000"/>
                <w:sz w:val="17"/>
                <w:szCs w:val="17"/>
              </w:rPr>
              <w:t>(15.3%)</w:t>
            </w:r>
          </w:p>
        </w:tc>
      </w:tr>
      <w:tr w:rsidR="00EF72D1" w:rsidRPr="00CD19F8" w:rsidTr="000E5D47">
        <w:trPr>
          <w:cantSplit/>
        </w:trPr>
        <w:tc>
          <w:tcPr>
            <w:tcW w:w="379" w:type="pct"/>
            <w:tcBorders>
              <w:top w:val="single" w:sz="4" w:space="0" w:color="A6A6A6"/>
              <w:left w:val="nil"/>
              <w:bottom w:val="single" w:sz="4" w:space="0" w:color="A6A6A6"/>
              <w:right w:val="nil"/>
            </w:tcBorders>
            <w:shd w:val="clear" w:color="auto" w:fill="auto"/>
          </w:tcPr>
          <w:p w:rsidR="00EF72D1" w:rsidRPr="002F0DDA" w:rsidRDefault="00EF72D1" w:rsidP="000964BD">
            <w:pPr>
              <w:pStyle w:val="TableText"/>
              <w:rPr>
                <w:sz w:val="17"/>
                <w:szCs w:val="17"/>
              </w:rPr>
            </w:pPr>
            <w:r w:rsidRPr="002F0DDA">
              <w:rPr>
                <w:sz w:val="17"/>
                <w:szCs w:val="17"/>
              </w:rPr>
              <w:t>2</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Birth</w:t>
            </w:r>
            <w:r w:rsidR="002F0DDA">
              <w:rPr>
                <w:color w:val="000000"/>
                <w:sz w:val="17"/>
                <w:szCs w:val="17"/>
              </w:rPr>
              <w:br/>
            </w:r>
            <w:proofErr w:type="gramStart"/>
            <w:r w:rsidRPr="002F0DDA">
              <w:rPr>
                <w:color w:val="000000"/>
                <w:sz w:val="17"/>
                <w:szCs w:val="17"/>
              </w:rPr>
              <w:t>defects</w:t>
            </w:r>
            <w:proofErr w:type="gramEnd"/>
            <w:r w:rsidR="002F0DDA" w:rsidRPr="002F0DDA">
              <w:rPr>
                <w:color w:val="000000"/>
                <w:sz w:val="17"/>
                <w:szCs w:val="17"/>
              </w:rPr>
              <w:br/>
            </w:r>
            <w:r w:rsidRPr="002F0DDA">
              <w:rPr>
                <w:color w:val="000000"/>
                <w:sz w:val="17"/>
                <w:szCs w:val="17"/>
              </w:rPr>
              <w:t>(23.6%)</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proofErr w:type="gramStart"/>
            <w:r w:rsidRPr="002F0DDA">
              <w:rPr>
                <w:color w:val="000000"/>
                <w:sz w:val="17"/>
                <w:szCs w:val="17"/>
              </w:rPr>
              <w:t>Asthma</w:t>
            </w:r>
            <w:proofErr w:type="gramEnd"/>
            <w:r w:rsidR="002F0DDA">
              <w:rPr>
                <w:color w:val="000000"/>
                <w:sz w:val="17"/>
                <w:szCs w:val="17"/>
              </w:rPr>
              <w:br/>
            </w:r>
            <w:r w:rsidR="002F0DDA" w:rsidRPr="002F0DDA">
              <w:rPr>
                <w:color w:val="000000"/>
                <w:sz w:val="17"/>
                <w:szCs w:val="17"/>
              </w:rPr>
              <w:br/>
            </w:r>
            <w:r w:rsidRPr="002F0DDA">
              <w:rPr>
                <w:color w:val="000000"/>
                <w:sz w:val="17"/>
                <w:szCs w:val="17"/>
              </w:rPr>
              <w:t>(13.2%)</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r w:rsidRPr="002F0DDA">
              <w:rPr>
                <w:sz w:val="17"/>
                <w:szCs w:val="17"/>
              </w:rPr>
              <w:t>Transport</w:t>
            </w:r>
            <w:r w:rsidR="002F0DDA">
              <w:rPr>
                <w:sz w:val="17"/>
                <w:szCs w:val="17"/>
              </w:rPr>
              <w:t xml:space="preserve"> </w:t>
            </w:r>
            <w:proofErr w:type="gramStart"/>
            <w:r w:rsidRPr="002F0DDA">
              <w:rPr>
                <w:sz w:val="17"/>
                <w:szCs w:val="17"/>
              </w:rPr>
              <w:t>injuries</w:t>
            </w:r>
            <w:proofErr w:type="gramEnd"/>
            <w:r w:rsidRPr="002F0DDA">
              <w:rPr>
                <w:sz w:val="17"/>
                <w:szCs w:val="17"/>
              </w:rPr>
              <w:br/>
              <w:t>(10.6%)</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r w:rsidRPr="002F0DDA">
              <w:rPr>
                <w:sz w:val="17"/>
                <w:szCs w:val="17"/>
              </w:rPr>
              <w:t>Depressive</w:t>
            </w:r>
            <w:r w:rsidR="002F0DDA">
              <w:rPr>
                <w:sz w:val="17"/>
                <w:szCs w:val="17"/>
              </w:rPr>
              <w:t xml:space="preserve"> </w:t>
            </w:r>
            <w:proofErr w:type="gramStart"/>
            <w:r w:rsidRPr="002F0DDA">
              <w:rPr>
                <w:sz w:val="17"/>
                <w:szCs w:val="17"/>
              </w:rPr>
              <w:t>disorders</w:t>
            </w:r>
            <w:proofErr w:type="gramEnd"/>
            <w:r w:rsidRPr="002F0DDA">
              <w:rPr>
                <w:sz w:val="17"/>
                <w:szCs w:val="17"/>
              </w:rPr>
              <w:br/>
              <w:t>(7.1%)</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proofErr w:type="gramStart"/>
            <w:r w:rsidRPr="002F0DDA">
              <w:rPr>
                <w:sz w:val="17"/>
                <w:szCs w:val="17"/>
              </w:rPr>
              <w:t>CHD</w:t>
            </w:r>
            <w:proofErr w:type="gramEnd"/>
            <w:r w:rsidR="002F0DDA">
              <w:rPr>
                <w:sz w:val="17"/>
                <w:szCs w:val="17"/>
              </w:rPr>
              <w:br/>
            </w:r>
            <w:r w:rsidRPr="002F0DDA">
              <w:rPr>
                <w:sz w:val="17"/>
                <w:szCs w:val="17"/>
              </w:rPr>
              <w:br/>
              <w:t>(7.9%)</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r w:rsidRPr="002F0DDA">
              <w:rPr>
                <w:color w:val="000000"/>
                <w:sz w:val="17"/>
                <w:szCs w:val="17"/>
              </w:rPr>
              <w:t>Lung</w:t>
            </w:r>
            <w:r w:rsidR="002F0DDA">
              <w:rPr>
                <w:color w:val="000000"/>
                <w:sz w:val="17"/>
                <w:szCs w:val="17"/>
              </w:rPr>
              <w:br/>
            </w:r>
            <w:proofErr w:type="gramStart"/>
            <w:r w:rsidRPr="002F0DDA">
              <w:rPr>
                <w:color w:val="000000"/>
                <w:sz w:val="17"/>
                <w:szCs w:val="17"/>
              </w:rPr>
              <w:t>cancer</w:t>
            </w:r>
            <w:proofErr w:type="gramEnd"/>
            <w:r w:rsidR="002F0DDA">
              <w:rPr>
                <w:color w:val="000000"/>
                <w:sz w:val="17"/>
                <w:szCs w:val="17"/>
              </w:rPr>
              <w:br/>
            </w:r>
            <w:r w:rsidRPr="002F0DDA">
              <w:rPr>
                <w:color w:val="000000"/>
                <w:sz w:val="17"/>
                <w:szCs w:val="17"/>
              </w:rPr>
              <w:t>(6.5%)</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Dementia</w:t>
            </w:r>
            <w:proofErr w:type="gramEnd"/>
            <w:r w:rsidR="002F0DDA">
              <w:rPr>
                <w:color w:val="000000"/>
                <w:sz w:val="17"/>
                <w:szCs w:val="17"/>
              </w:rPr>
              <w:br/>
            </w:r>
            <w:r w:rsidR="002F0DDA">
              <w:rPr>
                <w:color w:val="000000"/>
                <w:sz w:val="17"/>
                <w:szCs w:val="17"/>
              </w:rPr>
              <w:br/>
            </w:r>
            <w:r w:rsidRPr="002F0DDA">
              <w:rPr>
                <w:color w:val="000000"/>
                <w:sz w:val="17"/>
                <w:szCs w:val="17"/>
              </w:rPr>
              <w:t>(12.0%)</w:t>
            </w:r>
          </w:p>
        </w:tc>
      </w:tr>
      <w:tr w:rsidR="00EF72D1" w:rsidRPr="00CD19F8" w:rsidTr="000E5D47">
        <w:trPr>
          <w:cantSplit/>
        </w:trPr>
        <w:tc>
          <w:tcPr>
            <w:tcW w:w="379" w:type="pct"/>
            <w:tcBorders>
              <w:top w:val="single" w:sz="4" w:space="0" w:color="A6A6A6"/>
              <w:left w:val="nil"/>
              <w:bottom w:val="single" w:sz="4" w:space="0" w:color="A6A6A6"/>
              <w:right w:val="nil"/>
            </w:tcBorders>
            <w:shd w:val="clear" w:color="auto" w:fill="auto"/>
          </w:tcPr>
          <w:p w:rsidR="00EF72D1" w:rsidRPr="002F0DDA" w:rsidRDefault="00EF72D1" w:rsidP="000964BD">
            <w:pPr>
              <w:pStyle w:val="TableText"/>
              <w:rPr>
                <w:sz w:val="17"/>
                <w:szCs w:val="17"/>
              </w:rPr>
            </w:pPr>
            <w:r w:rsidRPr="002F0DDA">
              <w:rPr>
                <w:sz w:val="17"/>
                <w:szCs w:val="17"/>
              </w:rPr>
              <w:t>3</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SUDI</w:t>
            </w:r>
            <w:proofErr w:type="gramEnd"/>
            <w:r w:rsidR="002F0DDA">
              <w:rPr>
                <w:color w:val="000000"/>
                <w:sz w:val="17"/>
                <w:szCs w:val="17"/>
              </w:rPr>
              <w:br/>
            </w:r>
            <w:r w:rsidR="002F0DDA" w:rsidRPr="002F0DDA">
              <w:rPr>
                <w:color w:val="000000"/>
                <w:sz w:val="17"/>
                <w:szCs w:val="17"/>
              </w:rPr>
              <w:br/>
            </w:r>
            <w:r w:rsidRPr="002F0DDA">
              <w:rPr>
                <w:color w:val="000000"/>
                <w:sz w:val="17"/>
                <w:szCs w:val="17"/>
              </w:rPr>
              <w:t>(12.6%)</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r w:rsidRPr="002F0DDA">
              <w:rPr>
                <w:color w:val="000000"/>
                <w:sz w:val="17"/>
                <w:szCs w:val="17"/>
              </w:rPr>
              <w:t>Skin</w:t>
            </w:r>
            <w:r w:rsidR="002F0DDA">
              <w:rPr>
                <w:color w:val="000000"/>
                <w:sz w:val="17"/>
                <w:szCs w:val="17"/>
              </w:rPr>
              <w:br/>
            </w:r>
            <w:proofErr w:type="gramStart"/>
            <w:r w:rsidRPr="002F0DDA">
              <w:rPr>
                <w:color w:val="000000"/>
                <w:sz w:val="17"/>
                <w:szCs w:val="17"/>
              </w:rPr>
              <w:t>disorders</w:t>
            </w:r>
            <w:proofErr w:type="gramEnd"/>
            <w:r w:rsidR="002F0DDA" w:rsidRPr="002F0DDA">
              <w:rPr>
                <w:color w:val="000000"/>
                <w:sz w:val="17"/>
                <w:szCs w:val="17"/>
              </w:rPr>
              <w:br/>
            </w:r>
            <w:r w:rsidRPr="002F0DDA">
              <w:rPr>
                <w:color w:val="000000"/>
                <w:sz w:val="17"/>
                <w:szCs w:val="17"/>
              </w:rPr>
              <w:t>(8.1%)</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r w:rsidRPr="002F0DDA">
              <w:rPr>
                <w:sz w:val="17"/>
                <w:szCs w:val="17"/>
              </w:rPr>
              <w:t>Self-</w:t>
            </w:r>
            <w:proofErr w:type="gramStart"/>
            <w:r w:rsidRPr="002F0DDA">
              <w:rPr>
                <w:sz w:val="17"/>
                <w:szCs w:val="17"/>
              </w:rPr>
              <w:t>harm</w:t>
            </w:r>
            <w:proofErr w:type="gramEnd"/>
            <w:r w:rsidR="002F0DDA">
              <w:rPr>
                <w:sz w:val="17"/>
                <w:szCs w:val="17"/>
              </w:rPr>
              <w:br/>
            </w:r>
            <w:r w:rsidRPr="002F0DDA">
              <w:rPr>
                <w:sz w:val="17"/>
                <w:szCs w:val="17"/>
              </w:rPr>
              <w:br/>
              <w:t>(8.1%)</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proofErr w:type="gramStart"/>
            <w:r w:rsidRPr="002F0DDA">
              <w:rPr>
                <w:sz w:val="17"/>
                <w:szCs w:val="17"/>
              </w:rPr>
              <w:t>Addiction</w:t>
            </w:r>
            <w:proofErr w:type="gramEnd"/>
            <w:r w:rsidR="002F0DDA">
              <w:rPr>
                <w:sz w:val="17"/>
                <w:szCs w:val="17"/>
              </w:rPr>
              <w:br/>
            </w:r>
            <w:r w:rsidRPr="002F0DDA">
              <w:rPr>
                <w:sz w:val="17"/>
                <w:szCs w:val="17"/>
              </w:rPr>
              <w:br/>
              <w:t>(5.7%)</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r w:rsidRPr="002F0DDA">
              <w:rPr>
                <w:sz w:val="17"/>
                <w:szCs w:val="17"/>
              </w:rPr>
              <w:t>Lung</w:t>
            </w:r>
            <w:r w:rsidR="002F0DDA">
              <w:rPr>
                <w:sz w:val="17"/>
                <w:szCs w:val="17"/>
              </w:rPr>
              <w:br/>
            </w:r>
            <w:proofErr w:type="gramStart"/>
            <w:r w:rsidRPr="002F0DDA">
              <w:rPr>
                <w:sz w:val="17"/>
                <w:szCs w:val="17"/>
              </w:rPr>
              <w:t>cancer</w:t>
            </w:r>
            <w:proofErr w:type="gramEnd"/>
            <w:r w:rsidR="002F0DDA">
              <w:rPr>
                <w:sz w:val="17"/>
                <w:szCs w:val="17"/>
              </w:rPr>
              <w:br/>
            </w:r>
            <w:r w:rsidRPr="002F0DDA">
              <w:rPr>
                <w:sz w:val="17"/>
                <w:szCs w:val="17"/>
              </w:rPr>
              <w:t>(4.7%)</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r w:rsidRPr="002F0DDA">
              <w:rPr>
                <w:color w:val="000000"/>
                <w:sz w:val="17"/>
                <w:szCs w:val="17"/>
              </w:rPr>
              <w:t xml:space="preserve">Back </w:t>
            </w:r>
            <w:proofErr w:type="gramStart"/>
            <w:r w:rsidRPr="002F0DDA">
              <w:rPr>
                <w:color w:val="000000"/>
                <w:sz w:val="17"/>
                <w:szCs w:val="17"/>
              </w:rPr>
              <w:t>disorders</w:t>
            </w:r>
            <w:proofErr w:type="gramEnd"/>
            <w:r w:rsidR="002F0DDA" w:rsidRPr="002F0DDA">
              <w:rPr>
                <w:color w:val="000000"/>
                <w:sz w:val="17"/>
                <w:szCs w:val="17"/>
              </w:rPr>
              <w:br/>
            </w:r>
            <w:r w:rsidRPr="002F0DDA">
              <w:rPr>
                <w:color w:val="000000"/>
                <w:sz w:val="17"/>
                <w:szCs w:val="17"/>
              </w:rPr>
              <w:t>(6.4%)</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Stroke</w:t>
            </w:r>
            <w:proofErr w:type="gramEnd"/>
            <w:r w:rsidR="002F0DDA">
              <w:rPr>
                <w:color w:val="000000"/>
                <w:sz w:val="17"/>
                <w:szCs w:val="17"/>
              </w:rPr>
              <w:br/>
            </w:r>
            <w:r w:rsidR="002F0DDA" w:rsidRPr="002F0DDA">
              <w:rPr>
                <w:color w:val="000000"/>
                <w:sz w:val="17"/>
                <w:szCs w:val="17"/>
              </w:rPr>
              <w:br/>
            </w:r>
            <w:r w:rsidRPr="002F0DDA">
              <w:rPr>
                <w:color w:val="000000"/>
                <w:sz w:val="17"/>
                <w:szCs w:val="17"/>
              </w:rPr>
              <w:t>(7.3%)</w:t>
            </w:r>
          </w:p>
        </w:tc>
      </w:tr>
      <w:tr w:rsidR="00EF72D1" w:rsidRPr="00CD19F8" w:rsidTr="000E5D47">
        <w:trPr>
          <w:cantSplit/>
        </w:trPr>
        <w:tc>
          <w:tcPr>
            <w:tcW w:w="379" w:type="pct"/>
            <w:tcBorders>
              <w:top w:val="single" w:sz="4" w:space="0" w:color="A6A6A6"/>
              <w:left w:val="nil"/>
              <w:bottom w:val="single" w:sz="4" w:space="0" w:color="A6A6A6"/>
              <w:right w:val="nil"/>
            </w:tcBorders>
            <w:shd w:val="clear" w:color="auto" w:fill="auto"/>
          </w:tcPr>
          <w:p w:rsidR="00EF72D1" w:rsidRPr="002F0DDA" w:rsidRDefault="00EF72D1" w:rsidP="000964BD">
            <w:pPr>
              <w:pStyle w:val="TableText"/>
              <w:rPr>
                <w:sz w:val="17"/>
                <w:szCs w:val="17"/>
              </w:rPr>
            </w:pPr>
            <w:r w:rsidRPr="002F0DDA">
              <w:rPr>
                <w:sz w:val="17"/>
                <w:szCs w:val="17"/>
              </w:rPr>
              <w:t>4</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 xml:space="preserve">Common </w:t>
            </w:r>
            <w:proofErr w:type="gramStart"/>
            <w:r w:rsidRPr="002F0DDA">
              <w:rPr>
                <w:color w:val="000000"/>
                <w:sz w:val="17"/>
                <w:szCs w:val="17"/>
              </w:rPr>
              <w:t>infections</w:t>
            </w:r>
            <w:proofErr w:type="gramEnd"/>
            <w:r w:rsidR="002F0DDA" w:rsidRPr="002F0DDA">
              <w:rPr>
                <w:color w:val="000000"/>
                <w:sz w:val="17"/>
                <w:szCs w:val="17"/>
              </w:rPr>
              <w:br/>
            </w:r>
            <w:r w:rsidRPr="002F0DDA">
              <w:rPr>
                <w:color w:val="000000"/>
                <w:sz w:val="17"/>
                <w:szCs w:val="17"/>
              </w:rPr>
              <w:t>(6.1%)</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r w:rsidRPr="002F0DDA">
              <w:rPr>
                <w:color w:val="000000"/>
                <w:sz w:val="17"/>
                <w:szCs w:val="17"/>
              </w:rPr>
              <w:t xml:space="preserve">Anxiety </w:t>
            </w:r>
            <w:proofErr w:type="gramStart"/>
            <w:r w:rsidRPr="002F0DDA">
              <w:rPr>
                <w:color w:val="000000"/>
                <w:sz w:val="17"/>
                <w:szCs w:val="17"/>
              </w:rPr>
              <w:t>disorders</w:t>
            </w:r>
            <w:proofErr w:type="gramEnd"/>
            <w:r w:rsidR="002F0DDA" w:rsidRPr="002F0DDA">
              <w:rPr>
                <w:color w:val="000000"/>
                <w:sz w:val="17"/>
                <w:szCs w:val="17"/>
              </w:rPr>
              <w:br/>
            </w:r>
            <w:r w:rsidRPr="002F0DDA">
              <w:rPr>
                <w:color w:val="000000"/>
                <w:sz w:val="17"/>
                <w:szCs w:val="17"/>
              </w:rPr>
              <w:t>(7.1%)</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proofErr w:type="gramStart"/>
            <w:r w:rsidRPr="002F0DDA">
              <w:rPr>
                <w:sz w:val="17"/>
                <w:szCs w:val="17"/>
              </w:rPr>
              <w:t>Addiction</w:t>
            </w:r>
            <w:proofErr w:type="gramEnd"/>
            <w:r w:rsidRPr="002F0DDA">
              <w:rPr>
                <w:sz w:val="17"/>
                <w:szCs w:val="17"/>
              </w:rPr>
              <w:br/>
            </w:r>
            <w:r w:rsidRPr="002F0DDA">
              <w:rPr>
                <w:sz w:val="17"/>
                <w:szCs w:val="17"/>
              </w:rPr>
              <w:br/>
              <w:t>(7.8%)</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r w:rsidRPr="002F0DDA">
              <w:rPr>
                <w:sz w:val="17"/>
                <w:szCs w:val="17"/>
              </w:rPr>
              <w:t>Anxiety</w:t>
            </w:r>
            <w:r w:rsidR="002F0DDA">
              <w:rPr>
                <w:sz w:val="17"/>
                <w:szCs w:val="17"/>
              </w:rPr>
              <w:t xml:space="preserve"> </w:t>
            </w:r>
            <w:proofErr w:type="gramStart"/>
            <w:r w:rsidRPr="002F0DDA">
              <w:rPr>
                <w:sz w:val="17"/>
                <w:szCs w:val="17"/>
              </w:rPr>
              <w:t>disorders</w:t>
            </w:r>
            <w:proofErr w:type="gramEnd"/>
            <w:r w:rsidRPr="002F0DDA">
              <w:rPr>
                <w:sz w:val="17"/>
                <w:szCs w:val="17"/>
              </w:rPr>
              <w:br/>
              <w:t>(5.1%)</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proofErr w:type="gramStart"/>
            <w:r w:rsidRPr="002F0DDA">
              <w:rPr>
                <w:sz w:val="17"/>
                <w:szCs w:val="17"/>
              </w:rPr>
              <w:t>COPD</w:t>
            </w:r>
            <w:proofErr w:type="gramEnd"/>
            <w:r w:rsidR="002F0DDA">
              <w:rPr>
                <w:sz w:val="17"/>
                <w:szCs w:val="17"/>
              </w:rPr>
              <w:br/>
            </w:r>
            <w:r w:rsidRPr="002F0DDA">
              <w:rPr>
                <w:sz w:val="17"/>
                <w:szCs w:val="17"/>
              </w:rPr>
              <w:br/>
              <w:t>(4.1%)</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proofErr w:type="gramStart"/>
            <w:r w:rsidRPr="002F0DDA">
              <w:rPr>
                <w:color w:val="000000"/>
                <w:sz w:val="17"/>
                <w:szCs w:val="17"/>
              </w:rPr>
              <w:t>COPD</w:t>
            </w:r>
            <w:proofErr w:type="gramEnd"/>
            <w:r w:rsidR="002F0DDA">
              <w:rPr>
                <w:color w:val="000000"/>
                <w:sz w:val="17"/>
                <w:szCs w:val="17"/>
              </w:rPr>
              <w:br/>
            </w:r>
            <w:r w:rsidR="002F0DDA" w:rsidRPr="002F0DDA">
              <w:rPr>
                <w:color w:val="000000"/>
                <w:sz w:val="17"/>
                <w:szCs w:val="17"/>
              </w:rPr>
              <w:br/>
            </w:r>
            <w:r w:rsidRPr="002F0DDA">
              <w:rPr>
                <w:color w:val="000000"/>
                <w:sz w:val="17"/>
                <w:szCs w:val="17"/>
              </w:rPr>
              <w:t>(6.1%)</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COPD</w:t>
            </w:r>
            <w:proofErr w:type="gramEnd"/>
            <w:r w:rsidR="002F0DDA">
              <w:rPr>
                <w:color w:val="000000"/>
                <w:sz w:val="17"/>
                <w:szCs w:val="17"/>
              </w:rPr>
              <w:br/>
            </w:r>
            <w:r w:rsidR="002F0DDA" w:rsidRPr="002F0DDA">
              <w:rPr>
                <w:color w:val="000000"/>
                <w:sz w:val="17"/>
                <w:szCs w:val="17"/>
              </w:rPr>
              <w:br/>
            </w:r>
            <w:r w:rsidRPr="002F0DDA">
              <w:rPr>
                <w:color w:val="000000"/>
                <w:sz w:val="17"/>
                <w:szCs w:val="17"/>
              </w:rPr>
              <w:t>(5.7%)</w:t>
            </w:r>
          </w:p>
        </w:tc>
      </w:tr>
      <w:tr w:rsidR="00EF72D1" w:rsidRPr="00CD19F8" w:rsidTr="000E5D47">
        <w:trPr>
          <w:cantSplit/>
        </w:trPr>
        <w:tc>
          <w:tcPr>
            <w:tcW w:w="379" w:type="pct"/>
            <w:tcBorders>
              <w:top w:val="single" w:sz="4" w:space="0" w:color="A6A6A6"/>
              <w:left w:val="nil"/>
              <w:bottom w:val="single" w:sz="4" w:space="0" w:color="A6A6A6"/>
              <w:right w:val="nil"/>
            </w:tcBorders>
            <w:shd w:val="clear" w:color="auto" w:fill="auto"/>
          </w:tcPr>
          <w:p w:rsidR="00EF72D1" w:rsidRPr="002F0DDA" w:rsidRDefault="00EF72D1" w:rsidP="000964BD">
            <w:pPr>
              <w:pStyle w:val="TableText"/>
              <w:rPr>
                <w:sz w:val="17"/>
                <w:szCs w:val="17"/>
              </w:rPr>
            </w:pPr>
            <w:r w:rsidRPr="002F0DDA">
              <w:rPr>
                <w:sz w:val="17"/>
                <w:szCs w:val="17"/>
              </w:rPr>
              <w:t>5</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Suffocation (unintentional</w:t>
            </w:r>
            <w:proofErr w:type="gramStart"/>
            <w:r w:rsidRPr="002F0DDA">
              <w:rPr>
                <w:color w:val="000000"/>
                <w:sz w:val="17"/>
                <w:szCs w:val="17"/>
              </w:rPr>
              <w:t>)</w:t>
            </w:r>
            <w:proofErr w:type="gramEnd"/>
            <w:r w:rsidR="002F0DDA" w:rsidRPr="002F0DDA">
              <w:rPr>
                <w:color w:val="000000"/>
                <w:sz w:val="17"/>
                <w:szCs w:val="17"/>
              </w:rPr>
              <w:br/>
            </w:r>
            <w:r w:rsidRPr="002F0DDA">
              <w:rPr>
                <w:color w:val="000000"/>
                <w:sz w:val="17"/>
                <w:szCs w:val="17"/>
              </w:rPr>
              <w:t>(4.2%)</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r w:rsidRPr="002F0DDA">
              <w:rPr>
                <w:color w:val="000000"/>
                <w:sz w:val="17"/>
                <w:szCs w:val="17"/>
              </w:rPr>
              <w:t xml:space="preserve">Back </w:t>
            </w:r>
            <w:proofErr w:type="gramStart"/>
            <w:r w:rsidRPr="002F0DDA">
              <w:rPr>
                <w:color w:val="000000"/>
                <w:sz w:val="17"/>
                <w:szCs w:val="17"/>
              </w:rPr>
              <w:t>disorders</w:t>
            </w:r>
            <w:proofErr w:type="gramEnd"/>
            <w:r w:rsidR="002F0DDA" w:rsidRPr="002F0DDA">
              <w:rPr>
                <w:color w:val="000000"/>
                <w:sz w:val="17"/>
                <w:szCs w:val="17"/>
              </w:rPr>
              <w:br/>
            </w:r>
            <w:r w:rsidRPr="002F0DDA">
              <w:rPr>
                <w:color w:val="000000"/>
                <w:sz w:val="17"/>
                <w:szCs w:val="17"/>
              </w:rPr>
              <w:t>(4.8%)</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r w:rsidRPr="002F0DDA">
              <w:rPr>
                <w:sz w:val="17"/>
                <w:szCs w:val="17"/>
              </w:rPr>
              <w:t>Depressive</w:t>
            </w:r>
            <w:r w:rsidR="002F0DDA">
              <w:rPr>
                <w:sz w:val="17"/>
                <w:szCs w:val="17"/>
              </w:rPr>
              <w:t xml:space="preserve"> </w:t>
            </w:r>
            <w:proofErr w:type="gramStart"/>
            <w:r w:rsidRPr="002F0DDA">
              <w:rPr>
                <w:sz w:val="17"/>
                <w:szCs w:val="17"/>
              </w:rPr>
              <w:t>disorders</w:t>
            </w:r>
            <w:proofErr w:type="gramEnd"/>
            <w:r w:rsidRPr="002F0DDA">
              <w:rPr>
                <w:sz w:val="17"/>
                <w:szCs w:val="17"/>
              </w:rPr>
              <w:br/>
              <w:t>(7.3%)</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r w:rsidRPr="002F0DDA">
              <w:rPr>
                <w:sz w:val="17"/>
                <w:szCs w:val="17"/>
              </w:rPr>
              <w:t>Self-</w:t>
            </w:r>
            <w:proofErr w:type="gramStart"/>
            <w:r w:rsidRPr="002F0DDA">
              <w:rPr>
                <w:sz w:val="17"/>
                <w:szCs w:val="17"/>
              </w:rPr>
              <w:t>harm</w:t>
            </w:r>
            <w:proofErr w:type="gramEnd"/>
            <w:r w:rsidRPr="002F0DDA">
              <w:rPr>
                <w:sz w:val="17"/>
                <w:szCs w:val="17"/>
              </w:rPr>
              <w:br/>
            </w:r>
            <w:r w:rsidRPr="002F0DDA">
              <w:rPr>
                <w:sz w:val="17"/>
                <w:szCs w:val="17"/>
              </w:rPr>
              <w:br/>
              <w:t>(4.9%)</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sz w:val="17"/>
                <w:szCs w:val="17"/>
              </w:rPr>
            </w:pPr>
            <w:r w:rsidRPr="002F0DDA">
              <w:rPr>
                <w:sz w:val="17"/>
                <w:szCs w:val="17"/>
              </w:rPr>
              <w:t>Depressive</w:t>
            </w:r>
            <w:r w:rsidR="002F0DDA">
              <w:rPr>
                <w:sz w:val="17"/>
                <w:szCs w:val="17"/>
              </w:rPr>
              <w:t xml:space="preserve"> </w:t>
            </w:r>
            <w:proofErr w:type="gramStart"/>
            <w:r w:rsidRPr="002F0DDA">
              <w:rPr>
                <w:sz w:val="17"/>
                <w:szCs w:val="17"/>
              </w:rPr>
              <w:t>disorders</w:t>
            </w:r>
            <w:proofErr w:type="gramEnd"/>
            <w:r w:rsidRPr="002F0DDA">
              <w:rPr>
                <w:sz w:val="17"/>
                <w:szCs w:val="17"/>
              </w:rPr>
              <w:br/>
              <w:t>(3.8%)</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r w:rsidRPr="002F0DDA">
              <w:rPr>
                <w:color w:val="000000"/>
                <w:sz w:val="17"/>
                <w:szCs w:val="17"/>
              </w:rPr>
              <w:t xml:space="preserve">Colorectal </w:t>
            </w:r>
            <w:proofErr w:type="gramStart"/>
            <w:r w:rsidRPr="002F0DDA">
              <w:rPr>
                <w:color w:val="000000"/>
                <w:sz w:val="17"/>
                <w:szCs w:val="17"/>
              </w:rPr>
              <w:t>cancer</w:t>
            </w:r>
            <w:proofErr w:type="gramEnd"/>
            <w:r w:rsidR="002F0DDA" w:rsidRPr="002F0DDA">
              <w:rPr>
                <w:color w:val="000000"/>
                <w:sz w:val="17"/>
                <w:szCs w:val="17"/>
              </w:rPr>
              <w:br/>
            </w:r>
            <w:r w:rsidRPr="002F0DDA">
              <w:rPr>
                <w:color w:val="000000"/>
                <w:sz w:val="17"/>
                <w:szCs w:val="17"/>
              </w:rPr>
              <w:t>(4.7%)</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 xml:space="preserve">Age-related hearing </w:t>
            </w:r>
            <w:proofErr w:type="gramStart"/>
            <w:r w:rsidRPr="002F0DDA">
              <w:rPr>
                <w:color w:val="000000"/>
                <w:sz w:val="17"/>
                <w:szCs w:val="17"/>
              </w:rPr>
              <w:t>loss</w:t>
            </w:r>
            <w:proofErr w:type="gramEnd"/>
            <w:r w:rsidR="002F0DDA" w:rsidRPr="002F0DDA">
              <w:rPr>
                <w:color w:val="000000"/>
                <w:sz w:val="17"/>
                <w:szCs w:val="17"/>
              </w:rPr>
              <w:br/>
            </w:r>
            <w:r w:rsidRPr="002F0DDA">
              <w:rPr>
                <w:color w:val="000000"/>
                <w:sz w:val="17"/>
                <w:szCs w:val="17"/>
              </w:rPr>
              <w:t>(3.9%)</w:t>
            </w:r>
          </w:p>
        </w:tc>
      </w:tr>
      <w:tr w:rsidR="00EF72D1" w:rsidRPr="00CD19F8" w:rsidTr="000E5D47">
        <w:trPr>
          <w:cantSplit/>
        </w:trPr>
        <w:tc>
          <w:tcPr>
            <w:tcW w:w="379" w:type="pct"/>
            <w:tcBorders>
              <w:top w:val="single" w:sz="4" w:space="0" w:color="A6A6A6"/>
              <w:left w:val="nil"/>
              <w:bottom w:val="single" w:sz="4" w:space="0" w:color="A6A6A6"/>
              <w:right w:val="nil"/>
            </w:tcBorders>
            <w:shd w:val="clear" w:color="auto" w:fill="auto"/>
          </w:tcPr>
          <w:p w:rsidR="00EF72D1" w:rsidRPr="002F0DDA" w:rsidRDefault="00EF72D1" w:rsidP="000964BD">
            <w:pPr>
              <w:pStyle w:val="TableText"/>
              <w:rPr>
                <w:sz w:val="17"/>
                <w:szCs w:val="17"/>
              </w:rPr>
            </w:pPr>
            <w:r w:rsidRPr="002F0DDA">
              <w:rPr>
                <w:sz w:val="17"/>
                <w:szCs w:val="17"/>
              </w:rPr>
              <w:t>6</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 xml:space="preserve">Transport </w:t>
            </w:r>
            <w:proofErr w:type="gramStart"/>
            <w:r w:rsidRPr="002F0DDA">
              <w:rPr>
                <w:color w:val="000000"/>
                <w:sz w:val="17"/>
                <w:szCs w:val="17"/>
              </w:rPr>
              <w:t>injury</w:t>
            </w:r>
            <w:proofErr w:type="gramEnd"/>
            <w:r w:rsidR="002F0DDA" w:rsidRPr="002F0DDA">
              <w:rPr>
                <w:color w:val="000000"/>
                <w:sz w:val="17"/>
                <w:szCs w:val="17"/>
              </w:rPr>
              <w:br/>
            </w:r>
            <w:r w:rsidRPr="002F0DDA">
              <w:rPr>
                <w:color w:val="000000"/>
                <w:sz w:val="17"/>
                <w:szCs w:val="17"/>
              </w:rPr>
              <w:t>(2.7%)</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r w:rsidRPr="002F0DDA">
              <w:rPr>
                <w:color w:val="000000"/>
                <w:sz w:val="17"/>
                <w:szCs w:val="17"/>
              </w:rPr>
              <w:t xml:space="preserve">Depressive </w:t>
            </w:r>
            <w:proofErr w:type="gramStart"/>
            <w:r w:rsidRPr="002F0DDA">
              <w:rPr>
                <w:color w:val="000000"/>
                <w:sz w:val="17"/>
                <w:szCs w:val="17"/>
              </w:rPr>
              <w:t>disorders</w:t>
            </w:r>
            <w:proofErr w:type="gramEnd"/>
            <w:r w:rsidR="002F0DDA" w:rsidRPr="002F0DDA">
              <w:rPr>
                <w:color w:val="000000"/>
                <w:sz w:val="17"/>
                <w:szCs w:val="17"/>
              </w:rPr>
              <w:br/>
            </w:r>
            <w:r w:rsidRPr="002F0DDA">
              <w:rPr>
                <w:color w:val="000000"/>
                <w:sz w:val="17"/>
                <w:szCs w:val="17"/>
              </w:rPr>
              <w:t>(4.7%)</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lang w:eastAsia="en-NZ"/>
              </w:rPr>
            </w:pPr>
            <w:r w:rsidRPr="002F0DDA">
              <w:rPr>
                <w:color w:val="000000"/>
                <w:sz w:val="17"/>
                <w:szCs w:val="17"/>
              </w:rPr>
              <w:t xml:space="preserve">Anxiety </w:t>
            </w:r>
            <w:proofErr w:type="gramStart"/>
            <w:r w:rsidRPr="002F0DDA">
              <w:rPr>
                <w:color w:val="000000"/>
                <w:sz w:val="17"/>
                <w:szCs w:val="17"/>
              </w:rPr>
              <w:t>disorders</w:t>
            </w:r>
            <w:proofErr w:type="gramEnd"/>
            <w:r w:rsidR="002F0DDA" w:rsidRPr="002F0DDA">
              <w:rPr>
                <w:color w:val="000000"/>
                <w:sz w:val="17"/>
                <w:szCs w:val="17"/>
              </w:rPr>
              <w:br/>
            </w:r>
            <w:r w:rsidRPr="002F0DDA">
              <w:rPr>
                <w:color w:val="000000"/>
                <w:sz w:val="17"/>
                <w:szCs w:val="17"/>
              </w:rPr>
              <w:t>(6.2%)</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lang w:eastAsia="en-NZ"/>
              </w:rPr>
            </w:pPr>
            <w:r w:rsidRPr="002F0DDA">
              <w:rPr>
                <w:color w:val="000000"/>
                <w:sz w:val="17"/>
                <w:szCs w:val="17"/>
              </w:rPr>
              <w:t xml:space="preserve">Transport </w:t>
            </w:r>
            <w:proofErr w:type="gramStart"/>
            <w:r w:rsidRPr="002F0DDA">
              <w:rPr>
                <w:color w:val="000000"/>
                <w:sz w:val="17"/>
                <w:szCs w:val="17"/>
              </w:rPr>
              <w:t>injuries</w:t>
            </w:r>
            <w:proofErr w:type="gramEnd"/>
            <w:r w:rsidR="002F0DDA" w:rsidRPr="002F0DDA">
              <w:rPr>
                <w:color w:val="000000"/>
                <w:sz w:val="17"/>
                <w:szCs w:val="17"/>
              </w:rPr>
              <w:br/>
            </w:r>
            <w:r w:rsidRPr="002F0DDA">
              <w:rPr>
                <w:color w:val="000000"/>
                <w:sz w:val="17"/>
                <w:szCs w:val="17"/>
              </w:rPr>
              <w:t>(4.1%)</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lang w:eastAsia="en-NZ"/>
              </w:rPr>
            </w:pPr>
            <w:proofErr w:type="gramStart"/>
            <w:r w:rsidRPr="002F0DDA">
              <w:rPr>
                <w:color w:val="000000"/>
                <w:sz w:val="17"/>
                <w:szCs w:val="17"/>
              </w:rPr>
              <w:t>Diabetes</w:t>
            </w:r>
            <w:proofErr w:type="gramEnd"/>
            <w:r w:rsidR="002F0DDA">
              <w:rPr>
                <w:color w:val="000000"/>
                <w:sz w:val="17"/>
                <w:szCs w:val="17"/>
              </w:rPr>
              <w:br/>
            </w:r>
            <w:r w:rsidR="002F0DDA" w:rsidRPr="002F0DDA">
              <w:rPr>
                <w:color w:val="000000"/>
                <w:sz w:val="17"/>
                <w:szCs w:val="17"/>
              </w:rPr>
              <w:br/>
            </w:r>
            <w:r w:rsidRPr="002F0DDA">
              <w:rPr>
                <w:color w:val="000000"/>
                <w:sz w:val="17"/>
                <w:szCs w:val="17"/>
              </w:rPr>
              <w:t>(3.7%)</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proofErr w:type="gramStart"/>
            <w:r w:rsidRPr="002F0DDA">
              <w:rPr>
                <w:color w:val="000000"/>
                <w:sz w:val="17"/>
                <w:szCs w:val="17"/>
              </w:rPr>
              <w:t>Stroke</w:t>
            </w:r>
            <w:proofErr w:type="gramEnd"/>
            <w:r w:rsidR="002F0DDA">
              <w:rPr>
                <w:color w:val="000000"/>
                <w:sz w:val="17"/>
                <w:szCs w:val="17"/>
              </w:rPr>
              <w:br/>
            </w:r>
            <w:r w:rsidR="002F0DDA" w:rsidRPr="002F0DDA">
              <w:rPr>
                <w:color w:val="000000"/>
                <w:sz w:val="17"/>
                <w:szCs w:val="17"/>
              </w:rPr>
              <w:br/>
            </w:r>
            <w:r w:rsidRPr="002F0DDA">
              <w:rPr>
                <w:color w:val="000000"/>
                <w:sz w:val="17"/>
                <w:szCs w:val="17"/>
              </w:rPr>
              <w:t>(4.0%)</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lang w:eastAsia="en-NZ"/>
              </w:rPr>
            </w:pPr>
            <w:r w:rsidRPr="002F0DDA">
              <w:rPr>
                <w:color w:val="000000"/>
                <w:sz w:val="17"/>
                <w:szCs w:val="17"/>
              </w:rPr>
              <w:t xml:space="preserve">Back </w:t>
            </w:r>
            <w:proofErr w:type="gramStart"/>
            <w:r w:rsidRPr="002F0DDA">
              <w:rPr>
                <w:color w:val="000000"/>
                <w:sz w:val="17"/>
                <w:szCs w:val="17"/>
              </w:rPr>
              <w:t>disorders</w:t>
            </w:r>
            <w:proofErr w:type="gramEnd"/>
            <w:r w:rsidR="002F0DDA" w:rsidRPr="002F0DDA">
              <w:rPr>
                <w:color w:val="000000"/>
                <w:sz w:val="17"/>
                <w:szCs w:val="17"/>
              </w:rPr>
              <w:br/>
            </w:r>
            <w:r w:rsidRPr="002F0DDA">
              <w:rPr>
                <w:color w:val="000000"/>
                <w:sz w:val="17"/>
                <w:szCs w:val="17"/>
              </w:rPr>
              <w:t>(3.8%)</w:t>
            </w:r>
          </w:p>
        </w:tc>
      </w:tr>
      <w:tr w:rsidR="00EF72D1" w:rsidRPr="00CD19F8" w:rsidTr="000E5D47">
        <w:trPr>
          <w:cantSplit/>
        </w:trPr>
        <w:tc>
          <w:tcPr>
            <w:tcW w:w="379" w:type="pct"/>
            <w:tcBorders>
              <w:top w:val="single" w:sz="4" w:space="0" w:color="A6A6A6"/>
              <w:left w:val="nil"/>
              <w:bottom w:val="single" w:sz="4" w:space="0" w:color="A6A6A6"/>
              <w:right w:val="nil"/>
            </w:tcBorders>
            <w:shd w:val="clear" w:color="auto" w:fill="auto"/>
          </w:tcPr>
          <w:p w:rsidR="00EF72D1" w:rsidRPr="002F0DDA" w:rsidRDefault="00EF72D1" w:rsidP="000964BD">
            <w:pPr>
              <w:pStyle w:val="TableText"/>
              <w:rPr>
                <w:sz w:val="17"/>
                <w:szCs w:val="17"/>
              </w:rPr>
            </w:pPr>
            <w:r w:rsidRPr="002F0DDA">
              <w:rPr>
                <w:sz w:val="17"/>
                <w:szCs w:val="17"/>
              </w:rPr>
              <w:t>7</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Skin</w:t>
            </w:r>
            <w:r w:rsidR="002F0DDA">
              <w:rPr>
                <w:color w:val="000000"/>
                <w:sz w:val="17"/>
                <w:szCs w:val="17"/>
              </w:rPr>
              <w:br/>
            </w:r>
            <w:proofErr w:type="gramStart"/>
            <w:r w:rsidRPr="002F0DDA">
              <w:rPr>
                <w:color w:val="000000"/>
                <w:sz w:val="17"/>
                <w:szCs w:val="17"/>
              </w:rPr>
              <w:t>disorders</w:t>
            </w:r>
            <w:proofErr w:type="gramEnd"/>
            <w:r w:rsidR="002F0DDA" w:rsidRPr="002F0DDA">
              <w:rPr>
                <w:color w:val="000000"/>
                <w:sz w:val="17"/>
                <w:szCs w:val="17"/>
              </w:rPr>
              <w:br/>
            </w:r>
            <w:r w:rsidRPr="002F0DDA">
              <w:rPr>
                <w:color w:val="000000"/>
                <w:sz w:val="17"/>
                <w:szCs w:val="17"/>
              </w:rPr>
              <w:t>(2.2%)</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r w:rsidRPr="002F0DDA">
              <w:rPr>
                <w:color w:val="000000"/>
                <w:sz w:val="17"/>
                <w:szCs w:val="17"/>
              </w:rPr>
              <w:t xml:space="preserve">Conduct </w:t>
            </w:r>
            <w:proofErr w:type="gramStart"/>
            <w:r w:rsidRPr="002F0DDA">
              <w:rPr>
                <w:color w:val="000000"/>
                <w:sz w:val="17"/>
                <w:szCs w:val="17"/>
              </w:rPr>
              <w:t>disorder</w:t>
            </w:r>
            <w:proofErr w:type="gramEnd"/>
            <w:r w:rsidR="002F0DDA" w:rsidRPr="002F0DDA">
              <w:rPr>
                <w:color w:val="000000"/>
                <w:sz w:val="17"/>
                <w:szCs w:val="17"/>
              </w:rPr>
              <w:br/>
            </w:r>
            <w:r w:rsidRPr="002F0DDA">
              <w:rPr>
                <w:color w:val="000000"/>
                <w:sz w:val="17"/>
                <w:szCs w:val="17"/>
              </w:rPr>
              <w:t>(3.9%)</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Asthma</w:t>
            </w:r>
            <w:proofErr w:type="gramEnd"/>
            <w:r w:rsidR="002F0DDA" w:rsidRPr="002F0DDA">
              <w:rPr>
                <w:color w:val="000000"/>
                <w:sz w:val="17"/>
                <w:szCs w:val="17"/>
              </w:rPr>
              <w:br/>
            </w:r>
            <w:r w:rsidRPr="002F0DDA">
              <w:rPr>
                <w:color w:val="000000"/>
                <w:sz w:val="17"/>
                <w:szCs w:val="17"/>
              </w:rPr>
              <w:t>(5.9%)</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Skin</w:t>
            </w:r>
            <w:r w:rsidR="002F0DDA">
              <w:rPr>
                <w:color w:val="000000"/>
                <w:sz w:val="17"/>
                <w:szCs w:val="17"/>
              </w:rPr>
              <w:br/>
            </w:r>
            <w:proofErr w:type="gramStart"/>
            <w:r w:rsidRPr="002F0DDA">
              <w:rPr>
                <w:color w:val="000000"/>
                <w:sz w:val="17"/>
                <w:szCs w:val="17"/>
              </w:rPr>
              <w:t>disorders</w:t>
            </w:r>
            <w:proofErr w:type="gramEnd"/>
            <w:r w:rsidR="002F0DDA">
              <w:rPr>
                <w:color w:val="000000"/>
                <w:sz w:val="17"/>
                <w:szCs w:val="17"/>
              </w:rPr>
              <w:br/>
            </w:r>
            <w:r w:rsidRPr="002F0DDA">
              <w:rPr>
                <w:color w:val="000000"/>
                <w:sz w:val="17"/>
                <w:szCs w:val="17"/>
              </w:rPr>
              <w:t>(3.9%)</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 xml:space="preserve">Colorectal </w:t>
            </w:r>
            <w:proofErr w:type="gramStart"/>
            <w:r w:rsidRPr="002F0DDA">
              <w:rPr>
                <w:color w:val="000000"/>
                <w:sz w:val="17"/>
                <w:szCs w:val="17"/>
              </w:rPr>
              <w:t>cancer</w:t>
            </w:r>
            <w:proofErr w:type="gramEnd"/>
            <w:r w:rsidR="002F0DDA" w:rsidRPr="002F0DDA">
              <w:rPr>
                <w:color w:val="000000"/>
                <w:sz w:val="17"/>
                <w:szCs w:val="17"/>
              </w:rPr>
              <w:br/>
            </w:r>
            <w:r w:rsidRPr="002F0DDA">
              <w:rPr>
                <w:color w:val="000000"/>
                <w:sz w:val="17"/>
                <w:szCs w:val="17"/>
              </w:rPr>
              <w:t>(3.1%)</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proofErr w:type="gramStart"/>
            <w:r w:rsidRPr="002F0DDA">
              <w:rPr>
                <w:color w:val="000000"/>
                <w:sz w:val="17"/>
                <w:szCs w:val="17"/>
              </w:rPr>
              <w:t>Diabetes</w:t>
            </w:r>
            <w:proofErr w:type="gramEnd"/>
            <w:r w:rsidR="002F0DDA">
              <w:rPr>
                <w:color w:val="000000"/>
                <w:sz w:val="17"/>
                <w:szCs w:val="17"/>
              </w:rPr>
              <w:br/>
            </w:r>
            <w:r w:rsidR="002F0DDA" w:rsidRPr="002F0DDA">
              <w:rPr>
                <w:color w:val="000000"/>
                <w:sz w:val="17"/>
                <w:szCs w:val="17"/>
              </w:rPr>
              <w:br/>
            </w:r>
            <w:r w:rsidRPr="002F0DDA">
              <w:rPr>
                <w:color w:val="000000"/>
                <w:sz w:val="17"/>
                <w:szCs w:val="17"/>
              </w:rPr>
              <w:t>(3.9%)</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Falls</w:t>
            </w:r>
            <w:proofErr w:type="gramEnd"/>
            <w:r w:rsidR="002F0DDA">
              <w:rPr>
                <w:color w:val="000000"/>
                <w:sz w:val="17"/>
                <w:szCs w:val="17"/>
              </w:rPr>
              <w:br/>
            </w:r>
            <w:r w:rsidR="002F0DDA" w:rsidRPr="002F0DDA">
              <w:rPr>
                <w:color w:val="000000"/>
                <w:sz w:val="17"/>
                <w:szCs w:val="17"/>
              </w:rPr>
              <w:br/>
            </w:r>
            <w:r w:rsidRPr="002F0DDA">
              <w:rPr>
                <w:color w:val="000000"/>
                <w:sz w:val="17"/>
                <w:szCs w:val="17"/>
              </w:rPr>
              <w:t>(3.1%)</w:t>
            </w:r>
          </w:p>
        </w:tc>
      </w:tr>
      <w:tr w:rsidR="00EF72D1" w:rsidRPr="00CD19F8" w:rsidTr="000E5D47">
        <w:trPr>
          <w:cantSplit/>
        </w:trPr>
        <w:tc>
          <w:tcPr>
            <w:tcW w:w="379" w:type="pct"/>
            <w:tcBorders>
              <w:top w:val="single" w:sz="4" w:space="0" w:color="A6A6A6"/>
              <w:left w:val="nil"/>
              <w:bottom w:val="single" w:sz="4" w:space="0" w:color="A6A6A6"/>
              <w:right w:val="nil"/>
            </w:tcBorders>
            <w:shd w:val="clear" w:color="auto" w:fill="auto"/>
          </w:tcPr>
          <w:p w:rsidR="00EF72D1" w:rsidRPr="002F0DDA" w:rsidRDefault="00EF72D1" w:rsidP="000964BD">
            <w:pPr>
              <w:pStyle w:val="TableText"/>
              <w:rPr>
                <w:sz w:val="17"/>
                <w:szCs w:val="17"/>
              </w:rPr>
            </w:pPr>
            <w:r w:rsidRPr="002F0DDA">
              <w:rPr>
                <w:sz w:val="17"/>
                <w:szCs w:val="17"/>
              </w:rPr>
              <w:t>8</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Drowning</w:t>
            </w:r>
            <w:proofErr w:type="gramEnd"/>
            <w:r w:rsidR="002F0DDA">
              <w:rPr>
                <w:color w:val="000000"/>
                <w:sz w:val="17"/>
                <w:szCs w:val="17"/>
              </w:rPr>
              <w:br/>
            </w:r>
            <w:r w:rsidR="002F0DDA" w:rsidRPr="002F0DDA">
              <w:rPr>
                <w:color w:val="000000"/>
                <w:sz w:val="17"/>
                <w:szCs w:val="17"/>
              </w:rPr>
              <w:br/>
            </w:r>
            <w:r w:rsidRPr="002F0DDA">
              <w:rPr>
                <w:color w:val="000000"/>
                <w:sz w:val="17"/>
                <w:szCs w:val="17"/>
              </w:rPr>
              <w:t>(2.1%)</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r w:rsidRPr="002F0DDA">
              <w:rPr>
                <w:color w:val="000000"/>
                <w:sz w:val="17"/>
                <w:szCs w:val="17"/>
              </w:rPr>
              <w:t>Birth</w:t>
            </w:r>
            <w:r w:rsidR="002F0DDA">
              <w:rPr>
                <w:color w:val="000000"/>
                <w:sz w:val="17"/>
                <w:szCs w:val="17"/>
              </w:rPr>
              <w:br/>
            </w:r>
            <w:proofErr w:type="gramStart"/>
            <w:r w:rsidRPr="002F0DDA">
              <w:rPr>
                <w:color w:val="000000"/>
                <w:sz w:val="17"/>
                <w:szCs w:val="17"/>
              </w:rPr>
              <w:t>defects</w:t>
            </w:r>
            <w:proofErr w:type="gramEnd"/>
            <w:r w:rsidR="002F0DDA">
              <w:rPr>
                <w:color w:val="000000"/>
                <w:sz w:val="17"/>
                <w:szCs w:val="17"/>
              </w:rPr>
              <w:br/>
            </w:r>
            <w:r w:rsidRPr="002F0DDA">
              <w:rPr>
                <w:color w:val="000000"/>
                <w:sz w:val="17"/>
                <w:szCs w:val="17"/>
              </w:rPr>
              <w:t>(3.9%)</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Skin</w:t>
            </w:r>
            <w:r w:rsidR="002F0DDA">
              <w:rPr>
                <w:color w:val="000000"/>
                <w:sz w:val="17"/>
                <w:szCs w:val="17"/>
              </w:rPr>
              <w:br/>
            </w:r>
            <w:proofErr w:type="gramStart"/>
            <w:r w:rsidRPr="002F0DDA">
              <w:rPr>
                <w:color w:val="000000"/>
                <w:sz w:val="17"/>
                <w:szCs w:val="17"/>
              </w:rPr>
              <w:t>disorders</w:t>
            </w:r>
            <w:proofErr w:type="gramEnd"/>
            <w:r w:rsidR="002F0DDA">
              <w:rPr>
                <w:color w:val="000000"/>
                <w:sz w:val="17"/>
                <w:szCs w:val="17"/>
              </w:rPr>
              <w:br/>
            </w:r>
            <w:r w:rsidRPr="002F0DDA">
              <w:rPr>
                <w:color w:val="000000"/>
                <w:sz w:val="17"/>
                <w:szCs w:val="17"/>
              </w:rPr>
              <w:t>(5.6%)</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Migraine</w:t>
            </w:r>
            <w:proofErr w:type="gramEnd"/>
            <w:r w:rsidR="002F0DDA">
              <w:rPr>
                <w:color w:val="000000"/>
                <w:sz w:val="17"/>
                <w:szCs w:val="17"/>
              </w:rPr>
              <w:br/>
            </w:r>
            <w:r w:rsidR="002F0DDA" w:rsidRPr="002F0DDA">
              <w:rPr>
                <w:color w:val="000000"/>
                <w:sz w:val="17"/>
                <w:szCs w:val="17"/>
              </w:rPr>
              <w:br/>
            </w:r>
            <w:r w:rsidRPr="002F0DDA">
              <w:rPr>
                <w:color w:val="000000"/>
                <w:sz w:val="17"/>
                <w:szCs w:val="17"/>
              </w:rPr>
              <w:t>(3.8%)</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Breast</w:t>
            </w:r>
            <w:r w:rsidR="002F0DDA">
              <w:rPr>
                <w:color w:val="000000"/>
                <w:sz w:val="17"/>
                <w:szCs w:val="17"/>
              </w:rPr>
              <w:br/>
            </w:r>
            <w:proofErr w:type="gramStart"/>
            <w:r w:rsidRPr="002F0DDA">
              <w:rPr>
                <w:color w:val="000000"/>
                <w:sz w:val="17"/>
                <w:szCs w:val="17"/>
              </w:rPr>
              <w:t>cancer</w:t>
            </w:r>
            <w:proofErr w:type="gramEnd"/>
            <w:r w:rsidR="002F0DDA">
              <w:rPr>
                <w:color w:val="000000"/>
                <w:sz w:val="17"/>
                <w:szCs w:val="17"/>
              </w:rPr>
              <w:br/>
            </w:r>
            <w:r w:rsidRPr="002F0DDA">
              <w:rPr>
                <w:color w:val="000000"/>
                <w:sz w:val="17"/>
                <w:szCs w:val="17"/>
              </w:rPr>
              <w:t>(3.0%)</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proofErr w:type="gramStart"/>
            <w:r w:rsidRPr="002F0DDA">
              <w:rPr>
                <w:color w:val="000000"/>
                <w:sz w:val="17"/>
                <w:szCs w:val="17"/>
              </w:rPr>
              <w:t>Dementia</w:t>
            </w:r>
            <w:proofErr w:type="gramEnd"/>
            <w:r w:rsidR="002F0DDA">
              <w:rPr>
                <w:color w:val="000000"/>
                <w:sz w:val="17"/>
                <w:szCs w:val="17"/>
              </w:rPr>
              <w:br/>
            </w:r>
            <w:r w:rsidR="002F0DDA">
              <w:rPr>
                <w:color w:val="000000"/>
                <w:sz w:val="17"/>
                <w:szCs w:val="17"/>
              </w:rPr>
              <w:br/>
            </w:r>
            <w:r w:rsidRPr="002F0DDA">
              <w:rPr>
                <w:color w:val="000000"/>
                <w:sz w:val="17"/>
                <w:szCs w:val="17"/>
              </w:rPr>
              <w:t>(2.6%)</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Diabetes</w:t>
            </w:r>
            <w:proofErr w:type="gramEnd"/>
            <w:r w:rsidR="002F0DDA">
              <w:rPr>
                <w:color w:val="000000"/>
                <w:sz w:val="17"/>
                <w:szCs w:val="17"/>
              </w:rPr>
              <w:br/>
            </w:r>
            <w:r w:rsidR="002F0DDA" w:rsidRPr="002F0DDA">
              <w:rPr>
                <w:color w:val="000000"/>
                <w:sz w:val="17"/>
                <w:szCs w:val="17"/>
              </w:rPr>
              <w:br/>
            </w:r>
            <w:r w:rsidRPr="002F0DDA">
              <w:rPr>
                <w:color w:val="000000"/>
                <w:sz w:val="17"/>
                <w:szCs w:val="17"/>
              </w:rPr>
              <w:t>(3.0%)</w:t>
            </w:r>
          </w:p>
        </w:tc>
      </w:tr>
      <w:tr w:rsidR="00EF72D1" w:rsidRPr="00CD19F8" w:rsidTr="000E5D47">
        <w:trPr>
          <w:cantSplit/>
        </w:trPr>
        <w:tc>
          <w:tcPr>
            <w:tcW w:w="379" w:type="pct"/>
            <w:tcBorders>
              <w:top w:val="single" w:sz="4" w:space="0" w:color="A6A6A6"/>
              <w:left w:val="nil"/>
              <w:bottom w:val="single" w:sz="4" w:space="0" w:color="A6A6A6"/>
              <w:right w:val="nil"/>
            </w:tcBorders>
            <w:shd w:val="clear" w:color="auto" w:fill="auto"/>
          </w:tcPr>
          <w:p w:rsidR="00EF72D1" w:rsidRPr="002F0DDA" w:rsidRDefault="00EF72D1" w:rsidP="000964BD">
            <w:pPr>
              <w:pStyle w:val="TableText"/>
              <w:rPr>
                <w:sz w:val="17"/>
                <w:szCs w:val="17"/>
              </w:rPr>
            </w:pPr>
            <w:r w:rsidRPr="002F0DDA">
              <w:rPr>
                <w:sz w:val="17"/>
                <w:szCs w:val="17"/>
              </w:rPr>
              <w:t>9</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Haemoglobin-</w:t>
            </w:r>
            <w:proofErr w:type="spellStart"/>
            <w:proofErr w:type="gramStart"/>
            <w:r w:rsidRPr="002F0DDA">
              <w:rPr>
                <w:color w:val="000000"/>
                <w:sz w:val="17"/>
                <w:szCs w:val="17"/>
              </w:rPr>
              <w:t>opathies</w:t>
            </w:r>
            <w:proofErr w:type="spellEnd"/>
            <w:proofErr w:type="gramEnd"/>
            <w:r w:rsidR="002F0DDA">
              <w:rPr>
                <w:color w:val="000000"/>
                <w:sz w:val="17"/>
                <w:szCs w:val="17"/>
              </w:rPr>
              <w:br/>
            </w:r>
            <w:r w:rsidRPr="002F0DDA">
              <w:rPr>
                <w:color w:val="000000"/>
                <w:sz w:val="17"/>
                <w:szCs w:val="17"/>
              </w:rPr>
              <w:t>(1.7%)</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r w:rsidRPr="002F0DDA">
              <w:rPr>
                <w:color w:val="000000"/>
                <w:sz w:val="17"/>
                <w:szCs w:val="17"/>
              </w:rPr>
              <w:t xml:space="preserve">Transport </w:t>
            </w:r>
            <w:proofErr w:type="gramStart"/>
            <w:r w:rsidRPr="002F0DDA">
              <w:rPr>
                <w:color w:val="000000"/>
                <w:sz w:val="17"/>
                <w:szCs w:val="17"/>
              </w:rPr>
              <w:t>injuries</w:t>
            </w:r>
            <w:proofErr w:type="gramEnd"/>
            <w:r w:rsidR="002F0DDA" w:rsidRPr="002F0DDA">
              <w:rPr>
                <w:color w:val="000000"/>
                <w:sz w:val="17"/>
                <w:szCs w:val="17"/>
              </w:rPr>
              <w:br/>
            </w:r>
            <w:r w:rsidRPr="002F0DDA">
              <w:rPr>
                <w:color w:val="000000"/>
                <w:sz w:val="17"/>
                <w:szCs w:val="17"/>
              </w:rPr>
              <w:t>(3.2%)</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Migraine</w:t>
            </w:r>
            <w:proofErr w:type="gramEnd"/>
            <w:r w:rsidR="002F0DDA">
              <w:rPr>
                <w:color w:val="000000"/>
                <w:sz w:val="17"/>
                <w:szCs w:val="17"/>
              </w:rPr>
              <w:br/>
            </w:r>
            <w:r w:rsidR="002F0DDA" w:rsidRPr="002F0DDA">
              <w:rPr>
                <w:color w:val="000000"/>
                <w:sz w:val="17"/>
                <w:szCs w:val="17"/>
              </w:rPr>
              <w:br/>
            </w:r>
            <w:r w:rsidRPr="002F0DDA">
              <w:rPr>
                <w:color w:val="000000"/>
                <w:sz w:val="17"/>
                <w:szCs w:val="17"/>
              </w:rPr>
              <w:t>(2.8%)</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Asthma</w:t>
            </w:r>
            <w:proofErr w:type="gramEnd"/>
            <w:r w:rsidR="002F0DDA">
              <w:rPr>
                <w:color w:val="000000"/>
                <w:sz w:val="17"/>
                <w:szCs w:val="17"/>
              </w:rPr>
              <w:br/>
            </w:r>
            <w:r w:rsidR="002F0DDA" w:rsidRPr="002F0DDA">
              <w:rPr>
                <w:color w:val="000000"/>
                <w:sz w:val="17"/>
                <w:szCs w:val="17"/>
              </w:rPr>
              <w:br/>
            </w:r>
            <w:r w:rsidRPr="002F0DDA">
              <w:rPr>
                <w:color w:val="000000"/>
                <w:sz w:val="17"/>
                <w:szCs w:val="17"/>
              </w:rPr>
              <w:t>(3.4%)</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CKD</w:t>
            </w:r>
            <w:proofErr w:type="gramEnd"/>
            <w:r w:rsidR="002F0DDA">
              <w:rPr>
                <w:color w:val="000000"/>
                <w:sz w:val="17"/>
                <w:szCs w:val="17"/>
              </w:rPr>
              <w:br/>
            </w:r>
            <w:r w:rsidR="002F0DDA" w:rsidRPr="002F0DDA">
              <w:rPr>
                <w:color w:val="000000"/>
                <w:sz w:val="17"/>
                <w:szCs w:val="17"/>
              </w:rPr>
              <w:br/>
            </w:r>
            <w:r w:rsidRPr="002F0DDA">
              <w:rPr>
                <w:color w:val="000000"/>
                <w:sz w:val="17"/>
                <w:szCs w:val="17"/>
              </w:rPr>
              <w:t>(2.5%)</w:t>
            </w:r>
          </w:p>
        </w:tc>
        <w:tc>
          <w:tcPr>
            <w:tcW w:w="660" w:type="pct"/>
            <w:tcBorders>
              <w:top w:val="single" w:sz="4" w:space="0" w:color="A6A6A6"/>
              <w:left w:val="nil"/>
              <w:bottom w:val="single" w:sz="4" w:space="0" w:color="A6A6A6"/>
              <w:right w:val="nil"/>
            </w:tcBorders>
          </w:tcPr>
          <w:p w:rsidR="00EF72D1" w:rsidRPr="002F0DDA" w:rsidRDefault="00EF72D1" w:rsidP="002F0DDA">
            <w:pPr>
              <w:pStyle w:val="TableText"/>
              <w:jc w:val="center"/>
              <w:rPr>
                <w:color w:val="000000"/>
                <w:sz w:val="17"/>
                <w:szCs w:val="17"/>
              </w:rPr>
            </w:pPr>
            <w:proofErr w:type="gramStart"/>
            <w:r w:rsidRPr="002F0DDA">
              <w:rPr>
                <w:color w:val="000000"/>
                <w:sz w:val="17"/>
                <w:szCs w:val="17"/>
              </w:rPr>
              <w:t>CKD</w:t>
            </w:r>
            <w:proofErr w:type="gramEnd"/>
            <w:r w:rsidR="002F0DDA">
              <w:rPr>
                <w:color w:val="000000"/>
                <w:sz w:val="17"/>
                <w:szCs w:val="17"/>
              </w:rPr>
              <w:br/>
            </w:r>
            <w:r w:rsidR="002F0DDA" w:rsidRPr="002F0DDA">
              <w:rPr>
                <w:color w:val="000000"/>
                <w:sz w:val="17"/>
                <w:szCs w:val="17"/>
              </w:rPr>
              <w:br/>
            </w:r>
            <w:r w:rsidRPr="002F0DDA">
              <w:rPr>
                <w:color w:val="000000"/>
                <w:sz w:val="17"/>
                <w:szCs w:val="17"/>
              </w:rPr>
              <w:t>(2.4%)</w:t>
            </w:r>
          </w:p>
        </w:tc>
        <w:tc>
          <w:tcPr>
            <w:tcW w:w="660" w:type="pct"/>
            <w:tcBorders>
              <w:top w:val="single" w:sz="4" w:space="0" w:color="A6A6A6"/>
              <w:left w:val="nil"/>
              <w:bottom w:val="single" w:sz="4" w:space="0" w:color="A6A6A6"/>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 xml:space="preserve">Colorectal </w:t>
            </w:r>
            <w:proofErr w:type="gramStart"/>
            <w:r w:rsidRPr="002F0DDA">
              <w:rPr>
                <w:color w:val="000000"/>
                <w:sz w:val="17"/>
                <w:szCs w:val="17"/>
              </w:rPr>
              <w:t>cancer</w:t>
            </w:r>
            <w:proofErr w:type="gramEnd"/>
            <w:r w:rsidR="002F0DDA" w:rsidRPr="002F0DDA">
              <w:rPr>
                <w:color w:val="000000"/>
                <w:sz w:val="17"/>
                <w:szCs w:val="17"/>
              </w:rPr>
              <w:br/>
            </w:r>
            <w:r w:rsidRPr="002F0DDA">
              <w:rPr>
                <w:color w:val="000000"/>
                <w:sz w:val="17"/>
                <w:szCs w:val="17"/>
              </w:rPr>
              <w:t>(2.9%)</w:t>
            </w:r>
          </w:p>
        </w:tc>
      </w:tr>
      <w:tr w:rsidR="00EF72D1" w:rsidRPr="00CD19F8" w:rsidTr="000E5D47">
        <w:trPr>
          <w:cantSplit/>
        </w:trPr>
        <w:tc>
          <w:tcPr>
            <w:tcW w:w="379" w:type="pct"/>
            <w:tcBorders>
              <w:top w:val="single" w:sz="4" w:space="0" w:color="A6A6A6"/>
              <w:left w:val="nil"/>
              <w:bottom w:val="single" w:sz="4" w:space="0" w:color="auto"/>
              <w:right w:val="nil"/>
            </w:tcBorders>
            <w:shd w:val="clear" w:color="auto" w:fill="auto"/>
          </w:tcPr>
          <w:p w:rsidR="00EF72D1" w:rsidRPr="002F0DDA" w:rsidRDefault="00EF72D1" w:rsidP="000964BD">
            <w:pPr>
              <w:pStyle w:val="TableText"/>
              <w:rPr>
                <w:sz w:val="17"/>
                <w:szCs w:val="17"/>
              </w:rPr>
            </w:pPr>
            <w:r w:rsidRPr="002F0DDA">
              <w:rPr>
                <w:sz w:val="17"/>
                <w:szCs w:val="17"/>
              </w:rPr>
              <w:t>10</w:t>
            </w:r>
          </w:p>
        </w:tc>
        <w:tc>
          <w:tcPr>
            <w:tcW w:w="660" w:type="pct"/>
            <w:tcBorders>
              <w:top w:val="single" w:sz="4" w:space="0" w:color="A6A6A6"/>
              <w:left w:val="nil"/>
              <w:bottom w:val="single" w:sz="4" w:space="0" w:color="auto"/>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 xml:space="preserve">Iron deficiency </w:t>
            </w:r>
            <w:proofErr w:type="gramStart"/>
            <w:r w:rsidRPr="002F0DDA">
              <w:rPr>
                <w:color w:val="000000"/>
                <w:sz w:val="17"/>
                <w:szCs w:val="17"/>
              </w:rPr>
              <w:t>anaemia</w:t>
            </w:r>
            <w:proofErr w:type="gramEnd"/>
            <w:r w:rsidR="002F0DDA">
              <w:rPr>
                <w:color w:val="000000"/>
                <w:sz w:val="17"/>
                <w:szCs w:val="17"/>
              </w:rPr>
              <w:br/>
            </w:r>
            <w:r w:rsidRPr="002F0DDA">
              <w:rPr>
                <w:color w:val="000000"/>
                <w:sz w:val="17"/>
                <w:szCs w:val="17"/>
              </w:rPr>
              <w:t>(1.3%)</w:t>
            </w:r>
          </w:p>
        </w:tc>
        <w:tc>
          <w:tcPr>
            <w:tcW w:w="660" w:type="pct"/>
            <w:tcBorders>
              <w:top w:val="single" w:sz="4" w:space="0" w:color="A6A6A6"/>
              <w:left w:val="nil"/>
              <w:bottom w:val="single" w:sz="4" w:space="0" w:color="auto"/>
              <w:right w:val="nil"/>
            </w:tcBorders>
          </w:tcPr>
          <w:p w:rsidR="00EF72D1" w:rsidRPr="002F0DDA" w:rsidRDefault="00EF72D1" w:rsidP="002F0DDA">
            <w:pPr>
              <w:pStyle w:val="TableText"/>
              <w:jc w:val="center"/>
              <w:rPr>
                <w:color w:val="000000"/>
                <w:sz w:val="17"/>
                <w:szCs w:val="17"/>
              </w:rPr>
            </w:pPr>
            <w:r w:rsidRPr="002F0DDA">
              <w:rPr>
                <w:color w:val="000000"/>
                <w:sz w:val="17"/>
                <w:szCs w:val="17"/>
              </w:rPr>
              <w:t>Haemoglobin-</w:t>
            </w:r>
            <w:proofErr w:type="spellStart"/>
            <w:proofErr w:type="gramStart"/>
            <w:r w:rsidRPr="002F0DDA">
              <w:rPr>
                <w:color w:val="000000"/>
                <w:sz w:val="17"/>
                <w:szCs w:val="17"/>
              </w:rPr>
              <w:t>opathies</w:t>
            </w:r>
            <w:proofErr w:type="spellEnd"/>
            <w:proofErr w:type="gramEnd"/>
            <w:r w:rsidR="002F0DDA" w:rsidRPr="002F0DDA">
              <w:rPr>
                <w:color w:val="000000"/>
                <w:sz w:val="17"/>
                <w:szCs w:val="17"/>
              </w:rPr>
              <w:br/>
            </w:r>
            <w:r w:rsidRPr="002F0DDA">
              <w:rPr>
                <w:color w:val="000000"/>
                <w:sz w:val="17"/>
                <w:szCs w:val="17"/>
              </w:rPr>
              <w:t>(3.1%)</w:t>
            </w:r>
          </w:p>
        </w:tc>
        <w:tc>
          <w:tcPr>
            <w:tcW w:w="660" w:type="pct"/>
            <w:tcBorders>
              <w:top w:val="single" w:sz="4" w:space="0" w:color="A6A6A6"/>
              <w:left w:val="nil"/>
              <w:bottom w:val="single" w:sz="4" w:space="0" w:color="auto"/>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Birth</w:t>
            </w:r>
            <w:r w:rsidR="002F0DDA">
              <w:rPr>
                <w:color w:val="000000"/>
                <w:sz w:val="17"/>
                <w:szCs w:val="17"/>
              </w:rPr>
              <w:br/>
            </w:r>
            <w:proofErr w:type="gramStart"/>
            <w:r w:rsidRPr="002F0DDA">
              <w:rPr>
                <w:color w:val="000000"/>
                <w:sz w:val="17"/>
                <w:szCs w:val="17"/>
              </w:rPr>
              <w:t>defects</w:t>
            </w:r>
            <w:proofErr w:type="gramEnd"/>
            <w:r w:rsidR="002F0DDA">
              <w:rPr>
                <w:color w:val="000000"/>
                <w:sz w:val="17"/>
                <w:szCs w:val="17"/>
              </w:rPr>
              <w:br/>
            </w:r>
            <w:r w:rsidRPr="002F0DDA">
              <w:rPr>
                <w:color w:val="000000"/>
                <w:sz w:val="17"/>
                <w:szCs w:val="17"/>
              </w:rPr>
              <w:t>(2.0%)</w:t>
            </w:r>
          </w:p>
        </w:tc>
        <w:tc>
          <w:tcPr>
            <w:tcW w:w="660" w:type="pct"/>
            <w:tcBorders>
              <w:top w:val="single" w:sz="4" w:space="0" w:color="A6A6A6"/>
              <w:left w:val="nil"/>
              <w:bottom w:val="single" w:sz="4" w:space="0" w:color="auto"/>
              <w:right w:val="nil"/>
            </w:tcBorders>
            <w:shd w:val="clear" w:color="auto" w:fill="auto"/>
          </w:tcPr>
          <w:p w:rsidR="00EF72D1" w:rsidRPr="002F0DDA" w:rsidRDefault="00EF72D1" w:rsidP="002F0DDA">
            <w:pPr>
              <w:pStyle w:val="TableText"/>
              <w:jc w:val="center"/>
              <w:rPr>
                <w:color w:val="000000"/>
                <w:sz w:val="17"/>
                <w:szCs w:val="17"/>
              </w:rPr>
            </w:pPr>
            <w:proofErr w:type="gramStart"/>
            <w:r w:rsidRPr="002F0DDA">
              <w:rPr>
                <w:color w:val="000000"/>
                <w:sz w:val="17"/>
                <w:szCs w:val="17"/>
              </w:rPr>
              <w:t>CHD</w:t>
            </w:r>
            <w:proofErr w:type="gramEnd"/>
            <w:r w:rsidR="002F0DDA">
              <w:rPr>
                <w:color w:val="000000"/>
                <w:sz w:val="17"/>
                <w:szCs w:val="17"/>
              </w:rPr>
              <w:br/>
            </w:r>
            <w:r w:rsidR="002F0DDA" w:rsidRPr="002F0DDA">
              <w:rPr>
                <w:color w:val="000000"/>
                <w:sz w:val="17"/>
                <w:szCs w:val="17"/>
              </w:rPr>
              <w:br/>
            </w:r>
            <w:r w:rsidRPr="002F0DDA">
              <w:rPr>
                <w:color w:val="000000"/>
                <w:sz w:val="17"/>
                <w:szCs w:val="17"/>
              </w:rPr>
              <w:t>(2.0%)</w:t>
            </w:r>
          </w:p>
        </w:tc>
        <w:tc>
          <w:tcPr>
            <w:tcW w:w="660" w:type="pct"/>
            <w:tcBorders>
              <w:top w:val="single" w:sz="4" w:space="0" w:color="A6A6A6"/>
              <w:left w:val="nil"/>
              <w:bottom w:val="single" w:sz="4" w:space="0" w:color="auto"/>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 xml:space="preserve">Anxiety </w:t>
            </w:r>
            <w:proofErr w:type="gramStart"/>
            <w:r w:rsidRPr="002F0DDA">
              <w:rPr>
                <w:color w:val="000000"/>
                <w:sz w:val="17"/>
                <w:szCs w:val="17"/>
              </w:rPr>
              <w:t>disorders</w:t>
            </w:r>
            <w:proofErr w:type="gramEnd"/>
            <w:r w:rsidR="002F0DDA" w:rsidRPr="002F0DDA">
              <w:rPr>
                <w:color w:val="000000"/>
                <w:sz w:val="17"/>
                <w:szCs w:val="17"/>
              </w:rPr>
              <w:br/>
            </w:r>
            <w:r w:rsidRPr="002F0DDA">
              <w:rPr>
                <w:color w:val="000000"/>
                <w:sz w:val="17"/>
                <w:szCs w:val="17"/>
              </w:rPr>
              <w:t>(2.4%)</w:t>
            </w:r>
          </w:p>
        </w:tc>
        <w:tc>
          <w:tcPr>
            <w:tcW w:w="660" w:type="pct"/>
            <w:tcBorders>
              <w:top w:val="single" w:sz="4" w:space="0" w:color="A6A6A6"/>
              <w:left w:val="nil"/>
              <w:bottom w:val="single" w:sz="4" w:space="0" w:color="auto"/>
              <w:right w:val="nil"/>
            </w:tcBorders>
          </w:tcPr>
          <w:p w:rsidR="00EF72D1" w:rsidRPr="002F0DDA" w:rsidRDefault="00EF72D1" w:rsidP="002F0DDA">
            <w:pPr>
              <w:pStyle w:val="TableText"/>
              <w:jc w:val="center"/>
              <w:rPr>
                <w:color w:val="000000"/>
                <w:sz w:val="17"/>
                <w:szCs w:val="17"/>
              </w:rPr>
            </w:pPr>
            <w:r w:rsidRPr="002F0DDA">
              <w:rPr>
                <w:color w:val="000000"/>
                <w:sz w:val="17"/>
                <w:szCs w:val="17"/>
              </w:rPr>
              <w:t xml:space="preserve">Age-related hearing </w:t>
            </w:r>
            <w:proofErr w:type="gramStart"/>
            <w:r w:rsidRPr="002F0DDA">
              <w:rPr>
                <w:color w:val="000000"/>
                <w:sz w:val="17"/>
                <w:szCs w:val="17"/>
              </w:rPr>
              <w:t>loss</w:t>
            </w:r>
            <w:proofErr w:type="gramEnd"/>
            <w:r w:rsidR="002F0DDA" w:rsidRPr="002F0DDA">
              <w:rPr>
                <w:color w:val="000000"/>
                <w:sz w:val="17"/>
                <w:szCs w:val="17"/>
              </w:rPr>
              <w:br/>
            </w:r>
            <w:r w:rsidRPr="002F0DDA">
              <w:rPr>
                <w:color w:val="000000"/>
                <w:sz w:val="17"/>
                <w:szCs w:val="17"/>
              </w:rPr>
              <w:t>(2.3%)</w:t>
            </w:r>
          </w:p>
        </w:tc>
        <w:tc>
          <w:tcPr>
            <w:tcW w:w="660" w:type="pct"/>
            <w:tcBorders>
              <w:top w:val="single" w:sz="4" w:space="0" w:color="A6A6A6"/>
              <w:left w:val="nil"/>
              <w:bottom w:val="single" w:sz="4" w:space="0" w:color="auto"/>
              <w:right w:val="nil"/>
            </w:tcBorders>
            <w:shd w:val="clear" w:color="auto" w:fill="auto"/>
          </w:tcPr>
          <w:p w:rsidR="00EF72D1" w:rsidRPr="002F0DDA" w:rsidRDefault="00EF72D1" w:rsidP="002F0DDA">
            <w:pPr>
              <w:pStyle w:val="TableText"/>
              <w:jc w:val="center"/>
              <w:rPr>
                <w:color w:val="000000"/>
                <w:sz w:val="17"/>
                <w:szCs w:val="17"/>
              </w:rPr>
            </w:pPr>
            <w:r w:rsidRPr="002F0DDA">
              <w:rPr>
                <w:color w:val="000000"/>
                <w:sz w:val="17"/>
                <w:szCs w:val="17"/>
              </w:rPr>
              <w:t>Lung</w:t>
            </w:r>
            <w:r w:rsidR="002F0DDA">
              <w:rPr>
                <w:color w:val="000000"/>
                <w:sz w:val="17"/>
                <w:szCs w:val="17"/>
              </w:rPr>
              <w:br/>
            </w:r>
            <w:proofErr w:type="gramStart"/>
            <w:r w:rsidRPr="002F0DDA">
              <w:rPr>
                <w:color w:val="000000"/>
                <w:sz w:val="17"/>
                <w:szCs w:val="17"/>
              </w:rPr>
              <w:t>cancer</w:t>
            </w:r>
            <w:proofErr w:type="gramEnd"/>
            <w:r w:rsidR="002F0DDA" w:rsidRPr="002F0DDA">
              <w:rPr>
                <w:color w:val="000000"/>
                <w:sz w:val="17"/>
                <w:szCs w:val="17"/>
              </w:rPr>
              <w:br/>
            </w:r>
            <w:r w:rsidRPr="002F0DDA">
              <w:rPr>
                <w:color w:val="000000"/>
                <w:sz w:val="17"/>
                <w:szCs w:val="17"/>
              </w:rPr>
              <w:t>(2.7%)</w:t>
            </w:r>
          </w:p>
        </w:tc>
      </w:tr>
      <w:tr w:rsidR="00EF72D1" w:rsidRPr="00CD19F8" w:rsidTr="002F0DDA">
        <w:trPr>
          <w:cantSplit/>
        </w:trPr>
        <w:tc>
          <w:tcPr>
            <w:tcW w:w="379" w:type="pct"/>
            <w:tcBorders>
              <w:top w:val="single" w:sz="4" w:space="0" w:color="auto"/>
              <w:left w:val="nil"/>
              <w:right w:val="nil"/>
            </w:tcBorders>
            <w:shd w:val="clear" w:color="auto" w:fill="auto"/>
          </w:tcPr>
          <w:p w:rsidR="00EF72D1" w:rsidRPr="002F0DDA" w:rsidRDefault="00EF72D1">
            <w:pPr>
              <w:pStyle w:val="TableText"/>
              <w:rPr>
                <w:sz w:val="17"/>
                <w:szCs w:val="17"/>
              </w:rPr>
            </w:pPr>
            <w:r w:rsidRPr="002F0DDA">
              <w:rPr>
                <w:sz w:val="17"/>
                <w:szCs w:val="17"/>
              </w:rPr>
              <w:t xml:space="preserve">Total </w:t>
            </w:r>
            <w:r w:rsidR="005D5D9F" w:rsidRPr="002F0DDA">
              <w:rPr>
                <w:sz w:val="17"/>
                <w:szCs w:val="17"/>
              </w:rPr>
              <w:t>‘</w:t>
            </w:r>
            <w:r w:rsidRPr="002F0DDA">
              <w:rPr>
                <w:sz w:val="17"/>
                <w:szCs w:val="17"/>
              </w:rPr>
              <w:t xml:space="preserve">top </w:t>
            </w:r>
            <w:r w:rsidR="000964BD" w:rsidRPr="002F0DDA">
              <w:rPr>
                <w:sz w:val="17"/>
                <w:szCs w:val="17"/>
              </w:rPr>
              <w:t>10</w:t>
            </w:r>
            <w:r w:rsidR="005D5D9F" w:rsidRPr="002F0DDA">
              <w:rPr>
                <w:sz w:val="17"/>
                <w:szCs w:val="17"/>
              </w:rPr>
              <w:t>’</w:t>
            </w:r>
            <w:r w:rsidRPr="002F0DDA">
              <w:rPr>
                <w:sz w:val="17"/>
                <w:szCs w:val="17"/>
              </w:rPr>
              <w:t xml:space="preserve"> share</w:t>
            </w:r>
          </w:p>
        </w:tc>
        <w:tc>
          <w:tcPr>
            <w:tcW w:w="660" w:type="pct"/>
            <w:tcBorders>
              <w:top w:val="single" w:sz="4" w:space="0" w:color="auto"/>
              <w:left w:val="nil"/>
              <w:right w:val="nil"/>
            </w:tcBorders>
            <w:shd w:val="clear" w:color="auto" w:fill="auto"/>
            <w:vAlign w:val="center"/>
          </w:tcPr>
          <w:p w:rsidR="00EF72D1" w:rsidRPr="002F0DDA" w:rsidRDefault="00EF72D1" w:rsidP="002F0DDA">
            <w:pPr>
              <w:pStyle w:val="TableText"/>
              <w:jc w:val="center"/>
              <w:rPr>
                <w:sz w:val="17"/>
                <w:szCs w:val="17"/>
              </w:rPr>
            </w:pPr>
            <w:r w:rsidRPr="002F0DDA">
              <w:rPr>
                <w:sz w:val="17"/>
                <w:szCs w:val="17"/>
              </w:rPr>
              <w:t>81.1%</w:t>
            </w:r>
          </w:p>
        </w:tc>
        <w:tc>
          <w:tcPr>
            <w:tcW w:w="660" w:type="pct"/>
            <w:tcBorders>
              <w:top w:val="single" w:sz="4" w:space="0" w:color="auto"/>
              <w:left w:val="nil"/>
              <w:right w:val="nil"/>
            </w:tcBorders>
            <w:vAlign w:val="center"/>
          </w:tcPr>
          <w:p w:rsidR="00EF72D1" w:rsidRPr="002F0DDA" w:rsidRDefault="00EF72D1" w:rsidP="002F0DDA">
            <w:pPr>
              <w:pStyle w:val="TableText"/>
              <w:jc w:val="center"/>
              <w:rPr>
                <w:color w:val="000000"/>
                <w:sz w:val="17"/>
                <w:szCs w:val="17"/>
              </w:rPr>
            </w:pPr>
            <w:r w:rsidRPr="002F0DDA">
              <w:rPr>
                <w:color w:val="000000"/>
                <w:sz w:val="17"/>
                <w:szCs w:val="17"/>
              </w:rPr>
              <w:t>68.9%</w:t>
            </w:r>
          </w:p>
        </w:tc>
        <w:tc>
          <w:tcPr>
            <w:tcW w:w="660" w:type="pct"/>
            <w:tcBorders>
              <w:top w:val="single" w:sz="4" w:space="0" w:color="auto"/>
              <w:left w:val="nil"/>
              <w:right w:val="nil"/>
            </w:tcBorders>
            <w:shd w:val="clear" w:color="auto" w:fill="auto"/>
            <w:vAlign w:val="center"/>
          </w:tcPr>
          <w:p w:rsidR="00EF72D1" w:rsidRPr="002F0DDA" w:rsidRDefault="00EF72D1" w:rsidP="002F0DDA">
            <w:pPr>
              <w:pStyle w:val="TableText"/>
              <w:jc w:val="center"/>
              <w:rPr>
                <w:sz w:val="17"/>
                <w:szCs w:val="17"/>
              </w:rPr>
            </w:pPr>
            <w:r w:rsidRPr="002F0DDA">
              <w:rPr>
                <w:sz w:val="17"/>
                <w:szCs w:val="17"/>
              </w:rPr>
              <w:t>67.6%</w:t>
            </w:r>
          </w:p>
        </w:tc>
        <w:tc>
          <w:tcPr>
            <w:tcW w:w="660" w:type="pct"/>
            <w:tcBorders>
              <w:top w:val="single" w:sz="4" w:space="0" w:color="auto"/>
              <w:left w:val="nil"/>
              <w:right w:val="nil"/>
            </w:tcBorders>
            <w:shd w:val="clear" w:color="auto" w:fill="auto"/>
            <w:vAlign w:val="center"/>
          </w:tcPr>
          <w:p w:rsidR="00EF72D1" w:rsidRPr="002F0DDA" w:rsidRDefault="00EF72D1" w:rsidP="002F0DDA">
            <w:pPr>
              <w:pStyle w:val="TableText"/>
              <w:jc w:val="center"/>
              <w:rPr>
                <w:sz w:val="17"/>
                <w:szCs w:val="17"/>
              </w:rPr>
            </w:pPr>
            <w:r w:rsidRPr="002F0DDA">
              <w:rPr>
                <w:sz w:val="17"/>
                <w:szCs w:val="17"/>
              </w:rPr>
              <w:t>55.6%</w:t>
            </w:r>
          </w:p>
        </w:tc>
        <w:tc>
          <w:tcPr>
            <w:tcW w:w="660" w:type="pct"/>
            <w:tcBorders>
              <w:top w:val="single" w:sz="4" w:space="0" w:color="auto"/>
              <w:left w:val="nil"/>
              <w:right w:val="nil"/>
            </w:tcBorders>
            <w:shd w:val="clear" w:color="auto" w:fill="auto"/>
            <w:vAlign w:val="center"/>
          </w:tcPr>
          <w:p w:rsidR="00EF72D1" w:rsidRPr="002F0DDA" w:rsidRDefault="00EF72D1" w:rsidP="002F0DDA">
            <w:pPr>
              <w:pStyle w:val="TableText"/>
              <w:jc w:val="center"/>
              <w:rPr>
                <w:sz w:val="17"/>
                <w:szCs w:val="17"/>
              </w:rPr>
            </w:pPr>
            <w:r w:rsidRPr="002F0DDA">
              <w:rPr>
                <w:sz w:val="17"/>
                <w:szCs w:val="17"/>
              </w:rPr>
              <w:t>46.4%</w:t>
            </w:r>
          </w:p>
        </w:tc>
        <w:tc>
          <w:tcPr>
            <w:tcW w:w="660" w:type="pct"/>
            <w:tcBorders>
              <w:top w:val="single" w:sz="4" w:space="0" w:color="auto"/>
              <w:left w:val="nil"/>
              <w:right w:val="nil"/>
            </w:tcBorders>
            <w:vAlign w:val="center"/>
          </w:tcPr>
          <w:p w:rsidR="00EF72D1" w:rsidRPr="002F0DDA" w:rsidRDefault="00EF72D1" w:rsidP="002F0DDA">
            <w:pPr>
              <w:pStyle w:val="TableText"/>
              <w:jc w:val="center"/>
              <w:rPr>
                <w:sz w:val="17"/>
                <w:szCs w:val="17"/>
              </w:rPr>
            </w:pPr>
            <w:r w:rsidRPr="002F0DDA">
              <w:rPr>
                <w:sz w:val="17"/>
                <w:szCs w:val="17"/>
              </w:rPr>
              <w:t>50.9%</w:t>
            </w:r>
          </w:p>
        </w:tc>
        <w:tc>
          <w:tcPr>
            <w:tcW w:w="660" w:type="pct"/>
            <w:tcBorders>
              <w:top w:val="single" w:sz="4" w:space="0" w:color="auto"/>
              <w:left w:val="nil"/>
              <w:right w:val="nil"/>
            </w:tcBorders>
            <w:shd w:val="clear" w:color="auto" w:fill="auto"/>
            <w:vAlign w:val="center"/>
          </w:tcPr>
          <w:p w:rsidR="00EF72D1" w:rsidRPr="002F0DDA" w:rsidRDefault="00EF72D1" w:rsidP="002F0DDA">
            <w:pPr>
              <w:pStyle w:val="TableText"/>
              <w:jc w:val="center"/>
              <w:rPr>
                <w:sz w:val="17"/>
                <w:szCs w:val="17"/>
              </w:rPr>
            </w:pPr>
            <w:r w:rsidRPr="002F0DDA">
              <w:rPr>
                <w:sz w:val="17"/>
                <w:szCs w:val="17"/>
              </w:rPr>
              <w:t>59.7%</w:t>
            </w:r>
          </w:p>
        </w:tc>
      </w:tr>
    </w:tbl>
    <w:p w:rsidR="00EF72D1" w:rsidRPr="002F0DDA" w:rsidRDefault="00EF72D1" w:rsidP="00EF72D1">
      <w:pPr>
        <w:pStyle w:val="Note"/>
        <w:ind w:left="0" w:right="0" w:firstLine="0"/>
        <w:rPr>
          <w:sz w:val="17"/>
          <w:szCs w:val="17"/>
        </w:rPr>
      </w:pPr>
      <w:r w:rsidRPr="002F0DDA">
        <w:rPr>
          <w:sz w:val="17"/>
          <w:szCs w:val="17"/>
        </w:rPr>
        <w:t>% is percentage of all-cause DALYs in age group. Confidence intervals not shown for clarity of presentation.</w:t>
      </w:r>
    </w:p>
    <w:p w:rsidR="00EF72D1" w:rsidRPr="002F0DDA" w:rsidRDefault="00EF72D1" w:rsidP="00EF72D1">
      <w:pPr>
        <w:pStyle w:val="Note"/>
        <w:ind w:left="0" w:right="0" w:firstLine="0"/>
        <w:rPr>
          <w:sz w:val="17"/>
          <w:szCs w:val="17"/>
        </w:rPr>
      </w:pPr>
      <w:r w:rsidRPr="002F0DDA">
        <w:rPr>
          <w:sz w:val="17"/>
          <w:szCs w:val="17"/>
        </w:rPr>
        <w:t>Key: CHD = coronary heart disease; COPD = chronic obstructive pulmonary disease; SUDI = sudden unexpected death in infancy. Common infections include pneumonia, bronchiolitis and diarrhoeal disease. Skin disorders include eczema, acne and psoriasis.</w:t>
      </w:r>
    </w:p>
    <w:p w:rsidR="00EF72D1" w:rsidRDefault="00EF72D1" w:rsidP="002F0DDA"/>
    <w:p w:rsidR="00EF72D1" w:rsidRDefault="00EF72D1" w:rsidP="002F0DDA">
      <w:r>
        <w:t>Diabetes as a disease (rather than as a risk factor) does not make the top five in any age group, but of course contributes to CHD, stroke and dementia, which do.</w:t>
      </w:r>
    </w:p>
    <w:p w:rsidR="00EF72D1" w:rsidRDefault="00EF72D1" w:rsidP="002F0DDA"/>
    <w:p w:rsidR="00EF72D1" w:rsidRDefault="00EF72D1" w:rsidP="002F0DDA">
      <w:r>
        <w:t xml:space="preserve">The only cancer to make the </w:t>
      </w:r>
      <w:r w:rsidR="005D5D9F">
        <w:t>‘</w:t>
      </w:r>
      <w:r>
        <w:t>top five</w:t>
      </w:r>
      <w:r w:rsidR="005D5D9F">
        <w:t>’</w:t>
      </w:r>
      <w:r>
        <w:t xml:space="preserve"> list is lung cancer in middle and old age. However, other cancers that make an important contribution to health loss are breast cancer in middle-aged and older females, prostate cancer in older males, and bowel cancer and melanoma in middle-aged and older adults of both sexes.</w:t>
      </w:r>
    </w:p>
    <w:p w:rsidR="00EF72D1" w:rsidRDefault="00EF72D1" w:rsidP="002F0DDA"/>
    <w:p w:rsidR="00EF72D1" w:rsidRDefault="00EF72D1" w:rsidP="002F0DDA">
      <w:r>
        <w:t xml:space="preserve">No injury ranks highly in middle age or beyond, although falls rank fairly highly among older people, especially the 75+ years age group (in which it ranks seventh). The only infectious disease category to rank in the top five is diarrhoea and pneumonia, which still rank highly (fourth) in the 0–4 </w:t>
      </w:r>
      <w:proofErr w:type="gramStart"/>
      <w:r>
        <w:t>years</w:t>
      </w:r>
      <w:proofErr w:type="gramEnd"/>
      <w:r>
        <w:t xml:space="preserve"> age group.</w:t>
      </w:r>
    </w:p>
    <w:p w:rsidR="00EF72D1" w:rsidRDefault="00EF72D1" w:rsidP="002F0DDA"/>
    <w:p w:rsidR="00EF72D1" w:rsidRDefault="00EF72D1" w:rsidP="002F0DDA">
      <w:pPr>
        <w:pStyle w:val="Heading2"/>
      </w:pPr>
      <w:bookmarkStart w:id="133" w:name="_Toc442416683"/>
      <w:bookmarkStart w:id="134" w:name="_Toc456270689"/>
      <w:r>
        <w:lastRenderedPageBreak/>
        <w:t>The diabetes burden is no longer increasing</w:t>
      </w:r>
      <w:bookmarkEnd w:id="133"/>
      <w:r>
        <w:t xml:space="preserve"> (once adjusted for demographic drivers)</w:t>
      </w:r>
      <w:bookmarkEnd w:id="134"/>
    </w:p>
    <w:p w:rsidR="00EF72D1" w:rsidRDefault="00EF72D1" w:rsidP="002F0DDA">
      <w:r>
        <w:t>Six conditions have been selected for more detailed trend analysis, based on the following criteria: share of burden in the whole population or at a specific lifecycle stage; existence of a</w:t>
      </w:r>
      <w:r w:rsidRPr="003E2206">
        <w:t xml:space="preserve"> </w:t>
      </w:r>
      <w:r>
        <w:t>trend that is relevant to policy; and balance across NCDs, pre-transitional conditions and injury. The conditions selected were CHD, diabetes, bowel cancer, SUDI, self-harm and transport injury (</w:t>
      </w:r>
      <w:r>
        <w:fldChar w:fldCharType="begin"/>
      </w:r>
      <w:r>
        <w:instrText xml:space="preserve"> REF _Ref441215813 \h </w:instrText>
      </w:r>
      <w:r>
        <w:fldChar w:fldCharType="separate"/>
      </w:r>
      <w:r w:rsidR="006C545C">
        <w:t xml:space="preserve">Figure </w:t>
      </w:r>
      <w:r w:rsidR="006C545C">
        <w:rPr>
          <w:noProof/>
        </w:rPr>
        <w:t>14</w:t>
      </w:r>
      <w:r>
        <w:fldChar w:fldCharType="end"/>
      </w:r>
      <w:r>
        <w:t xml:space="preserve">). Trends in </w:t>
      </w:r>
      <w:r w:rsidR="00EA098F">
        <w:t xml:space="preserve">the </w:t>
      </w:r>
      <w:r>
        <w:t>dementia burden are also of great policy interest, but data quality is not good enough to produce a reliable time series for this condition.</w:t>
      </w:r>
    </w:p>
    <w:p w:rsidR="00EF72D1" w:rsidRDefault="00EF72D1" w:rsidP="002F0DDA"/>
    <w:p w:rsidR="00EF72D1" w:rsidRDefault="00EF72D1" w:rsidP="002F0DDA">
      <w:pPr>
        <w:pStyle w:val="Figure"/>
      </w:pPr>
      <w:bookmarkStart w:id="135" w:name="_Ref441215813"/>
      <w:bookmarkStart w:id="136" w:name="_Toc441576070"/>
      <w:bookmarkStart w:id="137" w:name="_Toc442416802"/>
      <w:bookmarkStart w:id="138" w:name="_Toc454078642"/>
      <w:bookmarkStart w:id="139" w:name="_Toc456613627"/>
      <w:r>
        <w:t xml:space="preserve">Figure </w:t>
      </w:r>
      <w:r w:rsidR="00F456CC">
        <w:fldChar w:fldCharType="begin"/>
      </w:r>
      <w:r w:rsidR="00F456CC">
        <w:instrText xml:space="preserve"> SEQ Figure \* ARABIC </w:instrText>
      </w:r>
      <w:r w:rsidR="00F456CC">
        <w:fldChar w:fldCharType="separate"/>
      </w:r>
      <w:r w:rsidR="006C545C">
        <w:rPr>
          <w:noProof/>
        </w:rPr>
        <w:t>14</w:t>
      </w:r>
      <w:r w:rsidR="00F456CC">
        <w:rPr>
          <w:noProof/>
        </w:rPr>
        <w:fldChar w:fldCharType="end"/>
      </w:r>
      <w:bookmarkEnd w:id="135"/>
      <w:r>
        <w:t xml:space="preserve">: </w:t>
      </w:r>
      <w:r w:rsidRPr="009E44B9">
        <w:t>Age</w:t>
      </w:r>
      <w:r>
        <w:t>-</w:t>
      </w:r>
      <w:r w:rsidRPr="009E44B9">
        <w:t>standardised DALY rate</w:t>
      </w:r>
      <w:r>
        <w:t xml:space="preserve"> per 1000</w:t>
      </w:r>
      <w:r w:rsidRPr="009E44B9">
        <w:t xml:space="preserve">, </w:t>
      </w:r>
      <w:r>
        <w:t xml:space="preserve">selected conditions, </w:t>
      </w:r>
      <w:proofErr w:type="gramStart"/>
      <w:r w:rsidRPr="009E44B9">
        <w:t>1990</w:t>
      </w:r>
      <w:proofErr w:type="gramEnd"/>
      <w:r>
        <w:t>–</w:t>
      </w:r>
      <w:r w:rsidRPr="009E44B9">
        <w:t>2015</w:t>
      </w:r>
      <w:bookmarkEnd w:id="136"/>
      <w:bookmarkEnd w:id="137"/>
      <w:bookmarkEnd w:id="138"/>
      <w:bookmarkEnd w:id="139"/>
    </w:p>
    <w:tbl>
      <w:tblPr>
        <w:tblW w:w="0" w:type="auto"/>
        <w:tblLayout w:type="fixed"/>
        <w:tblCellMar>
          <w:left w:w="0" w:type="dxa"/>
          <w:right w:w="0" w:type="dxa"/>
        </w:tblCellMar>
        <w:tblLook w:val="04A0" w:firstRow="1" w:lastRow="0" w:firstColumn="1" w:lastColumn="0" w:noHBand="0" w:noVBand="1"/>
      </w:tblPr>
      <w:tblGrid>
        <w:gridCol w:w="4785"/>
        <w:gridCol w:w="4786"/>
      </w:tblGrid>
      <w:tr w:rsidR="00EF72D1" w:rsidRPr="00FC49E7" w:rsidTr="00733F16">
        <w:trPr>
          <w:cantSplit/>
        </w:trPr>
        <w:tc>
          <w:tcPr>
            <w:tcW w:w="4785" w:type="dxa"/>
            <w:shd w:val="clear" w:color="auto" w:fill="auto"/>
          </w:tcPr>
          <w:p w:rsidR="00EF72D1" w:rsidRPr="00FC49E7" w:rsidRDefault="00EF72D1" w:rsidP="00733F16">
            <w:pPr>
              <w:pStyle w:val="TableText"/>
              <w:keepNext/>
              <w:rPr>
                <w:b/>
              </w:rPr>
            </w:pPr>
            <w:r w:rsidRPr="00FC49E7">
              <w:rPr>
                <w:b/>
              </w:rPr>
              <w:t>CHD</w:t>
            </w:r>
          </w:p>
        </w:tc>
        <w:tc>
          <w:tcPr>
            <w:tcW w:w="4786" w:type="dxa"/>
            <w:shd w:val="clear" w:color="auto" w:fill="auto"/>
          </w:tcPr>
          <w:p w:rsidR="00EF72D1" w:rsidRPr="00FC49E7" w:rsidRDefault="00EF72D1" w:rsidP="00733F16">
            <w:pPr>
              <w:pStyle w:val="TableText"/>
              <w:keepNext/>
              <w:rPr>
                <w:b/>
              </w:rPr>
            </w:pPr>
            <w:r w:rsidRPr="00FC49E7">
              <w:rPr>
                <w:b/>
              </w:rPr>
              <w:t>Diabetes</w:t>
            </w:r>
          </w:p>
        </w:tc>
      </w:tr>
      <w:tr w:rsidR="00EF72D1" w:rsidTr="00733F16">
        <w:trPr>
          <w:cantSplit/>
        </w:trPr>
        <w:tc>
          <w:tcPr>
            <w:tcW w:w="4785" w:type="dxa"/>
            <w:shd w:val="clear" w:color="auto" w:fill="auto"/>
          </w:tcPr>
          <w:p w:rsidR="00EF72D1" w:rsidRDefault="005122BD" w:rsidP="00733F16">
            <w:r>
              <w:rPr>
                <w:noProof/>
                <w:lang w:eastAsia="en-NZ"/>
              </w:rPr>
              <w:drawing>
                <wp:inline distT="0" distB="0" distL="0" distR="0" wp14:anchorId="65C21B8B">
                  <wp:extent cx="2979420" cy="1819910"/>
                  <wp:effectExtent l="0" t="0" r="0" b="8890"/>
                  <wp:docPr id="88" name="Picture 88" descr="Figure 14: Age-standardised DALY rate per 1000, CHD,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igure 14: Age-standardised DALY rate per 1000, CHD, 1990–20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9420" cy="1819910"/>
                          </a:xfrm>
                          <a:prstGeom prst="rect">
                            <a:avLst/>
                          </a:prstGeom>
                          <a:noFill/>
                        </pic:spPr>
                      </pic:pic>
                    </a:graphicData>
                  </a:graphic>
                </wp:inline>
              </w:drawing>
            </w:r>
          </w:p>
        </w:tc>
        <w:tc>
          <w:tcPr>
            <w:tcW w:w="4786" w:type="dxa"/>
            <w:shd w:val="clear" w:color="auto" w:fill="auto"/>
          </w:tcPr>
          <w:p w:rsidR="00EF72D1" w:rsidRDefault="005122BD" w:rsidP="00733F16">
            <w:pPr>
              <w:pStyle w:val="TableText"/>
            </w:pPr>
            <w:r>
              <w:rPr>
                <w:noProof/>
                <w:lang w:eastAsia="en-NZ"/>
              </w:rPr>
              <w:drawing>
                <wp:inline distT="0" distB="0" distL="0" distR="0" wp14:anchorId="69C06413">
                  <wp:extent cx="2907030" cy="1775460"/>
                  <wp:effectExtent l="0" t="0" r="0" b="0"/>
                  <wp:docPr id="89" name="Picture 89" descr="Figure 14: Age-standardised DALY rate per 1000, diabetes,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 14: Age-standardised DALY rate per 1000, diabetes, 1990–20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7030" cy="1775460"/>
                          </a:xfrm>
                          <a:prstGeom prst="rect">
                            <a:avLst/>
                          </a:prstGeom>
                          <a:noFill/>
                        </pic:spPr>
                      </pic:pic>
                    </a:graphicData>
                  </a:graphic>
                </wp:inline>
              </w:drawing>
            </w:r>
          </w:p>
        </w:tc>
      </w:tr>
      <w:tr w:rsidR="00EF72D1" w:rsidRPr="00FC49E7" w:rsidTr="00733F16">
        <w:trPr>
          <w:cantSplit/>
        </w:trPr>
        <w:tc>
          <w:tcPr>
            <w:tcW w:w="4785" w:type="dxa"/>
            <w:shd w:val="clear" w:color="auto" w:fill="auto"/>
          </w:tcPr>
          <w:p w:rsidR="00EF72D1" w:rsidRPr="00FC49E7" w:rsidRDefault="00EF72D1" w:rsidP="00733F16">
            <w:pPr>
              <w:pStyle w:val="TableText"/>
              <w:rPr>
                <w:b/>
              </w:rPr>
            </w:pPr>
            <w:r w:rsidRPr="00FC49E7">
              <w:rPr>
                <w:b/>
              </w:rPr>
              <w:t>SUDI</w:t>
            </w:r>
          </w:p>
        </w:tc>
        <w:tc>
          <w:tcPr>
            <w:tcW w:w="4786" w:type="dxa"/>
            <w:shd w:val="clear" w:color="auto" w:fill="auto"/>
          </w:tcPr>
          <w:p w:rsidR="00EF72D1" w:rsidRPr="00FC49E7" w:rsidRDefault="00EF72D1" w:rsidP="00733F16">
            <w:pPr>
              <w:pStyle w:val="TableText"/>
              <w:rPr>
                <w:b/>
              </w:rPr>
            </w:pPr>
            <w:r w:rsidRPr="00FC49E7">
              <w:rPr>
                <w:b/>
              </w:rPr>
              <w:t>Bowel cancer</w:t>
            </w:r>
          </w:p>
        </w:tc>
      </w:tr>
      <w:tr w:rsidR="00EF72D1" w:rsidTr="00733F16">
        <w:trPr>
          <w:cantSplit/>
        </w:trPr>
        <w:tc>
          <w:tcPr>
            <w:tcW w:w="4785" w:type="dxa"/>
            <w:shd w:val="clear" w:color="auto" w:fill="auto"/>
          </w:tcPr>
          <w:p w:rsidR="00EF72D1" w:rsidRDefault="005122BD" w:rsidP="00733F16">
            <w:pPr>
              <w:pStyle w:val="TableText"/>
            </w:pPr>
            <w:r>
              <w:rPr>
                <w:noProof/>
                <w:lang w:eastAsia="en-NZ"/>
              </w:rPr>
              <w:drawing>
                <wp:inline distT="0" distB="0" distL="0" distR="0" wp14:anchorId="58A81777">
                  <wp:extent cx="2954020" cy="1804670"/>
                  <wp:effectExtent l="0" t="0" r="0" b="5080"/>
                  <wp:docPr id="90" name="Picture 90" descr="Figure 14: Age-standardised DALY rate per 1000, SUDI,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 14: Age-standardised DALY rate per 1000, SUDI, 1990–20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4020" cy="1804670"/>
                          </a:xfrm>
                          <a:prstGeom prst="rect">
                            <a:avLst/>
                          </a:prstGeom>
                          <a:noFill/>
                        </pic:spPr>
                      </pic:pic>
                    </a:graphicData>
                  </a:graphic>
                </wp:inline>
              </w:drawing>
            </w:r>
          </w:p>
        </w:tc>
        <w:tc>
          <w:tcPr>
            <w:tcW w:w="4786" w:type="dxa"/>
            <w:shd w:val="clear" w:color="auto" w:fill="auto"/>
          </w:tcPr>
          <w:p w:rsidR="00EF72D1" w:rsidRDefault="005122BD" w:rsidP="00733F16">
            <w:pPr>
              <w:pStyle w:val="TableText"/>
            </w:pPr>
            <w:r>
              <w:rPr>
                <w:noProof/>
                <w:lang w:eastAsia="en-NZ"/>
              </w:rPr>
              <w:drawing>
                <wp:inline distT="0" distB="0" distL="0" distR="0" wp14:anchorId="2254DC70">
                  <wp:extent cx="2952115" cy="1802765"/>
                  <wp:effectExtent l="0" t="0" r="0" b="6985"/>
                  <wp:docPr id="91" name="Picture 91" descr="Figure 14: Age-standardised DALY rate per 1000, bowel cancer,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 14: Age-standardised DALY rate per 1000, bowel cancer, 1990–20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2115" cy="1802765"/>
                          </a:xfrm>
                          <a:prstGeom prst="rect">
                            <a:avLst/>
                          </a:prstGeom>
                          <a:noFill/>
                        </pic:spPr>
                      </pic:pic>
                    </a:graphicData>
                  </a:graphic>
                </wp:inline>
              </w:drawing>
            </w:r>
          </w:p>
        </w:tc>
      </w:tr>
      <w:tr w:rsidR="00EF72D1" w:rsidRPr="00FC49E7" w:rsidTr="00733F16">
        <w:trPr>
          <w:cantSplit/>
        </w:trPr>
        <w:tc>
          <w:tcPr>
            <w:tcW w:w="4785" w:type="dxa"/>
            <w:shd w:val="clear" w:color="auto" w:fill="auto"/>
          </w:tcPr>
          <w:p w:rsidR="00EF72D1" w:rsidRPr="00FC49E7" w:rsidRDefault="00EF72D1" w:rsidP="00733F16">
            <w:pPr>
              <w:pStyle w:val="TableText"/>
              <w:rPr>
                <w:b/>
              </w:rPr>
            </w:pPr>
            <w:r w:rsidRPr="00FC49E7">
              <w:rPr>
                <w:b/>
              </w:rPr>
              <w:t>Transport injury</w:t>
            </w:r>
          </w:p>
        </w:tc>
        <w:tc>
          <w:tcPr>
            <w:tcW w:w="4786" w:type="dxa"/>
            <w:shd w:val="clear" w:color="auto" w:fill="auto"/>
          </w:tcPr>
          <w:p w:rsidR="00EF72D1" w:rsidRPr="00FC49E7" w:rsidRDefault="00EF72D1" w:rsidP="00733F16">
            <w:pPr>
              <w:pStyle w:val="TableText"/>
              <w:rPr>
                <w:b/>
              </w:rPr>
            </w:pPr>
            <w:r w:rsidRPr="00FC49E7">
              <w:rPr>
                <w:b/>
              </w:rPr>
              <w:t>Self-harm</w:t>
            </w:r>
          </w:p>
        </w:tc>
      </w:tr>
      <w:tr w:rsidR="00EF72D1" w:rsidTr="00733F16">
        <w:trPr>
          <w:cantSplit/>
        </w:trPr>
        <w:tc>
          <w:tcPr>
            <w:tcW w:w="4785" w:type="dxa"/>
            <w:shd w:val="clear" w:color="auto" w:fill="auto"/>
          </w:tcPr>
          <w:p w:rsidR="00EF72D1" w:rsidRDefault="005122BD" w:rsidP="00733F16">
            <w:pPr>
              <w:pStyle w:val="TableText"/>
            </w:pPr>
            <w:r>
              <w:rPr>
                <w:noProof/>
                <w:lang w:eastAsia="en-NZ"/>
              </w:rPr>
              <w:drawing>
                <wp:inline distT="0" distB="0" distL="0" distR="0" wp14:anchorId="6FB604C0">
                  <wp:extent cx="3037840" cy="1856105"/>
                  <wp:effectExtent l="0" t="0" r="0" b="0"/>
                  <wp:docPr id="92" name="Picture 92" descr="Figure 14: Age-standardised DALY rate per 1000, transport injury,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 14: Age-standardised DALY rate per 1000, transport injury, 1990–20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7840" cy="1856105"/>
                          </a:xfrm>
                          <a:prstGeom prst="rect">
                            <a:avLst/>
                          </a:prstGeom>
                          <a:noFill/>
                        </pic:spPr>
                      </pic:pic>
                    </a:graphicData>
                  </a:graphic>
                </wp:inline>
              </w:drawing>
            </w:r>
          </w:p>
        </w:tc>
        <w:tc>
          <w:tcPr>
            <w:tcW w:w="4786" w:type="dxa"/>
            <w:shd w:val="clear" w:color="auto" w:fill="auto"/>
          </w:tcPr>
          <w:p w:rsidR="00EF72D1" w:rsidRDefault="005122BD" w:rsidP="00733F16">
            <w:pPr>
              <w:pStyle w:val="TableText"/>
            </w:pPr>
            <w:r>
              <w:rPr>
                <w:noProof/>
                <w:lang w:eastAsia="en-NZ"/>
              </w:rPr>
              <w:drawing>
                <wp:inline distT="0" distB="0" distL="0" distR="0" wp14:anchorId="3DBBECF9">
                  <wp:extent cx="3051810" cy="1864360"/>
                  <wp:effectExtent l="0" t="0" r="0" b="2540"/>
                  <wp:docPr id="93" name="Picture 93" descr="Figure 14: Age-standardised DALY rate per 1000, self-harm,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 14: Age-standardised DALY rate per 1000, self-harm, 1990–20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1810" cy="1864360"/>
                          </a:xfrm>
                          <a:prstGeom prst="rect">
                            <a:avLst/>
                          </a:prstGeom>
                          <a:noFill/>
                        </pic:spPr>
                      </pic:pic>
                    </a:graphicData>
                  </a:graphic>
                </wp:inline>
              </w:drawing>
            </w:r>
          </w:p>
        </w:tc>
      </w:tr>
    </w:tbl>
    <w:p w:rsidR="00EF72D1" w:rsidRPr="00417697" w:rsidRDefault="00EF72D1" w:rsidP="002F0DDA">
      <w:pPr>
        <w:pStyle w:val="Note"/>
        <w:ind w:left="0" w:right="0" w:firstLine="0"/>
      </w:pPr>
      <w:r>
        <w:t xml:space="preserve">Notes: (1) </w:t>
      </w:r>
      <w:r w:rsidRPr="00417697">
        <w:t>Scale varies between charts.</w:t>
      </w:r>
      <w:r>
        <w:t xml:space="preserve"> (2) SUDI rate is per 1000 live</w:t>
      </w:r>
      <w:r w:rsidR="00135BAE">
        <w:t xml:space="preserve"> </w:t>
      </w:r>
      <w:r>
        <w:t>births and is not age standardised.</w:t>
      </w:r>
      <w:r w:rsidR="002F0DDA">
        <w:t xml:space="preserve"> </w:t>
      </w:r>
      <w:r>
        <w:t>(3)</w:t>
      </w:r>
      <w:r w:rsidR="002F0DDA">
        <w:t> </w:t>
      </w:r>
      <w:r>
        <w:t>Confidence intervals not shown for clarity of presentation.</w:t>
      </w:r>
    </w:p>
    <w:p w:rsidR="00EF72D1" w:rsidRDefault="00EF72D1" w:rsidP="002F0DDA"/>
    <w:p w:rsidR="00EF72D1" w:rsidRDefault="00EF72D1" w:rsidP="00392E96">
      <w:pPr>
        <w:keepLines/>
      </w:pPr>
      <w:r>
        <w:lastRenderedPageBreak/>
        <w:t>Once the estimates are adjusted for change in the size and age structure of the population, CHD, transport injury and – to a lesser extent – bowel cancer burdens can be seen to have declined steadily over the past 25 years (at least). Plotting the rates on a log scale shows how steady the decline is: they fit a log linear model reasonably well (</w:t>
      </w:r>
      <w:proofErr w:type="spellStart"/>
      <w:r>
        <w:t>ie</w:t>
      </w:r>
      <w:proofErr w:type="spellEnd"/>
      <w:r>
        <w:t>, are declining by a constant proportion each year) and show little, if any, levelling out. The trend in health loss from bowel cancer began before the screening era and probably reflects improvements in diagnosis and treatment for this condition.</w:t>
      </w:r>
    </w:p>
    <w:p w:rsidR="00EF72D1" w:rsidRDefault="00EF72D1" w:rsidP="002F0DDA"/>
    <w:p w:rsidR="00EF72D1" w:rsidRDefault="00EF72D1" w:rsidP="002F0DDA">
      <w:r>
        <w:t>Health loss from self-harm peaked in 1995 and has since also declined, possibly indicating the impact of suicide prevention programmes over the past two decades, at least in part.</w:t>
      </w:r>
    </w:p>
    <w:p w:rsidR="00EF72D1" w:rsidRDefault="00EF72D1" w:rsidP="002F0DDA"/>
    <w:p w:rsidR="00EF72D1" w:rsidRDefault="00EF72D1" w:rsidP="002F0DDA">
      <w:r>
        <w:t>Per capita age-adjusted health loss from diabetes began increasing in 1995 and rose steeply to 2005 when it peaked and has since declined slowly, even though the prevalence of diabetes has continued to increase. This finding may reflect earlier diagnosis and/or more effective treatment of this disease – which has had the effect of decoupling burden from prevalence. Decoupling is discussed further below in relation to risk factors, in particular body mass index.</w:t>
      </w:r>
    </w:p>
    <w:p w:rsidR="00EF72D1" w:rsidRDefault="00EF72D1" w:rsidP="002F0DDA"/>
    <w:p w:rsidR="005D5D9F" w:rsidRDefault="00EF72D1" w:rsidP="002F0DDA">
      <w:r>
        <w:t>Health loss (premature mortality) from SUDI (the condition formerly known as SIDS or cot death) fell rapidly from 1990–2005. The cause of this dramatic decline was</w:t>
      </w:r>
      <w:r w:rsidR="00EA098F">
        <w:t xml:space="preserve"> most probably</w:t>
      </w:r>
      <w:r>
        <w:t xml:space="preserve"> the change in recommended sleep position for infants (from prone to supine – </w:t>
      </w:r>
      <w:proofErr w:type="spellStart"/>
      <w:r>
        <w:t>ie</w:t>
      </w:r>
      <w:proofErr w:type="spellEnd"/>
      <w:r>
        <w:t xml:space="preserve">, the </w:t>
      </w:r>
      <w:r w:rsidR="005D5D9F">
        <w:t>‘</w:t>
      </w:r>
      <w:r>
        <w:t>Back to Sleep</w:t>
      </w:r>
      <w:r w:rsidR="005D5D9F">
        <w:t>’</w:t>
      </w:r>
      <w:r>
        <w:t xml:space="preserve"> campaign) beginning around 1991.</w:t>
      </w:r>
      <w:r w:rsidRPr="002F0DDA">
        <w:rPr>
          <w:rStyle w:val="FootnoteReference"/>
        </w:rPr>
        <w:footnoteReference w:id="1"/>
      </w:r>
    </w:p>
    <w:p w:rsidR="00EF72D1" w:rsidRDefault="00EF72D1" w:rsidP="002F0DDA"/>
    <w:p w:rsidR="00EF72D1" w:rsidRDefault="00EF72D1" w:rsidP="002F0DDA">
      <w:pPr>
        <w:pStyle w:val="Heading2"/>
      </w:pPr>
      <w:bookmarkStart w:id="140" w:name="_Toc442416684"/>
      <w:bookmarkStart w:id="141" w:name="_Toc456270690"/>
      <w:r>
        <w:t>The mesothelioma epidemic is peaking</w:t>
      </w:r>
      <w:bookmarkEnd w:id="140"/>
      <w:bookmarkEnd w:id="141"/>
    </w:p>
    <w:p w:rsidR="00EF72D1" w:rsidRDefault="00EF72D1" w:rsidP="002F0DDA">
      <w:r>
        <w:t>Not only is the</w:t>
      </w:r>
      <w:r w:rsidRPr="00D77F48">
        <w:t xml:space="preserve"> </w:t>
      </w:r>
      <w:r>
        <w:t>combined burden of all cancers declining, but so is that of most individual cancers. Among the major cancers, the contributions to health loss made by lung cancer, bowel cancer and female breast cancer are all falling (</w:t>
      </w:r>
      <w:r>
        <w:fldChar w:fldCharType="begin"/>
      </w:r>
      <w:r>
        <w:instrText xml:space="preserve"> REF _Ref441218219 \h </w:instrText>
      </w:r>
      <w:r>
        <w:fldChar w:fldCharType="separate"/>
      </w:r>
      <w:r w:rsidR="006C545C">
        <w:t xml:space="preserve">Figure </w:t>
      </w:r>
      <w:r w:rsidR="006C545C">
        <w:rPr>
          <w:noProof/>
        </w:rPr>
        <w:t>15</w:t>
      </w:r>
      <w:r>
        <w:fldChar w:fldCharType="end"/>
      </w:r>
      <w:r>
        <w:t>). The prostate cancer burden rose until the year 2000 (approximately) and has since also begun to decline. The melanoma burden is flat, with no observable trend. Brain cancer, while increasing in incidence, is slowly declining in burden – the result of earlier diagnosis and better treatment.</w:t>
      </w:r>
    </w:p>
    <w:p w:rsidR="00EF72D1" w:rsidRDefault="00EF72D1" w:rsidP="002F0DDA"/>
    <w:p w:rsidR="00EF72D1" w:rsidRDefault="00EF72D1" w:rsidP="002F0DDA">
      <w:pPr>
        <w:pStyle w:val="Figure"/>
      </w:pPr>
      <w:bookmarkStart w:id="142" w:name="_Ref441218219"/>
      <w:bookmarkStart w:id="143" w:name="_Toc441576071"/>
      <w:bookmarkStart w:id="144" w:name="_Toc442416803"/>
      <w:bookmarkStart w:id="145" w:name="_Toc454078643"/>
      <w:bookmarkStart w:id="146" w:name="_Toc456613628"/>
      <w:r>
        <w:t xml:space="preserve">Figure </w:t>
      </w:r>
      <w:r w:rsidR="00F456CC">
        <w:fldChar w:fldCharType="begin"/>
      </w:r>
      <w:r w:rsidR="00F456CC">
        <w:instrText xml:space="preserve"> SEQ Figure \* ARABIC </w:instrText>
      </w:r>
      <w:r w:rsidR="00F456CC">
        <w:fldChar w:fldCharType="separate"/>
      </w:r>
      <w:r w:rsidR="006C545C">
        <w:rPr>
          <w:noProof/>
        </w:rPr>
        <w:t>15</w:t>
      </w:r>
      <w:r w:rsidR="00F456CC">
        <w:rPr>
          <w:noProof/>
        </w:rPr>
        <w:fldChar w:fldCharType="end"/>
      </w:r>
      <w:bookmarkEnd w:id="142"/>
      <w:r>
        <w:t xml:space="preserve">: </w:t>
      </w:r>
      <w:r w:rsidRPr="009E44B9">
        <w:t>Age</w:t>
      </w:r>
      <w:r>
        <w:t>-</w:t>
      </w:r>
      <w:r w:rsidRPr="009E44B9">
        <w:t>standardised DALY rate</w:t>
      </w:r>
      <w:r>
        <w:t xml:space="preserve"> per 1000</w:t>
      </w:r>
      <w:r w:rsidRPr="009E44B9">
        <w:t xml:space="preserve">, </w:t>
      </w:r>
      <w:r>
        <w:t xml:space="preserve">selected cancers, </w:t>
      </w:r>
      <w:proofErr w:type="gramStart"/>
      <w:r w:rsidRPr="009E44B9">
        <w:t>1990</w:t>
      </w:r>
      <w:proofErr w:type="gramEnd"/>
      <w:r>
        <w:t>–</w:t>
      </w:r>
      <w:r w:rsidRPr="009E44B9">
        <w:t>2015</w:t>
      </w:r>
      <w:bookmarkEnd w:id="143"/>
      <w:bookmarkEnd w:id="144"/>
      <w:bookmarkEnd w:id="145"/>
      <w:bookmarkEnd w:id="146"/>
    </w:p>
    <w:p w:rsidR="00EF72D1" w:rsidRPr="00334A7F" w:rsidRDefault="005122BD" w:rsidP="00B75105">
      <w:r>
        <w:rPr>
          <w:noProof/>
          <w:lang w:eastAsia="en-NZ"/>
        </w:rPr>
        <w:drawing>
          <wp:inline distT="0" distB="0" distL="0" distR="0">
            <wp:extent cx="4679950" cy="2859405"/>
            <wp:effectExtent l="0" t="0" r="6350" b="0"/>
            <wp:docPr id="915" name="Picture 1" descr="Figure 15: Age-standardised DALY rate per 1000, selected cancers,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5: Age-standardised DALY rate per 1000, selected cancers, 1990–20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9950" cy="2859405"/>
                    </a:xfrm>
                    <a:prstGeom prst="rect">
                      <a:avLst/>
                    </a:prstGeom>
                    <a:noFill/>
                    <a:ln>
                      <a:noFill/>
                    </a:ln>
                  </pic:spPr>
                </pic:pic>
              </a:graphicData>
            </a:graphic>
          </wp:inline>
        </w:drawing>
      </w:r>
    </w:p>
    <w:p w:rsidR="00EF72D1" w:rsidRPr="00E31CBE" w:rsidRDefault="00EF72D1" w:rsidP="002F0DDA">
      <w:pPr>
        <w:pStyle w:val="Note"/>
      </w:pPr>
      <w:r>
        <w:t xml:space="preserve">Note: </w:t>
      </w:r>
      <w:r w:rsidRPr="00E31CBE">
        <w:t>Confidence intervals not shown for clarity</w:t>
      </w:r>
      <w:r>
        <w:t xml:space="preserve"> of presentation</w:t>
      </w:r>
      <w:r w:rsidRPr="00E31CBE">
        <w:t>.</w:t>
      </w:r>
    </w:p>
    <w:p w:rsidR="00EF72D1" w:rsidRDefault="00EF72D1" w:rsidP="00E82E80">
      <w:pPr>
        <w:spacing w:before="240"/>
      </w:pPr>
      <w:r>
        <w:lastRenderedPageBreak/>
        <w:t>The cancer with the most rapidly rising burden over the past quarter century has been mesothelioma – although this trend may now be reversing, as the burden has been stable or possibly even slightly declining since 2010. This probably reflects the historical pattern of exposure of the population to chrysotile asbestos, lagged by about 20–30 years (the induction period for this cancer) (</w:t>
      </w:r>
      <w:r w:rsidR="002F0DDA">
        <w:fldChar w:fldCharType="begin"/>
      </w:r>
      <w:r w:rsidR="002F0DDA">
        <w:instrText xml:space="preserve"> REF _Ref454887820 \h </w:instrText>
      </w:r>
      <w:r w:rsidR="002F0DDA">
        <w:fldChar w:fldCharType="separate"/>
      </w:r>
      <w:r w:rsidR="006C545C" w:rsidRPr="00997C62">
        <w:t>Figure</w:t>
      </w:r>
      <w:r w:rsidR="006C545C">
        <w:t xml:space="preserve"> </w:t>
      </w:r>
      <w:r w:rsidR="006C545C">
        <w:rPr>
          <w:noProof/>
        </w:rPr>
        <w:t>16</w:t>
      </w:r>
      <w:r w:rsidR="002F0DDA">
        <w:fldChar w:fldCharType="end"/>
      </w:r>
      <w:r>
        <w:t>).</w:t>
      </w:r>
    </w:p>
    <w:p w:rsidR="00EF72D1" w:rsidRDefault="00EF72D1" w:rsidP="002F0DDA"/>
    <w:p w:rsidR="00EF72D1" w:rsidRPr="00997C62" w:rsidRDefault="00EF72D1" w:rsidP="002F0DDA">
      <w:pPr>
        <w:pStyle w:val="Figure"/>
      </w:pPr>
      <w:bookmarkStart w:id="147" w:name="_Ref454887820"/>
      <w:bookmarkStart w:id="148" w:name="_Toc454078644"/>
      <w:bookmarkStart w:id="149" w:name="_Toc456613629"/>
      <w:r w:rsidRPr="00997C62">
        <w:t>Figure</w:t>
      </w:r>
      <w:r>
        <w:t xml:space="preserve"> </w:t>
      </w:r>
      <w:r w:rsidR="00F456CC">
        <w:fldChar w:fldCharType="begin"/>
      </w:r>
      <w:r w:rsidR="00F456CC">
        <w:instrText xml:space="preserve"> SEQ Figure \* ARABIC </w:instrText>
      </w:r>
      <w:r w:rsidR="00F456CC">
        <w:fldChar w:fldCharType="separate"/>
      </w:r>
      <w:r w:rsidR="006C545C">
        <w:rPr>
          <w:noProof/>
        </w:rPr>
        <w:t>16</w:t>
      </w:r>
      <w:r w:rsidR="00F456CC">
        <w:rPr>
          <w:noProof/>
        </w:rPr>
        <w:fldChar w:fldCharType="end"/>
      </w:r>
      <w:bookmarkEnd w:id="147"/>
      <w:r>
        <w:t xml:space="preserve">: </w:t>
      </w:r>
      <w:r w:rsidRPr="00997C62">
        <w:t>Age</w:t>
      </w:r>
      <w:r>
        <w:t>-</w:t>
      </w:r>
      <w:r w:rsidRPr="00997C62">
        <w:t>standardised DALY rate per 10,000, mesothelioma, 1990</w:t>
      </w:r>
      <w:r>
        <w:t>–</w:t>
      </w:r>
      <w:r w:rsidRPr="00997C62">
        <w:t>2015</w:t>
      </w:r>
      <w:bookmarkEnd w:id="148"/>
      <w:bookmarkEnd w:id="149"/>
    </w:p>
    <w:p w:rsidR="00EF72D1" w:rsidRPr="00334A7F" w:rsidRDefault="005122BD" w:rsidP="00E82E80">
      <w:r>
        <w:rPr>
          <w:noProof/>
          <w:lang w:eastAsia="en-NZ"/>
        </w:rPr>
        <w:drawing>
          <wp:inline distT="0" distB="0" distL="0" distR="0">
            <wp:extent cx="4671695" cy="2851150"/>
            <wp:effectExtent l="0" t="0" r="0" b="6350"/>
            <wp:docPr id="921" name="Picture 1" descr="Figure 16: Age-standardised DALY rate per 10,000, mesothelioma,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6: Age-standardised DALY rate per 10,000, mesothelioma, 1990–20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1695" cy="2851150"/>
                    </a:xfrm>
                    <a:prstGeom prst="rect">
                      <a:avLst/>
                    </a:prstGeom>
                    <a:noFill/>
                    <a:ln>
                      <a:noFill/>
                    </a:ln>
                  </pic:spPr>
                </pic:pic>
              </a:graphicData>
            </a:graphic>
          </wp:inline>
        </w:drawing>
      </w:r>
    </w:p>
    <w:p w:rsidR="00EF72D1" w:rsidRPr="00997C62" w:rsidRDefault="00EF72D1" w:rsidP="002F0DDA">
      <w:pPr>
        <w:pStyle w:val="Note"/>
        <w:ind w:left="0" w:firstLine="0"/>
      </w:pPr>
      <w:r w:rsidRPr="00997C62">
        <w:t>Note:</w:t>
      </w:r>
      <w:r>
        <w:t xml:space="preserve"> The</w:t>
      </w:r>
      <w:r w:rsidRPr="00997C62">
        <w:t xml:space="preserve"> </w:t>
      </w:r>
      <w:r w:rsidRPr="0024730E">
        <w:rPr>
          <w:i/>
        </w:rPr>
        <w:t>y</w:t>
      </w:r>
      <w:r w:rsidRPr="00997C62">
        <w:t xml:space="preserve"> axis </w:t>
      </w:r>
      <w:r>
        <w:t>shows</w:t>
      </w:r>
      <w:r w:rsidRPr="00997C62">
        <w:t xml:space="preserve"> age</w:t>
      </w:r>
      <w:r>
        <w:t>-</w:t>
      </w:r>
      <w:r w:rsidRPr="00997C62">
        <w:t xml:space="preserve">standardised DALYs per 10,000 – not per 1000 as in </w:t>
      </w:r>
      <w:r>
        <w:t>the previous</w:t>
      </w:r>
      <w:r w:rsidRPr="00997C62">
        <w:t xml:space="preserve"> </w:t>
      </w:r>
      <w:r>
        <w:t>figure</w:t>
      </w:r>
      <w:r w:rsidRPr="00997C62">
        <w:t>.</w:t>
      </w:r>
    </w:p>
    <w:p w:rsidR="00EF72D1" w:rsidRDefault="00EF72D1" w:rsidP="002F0DDA"/>
    <w:p w:rsidR="00DA3172" w:rsidRDefault="00DA3172" w:rsidP="00135BAE">
      <w:pPr>
        <w:pStyle w:val="Heading1"/>
      </w:pPr>
      <w:bookmarkStart w:id="150" w:name="_Toc441468887"/>
      <w:bookmarkStart w:id="151" w:name="_Toc442416685"/>
      <w:bookmarkStart w:id="152" w:name="_Toc456270691"/>
      <w:r w:rsidRPr="005F42E6">
        <w:lastRenderedPageBreak/>
        <w:t xml:space="preserve">Risks to health: health losses </w:t>
      </w:r>
      <w:r>
        <w:t>caused by</w:t>
      </w:r>
      <w:r w:rsidRPr="005F42E6">
        <w:t xml:space="preserve"> risk clusters</w:t>
      </w:r>
      <w:bookmarkEnd w:id="150"/>
      <w:bookmarkEnd w:id="151"/>
      <w:bookmarkEnd w:id="152"/>
    </w:p>
    <w:p w:rsidR="00DA3172" w:rsidRPr="00F231D7" w:rsidRDefault="00DA3172" w:rsidP="0063727E">
      <w:r w:rsidRPr="00F231D7">
        <w:t xml:space="preserve">Health loss caused by </w:t>
      </w:r>
      <w:r>
        <w:t xml:space="preserve">exposure to a </w:t>
      </w:r>
      <w:r w:rsidRPr="00F231D7">
        <w:t>risk factor (</w:t>
      </w:r>
      <w:r w:rsidR="005D5D9F">
        <w:t>‘</w:t>
      </w:r>
      <w:r w:rsidRPr="00F231D7">
        <w:t>attributable burden</w:t>
      </w:r>
      <w:r w:rsidR="005D5D9F">
        <w:t>’</w:t>
      </w:r>
      <w:r w:rsidRPr="00F231D7">
        <w:t xml:space="preserve">) is estimated by calculating the reduction in DALYs from each linked condition that would occur if exposure to the risk factor was reduced to the minimum risk level (see Appendix 2). Linked conditions are diseases and injuries causally associated with exposure to the risk factor of interest. The attributable burden provides an indication of the health gain that could </w:t>
      </w:r>
      <w:r w:rsidRPr="00F231D7">
        <w:rPr>
          <w:b/>
        </w:rPr>
        <w:t>potentially</w:t>
      </w:r>
      <w:r w:rsidRPr="00F231D7">
        <w:t xml:space="preserve"> be achieved by preventing disease and injury</w:t>
      </w:r>
      <w:r>
        <w:t xml:space="preserve"> through risk reduction, if effective and affordable interventions were available</w:t>
      </w:r>
      <w:r w:rsidRPr="00F231D7">
        <w:t>.</w:t>
      </w:r>
    </w:p>
    <w:p w:rsidR="00DA3172" w:rsidRDefault="00DA3172" w:rsidP="0063727E"/>
    <w:p w:rsidR="00DA3172" w:rsidRDefault="00DA3172" w:rsidP="0063727E">
      <w:r>
        <w:t xml:space="preserve">All major risk factors have been mapped into four </w:t>
      </w:r>
      <w:r w:rsidR="005D5D9F">
        <w:t>‘</w:t>
      </w:r>
      <w:r>
        <w:t>risk clusters</w:t>
      </w:r>
      <w:r w:rsidR="005D5D9F">
        <w:t>’</w:t>
      </w:r>
      <w:r>
        <w:t>, based on the nature of, and route of exposure to, the hazard (</w:t>
      </w:r>
      <w:r w:rsidR="0063727E">
        <w:fldChar w:fldCharType="begin"/>
      </w:r>
      <w:r w:rsidR="0063727E">
        <w:instrText xml:space="preserve"> REF _Ref441218755 \h </w:instrText>
      </w:r>
      <w:r w:rsidR="0063727E">
        <w:fldChar w:fldCharType="separate"/>
      </w:r>
      <w:r w:rsidR="006C545C">
        <w:t xml:space="preserve">Table </w:t>
      </w:r>
      <w:r w:rsidR="006C545C">
        <w:rPr>
          <w:noProof/>
        </w:rPr>
        <w:t>4</w:t>
      </w:r>
      <w:r w:rsidR="0063727E">
        <w:fldChar w:fldCharType="end"/>
      </w:r>
      <w:r>
        <w:t>).</w:t>
      </w:r>
    </w:p>
    <w:p w:rsidR="00DA3172" w:rsidRDefault="00DA3172" w:rsidP="0063727E"/>
    <w:p w:rsidR="00DA3172" w:rsidRDefault="00DA3172" w:rsidP="0063727E">
      <w:pPr>
        <w:pStyle w:val="Table"/>
      </w:pPr>
      <w:bookmarkStart w:id="153" w:name="_Ref441218755"/>
      <w:bookmarkStart w:id="154" w:name="_Toc454078606"/>
      <w:bookmarkStart w:id="155" w:name="_Toc455733250"/>
      <w:r>
        <w:t xml:space="preserve">Table </w:t>
      </w:r>
      <w:r w:rsidR="00F456CC">
        <w:fldChar w:fldCharType="begin"/>
      </w:r>
      <w:r w:rsidR="00F456CC">
        <w:instrText xml:space="preserve"> SEQ Table \* ARABIC </w:instrText>
      </w:r>
      <w:r w:rsidR="00F456CC">
        <w:fldChar w:fldCharType="separate"/>
      </w:r>
      <w:r w:rsidR="006C545C">
        <w:rPr>
          <w:noProof/>
        </w:rPr>
        <w:t>4</w:t>
      </w:r>
      <w:r w:rsidR="00F456CC">
        <w:rPr>
          <w:noProof/>
        </w:rPr>
        <w:fldChar w:fldCharType="end"/>
      </w:r>
      <w:bookmarkEnd w:id="153"/>
      <w:r>
        <w:t>: Risk clusters used in analysis</w:t>
      </w:r>
      <w:bookmarkEnd w:id="154"/>
      <w:bookmarkEnd w:id="15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709"/>
        <w:gridCol w:w="2268"/>
        <w:gridCol w:w="6379"/>
      </w:tblGrid>
      <w:tr w:rsidR="00DA3172" w:rsidRPr="00BE54A2" w:rsidTr="00733F16">
        <w:trPr>
          <w:cantSplit/>
        </w:trPr>
        <w:tc>
          <w:tcPr>
            <w:tcW w:w="709" w:type="dxa"/>
            <w:tcBorders>
              <w:top w:val="single" w:sz="4" w:space="0" w:color="auto"/>
              <w:bottom w:val="single" w:sz="4" w:space="0" w:color="auto"/>
            </w:tcBorders>
            <w:shd w:val="clear" w:color="auto" w:fill="auto"/>
          </w:tcPr>
          <w:p w:rsidR="00DA3172" w:rsidRPr="00BE54A2" w:rsidRDefault="00DA3172" w:rsidP="00733F16">
            <w:pPr>
              <w:pStyle w:val="TableText"/>
              <w:rPr>
                <w:b/>
              </w:rPr>
            </w:pPr>
          </w:p>
        </w:tc>
        <w:tc>
          <w:tcPr>
            <w:tcW w:w="2268" w:type="dxa"/>
            <w:tcBorders>
              <w:top w:val="single" w:sz="4" w:space="0" w:color="auto"/>
              <w:bottom w:val="single" w:sz="4" w:space="0" w:color="auto"/>
            </w:tcBorders>
            <w:shd w:val="clear" w:color="auto" w:fill="auto"/>
          </w:tcPr>
          <w:p w:rsidR="00DA3172" w:rsidRPr="00BE54A2" w:rsidRDefault="00DA3172" w:rsidP="00733F16">
            <w:pPr>
              <w:pStyle w:val="TableText"/>
              <w:rPr>
                <w:b/>
              </w:rPr>
            </w:pPr>
            <w:r w:rsidRPr="00BE54A2">
              <w:rPr>
                <w:b/>
              </w:rPr>
              <w:t>Cluster</w:t>
            </w:r>
          </w:p>
        </w:tc>
        <w:tc>
          <w:tcPr>
            <w:tcW w:w="6379" w:type="dxa"/>
            <w:tcBorders>
              <w:top w:val="single" w:sz="4" w:space="0" w:color="auto"/>
              <w:bottom w:val="single" w:sz="4" w:space="0" w:color="auto"/>
            </w:tcBorders>
            <w:shd w:val="clear" w:color="auto" w:fill="auto"/>
          </w:tcPr>
          <w:p w:rsidR="00DA3172" w:rsidRPr="00BE54A2" w:rsidRDefault="00DA3172" w:rsidP="00733F16">
            <w:pPr>
              <w:pStyle w:val="TableText"/>
              <w:rPr>
                <w:b/>
              </w:rPr>
            </w:pPr>
            <w:r w:rsidRPr="00BE54A2">
              <w:rPr>
                <w:b/>
              </w:rPr>
              <w:t>Individual risk factors</w:t>
            </w:r>
          </w:p>
        </w:tc>
      </w:tr>
      <w:tr w:rsidR="00DA3172" w:rsidTr="00733F16">
        <w:trPr>
          <w:cantSplit/>
        </w:trPr>
        <w:tc>
          <w:tcPr>
            <w:tcW w:w="709" w:type="dxa"/>
            <w:tcBorders>
              <w:top w:val="single" w:sz="4" w:space="0" w:color="auto"/>
              <w:bottom w:val="single" w:sz="4" w:space="0" w:color="A6A6A6"/>
            </w:tcBorders>
            <w:shd w:val="clear" w:color="auto" w:fill="auto"/>
          </w:tcPr>
          <w:p w:rsidR="00DA3172" w:rsidRPr="00F231D7" w:rsidRDefault="00DA3172" w:rsidP="00733F16">
            <w:pPr>
              <w:pStyle w:val="TableText"/>
            </w:pPr>
            <w:r w:rsidRPr="00F231D7">
              <w:t>1</w:t>
            </w:r>
          </w:p>
        </w:tc>
        <w:tc>
          <w:tcPr>
            <w:tcW w:w="2268" w:type="dxa"/>
            <w:tcBorders>
              <w:top w:val="single" w:sz="4" w:space="0" w:color="auto"/>
              <w:bottom w:val="single" w:sz="4" w:space="0" w:color="A6A6A6"/>
            </w:tcBorders>
            <w:shd w:val="clear" w:color="auto" w:fill="auto"/>
          </w:tcPr>
          <w:p w:rsidR="00DA3172" w:rsidRPr="00F231D7" w:rsidRDefault="00DA3172" w:rsidP="00733F16">
            <w:pPr>
              <w:pStyle w:val="TableText"/>
            </w:pPr>
            <w:r w:rsidRPr="00F231D7">
              <w:t>Biological risks</w:t>
            </w:r>
          </w:p>
        </w:tc>
        <w:tc>
          <w:tcPr>
            <w:tcW w:w="6379" w:type="dxa"/>
            <w:tcBorders>
              <w:top w:val="single" w:sz="4" w:space="0" w:color="auto"/>
              <w:bottom w:val="single" w:sz="4" w:space="0" w:color="A6A6A6"/>
            </w:tcBorders>
            <w:shd w:val="clear" w:color="auto" w:fill="auto"/>
          </w:tcPr>
          <w:p w:rsidR="00DA3172" w:rsidRPr="00F231D7" w:rsidRDefault="00DA3172" w:rsidP="00733F16">
            <w:pPr>
              <w:pStyle w:val="TableText"/>
            </w:pPr>
            <w:r w:rsidRPr="00F231D7">
              <w:t>High body mass index</w:t>
            </w:r>
          </w:p>
          <w:p w:rsidR="00DA3172" w:rsidRPr="00F231D7" w:rsidRDefault="00DA3172" w:rsidP="00733F16">
            <w:pPr>
              <w:pStyle w:val="TableText"/>
            </w:pPr>
            <w:r w:rsidRPr="00F231D7">
              <w:t>High fasting plasma glucose</w:t>
            </w:r>
          </w:p>
          <w:p w:rsidR="00DA3172" w:rsidRPr="00F231D7" w:rsidRDefault="00DA3172" w:rsidP="00733F16">
            <w:pPr>
              <w:pStyle w:val="TableText"/>
            </w:pPr>
            <w:r w:rsidRPr="00F231D7">
              <w:t>High systolic blood pressure</w:t>
            </w:r>
          </w:p>
          <w:p w:rsidR="00DA3172" w:rsidRPr="00F231D7" w:rsidRDefault="00DA3172" w:rsidP="00733F16">
            <w:pPr>
              <w:pStyle w:val="TableText"/>
            </w:pPr>
            <w:r w:rsidRPr="00F231D7">
              <w:t>High total blood cholesterol</w:t>
            </w:r>
          </w:p>
          <w:p w:rsidR="00DA3172" w:rsidRPr="00F231D7" w:rsidRDefault="00DA3172" w:rsidP="00733F16">
            <w:pPr>
              <w:pStyle w:val="TableText"/>
            </w:pPr>
            <w:r w:rsidRPr="00F231D7">
              <w:t>Low bone mineral density</w:t>
            </w:r>
          </w:p>
          <w:p w:rsidR="00DA3172" w:rsidRPr="00F231D7" w:rsidRDefault="00DA3172" w:rsidP="00733F16">
            <w:pPr>
              <w:pStyle w:val="TableText"/>
            </w:pPr>
            <w:r w:rsidRPr="00F231D7">
              <w:t>Low glomerular filtration rate</w:t>
            </w:r>
          </w:p>
        </w:tc>
      </w:tr>
      <w:tr w:rsidR="00DA3172" w:rsidTr="00733F16">
        <w:trPr>
          <w:cantSplit/>
        </w:trPr>
        <w:tc>
          <w:tcPr>
            <w:tcW w:w="709" w:type="dxa"/>
            <w:tcBorders>
              <w:top w:val="single" w:sz="4" w:space="0" w:color="A6A6A6"/>
              <w:bottom w:val="single" w:sz="4" w:space="0" w:color="A6A6A6"/>
            </w:tcBorders>
            <w:shd w:val="clear" w:color="auto" w:fill="auto"/>
          </w:tcPr>
          <w:p w:rsidR="00DA3172" w:rsidRPr="00F231D7" w:rsidRDefault="00DA3172" w:rsidP="00733F16">
            <w:pPr>
              <w:pStyle w:val="TableText"/>
            </w:pPr>
            <w:r w:rsidRPr="00F231D7">
              <w:t>2</w:t>
            </w:r>
          </w:p>
        </w:tc>
        <w:tc>
          <w:tcPr>
            <w:tcW w:w="2268" w:type="dxa"/>
            <w:tcBorders>
              <w:top w:val="single" w:sz="4" w:space="0" w:color="A6A6A6"/>
              <w:bottom w:val="single" w:sz="4" w:space="0" w:color="A6A6A6"/>
            </w:tcBorders>
            <w:shd w:val="clear" w:color="auto" w:fill="auto"/>
          </w:tcPr>
          <w:p w:rsidR="00DA3172" w:rsidRPr="00F231D7" w:rsidRDefault="00DA3172" w:rsidP="00733F16">
            <w:pPr>
              <w:pStyle w:val="TableText"/>
            </w:pPr>
            <w:r w:rsidRPr="00F231D7">
              <w:t>Behavioural risks</w:t>
            </w:r>
          </w:p>
        </w:tc>
        <w:tc>
          <w:tcPr>
            <w:tcW w:w="6379" w:type="dxa"/>
            <w:tcBorders>
              <w:top w:val="single" w:sz="4" w:space="0" w:color="A6A6A6"/>
              <w:bottom w:val="single" w:sz="4" w:space="0" w:color="A6A6A6"/>
            </w:tcBorders>
            <w:shd w:val="clear" w:color="auto" w:fill="auto"/>
          </w:tcPr>
          <w:p w:rsidR="00DA3172" w:rsidRPr="00F231D7" w:rsidRDefault="00DA3172" w:rsidP="00733F16">
            <w:pPr>
              <w:pStyle w:val="TableText"/>
            </w:pPr>
            <w:r w:rsidRPr="00F231D7">
              <w:t>Alcohol use</w:t>
            </w:r>
          </w:p>
          <w:p w:rsidR="00DA3172" w:rsidRPr="00F231D7" w:rsidRDefault="00DA3172" w:rsidP="00733F16">
            <w:pPr>
              <w:pStyle w:val="TableText"/>
            </w:pPr>
            <w:r w:rsidRPr="00F231D7">
              <w:t>Drug use</w:t>
            </w:r>
          </w:p>
          <w:p w:rsidR="00DA3172" w:rsidRPr="00F231D7" w:rsidRDefault="00DA3172" w:rsidP="00733F16">
            <w:pPr>
              <w:pStyle w:val="TableText"/>
            </w:pPr>
            <w:r w:rsidRPr="00F231D7">
              <w:t>Tobacco use and second-hand smoke exposure</w:t>
            </w:r>
          </w:p>
          <w:p w:rsidR="00DA3172" w:rsidRPr="00F231D7" w:rsidRDefault="00DA3172" w:rsidP="00733F16">
            <w:pPr>
              <w:pStyle w:val="TableText"/>
            </w:pPr>
            <w:r w:rsidRPr="00F231D7">
              <w:t>Unhealthy diet (dietary risks)</w:t>
            </w:r>
          </w:p>
          <w:p w:rsidR="00DA3172" w:rsidRPr="00F231D7" w:rsidRDefault="00DA3172" w:rsidP="00733F16">
            <w:pPr>
              <w:pStyle w:val="TableText"/>
            </w:pPr>
            <w:r w:rsidRPr="00F231D7">
              <w:t>Physical inactivity and sedentariness</w:t>
            </w:r>
          </w:p>
          <w:p w:rsidR="00DA3172" w:rsidRPr="00F231D7" w:rsidRDefault="00DA3172" w:rsidP="00733F16">
            <w:pPr>
              <w:pStyle w:val="TableText"/>
            </w:pPr>
            <w:r w:rsidRPr="00F231D7">
              <w:t xml:space="preserve">Poor infant care practices (including </w:t>
            </w:r>
            <w:r>
              <w:t xml:space="preserve">lack of </w:t>
            </w:r>
            <w:r w:rsidRPr="00F231D7">
              <w:t>breastfeeding)</w:t>
            </w:r>
          </w:p>
          <w:p w:rsidR="00DA3172" w:rsidRPr="00F231D7" w:rsidRDefault="00DA3172" w:rsidP="00733F16">
            <w:pPr>
              <w:pStyle w:val="TableText"/>
            </w:pPr>
            <w:r w:rsidRPr="00F231D7">
              <w:t>Unsafe sex</w:t>
            </w:r>
          </w:p>
          <w:p w:rsidR="00DA3172" w:rsidRPr="00F231D7" w:rsidRDefault="00DA3172" w:rsidP="00733F16">
            <w:pPr>
              <w:pStyle w:val="TableText"/>
            </w:pPr>
            <w:r w:rsidRPr="00F231D7">
              <w:t>Child sexual abuse</w:t>
            </w:r>
          </w:p>
          <w:p w:rsidR="00DA3172" w:rsidRPr="00F231D7" w:rsidRDefault="00DA3172" w:rsidP="00733F16">
            <w:pPr>
              <w:pStyle w:val="TableText"/>
            </w:pPr>
            <w:r w:rsidRPr="00F231D7">
              <w:t>Intimate partner violence</w:t>
            </w:r>
          </w:p>
          <w:p w:rsidR="00DA3172" w:rsidRPr="00F231D7" w:rsidRDefault="00DA3172" w:rsidP="00733F16">
            <w:pPr>
              <w:pStyle w:val="TableText"/>
            </w:pPr>
            <w:r w:rsidRPr="00F231D7">
              <w:t>Self-harm</w:t>
            </w:r>
          </w:p>
        </w:tc>
      </w:tr>
      <w:tr w:rsidR="00DA3172" w:rsidTr="00733F16">
        <w:trPr>
          <w:cantSplit/>
        </w:trPr>
        <w:tc>
          <w:tcPr>
            <w:tcW w:w="709" w:type="dxa"/>
            <w:tcBorders>
              <w:top w:val="single" w:sz="4" w:space="0" w:color="A6A6A6"/>
              <w:bottom w:val="single" w:sz="4" w:space="0" w:color="A6A6A6"/>
            </w:tcBorders>
            <w:shd w:val="clear" w:color="auto" w:fill="auto"/>
          </w:tcPr>
          <w:p w:rsidR="00DA3172" w:rsidRPr="00F231D7" w:rsidRDefault="00DA3172" w:rsidP="00733F16">
            <w:pPr>
              <w:pStyle w:val="TableText"/>
            </w:pPr>
            <w:r w:rsidRPr="00F231D7">
              <w:t>3</w:t>
            </w:r>
          </w:p>
        </w:tc>
        <w:tc>
          <w:tcPr>
            <w:tcW w:w="2268" w:type="dxa"/>
            <w:tcBorders>
              <w:top w:val="single" w:sz="4" w:space="0" w:color="A6A6A6"/>
              <w:bottom w:val="single" w:sz="4" w:space="0" w:color="A6A6A6"/>
            </w:tcBorders>
            <w:shd w:val="clear" w:color="auto" w:fill="auto"/>
          </w:tcPr>
          <w:p w:rsidR="00DA3172" w:rsidRPr="00F231D7" w:rsidRDefault="00DA3172" w:rsidP="00733F16">
            <w:pPr>
              <w:pStyle w:val="TableText"/>
            </w:pPr>
            <w:r w:rsidRPr="00F231D7">
              <w:t>Environmental risks</w:t>
            </w:r>
          </w:p>
        </w:tc>
        <w:tc>
          <w:tcPr>
            <w:tcW w:w="6379" w:type="dxa"/>
            <w:tcBorders>
              <w:top w:val="single" w:sz="4" w:space="0" w:color="A6A6A6"/>
              <w:bottom w:val="single" w:sz="4" w:space="0" w:color="A6A6A6"/>
            </w:tcBorders>
            <w:shd w:val="clear" w:color="auto" w:fill="auto"/>
          </w:tcPr>
          <w:p w:rsidR="00DA3172" w:rsidRPr="00F231D7" w:rsidRDefault="00DA3172" w:rsidP="00733F16">
            <w:pPr>
              <w:pStyle w:val="TableText"/>
            </w:pPr>
            <w:r w:rsidRPr="00F231D7">
              <w:t>Indoor air pollution</w:t>
            </w:r>
          </w:p>
          <w:p w:rsidR="00DA3172" w:rsidRPr="00F231D7" w:rsidRDefault="00DA3172" w:rsidP="00733F16">
            <w:pPr>
              <w:pStyle w:val="TableText"/>
            </w:pPr>
            <w:r w:rsidRPr="00F231D7">
              <w:t>Ambient air pollution</w:t>
            </w:r>
          </w:p>
          <w:p w:rsidR="00DA3172" w:rsidRPr="00F231D7" w:rsidRDefault="00DA3172" w:rsidP="00733F16">
            <w:pPr>
              <w:pStyle w:val="TableText"/>
            </w:pPr>
            <w:r w:rsidRPr="00F231D7">
              <w:t>Lead exposure</w:t>
            </w:r>
          </w:p>
          <w:p w:rsidR="00DA3172" w:rsidRPr="00F231D7" w:rsidRDefault="00DA3172" w:rsidP="00733F16">
            <w:pPr>
              <w:pStyle w:val="TableText"/>
            </w:pPr>
            <w:r w:rsidRPr="00F231D7">
              <w:t>Asbestos exposure (non-occupational)</w:t>
            </w:r>
          </w:p>
          <w:p w:rsidR="00DA3172" w:rsidRPr="00F231D7" w:rsidRDefault="00DA3172" w:rsidP="00733F16">
            <w:pPr>
              <w:pStyle w:val="TableText"/>
            </w:pPr>
            <w:r w:rsidRPr="00F231D7">
              <w:t>Unsafe sanitation</w:t>
            </w:r>
          </w:p>
          <w:p w:rsidR="00DA3172" w:rsidRPr="00F231D7" w:rsidRDefault="00DA3172" w:rsidP="00733F16">
            <w:pPr>
              <w:pStyle w:val="TableText"/>
            </w:pPr>
            <w:r w:rsidRPr="00F231D7">
              <w:t>Unsafe drinking water</w:t>
            </w:r>
          </w:p>
        </w:tc>
      </w:tr>
      <w:tr w:rsidR="00DA3172" w:rsidTr="00733F16">
        <w:trPr>
          <w:cantSplit/>
        </w:trPr>
        <w:tc>
          <w:tcPr>
            <w:tcW w:w="709" w:type="dxa"/>
            <w:tcBorders>
              <w:top w:val="single" w:sz="4" w:space="0" w:color="A6A6A6"/>
            </w:tcBorders>
            <w:shd w:val="clear" w:color="auto" w:fill="auto"/>
          </w:tcPr>
          <w:p w:rsidR="00DA3172" w:rsidRPr="00F231D7" w:rsidRDefault="00DA3172" w:rsidP="00733F16">
            <w:pPr>
              <w:pStyle w:val="TableText"/>
            </w:pPr>
            <w:r w:rsidRPr="00F231D7">
              <w:t>4</w:t>
            </w:r>
          </w:p>
        </w:tc>
        <w:tc>
          <w:tcPr>
            <w:tcW w:w="2268" w:type="dxa"/>
            <w:tcBorders>
              <w:top w:val="single" w:sz="4" w:space="0" w:color="A6A6A6"/>
            </w:tcBorders>
            <w:shd w:val="clear" w:color="auto" w:fill="auto"/>
          </w:tcPr>
          <w:p w:rsidR="00DA3172" w:rsidRPr="00F231D7" w:rsidRDefault="00DA3172" w:rsidP="00733F16">
            <w:pPr>
              <w:pStyle w:val="TableText"/>
            </w:pPr>
            <w:r w:rsidRPr="00F231D7">
              <w:t>Occupational risks</w:t>
            </w:r>
          </w:p>
        </w:tc>
        <w:tc>
          <w:tcPr>
            <w:tcW w:w="6379" w:type="dxa"/>
            <w:tcBorders>
              <w:top w:val="single" w:sz="4" w:space="0" w:color="A6A6A6"/>
            </w:tcBorders>
            <w:shd w:val="clear" w:color="auto" w:fill="auto"/>
          </w:tcPr>
          <w:p w:rsidR="00DA3172" w:rsidRPr="00F231D7" w:rsidRDefault="00DA3172" w:rsidP="00733F16">
            <w:pPr>
              <w:pStyle w:val="TableText"/>
            </w:pPr>
            <w:r w:rsidRPr="00F231D7">
              <w:t>Exposure to carcinogens (including asbestos)</w:t>
            </w:r>
          </w:p>
          <w:p w:rsidR="00DA3172" w:rsidRPr="00F231D7" w:rsidRDefault="00DA3172" w:rsidP="00733F16">
            <w:pPr>
              <w:pStyle w:val="TableText"/>
            </w:pPr>
            <w:r w:rsidRPr="00F231D7">
              <w:t>Exposure to other toxic chemicals, gases, fumes and particulate matter</w:t>
            </w:r>
          </w:p>
          <w:p w:rsidR="00DA3172" w:rsidRPr="00F231D7" w:rsidRDefault="00DA3172" w:rsidP="00733F16">
            <w:pPr>
              <w:pStyle w:val="TableText"/>
            </w:pPr>
            <w:r w:rsidRPr="00F231D7">
              <w:t>Exposure to noise</w:t>
            </w:r>
          </w:p>
          <w:p w:rsidR="00DA3172" w:rsidRPr="00F231D7" w:rsidRDefault="00DA3172" w:rsidP="00733F16">
            <w:pPr>
              <w:pStyle w:val="TableText"/>
            </w:pPr>
            <w:r w:rsidRPr="00F231D7">
              <w:t>Ergonomic and occupational injury risk factors</w:t>
            </w:r>
          </w:p>
        </w:tc>
      </w:tr>
    </w:tbl>
    <w:p w:rsidR="00DA3172" w:rsidRDefault="00DA3172" w:rsidP="00DA3172">
      <w:pPr>
        <w:pStyle w:val="Note"/>
        <w:ind w:left="0" w:right="0" w:firstLine="0"/>
      </w:pPr>
      <w:r>
        <w:t>Note: Many carcinogens (</w:t>
      </w:r>
      <w:proofErr w:type="spellStart"/>
      <w:r>
        <w:t>eg</w:t>
      </w:r>
      <w:proofErr w:type="spellEnd"/>
      <w:r>
        <w:t>, asbestos) can appear in both clusters 3 and 4, depending on the site of exposure.</w:t>
      </w:r>
    </w:p>
    <w:p w:rsidR="00DA3172" w:rsidRDefault="00DA3172" w:rsidP="0063727E"/>
    <w:p w:rsidR="00DA3172" w:rsidRPr="00A87790" w:rsidRDefault="00DA3172" w:rsidP="0063727E">
      <w:pPr>
        <w:pStyle w:val="Heading2"/>
      </w:pPr>
      <w:bookmarkStart w:id="156" w:name="_Toc442416686"/>
      <w:bookmarkStart w:id="157" w:name="_Toc456270692"/>
      <w:r>
        <w:lastRenderedPageBreak/>
        <w:t xml:space="preserve">Over one-third </w:t>
      </w:r>
      <w:r w:rsidRPr="00A87790">
        <w:t>of health loss is potentially preventable</w:t>
      </w:r>
      <w:bookmarkEnd w:id="156"/>
      <w:bookmarkEnd w:id="157"/>
    </w:p>
    <w:p w:rsidR="00DA3172" w:rsidRDefault="00DA3172" w:rsidP="0063727E">
      <w:r>
        <w:t xml:space="preserve">Adjusting for </w:t>
      </w:r>
      <w:r w:rsidR="005D5D9F">
        <w:t>‘</w:t>
      </w:r>
      <w:r>
        <w:t>overlaps</w:t>
      </w:r>
      <w:r w:rsidR="005D5D9F">
        <w:t>’</w:t>
      </w:r>
      <w:r>
        <w:t xml:space="preserve"> between clusters (the extent to which each cluster</w:t>
      </w:r>
      <w:r w:rsidR="005D5D9F">
        <w:t>’</w:t>
      </w:r>
      <w:r>
        <w:t xml:space="preserve">s impact on health is mediated through other clusters), approximately </w:t>
      </w:r>
      <w:bookmarkStart w:id="158" w:name="Figure1"/>
      <w:bookmarkEnd w:id="158"/>
      <w:r>
        <w:t>38% of all health loss could be attributed to known modifiable risk factors in 2013, for the New Zealand population as a whole. Because people can</w:t>
      </w:r>
      <w:r w:rsidRPr="008B6FA1">
        <w:t xml:space="preserve"> </w:t>
      </w:r>
      <w:r>
        <w:t xml:space="preserve">potentially avoid being exposed to these risk factors, this is the </w:t>
      </w:r>
      <w:r w:rsidR="005D5D9F">
        <w:t>‘</w:t>
      </w:r>
      <w:r>
        <w:t>potentially preventable proportion</w:t>
      </w:r>
      <w:r w:rsidR="005D5D9F">
        <w:t>’</w:t>
      </w:r>
      <w:r>
        <w:t xml:space="preserve"> of health loss our population is currently experiencing.</w:t>
      </w:r>
    </w:p>
    <w:p w:rsidR="00DA3172" w:rsidRDefault="00DA3172" w:rsidP="0063727E"/>
    <w:p w:rsidR="00DA3172" w:rsidRDefault="00DA3172" w:rsidP="0063727E">
      <w:r>
        <w:t xml:space="preserve">As </w:t>
      </w:r>
      <w:r>
        <w:fldChar w:fldCharType="begin"/>
      </w:r>
      <w:r>
        <w:instrText xml:space="preserve"> REF _Ref453933120 \h </w:instrText>
      </w:r>
      <w:r>
        <w:fldChar w:fldCharType="separate"/>
      </w:r>
      <w:r w:rsidR="006C545C">
        <w:t xml:space="preserve">Figure </w:t>
      </w:r>
      <w:r w:rsidR="006C545C">
        <w:rPr>
          <w:noProof/>
        </w:rPr>
        <w:t>17</w:t>
      </w:r>
      <w:r>
        <w:fldChar w:fldCharType="end"/>
      </w:r>
      <w:r>
        <w:t xml:space="preserve"> shows, behavioural risks account for one-quarter of total health loss (25%), and biological risks for almost one-fifth (19%). Occupational and environmental hazards account for 3% and 1% of total DALYs respectively. (Note that these percentages cannot simply be added together due to cluster overlaps – </w:t>
      </w:r>
      <w:proofErr w:type="spellStart"/>
      <w:r>
        <w:t>ie</w:t>
      </w:r>
      <w:proofErr w:type="spellEnd"/>
      <w:r>
        <w:t>, mediation of the effect of one risk factor by another, as explained above).</w:t>
      </w:r>
    </w:p>
    <w:p w:rsidR="00DA3172" w:rsidRDefault="00DA3172" w:rsidP="0063727E"/>
    <w:p w:rsidR="00DA3172" w:rsidRDefault="00DA3172" w:rsidP="0063727E">
      <w:r>
        <w:t>Over one-third (37%) of the health loss attributable to behavioural risks comes from cardiovascular disease and diabetes; one-quarter (25%) from cancers; almost one-seventh (14%) from the chronic lung, liver and kidney disease complex; over one-tenth (11%) from neuropsychiatric disorders; approximately 5% from pre-transitional disorders; and the remaining 8% from injury (including self-harm and interpersonal violence).</w:t>
      </w:r>
    </w:p>
    <w:p w:rsidR="00DA3172" w:rsidRDefault="00DA3172" w:rsidP="0063727E"/>
    <w:p w:rsidR="00DA3172" w:rsidRDefault="00DA3172" w:rsidP="0063727E">
      <w:r>
        <w:t>By contrast, almost three-quarters (71%) of the health loss caused by biological risk factors comes from cardiovascular disease and diabetes, while cancers contribute 6%, the CLLKD complex 11%, other NCDs 1%, musculoskeletal disorders 6% and injuries 5%.</w:t>
      </w:r>
    </w:p>
    <w:p w:rsidR="00DA3172" w:rsidRDefault="00DA3172" w:rsidP="0063727E"/>
    <w:p w:rsidR="00DA3172" w:rsidRDefault="00DA3172" w:rsidP="0063727E">
      <w:pPr>
        <w:pStyle w:val="Figure"/>
      </w:pPr>
      <w:bookmarkStart w:id="159" w:name="_Ref441291452"/>
      <w:bookmarkStart w:id="160" w:name="_Ref453933120"/>
      <w:bookmarkStart w:id="161" w:name="_Toc441576072"/>
      <w:bookmarkStart w:id="162" w:name="_Toc442416804"/>
      <w:bookmarkStart w:id="163" w:name="_Toc454078645"/>
      <w:bookmarkStart w:id="164" w:name="_Toc456613630"/>
      <w:r>
        <w:t xml:space="preserve">Figure </w:t>
      </w:r>
      <w:r w:rsidR="00F456CC">
        <w:fldChar w:fldCharType="begin"/>
      </w:r>
      <w:r w:rsidR="00F456CC">
        <w:instrText xml:space="preserve"> SEQ Figure \* ARABIC </w:instrText>
      </w:r>
      <w:r w:rsidR="00F456CC">
        <w:fldChar w:fldCharType="separate"/>
      </w:r>
      <w:r w:rsidR="006C545C">
        <w:rPr>
          <w:noProof/>
        </w:rPr>
        <w:t>17</w:t>
      </w:r>
      <w:r w:rsidR="00F456CC">
        <w:rPr>
          <w:noProof/>
        </w:rPr>
        <w:fldChar w:fldCharType="end"/>
      </w:r>
      <w:bookmarkEnd w:id="159"/>
      <w:bookmarkEnd w:id="160"/>
      <w:r>
        <w:t xml:space="preserve">: </w:t>
      </w:r>
      <w:r w:rsidRPr="00AF1216">
        <w:t xml:space="preserve">Health losses </w:t>
      </w:r>
      <w:r>
        <w:t>caused by</w:t>
      </w:r>
      <w:r w:rsidRPr="00AF1216">
        <w:t xml:space="preserve"> risk clusters</w:t>
      </w:r>
      <w:r>
        <w:t xml:space="preserve"> (%</w:t>
      </w:r>
      <w:r w:rsidRPr="00AF1216">
        <w:t xml:space="preserve"> total DALYs</w:t>
      </w:r>
      <w:r>
        <w:t>)</w:t>
      </w:r>
      <w:r w:rsidRPr="00AF1216">
        <w:t>, 2013</w:t>
      </w:r>
      <w:bookmarkEnd w:id="161"/>
      <w:bookmarkEnd w:id="162"/>
      <w:bookmarkEnd w:id="163"/>
      <w:bookmarkEnd w:id="164"/>
    </w:p>
    <w:p w:rsidR="00DA3172" w:rsidRDefault="005122BD" w:rsidP="00457E0A">
      <w:r>
        <w:rPr>
          <w:noProof/>
          <w:lang w:eastAsia="en-NZ"/>
        </w:rPr>
        <w:drawing>
          <wp:inline distT="0" distB="0" distL="0" distR="0">
            <wp:extent cx="5943600" cy="3624580"/>
            <wp:effectExtent l="0" t="0" r="0" b="0"/>
            <wp:docPr id="927" name="Picture 1" descr="Figure 17: Health losses caused by risk clusters (% total DALY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7: Health losses caused by risk clusters (% total DALYs), 20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624580"/>
                    </a:xfrm>
                    <a:prstGeom prst="rect">
                      <a:avLst/>
                    </a:prstGeom>
                    <a:noFill/>
                    <a:ln>
                      <a:noFill/>
                    </a:ln>
                  </pic:spPr>
                </pic:pic>
              </a:graphicData>
            </a:graphic>
          </wp:inline>
        </w:drawing>
      </w:r>
    </w:p>
    <w:p w:rsidR="00DA3172" w:rsidRDefault="00DA3172" w:rsidP="00744227">
      <w:pPr>
        <w:pStyle w:val="Note"/>
        <w:ind w:left="0" w:right="0" w:firstLine="0"/>
      </w:pPr>
      <w:r>
        <w:t>Key: CA = cancers; CVDD = cardiovascular disorders and diabetes; CLLKD</w:t>
      </w:r>
      <w:r w:rsidR="0063727E">
        <w:t> </w:t>
      </w:r>
      <w:r>
        <w:t>=</w:t>
      </w:r>
      <w:r w:rsidR="0063727E">
        <w:t> </w:t>
      </w:r>
      <w:r>
        <w:t>chronic lung, liver and kidney disease; ONCD = other non-communicable diseases; NP = neuropsychiatric disorders; MSK = musculoskeletal disorders; MNNI</w:t>
      </w:r>
      <w:r w:rsidR="0063727E">
        <w:t> </w:t>
      </w:r>
      <w:r>
        <w:t>= maternal, neonatal, nutritional deficiency and infectious disorders plus birth defects; INJ = injuries, unintentional and intentional</w:t>
      </w:r>
      <w:r w:rsidRPr="007455A8">
        <w:t>.</w:t>
      </w:r>
    </w:p>
    <w:p w:rsidR="00DA3172" w:rsidRPr="00E31CBE" w:rsidRDefault="00DA3172" w:rsidP="0063727E">
      <w:pPr>
        <w:pStyle w:val="Note"/>
      </w:pPr>
      <w:r w:rsidRPr="00E31CBE">
        <w:t>Note: Confidence intervals not shown for clarity</w:t>
      </w:r>
      <w:r>
        <w:t xml:space="preserve"> of presentation</w:t>
      </w:r>
      <w:r w:rsidRPr="00E31CBE">
        <w:t>.</w:t>
      </w:r>
    </w:p>
    <w:p w:rsidR="00DA3172" w:rsidRDefault="00DA3172" w:rsidP="0063727E">
      <w:pPr>
        <w:pStyle w:val="Heading2"/>
      </w:pPr>
      <w:bookmarkStart w:id="165" w:name="_Toc442416687"/>
      <w:bookmarkStart w:id="166" w:name="_Toc456270693"/>
      <w:r>
        <w:lastRenderedPageBreak/>
        <w:t>Health impacts of all risk clusters are falling</w:t>
      </w:r>
      <w:bookmarkEnd w:id="165"/>
      <w:bookmarkEnd w:id="166"/>
    </w:p>
    <w:p w:rsidR="00DA3172" w:rsidRDefault="00DA3172" w:rsidP="0063727E">
      <w:r>
        <w:t>Adjusting for trends in population size and ageing over the past quarter century, health losses have been declining for all risk clusters, at an average rate of 2.2% per year for the behavioural cluster, 2.0% for the biological cluster and 1.5% for the environmental/occupational cluster (</w:t>
      </w:r>
      <w:r>
        <w:fldChar w:fldCharType="begin"/>
      </w:r>
      <w:r>
        <w:instrText xml:space="preserve"> REF _Ref453933150 \h </w:instrText>
      </w:r>
      <w:r>
        <w:fldChar w:fldCharType="separate"/>
      </w:r>
      <w:r w:rsidR="006C545C">
        <w:t xml:space="preserve">Figure </w:t>
      </w:r>
      <w:r w:rsidR="006C545C">
        <w:rPr>
          <w:noProof/>
        </w:rPr>
        <w:t>18</w:t>
      </w:r>
      <w:r>
        <w:fldChar w:fldCharType="end"/>
      </w:r>
      <w:r>
        <w:t>). Plotting the above rates on a log scale shows no indication that the rate of decline is slowing for any of the clusters.</w:t>
      </w:r>
    </w:p>
    <w:p w:rsidR="00DA3172" w:rsidRDefault="00DA3172" w:rsidP="0063727E"/>
    <w:p w:rsidR="00DA3172" w:rsidRDefault="00DA3172" w:rsidP="0063727E">
      <w:r>
        <w:t>The declining trends may reflect lesser exposure to these hazards. Alternatively, the total burdens of the conditions (diseases and injuries) linked to these risks may be falling for other, unrelated reasons (</w:t>
      </w:r>
      <w:proofErr w:type="spellStart"/>
      <w:r>
        <w:t>eg</w:t>
      </w:r>
      <w:proofErr w:type="spellEnd"/>
      <w:r>
        <w:t>, better clinical treatments) – so decoupling risk-attributable burden from hazard exposure (prevalence).</w:t>
      </w:r>
    </w:p>
    <w:p w:rsidR="00DA3172" w:rsidRDefault="00DA3172" w:rsidP="0063727E"/>
    <w:p w:rsidR="00DA3172" w:rsidRDefault="00DA3172" w:rsidP="0063727E">
      <w:pPr>
        <w:pStyle w:val="Figure"/>
      </w:pPr>
      <w:bookmarkStart w:id="167" w:name="_Ref441292726"/>
      <w:bookmarkStart w:id="168" w:name="_Ref453933150"/>
      <w:bookmarkStart w:id="169" w:name="_Toc441576073"/>
      <w:bookmarkStart w:id="170" w:name="_Toc442416805"/>
      <w:bookmarkStart w:id="171" w:name="_Toc454078646"/>
      <w:bookmarkStart w:id="172" w:name="_Toc456613631"/>
      <w:r>
        <w:t xml:space="preserve">Figure </w:t>
      </w:r>
      <w:r w:rsidR="00F456CC">
        <w:fldChar w:fldCharType="begin"/>
      </w:r>
      <w:r w:rsidR="00F456CC">
        <w:instrText xml:space="preserve"> SEQ Figure \* ARABIC </w:instrText>
      </w:r>
      <w:r w:rsidR="00F456CC">
        <w:fldChar w:fldCharType="separate"/>
      </w:r>
      <w:r w:rsidR="006C545C">
        <w:rPr>
          <w:noProof/>
        </w:rPr>
        <w:t>18</w:t>
      </w:r>
      <w:r w:rsidR="00F456CC">
        <w:rPr>
          <w:noProof/>
        </w:rPr>
        <w:fldChar w:fldCharType="end"/>
      </w:r>
      <w:bookmarkEnd w:id="167"/>
      <w:bookmarkEnd w:id="168"/>
      <w:r>
        <w:rPr>
          <w:noProof/>
        </w:rPr>
        <w:t xml:space="preserve">: </w:t>
      </w:r>
      <w:r w:rsidRPr="009E44B9">
        <w:t>Age</w:t>
      </w:r>
      <w:r>
        <w:t>-</w:t>
      </w:r>
      <w:r w:rsidRPr="009E44B9">
        <w:t>standardised DALY rate</w:t>
      </w:r>
      <w:r>
        <w:t xml:space="preserve"> per 1000 attributable to</w:t>
      </w:r>
      <w:r w:rsidRPr="009E44B9">
        <w:t xml:space="preserve"> </w:t>
      </w:r>
      <w:r>
        <w:t xml:space="preserve">risk clusters, </w:t>
      </w:r>
      <w:r w:rsidRPr="009E44B9">
        <w:t>1990</w:t>
      </w:r>
      <w:r>
        <w:t>–</w:t>
      </w:r>
      <w:r w:rsidRPr="009E44B9">
        <w:t>2015</w:t>
      </w:r>
      <w:bookmarkEnd w:id="169"/>
      <w:bookmarkEnd w:id="170"/>
      <w:bookmarkEnd w:id="171"/>
      <w:bookmarkEnd w:id="172"/>
    </w:p>
    <w:p w:rsidR="00DA3172" w:rsidRDefault="005122BD" w:rsidP="008420A6">
      <w:r>
        <w:rPr>
          <w:noProof/>
          <w:lang w:eastAsia="en-NZ"/>
        </w:rPr>
        <w:drawing>
          <wp:inline distT="0" distB="0" distL="0" distR="0">
            <wp:extent cx="4671695" cy="2851150"/>
            <wp:effectExtent l="0" t="0" r="0" b="6350"/>
            <wp:docPr id="932" name="Picture 1" descr="Figure 18: Age-standardised DALY rate per 1000 attributable to risk clusters,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8: Age-standardised DALY rate per 1000 attributable to risk clusters, 1990–20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1695" cy="2851150"/>
                    </a:xfrm>
                    <a:prstGeom prst="rect">
                      <a:avLst/>
                    </a:prstGeom>
                    <a:noFill/>
                    <a:ln>
                      <a:noFill/>
                    </a:ln>
                  </pic:spPr>
                </pic:pic>
              </a:graphicData>
            </a:graphic>
          </wp:inline>
        </w:drawing>
      </w:r>
    </w:p>
    <w:p w:rsidR="00DA3172" w:rsidRDefault="00DA3172" w:rsidP="00DA3172">
      <w:pPr>
        <w:pStyle w:val="Note"/>
        <w:ind w:left="0" w:firstLine="0"/>
      </w:pPr>
      <w:r>
        <w:t>Environmental and occupational risk clusters have been combined so that rate estimates are more stable.</w:t>
      </w:r>
    </w:p>
    <w:p w:rsidR="00DA3172" w:rsidRDefault="00DA3172" w:rsidP="0063727E"/>
    <w:p w:rsidR="00DA3172" w:rsidRDefault="00DA3172" w:rsidP="00135BAE">
      <w:pPr>
        <w:pStyle w:val="Heading1"/>
      </w:pPr>
      <w:bookmarkStart w:id="173" w:name="_Toc441468888"/>
      <w:bookmarkStart w:id="174" w:name="_Toc442416688"/>
      <w:bookmarkStart w:id="175" w:name="_Toc456270694"/>
      <w:r w:rsidRPr="005F42E6">
        <w:lastRenderedPageBreak/>
        <w:t xml:space="preserve">Risks to health: health losses </w:t>
      </w:r>
      <w:r>
        <w:t xml:space="preserve">attributable to specific </w:t>
      </w:r>
      <w:r w:rsidRPr="005F42E6">
        <w:t xml:space="preserve">risk </w:t>
      </w:r>
      <w:r>
        <w:t>factors</w:t>
      </w:r>
      <w:bookmarkEnd w:id="173"/>
      <w:bookmarkEnd w:id="174"/>
      <w:bookmarkEnd w:id="175"/>
    </w:p>
    <w:p w:rsidR="00DA3172" w:rsidRPr="005B34E0" w:rsidRDefault="00DA3172" w:rsidP="0063727E">
      <w:r>
        <w:t xml:space="preserve">This section describes how selected specific risk factors contribute to health loss, </w:t>
      </w:r>
      <w:r>
        <w:rPr>
          <w:b/>
        </w:rPr>
        <w:t>regardless</w:t>
      </w:r>
      <w:r w:rsidRPr="00404D64">
        <w:rPr>
          <w:b/>
        </w:rPr>
        <w:t xml:space="preserve"> of </w:t>
      </w:r>
      <w:r>
        <w:rPr>
          <w:b/>
        </w:rPr>
        <w:t xml:space="preserve">the risk </w:t>
      </w:r>
      <w:r w:rsidRPr="00404D64">
        <w:rPr>
          <w:b/>
        </w:rPr>
        <w:t>cluster</w:t>
      </w:r>
      <w:r>
        <w:t xml:space="preserve"> they belong to. All estimates have been adjusted for mediation – that is, the overlap caused by one risk factor influencing exposure to another risk factor (see Appendix 2 for the formula for mediation adjustment). Risk factors were selected for reporting if their attributable burden was more than 2% of total health loss from all causes in the population as a whole in 2013. Ten risk factors (out of more than 60) met this selection criterion – all</w:t>
      </w:r>
      <w:r w:rsidRPr="002C4F3D">
        <w:t xml:space="preserve"> </w:t>
      </w:r>
      <w:r>
        <w:t>are behavioural or biological risks.</w:t>
      </w:r>
    </w:p>
    <w:p w:rsidR="00DA3172" w:rsidRDefault="00DA3172" w:rsidP="0063727E"/>
    <w:p w:rsidR="00DA3172" w:rsidRDefault="00DA3172" w:rsidP="0063727E">
      <w:pPr>
        <w:pStyle w:val="Heading2"/>
      </w:pPr>
      <w:bookmarkStart w:id="176" w:name="_Toc442416689"/>
      <w:bookmarkStart w:id="177" w:name="_Toc456270695"/>
      <w:r>
        <w:t>Dietary risks are the leading cause of health loss</w:t>
      </w:r>
      <w:bookmarkEnd w:id="176"/>
      <w:bookmarkEnd w:id="177"/>
    </w:p>
    <w:p w:rsidR="00DA3172" w:rsidRDefault="00DA3172" w:rsidP="0063727E">
      <w:r>
        <w:t>Dietary risks are the leading cause of health loss among the specific risk factors (</w:t>
      </w:r>
      <w:r w:rsidRPr="00146521">
        <w:t>9.4</w:t>
      </w:r>
      <w:r>
        <w:t>% of total DALYs) (</w:t>
      </w:r>
      <w:r>
        <w:fldChar w:fldCharType="begin"/>
      </w:r>
      <w:r>
        <w:instrText xml:space="preserve"> REF _Ref453933615 \h </w:instrText>
      </w:r>
      <w:r>
        <w:fldChar w:fldCharType="separate"/>
      </w:r>
      <w:r w:rsidR="006C545C">
        <w:t xml:space="preserve">Figure </w:t>
      </w:r>
      <w:r w:rsidR="006C545C">
        <w:rPr>
          <w:noProof/>
        </w:rPr>
        <w:t>19</w:t>
      </w:r>
      <w:r>
        <w:fldChar w:fldCharType="end"/>
      </w:r>
      <w:r>
        <w:t xml:space="preserve">). However, </w:t>
      </w:r>
      <w:r w:rsidR="005D5D9F">
        <w:t>‘</w:t>
      </w:r>
      <w:r>
        <w:t>diet</w:t>
      </w:r>
      <w:r w:rsidR="005D5D9F">
        <w:t>’</w:t>
      </w:r>
      <w:r>
        <w:t xml:space="preserve"> is actually a composite risk factor that includes several distinct components: low fruit and vegetable consumption; high sodium consumption; high</w:t>
      </w:r>
      <w:r w:rsidRPr="002E5E2F">
        <w:t xml:space="preserve"> </w:t>
      </w:r>
      <w:r>
        <w:t>consumption of red meat, trans fat, and sugar; and low</w:t>
      </w:r>
      <w:r w:rsidRPr="002E5E2F">
        <w:t xml:space="preserve"> </w:t>
      </w:r>
      <w:r>
        <w:t>intakes of whole grains, fibre, polyunsaturated fatty acids, omega-3 fatty acids, and calcium. Of these components, low fruit and vegetable consumption contributes the most to health loss, accounting for 2.5% of total DALYs, or one-quarter of the total impact of diet. The estimation of health loss attributable to high sodium intake is a controversial topic, but its contribution is almost certainly less than 2% of total DALYs (the current point estimate is 1.3%). The analyses below consider dietary risks separately; among these risks, only low fruit and vegetable consumption therefore reaches the threshold for inclusion in this report.</w:t>
      </w:r>
    </w:p>
    <w:p w:rsidR="00DA3172" w:rsidRDefault="00DA3172" w:rsidP="0063727E"/>
    <w:p w:rsidR="00DA3172" w:rsidRDefault="00DA3172" w:rsidP="0063727E">
      <w:bookmarkStart w:id="178" w:name="_Ref441306070"/>
      <w:r>
        <w:t>High body mass index (BMI) is now the second-ranked risk factor after diet, accounting for 9.2% of total DALYs in the whole New Zealand population in 2013. The biggest contributors to the BMI burden are cardiovascular disease (47%) and type 2 diabetes and its renal complications (29.5%).</w:t>
      </w:r>
    </w:p>
    <w:p w:rsidR="00DA3172" w:rsidRDefault="00DA3172" w:rsidP="0063727E"/>
    <w:p w:rsidR="00DA3172" w:rsidRDefault="00DA3172" w:rsidP="0063727E">
      <w:r>
        <w:t>Tobacco use is still a major cause of health loss, accounting for 8.7% of all DALYs. The major contributors here are lung and several other cancers (43%), COPD (35%) and coronary heart disease (18%).</w:t>
      </w:r>
    </w:p>
    <w:p w:rsidR="00DA3172" w:rsidRDefault="00DA3172" w:rsidP="0063727E"/>
    <w:p w:rsidR="00DA3172" w:rsidRDefault="00DA3172" w:rsidP="0063727E">
      <w:r>
        <w:t xml:space="preserve">High blood pressure is another major risk factor, accounting for 8.3% of total DALYs, all through cardiovascular disease and chronic kidney disease. High blood glucose (whether measured as fasting plasma glucose or glycosylated haemoglobin) now accounts for 5.7% of total DALYs, of which 47% is from diabetes as a disease and the remaining 53% is from the </w:t>
      </w:r>
      <w:proofErr w:type="spellStart"/>
      <w:r>
        <w:t>macrovascular</w:t>
      </w:r>
      <w:proofErr w:type="spellEnd"/>
      <w:r>
        <w:t xml:space="preserve"> complications of diabetes and pre-diabetes (</w:t>
      </w:r>
      <w:proofErr w:type="spellStart"/>
      <w:r>
        <w:t>ie</w:t>
      </w:r>
      <w:proofErr w:type="spellEnd"/>
      <w:r>
        <w:t xml:space="preserve">, </w:t>
      </w:r>
      <w:r w:rsidR="003D792E">
        <w:t xml:space="preserve">high blood glucose </w:t>
      </w:r>
      <w:r>
        <w:t>as a risk factor for other diseases, in particular CHD and stroke).</w:t>
      </w:r>
    </w:p>
    <w:p w:rsidR="00DA3172" w:rsidRDefault="00DA3172" w:rsidP="0063727E"/>
    <w:p w:rsidR="00DA3172" w:rsidRDefault="00DA3172" w:rsidP="0018603D">
      <w:pPr>
        <w:keepLines/>
      </w:pPr>
      <w:r>
        <w:lastRenderedPageBreak/>
        <w:t>Alcohol consumption is ranked seventh, accounting for just under 4% of total DALYs; this estimate</w:t>
      </w:r>
      <w:r w:rsidRPr="0063727E">
        <w:t xml:space="preserve"> </w:t>
      </w:r>
      <w:r>
        <w:t xml:space="preserve">subtracts the protective effects of (safe) alcohol consumption on CHD, stroke, diabetes and vascular dementia from alcohol-related harms. Across the whole population, the net harmful impact of alcohol on health is divided almost equally between injury and chronic disease outcomes. This analysis considers only </w:t>
      </w:r>
      <w:r w:rsidRPr="00417697">
        <w:t>health</w:t>
      </w:r>
      <w:r>
        <w:t xml:space="preserve"> outcomes, not the wider social impacts of alcohol consumption.</w:t>
      </w:r>
    </w:p>
    <w:p w:rsidR="00DA3172" w:rsidRDefault="00DA3172" w:rsidP="0063727E"/>
    <w:p w:rsidR="00DA3172" w:rsidRDefault="00DA3172" w:rsidP="0063727E">
      <w:pPr>
        <w:pStyle w:val="Figure"/>
      </w:pPr>
      <w:bookmarkStart w:id="179" w:name="_Ref453933615"/>
      <w:bookmarkStart w:id="180" w:name="_Toc441576074"/>
      <w:bookmarkStart w:id="181" w:name="_Toc442416806"/>
      <w:bookmarkStart w:id="182" w:name="_Toc454078647"/>
      <w:bookmarkStart w:id="183" w:name="_Toc456613632"/>
      <w:r>
        <w:t>Figure</w:t>
      </w:r>
      <w:bookmarkEnd w:id="178"/>
      <w:r>
        <w:t xml:space="preserve"> </w:t>
      </w:r>
      <w:r w:rsidR="00F456CC">
        <w:fldChar w:fldCharType="begin"/>
      </w:r>
      <w:r w:rsidR="00F456CC">
        <w:instrText xml:space="preserve"> SEQ Figure \* ARABIC </w:instrText>
      </w:r>
      <w:r w:rsidR="00F456CC">
        <w:fldChar w:fldCharType="separate"/>
      </w:r>
      <w:r w:rsidR="006C545C">
        <w:rPr>
          <w:noProof/>
        </w:rPr>
        <w:t>19</w:t>
      </w:r>
      <w:r w:rsidR="00F456CC">
        <w:rPr>
          <w:noProof/>
        </w:rPr>
        <w:fldChar w:fldCharType="end"/>
      </w:r>
      <w:bookmarkEnd w:id="179"/>
      <w:r>
        <w:t xml:space="preserve">: </w:t>
      </w:r>
      <w:r w:rsidRPr="00AF1216">
        <w:t xml:space="preserve">Health losses </w:t>
      </w:r>
      <w:r>
        <w:t xml:space="preserve">caused by selected </w:t>
      </w:r>
      <w:r w:rsidRPr="00AF1216">
        <w:t xml:space="preserve">risk </w:t>
      </w:r>
      <w:r>
        <w:t>factors</w:t>
      </w:r>
      <w:r w:rsidRPr="00AF1216">
        <w:t xml:space="preserve"> </w:t>
      </w:r>
      <w:r>
        <w:t xml:space="preserve">(% </w:t>
      </w:r>
      <w:r w:rsidRPr="00AF1216">
        <w:t>total DALYs</w:t>
      </w:r>
      <w:r>
        <w:t>)</w:t>
      </w:r>
      <w:r w:rsidRPr="00AF1216">
        <w:t>, 2013</w:t>
      </w:r>
      <w:bookmarkEnd w:id="180"/>
      <w:bookmarkEnd w:id="181"/>
      <w:bookmarkEnd w:id="182"/>
      <w:bookmarkEnd w:id="183"/>
    </w:p>
    <w:p w:rsidR="00806464" w:rsidRDefault="005122BD" w:rsidP="00806464">
      <w:r>
        <w:rPr>
          <w:noProof/>
          <w:lang w:eastAsia="en-NZ"/>
        </w:rPr>
        <w:drawing>
          <wp:inline distT="0" distB="0" distL="0" distR="0">
            <wp:extent cx="5943600" cy="3524885"/>
            <wp:effectExtent l="0" t="0" r="0" b="0"/>
            <wp:docPr id="746" name="Picture 1" descr="Figure 19: Health losses caused by selected risk factors (% total DALY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9: Health losses caused by selected risk factors (% total DALYs), 2013"/>
                    <pic:cNvPicPr>
                      <a:picLocks noChangeAspect="1" noChangeArrowheads="1"/>
                    </pic:cNvPicPr>
                  </pic:nvPicPr>
                  <pic:blipFill>
                    <a:blip r:embed="rId42">
                      <a:extLst>
                        <a:ext uri="{28A0092B-C50C-407E-A947-70E740481C1C}">
                          <a14:useLocalDpi xmlns:a14="http://schemas.microsoft.com/office/drawing/2010/main" val="0"/>
                        </a:ext>
                      </a:extLst>
                    </a:blip>
                    <a:srcRect t="2754"/>
                    <a:stretch>
                      <a:fillRect/>
                    </a:stretch>
                  </pic:blipFill>
                  <pic:spPr bwMode="auto">
                    <a:xfrm>
                      <a:off x="0" y="0"/>
                      <a:ext cx="5943600" cy="3524885"/>
                    </a:xfrm>
                    <a:prstGeom prst="rect">
                      <a:avLst/>
                    </a:prstGeom>
                    <a:noFill/>
                    <a:ln>
                      <a:noFill/>
                    </a:ln>
                  </pic:spPr>
                </pic:pic>
              </a:graphicData>
            </a:graphic>
          </wp:inline>
        </w:drawing>
      </w:r>
    </w:p>
    <w:p w:rsidR="00DA3172" w:rsidRDefault="00DA3172" w:rsidP="00590EF0">
      <w:pPr>
        <w:pStyle w:val="Note"/>
        <w:ind w:left="0" w:right="0" w:firstLine="0"/>
      </w:pPr>
      <w:r>
        <w:t xml:space="preserve">Key: CA = cancers; CVD = cardiovascular disorders; DIAB = diabetes; CKD = chronic kidney disease; </w:t>
      </w:r>
      <w:r w:rsidRPr="00446315">
        <w:t>CLD = chronic lung disease</w:t>
      </w:r>
      <w:r>
        <w:t>;</w:t>
      </w:r>
      <w:r w:rsidRPr="00446315">
        <w:t xml:space="preserve"> ONCD </w:t>
      </w:r>
      <w:r>
        <w:t>(which here</w:t>
      </w:r>
      <w:r w:rsidRPr="00446315">
        <w:t xml:space="preserve"> includes chronic liver disease</w:t>
      </w:r>
      <w:r>
        <w:t>) = other non-communicable diseases; NP</w:t>
      </w:r>
      <w:r w:rsidR="00590EF0">
        <w:t> </w:t>
      </w:r>
      <w:r>
        <w:t>=</w:t>
      </w:r>
      <w:r w:rsidR="00590EF0">
        <w:t> </w:t>
      </w:r>
      <w:r>
        <w:t>neuropsychiatric disorders; MSK = musculoskeletal disorders; MNNI = maternal, neonatal, nutritional deficiency and infectious disorders plus birth defects; INJ</w:t>
      </w:r>
      <w:r w:rsidR="0063727E">
        <w:t> </w:t>
      </w:r>
      <w:r>
        <w:t>=</w:t>
      </w:r>
      <w:r w:rsidR="0063727E">
        <w:t> </w:t>
      </w:r>
      <w:r>
        <w:t>injuries, unintentional and intentional; BMI = body mass index; SBP</w:t>
      </w:r>
      <w:r w:rsidR="00590EF0">
        <w:t> </w:t>
      </w:r>
      <w:r>
        <w:t>= systolic blood pressure; FPG = fasting plasma glucose; TBC = total blood cholesterol; GFR = glomerular filtration rate.</w:t>
      </w:r>
    </w:p>
    <w:p w:rsidR="00DA3172" w:rsidRPr="00E31CBE" w:rsidRDefault="00DA3172" w:rsidP="0063727E">
      <w:pPr>
        <w:pStyle w:val="Note"/>
      </w:pPr>
      <w:r w:rsidRPr="00E31CBE">
        <w:t>Note: Confidence intervals not shown for clarity</w:t>
      </w:r>
      <w:r>
        <w:t xml:space="preserve"> of presentation</w:t>
      </w:r>
      <w:r w:rsidRPr="00E31CBE">
        <w:t>.</w:t>
      </w:r>
    </w:p>
    <w:p w:rsidR="00DA3172" w:rsidRPr="0085100B" w:rsidRDefault="00DA3172" w:rsidP="0063727E"/>
    <w:p w:rsidR="00DA3172" w:rsidRDefault="003D792E" w:rsidP="0063727E">
      <w:pPr>
        <w:pStyle w:val="Heading2"/>
      </w:pPr>
      <w:bookmarkStart w:id="184" w:name="_Toc442416690"/>
      <w:bookmarkStart w:id="185" w:name="_Toc456270696"/>
      <w:r>
        <w:t>Burden caused by use of illegal</w:t>
      </w:r>
      <w:r w:rsidR="00DA3172">
        <w:t xml:space="preserve"> psychoactive drugs is low but increasing</w:t>
      </w:r>
      <w:bookmarkEnd w:id="184"/>
      <w:bookmarkEnd w:id="185"/>
    </w:p>
    <w:p w:rsidR="00DA3172" w:rsidRDefault="00DA3172" w:rsidP="0063727E">
      <w:r>
        <w:t>Adjusting for population growth and ageing over the past quarter centur</w:t>
      </w:r>
      <w:r w:rsidR="003D792E">
        <w:t>y, health loss caused by illegal</w:t>
      </w:r>
      <w:r>
        <w:t xml:space="preserve"> drug use has been slowly increasing (</w:t>
      </w:r>
      <w:r w:rsidR="0063727E">
        <w:fldChar w:fldCharType="begin"/>
      </w:r>
      <w:r w:rsidR="0063727E">
        <w:instrText xml:space="preserve"> REF _Ref454887988 \h </w:instrText>
      </w:r>
      <w:r w:rsidR="0063727E">
        <w:fldChar w:fldCharType="separate"/>
      </w:r>
      <w:r w:rsidR="006C545C">
        <w:t xml:space="preserve">Figure </w:t>
      </w:r>
      <w:r w:rsidR="006C545C">
        <w:rPr>
          <w:noProof/>
        </w:rPr>
        <w:t>20</w:t>
      </w:r>
      <w:r w:rsidR="0063727E">
        <w:fldChar w:fldCharType="end"/>
      </w:r>
      <w:r>
        <w:t>).</w:t>
      </w:r>
      <w:r w:rsidR="0058070E">
        <w:t xml:space="preserve"> </w:t>
      </w:r>
      <w:r w:rsidR="0058070E" w:rsidRPr="0058070E">
        <w:t xml:space="preserve">Currently, illegal drug use accounts for approximately 2.3% of all-cause DALYs in the population as a whole, but approximately 6.5% in youth (the peak age group). Approximately 44% of the overall </w:t>
      </w:r>
      <w:r w:rsidR="007351D1">
        <w:t xml:space="preserve">drug </w:t>
      </w:r>
      <w:r w:rsidR="0058070E" w:rsidRPr="0058070E">
        <w:t xml:space="preserve">burden is attributable to opioids, 24% to stimulants, 11% to hallucinogens &amp; psychedelics, </w:t>
      </w:r>
      <w:proofErr w:type="gramStart"/>
      <w:r w:rsidR="0058070E" w:rsidRPr="0058070E">
        <w:t>9</w:t>
      </w:r>
      <w:proofErr w:type="gramEnd"/>
      <w:r w:rsidR="0058070E" w:rsidRPr="0058070E">
        <w:t xml:space="preserve">% to cannabinoids, with the remaining 12% attributable to </w:t>
      </w:r>
      <w:proofErr w:type="spellStart"/>
      <w:r w:rsidR="0058070E" w:rsidRPr="0058070E">
        <w:t>polydrug</w:t>
      </w:r>
      <w:proofErr w:type="spellEnd"/>
      <w:r w:rsidR="0058070E" w:rsidRPr="0058070E">
        <w:t xml:space="preserve"> use or other or unknown substances.</w:t>
      </w:r>
    </w:p>
    <w:p w:rsidR="00DA3172" w:rsidRDefault="00DA3172" w:rsidP="0063727E"/>
    <w:p w:rsidR="00DA3172" w:rsidRPr="001A4228" w:rsidRDefault="00DA3172" w:rsidP="0063727E">
      <w:r>
        <w:t>Attributable burdens of a</w:t>
      </w:r>
      <w:r w:rsidRPr="00DE4A68">
        <w:t>ll other selected major modifiable risk</w:t>
      </w:r>
      <w:r>
        <w:t xml:space="preserve"> factors have fallen (once adjusted for demographic trends). Possible explanations for this are given below in relation to the trends in the BMI and tobacco burdens.</w:t>
      </w:r>
    </w:p>
    <w:p w:rsidR="00DA3172" w:rsidRDefault="00DA3172" w:rsidP="0063727E"/>
    <w:p w:rsidR="00DA3172" w:rsidRPr="008041A5" w:rsidRDefault="00DA3172" w:rsidP="0063727E">
      <w:pPr>
        <w:pStyle w:val="Figure"/>
      </w:pPr>
      <w:bookmarkStart w:id="186" w:name="_Ref441307510"/>
      <w:bookmarkStart w:id="187" w:name="_Ref454887988"/>
      <w:bookmarkStart w:id="188" w:name="_Toc441576075"/>
      <w:bookmarkStart w:id="189" w:name="_Toc442416807"/>
      <w:bookmarkStart w:id="190" w:name="_Toc454078648"/>
      <w:bookmarkStart w:id="191" w:name="_Toc456613633"/>
      <w:r>
        <w:lastRenderedPageBreak/>
        <w:t>Figure</w:t>
      </w:r>
      <w:bookmarkEnd w:id="186"/>
      <w:r>
        <w:t xml:space="preserve"> </w:t>
      </w:r>
      <w:r w:rsidR="00F456CC">
        <w:fldChar w:fldCharType="begin"/>
      </w:r>
      <w:r w:rsidR="00F456CC">
        <w:instrText xml:space="preserve"> SEQ Figure \* ARABIC </w:instrText>
      </w:r>
      <w:r w:rsidR="00F456CC">
        <w:fldChar w:fldCharType="separate"/>
      </w:r>
      <w:r w:rsidR="006C545C">
        <w:rPr>
          <w:noProof/>
        </w:rPr>
        <w:t>20</w:t>
      </w:r>
      <w:r w:rsidR="00F456CC">
        <w:rPr>
          <w:noProof/>
        </w:rPr>
        <w:fldChar w:fldCharType="end"/>
      </w:r>
      <w:bookmarkEnd w:id="187"/>
      <w:r>
        <w:t xml:space="preserve">: </w:t>
      </w:r>
      <w:r w:rsidRPr="009E44B9">
        <w:t>Age</w:t>
      </w:r>
      <w:r>
        <w:t>-</w:t>
      </w:r>
      <w:r w:rsidRPr="009E44B9">
        <w:t xml:space="preserve">standardised </w:t>
      </w:r>
      <w:r>
        <w:t xml:space="preserve">attributable </w:t>
      </w:r>
      <w:r w:rsidRPr="009E44B9">
        <w:t>DALY rate</w:t>
      </w:r>
      <w:r>
        <w:t>s</w:t>
      </w:r>
      <w:r w:rsidRPr="009E44B9">
        <w:t xml:space="preserve">, </w:t>
      </w:r>
      <w:r>
        <w:t xml:space="preserve">selected risk factors, </w:t>
      </w:r>
      <w:r w:rsidRPr="009E44B9">
        <w:t>1990</w:t>
      </w:r>
      <w:r>
        <w:t>–</w:t>
      </w:r>
      <w:r w:rsidRPr="009E44B9">
        <w:t>2015</w:t>
      </w:r>
      <w:bookmarkEnd w:id="188"/>
      <w:bookmarkEnd w:id="189"/>
      <w:bookmarkEnd w:id="190"/>
      <w:bookmarkEnd w:id="191"/>
    </w:p>
    <w:p w:rsidR="00DA3172" w:rsidRDefault="005122BD" w:rsidP="001463F4">
      <w:r>
        <w:rPr>
          <w:noProof/>
          <w:lang w:eastAsia="en-NZ"/>
        </w:rPr>
        <w:drawing>
          <wp:inline distT="0" distB="0" distL="0" distR="0">
            <wp:extent cx="4671695" cy="2851150"/>
            <wp:effectExtent l="0" t="0" r="0" b="6350"/>
            <wp:docPr id="752" name="Picture 1" descr="Figure 20: Age-standardised attributable DALY rates, selected risk factors,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0: Age-standardised attributable DALY rates, selected risk factors, 1990–20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1695" cy="2851150"/>
                    </a:xfrm>
                    <a:prstGeom prst="rect">
                      <a:avLst/>
                    </a:prstGeom>
                    <a:noFill/>
                    <a:ln>
                      <a:noFill/>
                    </a:ln>
                  </pic:spPr>
                </pic:pic>
              </a:graphicData>
            </a:graphic>
          </wp:inline>
        </w:drawing>
      </w:r>
    </w:p>
    <w:p w:rsidR="00DA3172" w:rsidRDefault="00DA3172" w:rsidP="0063727E">
      <w:pPr>
        <w:pStyle w:val="Note"/>
        <w:ind w:left="0" w:firstLine="0"/>
      </w:pPr>
      <w:bookmarkStart w:id="192" w:name="_Ref441308370"/>
      <w:bookmarkStart w:id="193" w:name="_Toc441576076"/>
      <w:r>
        <w:t>Key:</w:t>
      </w:r>
      <w:r w:rsidRPr="004B7B18">
        <w:t xml:space="preserve"> </w:t>
      </w:r>
      <w:r>
        <w:t>SBP = systolic blood pressure; TBC = total blood cholesterol; PA = insufficient physical activity; Fruit and vegetables = inadequat</w:t>
      </w:r>
      <w:r w:rsidR="0058070E">
        <w:t>e intake of these foods; Drugs = illegal drug use.</w:t>
      </w:r>
    </w:p>
    <w:p w:rsidR="00DA3172" w:rsidRDefault="00DA3172" w:rsidP="0063727E">
      <w:pPr>
        <w:pStyle w:val="Note"/>
      </w:pPr>
      <w:r w:rsidRPr="00E31CBE">
        <w:t>Note: Confidence intervals not shown for clarity</w:t>
      </w:r>
      <w:r>
        <w:t xml:space="preserve"> of presentation</w:t>
      </w:r>
      <w:r w:rsidRPr="00E31CBE">
        <w:t>.</w:t>
      </w:r>
    </w:p>
    <w:p w:rsidR="00DA3172" w:rsidRDefault="00DA3172" w:rsidP="0063727E"/>
    <w:p w:rsidR="00DA3172" w:rsidRDefault="00DA3172" w:rsidP="0063727E">
      <w:r>
        <w:t>The absolute burden (attributable DALY count) has been steadily increasing for BMI and falling for tobacco use (at least until recently) (</w:t>
      </w:r>
      <w:r>
        <w:fldChar w:fldCharType="begin"/>
      </w:r>
      <w:r>
        <w:instrText xml:space="preserve"> REF _Ref453934663 \h </w:instrText>
      </w:r>
      <w:r>
        <w:fldChar w:fldCharType="separate"/>
      </w:r>
      <w:r w:rsidR="006C545C">
        <w:t xml:space="preserve">Figure </w:t>
      </w:r>
      <w:r w:rsidR="006C545C">
        <w:rPr>
          <w:noProof/>
        </w:rPr>
        <w:t>21</w:t>
      </w:r>
      <w:r>
        <w:fldChar w:fldCharType="end"/>
      </w:r>
      <w:r>
        <w:t xml:space="preserve">(a)). Yet, once adjusted for population growth and ageing, the rate of attributable health loss has actually been </w:t>
      </w:r>
      <w:r w:rsidRPr="00A77068">
        <w:t>falling</w:t>
      </w:r>
      <w:r>
        <w:rPr>
          <w:i/>
        </w:rPr>
        <w:t xml:space="preserve"> </w:t>
      </w:r>
      <w:r>
        <w:t>for both risk factors</w:t>
      </w:r>
      <w:r>
        <w:rPr>
          <w:i/>
        </w:rPr>
        <w:t xml:space="preserve">, </w:t>
      </w:r>
      <w:r>
        <w:t>although the trend is gradual for BMI and steep for tobacco use (</w:t>
      </w:r>
      <w:r>
        <w:fldChar w:fldCharType="begin"/>
      </w:r>
      <w:r>
        <w:instrText xml:space="preserve"> REF _Ref453934663 \h </w:instrText>
      </w:r>
      <w:r>
        <w:fldChar w:fldCharType="separate"/>
      </w:r>
      <w:r w:rsidR="006C545C">
        <w:t xml:space="preserve">Figure </w:t>
      </w:r>
      <w:r w:rsidR="006C545C">
        <w:rPr>
          <w:noProof/>
        </w:rPr>
        <w:t>21</w:t>
      </w:r>
      <w:r>
        <w:fldChar w:fldCharType="end"/>
      </w:r>
      <w:r>
        <w:t>(b)).</w:t>
      </w:r>
    </w:p>
    <w:p w:rsidR="00DA3172" w:rsidRPr="00E31CBE" w:rsidRDefault="00DA3172" w:rsidP="0063727E"/>
    <w:p w:rsidR="00DA3172" w:rsidRDefault="00DA3172" w:rsidP="0063727E">
      <w:pPr>
        <w:pStyle w:val="Figure"/>
      </w:pPr>
      <w:bookmarkStart w:id="194" w:name="_Ref453934663"/>
      <w:bookmarkStart w:id="195" w:name="_Toc442416808"/>
      <w:bookmarkStart w:id="196" w:name="_Toc454078649"/>
      <w:bookmarkStart w:id="197" w:name="_Toc456613634"/>
      <w:r>
        <w:t xml:space="preserve">Figure </w:t>
      </w:r>
      <w:r w:rsidR="00F456CC">
        <w:fldChar w:fldCharType="begin"/>
      </w:r>
      <w:r w:rsidR="00F456CC">
        <w:instrText xml:space="preserve"> SEQ Figure \* ARABIC </w:instrText>
      </w:r>
      <w:r w:rsidR="00F456CC">
        <w:fldChar w:fldCharType="separate"/>
      </w:r>
      <w:r w:rsidR="006C545C">
        <w:rPr>
          <w:noProof/>
        </w:rPr>
        <w:t>21</w:t>
      </w:r>
      <w:r w:rsidR="00F456CC">
        <w:rPr>
          <w:noProof/>
        </w:rPr>
        <w:fldChar w:fldCharType="end"/>
      </w:r>
      <w:bookmarkEnd w:id="192"/>
      <w:bookmarkEnd w:id="194"/>
      <w:r>
        <w:t>: Health loss attributable to BMI and tobacco use, 1990–201</w:t>
      </w:r>
      <w:bookmarkEnd w:id="193"/>
      <w:bookmarkEnd w:id="195"/>
      <w:r>
        <w:t>5</w:t>
      </w:r>
      <w:bookmarkEnd w:id="196"/>
      <w:bookmarkEnd w:id="197"/>
    </w:p>
    <w:p w:rsidR="00DA3172" w:rsidRPr="0063727E" w:rsidRDefault="00DA3172" w:rsidP="00CC0A26">
      <w:pPr>
        <w:pStyle w:val="TableText"/>
        <w:keepNext/>
        <w:rPr>
          <w:b/>
        </w:rPr>
      </w:pPr>
      <w:r w:rsidRPr="0063727E">
        <w:rPr>
          <w:b/>
        </w:rPr>
        <w:t>(a)</w:t>
      </w:r>
      <w:r w:rsidR="0063727E" w:rsidRPr="0063727E">
        <w:rPr>
          <w:b/>
        </w:rPr>
        <w:tab/>
      </w:r>
      <w:r w:rsidRPr="0063727E">
        <w:rPr>
          <w:b/>
        </w:rPr>
        <w:t>Counts (attributable DALYs)</w:t>
      </w:r>
    </w:p>
    <w:p w:rsidR="00DA3172" w:rsidRDefault="005122BD" w:rsidP="00CC0A26">
      <w:pPr>
        <w:rPr>
          <w:noProof/>
          <w:lang w:eastAsia="en-NZ"/>
        </w:rPr>
      </w:pPr>
      <w:r>
        <w:rPr>
          <w:noProof/>
          <w:lang w:eastAsia="en-NZ"/>
        </w:rPr>
        <w:drawing>
          <wp:inline distT="0" distB="0" distL="0" distR="0">
            <wp:extent cx="4663440" cy="2851150"/>
            <wp:effectExtent l="0" t="0" r="3810" b="6350"/>
            <wp:docPr id="757" name="Picture 1" descr="Figure 21: Health loss attributable to BMI and tobacco use, counts (attributable DALYs),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1: Health loss attributable to BMI and tobacco use, counts (attributable DALYs), 1990–20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3440" cy="2851150"/>
                    </a:xfrm>
                    <a:prstGeom prst="rect">
                      <a:avLst/>
                    </a:prstGeom>
                    <a:noFill/>
                    <a:ln>
                      <a:noFill/>
                    </a:ln>
                  </pic:spPr>
                </pic:pic>
              </a:graphicData>
            </a:graphic>
          </wp:inline>
        </w:drawing>
      </w:r>
    </w:p>
    <w:p w:rsidR="00DA3172" w:rsidRDefault="00DA3172" w:rsidP="00CC0A26">
      <w:pPr>
        <w:rPr>
          <w:noProof/>
          <w:lang w:eastAsia="en-NZ"/>
        </w:rPr>
      </w:pPr>
    </w:p>
    <w:p w:rsidR="00DA3172" w:rsidRPr="0063727E" w:rsidRDefault="00DA3172" w:rsidP="00CC0A26">
      <w:pPr>
        <w:pStyle w:val="TableText"/>
        <w:keepNext/>
        <w:rPr>
          <w:b/>
        </w:rPr>
      </w:pPr>
      <w:r w:rsidRPr="0063727E">
        <w:rPr>
          <w:b/>
          <w:noProof/>
          <w:lang w:eastAsia="en-NZ"/>
        </w:rPr>
        <w:lastRenderedPageBreak/>
        <w:t>(b)</w:t>
      </w:r>
      <w:r w:rsidR="0063727E">
        <w:rPr>
          <w:b/>
          <w:noProof/>
          <w:lang w:eastAsia="en-NZ"/>
        </w:rPr>
        <w:tab/>
      </w:r>
      <w:r w:rsidRPr="0063727E">
        <w:rPr>
          <w:b/>
          <w:noProof/>
          <w:lang w:eastAsia="en-NZ"/>
        </w:rPr>
        <w:t>Rates (age-standardised attributable DALY rate per 1000)</w:t>
      </w:r>
    </w:p>
    <w:p w:rsidR="00DA3172" w:rsidRPr="00803589" w:rsidRDefault="005122BD" w:rsidP="00CC0A26">
      <w:r>
        <w:rPr>
          <w:noProof/>
          <w:lang w:eastAsia="en-NZ"/>
        </w:rPr>
        <w:drawing>
          <wp:inline distT="0" distB="0" distL="0" distR="0">
            <wp:extent cx="4671695" cy="2851150"/>
            <wp:effectExtent l="0" t="0" r="0" b="6350"/>
            <wp:docPr id="765" name="Picture 1" descr="Figure 21: Health loss attributable to BMI and tobacco use, rates (age-standardised attributable DALY rate per 1000),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1: Health loss attributable to BMI and tobacco use, rates (age-standardised attributable DALY rate per 1000), 1990–20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1695" cy="2851150"/>
                    </a:xfrm>
                    <a:prstGeom prst="rect">
                      <a:avLst/>
                    </a:prstGeom>
                    <a:noFill/>
                    <a:ln>
                      <a:noFill/>
                    </a:ln>
                  </pic:spPr>
                </pic:pic>
              </a:graphicData>
            </a:graphic>
          </wp:inline>
        </w:drawing>
      </w:r>
    </w:p>
    <w:p w:rsidR="00DA3172" w:rsidRDefault="00DA3172" w:rsidP="0063727E"/>
    <w:p w:rsidR="005D5D9F" w:rsidRDefault="00DA3172" w:rsidP="0063727E">
      <w:r>
        <w:t>The previous edition of this study suggested BMI would overtake tobacco use as a cause of health loss around 2016. The updated estimates reported here suggest this crossover may have already happened, but the difference is not statistically significant at the 95% confidence level (</w:t>
      </w:r>
      <w:r>
        <w:fldChar w:fldCharType="begin"/>
      </w:r>
      <w:r>
        <w:instrText xml:space="preserve"> REF _Ref453934663 \h </w:instrText>
      </w:r>
      <w:r>
        <w:fldChar w:fldCharType="separate"/>
      </w:r>
      <w:r w:rsidR="006C545C">
        <w:t xml:space="preserve">Figure </w:t>
      </w:r>
      <w:r w:rsidR="006C545C">
        <w:rPr>
          <w:noProof/>
        </w:rPr>
        <w:t>21</w:t>
      </w:r>
      <w:r>
        <w:fldChar w:fldCharType="end"/>
      </w:r>
      <w:r>
        <w:t>) until 2015 (or even later).</w:t>
      </w:r>
    </w:p>
    <w:p w:rsidR="00DA3172" w:rsidRDefault="00DA3172" w:rsidP="0063727E"/>
    <w:p w:rsidR="00DA3172" w:rsidRDefault="00DA3172" w:rsidP="0063727E">
      <w:r>
        <w:t>While the BMI burden is slowly falling (once adjusted for demographic trends), the prevalence of obesity continues to increase (</w:t>
      </w:r>
      <w:r>
        <w:fldChar w:fldCharType="begin"/>
      </w:r>
      <w:r>
        <w:instrText xml:space="preserve"> REF _Ref453934833 \h </w:instrText>
      </w:r>
      <w:r>
        <w:fldChar w:fldCharType="separate"/>
      </w:r>
      <w:r w:rsidR="006C545C">
        <w:t xml:space="preserve">Figure </w:t>
      </w:r>
      <w:r w:rsidR="006C545C">
        <w:rPr>
          <w:noProof/>
        </w:rPr>
        <w:t>22</w:t>
      </w:r>
      <w:r>
        <w:fldChar w:fldCharType="end"/>
      </w:r>
      <w:r>
        <w:t xml:space="preserve">). This implies that the impact of rising obesity prevalence is being more than offset by the reduction in the total burden of (some of) its linked conditions, in particular coronary heart disease. This finding further implies that the BMI burden may not continue to fall in the long term, </w:t>
      </w:r>
      <w:r w:rsidRPr="00A77068">
        <w:t>unless</w:t>
      </w:r>
      <w:r>
        <w:t xml:space="preserve"> the prevalence of this risk factor can also be reduced (because the decline in the CHD burden cannot continue forever).</w:t>
      </w:r>
    </w:p>
    <w:p w:rsidR="00DA3172" w:rsidRDefault="00DA3172" w:rsidP="0063727E"/>
    <w:p w:rsidR="00DA3172" w:rsidRDefault="00DA3172" w:rsidP="0063727E">
      <w:pPr>
        <w:pStyle w:val="Figure"/>
      </w:pPr>
      <w:bookmarkStart w:id="198" w:name="_Ref441308844"/>
      <w:bookmarkStart w:id="199" w:name="_Ref453934833"/>
      <w:bookmarkStart w:id="200" w:name="_Toc441576077"/>
      <w:bookmarkStart w:id="201" w:name="_Toc442416809"/>
      <w:bookmarkStart w:id="202" w:name="_Toc454078650"/>
      <w:bookmarkStart w:id="203" w:name="_Toc456613635"/>
      <w:r>
        <w:t>Figure</w:t>
      </w:r>
      <w:bookmarkEnd w:id="198"/>
      <w:r>
        <w:t xml:space="preserve"> </w:t>
      </w:r>
      <w:r w:rsidR="00F456CC">
        <w:fldChar w:fldCharType="begin"/>
      </w:r>
      <w:r w:rsidR="00F456CC">
        <w:instrText xml:space="preserve"> SEQ Figure \* ARABIC </w:instrText>
      </w:r>
      <w:r w:rsidR="00F456CC">
        <w:fldChar w:fldCharType="separate"/>
      </w:r>
      <w:r w:rsidR="006C545C">
        <w:rPr>
          <w:noProof/>
        </w:rPr>
        <w:t>22</w:t>
      </w:r>
      <w:r w:rsidR="00F456CC">
        <w:rPr>
          <w:noProof/>
        </w:rPr>
        <w:fldChar w:fldCharType="end"/>
      </w:r>
      <w:bookmarkEnd w:id="199"/>
      <w:r>
        <w:t>: O</w:t>
      </w:r>
      <w:r w:rsidRPr="003076B3">
        <w:t>besity prevalence</w:t>
      </w:r>
      <w:r>
        <w:t xml:space="preserve"> (age-standardised rate per 100)</w:t>
      </w:r>
      <w:r w:rsidRPr="003076B3">
        <w:t xml:space="preserve"> and BMI attributable burden</w:t>
      </w:r>
      <w:r>
        <w:t xml:space="preserve"> (age-standardised attributable DALY rate per 1000) among</w:t>
      </w:r>
      <w:r w:rsidRPr="003076B3">
        <w:t xml:space="preserve"> adults</w:t>
      </w:r>
      <w:r>
        <w:t xml:space="preserve">, </w:t>
      </w:r>
      <w:r w:rsidRPr="003076B3">
        <w:t>1990–2015</w:t>
      </w:r>
      <w:bookmarkEnd w:id="200"/>
      <w:bookmarkEnd w:id="201"/>
      <w:bookmarkEnd w:id="202"/>
      <w:bookmarkEnd w:id="203"/>
    </w:p>
    <w:tbl>
      <w:tblPr>
        <w:tblW w:w="0" w:type="auto"/>
        <w:tblLayout w:type="fixed"/>
        <w:tblLook w:val="04A0" w:firstRow="1" w:lastRow="0" w:firstColumn="1" w:lastColumn="0" w:noHBand="0" w:noVBand="1"/>
      </w:tblPr>
      <w:tblGrid>
        <w:gridCol w:w="4785"/>
        <w:gridCol w:w="4786"/>
      </w:tblGrid>
      <w:tr w:rsidR="0075215D" w:rsidRPr="00993C80" w:rsidTr="00993C80">
        <w:trPr>
          <w:cantSplit/>
        </w:trPr>
        <w:tc>
          <w:tcPr>
            <w:tcW w:w="4785" w:type="dxa"/>
            <w:shd w:val="clear" w:color="auto" w:fill="auto"/>
          </w:tcPr>
          <w:p w:rsidR="0075215D" w:rsidRPr="00993C80" w:rsidRDefault="0075215D" w:rsidP="00993C80">
            <w:pPr>
              <w:pStyle w:val="TableText"/>
              <w:rPr>
                <w:b/>
              </w:rPr>
            </w:pPr>
            <w:r w:rsidRPr="00993C80">
              <w:rPr>
                <w:b/>
              </w:rPr>
              <w:t>Obesity prevalence</w:t>
            </w:r>
          </w:p>
        </w:tc>
        <w:tc>
          <w:tcPr>
            <w:tcW w:w="4786" w:type="dxa"/>
            <w:shd w:val="clear" w:color="auto" w:fill="auto"/>
          </w:tcPr>
          <w:p w:rsidR="0075215D" w:rsidRPr="00993C80" w:rsidRDefault="0075215D" w:rsidP="00993C80">
            <w:pPr>
              <w:pStyle w:val="TableText"/>
              <w:rPr>
                <w:b/>
              </w:rPr>
            </w:pPr>
            <w:r w:rsidRPr="00993C80">
              <w:rPr>
                <w:b/>
              </w:rPr>
              <w:t>BMI burden</w:t>
            </w:r>
          </w:p>
        </w:tc>
      </w:tr>
      <w:tr w:rsidR="0075215D" w:rsidTr="00806464">
        <w:trPr>
          <w:cantSplit/>
        </w:trPr>
        <w:tc>
          <w:tcPr>
            <w:tcW w:w="4785" w:type="dxa"/>
            <w:shd w:val="clear" w:color="auto" w:fill="auto"/>
          </w:tcPr>
          <w:p w:rsidR="0075215D" w:rsidRDefault="005122BD" w:rsidP="00993C80">
            <w:pPr>
              <w:pStyle w:val="TableText"/>
            </w:pPr>
            <w:r>
              <w:rPr>
                <w:noProof/>
                <w:lang w:eastAsia="en-NZ"/>
              </w:rPr>
              <w:drawing>
                <wp:inline distT="0" distB="0" distL="0" distR="0">
                  <wp:extent cx="2976245" cy="1812290"/>
                  <wp:effectExtent l="0" t="0" r="0" b="0"/>
                  <wp:docPr id="788" name="Picture 1" descr="Figure 22: Obesity prevalence (age-standardised rate per 100) among adults, 199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2: Obesity prevalence (age-standardised rate per 100) among adults, 1990–20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6245" cy="1812290"/>
                          </a:xfrm>
                          <a:prstGeom prst="rect">
                            <a:avLst/>
                          </a:prstGeom>
                          <a:noFill/>
                          <a:ln>
                            <a:noFill/>
                          </a:ln>
                        </pic:spPr>
                      </pic:pic>
                    </a:graphicData>
                  </a:graphic>
                </wp:inline>
              </w:drawing>
            </w:r>
          </w:p>
        </w:tc>
        <w:tc>
          <w:tcPr>
            <w:tcW w:w="4786" w:type="dxa"/>
            <w:shd w:val="clear" w:color="auto" w:fill="auto"/>
          </w:tcPr>
          <w:p w:rsidR="0075215D" w:rsidRDefault="005122BD" w:rsidP="00993C80">
            <w:pPr>
              <w:pStyle w:val="TableText"/>
            </w:pPr>
            <w:r>
              <w:rPr>
                <w:noProof/>
                <w:lang w:eastAsia="en-NZ"/>
              </w:rPr>
              <w:drawing>
                <wp:inline distT="0" distB="0" distL="0" distR="0">
                  <wp:extent cx="2984500" cy="1820545"/>
                  <wp:effectExtent l="0" t="0" r="6350" b="8255"/>
                  <wp:docPr id="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84500" cy="1820545"/>
                          </a:xfrm>
                          <a:prstGeom prst="rect">
                            <a:avLst/>
                          </a:prstGeom>
                          <a:noFill/>
                          <a:ln>
                            <a:noFill/>
                          </a:ln>
                        </pic:spPr>
                      </pic:pic>
                    </a:graphicData>
                  </a:graphic>
                </wp:inline>
              </w:drawing>
            </w:r>
          </w:p>
        </w:tc>
      </w:tr>
    </w:tbl>
    <w:p w:rsidR="00DA3172" w:rsidRDefault="00DA3172" w:rsidP="0063727E"/>
    <w:p w:rsidR="00DA3172" w:rsidRDefault="00DA3172" w:rsidP="0063727E">
      <w:r>
        <w:t>In short, this decoupling of risk factor burden from risk exposure (prevalence) demonstrates that trends in attributable burden are affected by complex interactions between:</w:t>
      </w:r>
    </w:p>
    <w:p w:rsidR="00DA3172" w:rsidRDefault="00DA3172" w:rsidP="0063727E">
      <w:pPr>
        <w:pStyle w:val="Bullet"/>
      </w:pPr>
      <w:r>
        <w:t>changing hazard exposure (risk factor prevalence)</w:t>
      </w:r>
    </w:p>
    <w:p w:rsidR="00DA3172" w:rsidRDefault="00DA3172" w:rsidP="0063727E">
      <w:pPr>
        <w:pStyle w:val="Bullet"/>
      </w:pPr>
      <w:r>
        <w:t>demographic forces (population growth and ageing)</w:t>
      </w:r>
    </w:p>
    <w:p w:rsidR="00DA3172" w:rsidRDefault="00DA3172" w:rsidP="0063727E">
      <w:pPr>
        <w:pStyle w:val="Bullet"/>
      </w:pPr>
      <w:proofErr w:type="gramStart"/>
      <w:r>
        <w:t>trends</w:t>
      </w:r>
      <w:proofErr w:type="gramEnd"/>
      <w:r>
        <w:t xml:space="preserve"> in the total burden of the linked conditions that occur for reasons unrelated to the risk factor of interest (</w:t>
      </w:r>
      <w:proofErr w:type="spellStart"/>
      <w:r>
        <w:t>eg</w:t>
      </w:r>
      <w:proofErr w:type="spellEnd"/>
      <w:r>
        <w:t>, improvements in coverage and effectiveness of clinical treatments).</w:t>
      </w:r>
    </w:p>
    <w:p w:rsidR="00A1501C" w:rsidRDefault="00A1501C" w:rsidP="00135BAE">
      <w:pPr>
        <w:pStyle w:val="Heading1"/>
      </w:pPr>
      <w:bookmarkStart w:id="204" w:name="_Toc441468889"/>
      <w:bookmarkStart w:id="205" w:name="_Toc442416691"/>
      <w:bookmarkStart w:id="206" w:name="_Toc456270697"/>
      <w:r>
        <w:lastRenderedPageBreak/>
        <w:t>Health expectancy</w:t>
      </w:r>
      <w:bookmarkEnd w:id="204"/>
      <w:r>
        <w:t xml:space="preserve"> and the compression of morbidity</w:t>
      </w:r>
      <w:bookmarkEnd w:id="205"/>
      <w:bookmarkEnd w:id="206"/>
    </w:p>
    <w:p w:rsidR="00A1501C" w:rsidRDefault="00A1501C" w:rsidP="0063727E">
      <w:r>
        <w:t>Health expectancy is a summary index of population health that integrates both fatal (quantity of life) and non-fatal (quality of life) outcomes. Health expectancy is a generalisation of life expectancy that takes account of time lived in different health states defined by level of functioning (morbidity or disability).</w:t>
      </w:r>
    </w:p>
    <w:p w:rsidR="00A1501C" w:rsidRDefault="00A1501C" w:rsidP="0063727E"/>
    <w:p w:rsidR="00A1501C" w:rsidRDefault="00A1501C" w:rsidP="0063727E">
      <w:r>
        <w:t>The health expectancy metric described here (also known as health-adjusted life expectancy or healthy life expectancy) is based on a continuous weighting of non-fatal health states on a 0–1 scale, where 1 is equivalent to full health and 0 to being dead. So health expectancy, as defined here, is the number of years the average person can expect to live in full health. Operationally, it is calculated by combining the all-cause YLD rates by age and sex from the burden of disease calculations (representing total non-fatal health loss) with the central mortality rates from Statistics New Zealand lifetables or the GBD mortality database (representing total fatal health loss).</w:t>
      </w:r>
    </w:p>
    <w:p w:rsidR="00A1501C" w:rsidRDefault="00A1501C" w:rsidP="0063727E"/>
    <w:p w:rsidR="00A1501C" w:rsidRDefault="00A1501C" w:rsidP="0063727E">
      <w:r>
        <w:t>An analysis that shows whether morbidity is compressing or expanding over time answers the question: are we adding life to years as well as years to life? That is, are the years gained from improving survival (increasing life expectancy) spent in good or poor health? To measure compression, we compare trends in the number of years the average person can expect to live in good health (health expectancy) with trends in the number of years they can expect to live in total (life expectancy).</w:t>
      </w:r>
    </w:p>
    <w:p w:rsidR="00A1501C" w:rsidRDefault="00A1501C" w:rsidP="0063727E"/>
    <w:p w:rsidR="00A1501C" w:rsidRDefault="00A1501C" w:rsidP="0063727E">
      <w:r>
        <w:t>Compression can be measured either on:</w:t>
      </w:r>
    </w:p>
    <w:p w:rsidR="00A1501C" w:rsidRDefault="00A1501C" w:rsidP="0063727E">
      <w:pPr>
        <w:pStyle w:val="Bullet"/>
      </w:pPr>
      <w:r>
        <w:t xml:space="preserve">an absolute scale – that is, as the </w:t>
      </w:r>
      <w:r w:rsidRPr="00404D64">
        <w:rPr>
          <w:b/>
        </w:rPr>
        <w:t>difference</w:t>
      </w:r>
      <w:r>
        <w:t xml:space="preserve"> between the change in health expectancy and the change in life expectancy over the specified period, or</w:t>
      </w:r>
    </w:p>
    <w:p w:rsidR="00A1501C" w:rsidRDefault="00A1501C" w:rsidP="0063727E">
      <w:pPr>
        <w:pStyle w:val="Bullet"/>
      </w:pPr>
      <w:proofErr w:type="gramStart"/>
      <w:r>
        <w:t>a</w:t>
      </w:r>
      <w:proofErr w:type="gramEnd"/>
      <w:r>
        <w:t xml:space="preserve"> relative scale – that is, as the </w:t>
      </w:r>
      <w:r w:rsidRPr="00404D64">
        <w:rPr>
          <w:b/>
        </w:rPr>
        <w:t>ratio</w:t>
      </w:r>
      <w:r>
        <w:t xml:space="preserve"> of the change in health expectancy to the change in life expectancy over the specified period.</w:t>
      </w:r>
    </w:p>
    <w:p w:rsidR="00A1501C" w:rsidRDefault="00A1501C" w:rsidP="0063727E"/>
    <w:p w:rsidR="00A1501C" w:rsidRDefault="00A1501C" w:rsidP="0063727E">
      <w:r>
        <w:t>Both measures are important and may tell different stories, so both are reported here.</w:t>
      </w:r>
    </w:p>
    <w:p w:rsidR="00A1501C" w:rsidRDefault="00A1501C" w:rsidP="0063727E"/>
    <w:p w:rsidR="00A1501C" w:rsidRDefault="00A1501C" w:rsidP="0063727E">
      <w:r>
        <w:t>Both life and health expectancy have increased over the past (almost) quarter century (</w:t>
      </w:r>
      <w:r w:rsidR="0063727E">
        <w:fldChar w:fldCharType="begin"/>
      </w:r>
      <w:r w:rsidR="0063727E">
        <w:instrText xml:space="preserve"> REF _Ref441311021 \h </w:instrText>
      </w:r>
      <w:r w:rsidR="0063727E">
        <w:fldChar w:fldCharType="separate"/>
      </w:r>
      <w:r w:rsidR="006C545C">
        <w:t xml:space="preserve">Table </w:t>
      </w:r>
      <w:r w:rsidR="006C545C">
        <w:rPr>
          <w:noProof/>
        </w:rPr>
        <w:t>5</w:t>
      </w:r>
      <w:r w:rsidR="0063727E">
        <w:fldChar w:fldCharType="end"/>
      </w:r>
      <w:r>
        <w:t>). However, life expectancy has increased faster, so the gap between life and health expectancy has also increased: from 9.2 to 10.4 years for males, and from 11.0 to 12.2 years for females (an average increase for both sexes of just under three weeks per year). In other words, of the 6.12 years that males gained in life expectancy over the past quarter century, they spent 80% in good health and 20% in poor health. Of the 4.45 years that females gained in life expectancy, they spent 74% in good health and 26% in poor health. So, compared with females, males have made better gains in both life and health expectancy over the past quarter century, and consequently the gender gap in health has narrowed.</w:t>
      </w:r>
    </w:p>
    <w:p w:rsidR="00A1501C" w:rsidRDefault="00A1501C" w:rsidP="0063727E"/>
    <w:p w:rsidR="00A1501C" w:rsidRDefault="00A1501C" w:rsidP="0063727E">
      <w:r>
        <w:t xml:space="preserve">At the same time, the </w:t>
      </w:r>
      <w:r w:rsidRPr="00404D64">
        <w:rPr>
          <w:b/>
        </w:rPr>
        <w:t>ratio</w:t>
      </w:r>
      <w:r>
        <w:t xml:space="preserve"> of health to life expectancy appears to have </w:t>
      </w:r>
      <w:r w:rsidRPr="00D72203">
        <w:t>decreased</w:t>
      </w:r>
      <w:r>
        <w:t xml:space="preserve"> in both sexes, indicating that morbidity may have expanded in relative as well as in absolute terms. However, this change has been slight (and not statistically significant) and has varied between the sexes and over time. The conclusion then is that morbidity has expanded absolutely (for both sexes), while it may or may not have expanded (slightly) in relative terms.</w:t>
      </w:r>
    </w:p>
    <w:p w:rsidR="00A1501C" w:rsidRDefault="00A1501C" w:rsidP="0063727E"/>
    <w:p w:rsidR="00A1501C" w:rsidRPr="0009491C" w:rsidRDefault="00A1501C" w:rsidP="0063727E">
      <w:pPr>
        <w:pStyle w:val="Table"/>
      </w:pPr>
      <w:bookmarkStart w:id="207" w:name="_Ref441311021"/>
      <w:bookmarkStart w:id="208" w:name="_Toc441576078"/>
      <w:bookmarkStart w:id="209" w:name="_Toc454078607"/>
      <w:bookmarkStart w:id="210" w:name="_Toc455733251"/>
      <w:r>
        <w:lastRenderedPageBreak/>
        <w:t xml:space="preserve">Table </w:t>
      </w:r>
      <w:r w:rsidR="00F456CC">
        <w:fldChar w:fldCharType="begin"/>
      </w:r>
      <w:r w:rsidR="00F456CC">
        <w:instrText xml:space="preserve"> SEQ Table \* ARABIC </w:instrText>
      </w:r>
      <w:r w:rsidR="00F456CC">
        <w:fldChar w:fldCharType="separate"/>
      </w:r>
      <w:r w:rsidR="006C545C">
        <w:rPr>
          <w:noProof/>
        </w:rPr>
        <w:t>5</w:t>
      </w:r>
      <w:r w:rsidR="00F456CC">
        <w:rPr>
          <w:noProof/>
        </w:rPr>
        <w:fldChar w:fldCharType="end"/>
      </w:r>
      <w:bookmarkEnd w:id="207"/>
      <w:r>
        <w:t>: H</w:t>
      </w:r>
      <w:r w:rsidRPr="00C7585F">
        <w:t>ealth expectancy and life expectancy at birth, 1990</w:t>
      </w:r>
      <w:r>
        <w:t>–</w:t>
      </w:r>
      <w:r w:rsidRPr="00C7585F">
        <w:t>2013</w:t>
      </w:r>
      <w:bookmarkEnd w:id="208"/>
      <w:bookmarkEnd w:id="209"/>
      <w:bookmarkEnd w:id="210"/>
    </w:p>
    <w:tbl>
      <w:tblPr>
        <w:tblW w:w="0" w:type="auto"/>
        <w:tblInd w:w="57" w:type="dxa"/>
        <w:tblBorders>
          <w:top w:val="single" w:sz="8" w:space="0" w:color="8064A2"/>
          <w:left w:val="single" w:sz="8" w:space="0" w:color="8064A2"/>
          <w:bottom w:val="single" w:sz="8" w:space="0" w:color="8064A2"/>
          <w:right w:val="single" w:sz="8" w:space="0" w:color="8064A2"/>
        </w:tblBorders>
        <w:tblLayout w:type="fixed"/>
        <w:tblCellMar>
          <w:left w:w="57" w:type="dxa"/>
          <w:right w:w="57" w:type="dxa"/>
        </w:tblCellMar>
        <w:tblLook w:val="04A0" w:firstRow="1" w:lastRow="0" w:firstColumn="1" w:lastColumn="0" w:noHBand="0" w:noVBand="1"/>
      </w:tblPr>
      <w:tblGrid>
        <w:gridCol w:w="1320"/>
        <w:gridCol w:w="1339"/>
        <w:gridCol w:w="1339"/>
        <w:gridCol w:w="1340"/>
        <w:gridCol w:w="1339"/>
        <w:gridCol w:w="1339"/>
        <w:gridCol w:w="1340"/>
      </w:tblGrid>
      <w:tr w:rsidR="00A1501C" w:rsidRPr="00B32D90" w:rsidTr="000E5D47">
        <w:trPr>
          <w:cantSplit/>
        </w:trPr>
        <w:tc>
          <w:tcPr>
            <w:tcW w:w="1320" w:type="dxa"/>
            <w:vMerge w:val="restart"/>
            <w:tcBorders>
              <w:top w:val="single" w:sz="4" w:space="0" w:color="auto"/>
              <w:left w:val="nil"/>
            </w:tcBorders>
            <w:shd w:val="clear" w:color="auto" w:fill="auto"/>
          </w:tcPr>
          <w:p w:rsidR="00A1501C" w:rsidRPr="00B32D90" w:rsidRDefault="00A1501C" w:rsidP="00733F16">
            <w:pPr>
              <w:pStyle w:val="TableText"/>
              <w:rPr>
                <w:b/>
              </w:rPr>
            </w:pPr>
            <w:r w:rsidRPr="00B32D90">
              <w:rPr>
                <w:b/>
              </w:rPr>
              <w:t>(Years)</w:t>
            </w:r>
          </w:p>
        </w:tc>
        <w:tc>
          <w:tcPr>
            <w:tcW w:w="2678" w:type="dxa"/>
            <w:gridSpan w:val="2"/>
            <w:tcBorders>
              <w:top w:val="single" w:sz="4" w:space="0" w:color="auto"/>
              <w:bottom w:val="single" w:sz="4" w:space="0" w:color="A6A6A6"/>
            </w:tcBorders>
            <w:shd w:val="clear" w:color="auto" w:fill="auto"/>
          </w:tcPr>
          <w:p w:rsidR="00A1501C" w:rsidRPr="00B32D90" w:rsidRDefault="00A1501C" w:rsidP="00733F16">
            <w:pPr>
              <w:pStyle w:val="TableText"/>
              <w:jc w:val="center"/>
              <w:rPr>
                <w:b/>
              </w:rPr>
            </w:pPr>
            <w:r w:rsidRPr="00B32D90">
              <w:rPr>
                <w:b/>
              </w:rPr>
              <w:t>1990</w:t>
            </w:r>
          </w:p>
        </w:tc>
        <w:tc>
          <w:tcPr>
            <w:tcW w:w="2679" w:type="dxa"/>
            <w:gridSpan w:val="2"/>
            <w:tcBorders>
              <w:top w:val="single" w:sz="4" w:space="0" w:color="auto"/>
              <w:bottom w:val="single" w:sz="4" w:space="0" w:color="A6A6A6"/>
            </w:tcBorders>
            <w:shd w:val="clear" w:color="auto" w:fill="auto"/>
          </w:tcPr>
          <w:p w:rsidR="00A1501C" w:rsidRPr="00B32D90" w:rsidRDefault="00A1501C" w:rsidP="00733F16">
            <w:pPr>
              <w:pStyle w:val="TableText"/>
              <w:jc w:val="center"/>
              <w:rPr>
                <w:b/>
              </w:rPr>
            </w:pPr>
            <w:r w:rsidRPr="00B32D90">
              <w:rPr>
                <w:b/>
              </w:rPr>
              <w:t>2005</w:t>
            </w:r>
          </w:p>
        </w:tc>
        <w:tc>
          <w:tcPr>
            <w:tcW w:w="2679" w:type="dxa"/>
            <w:gridSpan w:val="2"/>
            <w:tcBorders>
              <w:top w:val="single" w:sz="4" w:space="0" w:color="auto"/>
              <w:bottom w:val="single" w:sz="4" w:space="0" w:color="A6A6A6"/>
              <w:right w:val="nil"/>
            </w:tcBorders>
            <w:shd w:val="clear" w:color="auto" w:fill="auto"/>
          </w:tcPr>
          <w:p w:rsidR="00A1501C" w:rsidRPr="00B32D90" w:rsidRDefault="00A1501C" w:rsidP="00733F16">
            <w:pPr>
              <w:pStyle w:val="TableText"/>
              <w:jc w:val="center"/>
              <w:rPr>
                <w:b/>
              </w:rPr>
            </w:pPr>
            <w:r w:rsidRPr="00B32D90">
              <w:rPr>
                <w:b/>
              </w:rPr>
              <w:t>2013</w:t>
            </w:r>
          </w:p>
        </w:tc>
      </w:tr>
      <w:tr w:rsidR="00A1501C" w:rsidRPr="00B32D90" w:rsidTr="000E5D47">
        <w:trPr>
          <w:cantSplit/>
        </w:trPr>
        <w:tc>
          <w:tcPr>
            <w:tcW w:w="1320" w:type="dxa"/>
            <w:vMerge/>
            <w:tcBorders>
              <w:left w:val="nil"/>
              <w:bottom w:val="single" w:sz="4" w:space="0" w:color="auto"/>
            </w:tcBorders>
            <w:shd w:val="clear" w:color="auto" w:fill="auto"/>
          </w:tcPr>
          <w:p w:rsidR="00A1501C" w:rsidRPr="00B32D90" w:rsidRDefault="00A1501C" w:rsidP="00733F16">
            <w:pPr>
              <w:pStyle w:val="TableText"/>
              <w:rPr>
                <w:b/>
              </w:rPr>
            </w:pPr>
          </w:p>
        </w:tc>
        <w:tc>
          <w:tcPr>
            <w:tcW w:w="1339" w:type="dxa"/>
            <w:tcBorders>
              <w:top w:val="single" w:sz="4" w:space="0" w:color="A6A6A6"/>
              <w:bottom w:val="single" w:sz="4" w:space="0" w:color="auto"/>
            </w:tcBorders>
            <w:shd w:val="clear" w:color="auto" w:fill="auto"/>
          </w:tcPr>
          <w:p w:rsidR="00A1501C" w:rsidRPr="00B32D90" w:rsidRDefault="00A1501C" w:rsidP="0063727E">
            <w:pPr>
              <w:pStyle w:val="TableText"/>
              <w:jc w:val="center"/>
              <w:rPr>
                <w:b/>
              </w:rPr>
            </w:pPr>
            <w:r w:rsidRPr="00B32D90">
              <w:rPr>
                <w:b/>
              </w:rPr>
              <w:t>Male</w:t>
            </w:r>
          </w:p>
        </w:tc>
        <w:tc>
          <w:tcPr>
            <w:tcW w:w="1339" w:type="dxa"/>
            <w:tcBorders>
              <w:top w:val="single" w:sz="4" w:space="0" w:color="A6A6A6"/>
              <w:bottom w:val="single" w:sz="4" w:space="0" w:color="auto"/>
            </w:tcBorders>
            <w:shd w:val="clear" w:color="auto" w:fill="auto"/>
          </w:tcPr>
          <w:p w:rsidR="00A1501C" w:rsidRPr="00B32D90" w:rsidRDefault="00A1501C" w:rsidP="0063727E">
            <w:pPr>
              <w:pStyle w:val="TableText"/>
              <w:jc w:val="center"/>
              <w:rPr>
                <w:b/>
              </w:rPr>
            </w:pPr>
            <w:r w:rsidRPr="00B32D90">
              <w:rPr>
                <w:b/>
              </w:rPr>
              <w:t>Female</w:t>
            </w:r>
          </w:p>
        </w:tc>
        <w:tc>
          <w:tcPr>
            <w:tcW w:w="1340" w:type="dxa"/>
            <w:tcBorders>
              <w:top w:val="single" w:sz="4" w:space="0" w:color="A6A6A6"/>
              <w:bottom w:val="single" w:sz="4" w:space="0" w:color="auto"/>
            </w:tcBorders>
            <w:shd w:val="clear" w:color="auto" w:fill="auto"/>
          </w:tcPr>
          <w:p w:rsidR="00A1501C" w:rsidRPr="00B32D90" w:rsidRDefault="00A1501C" w:rsidP="0063727E">
            <w:pPr>
              <w:pStyle w:val="TableText"/>
              <w:jc w:val="center"/>
              <w:rPr>
                <w:b/>
              </w:rPr>
            </w:pPr>
            <w:r w:rsidRPr="00B32D90">
              <w:rPr>
                <w:b/>
              </w:rPr>
              <w:t>Male</w:t>
            </w:r>
          </w:p>
        </w:tc>
        <w:tc>
          <w:tcPr>
            <w:tcW w:w="1339" w:type="dxa"/>
            <w:tcBorders>
              <w:top w:val="single" w:sz="4" w:space="0" w:color="A6A6A6"/>
              <w:bottom w:val="single" w:sz="4" w:space="0" w:color="auto"/>
            </w:tcBorders>
            <w:shd w:val="clear" w:color="auto" w:fill="auto"/>
          </w:tcPr>
          <w:p w:rsidR="00A1501C" w:rsidRPr="00B32D90" w:rsidRDefault="00A1501C" w:rsidP="0063727E">
            <w:pPr>
              <w:pStyle w:val="TableText"/>
              <w:jc w:val="center"/>
              <w:rPr>
                <w:b/>
              </w:rPr>
            </w:pPr>
            <w:r w:rsidRPr="00B32D90">
              <w:rPr>
                <w:b/>
              </w:rPr>
              <w:t>Female</w:t>
            </w:r>
          </w:p>
        </w:tc>
        <w:tc>
          <w:tcPr>
            <w:tcW w:w="1339" w:type="dxa"/>
            <w:tcBorders>
              <w:top w:val="single" w:sz="4" w:space="0" w:color="A6A6A6"/>
              <w:bottom w:val="single" w:sz="4" w:space="0" w:color="auto"/>
            </w:tcBorders>
            <w:shd w:val="clear" w:color="auto" w:fill="auto"/>
          </w:tcPr>
          <w:p w:rsidR="00A1501C" w:rsidRPr="00B32D90" w:rsidRDefault="00A1501C" w:rsidP="0063727E">
            <w:pPr>
              <w:pStyle w:val="TableText"/>
              <w:jc w:val="center"/>
              <w:rPr>
                <w:b/>
              </w:rPr>
            </w:pPr>
            <w:r w:rsidRPr="00B32D90">
              <w:rPr>
                <w:b/>
              </w:rPr>
              <w:t>Male</w:t>
            </w:r>
          </w:p>
        </w:tc>
        <w:tc>
          <w:tcPr>
            <w:tcW w:w="1340" w:type="dxa"/>
            <w:tcBorders>
              <w:top w:val="single" w:sz="4" w:space="0" w:color="A6A6A6"/>
              <w:bottom w:val="single" w:sz="4" w:space="0" w:color="auto"/>
              <w:right w:val="nil"/>
            </w:tcBorders>
            <w:shd w:val="clear" w:color="auto" w:fill="auto"/>
          </w:tcPr>
          <w:p w:rsidR="00A1501C" w:rsidRPr="00B32D90" w:rsidRDefault="00A1501C" w:rsidP="0063727E">
            <w:pPr>
              <w:pStyle w:val="TableText"/>
              <w:jc w:val="center"/>
              <w:rPr>
                <w:b/>
              </w:rPr>
            </w:pPr>
            <w:r w:rsidRPr="00B32D90">
              <w:rPr>
                <w:b/>
              </w:rPr>
              <w:t>Female</w:t>
            </w:r>
          </w:p>
        </w:tc>
      </w:tr>
      <w:tr w:rsidR="00A1501C" w:rsidTr="000E5D47">
        <w:trPr>
          <w:cantSplit/>
        </w:trPr>
        <w:tc>
          <w:tcPr>
            <w:tcW w:w="1320" w:type="dxa"/>
            <w:tcBorders>
              <w:top w:val="single" w:sz="4" w:space="0" w:color="auto"/>
              <w:left w:val="nil"/>
              <w:bottom w:val="single" w:sz="4" w:space="0" w:color="A6A6A6"/>
            </w:tcBorders>
            <w:shd w:val="clear" w:color="auto" w:fill="auto"/>
          </w:tcPr>
          <w:p w:rsidR="00A1501C" w:rsidRPr="00F231D7" w:rsidRDefault="00A1501C" w:rsidP="00733F16">
            <w:pPr>
              <w:pStyle w:val="TableText"/>
            </w:pPr>
            <w:proofErr w:type="spellStart"/>
            <w:r w:rsidRPr="00F231D7">
              <w:t>LEo</w:t>
            </w:r>
            <w:proofErr w:type="spellEnd"/>
          </w:p>
        </w:tc>
        <w:tc>
          <w:tcPr>
            <w:tcW w:w="1339" w:type="dxa"/>
            <w:tcBorders>
              <w:top w:val="single" w:sz="4" w:space="0" w:color="auto"/>
              <w:bottom w:val="single" w:sz="4" w:space="0" w:color="A6A6A6"/>
            </w:tcBorders>
            <w:shd w:val="clear" w:color="auto" w:fill="auto"/>
          </w:tcPr>
          <w:p w:rsidR="00A1501C" w:rsidRPr="00F231D7" w:rsidRDefault="00A1501C" w:rsidP="00733F16">
            <w:pPr>
              <w:pStyle w:val="TableText"/>
              <w:tabs>
                <w:tab w:val="decimal" w:pos="573"/>
              </w:tabs>
            </w:pPr>
            <w:r w:rsidRPr="00F231D7">
              <w:t>72.49</w:t>
            </w:r>
          </w:p>
        </w:tc>
        <w:tc>
          <w:tcPr>
            <w:tcW w:w="1339" w:type="dxa"/>
            <w:tcBorders>
              <w:top w:val="single" w:sz="4" w:space="0" w:color="auto"/>
              <w:bottom w:val="single" w:sz="4" w:space="0" w:color="A6A6A6"/>
            </w:tcBorders>
            <w:shd w:val="clear" w:color="auto" w:fill="auto"/>
          </w:tcPr>
          <w:p w:rsidR="00A1501C" w:rsidRPr="00F231D7" w:rsidRDefault="00A1501C" w:rsidP="00733F16">
            <w:pPr>
              <w:pStyle w:val="TableText"/>
              <w:jc w:val="center"/>
            </w:pPr>
            <w:r w:rsidRPr="00F231D7">
              <w:t>78.21</w:t>
            </w:r>
          </w:p>
        </w:tc>
        <w:tc>
          <w:tcPr>
            <w:tcW w:w="1340" w:type="dxa"/>
            <w:tcBorders>
              <w:top w:val="single" w:sz="4" w:space="0" w:color="auto"/>
              <w:bottom w:val="single" w:sz="4" w:space="0" w:color="A6A6A6"/>
            </w:tcBorders>
            <w:shd w:val="clear" w:color="auto" w:fill="auto"/>
          </w:tcPr>
          <w:p w:rsidR="00A1501C" w:rsidRPr="00F231D7" w:rsidRDefault="00A1501C" w:rsidP="00733F16">
            <w:pPr>
              <w:pStyle w:val="TableText"/>
              <w:jc w:val="center"/>
            </w:pPr>
            <w:r w:rsidRPr="00F231D7">
              <w:t>77.56</w:t>
            </w:r>
          </w:p>
        </w:tc>
        <w:tc>
          <w:tcPr>
            <w:tcW w:w="1339" w:type="dxa"/>
            <w:tcBorders>
              <w:top w:val="single" w:sz="4" w:space="0" w:color="auto"/>
              <w:bottom w:val="single" w:sz="4" w:space="0" w:color="A6A6A6"/>
            </w:tcBorders>
            <w:shd w:val="clear" w:color="auto" w:fill="auto"/>
          </w:tcPr>
          <w:p w:rsidR="00A1501C" w:rsidRPr="00F231D7" w:rsidRDefault="00A1501C" w:rsidP="00733F16">
            <w:pPr>
              <w:pStyle w:val="TableText"/>
              <w:jc w:val="center"/>
            </w:pPr>
            <w:r w:rsidRPr="00F231D7">
              <w:t>81.86</w:t>
            </w:r>
          </w:p>
        </w:tc>
        <w:tc>
          <w:tcPr>
            <w:tcW w:w="1339" w:type="dxa"/>
            <w:tcBorders>
              <w:top w:val="single" w:sz="4" w:space="0" w:color="auto"/>
              <w:bottom w:val="single" w:sz="4" w:space="0" w:color="A6A6A6"/>
            </w:tcBorders>
            <w:shd w:val="clear" w:color="auto" w:fill="auto"/>
          </w:tcPr>
          <w:p w:rsidR="00A1501C" w:rsidRPr="00F231D7" w:rsidRDefault="00A1501C" w:rsidP="00733F16">
            <w:pPr>
              <w:pStyle w:val="TableText"/>
              <w:jc w:val="center"/>
            </w:pPr>
            <w:r w:rsidRPr="00F231D7">
              <w:t>78.61</w:t>
            </w:r>
          </w:p>
        </w:tc>
        <w:tc>
          <w:tcPr>
            <w:tcW w:w="1340" w:type="dxa"/>
            <w:tcBorders>
              <w:top w:val="single" w:sz="4" w:space="0" w:color="auto"/>
              <w:bottom w:val="single" w:sz="4" w:space="0" w:color="A6A6A6"/>
              <w:right w:val="nil"/>
            </w:tcBorders>
            <w:shd w:val="clear" w:color="auto" w:fill="auto"/>
          </w:tcPr>
          <w:p w:rsidR="00A1501C" w:rsidRPr="00F231D7" w:rsidRDefault="00A1501C" w:rsidP="00733F16">
            <w:pPr>
              <w:pStyle w:val="TableText"/>
              <w:jc w:val="center"/>
            </w:pPr>
            <w:r w:rsidRPr="00F231D7">
              <w:t>82.66</w:t>
            </w:r>
          </w:p>
        </w:tc>
      </w:tr>
      <w:tr w:rsidR="00A1501C" w:rsidTr="000E5D47">
        <w:trPr>
          <w:cantSplit/>
        </w:trPr>
        <w:tc>
          <w:tcPr>
            <w:tcW w:w="1320" w:type="dxa"/>
            <w:tcBorders>
              <w:top w:val="single" w:sz="4" w:space="0" w:color="A6A6A6"/>
              <w:left w:val="nil"/>
              <w:bottom w:val="single" w:sz="4" w:space="0" w:color="A6A6A6"/>
            </w:tcBorders>
            <w:shd w:val="clear" w:color="auto" w:fill="auto"/>
          </w:tcPr>
          <w:p w:rsidR="00A1501C" w:rsidRPr="00F231D7" w:rsidRDefault="00A1501C" w:rsidP="00733F16">
            <w:pPr>
              <w:pStyle w:val="TableText"/>
            </w:pPr>
            <w:proofErr w:type="spellStart"/>
            <w:r w:rsidRPr="00F231D7">
              <w:t>HEo</w:t>
            </w:r>
            <w:proofErr w:type="spellEnd"/>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tabs>
                <w:tab w:val="decimal" w:pos="573"/>
              </w:tabs>
            </w:pPr>
            <w:r w:rsidRPr="00F231D7">
              <w:t>63.27</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rsidRPr="00F231D7">
              <w:t>67.18</w:t>
            </w:r>
          </w:p>
        </w:tc>
        <w:tc>
          <w:tcPr>
            <w:tcW w:w="1340"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rsidRPr="00F231D7">
              <w:t>67.12</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rsidRPr="00F231D7">
              <w:t>70.02</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rsidRPr="00F231D7">
              <w:t>68.19</w:t>
            </w:r>
          </w:p>
        </w:tc>
        <w:tc>
          <w:tcPr>
            <w:tcW w:w="1340" w:type="dxa"/>
            <w:tcBorders>
              <w:top w:val="single" w:sz="4" w:space="0" w:color="A6A6A6"/>
              <w:bottom w:val="single" w:sz="4" w:space="0" w:color="A6A6A6"/>
              <w:right w:val="nil"/>
            </w:tcBorders>
            <w:shd w:val="clear" w:color="auto" w:fill="auto"/>
          </w:tcPr>
          <w:p w:rsidR="00A1501C" w:rsidRPr="00F231D7" w:rsidRDefault="00A1501C" w:rsidP="00733F16">
            <w:pPr>
              <w:pStyle w:val="TableText"/>
              <w:jc w:val="center"/>
            </w:pPr>
            <w:r w:rsidRPr="00F231D7">
              <w:t>70.48</w:t>
            </w:r>
          </w:p>
        </w:tc>
      </w:tr>
      <w:tr w:rsidR="00A1501C" w:rsidTr="000E5D47">
        <w:trPr>
          <w:cantSplit/>
        </w:trPr>
        <w:tc>
          <w:tcPr>
            <w:tcW w:w="1320" w:type="dxa"/>
            <w:tcBorders>
              <w:top w:val="single" w:sz="4" w:space="0" w:color="A6A6A6"/>
              <w:left w:val="nil"/>
              <w:bottom w:val="single" w:sz="4" w:space="0" w:color="A6A6A6"/>
            </w:tcBorders>
            <w:shd w:val="clear" w:color="auto" w:fill="auto"/>
          </w:tcPr>
          <w:p w:rsidR="00A1501C" w:rsidRPr="00F231D7" w:rsidRDefault="00A1501C" w:rsidP="00733F16">
            <w:pPr>
              <w:pStyle w:val="TableText"/>
            </w:pPr>
            <w:r w:rsidRPr="00F231D7">
              <w:t>Difference</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tabs>
                <w:tab w:val="decimal" w:pos="573"/>
              </w:tabs>
            </w:pPr>
            <w:r w:rsidRPr="00F231D7">
              <w:t>9.22</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rsidRPr="00F231D7">
              <w:t>11.03</w:t>
            </w:r>
          </w:p>
        </w:tc>
        <w:tc>
          <w:tcPr>
            <w:tcW w:w="1340"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rsidRPr="00F231D7">
              <w:t>10.04</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rsidRPr="00F231D7">
              <w:t>11.84</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rsidRPr="00F231D7">
              <w:t>10.42</w:t>
            </w:r>
          </w:p>
        </w:tc>
        <w:tc>
          <w:tcPr>
            <w:tcW w:w="1340" w:type="dxa"/>
            <w:tcBorders>
              <w:top w:val="single" w:sz="4" w:space="0" w:color="A6A6A6"/>
              <w:bottom w:val="single" w:sz="4" w:space="0" w:color="A6A6A6"/>
              <w:right w:val="nil"/>
            </w:tcBorders>
            <w:shd w:val="clear" w:color="auto" w:fill="auto"/>
          </w:tcPr>
          <w:p w:rsidR="00A1501C" w:rsidRPr="00F231D7" w:rsidRDefault="00A1501C" w:rsidP="00733F16">
            <w:pPr>
              <w:pStyle w:val="TableText"/>
              <w:jc w:val="center"/>
            </w:pPr>
            <w:r w:rsidRPr="00F231D7">
              <w:t>12.18</w:t>
            </w:r>
          </w:p>
        </w:tc>
      </w:tr>
      <w:tr w:rsidR="00A1501C" w:rsidTr="000E5D47">
        <w:trPr>
          <w:cantSplit/>
        </w:trPr>
        <w:tc>
          <w:tcPr>
            <w:tcW w:w="1320" w:type="dxa"/>
            <w:tcBorders>
              <w:top w:val="single" w:sz="4" w:space="0" w:color="A6A6A6"/>
              <w:left w:val="nil"/>
              <w:bottom w:val="single" w:sz="4" w:space="0" w:color="A6A6A6"/>
            </w:tcBorders>
            <w:shd w:val="clear" w:color="auto" w:fill="auto"/>
          </w:tcPr>
          <w:p w:rsidR="00A1501C" w:rsidRPr="00F231D7" w:rsidRDefault="00A1501C" w:rsidP="00733F16">
            <w:pPr>
              <w:pStyle w:val="TableText"/>
            </w:pPr>
            <w:r w:rsidRPr="00F231D7">
              <w:t>Ratio (%)</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tabs>
                <w:tab w:val="decimal" w:pos="573"/>
              </w:tabs>
            </w:pPr>
            <w:r w:rsidRPr="00F231D7">
              <w:t>87.28</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rsidRPr="00F231D7">
              <w:t>85.90</w:t>
            </w:r>
          </w:p>
        </w:tc>
        <w:tc>
          <w:tcPr>
            <w:tcW w:w="1340"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rsidRPr="00F231D7">
              <w:t>86.54</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rsidRPr="00F231D7">
              <w:t>85.54</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rsidRPr="00F231D7">
              <w:t>86.74</w:t>
            </w:r>
          </w:p>
        </w:tc>
        <w:tc>
          <w:tcPr>
            <w:tcW w:w="1340" w:type="dxa"/>
            <w:tcBorders>
              <w:top w:val="single" w:sz="4" w:space="0" w:color="A6A6A6"/>
              <w:bottom w:val="single" w:sz="4" w:space="0" w:color="A6A6A6"/>
              <w:right w:val="nil"/>
            </w:tcBorders>
            <w:shd w:val="clear" w:color="auto" w:fill="auto"/>
          </w:tcPr>
          <w:p w:rsidR="00A1501C" w:rsidRPr="00F231D7" w:rsidRDefault="00A1501C" w:rsidP="00733F16">
            <w:pPr>
              <w:pStyle w:val="TableText"/>
              <w:jc w:val="center"/>
            </w:pPr>
            <w:r w:rsidRPr="00F231D7">
              <w:t>85.26</w:t>
            </w:r>
          </w:p>
        </w:tc>
      </w:tr>
      <w:tr w:rsidR="00A1501C" w:rsidTr="000E5D47">
        <w:trPr>
          <w:cantSplit/>
        </w:trPr>
        <w:tc>
          <w:tcPr>
            <w:tcW w:w="1320" w:type="dxa"/>
            <w:tcBorders>
              <w:top w:val="single" w:sz="4" w:space="0" w:color="A6A6A6"/>
              <w:left w:val="nil"/>
              <w:bottom w:val="single" w:sz="4" w:space="0" w:color="A6A6A6"/>
            </w:tcBorders>
            <w:shd w:val="clear" w:color="auto" w:fill="auto"/>
          </w:tcPr>
          <w:p w:rsidR="00A1501C" w:rsidRPr="00F231D7" w:rsidRDefault="00A1501C" w:rsidP="00733F16">
            <w:pPr>
              <w:pStyle w:val="TableText"/>
              <w:rPr>
                <w:vertAlign w:val="subscript"/>
              </w:rPr>
            </w:pPr>
            <w:r w:rsidRPr="00F231D7">
              <w:t>C</w:t>
            </w:r>
            <w:r w:rsidRPr="00F231D7">
              <w:rPr>
                <w:vertAlign w:val="subscript"/>
              </w:rPr>
              <w:t>abs 1990</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t>–</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t>–</w:t>
            </w:r>
          </w:p>
        </w:tc>
        <w:tc>
          <w:tcPr>
            <w:tcW w:w="1340"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t>-</w:t>
            </w:r>
            <w:r w:rsidRPr="00F231D7">
              <w:t>0.82 y</w:t>
            </w:r>
            <w:r>
              <w:t>ea</w:t>
            </w:r>
            <w:r w:rsidRPr="00F231D7">
              <w:t>rs</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t>-</w:t>
            </w:r>
            <w:r w:rsidRPr="00F231D7">
              <w:t>0.81 y</w:t>
            </w:r>
            <w:r>
              <w:t>ea</w:t>
            </w:r>
            <w:r w:rsidRPr="00F231D7">
              <w:t>rs</w:t>
            </w:r>
          </w:p>
        </w:tc>
        <w:tc>
          <w:tcPr>
            <w:tcW w:w="1339" w:type="dxa"/>
            <w:tcBorders>
              <w:top w:val="single" w:sz="4" w:space="0" w:color="A6A6A6"/>
              <w:bottom w:val="single" w:sz="4" w:space="0" w:color="A6A6A6"/>
            </w:tcBorders>
            <w:shd w:val="clear" w:color="auto" w:fill="auto"/>
          </w:tcPr>
          <w:p w:rsidR="00A1501C" w:rsidRPr="00F231D7" w:rsidRDefault="00A1501C" w:rsidP="00733F16">
            <w:pPr>
              <w:pStyle w:val="TableText"/>
              <w:jc w:val="center"/>
            </w:pPr>
            <w:r>
              <w:t>-</w:t>
            </w:r>
            <w:r w:rsidRPr="00F231D7">
              <w:t>1.20 y</w:t>
            </w:r>
            <w:r>
              <w:t>ea</w:t>
            </w:r>
            <w:r w:rsidRPr="00F231D7">
              <w:t>rs</w:t>
            </w:r>
          </w:p>
        </w:tc>
        <w:tc>
          <w:tcPr>
            <w:tcW w:w="1340" w:type="dxa"/>
            <w:tcBorders>
              <w:top w:val="single" w:sz="4" w:space="0" w:color="A6A6A6"/>
              <w:bottom w:val="single" w:sz="4" w:space="0" w:color="A6A6A6"/>
              <w:right w:val="nil"/>
            </w:tcBorders>
            <w:shd w:val="clear" w:color="auto" w:fill="auto"/>
          </w:tcPr>
          <w:p w:rsidR="00A1501C" w:rsidRPr="00F231D7" w:rsidRDefault="00A1501C" w:rsidP="00733F16">
            <w:pPr>
              <w:pStyle w:val="TableText"/>
              <w:jc w:val="center"/>
            </w:pPr>
            <w:r>
              <w:t>-</w:t>
            </w:r>
            <w:r w:rsidRPr="00F231D7">
              <w:t>1.15 y</w:t>
            </w:r>
            <w:r>
              <w:t>ea</w:t>
            </w:r>
            <w:r w:rsidRPr="00F231D7">
              <w:t>rs</w:t>
            </w:r>
          </w:p>
        </w:tc>
      </w:tr>
      <w:tr w:rsidR="00A1501C" w:rsidTr="000E5D47">
        <w:trPr>
          <w:cantSplit/>
        </w:trPr>
        <w:tc>
          <w:tcPr>
            <w:tcW w:w="1320" w:type="dxa"/>
            <w:tcBorders>
              <w:top w:val="single" w:sz="4" w:space="0" w:color="A6A6A6"/>
              <w:left w:val="nil"/>
              <w:bottom w:val="single" w:sz="4" w:space="0" w:color="auto"/>
            </w:tcBorders>
            <w:shd w:val="clear" w:color="auto" w:fill="auto"/>
          </w:tcPr>
          <w:p w:rsidR="00A1501C" w:rsidRPr="00F231D7" w:rsidRDefault="00A1501C" w:rsidP="00733F16">
            <w:pPr>
              <w:pStyle w:val="TableText"/>
              <w:rPr>
                <w:vertAlign w:val="subscript"/>
              </w:rPr>
            </w:pPr>
            <w:proofErr w:type="spellStart"/>
            <w:r w:rsidRPr="00F231D7">
              <w:t>C</w:t>
            </w:r>
            <w:r w:rsidRPr="00F231D7">
              <w:rPr>
                <w:vertAlign w:val="subscript"/>
              </w:rPr>
              <w:t>rel</w:t>
            </w:r>
            <w:proofErr w:type="spellEnd"/>
            <w:r w:rsidRPr="00F231D7">
              <w:rPr>
                <w:vertAlign w:val="subscript"/>
              </w:rPr>
              <w:t xml:space="preserve"> 1990</w:t>
            </w:r>
          </w:p>
        </w:tc>
        <w:tc>
          <w:tcPr>
            <w:tcW w:w="1339" w:type="dxa"/>
            <w:tcBorders>
              <w:top w:val="single" w:sz="4" w:space="0" w:color="A6A6A6"/>
              <w:bottom w:val="single" w:sz="4" w:space="0" w:color="auto"/>
            </w:tcBorders>
            <w:shd w:val="clear" w:color="auto" w:fill="auto"/>
          </w:tcPr>
          <w:p w:rsidR="00A1501C" w:rsidRPr="00F231D7" w:rsidRDefault="00A1501C" w:rsidP="00733F16">
            <w:pPr>
              <w:pStyle w:val="TableText"/>
              <w:jc w:val="center"/>
            </w:pPr>
            <w:r>
              <w:t>–</w:t>
            </w:r>
          </w:p>
        </w:tc>
        <w:tc>
          <w:tcPr>
            <w:tcW w:w="1339" w:type="dxa"/>
            <w:tcBorders>
              <w:top w:val="single" w:sz="4" w:space="0" w:color="A6A6A6"/>
              <w:bottom w:val="single" w:sz="4" w:space="0" w:color="auto"/>
            </w:tcBorders>
            <w:shd w:val="clear" w:color="auto" w:fill="auto"/>
          </w:tcPr>
          <w:p w:rsidR="00A1501C" w:rsidRPr="00F231D7" w:rsidRDefault="00A1501C" w:rsidP="00733F16">
            <w:pPr>
              <w:pStyle w:val="TableText"/>
              <w:jc w:val="center"/>
            </w:pPr>
            <w:r>
              <w:t>–</w:t>
            </w:r>
          </w:p>
        </w:tc>
        <w:tc>
          <w:tcPr>
            <w:tcW w:w="1340" w:type="dxa"/>
            <w:tcBorders>
              <w:top w:val="single" w:sz="4" w:space="0" w:color="A6A6A6"/>
              <w:bottom w:val="single" w:sz="4" w:space="0" w:color="auto"/>
            </w:tcBorders>
            <w:shd w:val="clear" w:color="auto" w:fill="auto"/>
          </w:tcPr>
          <w:p w:rsidR="00A1501C" w:rsidRPr="00F231D7" w:rsidRDefault="00A1501C" w:rsidP="00733F16">
            <w:pPr>
              <w:pStyle w:val="TableText"/>
              <w:jc w:val="center"/>
            </w:pPr>
            <w:r w:rsidRPr="00F231D7">
              <w:t>–0.85%</w:t>
            </w:r>
          </w:p>
        </w:tc>
        <w:tc>
          <w:tcPr>
            <w:tcW w:w="1339" w:type="dxa"/>
            <w:tcBorders>
              <w:top w:val="single" w:sz="4" w:space="0" w:color="A6A6A6"/>
              <w:bottom w:val="single" w:sz="4" w:space="0" w:color="auto"/>
            </w:tcBorders>
            <w:shd w:val="clear" w:color="auto" w:fill="auto"/>
          </w:tcPr>
          <w:p w:rsidR="00A1501C" w:rsidRPr="00F231D7" w:rsidRDefault="00A1501C" w:rsidP="00733F16">
            <w:pPr>
              <w:pStyle w:val="TableText"/>
              <w:jc w:val="center"/>
            </w:pPr>
            <w:r w:rsidRPr="00F231D7">
              <w:t>–0.42%</w:t>
            </w:r>
          </w:p>
        </w:tc>
        <w:tc>
          <w:tcPr>
            <w:tcW w:w="1339" w:type="dxa"/>
            <w:tcBorders>
              <w:top w:val="single" w:sz="4" w:space="0" w:color="A6A6A6"/>
              <w:bottom w:val="single" w:sz="4" w:space="0" w:color="auto"/>
            </w:tcBorders>
            <w:shd w:val="clear" w:color="auto" w:fill="auto"/>
          </w:tcPr>
          <w:p w:rsidR="00A1501C" w:rsidRPr="00F231D7" w:rsidRDefault="00A1501C" w:rsidP="00733F16">
            <w:pPr>
              <w:pStyle w:val="TableText"/>
              <w:jc w:val="center"/>
            </w:pPr>
            <w:r w:rsidRPr="00F231D7">
              <w:t>–0.62%</w:t>
            </w:r>
          </w:p>
        </w:tc>
        <w:tc>
          <w:tcPr>
            <w:tcW w:w="1340" w:type="dxa"/>
            <w:tcBorders>
              <w:top w:val="single" w:sz="4" w:space="0" w:color="A6A6A6"/>
              <w:bottom w:val="single" w:sz="4" w:space="0" w:color="auto"/>
              <w:right w:val="nil"/>
            </w:tcBorders>
            <w:shd w:val="clear" w:color="auto" w:fill="auto"/>
          </w:tcPr>
          <w:p w:rsidR="00A1501C" w:rsidRPr="00F231D7" w:rsidRDefault="00A1501C" w:rsidP="00733F16">
            <w:pPr>
              <w:pStyle w:val="TableText"/>
              <w:jc w:val="center"/>
            </w:pPr>
            <w:r w:rsidRPr="00F231D7">
              <w:t>–0.75%</w:t>
            </w:r>
          </w:p>
        </w:tc>
      </w:tr>
    </w:tbl>
    <w:p w:rsidR="00A1501C" w:rsidRDefault="00A1501C" w:rsidP="00A1501C">
      <w:pPr>
        <w:pStyle w:val="Note"/>
        <w:ind w:left="0" w:right="0" w:firstLine="0"/>
      </w:pPr>
      <w:r>
        <w:t xml:space="preserve">Key: </w:t>
      </w:r>
      <w:proofErr w:type="spellStart"/>
      <w:r>
        <w:t>LEo</w:t>
      </w:r>
      <w:proofErr w:type="spellEnd"/>
      <w:r>
        <w:t xml:space="preserve"> = life expectancy at birth; </w:t>
      </w:r>
      <w:proofErr w:type="spellStart"/>
      <w:r>
        <w:t>HEo</w:t>
      </w:r>
      <w:proofErr w:type="spellEnd"/>
      <w:r>
        <w:t xml:space="preserve"> = health expectancy at birth; C</w:t>
      </w:r>
      <w:r w:rsidRPr="00BD302C">
        <w:rPr>
          <w:vertAlign w:val="subscript"/>
        </w:rPr>
        <w:t>abs</w:t>
      </w:r>
      <w:r>
        <w:t xml:space="preserve"> = absolute compression; </w:t>
      </w:r>
      <w:proofErr w:type="spellStart"/>
      <w:r>
        <w:t>C</w:t>
      </w:r>
      <w:r w:rsidRPr="00BD302C">
        <w:rPr>
          <w:vertAlign w:val="subscript"/>
        </w:rPr>
        <w:t>rel</w:t>
      </w:r>
      <w:proofErr w:type="spellEnd"/>
      <w:r>
        <w:t xml:space="preserve"> = relative compression; negative compression = expansion.</w:t>
      </w:r>
    </w:p>
    <w:p w:rsidR="00A1501C" w:rsidRPr="00E31CBE" w:rsidRDefault="00A1501C" w:rsidP="00A1501C">
      <w:pPr>
        <w:pStyle w:val="Note"/>
        <w:ind w:left="0" w:right="0" w:firstLine="0"/>
        <w:rPr>
          <w:rFonts w:cs="Arial"/>
          <w:szCs w:val="18"/>
        </w:rPr>
      </w:pPr>
      <w:r>
        <w:t>Notes: (1) The GBD estimates for life expectancy shown above differ slightly from those produced by Statistics New Zealand because of small differences in data and methods. These estimates are used in preference to the Statistics New Zealand estimates as the former are directly comparable with the estimates for the peer group countries.</w:t>
      </w:r>
      <w:r>
        <w:rPr>
          <w:rFonts w:cs="Arial"/>
          <w:szCs w:val="18"/>
        </w:rPr>
        <w:t xml:space="preserve"> (2)</w:t>
      </w:r>
      <w:r w:rsidR="0063727E">
        <w:rPr>
          <w:rFonts w:cs="Arial"/>
          <w:szCs w:val="18"/>
        </w:rPr>
        <w:t> </w:t>
      </w:r>
      <w:r w:rsidRPr="00E31CBE">
        <w:rPr>
          <w:rFonts w:cs="Arial"/>
          <w:szCs w:val="18"/>
        </w:rPr>
        <w:t>Confidence intervals not shown for clarity</w:t>
      </w:r>
      <w:r>
        <w:rPr>
          <w:rFonts w:cs="Arial"/>
          <w:szCs w:val="18"/>
        </w:rPr>
        <w:t xml:space="preserve"> of presentation</w:t>
      </w:r>
      <w:r w:rsidRPr="00E31CBE">
        <w:rPr>
          <w:rFonts w:cs="Arial"/>
          <w:szCs w:val="18"/>
        </w:rPr>
        <w:t>.</w:t>
      </w:r>
    </w:p>
    <w:p w:rsidR="00A1501C" w:rsidRDefault="00A1501C" w:rsidP="0063727E"/>
    <w:p w:rsidR="00A1501C" w:rsidRDefault="00A1501C" w:rsidP="0063727E">
      <w:r>
        <w:t>These findings mirror those derived from an analysis of independent life expectancy (life expectancy free of disability requiring assistance) that the Ministry of Health and Statistics New Zealand have previously conducted (see Appendix 1</w:t>
      </w:r>
      <w:r w:rsidR="001A04D4">
        <w:t xml:space="preserve"> for reference</w:t>
      </w:r>
      <w:r>
        <w:t>). While the two health expectancy measures – independent life expectancy and health-adjusted life expectancy – are not numerically equivalent, both tell a similar story of absolute expansion of morbidity over the past quarter century.</w:t>
      </w:r>
    </w:p>
    <w:p w:rsidR="0063727E" w:rsidRDefault="0063727E" w:rsidP="0063727E"/>
    <w:p w:rsidR="00CA44CD" w:rsidRPr="005440A5" w:rsidRDefault="00CA44CD" w:rsidP="00135BAE">
      <w:pPr>
        <w:pStyle w:val="Heading1"/>
      </w:pPr>
      <w:bookmarkStart w:id="211" w:name="_Toc441468890"/>
      <w:bookmarkStart w:id="212" w:name="_Toc442416692"/>
      <w:bookmarkStart w:id="213" w:name="_Ref454888817"/>
      <w:bookmarkStart w:id="214" w:name="_Toc456270698"/>
      <w:r>
        <w:lastRenderedPageBreak/>
        <w:t>International comparisons</w:t>
      </w:r>
      <w:bookmarkEnd w:id="211"/>
      <w:bookmarkEnd w:id="212"/>
      <w:bookmarkEnd w:id="213"/>
      <w:bookmarkEnd w:id="214"/>
    </w:p>
    <w:p w:rsidR="00CA44CD" w:rsidRDefault="00CA44CD" w:rsidP="0063727E">
      <w:r>
        <w:t>Based on the criteria noted in the</w:t>
      </w:r>
      <w:r w:rsidR="001A04D4">
        <w:t xml:space="preserve"> NZBD Methods section of Appendix 2</w:t>
      </w:r>
      <w:r>
        <w:t xml:space="preserve">, the following peer group of 15 countries was identified: </w:t>
      </w:r>
      <w:r w:rsidRPr="001F6E5D">
        <w:t>Australia</w:t>
      </w:r>
      <w:r>
        <w:t xml:space="preserve"> (AUS)</w:t>
      </w:r>
      <w:r w:rsidRPr="001F6E5D">
        <w:t>, Canada</w:t>
      </w:r>
      <w:r>
        <w:t xml:space="preserve"> (CAN)</w:t>
      </w:r>
      <w:r w:rsidRPr="001F6E5D">
        <w:t>, Denmark</w:t>
      </w:r>
      <w:r>
        <w:t xml:space="preserve"> (DEN)</w:t>
      </w:r>
      <w:r w:rsidRPr="001F6E5D">
        <w:t>, Finland</w:t>
      </w:r>
      <w:r>
        <w:t xml:space="preserve"> (FIN)</w:t>
      </w:r>
      <w:r w:rsidRPr="001F6E5D">
        <w:t>, France</w:t>
      </w:r>
      <w:r>
        <w:t xml:space="preserve"> (FRA)</w:t>
      </w:r>
      <w:r w:rsidRPr="001F6E5D">
        <w:t>, Germany</w:t>
      </w:r>
      <w:r>
        <w:t xml:space="preserve"> (GER)</w:t>
      </w:r>
      <w:r w:rsidRPr="001F6E5D">
        <w:t>, Ireland</w:t>
      </w:r>
      <w:r>
        <w:t xml:space="preserve"> (IRE)</w:t>
      </w:r>
      <w:r w:rsidRPr="001F6E5D">
        <w:t>, Israel</w:t>
      </w:r>
      <w:r>
        <w:t xml:space="preserve"> (ISR)</w:t>
      </w:r>
      <w:r w:rsidRPr="001F6E5D">
        <w:t>, Netherlands</w:t>
      </w:r>
      <w:r>
        <w:t xml:space="preserve"> (NET)</w:t>
      </w:r>
      <w:r w:rsidRPr="001F6E5D">
        <w:t xml:space="preserve">, </w:t>
      </w:r>
      <w:r>
        <w:t xml:space="preserve">New Zealand (NZL), </w:t>
      </w:r>
      <w:r w:rsidRPr="001F6E5D">
        <w:t>Norway</w:t>
      </w:r>
      <w:r>
        <w:t xml:space="preserve"> (NOR)</w:t>
      </w:r>
      <w:r w:rsidRPr="001F6E5D">
        <w:t>, Sweden</w:t>
      </w:r>
      <w:r>
        <w:t xml:space="preserve"> (SWE)</w:t>
      </w:r>
      <w:r w:rsidRPr="001F6E5D">
        <w:t>, Switze</w:t>
      </w:r>
      <w:r>
        <w:t xml:space="preserve">rland (SWI), the United Kingdom (UK) and the United States of America (US). The </w:t>
      </w:r>
      <w:proofErr w:type="spellStart"/>
      <w:r>
        <w:t>unweighted</w:t>
      </w:r>
      <w:proofErr w:type="spellEnd"/>
      <w:r>
        <w:t xml:space="preserve"> peer group average (PGA) was also calculated.</w:t>
      </w:r>
    </w:p>
    <w:p w:rsidR="00CA44CD" w:rsidRDefault="00CA44CD" w:rsidP="0063727E"/>
    <w:p w:rsidR="005D5D9F" w:rsidRDefault="00CA44CD" w:rsidP="0063727E">
      <w:r>
        <w:t>For some analyses, however, the comparison is restricted to the six English-speaking countries (NZL, AUS, CAN, UK, US, IRE) as these have the most comparable data. In most cases the differences between countries are not significant at the 95% confidence level.</w:t>
      </w:r>
    </w:p>
    <w:p w:rsidR="00CA44CD" w:rsidRDefault="00CA44CD" w:rsidP="0063727E"/>
    <w:p w:rsidR="00CA44CD" w:rsidRPr="00A44CC8" w:rsidRDefault="00CA44CD" w:rsidP="0063727E">
      <w:pPr>
        <w:pStyle w:val="Heading2"/>
      </w:pPr>
      <w:bookmarkStart w:id="215" w:name="_Toc442416693"/>
      <w:bookmarkStart w:id="216" w:name="_Toc456270699"/>
      <w:r>
        <w:t>C</w:t>
      </w:r>
      <w:r w:rsidRPr="00A44CC8">
        <w:t>urrent level of health loss</w:t>
      </w:r>
      <w:bookmarkEnd w:id="215"/>
      <w:bookmarkEnd w:id="216"/>
    </w:p>
    <w:p w:rsidR="00CA44CD" w:rsidRDefault="00CA44CD" w:rsidP="0063727E">
      <w:r>
        <w:t>After adjusting for differences in population size and age structure, all of the peer group countries except the United States had similar health losses in 2013 (within 10% of the mean) (</w:t>
      </w:r>
      <w:r>
        <w:fldChar w:fldCharType="begin"/>
      </w:r>
      <w:r>
        <w:instrText xml:space="preserve"> REF _Ref453933239 \h </w:instrText>
      </w:r>
      <w:r>
        <w:fldChar w:fldCharType="separate"/>
      </w:r>
      <w:r w:rsidR="006C545C">
        <w:t xml:space="preserve">Figure </w:t>
      </w:r>
      <w:r w:rsidR="006C545C">
        <w:rPr>
          <w:noProof/>
        </w:rPr>
        <w:t>23</w:t>
      </w:r>
      <w:r>
        <w:fldChar w:fldCharType="end"/>
      </w:r>
      <w:r>
        <w:t>). The United States is a clear outlier, with an age-standardised DALY rate almost 20% higher than the group average.</w:t>
      </w:r>
    </w:p>
    <w:p w:rsidR="00CA44CD" w:rsidRDefault="00CA44CD" w:rsidP="0063727E"/>
    <w:p w:rsidR="00CA44CD" w:rsidRDefault="00CA44CD" w:rsidP="0063727E">
      <w:pPr>
        <w:pStyle w:val="Figure"/>
      </w:pPr>
      <w:bookmarkStart w:id="217" w:name="_Ref441313808"/>
      <w:bookmarkStart w:id="218" w:name="_Ref453933239"/>
      <w:bookmarkStart w:id="219" w:name="_Toc441576079"/>
      <w:bookmarkStart w:id="220" w:name="_Toc442416810"/>
      <w:bookmarkStart w:id="221" w:name="_Toc454078651"/>
      <w:bookmarkStart w:id="222" w:name="_Toc456613636"/>
      <w:r>
        <w:t xml:space="preserve">Figure </w:t>
      </w:r>
      <w:r w:rsidR="00F456CC">
        <w:fldChar w:fldCharType="begin"/>
      </w:r>
      <w:r w:rsidR="00F456CC">
        <w:instrText xml:space="preserve"> SEQ Figure \* ARABIC </w:instrText>
      </w:r>
      <w:r w:rsidR="00F456CC">
        <w:fldChar w:fldCharType="separate"/>
      </w:r>
      <w:r w:rsidR="006C545C">
        <w:rPr>
          <w:noProof/>
        </w:rPr>
        <w:t>23</w:t>
      </w:r>
      <w:r w:rsidR="00F456CC">
        <w:rPr>
          <w:noProof/>
        </w:rPr>
        <w:fldChar w:fldCharType="end"/>
      </w:r>
      <w:bookmarkEnd w:id="217"/>
      <w:bookmarkEnd w:id="218"/>
      <w:r>
        <w:t xml:space="preserve">: </w:t>
      </w:r>
      <w:r w:rsidRPr="00D72203">
        <w:t>Health loss</w:t>
      </w:r>
      <w:r>
        <w:t>,</w:t>
      </w:r>
      <w:r w:rsidRPr="00D72203">
        <w:t xml:space="preserve"> by peer group country (all-cause DALY </w:t>
      </w:r>
      <w:r>
        <w:t>age-standardised rate</w:t>
      </w:r>
      <w:r w:rsidRPr="00D72203">
        <w:t>), 2013</w:t>
      </w:r>
      <w:bookmarkEnd w:id="219"/>
      <w:bookmarkEnd w:id="220"/>
      <w:bookmarkEnd w:id="221"/>
      <w:bookmarkEnd w:id="222"/>
    </w:p>
    <w:p w:rsidR="00CA44CD" w:rsidRDefault="005122BD" w:rsidP="00272311">
      <w:r>
        <w:rPr>
          <w:noProof/>
          <w:lang w:eastAsia="en-NZ"/>
        </w:rPr>
        <w:drawing>
          <wp:inline distT="0" distB="0" distL="0" distR="0">
            <wp:extent cx="3948430" cy="3308350"/>
            <wp:effectExtent l="0" t="0" r="0" b="6350"/>
            <wp:docPr id="790" name="Picture 1" descr="Figure 23: Health loss, by peer group country (all-cause DALY age-standardised rat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3: Health loss, by peer group country (all-cause DALY age-standardised rate), 2013"/>
                    <pic:cNvPicPr>
                      <a:picLocks noChangeAspect="1" noChangeArrowheads="1"/>
                    </pic:cNvPicPr>
                  </pic:nvPicPr>
                  <pic:blipFill>
                    <a:blip r:embed="rId48">
                      <a:extLst>
                        <a:ext uri="{28A0092B-C50C-407E-A947-70E740481C1C}">
                          <a14:useLocalDpi xmlns:a14="http://schemas.microsoft.com/office/drawing/2010/main" val="0"/>
                        </a:ext>
                      </a:extLst>
                    </a:blip>
                    <a:srcRect r="27136"/>
                    <a:stretch>
                      <a:fillRect/>
                    </a:stretch>
                  </pic:blipFill>
                  <pic:spPr bwMode="auto">
                    <a:xfrm>
                      <a:off x="0" y="0"/>
                      <a:ext cx="3948430" cy="3308350"/>
                    </a:xfrm>
                    <a:prstGeom prst="rect">
                      <a:avLst/>
                    </a:prstGeom>
                    <a:noFill/>
                    <a:ln>
                      <a:noFill/>
                    </a:ln>
                  </pic:spPr>
                </pic:pic>
              </a:graphicData>
            </a:graphic>
          </wp:inline>
        </w:drawing>
      </w:r>
    </w:p>
    <w:p w:rsidR="00CA44CD" w:rsidRDefault="00CA44CD" w:rsidP="0063727E"/>
    <w:p w:rsidR="00CA44CD" w:rsidRDefault="00CA44CD" w:rsidP="0063727E">
      <w:pPr>
        <w:pStyle w:val="Heading2"/>
      </w:pPr>
      <w:bookmarkStart w:id="223" w:name="_Toc442416694"/>
      <w:bookmarkStart w:id="224" w:name="_Toc456270700"/>
      <w:r>
        <w:lastRenderedPageBreak/>
        <w:t>T</w:t>
      </w:r>
      <w:r w:rsidRPr="00A44CC8">
        <w:t>rends in health loss</w:t>
      </w:r>
      <w:bookmarkEnd w:id="223"/>
      <w:bookmarkEnd w:id="224"/>
    </w:p>
    <w:p w:rsidR="005D5D9F" w:rsidRDefault="0063727E" w:rsidP="00E14892">
      <w:pPr>
        <w:keepNext/>
        <w:keepLines/>
      </w:pPr>
      <w:r>
        <w:fldChar w:fldCharType="begin"/>
      </w:r>
      <w:r>
        <w:instrText xml:space="preserve"> REF _Ref441314297 \h </w:instrText>
      </w:r>
      <w:r>
        <w:fldChar w:fldCharType="separate"/>
      </w:r>
      <w:r w:rsidR="006C545C">
        <w:t xml:space="preserve">Figure </w:t>
      </w:r>
      <w:r w:rsidR="006C545C">
        <w:rPr>
          <w:noProof/>
        </w:rPr>
        <w:t>24</w:t>
      </w:r>
      <w:r>
        <w:fldChar w:fldCharType="end"/>
      </w:r>
      <w:r w:rsidR="00CA44CD">
        <w:t xml:space="preserve"> shows that all of the peer group countries achieved a fall in age-standardised, all</w:t>
      </w:r>
      <w:r w:rsidR="00272311">
        <w:noBreakHyphen/>
      </w:r>
      <w:r w:rsidR="00CA44CD">
        <w:t>cause DALY rate between 1900 and 2013. New Zealand experienced one of the steepest reductions (a fall of 24% in age-standardised, all-cause DALY rate from 1990–2013). Only Israel, Ireland, Finland and Germany achieved a steeper fall, although again the differences are not always statistically significant.</w:t>
      </w:r>
    </w:p>
    <w:p w:rsidR="0063727E" w:rsidRDefault="0063727E" w:rsidP="00272311">
      <w:pPr>
        <w:keepNext/>
      </w:pPr>
    </w:p>
    <w:p w:rsidR="00CA44CD" w:rsidRPr="009D2022" w:rsidRDefault="00CA44CD" w:rsidP="0063727E">
      <w:pPr>
        <w:pStyle w:val="Figure"/>
      </w:pPr>
      <w:bookmarkStart w:id="225" w:name="_Ref441314297"/>
      <w:bookmarkStart w:id="226" w:name="_Toc441576080"/>
      <w:bookmarkStart w:id="227" w:name="_Toc442416811"/>
      <w:bookmarkStart w:id="228" w:name="_Toc454078652"/>
      <w:bookmarkStart w:id="229" w:name="_Toc456613637"/>
      <w:r>
        <w:t xml:space="preserve">Figure </w:t>
      </w:r>
      <w:r w:rsidR="00F456CC">
        <w:fldChar w:fldCharType="begin"/>
      </w:r>
      <w:r w:rsidR="00F456CC">
        <w:instrText xml:space="preserve"> SEQ Figure \* ARABIC </w:instrText>
      </w:r>
      <w:r w:rsidR="00F456CC">
        <w:fldChar w:fldCharType="separate"/>
      </w:r>
      <w:r w:rsidR="006C545C">
        <w:rPr>
          <w:noProof/>
        </w:rPr>
        <w:t>24</w:t>
      </w:r>
      <w:r w:rsidR="00F456CC">
        <w:rPr>
          <w:noProof/>
        </w:rPr>
        <w:fldChar w:fldCharType="end"/>
      </w:r>
      <w:bookmarkEnd w:id="225"/>
      <w:r>
        <w:t xml:space="preserve">: </w:t>
      </w:r>
      <w:r w:rsidRPr="009D2022">
        <w:t>Percentage change in age</w:t>
      </w:r>
      <w:r>
        <w:t>-</w:t>
      </w:r>
      <w:r w:rsidRPr="009D2022">
        <w:t>standardised</w:t>
      </w:r>
      <w:r>
        <w:t>,</w:t>
      </w:r>
      <w:r w:rsidRPr="009D2022">
        <w:t xml:space="preserve"> all-cause DALY rate</w:t>
      </w:r>
      <w:r>
        <w:t>,</w:t>
      </w:r>
      <w:r w:rsidRPr="009D2022">
        <w:t xml:space="preserve"> by peer group country, 1990</w:t>
      </w:r>
      <w:r>
        <w:t>–</w:t>
      </w:r>
      <w:r w:rsidRPr="009D2022">
        <w:t>2013</w:t>
      </w:r>
      <w:bookmarkEnd w:id="226"/>
      <w:bookmarkEnd w:id="227"/>
      <w:bookmarkEnd w:id="228"/>
      <w:bookmarkEnd w:id="229"/>
    </w:p>
    <w:p w:rsidR="00CA44CD" w:rsidRDefault="005122BD" w:rsidP="00E14892">
      <w:pPr>
        <w:keepNext/>
      </w:pPr>
      <w:r>
        <w:rPr>
          <w:noProof/>
          <w:lang w:eastAsia="en-NZ"/>
        </w:rPr>
        <w:drawing>
          <wp:inline distT="0" distB="0" distL="0" distR="0">
            <wp:extent cx="3948430" cy="3342005"/>
            <wp:effectExtent l="0" t="0" r="0" b="0"/>
            <wp:docPr id="796" name="Picture 1" descr="Figure 24: Percentage change in age-standardised, all-cause DALY rate, by peer group country, 199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4: Percentage change in age-standardised, all-cause DALY rate, by peer group country, 1990–2013"/>
                    <pic:cNvPicPr>
                      <a:picLocks noChangeAspect="1" noChangeArrowheads="1"/>
                    </pic:cNvPicPr>
                  </pic:nvPicPr>
                  <pic:blipFill>
                    <a:blip r:embed="rId49">
                      <a:extLst>
                        <a:ext uri="{28A0092B-C50C-407E-A947-70E740481C1C}">
                          <a14:useLocalDpi xmlns:a14="http://schemas.microsoft.com/office/drawing/2010/main" val="0"/>
                        </a:ext>
                      </a:extLst>
                    </a:blip>
                    <a:srcRect r="27692"/>
                    <a:stretch>
                      <a:fillRect/>
                    </a:stretch>
                  </pic:blipFill>
                  <pic:spPr bwMode="auto">
                    <a:xfrm>
                      <a:off x="0" y="0"/>
                      <a:ext cx="3948430" cy="3342005"/>
                    </a:xfrm>
                    <a:prstGeom prst="rect">
                      <a:avLst/>
                    </a:prstGeom>
                    <a:noFill/>
                    <a:ln>
                      <a:noFill/>
                    </a:ln>
                  </pic:spPr>
                </pic:pic>
              </a:graphicData>
            </a:graphic>
          </wp:inline>
        </w:drawing>
      </w:r>
    </w:p>
    <w:p w:rsidR="00CA44CD" w:rsidRDefault="00CA44CD" w:rsidP="0063727E"/>
    <w:p w:rsidR="00CA44CD" w:rsidRPr="00A44CC8" w:rsidRDefault="00CA44CD" w:rsidP="0063727E">
      <w:pPr>
        <w:pStyle w:val="Heading2"/>
      </w:pPr>
      <w:bookmarkStart w:id="230" w:name="_Toc442416695"/>
      <w:bookmarkStart w:id="231" w:name="_Toc456270701"/>
      <w:r>
        <w:lastRenderedPageBreak/>
        <w:t>Disability transition</w:t>
      </w:r>
      <w:bookmarkEnd w:id="230"/>
      <w:bookmarkEnd w:id="231"/>
    </w:p>
    <w:p w:rsidR="005D5D9F" w:rsidRDefault="00CA44CD" w:rsidP="00E14892">
      <w:pPr>
        <w:keepNext/>
        <w:keepLines/>
      </w:pPr>
      <w:r>
        <w:t xml:space="preserve">The </w:t>
      </w:r>
      <w:r w:rsidRPr="00BD302C">
        <w:t>disability transition</w:t>
      </w:r>
      <w:r>
        <w:t xml:space="preserve"> is the change in </w:t>
      </w:r>
      <w:r w:rsidRPr="00BD302C">
        <w:t>the population</w:t>
      </w:r>
      <w:r w:rsidR="005D5D9F">
        <w:t>’</w:t>
      </w:r>
      <w:r w:rsidRPr="00BD302C">
        <w:t>s experience of health loss</w:t>
      </w:r>
      <w:r>
        <w:t xml:space="preserve"> </w:t>
      </w:r>
      <w:r w:rsidRPr="00BD302C">
        <w:t>from one dominated by fatal outcomes (YLL) to one dominated by non</w:t>
      </w:r>
      <w:r>
        <w:t>-</w:t>
      </w:r>
      <w:r w:rsidRPr="00BD302C">
        <w:t>fatal outcomes (YLD).</w:t>
      </w:r>
      <w:r>
        <w:t xml:space="preserve"> A</w:t>
      </w:r>
      <w:r w:rsidRPr="00B12238">
        <w:t xml:space="preserve">ll peer group countries are well </w:t>
      </w:r>
      <w:r>
        <w:t>advanced</w:t>
      </w:r>
      <w:r w:rsidRPr="00B12238">
        <w:t xml:space="preserve"> </w:t>
      </w:r>
      <w:r>
        <w:t xml:space="preserve">along </w:t>
      </w:r>
      <w:r w:rsidRPr="00B12238">
        <w:t>the disability transition</w:t>
      </w:r>
      <w:r w:rsidR="00694CD0">
        <w:t xml:space="preserve"> (</w:t>
      </w:r>
      <w:r w:rsidR="00694CD0">
        <w:fldChar w:fldCharType="begin"/>
      </w:r>
      <w:r w:rsidR="00694CD0">
        <w:instrText xml:space="preserve"> REF _Ref456613797 \h </w:instrText>
      </w:r>
      <w:r w:rsidR="00694CD0">
        <w:fldChar w:fldCharType="separate"/>
      </w:r>
      <w:r w:rsidR="006C545C">
        <w:t xml:space="preserve">Figure </w:t>
      </w:r>
      <w:r w:rsidR="006C545C">
        <w:rPr>
          <w:noProof/>
        </w:rPr>
        <w:t>25</w:t>
      </w:r>
      <w:r w:rsidR="00694CD0">
        <w:fldChar w:fldCharType="end"/>
      </w:r>
      <w:r w:rsidR="00694CD0">
        <w:t xml:space="preserve">). </w:t>
      </w:r>
      <w:r>
        <w:t>New Zealand is keeping pace with its peers on this indicator. The furthest advanced is Switzerland, where almost two-thirds (62%) of its health loss results from non-fatal outcomes, but again the differences are not always statistically significant.</w:t>
      </w:r>
    </w:p>
    <w:p w:rsidR="0063727E" w:rsidRDefault="0063727E" w:rsidP="00D258EF">
      <w:pPr>
        <w:keepNext/>
      </w:pPr>
    </w:p>
    <w:p w:rsidR="000556AA" w:rsidRPr="005440A5" w:rsidRDefault="000556AA" w:rsidP="0063727E">
      <w:pPr>
        <w:pStyle w:val="Figure"/>
      </w:pPr>
      <w:bookmarkStart w:id="232" w:name="_Ref441315139"/>
      <w:bookmarkStart w:id="233" w:name="_Ref456613797"/>
      <w:bookmarkStart w:id="234" w:name="_Toc441576081"/>
      <w:bookmarkStart w:id="235" w:name="_Toc442416812"/>
      <w:bookmarkStart w:id="236" w:name="_Toc454078653"/>
      <w:bookmarkStart w:id="237" w:name="_Toc456613638"/>
      <w:r>
        <w:t xml:space="preserve">Figure </w:t>
      </w:r>
      <w:r w:rsidR="00F456CC">
        <w:fldChar w:fldCharType="begin"/>
      </w:r>
      <w:r w:rsidR="00F456CC">
        <w:instrText xml:space="preserve"> SEQ Figure \* ARABIC </w:instrText>
      </w:r>
      <w:r w:rsidR="00F456CC">
        <w:fldChar w:fldCharType="separate"/>
      </w:r>
      <w:r w:rsidR="006C545C">
        <w:rPr>
          <w:noProof/>
        </w:rPr>
        <w:t>25</w:t>
      </w:r>
      <w:r w:rsidR="00F456CC">
        <w:rPr>
          <w:noProof/>
        </w:rPr>
        <w:fldChar w:fldCharType="end"/>
      </w:r>
      <w:bookmarkEnd w:id="232"/>
      <w:bookmarkEnd w:id="233"/>
      <w:r>
        <w:t xml:space="preserve">: </w:t>
      </w:r>
      <w:r w:rsidRPr="005C54AE">
        <w:t xml:space="preserve">Extent of disability transition </w:t>
      </w:r>
      <w:r>
        <w:t xml:space="preserve">(YLD as % total DALYs), </w:t>
      </w:r>
      <w:r w:rsidRPr="005C54AE">
        <w:t>by peer group country, 2013</w:t>
      </w:r>
      <w:bookmarkEnd w:id="234"/>
      <w:bookmarkEnd w:id="235"/>
      <w:bookmarkEnd w:id="236"/>
      <w:bookmarkEnd w:id="237"/>
    </w:p>
    <w:p w:rsidR="000556AA" w:rsidRDefault="005122BD" w:rsidP="001C15B0">
      <w:r>
        <w:rPr>
          <w:noProof/>
          <w:lang w:eastAsia="en-NZ"/>
        </w:rPr>
        <w:drawing>
          <wp:inline distT="0" distB="0" distL="0" distR="0">
            <wp:extent cx="3948430" cy="3350260"/>
            <wp:effectExtent l="0" t="0" r="0" b="2540"/>
            <wp:docPr id="802" name="Picture 1" descr="Figure 25: Extent of disability transition (YLD as % total DALYs), by peer group countr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5: Extent of disability transition (YLD as % total DALYs), by peer group country, 2013"/>
                    <pic:cNvPicPr>
                      <a:picLocks noChangeAspect="1" noChangeArrowheads="1"/>
                    </pic:cNvPicPr>
                  </pic:nvPicPr>
                  <pic:blipFill>
                    <a:blip r:embed="rId50">
                      <a:extLst>
                        <a:ext uri="{28A0092B-C50C-407E-A947-70E740481C1C}">
                          <a14:useLocalDpi xmlns:a14="http://schemas.microsoft.com/office/drawing/2010/main" val="0"/>
                        </a:ext>
                      </a:extLst>
                    </a:blip>
                    <a:srcRect r="27969"/>
                    <a:stretch>
                      <a:fillRect/>
                    </a:stretch>
                  </pic:blipFill>
                  <pic:spPr bwMode="auto">
                    <a:xfrm>
                      <a:off x="0" y="0"/>
                      <a:ext cx="3948430" cy="3350260"/>
                    </a:xfrm>
                    <a:prstGeom prst="rect">
                      <a:avLst/>
                    </a:prstGeom>
                    <a:noFill/>
                    <a:ln>
                      <a:noFill/>
                    </a:ln>
                  </pic:spPr>
                </pic:pic>
              </a:graphicData>
            </a:graphic>
          </wp:inline>
        </w:drawing>
      </w:r>
    </w:p>
    <w:p w:rsidR="000556AA" w:rsidRDefault="000556AA" w:rsidP="00E13E34">
      <w:pPr>
        <w:pStyle w:val="Note"/>
        <w:ind w:left="0" w:right="2977" w:firstLine="0"/>
      </w:pPr>
      <w:r w:rsidRPr="00B12238">
        <w:t>Estimate for NZ</w:t>
      </w:r>
      <w:r>
        <w:t>L</w:t>
      </w:r>
      <w:r w:rsidRPr="00B12238">
        <w:t xml:space="preserve"> (54%) differs from that reported </w:t>
      </w:r>
      <w:r>
        <w:t xml:space="preserve">in </w:t>
      </w:r>
      <w:r w:rsidR="001C15B0">
        <w:fldChar w:fldCharType="begin"/>
      </w:r>
      <w:r w:rsidR="001C15B0">
        <w:instrText xml:space="preserve"> REF _Ref441129316 \h </w:instrText>
      </w:r>
      <w:r w:rsidR="001C15B0">
        <w:fldChar w:fldCharType="separate"/>
      </w:r>
      <w:r w:rsidR="006C545C">
        <w:t xml:space="preserve">Figure </w:t>
      </w:r>
      <w:r w:rsidR="006C545C">
        <w:rPr>
          <w:noProof/>
        </w:rPr>
        <w:t>6</w:t>
      </w:r>
      <w:r w:rsidR="001C15B0">
        <w:fldChar w:fldCharType="end"/>
      </w:r>
      <w:r>
        <w:t xml:space="preserve"> </w:t>
      </w:r>
      <w:r w:rsidRPr="00B12238">
        <w:t xml:space="preserve">(52.5%) because </w:t>
      </w:r>
      <w:r>
        <w:t xml:space="preserve">it </w:t>
      </w:r>
      <w:r w:rsidRPr="00B12238">
        <w:t>is based on age</w:t>
      </w:r>
      <w:r>
        <w:t>-</w:t>
      </w:r>
      <w:r w:rsidRPr="00B12238">
        <w:t>standardised rates (to allow fair comparison across countries).</w:t>
      </w:r>
    </w:p>
    <w:p w:rsidR="000556AA" w:rsidRDefault="000556AA" w:rsidP="0063727E"/>
    <w:p w:rsidR="000556AA" w:rsidRPr="00A44CC8" w:rsidRDefault="000556AA" w:rsidP="0063727E">
      <w:pPr>
        <w:pStyle w:val="Heading2"/>
      </w:pPr>
      <w:bookmarkStart w:id="238" w:name="_Toc442416696"/>
      <w:bookmarkStart w:id="239" w:name="_Toc456270702"/>
      <w:r>
        <w:lastRenderedPageBreak/>
        <w:t>Epidemiological transition</w:t>
      </w:r>
      <w:bookmarkEnd w:id="238"/>
      <w:bookmarkEnd w:id="239"/>
    </w:p>
    <w:p w:rsidR="000556AA" w:rsidRDefault="000556AA" w:rsidP="00E14892">
      <w:pPr>
        <w:keepNext/>
        <w:keepLines/>
      </w:pPr>
      <w:r>
        <w:t>The epidemiological transition is the change in a population</w:t>
      </w:r>
      <w:r w:rsidR="005D5D9F">
        <w:t>’</w:t>
      </w:r>
      <w:r>
        <w:t>s disease experience from one dominated by infectious diseases (mainly affecting children) to one dominated by long-term conditions (mainly affecting older adults).</w:t>
      </w:r>
    </w:p>
    <w:p w:rsidR="000556AA" w:rsidRDefault="000556AA" w:rsidP="003013DE">
      <w:pPr>
        <w:keepNext/>
      </w:pPr>
    </w:p>
    <w:p w:rsidR="000556AA" w:rsidRDefault="000556AA" w:rsidP="00E14892">
      <w:pPr>
        <w:keepNext/>
        <w:keepLines/>
      </w:pPr>
      <w:r>
        <w:t>Finland has progressed furthest in making this transition</w:t>
      </w:r>
      <w:r w:rsidR="00D258EF">
        <w:t xml:space="preserve"> (</w:t>
      </w:r>
      <w:r w:rsidR="00D258EF">
        <w:fldChar w:fldCharType="begin"/>
      </w:r>
      <w:r w:rsidR="00D258EF">
        <w:instrText xml:space="preserve"> REF _Ref456613845 \h </w:instrText>
      </w:r>
      <w:r w:rsidR="00D258EF">
        <w:fldChar w:fldCharType="separate"/>
      </w:r>
      <w:r w:rsidR="006C545C">
        <w:t xml:space="preserve">Figure </w:t>
      </w:r>
      <w:r w:rsidR="006C545C">
        <w:rPr>
          <w:noProof/>
        </w:rPr>
        <w:t>26</w:t>
      </w:r>
      <w:r w:rsidR="00D258EF">
        <w:fldChar w:fldCharType="end"/>
      </w:r>
      <w:r w:rsidR="00D258EF">
        <w:t xml:space="preserve">), </w:t>
      </w:r>
      <w:r>
        <w:t xml:space="preserve">with only 4.2% of its health loss arising from pre-transitional conditions (mainly infectious diseases). It is closely followed by New Zealand and Sweden. Interestingly, both the US and UK are </w:t>
      </w:r>
      <w:r w:rsidR="005D5D9F">
        <w:t>‘</w:t>
      </w:r>
      <w:r>
        <w:t>outliers</w:t>
      </w:r>
      <w:r w:rsidR="005D5D9F">
        <w:t>’</w:t>
      </w:r>
      <w:r>
        <w:t xml:space="preserve"> in this respect, with pre-transitional shares almost 50% higher than New Zealand</w:t>
      </w:r>
      <w:r w:rsidR="005D5D9F">
        <w:t>’</w:t>
      </w:r>
      <w:r>
        <w:t>s, a statistically significant difference.</w:t>
      </w:r>
    </w:p>
    <w:p w:rsidR="000556AA" w:rsidRDefault="000556AA" w:rsidP="003013DE">
      <w:pPr>
        <w:keepNext/>
      </w:pPr>
    </w:p>
    <w:p w:rsidR="000556AA" w:rsidRDefault="000556AA" w:rsidP="0063727E">
      <w:pPr>
        <w:pStyle w:val="Figure"/>
      </w:pPr>
      <w:bookmarkStart w:id="240" w:name="_Ref441316650"/>
      <w:bookmarkStart w:id="241" w:name="_Ref456613845"/>
      <w:bookmarkStart w:id="242" w:name="_Toc441576082"/>
      <w:bookmarkStart w:id="243" w:name="_Toc442416813"/>
      <w:bookmarkStart w:id="244" w:name="_Toc454078654"/>
      <w:bookmarkStart w:id="245" w:name="_Toc456613639"/>
      <w:r>
        <w:t xml:space="preserve">Figure </w:t>
      </w:r>
      <w:r w:rsidR="00F456CC">
        <w:fldChar w:fldCharType="begin"/>
      </w:r>
      <w:r w:rsidR="00F456CC">
        <w:instrText xml:space="preserve"> SEQ Figure \* ARABIC </w:instrText>
      </w:r>
      <w:r w:rsidR="00F456CC">
        <w:fldChar w:fldCharType="separate"/>
      </w:r>
      <w:r w:rsidR="006C545C">
        <w:rPr>
          <w:noProof/>
        </w:rPr>
        <w:t>26</w:t>
      </w:r>
      <w:r w:rsidR="00F456CC">
        <w:rPr>
          <w:noProof/>
        </w:rPr>
        <w:fldChar w:fldCharType="end"/>
      </w:r>
      <w:bookmarkEnd w:id="240"/>
      <w:bookmarkEnd w:id="241"/>
      <w:r>
        <w:t xml:space="preserve">: </w:t>
      </w:r>
      <w:r w:rsidRPr="005C54AE">
        <w:t xml:space="preserve">Extent of </w:t>
      </w:r>
      <w:r>
        <w:t xml:space="preserve">epidemiological </w:t>
      </w:r>
      <w:r w:rsidRPr="005C54AE">
        <w:t xml:space="preserve">transition </w:t>
      </w:r>
      <w:r>
        <w:t xml:space="preserve">(pre-transitional </w:t>
      </w:r>
      <w:r w:rsidR="00914BB9">
        <w:t xml:space="preserve">disorders burden </w:t>
      </w:r>
      <w:r>
        <w:t xml:space="preserve">as % total DALYs), </w:t>
      </w:r>
      <w:r w:rsidRPr="005C54AE">
        <w:t>by peer group country, 2013</w:t>
      </w:r>
      <w:bookmarkEnd w:id="242"/>
      <w:bookmarkEnd w:id="243"/>
      <w:bookmarkEnd w:id="244"/>
      <w:bookmarkEnd w:id="245"/>
    </w:p>
    <w:p w:rsidR="000556AA" w:rsidRDefault="005122BD" w:rsidP="00DB5742">
      <w:pPr>
        <w:rPr>
          <w:noProof/>
          <w:lang w:eastAsia="en-NZ"/>
        </w:rPr>
      </w:pPr>
      <w:r>
        <w:rPr>
          <w:noProof/>
          <w:lang w:eastAsia="en-NZ"/>
        </w:rPr>
        <w:drawing>
          <wp:inline distT="0" distB="0" distL="0" distR="0">
            <wp:extent cx="3940175" cy="3350260"/>
            <wp:effectExtent l="0" t="0" r="3175" b="2540"/>
            <wp:docPr id="808" name="Picture 1" descr="Figure 26: Extent of epidemiological transition (pre-transitional as % total DALYs), by peer group countr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6: Extent of epidemiological transition (pre-transitional as % total DALYs), by peer group country, 2013"/>
                    <pic:cNvPicPr>
                      <a:picLocks noChangeAspect="1" noChangeArrowheads="1"/>
                    </pic:cNvPicPr>
                  </pic:nvPicPr>
                  <pic:blipFill>
                    <a:blip r:embed="rId51">
                      <a:extLst>
                        <a:ext uri="{28A0092B-C50C-407E-A947-70E740481C1C}">
                          <a14:useLocalDpi xmlns:a14="http://schemas.microsoft.com/office/drawing/2010/main" val="0"/>
                        </a:ext>
                      </a:extLst>
                    </a:blip>
                    <a:srcRect r="28105"/>
                    <a:stretch>
                      <a:fillRect/>
                    </a:stretch>
                  </pic:blipFill>
                  <pic:spPr bwMode="auto">
                    <a:xfrm>
                      <a:off x="0" y="0"/>
                      <a:ext cx="3940175" cy="3350260"/>
                    </a:xfrm>
                    <a:prstGeom prst="rect">
                      <a:avLst/>
                    </a:prstGeom>
                    <a:noFill/>
                    <a:ln>
                      <a:noFill/>
                    </a:ln>
                  </pic:spPr>
                </pic:pic>
              </a:graphicData>
            </a:graphic>
          </wp:inline>
        </w:drawing>
      </w:r>
    </w:p>
    <w:p w:rsidR="000556AA" w:rsidRDefault="000556AA" w:rsidP="00DB5742">
      <w:pPr>
        <w:pStyle w:val="Note"/>
        <w:ind w:left="0" w:right="3686" w:firstLine="0"/>
      </w:pPr>
      <w:r>
        <w:t>Value for NZL (4.8%) differs from that given in Figure 10 (3.8%), as this estimate is age</w:t>
      </w:r>
      <w:r w:rsidR="00DB5742">
        <w:noBreakHyphen/>
      </w:r>
      <w:r>
        <w:t>standardised to allow cross-country comparison.</w:t>
      </w:r>
    </w:p>
    <w:p w:rsidR="000556AA" w:rsidRDefault="000556AA" w:rsidP="0063727E"/>
    <w:p w:rsidR="000556AA" w:rsidRDefault="000556AA" w:rsidP="0063727E">
      <w:pPr>
        <w:pStyle w:val="Heading2"/>
      </w:pPr>
      <w:bookmarkStart w:id="246" w:name="_Toc442416697"/>
      <w:bookmarkStart w:id="247" w:name="_Toc456270703"/>
      <w:r>
        <w:lastRenderedPageBreak/>
        <w:t>Contribution of different causes to health loss</w:t>
      </w:r>
      <w:bookmarkEnd w:id="246"/>
      <w:bookmarkEnd w:id="247"/>
    </w:p>
    <w:p w:rsidR="000556AA" w:rsidRPr="00067DBB" w:rsidRDefault="000556AA" w:rsidP="00E14892">
      <w:pPr>
        <w:keepNext/>
        <w:keepLines/>
      </w:pPr>
      <w:r w:rsidRPr="00DB5742">
        <w:rPr>
          <w:b/>
        </w:rPr>
        <w:t>Conditions:</w:t>
      </w:r>
      <w:r w:rsidRPr="005B4360">
        <w:t xml:space="preserve"> </w:t>
      </w:r>
      <w:r w:rsidRPr="00DB5742">
        <w:t>Ten</w:t>
      </w:r>
      <w:r>
        <w:t xml:space="preserve"> conditions have been selected from the leading major specific conditions in New Zealand in </w:t>
      </w:r>
      <w:r w:rsidRPr="005B4360">
        <w:fldChar w:fldCharType="begin"/>
      </w:r>
      <w:r w:rsidRPr="005B4360">
        <w:instrText xml:space="preserve"> REF _Ref441212522 \h </w:instrText>
      </w:r>
      <w:r w:rsidR="001A04D4" w:rsidRPr="005B4360">
        <w:instrText xml:space="preserve"> \* MERGEFORMAT </w:instrText>
      </w:r>
      <w:r w:rsidRPr="005B4360">
        <w:fldChar w:fldCharType="separate"/>
      </w:r>
      <w:r w:rsidR="006C545C">
        <w:t xml:space="preserve">Figure </w:t>
      </w:r>
      <w:r w:rsidR="006C545C">
        <w:rPr>
          <w:noProof/>
        </w:rPr>
        <w:t>13</w:t>
      </w:r>
      <w:r w:rsidRPr="005B4360">
        <w:fldChar w:fldCharType="end"/>
      </w:r>
      <w:r w:rsidRPr="005B4360">
        <w:t xml:space="preserve">, </w:t>
      </w:r>
      <w:r>
        <w:t>based on the comparability of data across countries. The analysis has been restricted to a subset of six peer group countries (the English-speaking countries, which are the most comparable in terms of diagnostic and coding practice).</w:t>
      </w:r>
    </w:p>
    <w:p w:rsidR="000556AA" w:rsidRDefault="000556AA" w:rsidP="00DB5742">
      <w:pPr>
        <w:keepNext/>
      </w:pPr>
    </w:p>
    <w:p w:rsidR="005D5D9F" w:rsidRDefault="000556AA" w:rsidP="00E14892">
      <w:pPr>
        <w:keepNext/>
        <w:keepLines/>
      </w:pPr>
      <w:r>
        <w:t>Among the 10 selected conditions, coronary heart disease is the leading cause of health loss for all the selected countries</w:t>
      </w:r>
      <w:r w:rsidR="00201CE5">
        <w:t xml:space="preserve"> (</w:t>
      </w:r>
      <w:r w:rsidR="00201CE5">
        <w:fldChar w:fldCharType="begin"/>
      </w:r>
      <w:r w:rsidR="00201CE5">
        <w:instrText xml:space="preserve"> REF _Ref456613923 \h </w:instrText>
      </w:r>
      <w:r w:rsidR="00201CE5">
        <w:fldChar w:fldCharType="separate"/>
      </w:r>
      <w:r w:rsidR="006C545C">
        <w:t xml:space="preserve">Figure </w:t>
      </w:r>
      <w:r w:rsidR="006C545C">
        <w:rPr>
          <w:noProof/>
        </w:rPr>
        <w:t>27</w:t>
      </w:r>
      <w:r w:rsidR="00201CE5">
        <w:fldChar w:fldCharType="end"/>
      </w:r>
      <w:r w:rsidR="00201CE5">
        <w:t xml:space="preserve">). </w:t>
      </w:r>
      <w:r>
        <w:t>Most of the inter-country differences are not statistically significant. It is, however, notable that the US has the highest health loss from most conditions. New Zealand</w:t>
      </w:r>
      <w:r w:rsidR="005D5D9F">
        <w:t>’</w:t>
      </w:r>
      <w:r>
        <w:t>s health loss from individual conditions is comparable with peer group countries, although higher than all for bowel cancer.</w:t>
      </w:r>
    </w:p>
    <w:p w:rsidR="002471B5" w:rsidRDefault="002471B5" w:rsidP="00DB5742">
      <w:pPr>
        <w:keepNext/>
      </w:pPr>
    </w:p>
    <w:p w:rsidR="00010728" w:rsidRPr="00751D76" w:rsidRDefault="00010728" w:rsidP="0063727E">
      <w:pPr>
        <w:pStyle w:val="Figure"/>
      </w:pPr>
      <w:bookmarkStart w:id="248" w:name="_Ref441317465"/>
      <w:bookmarkStart w:id="249" w:name="_Ref453933335"/>
      <w:bookmarkStart w:id="250" w:name="_Ref456613923"/>
      <w:bookmarkStart w:id="251" w:name="_Toc441576083"/>
      <w:bookmarkStart w:id="252" w:name="_Toc442416814"/>
      <w:bookmarkStart w:id="253" w:name="_Toc454078655"/>
      <w:bookmarkStart w:id="254" w:name="_Toc456613640"/>
      <w:r>
        <w:t xml:space="preserve">Figure </w:t>
      </w:r>
      <w:r w:rsidR="00F456CC">
        <w:fldChar w:fldCharType="begin"/>
      </w:r>
      <w:r w:rsidR="00F456CC">
        <w:instrText xml:space="preserve"> SEQ Figure \* ARABIC </w:instrText>
      </w:r>
      <w:r w:rsidR="00F456CC">
        <w:fldChar w:fldCharType="separate"/>
      </w:r>
      <w:r w:rsidR="006C545C">
        <w:rPr>
          <w:noProof/>
        </w:rPr>
        <w:t>27</w:t>
      </w:r>
      <w:r w:rsidR="00F456CC">
        <w:rPr>
          <w:noProof/>
        </w:rPr>
        <w:fldChar w:fldCharType="end"/>
      </w:r>
      <w:bookmarkEnd w:id="248"/>
      <w:bookmarkEnd w:id="249"/>
      <w:bookmarkEnd w:id="250"/>
      <w:r>
        <w:t>: Health loss from selected conditions, by selected peer group countries (age</w:t>
      </w:r>
      <w:r w:rsidR="0063727E">
        <w:noBreakHyphen/>
      </w:r>
      <w:r>
        <w:t>standardised DALY rates), 2013</w:t>
      </w:r>
      <w:bookmarkEnd w:id="251"/>
      <w:bookmarkEnd w:id="252"/>
      <w:bookmarkEnd w:id="253"/>
      <w:bookmarkEnd w:id="254"/>
    </w:p>
    <w:p w:rsidR="00010728" w:rsidRDefault="005122BD" w:rsidP="00CB4A69">
      <w:r>
        <w:rPr>
          <w:noProof/>
          <w:lang w:eastAsia="en-NZ"/>
        </w:rPr>
        <w:drawing>
          <wp:inline distT="0" distB="0" distL="0" distR="0">
            <wp:extent cx="3956685" cy="3524885"/>
            <wp:effectExtent l="0" t="0" r="5715" b="0"/>
            <wp:docPr id="814" name="Picture 1" descr="Figure 27: Health loss from selected conditions, by selected peer group countries (age standardised DALY rat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7: Health loss from selected conditions, by selected peer group countries (age standardised DALY rates), 2013"/>
                    <pic:cNvPicPr>
                      <a:picLocks noChangeAspect="1" noChangeArrowheads="1"/>
                    </pic:cNvPicPr>
                  </pic:nvPicPr>
                  <pic:blipFill>
                    <a:blip r:embed="rId52">
                      <a:extLst>
                        <a:ext uri="{28A0092B-C50C-407E-A947-70E740481C1C}">
                          <a14:useLocalDpi xmlns:a14="http://schemas.microsoft.com/office/drawing/2010/main" val="0"/>
                        </a:ext>
                      </a:extLst>
                    </a:blip>
                    <a:srcRect r="31351"/>
                    <a:stretch>
                      <a:fillRect/>
                    </a:stretch>
                  </pic:blipFill>
                  <pic:spPr bwMode="auto">
                    <a:xfrm>
                      <a:off x="0" y="0"/>
                      <a:ext cx="3956685" cy="3524885"/>
                    </a:xfrm>
                    <a:prstGeom prst="rect">
                      <a:avLst/>
                    </a:prstGeom>
                    <a:noFill/>
                    <a:ln>
                      <a:noFill/>
                    </a:ln>
                  </pic:spPr>
                </pic:pic>
              </a:graphicData>
            </a:graphic>
          </wp:inline>
        </w:drawing>
      </w:r>
    </w:p>
    <w:p w:rsidR="005D5D9F" w:rsidRDefault="00010728" w:rsidP="00CB4A69">
      <w:pPr>
        <w:pStyle w:val="Note"/>
        <w:ind w:left="0" w:right="3686" w:firstLine="0"/>
      </w:pPr>
      <w:r>
        <w:t>Key:</w:t>
      </w:r>
      <w:r w:rsidRPr="00071B7D">
        <w:t xml:space="preserve"> </w:t>
      </w:r>
      <w:r w:rsidRPr="006C35E2">
        <w:t xml:space="preserve">CHD </w:t>
      </w:r>
      <w:r>
        <w:t xml:space="preserve">= </w:t>
      </w:r>
      <w:r w:rsidRPr="006C35E2">
        <w:t>coronary heart disease</w:t>
      </w:r>
      <w:r>
        <w:t>;</w:t>
      </w:r>
      <w:r w:rsidRPr="006C35E2">
        <w:t xml:space="preserve"> COPD </w:t>
      </w:r>
      <w:r>
        <w:t xml:space="preserve">= </w:t>
      </w:r>
      <w:r w:rsidRPr="006C35E2">
        <w:t>chronic obstructive pulmonary disease</w:t>
      </w:r>
      <w:r>
        <w:t>;</w:t>
      </w:r>
      <w:r w:rsidRPr="006C35E2">
        <w:t xml:space="preserve"> CKD </w:t>
      </w:r>
      <w:r>
        <w:t xml:space="preserve">= </w:t>
      </w:r>
      <w:r w:rsidRPr="006C35E2">
        <w:t>chronic kidney disease</w:t>
      </w:r>
      <w:r>
        <w:t>.</w:t>
      </w:r>
    </w:p>
    <w:p w:rsidR="00010728" w:rsidRPr="00404D64" w:rsidRDefault="00010728" w:rsidP="00CB4A69">
      <w:pPr>
        <w:pStyle w:val="Note"/>
        <w:ind w:left="0" w:right="3119" w:firstLine="0"/>
      </w:pPr>
      <w:r>
        <w:t>Note: Confidence intervals not shown for clarity</w:t>
      </w:r>
      <w:r>
        <w:rPr>
          <w:rFonts w:cs="Arial"/>
          <w:szCs w:val="18"/>
        </w:rPr>
        <w:t xml:space="preserve"> of presentation</w:t>
      </w:r>
      <w:r>
        <w:t>.</w:t>
      </w:r>
    </w:p>
    <w:p w:rsidR="00010728" w:rsidRDefault="00010728" w:rsidP="0063727E"/>
    <w:p w:rsidR="00926993" w:rsidRPr="004F00A3" w:rsidRDefault="00926993" w:rsidP="00120AB6">
      <w:r w:rsidRPr="00344BEA">
        <w:rPr>
          <w:b/>
        </w:rPr>
        <w:t xml:space="preserve">Risk factors: </w:t>
      </w:r>
      <w:r w:rsidRPr="00344BEA">
        <w:t>Given that risk</w:t>
      </w:r>
      <w:r>
        <w:t xml:space="preserve"> factors are potentially modifiable causes of health loss, the </w:t>
      </w:r>
      <w:r w:rsidR="005D5D9F">
        <w:t>‘</w:t>
      </w:r>
      <w:r>
        <w:t>potentially preventable proportion</w:t>
      </w:r>
      <w:r w:rsidR="005D5D9F">
        <w:t>’</w:t>
      </w:r>
      <w:r>
        <w:t xml:space="preserve"> can be defined as the percentage of the age-standardised, all-cause DALY rate that is attributable to all known modifiable risk factors collectively. The lower this proportion, the better the health system is performing in disease prevention.</w:t>
      </w:r>
    </w:p>
    <w:p w:rsidR="00926993" w:rsidRDefault="00926993" w:rsidP="00120AB6">
      <w:pPr>
        <w:keepNext/>
        <w:keepLines/>
      </w:pPr>
      <w:r>
        <w:lastRenderedPageBreak/>
        <w:t>In 2013 Israel had the lowest potentially preventable proportion</w:t>
      </w:r>
      <w:r w:rsidR="00201CE5">
        <w:t xml:space="preserve"> (</w:t>
      </w:r>
      <w:r w:rsidR="00201CE5">
        <w:fldChar w:fldCharType="begin"/>
      </w:r>
      <w:r w:rsidR="00201CE5">
        <w:instrText xml:space="preserve"> REF _Ref456613965 \h </w:instrText>
      </w:r>
      <w:r w:rsidR="00201CE5">
        <w:fldChar w:fldCharType="separate"/>
      </w:r>
      <w:r w:rsidR="006C545C">
        <w:t xml:space="preserve">Figure </w:t>
      </w:r>
      <w:r w:rsidR="006C545C">
        <w:rPr>
          <w:noProof/>
        </w:rPr>
        <w:t>28</w:t>
      </w:r>
      <w:r w:rsidR="00201CE5">
        <w:fldChar w:fldCharType="end"/>
      </w:r>
      <w:r w:rsidR="00201CE5">
        <w:t xml:space="preserve">), </w:t>
      </w:r>
      <w:r>
        <w:t>although almost one-third of its health burden (32.5%) is still attributable to known – and modifiable – risk factors. The differences between countries are not all statistically significant, but it is interesting that the worst performer is the US, with almost 40% of its health loss attributable to potentially preventable risk exposures.</w:t>
      </w:r>
    </w:p>
    <w:p w:rsidR="00926993" w:rsidRDefault="00926993" w:rsidP="00344BEA">
      <w:pPr>
        <w:keepNext/>
      </w:pPr>
    </w:p>
    <w:p w:rsidR="00E40890" w:rsidRDefault="00E40890" w:rsidP="0063727E">
      <w:pPr>
        <w:pStyle w:val="Figure"/>
      </w:pPr>
      <w:bookmarkStart w:id="255" w:name="_Ref441318518"/>
      <w:bookmarkStart w:id="256" w:name="_Ref453938566"/>
      <w:bookmarkStart w:id="257" w:name="_Ref456613965"/>
      <w:bookmarkStart w:id="258" w:name="_Toc441576084"/>
      <w:bookmarkStart w:id="259" w:name="_Toc442416815"/>
      <w:bookmarkStart w:id="260" w:name="_Toc454078656"/>
      <w:bookmarkStart w:id="261" w:name="_Toc456613641"/>
      <w:r>
        <w:t xml:space="preserve">Figure </w:t>
      </w:r>
      <w:r w:rsidR="00F456CC">
        <w:fldChar w:fldCharType="begin"/>
      </w:r>
      <w:r w:rsidR="00F456CC">
        <w:instrText xml:space="preserve"> SEQ Figure \* ARABIC </w:instrText>
      </w:r>
      <w:r w:rsidR="00F456CC">
        <w:fldChar w:fldCharType="separate"/>
      </w:r>
      <w:r w:rsidR="006C545C">
        <w:rPr>
          <w:noProof/>
        </w:rPr>
        <w:t>28</w:t>
      </w:r>
      <w:r w:rsidR="00F456CC">
        <w:rPr>
          <w:noProof/>
        </w:rPr>
        <w:fldChar w:fldCharType="end"/>
      </w:r>
      <w:bookmarkEnd w:id="255"/>
      <w:bookmarkEnd w:id="256"/>
      <w:bookmarkEnd w:id="257"/>
      <w:r>
        <w:t>: Potentially p</w:t>
      </w:r>
      <w:r w:rsidRPr="002108CF">
        <w:t xml:space="preserve">reventable proportion </w:t>
      </w:r>
      <w:r>
        <w:t xml:space="preserve">of health loss, </w:t>
      </w:r>
      <w:r w:rsidRPr="002108CF">
        <w:t>by peer group country</w:t>
      </w:r>
      <w:r>
        <w:t xml:space="preserve"> (%</w:t>
      </w:r>
      <w:r w:rsidR="00756C04">
        <w:t> </w:t>
      </w:r>
      <w:r>
        <w:t>total DALYs),</w:t>
      </w:r>
      <w:r w:rsidRPr="002108CF">
        <w:t xml:space="preserve"> 2013</w:t>
      </w:r>
      <w:bookmarkEnd w:id="258"/>
      <w:bookmarkEnd w:id="259"/>
      <w:bookmarkEnd w:id="260"/>
      <w:bookmarkEnd w:id="261"/>
    </w:p>
    <w:p w:rsidR="00E40890" w:rsidRDefault="005122BD" w:rsidP="00344BEA">
      <w:r>
        <w:rPr>
          <w:noProof/>
          <w:lang w:eastAsia="en-NZ"/>
        </w:rPr>
        <w:drawing>
          <wp:inline distT="0" distB="0" distL="0" distR="0">
            <wp:extent cx="3948430" cy="3333115"/>
            <wp:effectExtent l="0" t="0" r="0" b="635"/>
            <wp:docPr id="821" name="Picture 1" descr="Figure 28: Potentially preventable proportion of health loss, by peer group country (% total DALY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8: Potentially preventable proportion of health loss, by peer group country (% total DALYs), 2013"/>
                    <pic:cNvPicPr>
                      <a:picLocks noChangeAspect="1" noChangeArrowheads="1"/>
                    </pic:cNvPicPr>
                  </pic:nvPicPr>
                  <pic:blipFill>
                    <a:blip r:embed="rId53">
                      <a:extLst>
                        <a:ext uri="{28A0092B-C50C-407E-A947-70E740481C1C}">
                          <a14:useLocalDpi xmlns:a14="http://schemas.microsoft.com/office/drawing/2010/main" val="0"/>
                        </a:ext>
                      </a:extLst>
                    </a:blip>
                    <a:srcRect r="27402"/>
                    <a:stretch>
                      <a:fillRect/>
                    </a:stretch>
                  </pic:blipFill>
                  <pic:spPr bwMode="auto">
                    <a:xfrm>
                      <a:off x="0" y="0"/>
                      <a:ext cx="3948430" cy="3333115"/>
                    </a:xfrm>
                    <a:prstGeom prst="rect">
                      <a:avLst/>
                    </a:prstGeom>
                    <a:noFill/>
                    <a:ln>
                      <a:noFill/>
                    </a:ln>
                  </pic:spPr>
                </pic:pic>
              </a:graphicData>
            </a:graphic>
          </wp:inline>
        </w:drawing>
      </w:r>
    </w:p>
    <w:p w:rsidR="00E40890" w:rsidRDefault="00E40890" w:rsidP="00084885">
      <w:pPr>
        <w:pStyle w:val="Note"/>
        <w:ind w:left="0" w:right="3686" w:firstLine="0"/>
      </w:pPr>
      <w:r>
        <w:t xml:space="preserve">Value for New Zealand (36%) differs from that given on </w:t>
      </w:r>
      <w:r w:rsidRPr="00EB6705">
        <w:t xml:space="preserve">page </w:t>
      </w:r>
      <w:r w:rsidR="00EB6705" w:rsidRPr="00EB6705">
        <w:fldChar w:fldCharType="begin"/>
      </w:r>
      <w:r w:rsidR="00EB6705" w:rsidRPr="00EB6705">
        <w:instrText xml:space="preserve"> PAGEREF Figure1 \h </w:instrText>
      </w:r>
      <w:r w:rsidR="00EB6705" w:rsidRPr="00EB6705">
        <w:fldChar w:fldCharType="separate"/>
      </w:r>
      <w:r w:rsidR="006C545C">
        <w:rPr>
          <w:noProof/>
        </w:rPr>
        <w:t>26</w:t>
      </w:r>
      <w:r w:rsidR="00EB6705" w:rsidRPr="00EB6705">
        <w:fldChar w:fldCharType="end"/>
      </w:r>
      <w:r w:rsidRPr="00EB6705">
        <w:t xml:space="preserve"> (38%),</w:t>
      </w:r>
      <w:r>
        <w:t xml:space="preserve"> as this estimate is age standardised (to allow for cross-country comparison).</w:t>
      </w:r>
    </w:p>
    <w:p w:rsidR="00926993" w:rsidRDefault="00926993" w:rsidP="00EB6705"/>
    <w:p w:rsidR="00816384" w:rsidRDefault="00816384" w:rsidP="00EB6705">
      <w:pPr>
        <w:pStyle w:val="Heading2"/>
      </w:pPr>
      <w:bookmarkStart w:id="262" w:name="_Toc442416698"/>
      <w:bookmarkStart w:id="263" w:name="_Toc456270704"/>
      <w:r>
        <w:lastRenderedPageBreak/>
        <w:t>He</w:t>
      </w:r>
      <w:r w:rsidRPr="00B9541E">
        <w:t xml:space="preserve">alth expectancy, life expectancy and the </w:t>
      </w:r>
      <w:r>
        <w:t>compression of morbidity</w:t>
      </w:r>
      <w:bookmarkEnd w:id="262"/>
      <w:bookmarkEnd w:id="263"/>
    </w:p>
    <w:p w:rsidR="00816384" w:rsidRDefault="00816384" w:rsidP="00084885">
      <w:pPr>
        <w:keepNext/>
      </w:pPr>
      <w:r>
        <w:t>Comparing trends in health and life expectancy in the subset of six peer group countries indicates each health system</w:t>
      </w:r>
      <w:r w:rsidR="005D5D9F">
        <w:t>’</w:t>
      </w:r>
      <w:r>
        <w:t>s relative performance over the past quarter century (</w:t>
      </w:r>
      <w:r>
        <w:fldChar w:fldCharType="begin"/>
      </w:r>
      <w:r>
        <w:instrText xml:space="preserve"> REF _Ref441318973 \h </w:instrText>
      </w:r>
      <w:r>
        <w:fldChar w:fldCharType="separate"/>
      </w:r>
      <w:r w:rsidR="006C545C">
        <w:t xml:space="preserve">Table </w:t>
      </w:r>
      <w:r w:rsidR="006C545C">
        <w:rPr>
          <w:noProof/>
        </w:rPr>
        <w:t>6</w:t>
      </w:r>
      <w:r>
        <w:fldChar w:fldCharType="end"/>
      </w:r>
      <w:r>
        <w:t>).</w:t>
      </w:r>
    </w:p>
    <w:p w:rsidR="005D5D9F" w:rsidRDefault="00816384" w:rsidP="00120AB6">
      <w:pPr>
        <w:keepNext/>
        <w:keepLines/>
        <w:spacing w:before="220"/>
      </w:pPr>
      <w:r>
        <w:t>Life expectancy at birth increased from 1990–2013 in all six countries, for both sexes. New Zealand</w:t>
      </w:r>
      <w:r w:rsidR="005D5D9F">
        <w:t>’</w:t>
      </w:r>
      <w:r>
        <w:t>s increases were 6.1 years for males and 4.5 years for females. Health expectancy at birth also increased in all six countries, and among females has broken through the 70-year barrier everywhere except the US.</w:t>
      </w:r>
    </w:p>
    <w:p w:rsidR="00E169DE" w:rsidRDefault="00E169DE" w:rsidP="002C5AF5">
      <w:pPr>
        <w:pStyle w:val="Table"/>
        <w:spacing w:before="300"/>
      </w:pPr>
      <w:bookmarkStart w:id="264" w:name="_Ref441318973"/>
      <w:bookmarkStart w:id="265" w:name="_Toc441576085"/>
      <w:bookmarkStart w:id="266" w:name="_Toc454078608"/>
      <w:bookmarkStart w:id="267" w:name="_Toc455733252"/>
      <w:r>
        <w:t xml:space="preserve">Table </w:t>
      </w:r>
      <w:r w:rsidR="00F456CC">
        <w:fldChar w:fldCharType="begin"/>
      </w:r>
      <w:r w:rsidR="00F456CC">
        <w:instrText xml:space="preserve"> SEQ Table \* ARABIC </w:instrText>
      </w:r>
      <w:r w:rsidR="00F456CC">
        <w:fldChar w:fldCharType="separate"/>
      </w:r>
      <w:r w:rsidR="006C545C">
        <w:rPr>
          <w:noProof/>
        </w:rPr>
        <w:t>6</w:t>
      </w:r>
      <w:r w:rsidR="00F456CC">
        <w:rPr>
          <w:noProof/>
        </w:rPr>
        <w:fldChar w:fldCharType="end"/>
      </w:r>
      <w:bookmarkEnd w:id="264"/>
      <w:r>
        <w:t xml:space="preserve">: </w:t>
      </w:r>
      <w:r w:rsidRPr="002108CF">
        <w:t xml:space="preserve">Health expectancy and life expectancy at birth, selected countries, </w:t>
      </w:r>
      <w:r>
        <w:t xml:space="preserve">1990 and </w:t>
      </w:r>
      <w:r w:rsidRPr="002108CF">
        <w:t>2013</w:t>
      </w:r>
      <w:bookmarkEnd w:id="265"/>
      <w:bookmarkEnd w:id="266"/>
      <w:bookmarkEnd w:id="267"/>
    </w:p>
    <w:tbl>
      <w:tblPr>
        <w:tblW w:w="0" w:type="auto"/>
        <w:tblInd w:w="57" w:type="dxa"/>
        <w:tblBorders>
          <w:top w:val="single" w:sz="8" w:space="0" w:color="8064A2"/>
          <w:bottom w:val="single" w:sz="8" w:space="0" w:color="8064A2"/>
        </w:tblBorders>
        <w:tblLayout w:type="fixed"/>
        <w:tblCellMar>
          <w:left w:w="57" w:type="dxa"/>
          <w:right w:w="57" w:type="dxa"/>
        </w:tblCellMar>
        <w:tblLook w:val="04A0" w:firstRow="1" w:lastRow="0" w:firstColumn="1" w:lastColumn="0" w:noHBand="0" w:noVBand="1"/>
      </w:tblPr>
      <w:tblGrid>
        <w:gridCol w:w="996"/>
        <w:gridCol w:w="1045"/>
        <w:gridCol w:w="1045"/>
        <w:gridCol w:w="1045"/>
        <w:gridCol w:w="1045"/>
        <w:gridCol w:w="1045"/>
        <w:gridCol w:w="1045"/>
        <w:gridCol w:w="1045"/>
        <w:gridCol w:w="1045"/>
      </w:tblGrid>
      <w:tr w:rsidR="007C2D06" w:rsidTr="00733F16">
        <w:trPr>
          <w:cantSplit/>
        </w:trPr>
        <w:tc>
          <w:tcPr>
            <w:tcW w:w="996" w:type="dxa"/>
            <w:vMerge w:val="restart"/>
            <w:tcBorders>
              <w:top w:val="single" w:sz="4" w:space="0" w:color="auto"/>
            </w:tcBorders>
            <w:shd w:val="clear" w:color="auto" w:fill="auto"/>
          </w:tcPr>
          <w:p w:rsidR="007C2D06" w:rsidRPr="00F231D7" w:rsidRDefault="007C2D06" w:rsidP="00084885">
            <w:pPr>
              <w:pStyle w:val="TableText"/>
              <w:keepNext/>
            </w:pPr>
          </w:p>
        </w:tc>
        <w:tc>
          <w:tcPr>
            <w:tcW w:w="4180" w:type="dxa"/>
            <w:gridSpan w:val="4"/>
            <w:tcBorders>
              <w:top w:val="single" w:sz="4" w:space="0" w:color="auto"/>
              <w:left w:val="nil"/>
              <w:bottom w:val="single" w:sz="4" w:space="0" w:color="A6A6A6"/>
              <w:right w:val="single" w:sz="4" w:space="0" w:color="A6A6A6"/>
            </w:tcBorders>
            <w:shd w:val="clear" w:color="auto" w:fill="auto"/>
          </w:tcPr>
          <w:p w:rsidR="007C2D06" w:rsidRPr="007C2D06" w:rsidRDefault="007C2D06" w:rsidP="00084885">
            <w:pPr>
              <w:pStyle w:val="TableText"/>
              <w:keepNext/>
              <w:jc w:val="center"/>
              <w:rPr>
                <w:b/>
              </w:rPr>
            </w:pPr>
            <w:r>
              <w:rPr>
                <w:b/>
              </w:rPr>
              <w:t>Male</w:t>
            </w:r>
          </w:p>
        </w:tc>
        <w:tc>
          <w:tcPr>
            <w:tcW w:w="4180" w:type="dxa"/>
            <w:gridSpan w:val="4"/>
            <w:tcBorders>
              <w:top w:val="single" w:sz="4" w:space="0" w:color="auto"/>
              <w:left w:val="single" w:sz="4" w:space="0" w:color="A6A6A6"/>
              <w:bottom w:val="single" w:sz="4" w:space="0" w:color="A6A6A6"/>
            </w:tcBorders>
            <w:shd w:val="clear" w:color="auto" w:fill="auto"/>
          </w:tcPr>
          <w:p w:rsidR="007C2D06" w:rsidRPr="007C2D06" w:rsidRDefault="007C2D06" w:rsidP="00084885">
            <w:pPr>
              <w:pStyle w:val="TableText"/>
              <w:keepNext/>
              <w:jc w:val="center"/>
              <w:rPr>
                <w:b/>
              </w:rPr>
            </w:pPr>
            <w:r w:rsidRPr="007C2D06">
              <w:rPr>
                <w:b/>
              </w:rPr>
              <w:t>Female</w:t>
            </w:r>
          </w:p>
        </w:tc>
      </w:tr>
      <w:tr w:rsidR="007C2D06" w:rsidTr="00733F16">
        <w:trPr>
          <w:cantSplit/>
        </w:trPr>
        <w:tc>
          <w:tcPr>
            <w:tcW w:w="996" w:type="dxa"/>
            <w:vMerge/>
            <w:shd w:val="clear" w:color="auto" w:fill="auto"/>
          </w:tcPr>
          <w:p w:rsidR="007C2D06" w:rsidRPr="00F231D7" w:rsidRDefault="007C2D06" w:rsidP="00084885">
            <w:pPr>
              <w:pStyle w:val="TableText"/>
              <w:keepNext/>
            </w:pPr>
          </w:p>
        </w:tc>
        <w:tc>
          <w:tcPr>
            <w:tcW w:w="2090" w:type="dxa"/>
            <w:gridSpan w:val="2"/>
            <w:tcBorders>
              <w:top w:val="single" w:sz="4" w:space="0" w:color="auto"/>
              <w:left w:val="nil"/>
              <w:bottom w:val="single" w:sz="4" w:space="0" w:color="A6A6A6"/>
            </w:tcBorders>
            <w:shd w:val="clear" w:color="auto" w:fill="auto"/>
          </w:tcPr>
          <w:p w:rsidR="007C2D06" w:rsidRPr="007C2D06" w:rsidRDefault="007C2D06" w:rsidP="00084885">
            <w:pPr>
              <w:pStyle w:val="TableText"/>
              <w:keepNext/>
              <w:jc w:val="center"/>
              <w:rPr>
                <w:b/>
              </w:rPr>
            </w:pPr>
            <w:r w:rsidRPr="007C2D06">
              <w:rPr>
                <w:b/>
              </w:rPr>
              <w:t>Life expectancy</w:t>
            </w:r>
          </w:p>
        </w:tc>
        <w:tc>
          <w:tcPr>
            <w:tcW w:w="2090" w:type="dxa"/>
            <w:gridSpan w:val="2"/>
            <w:tcBorders>
              <w:top w:val="single" w:sz="4" w:space="0" w:color="auto"/>
              <w:left w:val="nil"/>
              <w:bottom w:val="single" w:sz="4" w:space="0" w:color="A6A6A6"/>
              <w:right w:val="single" w:sz="4" w:space="0" w:color="A6A6A6"/>
            </w:tcBorders>
            <w:shd w:val="clear" w:color="auto" w:fill="auto"/>
          </w:tcPr>
          <w:p w:rsidR="007C2D06" w:rsidRPr="007C2D06" w:rsidRDefault="007C2D06" w:rsidP="00084885">
            <w:pPr>
              <w:pStyle w:val="TableText"/>
              <w:keepNext/>
              <w:jc w:val="center"/>
              <w:rPr>
                <w:b/>
              </w:rPr>
            </w:pPr>
            <w:r w:rsidRPr="007C2D06">
              <w:rPr>
                <w:b/>
              </w:rPr>
              <w:t>Health expectancy</w:t>
            </w:r>
          </w:p>
        </w:tc>
        <w:tc>
          <w:tcPr>
            <w:tcW w:w="2090" w:type="dxa"/>
            <w:gridSpan w:val="2"/>
            <w:tcBorders>
              <w:top w:val="single" w:sz="4" w:space="0" w:color="auto"/>
              <w:left w:val="single" w:sz="4" w:space="0" w:color="A6A6A6"/>
              <w:bottom w:val="single" w:sz="4" w:space="0" w:color="A6A6A6"/>
            </w:tcBorders>
            <w:shd w:val="clear" w:color="auto" w:fill="auto"/>
          </w:tcPr>
          <w:p w:rsidR="007C2D06" w:rsidRPr="007C2D06" w:rsidRDefault="007C2D06" w:rsidP="00084885">
            <w:pPr>
              <w:pStyle w:val="TableText"/>
              <w:keepNext/>
              <w:jc w:val="center"/>
              <w:rPr>
                <w:b/>
              </w:rPr>
            </w:pPr>
            <w:r w:rsidRPr="007C2D06">
              <w:rPr>
                <w:b/>
              </w:rPr>
              <w:t>Life expectancy</w:t>
            </w:r>
          </w:p>
        </w:tc>
        <w:tc>
          <w:tcPr>
            <w:tcW w:w="2090" w:type="dxa"/>
            <w:gridSpan w:val="2"/>
            <w:tcBorders>
              <w:top w:val="single" w:sz="4" w:space="0" w:color="auto"/>
              <w:left w:val="nil"/>
              <w:bottom w:val="single" w:sz="4" w:space="0" w:color="A6A6A6"/>
            </w:tcBorders>
            <w:shd w:val="clear" w:color="auto" w:fill="auto"/>
          </w:tcPr>
          <w:p w:rsidR="007C2D06" w:rsidRPr="007C2D06" w:rsidRDefault="007C2D06" w:rsidP="00084885">
            <w:pPr>
              <w:pStyle w:val="TableText"/>
              <w:keepNext/>
              <w:jc w:val="center"/>
              <w:rPr>
                <w:b/>
              </w:rPr>
            </w:pPr>
            <w:r w:rsidRPr="007C2D06">
              <w:rPr>
                <w:b/>
              </w:rPr>
              <w:t>Health expectancy</w:t>
            </w:r>
          </w:p>
        </w:tc>
      </w:tr>
      <w:tr w:rsidR="007C2D06" w:rsidTr="00733F16">
        <w:trPr>
          <w:cantSplit/>
        </w:trPr>
        <w:tc>
          <w:tcPr>
            <w:tcW w:w="996" w:type="dxa"/>
            <w:vMerge/>
            <w:tcBorders>
              <w:bottom w:val="single" w:sz="4" w:space="0" w:color="A6A6A6"/>
            </w:tcBorders>
            <w:shd w:val="clear" w:color="auto" w:fill="auto"/>
          </w:tcPr>
          <w:p w:rsidR="007C2D06" w:rsidRPr="00F231D7" w:rsidRDefault="007C2D06" w:rsidP="00084885">
            <w:pPr>
              <w:pStyle w:val="TableText"/>
              <w:keepNext/>
            </w:pPr>
          </w:p>
        </w:tc>
        <w:tc>
          <w:tcPr>
            <w:tcW w:w="1045" w:type="dxa"/>
            <w:tcBorders>
              <w:top w:val="single" w:sz="4" w:space="0" w:color="auto"/>
              <w:left w:val="nil"/>
              <w:bottom w:val="single" w:sz="4" w:space="0" w:color="A6A6A6"/>
              <w:right w:val="nil"/>
            </w:tcBorders>
            <w:shd w:val="clear" w:color="auto" w:fill="auto"/>
          </w:tcPr>
          <w:p w:rsidR="007C2D06" w:rsidRPr="009A6472" w:rsidRDefault="007C2D06" w:rsidP="00084885">
            <w:pPr>
              <w:pStyle w:val="TableText"/>
              <w:keepNext/>
              <w:jc w:val="center"/>
              <w:rPr>
                <w:b/>
              </w:rPr>
            </w:pPr>
            <w:r w:rsidRPr="009A6472">
              <w:rPr>
                <w:b/>
              </w:rPr>
              <w:t>1990</w:t>
            </w:r>
          </w:p>
        </w:tc>
        <w:tc>
          <w:tcPr>
            <w:tcW w:w="1045" w:type="dxa"/>
            <w:tcBorders>
              <w:top w:val="single" w:sz="4" w:space="0" w:color="auto"/>
              <w:bottom w:val="single" w:sz="4" w:space="0" w:color="A6A6A6"/>
            </w:tcBorders>
            <w:shd w:val="clear" w:color="auto" w:fill="auto"/>
          </w:tcPr>
          <w:p w:rsidR="007C2D06" w:rsidRPr="009A6472" w:rsidRDefault="007C2D06" w:rsidP="00084885">
            <w:pPr>
              <w:pStyle w:val="TableText"/>
              <w:keepNext/>
              <w:jc w:val="center"/>
              <w:rPr>
                <w:b/>
              </w:rPr>
            </w:pPr>
            <w:r w:rsidRPr="009A6472">
              <w:rPr>
                <w:b/>
              </w:rPr>
              <w:t>2013</w:t>
            </w:r>
          </w:p>
        </w:tc>
        <w:tc>
          <w:tcPr>
            <w:tcW w:w="1045" w:type="dxa"/>
            <w:tcBorders>
              <w:top w:val="single" w:sz="4" w:space="0" w:color="auto"/>
              <w:left w:val="nil"/>
              <w:bottom w:val="single" w:sz="4" w:space="0" w:color="A6A6A6"/>
              <w:right w:val="nil"/>
            </w:tcBorders>
            <w:shd w:val="clear" w:color="auto" w:fill="auto"/>
          </w:tcPr>
          <w:p w:rsidR="007C2D06" w:rsidRPr="009A6472" w:rsidRDefault="007C2D06" w:rsidP="00084885">
            <w:pPr>
              <w:pStyle w:val="TableText"/>
              <w:keepNext/>
              <w:jc w:val="center"/>
              <w:rPr>
                <w:b/>
              </w:rPr>
            </w:pPr>
            <w:r w:rsidRPr="009A6472">
              <w:rPr>
                <w:b/>
              </w:rPr>
              <w:t>1990</w:t>
            </w:r>
          </w:p>
        </w:tc>
        <w:tc>
          <w:tcPr>
            <w:tcW w:w="1045" w:type="dxa"/>
            <w:tcBorders>
              <w:top w:val="single" w:sz="4" w:space="0" w:color="auto"/>
              <w:bottom w:val="single" w:sz="4" w:space="0" w:color="A6A6A6"/>
              <w:right w:val="single" w:sz="4" w:space="0" w:color="A6A6A6"/>
            </w:tcBorders>
            <w:shd w:val="clear" w:color="auto" w:fill="auto"/>
          </w:tcPr>
          <w:p w:rsidR="007C2D06" w:rsidRPr="009A6472" w:rsidRDefault="007C2D06" w:rsidP="00084885">
            <w:pPr>
              <w:pStyle w:val="TableText"/>
              <w:keepNext/>
              <w:jc w:val="center"/>
              <w:rPr>
                <w:b/>
              </w:rPr>
            </w:pPr>
            <w:r w:rsidRPr="009A6472">
              <w:rPr>
                <w:b/>
              </w:rPr>
              <w:t>2013</w:t>
            </w:r>
          </w:p>
        </w:tc>
        <w:tc>
          <w:tcPr>
            <w:tcW w:w="1045" w:type="dxa"/>
            <w:tcBorders>
              <w:top w:val="single" w:sz="4" w:space="0" w:color="auto"/>
              <w:left w:val="single" w:sz="4" w:space="0" w:color="A6A6A6"/>
              <w:bottom w:val="single" w:sz="4" w:space="0" w:color="A6A6A6"/>
              <w:right w:val="nil"/>
            </w:tcBorders>
            <w:shd w:val="clear" w:color="auto" w:fill="auto"/>
          </w:tcPr>
          <w:p w:rsidR="007C2D06" w:rsidRPr="009A6472" w:rsidRDefault="007C2D06" w:rsidP="00084885">
            <w:pPr>
              <w:pStyle w:val="TableText"/>
              <w:keepNext/>
              <w:jc w:val="center"/>
              <w:rPr>
                <w:b/>
              </w:rPr>
            </w:pPr>
            <w:r w:rsidRPr="009A6472">
              <w:rPr>
                <w:b/>
              </w:rPr>
              <w:t>1990</w:t>
            </w:r>
          </w:p>
        </w:tc>
        <w:tc>
          <w:tcPr>
            <w:tcW w:w="1045" w:type="dxa"/>
            <w:tcBorders>
              <w:top w:val="single" w:sz="4" w:space="0" w:color="auto"/>
              <w:bottom w:val="single" w:sz="4" w:space="0" w:color="A6A6A6"/>
            </w:tcBorders>
            <w:shd w:val="clear" w:color="auto" w:fill="auto"/>
          </w:tcPr>
          <w:p w:rsidR="007C2D06" w:rsidRPr="009A6472" w:rsidRDefault="007C2D06" w:rsidP="00084885">
            <w:pPr>
              <w:pStyle w:val="TableText"/>
              <w:keepNext/>
              <w:jc w:val="center"/>
              <w:rPr>
                <w:b/>
              </w:rPr>
            </w:pPr>
            <w:r w:rsidRPr="009A6472">
              <w:rPr>
                <w:b/>
              </w:rPr>
              <w:t>2013</w:t>
            </w:r>
          </w:p>
        </w:tc>
        <w:tc>
          <w:tcPr>
            <w:tcW w:w="1045" w:type="dxa"/>
            <w:tcBorders>
              <w:top w:val="single" w:sz="4" w:space="0" w:color="auto"/>
              <w:left w:val="nil"/>
              <w:bottom w:val="single" w:sz="4" w:space="0" w:color="A6A6A6"/>
              <w:right w:val="nil"/>
            </w:tcBorders>
            <w:shd w:val="clear" w:color="auto" w:fill="auto"/>
          </w:tcPr>
          <w:p w:rsidR="007C2D06" w:rsidRPr="009A6472" w:rsidRDefault="007C2D06" w:rsidP="00084885">
            <w:pPr>
              <w:pStyle w:val="TableText"/>
              <w:keepNext/>
              <w:jc w:val="center"/>
              <w:rPr>
                <w:b/>
              </w:rPr>
            </w:pPr>
            <w:r w:rsidRPr="009A6472">
              <w:rPr>
                <w:b/>
              </w:rPr>
              <w:t>1990</w:t>
            </w:r>
          </w:p>
        </w:tc>
        <w:tc>
          <w:tcPr>
            <w:tcW w:w="1045" w:type="dxa"/>
            <w:tcBorders>
              <w:top w:val="single" w:sz="4" w:space="0" w:color="auto"/>
              <w:bottom w:val="single" w:sz="4" w:space="0" w:color="A6A6A6"/>
            </w:tcBorders>
            <w:shd w:val="clear" w:color="auto" w:fill="auto"/>
          </w:tcPr>
          <w:p w:rsidR="007C2D06" w:rsidRPr="009A6472" w:rsidRDefault="007C2D06" w:rsidP="00084885">
            <w:pPr>
              <w:pStyle w:val="TableText"/>
              <w:keepNext/>
              <w:jc w:val="center"/>
              <w:rPr>
                <w:b/>
              </w:rPr>
            </w:pPr>
            <w:r w:rsidRPr="009A6472">
              <w:rPr>
                <w:b/>
              </w:rPr>
              <w:t>2013</w:t>
            </w:r>
          </w:p>
        </w:tc>
      </w:tr>
      <w:tr w:rsidR="007C2D06" w:rsidTr="00733F16">
        <w:trPr>
          <w:cantSplit/>
        </w:trPr>
        <w:tc>
          <w:tcPr>
            <w:tcW w:w="996" w:type="dxa"/>
            <w:tcBorders>
              <w:top w:val="single" w:sz="4" w:space="0" w:color="auto"/>
              <w:bottom w:val="single" w:sz="4" w:space="0" w:color="A6A6A6"/>
            </w:tcBorders>
            <w:shd w:val="clear" w:color="auto" w:fill="auto"/>
          </w:tcPr>
          <w:p w:rsidR="007C2D06" w:rsidRPr="00F231D7" w:rsidRDefault="007C2D06" w:rsidP="002C5AF5">
            <w:pPr>
              <w:pStyle w:val="TableText"/>
              <w:keepNext/>
            </w:pPr>
            <w:r w:rsidRPr="00F231D7">
              <w:t>NZL</w:t>
            </w:r>
          </w:p>
        </w:tc>
        <w:tc>
          <w:tcPr>
            <w:tcW w:w="1045" w:type="dxa"/>
            <w:tcBorders>
              <w:top w:val="single" w:sz="4" w:space="0" w:color="auto"/>
              <w:left w:val="nil"/>
              <w:bottom w:val="single" w:sz="4" w:space="0" w:color="A6A6A6"/>
              <w:right w:val="nil"/>
            </w:tcBorders>
            <w:shd w:val="clear" w:color="auto" w:fill="auto"/>
          </w:tcPr>
          <w:p w:rsidR="007C2D06" w:rsidRPr="00F231D7" w:rsidRDefault="007C2D06" w:rsidP="002C5AF5">
            <w:pPr>
              <w:pStyle w:val="TableText"/>
              <w:keepNext/>
              <w:jc w:val="center"/>
            </w:pPr>
            <w:r w:rsidRPr="00F231D7">
              <w:t>72.49</w:t>
            </w:r>
          </w:p>
        </w:tc>
        <w:tc>
          <w:tcPr>
            <w:tcW w:w="1045" w:type="dxa"/>
            <w:tcBorders>
              <w:top w:val="single" w:sz="4" w:space="0" w:color="auto"/>
              <w:bottom w:val="single" w:sz="4" w:space="0" w:color="A6A6A6"/>
            </w:tcBorders>
            <w:shd w:val="clear" w:color="auto" w:fill="auto"/>
          </w:tcPr>
          <w:p w:rsidR="007C2D06" w:rsidRPr="00F231D7" w:rsidRDefault="007C2D06" w:rsidP="002C5AF5">
            <w:pPr>
              <w:pStyle w:val="TableText"/>
              <w:keepNext/>
              <w:jc w:val="center"/>
            </w:pPr>
            <w:r w:rsidRPr="00F231D7">
              <w:t>78.61</w:t>
            </w:r>
          </w:p>
        </w:tc>
        <w:tc>
          <w:tcPr>
            <w:tcW w:w="1045" w:type="dxa"/>
            <w:tcBorders>
              <w:top w:val="single" w:sz="4" w:space="0" w:color="auto"/>
              <w:left w:val="nil"/>
              <w:bottom w:val="single" w:sz="4" w:space="0" w:color="A6A6A6"/>
              <w:right w:val="nil"/>
            </w:tcBorders>
            <w:shd w:val="clear" w:color="auto" w:fill="auto"/>
          </w:tcPr>
          <w:p w:rsidR="007C2D06" w:rsidRPr="00F231D7" w:rsidRDefault="007C2D06" w:rsidP="002C5AF5">
            <w:pPr>
              <w:pStyle w:val="TableText"/>
              <w:keepNext/>
              <w:jc w:val="center"/>
            </w:pPr>
            <w:r w:rsidRPr="00F231D7">
              <w:t>63.27</w:t>
            </w:r>
          </w:p>
        </w:tc>
        <w:tc>
          <w:tcPr>
            <w:tcW w:w="1045" w:type="dxa"/>
            <w:tcBorders>
              <w:top w:val="single" w:sz="4" w:space="0" w:color="auto"/>
              <w:bottom w:val="single" w:sz="4" w:space="0" w:color="A6A6A6"/>
              <w:right w:val="single" w:sz="4" w:space="0" w:color="A6A6A6"/>
            </w:tcBorders>
            <w:shd w:val="clear" w:color="auto" w:fill="auto"/>
          </w:tcPr>
          <w:p w:rsidR="007C2D06" w:rsidRPr="00F231D7" w:rsidRDefault="007C2D06" w:rsidP="002C5AF5">
            <w:pPr>
              <w:pStyle w:val="TableText"/>
              <w:keepNext/>
              <w:jc w:val="center"/>
            </w:pPr>
            <w:r w:rsidRPr="00F231D7">
              <w:t>68.19</w:t>
            </w:r>
          </w:p>
        </w:tc>
        <w:tc>
          <w:tcPr>
            <w:tcW w:w="1045" w:type="dxa"/>
            <w:tcBorders>
              <w:top w:val="single" w:sz="4" w:space="0" w:color="auto"/>
              <w:left w:val="single" w:sz="4" w:space="0" w:color="A6A6A6"/>
              <w:bottom w:val="single" w:sz="4" w:space="0" w:color="A6A6A6"/>
              <w:right w:val="nil"/>
            </w:tcBorders>
            <w:shd w:val="clear" w:color="auto" w:fill="auto"/>
          </w:tcPr>
          <w:p w:rsidR="007C2D06" w:rsidRPr="00F231D7" w:rsidRDefault="007C2D06" w:rsidP="002C5AF5">
            <w:pPr>
              <w:pStyle w:val="TableText"/>
              <w:keepNext/>
              <w:jc w:val="center"/>
            </w:pPr>
            <w:r w:rsidRPr="00F231D7">
              <w:t>78.21</w:t>
            </w:r>
          </w:p>
        </w:tc>
        <w:tc>
          <w:tcPr>
            <w:tcW w:w="1045" w:type="dxa"/>
            <w:tcBorders>
              <w:top w:val="single" w:sz="4" w:space="0" w:color="auto"/>
              <w:bottom w:val="single" w:sz="4" w:space="0" w:color="A6A6A6"/>
            </w:tcBorders>
            <w:shd w:val="clear" w:color="auto" w:fill="auto"/>
          </w:tcPr>
          <w:p w:rsidR="007C2D06" w:rsidRPr="00F231D7" w:rsidRDefault="007C2D06" w:rsidP="002C5AF5">
            <w:pPr>
              <w:pStyle w:val="TableText"/>
              <w:keepNext/>
              <w:jc w:val="center"/>
            </w:pPr>
            <w:r w:rsidRPr="00F231D7">
              <w:t>82.66</w:t>
            </w:r>
          </w:p>
        </w:tc>
        <w:tc>
          <w:tcPr>
            <w:tcW w:w="1045" w:type="dxa"/>
            <w:tcBorders>
              <w:top w:val="single" w:sz="4" w:space="0" w:color="auto"/>
              <w:left w:val="nil"/>
              <w:bottom w:val="single" w:sz="4" w:space="0" w:color="A6A6A6"/>
              <w:right w:val="nil"/>
            </w:tcBorders>
            <w:shd w:val="clear" w:color="auto" w:fill="auto"/>
          </w:tcPr>
          <w:p w:rsidR="007C2D06" w:rsidRPr="00F231D7" w:rsidRDefault="007C2D06" w:rsidP="002C5AF5">
            <w:pPr>
              <w:pStyle w:val="TableText"/>
              <w:keepNext/>
              <w:jc w:val="center"/>
            </w:pPr>
            <w:r w:rsidRPr="00F231D7">
              <w:t>67.18</w:t>
            </w:r>
          </w:p>
        </w:tc>
        <w:tc>
          <w:tcPr>
            <w:tcW w:w="1045" w:type="dxa"/>
            <w:tcBorders>
              <w:top w:val="single" w:sz="4" w:space="0" w:color="auto"/>
              <w:bottom w:val="single" w:sz="4" w:space="0" w:color="A6A6A6"/>
            </w:tcBorders>
            <w:shd w:val="clear" w:color="auto" w:fill="auto"/>
          </w:tcPr>
          <w:p w:rsidR="007C2D06" w:rsidRPr="00F231D7" w:rsidRDefault="007C2D06" w:rsidP="002C5AF5">
            <w:pPr>
              <w:pStyle w:val="TableText"/>
              <w:keepNext/>
              <w:jc w:val="center"/>
            </w:pPr>
            <w:r w:rsidRPr="00F231D7">
              <w:t>70.48</w:t>
            </w:r>
          </w:p>
        </w:tc>
      </w:tr>
      <w:tr w:rsidR="007C2D06" w:rsidTr="00733F16">
        <w:trPr>
          <w:cantSplit/>
        </w:trPr>
        <w:tc>
          <w:tcPr>
            <w:tcW w:w="996" w:type="dxa"/>
            <w:tcBorders>
              <w:top w:val="single" w:sz="4" w:space="0" w:color="A6A6A6"/>
              <w:bottom w:val="single" w:sz="4" w:space="0" w:color="A6A6A6"/>
              <w:right w:val="nil"/>
            </w:tcBorders>
            <w:shd w:val="clear" w:color="auto" w:fill="auto"/>
          </w:tcPr>
          <w:p w:rsidR="007C2D06" w:rsidRPr="00F231D7" w:rsidRDefault="007C2D06" w:rsidP="00120AB6">
            <w:pPr>
              <w:pStyle w:val="TableText"/>
              <w:keepNext/>
            </w:pPr>
            <w:r w:rsidRPr="00F231D7">
              <w:t>AUS</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120AB6">
            <w:pPr>
              <w:pStyle w:val="TableText"/>
              <w:keepNext/>
              <w:jc w:val="center"/>
            </w:pPr>
            <w:r w:rsidRPr="00F231D7">
              <w:t>73.93</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120AB6">
            <w:pPr>
              <w:pStyle w:val="TableText"/>
              <w:keepNext/>
              <w:jc w:val="center"/>
            </w:pPr>
            <w:r w:rsidRPr="00F231D7">
              <w:t>79.71</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120AB6">
            <w:pPr>
              <w:pStyle w:val="TableText"/>
              <w:keepNext/>
              <w:jc w:val="center"/>
            </w:pPr>
            <w:r w:rsidRPr="00F231D7">
              <w:t>64.14</w:t>
            </w:r>
          </w:p>
        </w:tc>
        <w:tc>
          <w:tcPr>
            <w:tcW w:w="1045" w:type="dxa"/>
            <w:tcBorders>
              <w:top w:val="single" w:sz="4" w:space="0" w:color="A6A6A6"/>
              <w:left w:val="nil"/>
              <w:bottom w:val="single" w:sz="4" w:space="0" w:color="A6A6A6"/>
              <w:right w:val="single" w:sz="4" w:space="0" w:color="A6A6A6"/>
            </w:tcBorders>
            <w:shd w:val="clear" w:color="auto" w:fill="auto"/>
          </w:tcPr>
          <w:p w:rsidR="007C2D06" w:rsidRPr="00F231D7" w:rsidRDefault="007C2D06" w:rsidP="00120AB6">
            <w:pPr>
              <w:pStyle w:val="TableText"/>
              <w:keepNext/>
              <w:jc w:val="center"/>
            </w:pPr>
            <w:r w:rsidRPr="00F231D7">
              <w:t>68.43</w:t>
            </w:r>
          </w:p>
        </w:tc>
        <w:tc>
          <w:tcPr>
            <w:tcW w:w="1045" w:type="dxa"/>
            <w:tcBorders>
              <w:top w:val="single" w:sz="4" w:space="0" w:color="A6A6A6"/>
              <w:left w:val="single" w:sz="4" w:space="0" w:color="A6A6A6"/>
              <w:bottom w:val="single" w:sz="4" w:space="0" w:color="A6A6A6"/>
              <w:right w:val="nil"/>
            </w:tcBorders>
            <w:shd w:val="clear" w:color="auto" w:fill="auto"/>
          </w:tcPr>
          <w:p w:rsidR="007C2D06" w:rsidRPr="00F231D7" w:rsidRDefault="007C2D06" w:rsidP="00120AB6">
            <w:pPr>
              <w:pStyle w:val="TableText"/>
              <w:keepNext/>
              <w:jc w:val="center"/>
            </w:pPr>
            <w:r w:rsidRPr="00F231D7">
              <w:t>80.15</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120AB6">
            <w:pPr>
              <w:pStyle w:val="TableText"/>
              <w:keepNext/>
              <w:jc w:val="center"/>
            </w:pPr>
            <w:r w:rsidRPr="00F231D7">
              <w:t>83.99</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120AB6">
            <w:pPr>
              <w:pStyle w:val="TableText"/>
              <w:keepNext/>
              <w:jc w:val="center"/>
            </w:pPr>
            <w:r w:rsidRPr="00F231D7">
              <w:t>67.93</w:t>
            </w:r>
          </w:p>
        </w:tc>
        <w:tc>
          <w:tcPr>
            <w:tcW w:w="1045" w:type="dxa"/>
            <w:tcBorders>
              <w:top w:val="single" w:sz="4" w:space="0" w:color="A6A6A6"/>
              <w:left w:val="nil"/>
              <w:bottom w:val="single" w:sz="4" w:space="0" w:color="A6A6A6"/>
            </w:tcBorders>
            <w:shd w:val="clear" w:color="auto" w:fill="auto"/>
          </w:tcPr>
          <w:p w:rsidR="007C2D06" w:rsidRPr="00F231D7" w:rsidRDefault="007C2D06" w:rsidP="00120AB6">
            <w:pPr>
              <w:pStyle w:val="TableText"/>
              <w:keepNext/>
              <w:jc w:val="center"/>
            </w:pPr>
            <w:r w:rsidRPr="00F231D7">
              <w:t>70.63</w:t>
            </w:r>
          </w:p>
        </w:tc>
      </w:tr>
      <w:tr w:rsidR="007C2D06" w:rsidTr="00733F16">
        <w:trPr>
          <w:cantSplit/>
        </w:trPr>
        <w:tc>
          <w:tcPr>
            <w:tcW w:w="996" w:type="dxa"/>
            <w:tcBorders>
              <w:top w:val="single" w:sz="4" w:space="0" w:color="A6A6A6"/>
              <w:bottom w:val="single" w:sz="4" w:space="0" w:color="A6A6A6"/>
              <w:right w:val="nil"/>
            </w:tcBorders>
            <w:shd w:val="clear" w:color="auto" w:fill="auto"/>
          </w:tcPr>
          <w:p w:rsidR="007C2D06" w:rsidRPr="00F231D7" w:rsidRDefault="007C2D06" w:rsidP="00120AB6">
            <w:pPr>
              <w:pStyle w:val="TableText"/>
              <w:keepNext/>
            </w:pPr>
            <w:r w:rsidRPr="00F231D7">
              <w:t>CAN</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74.20</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79.44</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65.13</w:t>
            </w:r>
          </w:p>
        </w:tc>
        <w:tc>
          <w:tcPr>
            <w:tcW w:w="1045" w:type="dxa"/>
            <w:tcBorders>
              <w:top w:val="single" w:sz="4" w:space="0" w:color="A6A6A6"/>
              <w:left w:val="nil"/>
              <w:bottom w:val="single" w:sz="4" w:space="0" w:color="A6A6A6"/>
              <w:right w:val="single" w:sz="4" w:space="0" w:color="A6A6A6"/>
            </w:tcBorders>
            <w:shd w:val="clear" w:color="auto" w:fill="auto"/>
          </w:tcPr>
          <w:p w:rsidR="007C2D06" w:rsidRPr="00F231D7" w:rsidRDefault="007C2D06" w:rsidP="00733F16">
            <w:pPr>
              <w:pStyle w:val="TableText"/>
              <w:jc w:val="center"/>
            </w:pPr>
            <w:r w:rsidRPr="00F231D7">
              <w:t>69.11</w:t>
            </w:r>
          </w:p>
        </w:tc>
        <w:tc>
          <w:tcPr>
            <w:tcW w:w="1045" w:type="dxa"/>
            <w:tcBorders>
              <w:top w:val="single" w:sz="4" w:space="0" w:color="A6A6A6"/>
              <w:left w:val="single" w:sz="4" w:space="0" w:color="A6A6A6"/>
              <w:bottom w:val="single" w:sz="4" w:space="0" w:color="A6A6A6"/>
              <w:right w:val="nil"/>
            </w:tcBorders>
            <w:shd w:val="clear" w:color="auto" w:fill="auto"/>
          </w:tcPr>
          <w:p w:rsidR="007C2D06" w:rsidRPr="00F231D7" w:rsidRDefault="007C2D06" w:rsidP="00733F16">
            <w:pPr>
              <w:pStyle w:val="TableText"/>
              <w:jc w:val="center"/>
            </w:pPr>
            <w:r w:rsidRPr="00F231D7">
              <w:t>80.59</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83.43</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68.74</w:t>
            </w:r>
          </w:p>
        </w:tc>
        <w:tc>
          <w:tcPr>
            <w:tcW w:w="1045" w:type="dxa"/>
            <w:tcBorders>
              <w:top w:val="single" w:sz="4" w:space="0" w:color="A6A6A6"/>
              <w:left w:val="nil"/>
              <w:bottom w:val="single" w:sz="4" w:space="0" w:color="A6A6A6"/>
            </w:tcBorders>
            <w:shd w:val="clear" w:color="auto" w:fill="auto"/>
          </w:tcPr>
          <w:p w:rsidR="007C2D06" w:rsidRPr="00F231D7" w:rsidRDefault="007C2D06" w:rsidP="00733F16">
            <w:pPr>
              <w:pStyle w:val="TableText"/>
              <w:jc w:val="center"/>
            </w:pPr>
            <w:r w:rsidRPr="00F231D7">
              <w:t>71.04</w:t>
            </w:r>
          </w:p>
        </w:tc>
      </w:tr>
      <w:tr w:rsidR="007C2D06" w:rsidTr="00733F16">
        <w:trPr>
          <w:cantSplit/>
        </w:trPr>
        <w:tc>
          <w:tcPr>
            <w:tcW w:w="996" w:type="dxa"/>
            <w:tcBorders>
              <w:top w:val="single" w:sz="4" w:space="0" w:color="A6A6A6"/>
              <w:bottom w:val="single" w:sz="4" w:space="0" w:color="A6A6A6"/>
              <w:right w:val="nil"/>
            </w:tcBorders>
            <w:shd w:val="clear" w:color="auto" w:fill="auto"/>
          </w:tcPr>
          <w:p w:rsidR="007C2D06" w:rsidRPr="00F231D7" w:rsidRDefault="007C2D06" w:rsidP="00733F16">
            <w:pPr>
              <w:pStyle w:val="TableText"/>
            </w:pPr>
            <w:r w:rsidRPr="00F231D7">
              <w:t>US</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71.87</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76.33</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62.62</w:t>
            </w:r>
          </w:p>
        </w:tc>
        <w:tc>
          <w:tcPr>
            <w:tcW w:w="1045" w:type="dxa"/>
            <w:tcBorders>
              <w:top w:val="single" w:sz="4" w:space="0" w:color="A6A6A6"/>
              <w:left w:val="nil"/>
              <w:bottom w:val="single" w:sz="4" w:space="0" w:color="A6A6A6"/>
              <w:right w:val="single" w:sz="4" w:space="0" w:color="A6A6A6"/>
            </w:tcBorders>
            <w:shd w:val="clear" w:color="auto" w:fill="auto"/>
          </w:tcPr>
          <w:p w:rsidR="007C2D06" w:rsidRPr="00F231D7" w:rsidRDefault="007C2D06" w:rsidP="00733F16">
            <w:pPr>
              <w:pStyle w:val="TableText"/>
              <w:jc w:val="center"/>
            </w:pPr>
            <w:r w:rsidRPr="00F231D7">
              <w:t>65.84</w:t>
            </w:r>
          </w:p>
        </w:tc>
        <w:tc>
          <w:tcPr>
            <w:tcW w:w="1045" w:type="dxa"/>
            <w:tcBorders>
              <w:top w:val="single" w:sz="4" w:space="0" w:color="A6A6A6"/>
              <w:left w:val="single" w:sz="4" w:space="0" w:color="A6A6A6"/>
              <w:bottom w:val="single" w:sz="4" w:space="0" w:color="A6A6A6"/>
              <w:right w:val="nil"/>
            </w:tcBorders>
            <w:shd w:val="clear" w:color="auto" w:fill="auto"/>
          </w:tcPr>
          <w:p w:rsidR="007C2D06" w:rsidRPr="00F231D7" w:rsidRDefault="007C2D06" w:rsidP="00733F16">
            <w:pPr>
              <w:pStyle w:val="TableText"/>
              <w:jc w:val="center"/>
            </w:pPr>
            <w:r w:rsidRPr="00F231D7">
              <w:t>78.84</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81.42</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66.96</w:t>
            </w:r>
          </w:p>
        </w:tc>
        <w:tc>
          <w:tcPr>
            <w:tcW w:w="1045" w:type="dxa"/>
            <w:tcBorders>
              <w:top w:val="single" w:sz="4" w:space="0" w:color="A6A6A6"/>
              <w:left w:val="nil"/>
              <w:bottom w:val="single" w:sz="4" w:space="0" w:color="A6A6A6"/>
            </w:tcBorders>
            <w:shd w:val="clear" w:color="auto" w:fill="auto"/>
          </w:tcPr>
          <w:p w:rsidR="007C2D06" w:rsidRPr="00F231D7" w:rsidRDefault="007C2D06" w:rsidP="00733F16">
            <w:pPr>
              <w:pStyle w:val="TableText"/>
              <w:jc w:val="center"/>
            </w:pPr>
            <w:r w:rsidRPr="00F231D7">
              <w:t>68.61</w:t>
            </w:r>
          </w:p>
        </w:tc>
      </w:tr>
      <w:tr w:rsidR="007C2D06" w:rsidTr="00733F16">
        <w:trPr>
          <w:cantSplit/>
        </w:trPr>
        <w:tc>
          <w:tcPr>
            <w:tcW w:w="996" w:type="dxa"/>
            <w:tcBorders>
              <w:top w:val="single" w:sz="4" w:space="0" w:color="A6A6A6"/>
              <w:bottom w:val="single" w:sz="4" w:space="0" w:color="A6A6A6"/>
              <w:right w:val="nil"/>
            </w:tcBorders>
            <w:shd w:val="clear" w:color="auto" w:fill="auto"/>
          </w:tcPr>
          <w:p w:rsidR="007C2D06" w:rsidRPr="00F231D7" w:rsidRDefault="007C2D06" w:rsidP="00733F16">
            <w:pPr>
              <w:pStyle w:val="TableText"/>
            </w:pPr>
            <w:r w:rsidRPr="00F231D7">
              <w:t>UK</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72.87</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79.09</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63.76</w:t>
            </w:r>
          </w:p>
        </w:tc>
        <w:tc>
          <w:tcPr>
            <w:tcW w:w="1045" w:type="dxa"/>
            <w:tcBorders>
              <w:top w:val="single" w:sz="4" w:space="0" w:color="A6A6A6"/>
              <w:left w:val="nil"/>
              <w:bottom w:val="single" w:sz="4" w:space="0" w:color="A6A6A6"/>
              <w:right w:val="single" w:sz="4" w:space="0" w:color="A6A6A6"/>
            </w:tcBorders>
            <w:shd w:val="clear" w:color="auto" w:fill="auto"/>
          </w:tcPr>
          <w:p w:rsidR="007C2D06" w:rsidRPr="00F231D7" w:rsidRDefault="007C2D06" w:rsidP="00733F16">
            <w:pPr>
              <w:pStyle w:val="TableText"/>
              <w:jc w:val="center"/>
            </w:pPr>
            <w:r w:rsidRPr="00F231D7">
              <w:t>68.48</w:t>
            </w:r>
          </w:p>
        </w:tc>
        <w:tc>
          <w:tcPr>
            <w:tcW w:w="1045" w:type="dxa"/>
            <w:tcBorders>
              <w:top w:val="single" w:sz="4" w:space="0" w:color="A6A6A6"/>
              <w:left w:val="single" w:sz="4" w:space="0" w:color="A6A6A6"/>
              <w:bottom w:val="single" w:sz="4" w:space="0" w:color="A6A6A6"/>
              <w:right w:val="nil"/>
            </w:tcBorders>
            <w:shd w:val="clear" w:color="auto" w:fill="auto"/>
          </w:tcPr>
          <w:p w:rsidR="007C2D06" w:rsidRPr="00F231D7" w:rsidRDefault="007C2D06" w:rsidP="00733F16">
            <w:pPr>
              <w:pStyle w:val="TableText"/>
              <w:jc w:val="center"/>
            </w:pPr>
            <w:r w:rsidRPr="00F231D7">
              <w:t>78.44</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82.84</w:t>
            </w:r>
          </w:p>
        </w:tc>
        <w:tc>
          <w:tcPr>
            <w:tcW w:w="1045" w:type="dxa"/>
            <w:tcBorders>
              <w:top w:val="single" w:sz="4" w:space="0" w:color="A6A6A6"/>
              <w:left w:val="nil"/>
              <w:bottom w:val="single" w:sz="4" w:space="0" w:color="A6A6A6"/>
              <w:right w:val="nil"/>
            </w:tcBorders>
            <w:shd w:val="clear" w:color="auto" w:fill="auto"/>
          </w:tcPr>
          <w:p w:rsidR="007C2D06" w:rsidRPr="00F231D7" w:rsidRDefault="007C2D06" w:rsidP="00733F16">
            <w:pPr>
              <w:pStyle w:val="TableText"/>
              <w:jc w:val="center"/>
            </w:pPr>
            <w:r w:rsidRPr="00F231D7">
              <w:t>67.26</w:t>
            </w:r>
          </w:p>
        </w:tc>
        <w:tc>
          <w:tcPr>
            <w:tcW w:w="1045" w:type="dxa"/>
            <w:tcBorders>
              <w:top w:val="single" w:sz="4" w:space="0" w:color="A6A6A6"/>
              <w:left w:val="nil"/>
              <w:bottom w:val="single" w:sz="4" w:space="0" w:color="A6A6A6"/>
            </w:tcBorders>
            <w:shd w:val="clear" w:color="auto" w:fill="auto"/>
          </w:tcPr>
          <w:p w:rsidR="007C2D06" w:rsidRPr="00F231D7" w:rsidRDefault="007C2D06" w:rsidP="00733F16">
            <w:pPr>
              <w:pStyle w:val="TableText"/>
              <w:jc w:val="center"/>
            </w:pPr>
            <w:r w:rsidRPr="00F231D7">
              <w:t>70.56</w:t>
            </w:r>
          </w:p>
        </w:tc>
      </w:tr>
      <w:tr w:rsidR="007C2D06" w:rsidTr="00733F16">
        <w:trPr>
          <w:cantSplit/>
        </w:trPr>
        <w:tc>
          <w:tcPr>
            <w:tcW w:w="996" w:type="dxa"/>
            <w:tcBorders>
              <w:top w:val="single" w:sz="4" w:space="0" w:color="A6A6A6"/>
              <w:bottom w:val="single" w:sz="4" w:space="0" w:color="auto"/>
            </w:tcBorders>
            <w:shd w:val="clear" w:color="auto" w:fill="auto"/>
          </w:tcPr>
          <w:p w:rsidR="007C2D06" w:rsidRPr="00F231D7" w:rsidRDefault="007C2D06" w:rsidP="00733F16">
            <w:pPr>
              <w:pStyle w:val="TableText"/>
            </w:pPr>
            <w:r w:rsidRPr="00F231D7">
              <w:t>IRE</w:t>
            </w:r>
          </w:p>
        </w:tc>
        <w:tc>
          <w:tcPr>
            <w:tcW w:w="1045" w:type="dxa"/>
            <w:tcBorders>
              <w:top w:val="single" w:sz="4" w:space="0" w:color="A6A6A6"/>
              <w:bottom w:val="single" w:sz="4" w:space="0" w:color="auto"/>
            </w:tcBorders>
            <w:shd w:val="clear" w:color="auto" w:fill="auto"/>
          </w:tcPr>
          <w:p w:rsidR="007C2D06" w:rsidRPr="00F231D7" w:rsidRDefault="007C2D06" w:rsidP="00733F16">
            <w:pPr>
              <w:pStyle w:val="TableText"/>
              <w:jc w:val="center"/>
            </w:pPr>
            <w:r w:rsidRPr="00F231D7">
              <w:t>72.13</w:t>
            </w:r>
          </w:p>
        </w:tc>
        <w:tc>
          <w:tcPr>
            <w:tcW w:w="1045" w:type="dxa"/>
            <w:tcBorders>
              <w:top w:val="single" w:sz="4" w:space="0" w:color="A6A6A6"/>
              <w:bottom w:val="single" w:sz="4" w:space="0" w:color="auto"/>
            </w:tcBorders>
            <w:shd w:val="clear" w:color="auto" w:fill="auto"/>
          </w:tcPr>
          <w:p w:rsidR="007C2D06" w:rsidRPr="00F231D7" w:rsidRDefault="007C2D06" w:rsidP="00733F16">
            <w:pPr>
              <w:pStyle w:val="TableText"/>
              <w:jc w:val="center"/>
            </w:pPr>
            <w:r w:rsidRPr="00F231D7">
              <w:t>78.20</w:t>
            </w:r>
          </w:p>
        </w:tc>
        <w:tc>
          <w:tcPr>
            <w:tcW w:w="1045" w:type="dxa"/>
            <w:tcBorders>
              <w:top w:val="single" w:sz="4" w:space="0" w:color="A6A6A6"/>
              <w:bottom w:val="single" w:sz="4" w:space="0" w:color="auto"/>
            </w:tcBorders>
            <w:shd w:val="clear" w:color="auto" w:fill="auto"/>
          </w:tcPr>
          <w:p w:rsidR="007C2D06" w:rsidRPr="00F231D7" w:rsidRDefault="007C2D06" w:rsidP="00733F16">
            <w:pPr>
              <w:pStyle w:val="TableText"/>
              <w:jc w:val="center"/>
            </w:pPr>
            <w:r w:rsidRPr="00F231D7">
              <w:t>63.31</w:t>
            </w:r>
          </w:p>
        </w:tc>
        <w:tc>
          <w:tcPr>
            <w:tcW w:w="1045" w:type="dxa"/>
            <w:tcBorders>
              <w:top w:val="single" w:sz="4" w:space="0" w:color="A6A6A6"/>
              <w:bottom w:val="single" w:sz="4" w:space="0" w:color="auto"/>
              <w:right w:val="single" w:sz="4" w:space="0" w:color="A6A6A6"/>
            </w:tcBorders>
            <w:shd w:val="clear" w:color="auto" w:fill="auto"/>
          </w:tcPr>
          <w:p w:rsidR="007C2D06" w:rsidRPr="00F231D7" w:rsidRDefault="007C2D06" w:rsidP="00733F16">
            <w:pPr>
              <w:pStyle w:val="TableText"/>
              <w:jc w:val="center"/>
            </w:pPr>
            <w:r w:rsidRPr="00F231D7">
              <w:t>68.20</w:t>
            </w:r>
          </w:p>
        </w:tc>
        <w:tc>
          <w:tcPr>
            <w:tcW w:w="1045" w:type="dxa"/>
            <w:tcBorders>
              <w:top w:val="single" w:sz="4" w:space="0" w:color="A6A6A6"/>
              <w:left w:val="single" w:sz="4" w:space="0" w:color="A6A6A6"/>
              <w:bottom w:val="single" w:sz="4" w:space="0" w:color="auto"/>
            </w:tcBorders>
            <w:shd w:val="clear" w:color="auto" w:fill="auto"/>
          </w:tcPr>
          <w:p w:rsidR="007C2D06" w:rsidRPr="00F231D7" w:rsidRDefault="007C2D06" w:rsidP="00733F16">
            <w:pPr>
              <w:pStyle w:val="TableText"/>
              <w:jc w:val="center"/>
            </w:pPr>
            <w:r w:rsidRPr="00F231D7">
              <w:t>77.64</w:t>
            </w:r>
          </w:p>
        </w:tc>
        <w:tc>
          <w:tcPr>
            <w:tcW w:w="1045" w:type="dxa"/>
            <w:tcBorders>
              <w:top w:val="single" w:sz="4" w:space="0" w:color="A6A6A6"/>
              <w:bottom w:val="single" w:sz="4" w:space="0" w:color="auto"/>
            </w:tcBorders>
            <w:shd w:val="clear" w:color="auto" w:fill="auto"/>
          </w:tcPr>
          <w:p w:rsidR="007C2D06" w:rsidRPr="00F231D7" w:rsidRDefault="007C2D06" w:rsidP="00733F16">
            <w:pPr>
              <w:pStyle w:val="TableText"/>
              <w:jc w:val="center"/>
            </w:pPr>
            <w:r w:rsidRPr="00F231D7">
              <w:t>82.67</w:t>
            </w:r>
          </w:p>
        </w:tc>
        <w:tc>
          <w:tcPr>
            <w:tcW w:w="1045" w:type="dxa"/>
            <w:tcBorders>
              <w:top w:val="single" w:sz="4" w:space="0" w:color="A6A6A6"/>
              <w:bottom w:val="single" w:sz="4" w:space="0" w:color="auto"/>
            </w:tcBorders>
            <w:shd w:val="clear" w:color="auto" w:fill="auto"/>
          </w:tcPr>
          <w:p w:rsidR="007C2D06" w:rsidRPr="00F231D7" w:rsidRDefault="007C2D06" w:rsidP="00733F16">
            <w:pPr>
              <w:pStyle w:val="TableText"/>
              <w:jc w:val="center"/>
            </w:pPr>
            <w:r w:rsidRPr="00F231D7">
              <w:t>66.86</w:t>
            </w:r>
          </w:p>
        </w:tc>
        <w:tc>
          <w:tcPr>
            <w:tcW w:w="1045" w:type="dxa"/>
            <w:tcBorders>
              <w:top w:val="single" w:sz="4" w:space="0" w:color="A6A6A6"/>
              <w:bottom w:val="single" w:sz="4" w:space="0" w:color="auto"/>
            </w:tcBorders>
            <w:shd w:val="clear" w:color="auto" w:fill="auto"/>
          </w:tcPr>
          <w:p w:rsidR="007C2D06" w:rsidRPr="00F231D7" w:rsidRDefault="007C2D06" w:rsidP="00733F16">
            <w:pPr>
              <w:pStyle w:val="TableText"/>
              <w:jc w:val="center"/>
            </w:pPr>
            <w:r w:rsidRPr="00F231D7">
              <w:t>70.73</w:t>
            </w:r>
          </w:p>
        </w:tc>
      </w:tr>
    </w:tbl>
    <w:p w:rsidR="006670D7" w:rsidRDefault="006670D7" w:rsidP="006670D7">
      <w:pPr>
        <w:pStyle w:val="Note"/>
        <w:ind w:left="0" w:right="0" w:firstLine="0"/>
      </w:pPr>
      <w:r>
        <w:t>Notes: (1) The GBD estimates for New Zealand life expectancy above differ slightly from those produced by Statistics New Zealand due to small differences in data and methods. These estimates are used in preference to the Statistics New Zealand estimates as the former are directly comparable with estimates for the peer group countries.</w:t>
      </w:r>
      <w:r w:rsidR="00EB6705">
        <w:t xml:space="preserve"> </w:t>
      </w:r>
      <w:r>
        <w:t>(2)</w:t>
      </w:r>
      <w:r w:rsidR="00EB6705">
        <w:t> </w:t>
      </w:r>
      <w:r>
        <w:t>Confidence intervals not shown for clarity of presentation.</w:t>
      </w:r>
    </w:p>
    <w:p w:rsidR="008A43AE" w:rsidRDefault="00EB6705" w:rsidP="002C5AF5">
      <w:pPr>
        <w:spacing w:before="220"/>
      </w:pPr>
      <w:r>
        <w:fldChar w:fldCharType="begin"/>
      </w:r>
      <w:r>
        <w:instrText xml:space="preserve"> REF _Ref441319236 \h </w:instrText>
      </w:r>
      <w:r>
        <w:fldChar w:fldCharType="separate"/>
      </w:r>
      <w:r w:rsidR="006C545C">
        <w:t xml:space="preserve">Table </w:t>
      </w:r>
      <w:r w:rsidR="006C545C">
        <w:rPr>
          <w:noProof/>
        </w:rPr>
        <w:t>7</w:t>
      </w:r>
      <w:r>
        <w:fldChar w:fldCharType="end"/>
      </w:r>
      <w:r w:rsidR="008A43AE" w:rsidRPr="00A834DF">
        <w:t xml:space="preserve"> </w:t>
      </w:r>
      <w:r w:rsidR="008A43AE">
        <w:t>summarises compression estimates for the six countries over the whole 23-year period (1990–2013).</w:t>
      </w:r>
    </w:p>
    <w:p w:rsidR="008A43AE" w:rsidRDefault="008A43AE" w:rsidP="002C5AF5">
      <w:pPr>
        <w:pStyle w:val="Table"/>
        <w:spacing w:before="300"/>
      </w:pPr>
      <w:bookmarkStart w:id="268" w:name="_Ref441319236"/>
      <w:bookmarkStart w:id="269" w:name="_Toc441576086"/>
      <w:bookmarkStart w:id="270" w:name="_Toc454078609"/>
      <w:bookmarkStart w:id="271" w:name="_Toc455733253"/>
      <w:r>
        <w:t xml:space="preserve">Table </w:t>
      </w:r>
      <w:r w:rsidR="00F456CC">
        <w:fldChar w:fldCharType="begin"/>
      </w:r>
      <w:r w:rsidR="00F456CC">
        <w:instrText xml:space="preserve"> SEQ Table \* ARABIC </w:instrText>
      </w:r>
      <w:r w:rsidR="00F456CC">
        <w:fldChar w:fldCharType="separate"/>
      </w:r>
      <w:r w:rsidR="006C545C">
        <w:rPr>
          <w:noProof/>
        </w:rPr>
        <w:t>7</w:t>
      </w:r>
      <w:r w:rsidR="00F456CC">
        <w:rPr>
          <w:noProof/>
        </w:rPr>
        <w:fldChar w:fldCharType="end"/>
      </w:r>
      <w:bookmarkEnd w:id="268"/>
      <w:r>
        <w:t xml:space="preserve">: </w:t>
      </w:r>
      <w:r w:rsidRPr="005440A5">
        <w:t>Absolute and relative compression of morbidity, selected countries, 1990</w:t>
      </w:r>
      <w:r>
        <w:t>–</w:t>
      </w:r>
      <w:r w:rsidRPr="005440A5">
        <w:t>2013</w:t>
      </w:r>
      <w:bookmarkEnd w:id="269"/>
      <w:bookmarkEnd w:id="270"/>
      <w:bookmarkEnd w:id="271"/>
    </w:p>
    <w:tbl>
      <w:tblPr>
        <w:tblW w:w="0" w:type="auto"/>
        <w:tblInd w:w="57" w:type="dxa"/>
        <w:tblBorders>
          <w:top w:val="single" w:sz="8" w:space="0" w:color="8064A2"/>
          <w:bottom w:val="single" w:sz="8" w:space="0" w:color="8064A2"/>
        </w:tblBorders>
        <w:tblLayout w:type="fixed"/>
        <w:tblCellMar>
          <w:left w:w="57" w:type="dxa"/>
          <w:right w:w="57" w:type="dxa"/>
        </w:tblCellMar>
        <w:tblLook w:val="04A0" w:firstRow="1" w:lastRow="0" w:firstColumn="1" w:lastColumn="0" w:noHBand="0" w:noVBand="1"/>
      </w:tblPr>
      <w:tblGrid>
        <w:gridCol w:w="1848"/>
        <w:gridCol w:w="1848"/>
        <w:gridCol w:w="1848"/>
        <w:gridCol w:w="1849"/>
        <w:gridCol w:w="1849"/>
      </w:tblGrid>
      <w:tr w:rsidR="008A43AE" w:rsidRPr="009A6472" w:rsidTr="00733F16">
        <w:trPr>
          <w:cantSplit/>
        </w:trPr>
        <w:tc>
          <w:tcPr>
            <w:tcW w:w="1848" w:type="dxa"/>
            <w:vMerge w:val="restart"/>
            <w:tcBorders>
              <w:top w:val="single" w:sz="4" w:space="0" w:color="auto"/>
            </w:tcBorders>
            <w:shd w:val="clear" w:color="auto" w:fill="auto"/>
          </w:tcPr>
          <w:p w:rsidR="008A43AE" w:rsidRPr="009A6472" w:rsidRDefault="008A43AE" w:rsidP="00733F16">
            <w:pPr>
              <w:pStyle w:val="TableText"/>
              <w:rPr>
                <w:b/>
              </w:rPr>
            </w:pPr>
          </w:p>
        </w:tc>
        <w:tc>
          <w:tcPr>
            <w:tcW w:w="3696" w:type="dxa"/>
            <w:gridSpan w:val="2"/>
            <w:tcBorders>
              <w:top w:val="single" w:sz="4" w:space="0" w:color="auto"/>
              <w:bottom w:val="single" w:sz="4" w:space="0" w:color="A6A6A6"/>
            </w:tcBorders>
            <w:shd w:val="clear" w:color="auto" w:fill="auto"/>
          </w:tcPr>
          <w:p w:rsidR="008A43AE" w:rsidRPr="009A6472" w:rsidRDefault="008A43AE" w:rsidP="00733F16">
            <w:pPr>
              <w:pStyle w:val="TableText"/>
              <w:jc w:val="center"/>
              <w:rPr>
                <w:b/>
              </w:rPr>
            </w:pPr>
            <w:r w:rsidRPr="009A6472">
              <w:rPr>
                <w:b/>
              </w:rPr>
              <w:t>Male</w:t>
            </w:r>
          </w:p>
        </w:tc>
        <w:tc>
          <w:tcPr>
            <w:tcW w:w="3698" w:type="dxa"/>
            <w:gridSpan w:val="2"/>
            <w:tcBorders>
              <w:top w:val="single" w:sz="4" w:space="0" w:color="auto"/>
              <w:bottom w:val="single" w:sz="4" w:space="0" w:color="A6A6A6"/>
            </w:tcBorders>
            <w:shd w:val="clear" w:color="auto" w:fill="auto"/>
          </w:tcPr>
          <w:p w:rsidR="008A43AE" w:rsidRPr="009A6472" w:rsidRDefault="008A43AE" w:rsidP="00733F16">
            <w:pPr>
              <w:pStyle w:val="TableText"/>
              <w:jc w:val="center"/>
              <w:rPr>
                <w:b/>
              </w:rPr>
            </w:pPr>
            <w:r w:rsidRPr="009A6472">
              <w:rPr>
                <w:b/>
              </w:rPr>
              <w:t>Female</w:t>
            </w:r>
          </w:p>
        </w:tc>
      </w:tr>
      <w:tr w:rsidR="008A43AE" w:rsidRPr="009A6472" w:rsidTr="00733F16">
        <w:trPr>
          <w:cantSplit/>
        </w:trPr>
        <w:tc>
          <w:tcPr>
            <w:tcW w:w="1848" w:type="dxa"/>
            <w:vMerge/>
            <w:tcBorders>
              <w:bottom w:val="single" w:sz="4" w:space="0" w:color="auto"/>
            </w:tcBorders>
            <w:shd w:val="clear" w:color="auto" w:fill="auto"/>
          </w:tcPr>
          <w:p w:rsidR="008A43AE" w:rsidRPr="009A6472" w:rsidRDefault="008A43AE" w:rsidP="00733F16">
            <w:pPr>
              <w:pStyle w:val="TableText"/>
              <w:rPr>
                <w:b/>
              </w:rPr>
            </w:pPr>
          </w:p>
        </w:tc>
        <w:tc>
          <w:tcPr>
            <w:tcW w:w="1848" w:type="dxa"/>
            <w:tcBorders>
              <w:top w:val="single" w:sz="4" w:space="0" w:color="A6A6A6"/>
              <w:bottom w:val="single" w:sz="4" w:space="0" w:color="auto"/>
            </w:tcBorders>
            <w:shd w:val="clear" w:color="auto" w:fill="auto"/>
          </w:tcPr>
          <w:p w:rsidR="008A43AE" w:rsidRPr="009A6472" w:rsidRDefault="008A43AE" w:rsidP="00733F16">
            <w:pPr>
              <w:pStyle w:val="TableText"/>
              <w:jc w:val="center"/>
              <w:rPr>
                <w:b/>
              </w:rPr>
            </w:pPr>
            <w:r w:rsidRPr="009A6472">
              <w:rPr>
                <w:b/>
              </w:rPr>
              <w:t>C</w:t>
            </w:r>
            <w:r w:rsidRPr="009A6472">
              <w:rPr>
                <w:b/>
                <w:vertAlign w:val="subscript"/>
              </w:rPr>
              <w:t xml:space="preserve">abs </w:t>
            </w:r>
            <w:r w:rsidRPr="009A6472">
              <w:rPr>
                <w:b/>
              </w:rPr>
              <w:t>(years)</w:t>
            </w:r>
          </w:p>
        </w:tc>
        <w:tc>
          <w:tcPr>
            <w:tcW w:w="1848" w:type="dxa"/>
            <w:tcBorders>
              <w:top w:val="single" w:sz="4" w:space="0" w:color="A6A6A6"/>
              <w:bottom w:val="single" w:sz="4" w:space="0" w:color="auto"/>
            </w:tcBorders>
            <w:shd w:val="clear" w:color="auto" w:fill="auto"/>
          </w:tcPr>
          <w:p w:rsidR="008A43AE" w:rsidRPr="009A6472" w:rsidRDefault="008A43AE" w:rsidP="00733F16">
            <w:pPr>
              <w:pStyle w:val="TableText"/>
              <w:jc w:val="center"/>
              <w:rPr>
                <w:b/>
              </w:rPr>
            </w:pPr>
            <w:proofErr w:type="spellStart"/>
            <w:r w:rsidRPr="009A6472">
              <w:rPr>
                <w:b/>
              </w:rPr>
              <w:t>C</w:t>
            </w:r>
            <w:r w:rsidRPr="009A6472">
              <w:rPr>
                <w:b/>
                <w:vertAlign w:val="subscript"/>
              </w:rPr>
              <w:t>rel</w:t>
            </w:r>
            <w:proofErr w:type="spellEnd"/>
            <w:r w:rsidRPr="009A6472">
              <w:rPr>
                <w:b/>
                <w:vertAlign w:val="subscript"/>
              </w:rPr>
              <w:t xml:space="preserve"> </w:t>
            </w:r>
            <w:r w:rsidRPr="009A6472">
              <w:rPr>
                <w:b/>
              </w:rPr>
              <w:t>(%)</w:t>
            </w:r>
          </w:p>
        </w:tc>
        <w:tc>
          <w:tcPr>
            <w:tcW w:w="1849" w:type="dxa"/>
            <w:tcBorders>
              <w:top w:val="single" w:sz="4" w:space="0" w:color="A6A6A6"/>
              <w:bottom w:val="single" w:sz="4" w:space="0" w:color="auto"/>
            </w:tcBorders>
            <w:shd w:val="clear" w:color="auto" w:fill="auto"/>
          </w:tcPr>
          <w:p w:rsidR="008A43AE" w:rsidRPr="009A6472" w:rsidRDefault="008A43AE" w:rsidP="00733F16">
            <w:pPr>
              <w:pStyle w:val="TableText"/>
              <w:jc w:val="center"/>
              <w:rPr>
                <w:b/>
              </w:rPr>
            </w:pPr>
            <w:r w:rsidRPr="009A6472">
              <w:rPr>
                <w:b/>
              </w:rPr>
              <w:t>C</w:t>
            </w:r>
            <w:r w:rsidRPr="009A6472">
              <w:rPr>
                <w:b/>
                <w:vertAlign w:val="subscript"/>
              </w:rPr>
              <w:t xml:space="preserve">abs </w:t>
            </w:r>
            <w:r w:rsidRPr="009A6472">
              <w:rPr>
                <w:b/>
              </w:rPr>
              <w:t>(years)</w:t>
            </w:r>
          </w:p>
        </w:tc>
        <w:tc>
          <w:tcPr>
            <w:tcW w:w="1849" w:type="dxa"/>
            <w:tcBorders>
              <w:top w:val="single" w:sz="4" w:space="0" w:color="A6A6A6"/>
              <w:bottom w:val="single" w:sz="4" w:space="0" w:color="auto"/>
            </w:tcBorders>
            <w:shd w:val="clear" w:color="auto" w:fill="auto"/>
          </w:tcPr>
          <w:p w:rsidR="008A43AE" w:rsidRPr="009A6472" w:rsidRDefault="008A43AE" w:rsidP="00733F16">
            <w:pPr>
              <w:pStyle w:val="TableText"/>
              <w:jc w:val="center"/>
              <w:rPr>
                <w:b/>
              </w:rPr>
            </w:pPr>
            <w:proofErr w:type="spellStart"/>
            <w:r w:rsidRPr="009A6472">
              <w:rPr>
                <w:b/>
              </w:rPr>
              <w:t>C</w:t>
            </w:r>
            <w:r w:rsidRPr="009A6472">
              <w:rPr>
                <w:b/>
                <w:vertAlign w:val="subscript"/>
              </w:rPr>
              <w:t>rel</w:t>
            </w:r>
            <w:proofErr w:type="spellEnd"/>
            <w:r w:rsidRPr="009A6472">
              <w:rPr>
                <w:b/>
                <w:vertAlign w:val="subscript"/>
              </w:rPr>
              <w:t xml:space="preserve"> </w:t>
            </w:r>
            <w:r w:rsidRPr="009A6472">
              <w:rPr>
                <w:b/>
              </w:rPr>
              <w:t>(%)</w:t>
            </w:r>
          </w:p>
        </w:tc>
      </w:tr>
      <w:tr w:rsidR="008A43AE" w:rsidTr="00733F16">
        <w:trPr>
          <w:cantSplit/>
        </w:trPr>
        <w:tc>
          <w:tcPr>
            <w:tcW w:w="1848" w:type="dxa"/>
            <w:tcBorders>
              <w:top w:val="single" w:sz="4" w:space="0" w:color="auto"/>
              <w:bottom w:val="single" w:sz="4" w:space="0" w:color="A6A6A6"/>
            </w:tcBorders>
            <w:shd w:val="clear" w:color="auto" w:fill="auto"/>
          </w:tcPr>
          <w:p w:rsidR="008A43AE" w:rsidRPr="00F231D7" w:rsidRDefault="008A43AE" w:rsidP="00733F16">
            <w:pPr>
              <w:pStyle w:val="TableText"/>
            </w:pPr>
            <w:r w:rsidRPr="00F231D7">
              <w:t>NZL</w:t>
            </w:r>
          </w:p>
        </w:tc>
        <w:tc>
          <w:tcPr>
            <w:tcW w:w="1848" w:type="dxa"/>
            <w:tcBorders>
              <w:top w:val="single" w:sz="4" w:space="0" w:color="auto"/>
              <w:bottom w:val="single" w:sz="4" w:space="0" w:color="A6A6A6"/>
            </w:tcBorders>
            <w:shd w:val="clear" w:color="auto" w:fill="auto"/>
          </w:tcPr>
          <w:p w:rsidR="008A43AE" w:rsidRPr="00F231D7" w:rsidRDefault="008A43AE" w:rsidP="00733F16">
            <w:pPr>
              <w:pStyle w:val="TableText"/>
              <w:jc w:val="center"/>
            </w:pPr>
            <w:r w:rsidRPr="00F231D7">
              <w:t>–1.20</w:t>
            </w:r>
          </w:p>
        </w:tc>
        <w:tc>
          <w:tcPr>
            <w:tcW w:w="1848" w:type="dxa"/>
            <w:tcBorders>
              <w:top w:val="single" w:sz="4" w:space="0" w:color="auto"/>
              <w:bottom w:val="single" w:sz="4" w:space="0" w:color="A6A6A6"/>
            </w:tcBorders>
            <w:shd w:val="clear" w:color="auto" w:fill="auto"/>
          </w:tcPr>
          <w:p w:rsidR="008A43AE" w:rsidRPr="00F231D7" w:rsidRDefault="008A43AE" w:rsidP="00733F16">
            <w:pPr>
              <w:pStyle w:val="TableText"/>
              <w:jc w:val="center"/>
            </w:pPr>
            <w:r w:rsidRPr="00F231D7">
              <w:t>–0.54</w:t>
            </w:r>
          </w:p>
        </w:tc>
        <w:tc>
          <w:tcPr>
            <w:tcW w:w="1849" w:type="dxa"/>
            <w:tcBorders>
              <w:top w:val="single" w:sz="4" w:space="0" w:color="auto"/>
              <w:bottom w:val="single" w:sz="4" w:space="0" w:color="A6A6A6"/>
            </w:tcBorders>
            <w:shd w:val="clear" w:color="auto" w:fill="auto"/>
          </w:tcPr>
          <w:p w:rsidR="008A43AE" w:rsidRPr="00F231D7" w:rsidRDefault="008A43AE" w:rsidP="00733F16">
            <w:pPr>
              <w:pStyle w:val="TableText"/>
              <w:jc w:val="center"/>
            </w:pPr>
            <w:r w:rsidRPr="00F231D7">
              <w:t>–1.15</w:t>
            </w:r>
          </w:p>
        </w:tc>
        <w:tc>
          <w:tcPr>
            <w:tcW w:w="1849" w:type="dxa"/>
            <w:tcBorders>
              <w:top w:val="single" w:sz="4" w:space="0" w:color="auto"/>
              <w:bottom w:val="single" w:sz="4" w:space="0" w:color="A6A6A6"/>
            </w:tcBorders>
            <w:shd w:val="clear" w:color="auto" w:fill="auto"/>
          </w:tcPr>
          <w:p w:rsidR="008A43AE" w:rsidRPr="00F231D7" w:rsidRDefault="008A43AE" w:rsidP="00733F16">
            <w:pPr>
              <w:pStyle w:val="TableText"/>
              <w:jc w:val="center"/>
            </w:pPr>
            <w:r w:rsidRPr="00F231D7">
              <w:t>–0.64</w:t>
            </w:r>
          </w:p>
        </w:tc>
      </w:tr>
      <w:tr w:rsidR="008A43AE" w:rsidTr="00733F16">
        <w:trPr>
          <w:cantSplit/>
        </w:trPr>
        <w:tc>
          <w:tcPr>
            <w:tcW w:w="1848" w:type="dxa"/>
            <w:tcBorders>
              <w:top w:val="single" w:sz="4" w:space="0" w:color="A6A6A6"/>
              <w:bottom w:val="single" w:sz="4" w:space="0" w:color="A6A6A6"/>
            </w:tcBorders>
            <w:shd w:val="clear" w:color="auto" w:fill="auto"/>
          </w:tcPr>
          <w:p w:rsidR="008A43AE" w:rsidRPr="00F231D7" w:rsidRDefault="008A43AE" w:rsidP="00733F16">
            <w:pPr>
              <w:pStyle w:val="TableText"/>
            </w:pPr>
            <w:r w:rsidRPr="00F231D7">
              <w:t>AUS</w:t>
            </w:r>
          </w:p>
        </w:tc>
        <w:tc>
          <w:tcPr>
            <w:tcW w:w="1848"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–1.49</w:t>
            </w:r>
          </w:p>
        </w:tc>
        <w:tc>
          <w:tcPr>
            <w:tcW w:w="1848"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–0.91</w:t>
            </w:r>
          </w:p>
        </w:tc>
        <w:tc>
          <w:tcPr>
            <w:tcW w:w="1849"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–1.14</w:t>
            </w:r>
          </w:p>
        </w:tc>
        <w:tc>
          <w:tcPr>
            <w:tcW w:w="1849"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–0.66</w:t>
            </w:r>
          </w:p>
        </w:tc>
      </w:tr>
      <w:tr w:rsidR="008A43AE" w:rsidTr="00733F16">
        <w:trPr>
          <w:cantSplit/>
        </w:trPr>
        <w:tc>
          <w:tcPr>
            <w:tcW w:w="1848" w:type="dxa"/>
            <w:tcBorders>
              <w:top w:val="single" w:sz="4" w:space="0" w:color="A6A6A6"/>
              <w:bottom w:val="single" w:sz="4" w:space="0" w:color="A6A6A6"/>
            </w:tcBorders>
            <w:shd w:val="clear" w:color="auto" w:fill="auto"/>
          </w:tcPr>
          <w:p w:rsidR="008A43AE" w:rsidRPr="00F231D7" w:rsidRDefault="008A43AE" w:rsidP="00733F16">
            <w:pPr>
              <w:pStyle w:val="TableText"/>
            </w:pPr>
            <w:r w:rsidRPr="00F231D7">
              <w:t>CAN</w:t>
            </w:r>
          </w:p>
        </w:tc>
        <w:tc>
          <w:tcPr>
            <w:tcW w:w="1848"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–1.26</w:t>
            </w:r>
          </w:p>
        </w:tc>
        <w:tc>
          <w:tcPr>
            <w:tcW w:w="1848"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–0.78</w:t>
            </w:r>
          </w:p>
        </w:tc>
        <w:tc>
          <w:tcPr>
            <w:tcW w:w="1849"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–0.54</w:t>
            </w:r>
          </w:p>
        </w:tc>
        <w:tc>
          <w:tcPr>
            <w:tcW w:w="1849"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–0.14</w:t>
            </w:r>
          </w:p>
        </w:tc>
      </w:tr>
      <w:tr w:rsidR="008A43AE" w:rsidTr="00733F16">
        <w:trPr>
          <w:cantSplit/>
        </w:trPr>
        <w:tc>
          <w:tcPr>
            <w:tcW w:w="1848" w:type="dxa"/>
            <w:tcBorders>
              <w:top w:val="single" w:sz="4" w:space="0" w:color="A6A6A6"/>
              <w:bottom w:val="single" w:sz="4" w:space="0" w:color="A6A6A6"/>
            </w:tcBorders>
            <w:shd w:val="clear" w:color="auto" w:fill="auto"/>
          </w:tcPr>
          <w:p w:rsidR="008A43AE" w:rsidRPr="00F231D7" w:rsidRDefault="008A43AE" w:rsidP="00733F16">
            <w:pPr>
              <w:pStyle w:val="TableText"/>
            </w:pPr>
            <w:r w:rsidRPr="00F231D7">
              <w:t>US</w:t>
            </w:r>
          </w:p>
        </w:tc>
        <w:tc>
          <w:tcPr>
            <w:tcW w:w="1848"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–1.28</w:t>
            </w:r>
          </w:p>
        </w:tc>
        <w:tc>
          <w:tcPr>
            <w:tcW w:w="1848"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–1.24</w:t>
            </w:r>
          </w:p>
        </w:tc>
        <w:tc>
          <w:tcPr>
            <w:tcW w:w="1849"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–0.93</w:t>
            </w:r>
          </w:p>
        </w:tc>
        <w:tc>
          <w:tcPr>
            <w:tcW w:w="1849"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–0.66</w:t>
            </w:r>
          </w:p>
        </w:tc>
      </w:tr>
      <w:tr w:rsidR="008A43AE" w:rsidTr="00733F16">
        <w:trPr>
          <w:cantSplit/>
        </w:trPr>
        <w:tc>
          <w:tcPr>
            <w:tcW w:w="1848" w:type="dxa"/>
            <w:tcBorders>
              <w:top w:val="single" w:sz="4" w:space="0" w:color="A6A6A6"/>
              <w:bottom w:val="single" w:sz="4" w:space="0" w:color="A6A6A6"/>
            </w:tcBorders>
            <w:shd w:val="clear" w:color="auto" w:fill="auto"/>
          </w:tcPr>
          <w:p w:rsidR="008A43AE" w:rsidRPr="00F231D7" w:rsidRDefault="008A43AE" w:rsidP="00733F16">
            <w:pPr>
              <w:pStyle w:val="TableText"/>
            </w:pPr>
            <w:r w:rsidRPr="00F231D7">
              <w:t>UK</w:t>
            </w:r>
          </w:p>
        </w:tc>
        <w:tc>
          <w:tcPr>
            <w:tcW w:w="1848"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–1.50</w:t>
            </w:r>
          </w:p>
        </w:tc>
        <w:tc>
          <w:tcPr>
            <w:tcW w:w="1848"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–0.92</w:t>
            </w:r>
          </w:p>
        </w:tc>
        <w:tc>
          <w:tcPr>
            <w:tcW w:w="1849"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–1.10</w:t>
            </w:r>
          </w:p>
        </w:tc>
        <w:tc>
          <w:tcPr>
            <w:tcW w:w="1849" w:type="dxa"/>
            <w:tcBorders>
              <w:top w:val="single" w:sz="4" w:space="0" w:color="A6A6A6"/>
              <w:bottom w:val="single" w:sz="4" w:space="0" w:color="A6A6A6"/>
            </w:tcBorders>
            <w:shd w:val="clear" w:color="auto" w:fill="auto"/>
          </w:tcPr>
          <w:p w:rsidR="008A43AE" w:rsidRPr="00F231D7" w:rsidRDefault="008A43AE" w:rsidP="00733F16">
            <w:pPr>
              <w:pStyle w:val="TableText"/>
              <w:jc w:val="center"/>
            </w:pPr>
            <w:r w:rsidRPr="00F231D7">
              <w:t>–0.57</w:t>
            </w:r>
          </w:p>
        </w:tc>
      </w:tr>
      <w:tr w:rsidR="008A43AE" w:rsidTr="00733F16">
        <w:trPr>
          <w:cantSplit/>
        </w:trPr>
        <w:tc>
          <w:tcPr>
            <w:tcW w:w="1848" w:type="dxa"/>
            <w:tcBorders>
              <w:top w:val="single" w:sz="4" w:space="0" w:color="A6A6A6"/>
              <w:bottom w:val="single" w:sz="4" w:space="0" w:color="auto"/>
            </w:tcBorders>
            <w:shd w:val="clear" w:color="auto" w:fill="auto"/>
          </w:tcPr>
          <w:p w:rsidR="008A43AE" w:rsidRPr="00F231D7" w:rsidRDefault="008A43AE" w:rsidP="00733F16">
            <w:pPr>
              <w:pStyle w:val="TableText"/>
            </w:pPr>
            <w:r w:rsidRPr="00F231D7">
              <w:t>IRE</w:t>
            </w:r>
          </w:p>
        </w:tc>
        <w:tc>
          <w:tcPr>
            <w:tcW w:w="1848" w:type="dxa"/>
            <w:tcBorders>
              <w:top w:val="single" w:sz="4" w:space="0" w:color="A6A6A6"/>
              <w:bottom w:val="single" w:sz="4" w:space="0" w:color="auto"/>
            </w:tcBorders>
            <w:shd w:val="clear" w:color="auto" w:fill="auto"/>
          </w:tcPr>
          <w:p w:rsidR="008A43AE" w:rsidRPr="00F231D7" w:rsidRDefault="008A43AE" w:rsidP="00733F16">
            <w:pPr>
              <w:pStyle w:val="TableText"/>
              <w:jc w:val="center"/>
            </w:pPr>
            <w:r w:rsidRPr="00F231D7">
              <w:t>–1.18</w:t>
            </w:r>
          </w:p>
        </w:tc>
        <w:tc>
          <w:tcPr>
            <w:tcW w:w="1848" w:type="dxa"/>
            <w:tcBorders>
              <w:top w:val="single" w:sz="4" w:space="0" w:color="A6A6A6"/>
              <w:bottom w:val="single" w:sz="4" w:space="0" w:color="auto"/>
            </w:tcBorders>
            <w:shd w:val="clear" w:color="auto" w:fill="auto"/>
          </w:tcPr>
          <w:p w:rsidR="008A43AE" w:rsidRPr="00F231D7" w:rsidRDefault="008A43AE" w:rsidP="00733F16">
            <w:pPr>
              <w:pStyle w:val="TableText"/>
              <w:jc w:val="center"/>
            </w:pPr>
            <w:r w:rsidRPr="00F231D7">
              <w:t>–0.56</w:t>
            </w:r>
          </w:p>
        </w:tc>
        <w:tc>
          <w:tcPr>
            <w:tcW w:w="1849" w:type="dxa"/>
            <w:tcBorders>
              <w:top w:val="single" w:sz="4" w:space="0" w:color="A6A6A6"/>
              <w:bottom w:val="single" w:sz="4" w:space="0" w:color="auto"/>
            </w:tcBorders>
            <w:shd w:val="clear" w:color="auto" w:fill="auto"/>
          </w:tcPr>
          <w:p w:rsidR="008A43AE" w:rsidRPr="00F231D7" w:rsidRDefault="008A43AE" w:rsidP="00733F16">
            <w:pPr>
              <w:pStyle w:val="TableText"/>
              <w:jc w:val="center"/>
            </w:pPr>
            <w:r w:rsidRPr="00F231D7">
              <w:t>–1.16</w:t>
            </w:r>
          </w:p>
        </w:tc>
        <w:tc>
          <w:tcPr>
            <w:tcW w:w="1849" w:type="dxa"/>
            <w:tcBorders>
              <w:top w:val="single" w:sz="4" w:space="0" w:color="A6A6A6"/>
              <w:bottom w:val="single" w:sz="4" w:space="0" w:color="auto"/>
            </w:tcBorders>
            <w:shd w:val="clear" w:color="auto" w:fill="auto"/>
          </w:tcPr>
          <w:p w:rsidR="008A43AE" w:rsidRPr="00F231D7" w:rsidRDefault="008A43AE" w:rsidP="00733F16">
            <w:pPr>
              <w:pStyle w:val="TableText"/>
              <w:jc w:val="center"/>
            </w:pPr>
            <w:r w:rsidRPr="00F231D7">
              <w:t>–0.56</w:t>
            </w:r>
          </w:p>
        </w:tc>
      </w:tr>
    </w:tbl>
    <w:p w:rsidR="005D5D9F" w:rsidRDefault="008A43AE" w:rsidP="008A43AE">
      <w:pPr>
        <w:pStyle w:val="Note"/>
        <w:ind w:left="0" w:right="0" w:firstLine="0"/>
      </w:pPr>
      <w:r>
        <w:t>Key: Negative compression = expansion; C</w:t>
      </w:r>
      <w:r w:rsidRPr="00C16E79">
        <w:rPr>
          <w:vertAlign w:val="subscript"/>
        </w:rPr>
        <w:t>abs</w:t>
      </w:r>
      <w:r>
        <w:t xml:space="preserve"> = change in (life expectancy at birth – health expectancy at birth) from 1990–2013; </w:t>
      </w:r>
      <w:proofErr w:type="spellStart"/>
      <w:r>
        <w:t>C</w:t>
      </w:r>
      <w:r w:rsidRPr="00C16E79">
        <w:rPr>
          <w:vertAlign w:val="subscript"/>
        </w:rPr>
        <w:t>rel</w:t>
      </w:r>
      <w:proofErr w:type="spellEnd"/>
      <w:r>
        <w:t xml:space="preserve"> = change in (health expectancy at birth / life expectancy at birth) from 1990–2013.</w:t>
      </w:r>
    </w:p>
    <w:p w:rsidR="008A43AE" w:rsidRPr="005446DD" w:rsidRDefault="008A43AE" w:rsidP="008A43AE">
      <w:pPr>
        <w:pStyle w:val="Note"/>
        <w:ind w:left="0" w:right="0" w:firstLine="0"/>
      </w:pPr>
      <w:r>
        <w:t>Note: Confidence intervals not shown for clarity of presentation.</w:t>
      </w:r>
    </w:p>
    <w:p w:rsidR="008A43AE" w:rsidRDefault="008A43AE" w:rsidP="002C5AF5">
      <w:pPr>
        <w:spacing w:before="220"/>
      </w:pPr>
      <w:r>
        <w:t xml:space="preserve">In all six countries, morbidity has expanded in absolute terms over the past quarter century. The </w:t>
      </w:r>
      <w:r w:rsidRPr="00A50FBD">
        <w:rPr>
          <w:spacing w:val="-2"/>
        </w:rPr>
        <w:t>gap between health and life expectancy has widened by 1.2–1.5 years for males and 0.5–1.2 years for females. As a proportion of life expectancy, health expectancy has declined by</w:t>
      </w:r>
      <w:r w:rsidR="00A50FBD" w:rsidRPr="00A50FBD">
        <w:rPr>
          <w:spacing w:val="-2"/>
        </w:rPr>
        <w:t xml:space="preserve"> </w:t>
      </w:r>
      <w:r w:rsidRPr="00A50FBD">
        <w:rPr>
          <w:spacing w:val="-2"/>
        </w:rPr>
        <w:t>0.5–1.2%</w:t>
      </w:r>
      <w:r>
        <w:t xml:space="preserve"> for males and 0.1–0.7% for females. Allowing for uncertainty in these estimates, New Zealand is similar to its peer group in showing moderate expansion of morbidity on an absolute scale.</w:t>
      </w:r>
    </w:p>
    <w:p w:rsidR="002A1DE3" w:rsidRDefault="002A1DE3" w:rsidP="00135BAE">
      <w:pPr>
        <w:pStyle w:val="Heading1"/>
      </w:pPr>
      <w:bookmarkStart w:id="272" w:name="_Toc441468892"/>
      <w:bookmarkStart w:id="273" w:name="_Toc442416707"/>
      <w:bookmarkStart w:id="274" w:name="_Toc456270705"/>
      <w:r w:rsidRPr="00B307A9">
        <w:lastRenderedPageBreak/>
        <w:t>Next steps</w:t>
      </w:r>
      <w:bookmarkEnd w:id="272"/>
      <w:bookmarkEnd w:id="273"/>
      <w:bookmarkEnd w:id="274"/>
    </w:p>
    <w:p w:rsidR="002A1DE3" w:rsidRDefault="002A1DE3" w:rsidP="00EB6705">
      <w:pPr>
        <w:pStyle w:val="Heading2"/>
      </w:pPr>
      <w:bookmarkStart w:id="275" w:name="_Toc442416709"/>
      <w:bookmarkStart w:id="276" w:name="_Toc456270706"/>
      <w:r w:rsidRPr="00540394">
        <w:t>Using the NZBD to inform policy and planning</w:t>
      </w:r>
      <w:bookmarkEnd w:id="275"/>
      <w:bookmarkEnd w:id="276"/>
    </w:p>
    <w:p w:rsidR="002A1DE3" w:rsidRDefault="002A1DE3" w:rsidP="00EB6705">
      <w:pPr>
        <w:rPr>
          <w:lang w:eastAsia="en-NZ"/>
        </w:rPr>
      </w:pPr>
      <w:r>
        <w:rPr>
          <w:lang w:eastAsia="en-NZ"/>
        </w:rPr>
        <w:t xml:space="preserve">The </w:t>
      </w:r>
      <w:r w:rsidRPr="00CB5BF9">
        <w:rPr>
          <w:lang w:eastAsia="en-NZ"/>
        </w:rPr>
        <w:t>NZBD</w:t>
      </w:r>
      <w:r>
        <w:rPr>
          <w:lang w:eastAsia="en-NZ"/>
        </w:rPr>
        <w:t xml:space="preserve"> provides estimates of health loss and health expectancy, by cause, age, sex, peer group country and year (currently 1990–2013). This information is of interest in its own right, but it can also have a range of policy and planning applications, as described below.</w:t>
      </w:r>
    </w:p>
    <w:p w:rsidR="002A1DE3" w:rsidRDefault="002A1DE3" w:rsidP="00EB6705">
      <w:pPr>
        <w:pStyle w:val="Bullet"/>
        <w:spacing w:before="120"/>
        <w:rPr>
          <w:lang w:eastAsia="en-NZ"/>
        </w:rPr>
      </w:pPr>
      <w:r w:rsidRPr="00D35BAE">
        <w:rPr>
          <w:b/>
          <w:lang w:eastAsia="en-NZ"/>
        </w:rPr>
        <w:t>Health impact assessment:</w:t>
      </w:r>
      <w:r>
        <w:rPr>
          <w:lang w:eastAsia="en-NZ"/>
        </w:rPr>
        <w:t xml:space="preserve"> By comparing health losses (DALYs) before and after a particular policy is implemented, it is possible to evaluate the health impact of the policy change on the population as a whole or on specific subpopulations. Also, before a policy is chosen, the impact of different policy options can be simulated</w:t>
      </w:r>
      <w:r w:rsidDel="003E2726">
        <w:rPr>
          <w:lang w:eastAsia="en-NZ"/>
        </w:rPr>
        <w:t xml:space="preserve"> </w:t>
      </w:r>
      <w:r>
        <w:rPr>
          <w:lang w:eastAsia="en-NZ"/>
        </w:rPr>
        <w:t>to help guide which option to choose.</w:t>
      </w:r>
    </w:p>
    <w:p w:rsidR="002A1DE3" w:rsidRDefault="002A1DE3" w:rsidP="00EB6705">
      <w:pPr>
        <w:pStyle w:val="Bullet"/>
        <w:spacing w:before="120"/>
        <w:rPr>
          <w:lang w:eastAsia="en-NZ"/>
        </w:rPr>
      </w:pPr>
      <w:r w:rsidRPr="00D35BAE">
        <w:rPr>
          <w:b/>
          <w:lang w:eastAsia="en-NZ"/>
        </w:rPr>
        <w:t>Priority setting:</w:t>
      </w:r>
      <w:r>
        <w:rPr>
          <w:lang w:eastAsia="en-NZ"/>
        </w:rPr>
        <w:t xml:space="preserve"> To calculate the incremental cost-effectiveness ratio (ICER), change in DALYs under a proposed intervention scenario versus the business-as-usual scenario can be related to the corresponding change in expenditure. The ICER, along with population health impact, equity impact and budgetary impact, is a </w:t>
      </w:r>
      <w:r w:rsidR="005D5D9F">
        <w:rPr>
          <w:lang w:eastAsia="en-NZ"/>
        </w:rPr>
        <w:t>‘</w:t>
      </w:r>
      <w:r>
        <w:rPr>
          <w:lang w:eastAsia="en-NZ"/>
        </w:rPr>
        <w:t>first order filter</w:t>
      </w:r>
      <w:r w:rsidR="005D5D9F">
        <w:rPr>
          <w:lang w:eastAsia="en-NZ"/>
        </w:rPr>
        <w:t>’</w:t>
      </w:r>
      <w:r>
        <w:rPr>
          <w:lang w:eastAsia="en-NZ"/>
        </w:rPr>
        <w:t xml:space="preserve"> for priority setting.</w:t>
      </w:r>
    </w:p>
    <w:p w:rsidR="002A1DE3" w:rsidRDefault="002A1DE3" w:rsidP="00EB6705">
      <w:pPr>
        <w:pStyle w:val="Bullet"/>
        <w:spacing w:before="120"/>
        <w:rPr>
          <w:lang w:eastAsia="en-NZ"/>
        </w:rPr>
      </w:pPr>
      <w:r w:rsidRPr="00D35BAE">
        <w:rPr>
          <w:b/>
          <w:lang w:eastAsia="en-NZ"/>
        </w:rPr>
        <w:t>Resource allocation:</w:t>
      </w:r>
      <w:r>
        <w:rPr>
          <w:lang w:eastAsia="en-NZ"/>
        </w:rPr>
        <w:t xml:space="preserve"> Budgets can be aligned with outcomes (health loss by cause and population group) as </w:t>
      </w:r>
      <w:r w:rsidR="005D5D9F">
        <w:rPr>
          <w:lang w:eastAsia="en-NZ"/>
        </w:rPr>
        <w:t>‘</w:t>
      </w:r>
      <w:r>
        <w:rPr>
          <w:lang w:eastAsia="en-NZ"/>
        </w:rPr>
        <w:t>programmes</w:t>
      </w:r>
      <w:r w:rsidR="005D5D9F">
        <w:rPr>
          <w:lang w:eastAsia="en-NZ"/>
        </w:rPr>
        <w:t>’</w:t>
      </w:r>
      <w:r>
        <w:rPr>
          <w:lang w:eastAsia="en-NZ"/>
        </w:rPr>
        <w:t xml:space="preserve"> (programme budgeting). Priorities can then be set, within and across programmes, using </w:t>
      </w:r>
      <w:r w:rsidR="005D5D9F">
        <w:rPr>
          <w:lang w:eastAsia="en-NZ"/>
        </w:rPr>
        <w:t>‘</w:t>
      </w:r>
      <w:r>
        <w:rPr>
          <w:lang w:eastAsia="en-NZ"/>
        </w:rPr>
        <w:t>programme budgeting with marginal analysis</w:t>
      </w:r>
      <w:r w:rsidR="005D5D9F">
        <w:rPr>
          <w:lang w:eastAsia="en-NZ"/>
        </w:rPr>
        <w:t>’</w:t>
      </w:r>
      <w:r>
        <w:rPr>
          <w:lang w:eastAsia="en-NZ"/>
        </w:rPr>
        <w:t xml:space="preserve"> (PBMA) or similar investment decision tools.</w:t>
      </w:r>
    </w:p>
    <w:p w:rsidR="002A1DE3" w:rsidRDefault="002A1DE3" w:rsidP="00EB6705">
      <w:pPr>
        <w:pStyle w:val="Bullet"/>
        <w:spacing w:before="120"/>
        <w:rPr>
          <w:lang w:eastAsia="en-NZ"/>
        </w:rPr>
      </w:pPr>
      <w:r w:rsidRPr="00D35BAE">
        <w:rPr>
          <w:b/>
          <w:lang w:eastAsia="en-NZ"/>
        </w:rPr>
        <w:t>Disease expenditure, national health accounts and productivity monitoring</w:t>
      </w:r>
      <w:r>
        <w:rPr>
          <w:lang w:eastAsia="en-NZ"/>
        </w:rPr>
        <w:t xml:space="preserve">: More generally, trends in expenditure on a particular condition (or risk factor) can be estimated from </w:t>
      </w:r>
      <w:r w:rsidR="005D5D9F">
        <w:rPr>
          <w:lang w:eastAsia="en-NZ"/>
        </w:rPr>
        <w:t>‘</w:t>
      </w:r>
      <w:r>
        <w:rPr>
          <w:lang w:eastAsia="en-NZ"/>
        </w:rPr>
        <w:t>disease accounts</w:t>
      </w:r>
      <w:r w:rsidR="005D5D9F">
        <w:rPr>
          <w:lang w:eastAsia="en-NZ"/>
        </w:rPr>
        <w:t>’</w:t>
      </w:r>
      <w:r>
        <w:rPr>
          <w:lang w:eastAsia="en-NZ"/>
        </w:rPr>
        <w:t xml:space="preserve"> linked to the national health accounts. These trends can then be related to suitably lagged trends in the health loss from that condition (or risk factor), to estimate changes in the relative performance of the health system (or, more precisely, of the relevant health service) in dealing with that condition or risk factor.</w:t>
      </w:r>
    </w:p>
    <w:p w:rsidR="002A1DE3" w:rsidRDefault="002A1DE3" w:rsidP="00EB6705">
      <w:pPr>
        <w:pStyle w:val="Bullet"/>
        <w:spacing w:before="120"/>
        <w:rPr>
          <w:lang w:eastAsia="en-NZ"/>
        </w:rPr>
      </w:pPr>
      <w:r w:rsidRPr="00D35BAE">
        <w:rPr>
          <w:b/>
          <w:lang w:eastAsia="en-NZ"/>
        </w:rPr>
        <w:t>Medium-term expenditure framework:</w:t>
      </w:r>
      <w:r>
        <w:rPr>
          <w:lang w:eastAsia="en-NZ"/>
        </w:rPr>
        <w:t xml:space="preserve"> The burden of disease approach in principle makes it possible to project the future health needs of the population and future health expenditure (where the latter takes into account not just demographic and economic variables but also the changing epidemiological picture). Such refined projections may be useful in informing a sustainable funding path for the health system.</w:t>
      </w:r>
    </w:p>
    <w:p w:rsidR="005D5D9F" w:rsidRDefault="002A1DE3" w:rsidP="00EB6705">
      <w:pPr>
        <w:pStyle w:val="Bullet"/>
        <w:spacing w:before="120"/>
        <w:rPr>
          <w:lang w:eastAsia="en-NZ"/>
        </w:rPr>
      </w:pPr>
      <w:r w:rsidRPr="00DB207D">
        <w:rPr>
          <w:b/>
          <w:lang w:eastAsia="en-NZ"/>
        </w:rPr>
        <w:t>Monitoring compression versus expansion of morbidity:</w:t>
      </w:r>
      <w:r>
        <w:rPr>
          <w:lang w:eastAsia="en-NZ"/>
        </w:rPr>
        <w:t xml:space="preserve"> By comparing trends in health expectancy with the corresponding trends in full life expectancy, it is possible to assess whether we are succeeding in adding </w:t>
      </w:r>
      <w:r w:rsidR="005D5D9F">
        <w:rPr>
          <w:lang w:eastAsia="en-NZ"/>
        </w:rPr>
        <w:t>‘</w:t>
      </w:r>
      <w:r>
        <w:rPr>
          <w:lang w:eastAsia="en-NZ"/>
        </w:rPr>
        <w:t>life to years</w:t>
      </w:r>
      <w:r w:rsidR="005D5D9F">
        <w:rPr>
          <w:lang w:eastAsia="en-NZ"/>
        </w:rPr>
        <w:t>’</w:t>
      </w:r>
      <w:r>
        <w:rPr>
          <w:lang w:eastAsia="en-NZ"/>
        </w:rPr>
        <w:t xml:space="preserve"> as well as </w:t>
      </w:r>
      <w:r w:rsidR="005D5D9F">
        <w:rPr>
          <w:lang w:eastAsia="en-NZ"/>
        </w:rPr>
        <w:t>‘</w:t>
      </w:r>
      <w:r>
        <w:rPr>
          <w:lang w:eastAsia="en-NZ"/>
        </w:rPr>
        <w:t>years to life</w:t>
      </w:r>
      <w:r w:rsidR="005D5D9F">
        <w:rPr>
          <w:lang w:eastAsia="en-NZ"/>
        </w:rPr>
        <w:t>’</w:t>
      </w:r>
      <w:r>
        <w:rPr>
          <w:lang w:eastAsia="en-NZ"/>
        </w:rPr>
        <w:t>. This information is particularly valuable in a context of rapid population ageing and associated multi-morbidity and frailty.</w:t>
      </w:r>
    </w:p>
    <w:p w:rsidR="002A1DE3" w:rsidRDefault="002A1DE3" w:rsidP="00EB6705">
      <w:pPr>
        <w:pStyle w:val="Bullet"/>
        <w:spacing w:before="120"/>
        <w:rPr>
          <w:lang w:eastAsia="en-NZ"/>
        </w:rPr>
      </w:pPr>
      <w:r w:rsidRPr="00DB207D">
        <w:rPr>
          <w:b/>
          <w:lang w:eastAsia="en-NZ"/>
        </w:rPr>
        <w:t>International benchmarking:</w:t>
      </w:r>
      <w:r>
        <w:rPr>
          <w:lang w:eastAsia="en-NZ"/>
        </w:rPr>
        <w:t xml:space="preserve"> Because DALYs are internationally standardised, benchmarking against peer group countries is possible (as illustrated in this report). Furthermore, specific conditions, risk factors or demographic groups can be benchmarked. Such benchmarking provides insights into where the New Zealand health and social systems are performing well and where more in-depth analysis might be worthwhile. Ultimately such comparative information could prompt corrective action to be taken where necessary and so could contribute to a learning or </w:t>
      </w:r>
      <w:r w:rsidR="005D5D9F">
        <w:rPr>
          <w:lang w:eastAsia="en-NZ"/>
        </w:rPr>
        <w:t>‘</w:t>
      </w:r>
      <w:r>
        <w:rPr>
          <w:lang w:eastAsia="en-NZ"/>
        </w:rPr>
        <w:t>smart</w:t>
      </w:r>
      <w:r w:rsidR="005D5D9F">
        <w:rPr>
          <w:lang w:eastAsia="en-NZ"/>
        </w:rPr>
        <w:t>’</w:t>
      </w:r>
      <w:r>
        <w:rPr>
          <w:lang w:eastAsia="en-NZ"/>
        </w:rPr>
        <w:t xml:space="preserve"> system.</w:t>
      </w:r>
    </w:p>
    <w:p w:rsidR="002A1DE3" w:rsidRDefault="002A1DE3" w:rsidP="00EB6705">
      <w:pPr>
        <w:pStyle w:val="Bullet"/>
        <w:spacing w:before="120"/>
        <w:rPr>
          <w:lang w:eastAsia="en-NZ"/>
        </w:rPr>
      </w:pPr>
      <w:r w:rsidRPr="00D35BAE">
        <w:rPr>
          <w:b/>
          <w:lang w:eastAsia="en-NZ"/>
        </w:rPr>
        <w:lastRenderedPageBreak/>
        <w:t>Strategic planning</w:t>
      </w:r>
      <w:r>
        <w:rPr>
          <w:lang w:eastAsia="en-NZ"/>
        </w:rPr>
        <w:t xml:space="preserve">: Burden of disease information can inform strategic plans, such as the recent refresh of the New Zealand Health Strategy. In particular, understanding the </w:t>
      </w:r>
      <w:r w:rsidR="005D5D9F">
        <w:rPr>
          <w:lang w:eastAsia="en-NZ"/>
        </w:rPr>
        <w:t>‘</w:t>
      </w:r>
      <w:r>
        <w:rPr>
          <w:lang w:eastAsia="en-NZ"/>
        </w:rPr>
        <w:t>big picture</w:t>
      </w:r>
      <w:r w:rsidR="005D5D9F">
        <w:rPr>
          <w:lang w:eastAsia="en-NZ"/>
        </w:rPr>
        <w:t>’</w:t>
      </w:r>
      <w:r>
        <w:rPr>
          <w:lang w:eastAsia="en-NZ"/>
        </w:rPr>
        <w:t xml:space="preserve"> in terms of</w:t>
      </w:r>
      <w:r w:rsidRPr="00DD374F">
        <w:rPr>
          <w:lang w:eastAsia="en-NZ"/>
        </w:rPr>
        <w:t xml:space="preserve"> </w:t>
      </w:r>
      <w:r>
        <w:rPr>
          <w:lang w:eastAsia="en-NZ"/>
        </w:rPr>
        <w:t xml:space="preserve">identifying the conditions and risk factors that are leading or growing causes of health loss provides an important input to </w:t>
      </w:r>
      <w:r w:rsidR="005D5D9F">
        <w:rPr>
          <w:lang w:eastAsia="en-NZ"/>
        </w:rPr>
        <w:t>‘</w:t>
      </w:r>
      <w:r>
        <w:rPr>
          <w:lang w:eastAsia="en-NZ"/>
        </w:rPr>
        <w:t>system diagnosis</w:t>
      </w:r>
      <w:r w:rsidR="005D5D9F">
        <w:rPr>
          <w:lang w:eastAsia="en-NZ"/>
        </w:rPr>
        <w:t>’</w:t>
      </w:r>
      <w:r>
        <w:rPr>
          <w:lang w:eastAsia="en-NZ"/>
        </w:rPr>
        <w:t xml:space="preserve"> – essential if rational decisions on </w:t>
      </w:r>
      <w:r w:rsidR="005D5D9F">
        <w:rPr>
          <w:lang w:eastAsia="en-NZ"/>
        </w:rPr>
        <w:t>‘</w:t>
      </w:r>
      <w:r>
        <w:rPr>
          <w:lang w:eastAsia="en-NZ"/>
        </w:rPr>
        <w:t>system treatment</w:t>
      </w:r>
      <w:r w:rsidR="005D5D9F">
        <w:rPr>
          <w:lang w:eastAsia="en-NZ"/>
        </w:rPr>
        <w:t>’</w:t>
      </w:r>
      <w:r>
        <w:rPr>
          <w:lang w:eastAsia="en-NZ"/>
        </w:rPr>
        <w:t xml:space="preserve"> are to be made. This information is a good example of how </w:t>
      </w:r>
      <w:r w:rsidR="005D5D9F">
        <w:rPr>
          <w:lang w:eastAsia="en-NZ"/>
        </w:rPr>
        <w:t>‘</w:t>
      </w:r>
      <w:r>
        <w:rPr>
          <w:lang w:eastAsia="en-NZ"/>
        </w:rPr>
        <w:t>big data</w:t>
      </w:r>
      <w:r w:rsidR="005D5D9F">
        <w:rPr>
          <w:lang w:eastAsia="en-NZ"/>
        </w:rPr>
        <w:t>’</w:t>
      </w:r>
      <w:r>
        <w:rPr>
          <w:lang w:eastAsia="en-NZ"/>
        </w:rPr>
        <w:t xml:space="preserve"> accompanied by advanced analytics can generate fresh insights into the complex evolution of population health under different policy settings.</w:t>
      </w:r>
    </w:p>
    <w:p w:rsidR="002A1DE3" w:rsidRDefault="002A1DE3" w:rsidP="00EB6705">
      <w:pPr>
        <w:pStyle w:val="Bullet"/>
        <w:spacing w:before="120"/>
        <w:rPr>
          <w:lang w:eastAsia="en-NZ"/>
        </w:rPr>
      </w:pPr>
      <w:r w:rsidRPr="00D35BAE">
        <w:rPr>
          <w:b/>
          <w:lang w:eastAsia="en-NZ"/>
        </w:rPr>
        <w:t>Time series:</w:t>
      </w:r>
      <w:r>
        <w:rPr>
          <w:lang w:eastAsia="en-NZ"/>
        </w:rPr>
        <w:t xml:space="preserve"> Health loss and health expectancy information will become increasingly valuable as the time series extends, making it possible to produce more robust and longer-term projections. Such projections will be more informative for strategic planning and resource allocation than merely relying on estimates of the current situation.</w:t>
      </w:r>
    </w:p>
    <w:p w:rsidR="002A1DE3" w:rsidRDefault="002A1DE3" w:rsidP="00EB6705"/>
    <w:p w:rsidR="002A1DE3" w:rsidRDefault="002A1DE3" w:rsidP="00EB6705">
      <w:pPr>
        <w:pStyle w:val="Heading2"/>
      </w:pPr>
      <w:bookmarkStart w:id="277" w:name="_Toc442416710"/>
      <w:bookmarkStart w:id="278" w:name="_Toc456270707"/>
      <w:r>
        <w:t>Future monitoring of health loss and health expectancy</w:t>
      </w:r>
      <w:bookmarkEnd w:id="277"/>
      <w:bookmarkEnd w:id="278"/>
    </w:p>
    <w:p w:rsidR="002A1DE3" w:rsidRDefault="002A1DE3" w:rsidP="00EB6705">
      <w:pPr>
        <w:pStyle w:val="Bullet"/>
        <w:spacing w:before="120"/>
      </w:pPr>
      <w:r w:rsidRPr="00D35BAE">
        <w:rPr>
          <w:b/>
        </w:rPr>
        <w:t>MOU with IHME:</w:t>
      </w:r>
      <w:r>
        <w:t xml:space="preserve"> This edition of the </w:t>
      </w:r>
      <w:r w:rsidRPr="00CB5BF9">
        <w:t>NZBD</w:t>
      </w:r>
      <w:r>
        <w:t xml:space="preserve"> has been based on GBD 2013. A memorandum of understanding (MOU) was signed in March 2015 between the Institute for Health Metrics and Evaluation (IHME) at the University of Washington, and the Ministry of Health. From GBD 2016 onwards, the Ministry will work jointly with IHME to ensure that: all relevant New Zealand health data is used in the GBD estimation process; optimal modelling for </w:t>
      </w:r>
      <w:r w:rsidR="00B46D7E">
        <w:t>‘</w:t>
      </w:r>
      <w:proofErr w:type="spellStart"/>
      <w:r>
        <w:t>missingness</w:t>
      </w:r>
      <w:proofErr w:type="spellEnd"/>
      <w:r w:rsidR="00B46D7E">
        <w:t>’</w:t>
      </w:r>
      <w:r>
        <w:t xml:space="preserve"> and other bias correction processes are fully employed; the output is thoroughly checked for plausibility and, where necessary, disease or risk factor models are re-specified for New Zealand; international benchmarking uses an optimised set of peer group countries to make data comparable and maximise learning opportunities for New Zealand; and reporting is done in a way that maximises the data</w:t>
      </w:r>
      <w:r w:rsidR="005D5D9F">
        <w:t>’</w:t>
      </w:r>
      <w:r>
        <w:t>s usability for policy end users and other stakeholders (</w:t>
      </w:r>
      <w:proofErr w:type="spellStart"/>
      <w:r>
        <w:t>eg</w:t>
      </w:r>
      <w:proofErr w:type="spellEnd"/>
      <w:r>
        <w:t>, by making greater use of a wider variety of interactive data visualisations and related web-based tools).</w:t>
      </w:r>
    </w:p>
    <w:p w:rsidR="005D5D9F" w:rsidRDefault="002A1DE3" w:rsidP="00EB6705">
      <w:pPr>
        <w:pStyle w:val="Bullet"/>
        <w:spacing w:before="120"/>
      </w:pPr>
      <w:r w:rsidRPr="00D35BAE">
        <w:rPr>
          <w:b/>
        </w:rPr>
        <w:t xml:space="preserve">Extending the </w:t>
      </w:r>
      <w:r w:rsidRPr="00CB5BF9">
        <w:rPr>
          <w:b/>
        </w:rPr>
        <w:t>NZBD</w:t>
      </w:r>
      <w:r w:rsidRPr="00D35BAE">
        <w:rPr>
          <w:b/>
        </w:rPr>
        <w:t>:</w:t>
      </w:r>
      <w:r>
        <w:t xml:space="preserve"> The current </w:t>
      </w:r>
      <w:r w:rsidRPr="00CB5BF9">
        <w:t>NZBD</w:t>
      </w:r>
      <w:r>
        <w:t xml:space="preserve"> 2013 is at the national level only. From GBD 2016 onwards, under the MOU with IHME, two additional </w:t>
      </w:r>
      <w:r w:rsidR="005D5D9F">
        <w:t>‘</w:t>
      </w:r>
      <w:r>
        <w:t>countries</w:t>
      </w:r>
      <w:r w:rsidR="005D5D9F">
        <w:t>’</w:t>
      </w:r>
      <w:r>
        <w:t xml:space="preserve"> will be included in the GBD: Māori New Zealand and non-Māori New Zealand.</w:t>
      </w:r>
    </w:p>
    <w:p w:rsidR="002A1DE3" w:rsidRDefault="002A1DE3" w:rsidP="00EB6705">
      <w:pPr>
        <w:pStyle w:val="Bullet"/>
        <w:spacing w:before="120"/>
      </w:pPr>
      <w:r w:rsidRPr="00D35BAE">
        <w:rPr>
          <w:b/>
        </w:rPr>
        <w:t>Improving methods and data:</w:t>
      </w:r>
      <w:r>
        <w:t xml:space="preserve"> The Ministry of Health is working to improve its data feeder systems. At the same time, GBD methods, standards and classifications will no doubt be refined further. For example, the GBD does not currently capture sleep disorders or chronic pain syndromes well, and does not include adverse health care events as a risk factor. Issues around the measurement of gout and HIV/AIDS prevalence are currently being addressed.</w:t>
      </w:r>
    </w:p>
    <w:p w:rsidR="002A1DE3" w:rsidRPr="003E2726" w:rsidRDefault="002A1DE3" w:rsidP="00EB6705">
      <w:pPr>
        <w:pStyle w:val="Bullet"/>
        <w:spacing w:before="120"/>
      </w:pPr>
      <w:r w:rsidRPr="00D35BAE">
        <w:rPr>
          <w:b/>
        </w:rPr>
        <w:t>Monitoring health expectancy:</w:t>
      </w:r>
      <w:r>
        <w:t xml:space="preserve"> Currently in New Zealand, health expectancy is measured both as health-adjusted life expectancy (using burden of disease information) and as independent life expectancy (using disability prevalence data from Statistics New Zealand</w:t>
      </w:r>
      <w:r w:rsidR="005D5D9F">
        <w:t>’</w:t>
      </w:r>
      <w:r>
        <w:t>s Post-</w:t>
      </w:r>
      <w:proofErr w:type="spellStart"/>
      <w:r>
        <w:t>censal</w:t>
      </w:r>
      <w:proofErr w:type="spellEnd"/>
      <w:r>
        <w:t xml:space="preserve"> Disability Survey). Both measures tell a similar story (that morbidity has been expanding moderately in absolute terms over the past several decades), although the two measures are not numerically equivalent. Health-adjusted life expectancy has some advantages over independent life expectancy as an indicator, in that it does not depend on a threshold to define </w:t>
      </w:r>
      <w:r w:rsidR="005D5D9F">
        <w:t>‘</w:t>
      </w:r>
      <w:r>
        <w:t>disability</w:t>
      </w:r>
      <w:r w:rsidR="005D5D9F">
        <w:t>’</w:t>
      </w:r>
      <w:r>
        <w:t xml:space="preserve"> but rather takes all levels of disability into account. By regularly updating estimates of health expectancy, the burden of disease work will also allow ongoing and timely monitoring of whether morbidity is compressing or expanding.</w:t>
      </w:r>
    </w:p>
    <w:p w:rsidR="002A1DE3" w:rsidRDefault="002A1DE3">
      <w:pPr>
        <w:spacing w:line="240" w:lineRule="auto"/>
      </w:pPr>
    </w:p>
    <w:p w:rsidR="00FF052D" w:rsidRDefault="009430C0" w:rsidP="00135BAE">
      <w:pPr>
        <w:pStyle w:val="Heading1"/>
      </w:pPr>
      <w:bookmarkStart w:id="279" w:name="_Toc456270708"/>
      <w:bookmarkStart w:id="280" w:name="_Ref456273397"/>
      <w:bookmarkStart w:id="281" w:name="_Ref456273401"/>
      <w:bookmarkStart w:id="282" w:name="_Toc441468893"/>
      <w:bookmarkStart w:id="283" w:name="_Toc442416711"/>
      <w:r>
        <w:lastRenderedPageBreak/>
        <w:t>Glossary</w:t>
      </w:r>
      <w:bookmarkEnd w:id="279"/>
      <w:bookmarkEnd w:id="280"/>
      <w:bookmarkEnd w:id="281"/>
    </w:p>
    <w:tbl>
      <w:tblPr>
        <w:tblW w:w="0" w:type="auto"/>
        <w:tblLayout w:type="fixed"/>
        <w:tblLook w:val="04A0" w:firstRow="1" w:lastRow="0" w:firstColumn="1" w:lastColumn="0" w:noHBand="0" w:noVBand="1"/>
      </w:tblPr>
      <w:tblGrid>
        <w:gridCol w:w="2238"/>
        <w:gridCol w:w="7226"/>
      </w:tblGrid>
      <w:tr w:rsidR="00FF052D" w:rsidRPr="00F231D7" w:rsidTr="00FF052D">
        <w:trPr>
          <w:cantSplit/>
        </w:trPr>
        <w:tc>
          <w:tcPr>
            <w:tcW w:w="2238" w:type="dxa"/>
            <w:shd w:val="clear" w:color="auto" w:fill="auto"/>
          </w:tcPr>
          <w:p w:rsidR="00FF052D" w:rsidRPr="003700B9" w:rsidRDefault="00FF052D" w:rsidP="0094490A">
            <w:pPr>
              <w:spacing w:before="180"/>
              <w:rPr>
                <w:sz w:val="21"/>
                <w:szCs w:val="21"/>
              </w:rPr>
            </w:pPr>
            <w:r w:rsidRPr="003700B9">
              <w:rPr>
                <w:sz w:val="21"/>
                <w:szCs w:val="21"/>
              </w:rPr>
              <w:t>Attributable burden</w:t>
            </w:r>
          </w:p>
        </w:tc>
        <w:tc>
          <w:tcPr>
            <w:tcW w:w="7226" w:type="dxa"/>
            <w:shd w:val="clear" w:color="auto" w:fill="auto"/>
          </w:tcPr>
          <w:p w:rsidR="00FF052D" w:rsidRPr="003700B9" w:rsidRDefault="00FF052D" w:rsidP="0094490A">
            <w:pPr>
              <w:spacing w:before="180"/>
              <w:rPr>
                <w:sz w:val="21"/>
                <w:szCs w:val="21"/>
              </w:rPr>
            </w:pPr>
            <w:r w:rsidRPr="003700B9">
              <w:rPr>
                <w:sz w:val="21"/>
                <w:szCs w:val="21"/>
              </w:rPr>
              <w:t>The proportion of the total burden of a condition that a given risk factor causes.</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Burden</w:t>
            </w:r>
          </w:p>
        </w:tc>
        <w:tc>
          <w:tcPr>
            <w:tcW w:w="7226" w:type="dxa"/>
            <w:shd w:val="clear" w:color="auto" w:fill="auto"/>
          </w:tcPr>
          <w:p w:rsidR="00FF052D" w:rsidRPr="003700B9" w:rsidRDefault="00FF052D" w:rsidP="00FF052D">
            <w:pPr>
              <w:spacing w:before="180"/>
              <w:rPr>
                <w:sz w:val="21"/>
                <w:szCs w:val="21"/>
              </w:rPr>
            </w:pPr>
            <w:r w:rsidRPr="003700B9">
              <w:rPr>
                <w:sz w:val="21"/>
                <w:szCs w:val="21"/>
              </w:rPr>
              <w:t>Health loss.</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Comorbidity</w:t>
            </w:r>
          </w:p>
        </w:tc>
        <w:tc>
          <w:tcPr>
            <w:tcW w:w="7226" w:type="dxa"/>
            <w:shd w:val="clear" w:color="auto" w:fill="auto"/>
          </w:tcPr>
          <w:p w:rsidR="00FF052D" w:rsidRPr="003700B9" w:rsidRDefault="00FF052D" w:rsidP="00FF052D">
            <w:pPr>
              <w:spacing w:before="180"/>
              <w:rPr>
                <w:sz w:val="21"/>
                <w:szCs w:val="21"/>
              </w:rPr>
            </w:pPr>
            <w:r w:rsidRPr="003700B9">
              <w:rPr>
                <w:sz w:val="21"/>
                <w:szCs w:val="21"/>
              </w:rPr>
              <w:t>See multi-morbidity.</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Compression of morbidity</w:t>
            </w:r>
          </w:p>
        </w:tc>
        <w:tc>
          <w:tcPr>
            <w:tcW w:w="7226" w:type="dxa"/>
            <w:shd w:val="clear" w:color="auto" w:fill="auto"/>
          </w:tcPr>
          <w:p w:rsidR="00FF052D" w:rsidRPr="003700B9" w:rsidRDefault="00FF052D" w:rsidP="00FF052D">
            <w:pPr>
              <w:spacing w:before="180"/>
              <w:rPr>
                <w:sz w:val="21"/>
                <w:szCs w:val="21"/>
              </w:rPr>
            </w:pPr>
            <w:r w:rsidRPr="003700B9">
              <w:rPr>
                <w:sz w:val="21"/>
                <w:szCs w:val="21"/>
              </w:rPr>
              <w:t>Narrowing of the gap between health expectancy and life expectancy.</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Condition</w:t>
            </w:r>
          </w:p>
        </w:tc>
        <w:tc>
          <w:tcPr>
            <w:tcW w:w="7226" w:type="dxa"/>
            <w:shd w:val="clear" w:color="auto" w:fill="auto"/>
          </w:tcPr>
          <w:p w:rsidR="00FF052D" w:rsidRPr="003700B9" w:rsidRDefault="00FF052D" w:rsidP="00FF052D">
            <w:pPr>
              <w:spacing w:before="180"/>
              <w:rPr>
                <w:sz w:val="21"/>
                <w:szCs w:val="21"/>
              </w:rPr>
            </w:pPr>
            <w:r w:rsidRPr="003700B9">
              <w:rPr>
                <w:sz w:val="21"/>
                <w:szCs w:val="21"/>
              </w:rPr>
              <w:t>Any disease or injury. A condition may consist of one or more health states.</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Condition group</w:t>
            </w:r>
          </w:p>
        </w:tc>
        <w:tc>
          <w:tcPr>
            <w:tcW w:w="7226" w:type="dxa"/>
            <w:shd w:val="clear" w:color="auto" w:fill="auto"/>
          </w:tcPr>
          <w:p w:rsidR="00FF052D" w:rsidRPr="003700B9" w:rsidRDefault="00FF052D" w:rsidP="00FF052D">
            <w:pPr>
              <w:spacing w:before="180"/>
              <w:rPr>
                <w:sz w:val="21"/>
                <w:szCs w:val="21"/>
              </w:rPr>
            </w:pPr>
            <w:r w:rsidRPr="003700B9">
              <w:rPr>
                <w:sz w:val="21"/>
                <w:szCs w:val="21"/>
              </w:rPr>
              <w:t>Grouping of related conditions (</w:t>
            </w:r>
            <w:proofErr w:type="spellStart"/>
            <w:r w:rsidRPr="003700B9">
              <w:rPr>
                <w:sz w:val="21"/>
                <w:szCs w:val="21"/>
              </w:rPr>
              <w:t>eg</w:t>
            </w:r>
            <w:proofErr w:type="spellEnd"/>
            <w:r w:rsidRPr="003700B9">
              <w:rPr>
                <w:sz w:val="21"/>
                <w:szCs w:val="21"/>
              </w:rPr>
              <w:t>, cancers).</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Disability</w:t>
            </w:r>
          </w:p>
        </w:tc>
        <w:tc>
          <w:tcPr>
            <w:tcW w:w="7226" w:type="dxa"/>
            <w:shd w:val="clear" w:color="auto" w:fill="auto"/>
          </w:tcPr>
          <w:p w:rsidR="00FF052D" w:rsidRPr="003700B9" w:rsidRDefault="00FF052D" w:rsidP="00FF052D">
            <w:pPr>
              <w:spacing w:before="180"/>
              <w:rPr>
                <w:sz w:val="21"/>
                <w:szCs w:val="21"/>
              </w:rPr>
            </w:pPr>
            <w:r w:rsidRPr="003700B9">
              <w:rPr>
                <w:sz w:val="21"/>
                <w:szCs w:val="21"/>
              </w:rPr>
              <w:t>In burden of disease analyses, ‘disability’ refers to any short- or long-term health loss other than death (any non-fatal health loss). In other words, it includes any impairment, functional limitation, dysphoric affective state (</w:t>
            </w:r>
            <w:proofErr w:type="spellStart"/>
            <w:r w:rsidRPr="003700B9">
              <w:rPr>
                <w:sz w:val="21"/>
                <w:szCs w:val="21"/>
              </w:rPr>
              <w:t>eg</w:t>
            </w:r>
            <w:proofErr w:type="spellEnd"/>
            <w:r w:rsidRPr="003700B9">
              <w:rPr>
                <w:sz w:val="21"/>
                <w:szCs w:val="21"/>
              </w:rPr>
              <w:t>, depression) or symptom (</w:t>
            </w:r>
            <w:proofErr w:type="spellStart"/>
            <w:r w:rsidRPr="003700B9">
              <w:rPr>
                <w:sz w:val="21"/>
                <w:szCs w:val="21"/>
              </w:rPr>
              <w:t>eg</w:t>
            </w:r>
            <w:proofErr w:type="spellEnd"/>
            <w:r w:rsidRPr="003700B9">
              <w:rPr>
                <w:sz w:val="21"/>
                <w:szCs w:val="21"/>
              </w:rPr>
              <w:t>, pain). ‘Disability’ is used synonymously with ‘morbidity’ (ill health) and is adjusted for severity (disability weight).</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Disability-adjusted life year (DALY)</w:t>
            </w:r>
          </w:p>
        </w:tc>
        <w:tc>
          <w:tcPr>
            <w:tcW w:w="7226" w:type="dxa"/>
            <w:shd w:val="clear" w:color="auto" w:fill="auto"/>
          </w:tcPr>
          <w:p w:rsidR="00FF052D" w:rsidRPr="003700B9" w:rsidRDefault="00FF052D" w:rsidP="00FF052D">
            <w:pPr>
              <w:spacing w:before="180"/>
              <w:rPr>
                <w:sz w:val="21"/>
                <w:szCs w:val="21"/>
              </w:rPr>
            </w:pPr>
            <w:r w:rsidRPr="003700B9">
              <w:rPr>
                <w:sz w:val="21"/>
                <w:szCs w:val="21"/>
              </w:rPr>
              <w:t>Integrated measure of health loss. DALY is the sum of years of life lost (YLL) and years lived with disability adjusted for severity (YLD). So one DALY represents the loss of one year of life lived in full health.</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Disability transition</w:t>
            </w:r>
          </w:p>
        </w:tc>
        <w:tc>
          <w:tcPr>
            <w:tcW w:w="7226" w:type="dxa"/>
            <w:shd w:val="clear" w:color="auto" w:fill="auto"/>
          </w:tcPr>
          <w:p w:rsidR="00FF052D" w:rsidRPr="003700B9" w:rsidRDefault="00FF052D" w:rsidP="00FF052D">
            <w:pPr>
              <w:spacing w:before="180"/>
              <w:rPr>
                <w:sz w:val="21"/>
                <w:szCs w:val="21"/>
              </w:rPr>
            </w:pPr>
            <w:r w:rsidRPr="003700B9">
              <w:rPr>
                <w:sz w:val="21"/>
                <w:szCs w:val="21"/>
              </w:rPr>
              <w:t>Change in the population’s experience of health loss from one dominated by fatal outcomes (YLL) to one dominated by non-fatal outcomes (YLD).</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Disability weight</w:t>
            </w:r>
          </w:p>
        </w:tc>
        <w:tc>
          <w:tcPr>
            <w:tcW w:w="7226" w:type="dxa"/>
            <w:shd w:val="clear" w:color="auto" w:fill="auto"/>
          </w:tcPr>
          <w:p w:rsidR="00FF052D" w:rsidRPr="003700B9" w:rsidRDefault="00FF052D" w:rsidP="00FF052D">
            <w:pPr>
              <w:spacing w:before="180"/>
              <w:rPr>
                <w:sz w:val="21"/>
                <w:szCs w:val="21"/>
              </w:rPr>
            </w:pPr>
            <w:r w:rsidRPr="003700B9">
              <w:rPr>
                <w:sz w:val="21"/>
                <w:szCs w:val="21"/>
              </w:rPr>
              <w:t>Multidimensional assessment of the severity of a health state on a scale of 0–1, where 0 = no health loss (</w:t>
            </w:r>
            <w:proofErr w:type="spellStart"/>
            <w:r w:rsidRPr="003700B9">
              <w:rPr>
                <w:sz w:val="21"/>
                <w:szCs w:val="21"/>
              </w:rPr>
              <w:t>ie</w:t>
            </w:r>
            <w:proofErr w:type="spellEnd"/>
            <w:r w:rsidRPr="003700B9">
              <w:rPr>
                <w:sz w:val="21"/>
                <w:szCs w:val="21"/>
              </w:rPr>
              <w:t>, equivalent to full health) and 1</w:t>
            </w:r>
            <w:r>
              <w:rPr>
                <w:sz w:val="21"/>
                <w:szCs w:val="21"/>
              </w:rPr>
              <w:t> </w:t>
            </w:r>
            <w:r w:rsidRPr="003700B9">
              <w:rPr>
                <w:sz w:val="21"/>
                <w:szCs w:val="21"/>
              </w:rPr>
              <w:t>=</w:t>
            </w:r>
            <w:r>
              <w:rPr>
                <w:sz w:val="21"/>
                <w:szCs w:val="21"/>
              </w:rPr>
              <w:t> </w:t>
            </w:r>
            <w:r w:rsidRPr="003700B9">
              <w:rPr>
                <w:sz w:val="21"/>
                <w:szCs w:val="21"/>
              </w:rPr>
              <w:t>complete health loss (</w:t>
            </w:r>
            <w:proofErr w:type="spellStart"/>
            <w:r w:rsidRPr="003700B9">
              <w:rPr>
                <w:sz w:val="21"/>
                <w:szCs w:val="21"/>
              </w:rPr>
              <w:t>ie</w:t>
            </w:r>
            <w:proofErr w:type="spellEnd"/>
            <w:r w:rsidRPr="003700B9">
              <w:rPr>
                <w:sz w:val="21"/>
                <w:szCs w:val="21"/>
              </w:rPr>
              <w:t>, equivalent to being dead).</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Epidemiological transition</w:t>
            </w:r>
          </w:p>
        </w:tc>
        <w:tc>
          <w:tcPr>
            <w:tcW w:w="7226" w:type="dxa"/>
            <w:shd w:val="clear" w:color="auto" w:fill="auto"/>
          </w:tcPr>
          <w:p w:rsidR="00FF052D" w:rsidRPr="003700B9" w:rsidRDefault="00FF052D" w:rsidP="00FF052D">
            <w:pPr>
              <w:spacing w:before="180"/>
              <w:rPr>
                <w:sz w:val="21"/>
                <w:szCs w:val="21"/>
              </w:rPr>
            </w:pPr>
            <w:r w:rsidRPr="003700B9">
              <w:rPr>
                <w:sz w:val="21"/>
                <w:szCs w:val="21"/>
              </w:rPr>
              <w:t>Change in the population’s experience of disease from one dominated by infectious diseases, nutritional deficiency disorders, and maternal and child conditions, to one dominated by non-communicable diseases (chronic or long-term physical and mental disorders) that mainly affect adults and older people.</w:t>
            </w:r>
          </w:p>
        </w:tc>
      </w:tr>
      <w:tr w:rsidR="00FF052D" w:rsidRPr="00421399" w:rsidTr="00FF052D">
        <w:trPr>
          <w:cantSplit/>
        </w:trPr>
        <w:tc>
          <w:tcPr>
            <w:tcW w:w="2238" w:type="dxa"/>
            <w:shd w:val="clear" w:color="auto" w:fill="auto"/>
          </w:tcPr>
          <w:p w:rsidR="00FF052D" w:rsidRPr="003700B9" w:rsidRDefault="00FF052D" w:rsidP="00FF052D">
            <w:pPr>
              <w:spacing w:before="180"/>
              <w:rPr>
                <w:sz w:val="21"/>
                <w:szCs w:val="21"/>
                <w:highlight w:val="yellow"/>
              </w:rPr>
            </w:pPr>
            <w:r w:rsidRPr="003700B9">
              <w:rPr>
                <w:sz w:val="21"/>
                <w:szCs w:val="21"/>
              </w:rPr>
              <w:t>Expansion of morbidity</w:t>
            </w:r>
          </w:p>
        </w:tc>
        <w:tc>
          <w:tcPr>
            <w:tcW w:w="7226" w:type="dxa"/>
            <w:shd w:val="clear" w:color="auto" w:fill="auto"/>
          </w:tcPr>
          <w:p w:rsidR="00FF052D" w:rsidRPr="003700B9" w:rsidRDefault="00FF052D" w:rsidP="00FF052D">
            <w:pPr>
              <w:spacing w:before="180"/>
              <w:rPr>
                <w:sz w:val="21"/>
                <w:szCs w:val="21"/>
                <w:highlight w:val="yellow"/>
              </w:rPr>
            </w:pPr>
            <w:r w:rsidRPr="003700B9">
              <w:rPr>
                <w:sz w:val="21"/>
                <w:szCs w:val="21"/>
              </w:rPr>
              <w:t>Widening of the gap between health expectancy and life expectancy.</w:t>
            </w:r>
          </w:p>
        </w:tc>
      </w:tr>
      <w:tr w:rsidR="00FF052D" w:rsidRPr="003700B9"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Fatal health loss</w:t>
            </w:r>
          </w:p>
        </w:tc>
        <w:tc>
          <w:tcPr>
            <w:tcW w:w="7226" w:type="dxa"/>
            <w:shd w:val="clear" w:color="auto" w:fill="auto"/>
          </w:tcPr>
          <w:p w:rsidR="00FF052D" w:rsidRPr="003700B9" w:rsidRDefault="00FF052D" w:rsidP="00FF052D">
            <w:pPr>
              <w:spacing w:before="180"/>
              <w:rPr>
                <w:sz w:val="21"/>
                <w:szCs w:val="21"/>
              </w:rPr>
            </w:pPr>
            <w:r w:rsidRPr="003700B9">
              <w:rPr>
                <w:sz w:val="21"/>
                <w:szCs w:val="21"/>
              </w:rPr>
              <w:t>Loss of health because of premature mortality. Measured in years of life lost (YLL). See Appendix 2 for the method of calculating YLL.</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Health expectancy</w:t>
            </w:r>
          </w:p>
        </w:tc>
        <w:tc>
          <w:tcPr>
            <w:tcW w:w="7226" w:type="dxa"/>
            <w:shd w:val="clear" w:color="auto" w:fill="auto"/>
          </w:tcPr>
          <w:p w:rsidR="00FF052D" w:rsidRPr="003700B9" w:rsidRDefault="00FF052D" w:rsidP="00FF052D">
            <w:pPr>
              <w:spacing w:before="180"/>
              <w:rPr>
                <w:sz w:val="21"/>
                <w:szCs w:val="21"/>
              </w:rPr>
            </w:pPr>
            <w:r w:rsidRPr="003700B9">
              <w:rPr>
                <w:sz w:val="21"/>
                <w:szCs w:val="21"/>
              </w:rPr>
              <w:t>How long, on average, a person in a given population can expect to live in full health. Also known as ‘health-adjusted life expectancy’ and ‘healthy life expectancy’.</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Health loss</w:t>
            </w:r>
          </w:p>
        </w:tc>
        <w:tc>
          <w:tcPr>
            <w:tcW w:w="7226" w:type="dxa"/>
            <w:shd w:val="clear" w:color="auto" w:fill="auto"/>
          </w:tcPr>
          <w:p w:rsidR="00FF052D" w:rsidRPr="003700B9" w:rsidRDefault="00FF052D" w:rsidP="00FF052D">
            <w:pPr>
              <w:spacing w:before="180"/>
              <w:rPr>
                <w:sz w:val="21"/>
                <w:szCs w:val="21"/>
              </w:rPr>
            </w:pPr>
            <w:r w:rsidRPr="003700B9">
              <w:rPr>
                <w:sz w:val="21"/>
                <w:szCs w:val="21"/>
              </w:rPr>
              <w:t>The gap between the population’s current state of health and that of an ideal population in which everyone leads a long life free from ill health or disability. Measured in disability-adjusted life years (DALYs).</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lastRenderedPageBreak/>
              <w:t>Health state</w:t>
            </w:r>
          </w:p>
        </w:tc>
        <w:tc>
          <w:tcPr>
            <w:tcW w:w="7226" w:type="dxa"/>
            <w:shd w:val="clear" w:color="auto" w:fill="auto"/>
          </w:tcPr>
          <w:p w:rsidR="00FF052D" w:rsidRPr="003700B9" w:rsidRDefault="00FF052D" w:rsidP="00FF052D">
            <w:pPr>
              <w:spacing w:before="180"/>
              <w:rPr>
                <w:sz w:val="21"/>
                <w:szCs w:val="21"/>
              </w:rPr>
            </w:pPr>
            <w:r w:rsidRPr="003700B9">
              <w:rPr>
                <w:sz w:val="21"/>
                <w:szCs w:val="21"/>
              </w:rPr>
              <w:t xml:space="preserve">Any state of being. A health state may be a symptom complex, a syndrome, a stage or </w:t>
            </w:r>
            <w:proofErr w:type="spellStart"/>
            <w:r w:rsidRPr="003700B9">
              <w:rPr>
                <w:sz w:val="21"/>
                <w:szCs w:val="21"/>
              </w:rPr>
              <w:t>sequela</w:t>
            </w:r>
            <w:proofErr w:type="spellEnd"/>
            <w:r w:rsidRPr="003700B9">
              <w:rPr>
                <w:sz w:val="21"/>
                <w:szCs w:val="21"/>
              </w:rPr>
              <w:t xml:space="preserve"> (complication) of one or more diseases or injuries, or a particular severity level of any of the above. For example, ‘mild anaemia’ is a health state that may be a </w:t>
            </w:r>
            <w:proofErr w:type="spellStart"/>
            <w:r w:rsidRPr="003700B9">
              <w:rPr>
                <w:sz w:val="21"/>
                <w:szCs w:val="21"/>
              </w:rPr>
              <w:t>sequela</w:t>
            </w:r>
            <w:proofErr w:type="spellEnd"/>
            <w:r w:rsidRPr="003700B9">
              <w:rPr>
                <w:sz w:val="21"/>
                <w:szCs w:val="21"/>
              </w:rPr>
              <w:t xml:space="preserve"> of more than 30 specific diseases.</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Life expectancy</w:t>
            </w:r>
          </w:p>
        </w:tc>
        <w:tc>
          <w:tcPr>
            <w:tcW w:w="7226" w:type="dxa"/>
            <w:shd w:val="clear" w:color="auto" w:fill="auto"/>
          </w:tcPr>
          <w:p w:rsidR="00FF052D" w:rsidRPr="003700B9" w:rsidRDefault="00FF052D" w:rsidP="00FF052D">
            <w:pPr>
              <w:spacing w:before="180"/>
              <w:rPr>
                <w:sz w:val="21"/>
                <w:szCs w:val="21"/>
              </w:rPr>
            </w:pPr>
            <w:r w:rsidRPr="003700B9">
              <w:rPr>
                <w:sz w:val="21"/>
                <w:szCs w:val="21"/>
              </w:rPr>
              <w:t>How long, on average, a person in a given population can expect to live.</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Long-term conditions</w:t>
            </w:r>
          </w:p>
        </w:tc>
        <w:tc>
          <w:tcPr>
            <w:tcW w:w="7226" w:type="dxa"/>
            <w:shd w:val="clear" w:color="auto" w:fill="auto"/>
          </w:tcPr>
          <w:p w:rsidR="00FF052D" w:rsidRPr="003700B9" w:rsidRDefault="00FF052D" w:rsidP="00FF052D">
            <w:pPr>
              <w:spacing w:before="180"/>
              <w:rPr>
                <w:sz w:val="21"/>
                <w:szCs w:val="21"/>
              </w:rPr>
            </w:pPr>
            <w:r w:rsidRPr="003700B9">
              <w:rPr>
                <w:sz w:val="21"/>
                <w:szCs w:val="21"/>
              </w:rPr>
              <w:t>See non-communicable diseases.</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Mediation</w:t>
            </w:r>
          </w:p>
        </w:tc>
        <w:tc>
          <w:tcPr>
            <w:tcW w:w="7226" w:type="dxa"/>
            <w:shd w:val="clear" w:color="auto" w:fill="auto"/>
          </w:tcPr>
          <w:p w:rsidR="00FF052D" w:rsidRPr="003700B9" w:rsidRDefault="00FF052D" w:rsidP="00FF052D">
            <w:pPr>
              <w:spacing w:before="180"/>
              <w:rPr>
                <w:sz w:val="21"/>
                <w:szCs w:val="21"/>
              </w:rPr>
            </w:pPr>
            <w:r w:rsidRPr="003700B9">
              <w:rPr>
                <w:sz w:val="21"/>
                <w:szCs w:val="21"/>
              </w:rPr>
              <w:t>When a risk factor impacts a disease indirectly, through another risk factor.</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Morbidity</w:t>
            </w:r>
          </w:p>
        </w:tc>
        <w:tc>
          <w:tcPr>
            <w:tcW w:w="7226" w:type="dxa"/>
            <w:shd w:val="clear" w:color="auto" w:fill="auto"/>
          </w:tcPr>
          <w:p w:rsidR="00FF052D" w:rsidRPr="003700B9" w:rsidRDefault="00FF052D" w:rsidP="00FF052D">
            <w:pPr>
              <w:spacing w:before="180"/>
              <w:rPr>
                <w:sz w:val="21"/>
                <w:szCs w:val="21"/>
              </w:rPr>
            </w:pPr>
            <w:r w:rsidRPr="003700B9">
              <w:rPr>
                <w:sz w:val="21"/>
                <w:szCs w:val="21"/>
              </w:rPr>
              <w:t>Ill health. In burden of disease analyses, ‘morbidity’ is used interchangeably with ‘disability’.</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Mortality</w:t>
            </w:r>
          </w:p>
        </w:tc>
        <w:tc>
          <w:tcPr>
            <w:tcW w:w="7226" w:type="dxa"/>
            <w:shd w:val="clear" w:color="auto" w:fill="auto"/>
          </w:tcPr>
          <w:p w:rsidR="00FF052D" w:rsidRPr="003700B9" w:rsidRDefault="00FF052D" w:rsidP="00FF052D">
            <w:pPr>
              <w:spacing w:before="180"/>
              <w:rPr>
                <w:sz w:val="21"/>
                <w:szCs w:val="21"/>
              </w:rPr>
            </w:pPr>
            <w:r w:rsidRPr="003700B9">
              <w:rPr>
                <w:sz w:val="21"/>
                <w:szCs w:val="21"/>
              </w:rPr>
              <w:t>Death.</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Multi-morbidity</w:t>
            </w:r>
          </w:p>
        </w:tc>
        <w:tc>
          <w:tcPr>
            <w:tcW w:w="7226" w:type="dxa"/>
            <w:shd w:val="clear" w:color="auto" w:fill="auto"/>
          </w:tcPr>
          <w:p w:rsidR="00FF052D" w:rsidRPr="003700B9" w:rsidRDefault="00FF052D" w:rsidP="00FF052D">
            <w:pPr>
              <w:spacing w:before="180"/>
              <w:rPr>
                <w:sz w:val="21"/>
                <w:szCs w:val="21"/>
              </w:rPr>
            </w:pPr>
            <w:r w:rsidRPr="003700B9">
              <w:rPr>
                <w:sz w:val="21"/>
                <w:szCs w:val="21"/>
              </w:rPr>
              <w:t>Co-occurrence of conditions in the same individual. In this report, ‘multi-morbidity’ is used interchangeably with ‘comorbidity’.</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Non-communicable diseases (NCDs)</w:t>
            </w:r>
          </w:p>
        </w:tc>
        <w:tc>
          <w:tcPr>
            <w:tcW w:w="7226" w:type="dxa"/>
            <w:shd w:val="clear" w:color="auto" w:fill="auto"/>
          </w:tcPr>
          <w:p w:rsidR="00FF052D" w:rsidRPr="003700B9" w:rsidRDefault="00FF052D" w:rsidP="00FF052D">
            <w:pPr>
              <w:spacing w:before="180"/>
              <w:rPr>
                <w:sz w:val="21"/>
                <w:szCs w:val="21"/>
              </w:rPr>
            </w:pPr>
            <w:r w:rsidRPr="003700B9">
              <w:rPr>
                <w:sz w:val="21"/>
                <w:szCs w:val="21"/>
              </w:rPr>
              <w:t>Chronic physical or mental disorders. ‘Long-term conditions’ is used interchangeably with ‘NCDs’ in this report.</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Non-fatal health loss</w:t>
            </w:r>
          </w:p>
        </w:tc>
        <w:tc>
          <w:tcPr>
            <w:tcW w:w="7226" w:type="dxa"/>
            <w:shd w:val="clear" w:color="auto" w:fill="auto"/>
          </w:tcPr>
          <w:p w:rsidR="00FF052D" w:rsidRPr="003700B9" w:rsidRDefault="00FF052D" w:rsidP="00FF052D">
            <w:pPr>
              <w:spacing w:before="180"/>
              <w:rPr>
                <w:sz w:val="21"/>
                <w:szCs w:val="21"/>
              </w:rPr>
            </w:pPr>
            <w:r w:rsidRPr="003700B9">
              <w:rPr>
                <w:sz w:val="21"/>
                <w:szCs w:val="21"/>
              </w:rPr>
              <w:t>Loss of health because of disability or illness (morbidity). Measured in years lived with disability adjusted for severity (YLD). See Appendix 2 for the method of calculating YLD.</w:t>
            </w:r>
          </w:p>
        </w:tc>
      </w:tr>
      <w:tr w:rsidR="00FF052D" w:rsidRPr="00F231D7" w:rsidTr="00FF052D">
        <w:trPr>
          <w:cantSplit/>
        </w:trPr>
        <w:tc>
          <w:tcPr>
            <w:tcW w:w="2238" w:type="dxa"/>
            <w:shd w:val="clear" w:color="auto" w:fill="auto"/>
          </w:tcPr>
          <w:p w:rsidR="00FF052D" w:rsidRPr="0063278B" w:rsidRDefault="00FF052D" w:rsidP="00FF052D">
            <w:pPr>
              <w:spacing w:before="180"/>
              <w:rPr>
                <w:sz w:val="21"/>
                <w:szCs w:val="21"/>
              </w:rPr>
            </w:pPr>
            <w:proofErr w:type="spellStart"/>
            <w:r w:rsidRPr="0063278B">
              <w:rPr>
                <w:sz w:val="21"/>
                <w:szCs w:val="21"/>
              </w:rPr>
              <w:t>Pretransitional</w:t>
            </w:r>
            <w:proofErr w:type="spellEnd"/>
            <w:r w:rsidRPr="0063278B">
              <w:rPr>
                <w:sz w:val="21"/>
                <w:szCs w:val="21"/>
              </w:rPr>
              <w:t xml:space="preserve"> disorders</w:t>
            </w:r>
          </w:p>
        </w:tc>
        <w:tc>
          <w:tcPr>
            <w:tcW w:w="7226" w:type="dxa"/>
            <w:shd w:val="clear" w:color="auto" w:fill="auto"/>
          </w:tcPr>
          <w:p w:rsidR="00FF052D" w:rsidRPr="003700B9" w:rsidRDefault="00FF052D" w:rsidP="00FF052D">
            <w:pPr>
              <w:spacing w:before="180"/>
              <w:rPr>
                <w:sz w:val="21"/>
                <w:szCs w:val="21"/>
              </w:rPr>
            </w:pPr>
            <w:r w:rsidRPr="0063278B">
              <w:rPr>
                <w:sz w:val="21"/>
                <w:szCs w:val="21"/>
              </w:rPr>
              <w:t>Disorders characteristic of societies prior to the epidemiological transition (</w:t>
            </w:r>
            <w:proofErr w:type="spellStart"/>
            <w:r w:rsidRPr="0063278B">
              <w:rPr>
                <w:sz w:val="21"/>
                <w:szCs w:val="21"/>
              </w:rPr>
              <w:t>ie</w:t>
            </w:r>
            <w:proofErr w:type="spellEnd"/>
            <w:r w:rsidRPr="0063278B">
              <w:rPr>
                <w:sz w:val="21"/>
                <w:szCs w:val="21"/>
              </w:rPr>
              <w:t>, infections, nutritional deficiencies and neonatal disorders).</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Risk cluster</w:t>
            </w:r>
          </w:p>
        </w:tc>
        <w:tc>
          <w:tcPr>
            <w:tcW w:w="7226" w:type="dxa"/>
            <w:shd w:val="clear" w:color="auto" w:fill="auto"/>
          </w:tcPr>
          <w:p w:rsidR="00FF052D" w:rsidRPr="003700B9" w:rsidRDefault="00FF052D" w:rsidP="00FF052D">
            <w:pPr>
              <w:spacing w:before="180"/>
              <w:rPr>
                <w:sz w:val="21"/>
                <w:szCs w:val="21"/>
              </w:rPr>
            </w:pPr>
            <w:r w:rsidRPr="003700B9">
              <w:rPr>
                <w:sz w:val="21"/>
                <w:szCs w:val="21"/>
              </w:rPr>
              <w:t>Grouping of related risk factors (</w:t>
            </w:r>
            <w:proofErr w:type="spellStart"/>
            <w:r w:rsidRPr="003700B9">
              <w:rPr>
                <w:sz w:val="21"/>
                <w:szCs w:val="21"/>
              </w:rPr>
              <w:t>eg</w:t>
            </w:r>
            <w:proofErr w:type="spellEnd"/>
            <w:r w:rsidRPr="003700B9">
              <w:rPr>
                <w:sz w:val="21"/>
                <w:szCs w:val="21"/>
              </w:rPr>
              <w:t>, occupational hazards).</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Risk factor</w:t>
            </w:r>
          </w:p>
        </w:tc>
        <w:tc>
          <w:tcPr>
            <w:tcW w:w="7226" w:type="dxa"/>
            <w:shd w:val="clear" w:color="auto" w:fill="auto"/>
          </w:tcPr>
          <w:p w:rsidR="00FF052D" w:rsidRPr="003700B9" w:rsidRDefault="00FF052D" w:rsidP="00FF052D">
            <w:pPr>
              <w:spacing w:before="180"/>
              <w:rPr>
                <w:sz w:val="21"/>
                <w:szCs w:val="21"/>
              </w:rPr>
            </w:pPr>
            <w:r w:rsidRPr="003700B9">
              <w:rPr>
                <w:sz w:val="21"/>
                <w:szCs w:val="21"/>
              </w:rPr>
              <w:t>Any potentially modifiable cause of a disease or an injury.</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Years lived with disability (YLD)</w:t>
            </w:r>
          </w:p>
        </w:tc>
        <w:tc>
          <w:tcPr>
            <w:tcW w:w="7226" w:type="dxa"/>
            <w:shd w:val="clear" w:color="auto" w:fill="auto"/>
          </w:tcPr>
          <w:p w:rsidR="00FF052D" w:rsidRPr="003700B9" w:rsidRDefault="00FF052D" w:rsidP="00FF052D">
            <w:pPr>
              <w:spacing w:before="180"/>
              <w:rPr>
                <w:sz w:val="21"/>
                <w:szCs w:val="21"/>
              </w:rPr>
            </w:pPr>
            <w:r w:rsidRPr="003700B9">
              <w:rPr>
                <w:sz w:val="21"/>
                <w:szCs w:val="21"/>
              </w:rPr>
              <w:t>Measure of non-fatal health loss. Takes into account the number of people in the health state of interest (prevalence or incidence times duration) and the severity of that health state (disability weight). See Appendix 2 for the method of calculating YLD.</w:t>
            </w:r>
          </w:p>
        </w:tc>
      </w:tr>
      <w:tr w:rsidR="00FF052D" w:rsidRPr="00F231D7" w:rsidTr="00FF052D">
        <w:trPr>
          <w:cantSplit/>
        </w:trPr>
        <w:tc>
          <w:tcPr>
            <w:tcW w:w="2238" w:type="dxa"/>
            <w:shd w:val="clear" w:color="auto" w:fill="auto"/>
          </w:tcPr>
          <w:p w:rsidR="00FF052D" w:rsidRPr="003700B9" w:rsidRDefault="00FF052D" w:rsidP="00FF052D">
            <w:pPr>
              <w:spacing w:before="180"/>
              <w:rPr>
                <w:sz w:val="21"/>
                <w:szCs w:val="21"/>
              </w:rPr>
            </w:pPr>
            <w:r w:rsidRPr="003700B9">
              <w:rPr>
                <w:sz w:val="21"/>
                <w:szCs w:val="21"/>
              </w:rPr>
              <w:t>Years of life lost (YLL)</w:t>
            </w:r>
          </w:p>
        </w:tc>
        <w:tc>
          <w:tcPr>
            <w:tcW w:w="7226" w:type="dxa"/>
            <w:shd w:val="clear" w:color="auto" w:fill="auto"/>
          </w:tcPr>
          <w:p w:rsidR="00FF052D" w:rsidRPr="003700B9" w:rsidRDefault="00FF052D" w:rsidP="00FF052D">
            <w:pPr>
              <w:spacing w:before="180"/>
              <w:rPr>
                <w:sz w:val="21"/>
                <w:szCs w:val="21"/>
              </w:rPr>
            </w:pPr>
            <w:r w:rsidRPr="003700B9">
              <w:rPr>
                <w:sz w:val="21"/>
                <w:szCs w:val="21"/>
              </w:rPr>
              <w:t>Measure of fatal health loss. Takes into account the number of deaths and the age at death. See Appendix 2 for the method of calculating YLL.</w:t>
            </w:r>
          </w:p>
        </w:tc>
      </w:tr>
    </w:tbl>
    <w:p w:rsidR="002B7E97" w:rsidRDefault="002B7E97">
      <w:bookmarkStart w:id="284" w:name="End_Glossary"/>
      <w:bookmarkEnd w:id="284"/>
    </w:p>
    <w:p w:rsidR="0046432C" w:rsidRDefault="0046432C" w:rsidP="00135BAE">
      <w:pPr>
        <w:pStyle w:val="Heading1"/>
      </w:pPr>
      <w:bookmarkStart w:id="285" w:name="_Toc456270709"/>
      <w:r>
        <w:lastRenderedPageBreak/>
        <w:t>Appendix 1</w:t>
      </w:r>
      <w:proofErr w:type="gramStart"/>
      <w:r>
        <w:t>:</w:t>
      </w:r>
      <w:proofErr w:type="gramEnd"/>
      <w:r w:rsidR="00EB6705">
        <w:br/>
      </w:r>
      <w:r>
        <w:t>Further information</w:t>
      </w:r>
      <w:bookmarkEnd w:id="282"/>
      <w:bookmarkEnd w:id="283"/>
      <w:bookmarkEnd w:id="285"/>
    </w:p>
    <w:p w:rsidR="0046432C" w:rsidRDefault="0046432C" w:rsidP="00EB6705">
      <w:pPr>
        <w:pStyle w:val="Heading2"/>
      </w:pPr>
      <w:bookmarkStart w:id="286" w:name="_Toc442388757"/>
      <w:bookmarkStart w:id="287" w:name="_Toc442416712"/>
      <w:bookmarkStart w:id="288" w:name="_Toc455046565"/>
      <w:bookmarkStart w:id="289" w:name="_Toc455575820"/>
      <w:bookmarkStart w:id="290" w:name="_Toc456270710"/>
      <w:r>
        <w:t>More results</w:t>
      </w:r>
      <w:bookmarkEnd w:id="286"/>
      <w:bookmarkEnd w:id="287"/>
      <w:bookmarkEnd w:id="288"/>
      <w:bookmarkEnd w:id="289"/>
      <w:bookmarkEnd w:id="290"/>
    </w:p>
    <w:p w:rsidR="0046432C" w:rsidRDefault="0046432C" w:rsidP="00EB6705">
      <w:r>
        <w:t xml:space="preserve">For more detailed DALY, YLL and YLD estimates (for New Zealand from 1990–2013) than those provided in this report, please use the </w:t>
      </w:r>
      <w:r w:rsidRPr="001F6250">
        <w:rPr>
          <w:i/>
        </w:rPr>
        <w:t xml:space="preserve">GBD Compare </w:t>
      </w:r>
      <w:r>
        <w:t>tool available at:</w:t>
      </w:r>
    </w:p>
    <w:p w:rsidR="0046432C" w:rsidRPr="00B2031E" w:rsidRDefault="0046432C" w:rsidP="0046432C">
      <w:r w:rsidRPr="00B2031E">
        <w:rPr>
          <w:rFonts w:cs="Arial"/>
        </w:rPr>
        <w:t>www.healthdata.org/data-visualization/</w:t>
      </w:r>
      <w:r w:rsidRPr="00B2031E">
        <w:rPr>
          <w:rFonts w:cs="Arial"/>
          <w:bCs/>
        </w:rPr>
        <w:t>gbd</w:t>
      </w:r>
      <w:r w:rsidRPr="00B2031E">
        <w:rPr>
          <w:rFonts w:cs="Arial"/>
        </w:rPr>
        <w:t>-</w:t>
      </w:r>
      <w:r w:rsidRPr="00B2031E">
        <w:rPr>
          <w:rFonts w:cs="Arial"/>
          <w:bCs/>
        </w:rPr>
        <w:t>compare</w:t>
      </w:r>
    </w:p>
    <w:p w:rsidR="0046432C" w:rsidRDefault="0046432C" w:rsidP="00EB6705"/>
    <w:p w:rsidR="0046432C" w:rsidRDefault="0046432C" w:rsidP="00EB6705">
      <w:r>
        <w:t xml:space="preserve">If you are unable to find the information you need using </w:t>
      </w:r>
      <w:r w:rsidRPr="0024730E">
        <w:rPr>
          <w:i/>
        </w:rPr>
        <w:t>GBD Compare</w:t>
      </w:r>
      <w:r>
        <w:t>, including 95% confidence intervals for estimates, please contact Health and Disability Intelligence, Ministry of Health at:</w:t>
      </w:r>
    </w:p>
    <w:p w:rsidR="0046432C" w:rsidRPr="00AD12F9" w:rsidRDefault="0046432C" w:rsidP="00EB6705">
      <w:pPr>
        <w:ind w:left="567"/>
      </w:pPr>
      <w:r w:rsidRPr="00D865CF">
        <w:t>HDI@moh.govt.nz</w:t>
      </w:r>
    </w:p>
    <w:p w:rsidR="0046432C" w:rsidRDefault="0046432C" w:rsidP="00EB6705"/>
    <w:p w:rsidR="0046432C" w:rsidRDefault="0046432C" w:rsidP="00EB6705">
      <w:pPr>
        <w:pStyle w:val="Heading2"/>
      </w:pPr>
      <w:bookmarkStart w:id="291" w:name="_Toc442388758"/>
      <w:bookmarkStart w:id="292" w:name="_Toc442416713"/>
      <w:bookmarkStart w:id="293" w:name="_Toc455046566"/>
      <w:bookmarkStart w:id="294" w:name="_Toc455575821"/>
      <w:bookmarkStart w:id="295" w:name="_Toc456270711"/>
      <w:r w:rsidRPr="00573016">
        <w:t>GBD reports</w:t>
      </w:r>
      <w:bookmarkEnd w:id="291"/>
      <w:bookmarkEnd w:id="292"/>
      <w:bookmarkEnd w:id="293"/>
      <w:bookmarkEnd w:id="294"/>
      <w:bookmarkEnd w:id="295"/>
    </w:p>
    <w:p w:rsidR="005D5D9F" w:rsidRDefault="0046432C" w:rsidP="00EB6705">
      <w:r>
        <w:t>For more information on the Global Burden of Disease study, visit the IHME website:</w:t>
      </w:r>
    </w:p>
    <w:p w:rsidR="0046432C" w:rsidRPr="00B2031E" w:rsidRDefault="0046432C" w:rsidP="0046432C">
      <w:r w:rsidRPr="00B2031E">
        <w:rPr>
          <w:rFonts w:cs="Arial"/>
        </w:rPr>
        <w:t>www.healthdata.org</w:t>
      </w:r>
    </w:p>
    <w:p w:rsidR="0046432C" w:rsidRDefault="0046432C" w:rsidP="00EB6705"/>
    <w:p w:rsidR="0046432C" w:rsidRDefault="0046432C" w:rsidP="00EB6705">
      <w:r>
        <w:t xml:space="preserve">Alternatively, read the following </w:t>
      </w:r>
      <w:r w:rsidRPr="00404D64">
        <w:rPr>
          <w:i/>
        </w:rPr>
        <w:t>Lancet</w:t>
      </w:r>
      <w:r>
        <w:t xml:space="preserve"> articles.</w:t>
      </w:r>
    </w:p>
    <w:p w:rsidR="0046432C" w:rsidRPr="00AD12F9" w:rsidRDefault="0046432C" w:rsidP="00EB6705">
      <w:pPr>
        <w:pStyle w:val="Bullet"/>
      </w:pPr>
      <w:r w:rsidRPr="00AD12F9">
        <w:t>GBD 2013 DALY</w:t>
      </w:r>
      <w:r>
        <w:t xml:space="preserve">s and HALE Collaborators. 2015. </w:t>
      </w:r>
      <w:r w:rsidRPr="00404D64">
        <w:t>Global, regional, and national disability-adjusted life years (DALYs) for 306 diseases and injuries and healthy life expectancy (HALE) for 188 countries, 1990</w:t>
      </w:r>
      <w:r>
        <w:t>–</w:t>
      </w:r>
      <w:r w:rsidRPr="00404D64">
        <w:t>2013: quantifying the epidemiological transition</w:t>
      </w:r>
      <w:r>
        <w:t xml:space="preserve">. </w:t>
      </w:r>
      <w:r w:rsidRPr="00A002C2">
        <w:rPr>
          <w:i/>
        </w:rPr>
        <w:t>Lancet</w:t>
      </w:r>
      <w:r>
        <w:t xml:space="preserve"> 386:</w:t>
      </w:r>
      <w:r w:rsidR="00EB6705">
        <w:br/>
      </w:r>
      <w:r>
        <w:t>2145–92.</w:t>
      </w:r>
    </w:p>
    <w:p w:rsidR="0046432C" w:rsidRPr="005123C0" w:rsidRDefault="0046432C" w:rsidP="00EB6705">
      <w:pPr>
        <w:pStyle w:val="Bullet"/>
      </w:pPr>
      <w:r w:rsidRPr="00AD12F9">
        <w:t xml:space="preserve">GBD 2013 </w:t>
      </w:r>
      <w:r>
        <w:t xml:space="preserve">Risk Factor Collaborators. </w:t>
      </w:r>
      <w:r>
        <w:rPr>
          <w:bCs/>
        </w:rPr>
        <w:t xml:space="preserve">2015. </w:t>
      </w:r>
      <w:r w:rsidRPr="00404D64">
        <w:t>Global, regional, and national comparative risk assessment of 79 behavioural, environmental and occupational, and metabolic risks or clusters of risks in 188 countries, 1990–2013: a systematic analysis for the Global Burden of Disease Study 2013</w:t>
      </w:r>
      <w:r w:rsidRPr="00D7373A">
        <w:t>.</w:t>
      </w:r>
      <w:r>
        <w:rPr>
          <w:bCs/>
        </w:rPr>
        <w:t xml:space="preserve"> </w:t>
      </w:r>
      <w:r w:rsidRPr="00404D64">
        <w:rPr>
          <w:bCs/>
          <w:i/>
        </w:rPr>
        <w:t>Lancet</w:t>
      </w:r>
      <w:r>
        <w:rPr>
          <w:bCs/>
        </w:rPr>
        <w:t xml:space="preserve"> 386: 2287–324.</w:t>
      </w:r>
    </w:p>
    <w:p w:rsidR="0046432C" w:rsidRPr="00AD12F9" w:rsidRDefault="0046432C" w:rsidP="00EB6705">
      <w:pPr>
        <w:pStyle w:val="Bullet"/>
      </w:pPr>
      <w:r w:rsidRPr="00AD12F9">
        <w:t xml:space="preserve">GBD 2013 </w:t>
      </w:r>
      <w:r>
        <w:t>Collaborators.</w:t>
      </w:r>
      <w:r w:rsidRPr="00D7373A">
        <w:t xml:space="preserve"> </w:t>
      </w:r>
      <w:r>
        <w:t xml:space="preserve">2015. </w:t>
      </w:r>
      <w:r w:rsidRPr="00404D64">
        <w:t>Global, regional, and national incidence, prevalence, and years lived with disability for 301 acute and chronic diseases and injuries in 188 countries, 1990</w:t>
      </w:r>
      <w:r>
        <w:t>–</w:t>
      </w:r>
      <w:r w:rsidRPr="00404D64">
        <w:t>2013: a systematic analysis for the Global Burden of Disease Study 2013</w:t>
      </w:r>
      <w:r w:rsidRPr="00D7373A">
        <w:t>.</w:t>
      </w:r>
      <w:r>
        <w:t xml:space="preserve"> </w:t>
      </w:r>
      <w:r w:rsidRPr="00A002C2">
        <w:rPr>
          <w:i/>
        </w:rPr>
        <w:t>Lancet</w:t>
      </w:r>
      <w:r>
        <w:t xml:space="preserve"> 386: 743–800.</w:t>
      </w:r>
    </w:p>
    <w:p w:rsidR="0046432C" w:rsidRPr="00775A03" w:rsidRDefault="0046432C" w:rsidP="00EB6705">
      <w:pPr>
        <w:pStyle w:val="Bullet"/>
      </w:pPr>
      <w:r w:rsidRPr="00775A03">
        <w:t>GBD 2013 Mortality and Causes of Death Collaborators.</w:t>
      </w:r>
      <w:r w:rsidRPr="00D7373A">
        <w:t xml:space="preserve"> </w:t>
      </w:r>
      <w:r w:rsidRPr="00775A03">
        <w:t>2015</w:t>
      </w:r>
      <w:r>
        <w:t xml:space="preserve">. </w:t>
      </w:r>
      <w:hyperlink r:id="rId54" w:history="1">
        <w:r w:rsidRPr="00404D64">
          <w:t>Global, regional, and national age–sex specific all-cause and cause-specific mortality for 240 causes of death, 1990–2013: a systematic analysis for the Global Burden of Disease Study 2013</w:t>
        </w:r>
      </w:hyperlink>
      <w:r w:rsidRPr="00404D64">
        <w:t>.</w:t>
      </w:r>
      <w:r w:rsidRPr="00D7373A">
        <w:t xml:space="preserve"> </w:t>
      </w:r>
      <w:r w:rsidRPr="00775A03">
        <w:rPr>
          <w:i/>
        </w:rPr>
        <w:t>Lancet</w:t>
      </w:r>
      <w:r>
        <w:t xml:space="preserve"> 385: 117–171.</w:t>
      </w:r>
    </w:p>
    <w:p w:rsidR="0046432C" w:rsidRDefault="0046432C" w:rsidP="00EB6705">
      <w:pPr>
        <w:rPr>
          <w:highlight w:val="yellow"/>
        </w:rPr>
      </w:pPr>
    </w:p>
    <w:p w:rsidR="005D5D9F" w:rsidRDefault="0046432C" w:rsidP="00EB6705">
      <w:pPr>
        <w:pStyle w:val="Heading2"/>
      </w:pPr>
      <w:bookmarkStart w:id="296" w:name="_Toc442388759"/>
      <w:bookmarkStart w:id="297" w:name="_Toc442416714"/>
      <w:bookmarkStart w:id="298" w:name="_Toc455046567"/>
      <w:bookmarkStart w:id="299" w:name="_Toc455575822"/>
      <w:bookmarkStart w:id="300" w:name="_Toc456270712"/>
      <w:r>
        <w:t>Other r</w:t>
      </w:r>
      <w:r w:rsidRPr="00573016">
        <w:t>eports</w:t>
      </w:r>
      <w:bookmarkEnd w:id="296"/>
      <w:bookmarkEnd w:id="297"/>
      <w:bookmarkEnd w:id="298"/>
      <w:bookmarkEnd w:id="299"/>
      <w:bookmarkEnd w:id="300"/>
    </w:p>
    <w:p w:rsidR="0046432C" w:rsidRPr="00AD12F9" w:rsidRDefault="0046432C" w:rsidP="00EB6705">
      <w:r>
        <w:t>For more information on related topics, see:</w:t>
      </w:r>
    </w:p>
    <w:p w:rsidR="0046432C" w:rsidRPr="001A611D" w:rsidRDefault="0046432C" w:rsidP="0046432C">
      <w:pPr>
        <w:pStyle w:val="Bullet"/>
      </w:pPr>
      <w:r w:rsidRPr="00404D64">
        <w:rPr>
          <w:i/>
        </w:rPr>
        <w:t>Health and Independence Report 2015</w:t>
      </w:r>
      <w:r>
        <w:rPr>
          <w:b/>
        </w:rPr>
        <w:t xml:space="preserve"> </w:t>
      </w:r>
      <w:r>
        <w:t>(available at www.health.govt.nz/publications)</w:t>
      </w:r>
    </w:p>
    <w:p w:rsidR="0046432C" w:rsidRPr="001A611D" w:rsidRDefault="0046432C" w:rsidP="0046432C">
      <w:pPr>
        <w:pStyle w:val="Bullet"/>
      </w:pPr>
      <w:r w:rsidRPr="00404D64">
        <w:rPr>
          <w:i/>
        </w:rPr>
        <w:t xml:space="preserve">Health at a Glance 2015 </w:t>
      </w:r>
      <w:r w:rsidRPr="001A611D">
        <w:t>(available at www.oecd.org)</w:t>
      </w:r>
    </w:p>
    <w:p w:rsidR="0046432C" w:rsidRPr="00DB207D" w:rsidRDefault="0046432C" w:rsidP="0046432C">
      <w:pPr>
        <w:pStyle w:val="Bullet"/>
      </w:pPr>
      <w:r w:rsidRPr="00404D64">
        <w:t>Commonwealth Fund website</w:t>
      </w:r>
      <w:r>
        <w:rPr>
          <w:b/>
        </w:rPr>
        <w:t xml:space="preserve"> </w:t>
      </w:r>
      <w:r>
        <w:t>(</w:t>
      </w:r>
      <w:hyperlink r:id="rId55" w:history="1">
        <w:r w:rsidRPr="002D45BF">
          <w:rPr>
            <w:rStyle w:val="Hyperlink"/>
            <w:rFonts w:cs="Arial"/>
          </w:rPr>
          <w:t>www.</w:t>
        </w:r>
        <w:r w:rsidRPr="002D45BF">
          <w:rPr>
            <w:rStyle w:val="Hyperlink"/>
            <w:rFonts w:cs="Arial"/>
            <w:bCs/>
          </w:rPr>
          <w:t>commonwealthfund</w:t>
        </w:r>
        <w:r w:rsidRPr="002D45BF">
          <w:rPr>
            <w:rStyle w:val="Hyperlink"/>
            <w:rFonts w:cs="Arial"/>
          </w:rPr>
          <w:t>.org</w:t>
        </w:r>
      </w:hyperlink>
      <w:r w:rsidRPr="00F12370">
        <w:rPr>
          <w:rFonts w:cs="Arial"/>
        </w:rPr>
        <w:t>)</w:t>
      </w:r>
    </w:p>
    <w:p w:rsidR="0046432C" w:rsidRPr="007A5C71" w:rsidRDefault="0046432C" w:rsidP="0046432C">
      <w:pPr>
        <w:pStyle w:val="Bullet"/>
      </w:pPr>
      <w:r w:rsidRPr="007A5C71">
        <w:rPr>
          <w:i/>
        </w:rPr>
        <w:t xml:space="preserve">Independent Life Expectancy in New Zealand 2013 </w:t>
      </w:r>
      <w:r w:rsidRPr="007A5C71">
        <w:t>(available at www.health.govt.nz/publications)</w:t>
      </w:r>
    </w:p>
    <w:p w:rsidR="0024277F" w:rsidRDefault="0024277F" w:rsidP="00135BAE">
      <w:pPr>
        <w:pStyle w:val="Heading1"/>
      </w:pPr>
      <w:bookmarkStart w:id="301" w:name="_Toc441468894"/>
      <w:bookmarkStart w:id="302" w:name="_Toc442416717"/>
      <w:bookmarkStart w:id="303" w:name="_Toc456270713"/>
      <w:bookmarkStart w:id="304" w:name="_Ref456273326"/>
      <w:r>
        <w:lastRenderedPageBreak/>
        <w:t>Appendix 2: Global Burden of Disease methods</w:t>
      </w:r>
      <w:bookmarkEnd w:id="301"/>
      <w:bookmarkEnd w:id="302"/>
      <w:bookmarkEnd w:id="303"/>
      <w:bookmarkEnd w:id="304"/>
    </w:p>
    <w:p w:rsidR="00263C33" w:rsidRPr="00FC2DA3" w:rsidRDefault="00263C33" w:rsidP="00263C33">
      <w:pPr>
        <w:pStyle w:val="Heading2"/>
      </w:pPr>
      <w:bookmarkStart w:id="305" w:name="_Toc455575824"/>
      <w:bookmarkStart w:id="306" w:name="_Toc456270714"/>
      <w:bookmarkStart w:id="307" w:name="_Toc442388763"/>
      <w:bookmarkStart w:id="308" w:name="_Toc442416718"/>
      <w:bookmarkStart w:id="309" w:name="_Toc455046569"/>
      <w:r w:rsidRPr="00FC2DA3">
        <w:t>Methods</w:t>
      </w:r>
      <w:bookmarkEnd w:id="305"/>
      <w:r w:rsidR="008B2F1B">
        <w:t xml:space="preserve"> used to produce this report</w:t>
      </w:r>
      <w:bookmarkEnd w:id="306"/>
    </w:p>
    <w:p w:rsidR="00263C33" w:rsidRDefault="00263C33" w:rsidP="00263C33">
      <w:pPr>
        <w:spacing w:before="120"/>
        <w:ind w:left="567" w:hanging="567"/>
      </w:pPr>
      <w:r>
        <w:t>1.</w:t>
      </w:r>
      <w:r>
        <w:tab/>
        <w:t>Relevant estimates were extracted from the GBD 2013 database. The Global Burden of Disease project, hosted by IHME, collates data supplied by health ministries and other institutions from 188 countries around the world, including New Zealand. It calculates health expectancy and health loss for (currently) 306 diseases and injuries and 69 risk factors by five-year age group and sex for 1990–2013.</w:t>
      </w:r>
    </w:p>
    <w:p w:rsidR="00263C33" w:rsidRDefault="00263C33" w:rsidP="00263C33">
      <w:pPr>
        <w:spacing w:before="120"/>
        <w:ind w:left="567" w:hanging="567"/>
      </w:pPr>
      <w:r>
        <w:t>2.</w:t>
      </w:r>
      <w:r>
        <w:tab/>
        <w:t xml:space="preserve">Condition and risk factor classifications, and age groups, were customised for New Zealand. </w:t>
      </w:r>
      <w:r w:rsidR="008B2F1B">
        <w:t xml:space="preserve">Earlier </w:t>
      </w:r>
      <w:r>
        <w:t>sections of this report provide details of the New Zealand modifications to the condition group classification and risk cluster classification.</w:t>
      </w:r>
    </w:p>
    <w:p w:rsidR="00263C33" w:rsidRDefault="00263C33" w:rsidP="00263C33">
      <w:pPr>
        <w:spacing w:before="120"/>
        <w:ind w:left="567" w:hanging="567"/>
      </w:pPr>
      <w:r>
        <w:t>3.</w:t>
      </w:r>
      <w:r>
        <w:tab/>
        <w:t>Some disease models (notably HIV/AIDS and gout) were customised to make better use of the available New Zealand data.</w:t>
      </w:r>
    </w:p>
    <w:p w:rsidR="00263C33" w:rsidRDefault="00263C33" w:rsidP="00263C33">
      <w:pPr>
        <w:spacing w:before="120"/>
        <w:ind w:left="567" w:hanging="567"/>
      </w:pPr>
      <w:r>
        <w:t>4.</w:t>
      </w:r>
      <w:r>
        <w:tab/>
        <w:t>Data visualisations were produced using the tools provided on the IHME website or Excel.</w:t>
      </w:r>
    </w:p>
    <w:p w:rsidR="00263C33" w:rsidRDefault="00263C33" w:rsidP="00263C33">
      <w:pPr>
        <w:spacing w:before="120"/>
        <w:ind w:left="567" w:hanging="567"/>
      </w:pPr>
      <w:r>
        <w:t>5.</w:t>
      </w:r>
      <w:r>
        <w:tab/>
        <w:t>Peer group countries were selected using the following criteria: membership of the Organisation for Economic Co-operation and Development (OECD); population of more than 3 million; gross domestic product per person similar to or higher than New Zealand’s; and inclusion in the Commonwealth Fund’s comparative health system performance study. Fourteen peer countries for comparison with New Zealand were selected on this basis.</w:t>
      </w:r>
    </w:p>
    <w:p w:rsidR="00263C33" w:rsidRDefault="00263C33" w:rsidP="00263C33">
      <w:pPr>
        <w:spacing w:before="120"/>
        <w:ind w:left="567" w:hanging="567"/>
      </w:pPr>
      <w:r>
        <w:t>6.</w:t>
      </w:r>
      <w:r>
        <w:tab/>
        <w:t>Corresponding estimates for the selected peer countries were extracted as described above.</w:t>
      </w:r>
    </w:p>
    <w:p w:rsidR="00263C33" w:rsidRDefault="00263C33" w:rsidP="00263C33">
      <w:pPr>
        <w:spacing w:before="120"/>
        <w:ind w:left="567" w:hanging="567"/>
      </w:pPr>
      <w:r>
        <w:t>7.</w:t>
      </w:r>
      <w:r>
        <w:tab/>
        <w:t>IHME tools, along with standard statistical tools in Excel, were used to rank and visualise the comparative results.</w:t>
      </w:r>
    </w:p>
    <w:p w:rsidR="00263C33" w:rsidRDefault="00263C33" w:rsidP="00263C33">
      <w:pPr>
        <w:spacing w:before="120"/>
        <w:ind w:left="567" w:hanging="567"/>
      </w:pPr>
      <w:r>
        <w:t>8.</w:t>
      </w:r>
      <w:r>
        <w:tab/>
        <w:t>For some analyses, estimates of disability-adjusted life years (DALYs) were projected from 1990–2013 to 2015, by fitting a mathematical model to the trend data.</w:t>
      </w:r>
    </w:p>
    <w:p w:rsidR="00263C33" w:rsidRDefault="00263C33" w:rsidP="00263C33">
      <w:pPr>
        <w:spacing w:before="120"/>
        <w:ind w:left="567" w:hanging="567"/>
      </w:pPr>
      <w:r>
        <w:t>9.</w:t>
      </w:r>
      <w:r>
        <w:tab/>
        <w:t>Where necessary, DALY rates were age standardised by the direct method to the GBD Model Population.</w:t>
      </w:r>
    </w:p>
    <w:p w:rsidR="00263C33" w:rsidRDefault="00263C33" w:rsidP="00263C33">
      <w:pPr>
        <w:spacing w:before="120"/>
        <w:ind w:left="567" w:hanging="567"/>
      </w:pPr>
      <w:r>
        <w:t>10.</w:t>
      </w:r>
      <w:r>
        <w:tab/>
        <w:t xml:space="preserve">For details of GBD methods for estimating years of life lost (YLL) and years lived with disability (YLD), and for estimating burdens attributable to risk factors (including adjustment for mediation), see </w:t>
      </w:r>
      <w:r w:rsidR="008B2F1B">
        <w:t xml:space="preserve">next section of </w:t>
      </w:r>
      <w:r>
        <w:t>Appendix 2.</w:t>
      </w:r>
    </w:p>
    <w:p w:rsidR="00263C33" w:rsidRDefault="00263C33" w:rsidP="00263C33">
      <w:pPr>
        <w:spacing w:before="120"/>
        <w:ind w:left="567" w:hanging="567"/>
      </w:pPr>
      <w:r>
        <w:t>11.</w:t>
      </w:r>
      <w:r>
        <w:tab/>
        <w:t>For a list of the New Zealand data sources that GBD 2013 used, and other potential data sources that could be used in future editions, see Appendix 3.</w:t>
      </w:r>
    </w:p>
    <w:p w:rsidR="00263C33" w:rsidRDefault="00263C33" w:rsidP="00263C33">
      <w:pPr>
        <w:spacing w:before="120"/>
        <w:ind w:left="567" w:hanging="567"/>
      </w:pPr>
      <w:r>
        <w:t>12.</w:t>
      </w:r>
      <w:r>
        <w:tab/>
        <w:t>For an assessment of the reliability of the reported DALY estimates, where 95% confidence intervals are not provided in the charts, tables or text for reasons of clarity of presentation, please contact Health and Disability Intelligence, Ministry of Health (see Appendix 1).</w:t>
      </w:r>
    </w:p>
    <w:p w:rsidR="00263C33" w:rsidRDefault="00263C33" w:rsidP="0094490A"/>
    <w:p w:rsidR="008B2F1B" w:rsidRPr="00FC2DA3" w:rsidRDefault="008B2F1B" w:rsidP="008B2F1B">
      <w:pPr>
        <w:pStyle w:val="Heading2"/>
      </w:pPr>
      <w:bookmarkStart w:id="310" w:name="_Toc456270715"/>
      <w:bookmarkStart w:id="311" w:name="_Toc455575825"/>
      <w:r>
        <w:lastRenderedPageBreak/>
        <w:t>Global Burden of Disease m</w:t>
      </w:r>
      <w:r w:rsidRPr="00FC2DA3">
        <w:t>ethods</w:t>
      </w:r>
      <w:bookmarkEnd w:id="310"/>
    </w:p>
    <w:p w:rsidR="0024277F" w:rsidRDefault="0024277F" w:rsidP="005B4360">
      <w:pPr>
        <w:pStyle w:val="Heading3"/>
      </w:pPr>
      <w:bookmarkStart w:id="312" w:name="_Toc456270716"/>
      <w:r>
        <w:t>YLL estimation</w:t>
      </w:r>
      <w:bookmarkEnd w:id="307"/>
      <w:bookmarkEnd w:id="308"/>
      <w:bookmarkEnd w:id="309"/>
      <w:bookmarkEnd w:id="311"/>
      <w:bookmarkEnd w:id="312"/>
    </w:p>
    <w:p w:rsidR="0024277F" w:rsidRDefault="0024277F" w:rsidP="00EB6705">
      <w:r>
        <w:t xml:space="preserve">Before years of life lost (YLL) can be estimated, deaths from causes not accepted in GBD as plausible causes of death (so-called </w:t>
      </w:r>
      <w:r w:rsidR="005D5D9F">
        <w:t>‘</w:t>
      </w:r>
      <w:r>
        <w:t>garbage codes</w:t>
      </w:r>
      <w:r w:rsidR="005D5D9F">
        <w:t>’</w:t>
      </w:r>
      <w:r>
        <w:t>) must be redistributed to appropriate acceptable causes. Garbage code redistribution is done using different models for the five different categories of garbage codes (</w:t>
      </w:r>
      <w:proofErr w:type="spellStart"/>
      <w:r>
        <w:t>eg</w:t>
      </w:r>
      <w:proofErr w:type="spellEnd"/>
      <w:r>
        <w:t>, cancers of unknown primary site; intermediate causes of death such as heart failure).</w:t>
      </w:r>
    </w:p>
    <w:p w:rsidR="0024277F" w:rsidRDefault="0024277F" w:rsidP="00EB6705"/>
    <w:p w:rsidR="0024277F" w:rsidRDefault="0024277F" w:rsidP="00EB6705">
      <w:r>
        <w:t>YLL is then estimated from the number of deaths at each age (by cause) multiplied by a weight that reflects the remaining life expectancy at that age.</w:t>
      </w:r>
    </w:p>
    <w:p w:rsidR="0024277F" w:rsidRPr="006261BF" w:rsidRDefault="0024277F" w:rsidP="0024277F">
      <w:pPr>
        <w:spacing w:before="120"/>
        <w:ind w:left="567"/>
      </w:pPr>
      <w:proofErr w:type="spellStart"/>
      <w:r w:rsidRPr="006261BF">
        <w:t>YLL</w:t>
      </w:r>
      <w:r w:rsidRPr="006261BF">
        <w:rPr>
          <w:vertAlign w:val="subscript"/>
        </w:rPr>
        <w:t>ascto</w:t>
      </w:r>
      <w:proofErr w:type="spellEnd"/>
      <w:r w:rsidRPr="006261BF">
        <w:t xml:space="preserve"> = Σ </w:t>
      </w:r>
      <w:proofErr w:type="spellStart"/>
      <w:r w:rsidRPr="006261BF">
        <w:t>deaths</w:t>
      </w:r>
      <w:r w:rsidRPr="006261BF">
        <w:rPr>
          <w:vertAlign w:val="subscript"/>
        </w:rPr>
        <w:t>ascto</w:t>
      </w:r>
      <w:proofErr w:type="spellEnd"/>
      <w:r w:rsidRPr="006261BF">
        <w:t xml:space="preserve"> </w:t>
      </w:r>
      <w:r>
        <w:rPr>
          <w:rFonts w:ascii="Cambria" w:hAnsi="Cambria"/>
        </w:rPr>
        <w:t>⨯</w:t>
      </w:r>
      <w:r w:rsidRPr="006261BF">
        <w:t xml:space="preserve"> </w:t>
      </w:r>
      <w:proofErr w:type="spellStart"/>
      <w:r w:rsidRPr="006261BF">
        <w:t>RLE</w:t>
      </w:r>
      <w:r w:rsidRPr="006261BF">
        <w:rPr>
          <w:vertAlign w:val="subscript"/>
        </w:rPr>
        <w:t>a</w:t>
      </w:r>
      <w:proofErr w:type="spellEnd"/>
    </w:p>
    <w:p w:rsidR="0024277F" w:rsidRDefault="0024277F" w:rsidP="0024277F">
      <w:pPr>
        <w:spacing w:before="120"/>
      </w:pPr>
      <w:proofErr w:type="gramStart"/>
      <w:r>
        <w:t>where</w:t>
      </w:r>
      <w:proofErr w:type="gramEnd"/>
      <w:r>
        <w:t>:</w:t>
      </w:r>
    </w:p>
    <w:p w:rsidR="0024277F" w:rsidRDefault="0024277F" w:rsidP="0024277F">
      <w:pPr>
        <w:ind w:left="567"/>
      </w:pPr>
      <w:proofErr w:type="gramStart"/>
      <w:r>
        <w:t>a</w:t>
      </w:r>
      <w:proofErr w:type="gramEnd"/>
      <w:r>
        <w:t xml:space="preserve"> is the age category</w:t>
      </w:r>
    </w:p>
    <w:p w:rsidR="0024277F" w:rsidRDefault="0024277F" w:rsidP="0024277F">
      <w:pPr>
        <w:ind w:left="567"/>
      </w:pPr>
      <w:proofErr w:type="gramStart"/>
      <w:r>
        <w:t>s</w:t>
      </w:r>
      <w:proofErr w:type="gramEnd"/>
      <w:r>
        <w:t xml:space="preserve"> is the sex</w:t>
      </w:r>
    </w:p>
    <w:p w:rsidR="0024277F" w:rsidRDefault="0024277F" w:rsidP="0024277F">
      <w:pPr>
        <w:ind w:left="567"/>
      </w:pPr>
      <w:proofErr w:type="gramStart"/>
      <w:r>
        <w:t>c</w:t>
      </w:r>
      <w:proofErr w:type="gramEnd"/>
      <w:r>
        <w:t xml:space="preserve"> is the country</w:t>
      </w:r>
    </w:p>
    <w:p w:rsidR="0024277F" w:rsidRDefault="0024277F" w:rsidP="0024277F">
      <w:pPr>
        <w:ind w:left="567"/>
      </w:pPr>
      <w:proofErr w:type="gramStart"/>
      <w:r>
        <w:t>t</w:t>
      </w:r>
      <w:proofErr w:type="gramEnd"/>
      <w:r>
        <w:t xml:space="preserve"> is the year</w:t>
      </w:r>
    </w:p>
    <w:p w:rsidR="0024277F" w:rsidRDefault="0024277F" w:rsidP="0024277F">
      <w:pPr>
        <w:ind w:left="567"/>
      </w:pPr>
      <w:proofErr w:type="gramStart"/>
      <w:r>
        <w:t>o</w:t>
      </w:r>
      <w:proofErr w:type="gramEnd"/>
      <w:r>
        <w:t xml:space="preserve"> is the condition</w:t>
      </w:r>
    </w:p>
    <w:p w:rsidR="0024277F" w:rsidRDefault="0024277F" w:rsidP="0024277F"/>
    <w:p w:rsidR="0024277F" w:rsidRDefault="0024277F" w:rsidP="0024277F">
      <w:r>
        <w:t>Remaining l</w:t>
      </w:r>
      <w:r w:rsidRPr="00CA7ABC">
        <w:t>ife expectancies</w:t>
      </w:r>
      <w:r>
        <w:t xml:space="preserve"> (RLE)</w:t>
      </w:r>
      <w:r w:rsidRPr="00CA7ABC">
        <w:t xml:space="preserve"> are derived from a model lifetable constructed by GBD. </w:t>
      </w:r>
      <w:r>
        <w:t>This uses the lowest mortality at each age of any of the 188 countries included in the GBD. The same lifetable is used for both sexes.</w:t>
      </w:r>
    </w:p>
    <w:p w:rsidR="0024277F" w:rsidRDefault="0024277F" w:rsidP="0024277F"/>
    <w:p w:rsidR="0024277F" w:rsidRPr="00DD0C75" w:rsidRDefault="0024277F" w:rsidP="005B4360">
      <w:pPr>
        <w:pStyle w:val="Heading3"/>
      </w:pPr>
      <w:bookmarkStart w:id="313" w:name="_Toc442416719"/>
      <w:bookmarkStart w:id="314" w:name="_Toc455046570"/>
      <w:bookmarkStart w:id="315" w:name="_Toc455575826"/>
      <w:bookmarkStart w:id="316" w:name="_Toc456270717"/>
      <w:r w:rsidRPr="00DD0C75">
        <w:t>YLD estimation</w:t>
      </w:r>
      <w:bookmarkEnd w:id="313"/>
      <w:bookmarkEnd w:id="314"/>
      <w:bookmarkEnd w:id="315"/>
      <w:bookmarkEnd w:id="316"/>
    </w:p>
    <w:p w:rsidR="0024277F" w:rsidRDefault="0024277F" w:rsidP="0024277F">
      <w:r>
        <w:t>Years lived with disability (YLD) is estimated at health state level, not (initially) at condition level.</w:t>
      </w:r>
    </w:p>
    <w:p w:rsidR="0024277F" w:rsidRDefault="0024277F" w:rsidP="0024277F"/>
    <w:p w:rsidR="0024277F" w:rsidRDefault="0024277F" w:rsidP="0024277F">
      <w:r>
        <w:t>For acute events, YLD is calculated as follows:</w:t>
      </w:r>
    </w:p>
    <w:p w:rsidR="0024277F" w:rsidRPr="006261BF" w:rsidRDefault="0024277F" w:rsidP="0024277F">
      <w:pPr>
        <w:spacing w:before="120"/>
        <w:ind w:left="567"/>
      </w:pPr>
      <w:proofErr w:type="spellStart"/>
      <w:r w:rsidRPr="006261BF">
        <w:t>YLD</w:t>
      </w:r>
      <w:r w:rsidRPr="006261BF">
        <w:rPr>
          <w:vertAlign w:val="subscript"/>
        </w:rPr>
        <w:t>ascth</w:t>
      </w:r>
      <w:proofErr w:type="spellEnd"/>
      <w:r>
        <w:t xml:space="preserve"> </w:t>
      </w:r>
      <w:r w:rsidRPr="006261BF">
        <w:t>=</w:t>
      </w:r>
      <w:r>
        <w:t xml:space="preserve"> </w:t>
      </w:r>
      <w:proofErr w:type="spellStart"/>
      <w:r w:rsidRPr="006261BF">
        <w:t>Incidence</w:t>
      </w:r>
      <w:r w:rsidRPr="006261BF">
        <w:rPr>
          <w:vertAlign w:val="subscript"/>
        </w:rPr>
        <w:t>ascth</w:t>
      </w:r>
      <w:proofErr w:type="spellEnd"/>
      <w:r w:rsidRPr="006261BF">
        <w:t xml:space="preserve"> </w:t>
      </w:r>
      <w:r>
        <w:rPr>
          <w:rFonts w:ascii="Cambria" w:hAnsi="Cambria"/>
        </w:rPr>
        <w:t>⨯</w:t>
      </w:r>
      <w:r w:rsidRPr="006261BF">
        <w:t xml:space="preserve"> </w:t>
      </w:r>
      <w:proofErr w:type="spellStart"/>
      <w:r w:rsidRPr="006261BF">
        <w:t>Duration</w:t>
      </w:r>
      <w:r w:rsidRPr="006261BF">
        <w:rPr>
          <w:vertAlign w:val="subscript"/>
        </w:rPr>
        <w:t>ash</w:t>
      </w:r>
      <w:proofErr w:type="spellEnd"/>
      <w:r w:rsidRPr="006261BF">
        <w:t xml:space="preserve"> </w:t>
      </w:r>
      <w:r>
        <w:rPr>
          <w:rFonts w:ascii="Cambria" w:hAnsi="Cambria"/>
        </w:rPr>
        <w:t>⨯</w:t>
      </w:r>
      <w:r w:rsidRPr="006261BF">
        <w:t xml:space="preserve"> </w:t>
      </w:r>
      <w:proofErr w:type="spellStart"/>
      <w:r w:rsidRPr="006261BF">
        <w:t>DW</w:t>
      </w:r>
      <w:r w:rsidRPr="006261BF">
        <w:rPr>
          <w:vertAlign w:val="subscript"/>
        </w:rPr>
        <w:t>h</w:t>
      </w:r>
      <w:proofErr w:type="spellEnd"/>
    </w:p>
    <w:p w:rsidR="0024277F" w:rsidRDefault="0024277F" w:rsidP="0024277F"/>
    <w:p w:rsidR="0024277F" w:rsidRDefault="0024277F" w:rsidP="0024277F">
      <w:r>
        <w:t>For chronic health states, the corresponding formula becomes:</w:t>
      </w:r>
    </w:p>
    <w:p w:rsidR="0024277F" w:rsidRPr="006261BF" w:rsidRDefault="0024277F" w:rsidP="0024277F">
      <w:pPr>
        <w:spacing w:before="120"/>
        <w:ind w:left="567"/>
      </w:pPr>
      <w:proofErr w:type="spellStart"/>
      <w:r w:rsidRPr="006261BF">
        <w:t>YLD</w:t>
      </w:r>
      <w:r w:rsidRPr="006261BF">
        <w:rPr>
          <w:vertAlign w:val="subscript"/>
        </w:rPr>
        <w:t>ascth</w:t>
      </w:r>
      <w:proofErr w:type="spellEnd"/>
      <w:r>
        <w:t xml:space="preserve"> </w:t>
      </w:r>
      <w:r w:rsidRPr="006261BF">
        <w:t>=</w:t>
      </w:r>
      <w:r>
        <w:t xml:space="preserve"> </w:t>
      </w:r>
      <w:proofErr w:type="spellStart"/>
      <w:r w:rsidRPr="006261BF">
        <w:t>Prevalence</w:t>
      </w:r>
      <w:r w:rsidRPr="006261BF">
        <w:rPr>
          <w:vertAlign w:val="subscript"/>
        </w:rPr>
        <w:t>ascth</w:t>
      </w:r>
      <w:proofErr w:type="spellEnd"/>
      <w:r w:rsidRPr="006261BF">
        <w:t xml:space="preserve"> </w:t>
      </w:r>
      <w:r>
        <w:rPr>
          <w:rFonts w:ascii="Cambria" w:hAnsi="Cambria"/>
        </w:rPr>
        <w:t>⨯</w:t>
      </w:r>
      <w:r w:rsidRPr="006261BF">
        <w:t xml:space="preserve"> </w:t>
      </w:r>
      <w:proofErr w:type="spellStart"/>
      <w:r w:rsidRPr="006261BF">
        <w:t>DW</w:t>
      </w:r>
      <w:r w:rsidRPr="006261BF">
        <w:rPr>
          <w:vertAlign w:val="subscript"/>
        </w:rPr>
        <w:t>h</w:t>
      </w:r>
      <w:proofErr w:type="spellEnd"/>
    </w:p>
    <w:p w:rsidR="0024277F" w:rsidRDefault="0024277F" w:rsidP="0024277F">
      <w:pPr>
        <w:spacing w:before="120"/>
      </w:pPr>
      <w:proofErr w:type="gramStart"/>
      <w:r>
        <w:t>where</w:t>
      </w:r>
      <w:proofErr w:type="gramEnd"/>
      <w:r>
        <w:t>:</w:t>
      </w:r>
    </w:p>
    <w:p w:rsidR="0024277F" w:rsidRDefault="0024277F" w:rsidP="0024277F">
      <w:pPr>
        <w:ind w:left="567"/>
      </w:pPr>
      <w:proofErr w:type="gramStart"/>
      <w:r>
        <w:t>a</w:t>
      </w:r>
      <w:proofErr w:type="gramEnd"/>
      <w:r>
        <w:t>, s, c and t have the same meanings as above</w:t>
      </w:r>
    </w:p>
    <w:p w:rsidR="0024277F" w:rsidRDefault="0024277F" w:rsidP="0024277F">
      <w:pPr>
        <w:ind w:left="567"/>
      </w:pPr>
      <w:proofErr w:type="gramStart"/>
      <w:r>
        <w:t>h</w:t>
      </w:r>
      <w:proofErr w:type="gramEnd"/>
      <w:r>
        <w:t xml:space="preserve"> is health state</w:t>
      </w:r>
    </w:p>
    <w:p w:rsidR="0024277F" w:rsidRDefault="0024277F" w:rsidP="0024277F">
      <w:pPr>
        <w:ind w:left="567"/>
      </w:pPr>
      <w:r>
        <w:t>DW is disability weight</w:t>
      </w:r>
    </w:p>
    <w:p w:rsidR="0024277F" w:rsidRPr="006261BF" w:rsidRDefault="0024277F" w:rsidP="0024277F"/>
    <w:p w:rsidR="0024277F" w:rsidRDefault="0024277F" w:rsidP="0024277F">
      <w:r w:rsidRPr="00DD0C75">
        <w:t>Incidence, duration and prevalence data</w:t>
      </w:r>
      <w:r>
        <w:t xml:space="preserve"> may be empirical or modelled using the mathematical relationship between these parameters. (In GBD, this is done using DISMOD software.)</w:t>
      </w:r>
    </w:p>
    <w:p w:rsidR="0024277F" w:rsidRDefault="0024277F" w:rsidP="0024277F"/>
    <w:p w:rsidR="0024277F" w:rsidRDefault="0024277F" w:rsidP="002279E2">
      <w:r>
        <w:t>Once YLD has been calculated for all health states, YLD for each condition can then be calculated as the weighted sum of its component health state YLDs. This requires empirical or modelled data as to the cross-sectional distribution of cases of the condition across its component health states.</w:t>
      </w:r>
    </w:p>
    <w:p w:rsidR="0024277F" w:rsidRPr="009A1EBE" w:rsidRDefault="0024277F" w:rsidP="0024277F">
      <w:pPr>
        <w:spacing w:before="120"/>
        <w:ind w:left="567"/>
      </w:pPr>
      <w:proofErr w:type="spellStart"/>
      <w:r w:rsidRPr="009A1EBE">
        <w:t>YLD</w:t>
      </w:r>
      <w:r w:rsidRPr="009A1EBE">
        <w:rPr>
          <w:vertAlign w:val="subscript"/>
        </w:rPr>
        <w:t>ascto</w:t>
      </w:r>
      <w:proofErr w:type="spellEnd"/>
      <w:r>
        <w:t xml:space="preserve"> </w:t>
      </w:r>
      <w:r w:rsidRPr="009A1EBE">
        <w:t>=</w:t>
      </w:r>
      <w:r>
        <w:t xml:space="preserve"> </w:t>
      </w:r>
      <w:r w:rsidRPr="009A1EBE">
        <w:t xml:space="preserve">Σ </w:t>
      </w:r>
      <w:proofErr w:type="spellStart"/>
      <w:r w:rsidRPr="009A1EBE">
        <w:t>YLD</w:t>
      </w:r>
      <w:r w:rsidRPr="009A1EBE">
        <w:rPr>
          <w:vertAlign w:val="subscript"/>
        </w:rPr>
        <w:t>ascth</w:t>
      </w:r>
      <w:proofErr w:type="spellEnd"/>
      <w:r w:rsidRPr="009A1EBE">
        <w:rPr>
          <w:vertAlign w:val="subscript"/>
        </w:rPr>
        <w:t xml:space="preserve"> </w:t>
      </w:r>
      <w:r>
        <w:rPr>
          <w:rFonts w:ascii="Cambria" w:hAnsi="Cambria"/>
        </w:rPr>
        <w:t>⨯</w:t>
      </w:r>
      <w:r w:rsidRPr="009A1EBE">
        <w:t xml:space="preserve"> </w:t>
      </w:r>
      <w:proofErr w:type="spellStart"/>
      <w:r w:rsidRPr="009A1EBE">
        <w:t>F</w:t>
      </w:r>
      <w:r w:rsidRPr="009A1EBE">
        <w:rPr>
          <w:vertAlign w:val="subscript"/>
        </w:rPr>
        <w:t>ascth</w:t>
      </w:r>
      <w:proofErr w:type="spellEnd"/>
    </w:p>
    <w:p w:rsidR="0024277F" w:rsidRDefault="0024277F" w:rsidP="0024277F">
      <w:pPr>
        <w:spacing w:before="120"/>
      </w:pPr>
      <w:proofErr w:type="gramStart"/>
      <w:r>
        <w:t>where</w:t>
      </w:r>
      <w:proofErr w:type="gramEnd"/>
      <w:r>
        <w:t>:</w:t>
      </w:r>
    </w:p>
    <w:p w:rsidR="0024277F" w:rsidRDefault="0024277F" w:rsidP="0024277F">
      <w:pPr>
        <w:ind w:left="567"/>
      </w:pPr>
      <w:proofErr w:type="gramStart"/>
      <w:r>
        <w:t>a</w:t>
      </w:r>
      <w:proofErr w:type="gramEnd"/>
      <w:r>
        <w:t>, s, c, t, h and o have the same meanings as above</w:t>
      </w:r>
    </w:p>
    <w:p w:rsidR="0024277F" w:rsidRPr="006261BF" w:rsidRDefault="0024277F" w:rsidP="0024277F">
      <w:pPr>
        <w:ind w:left="567"/>
      </w:pPr>
      <w:r>
        <w:t>F is the proportion of cases of the condition in each component health state</w:t>
      </w:r>
    </w:p>
    <w:p w:rsidR="0024277F" w:rsidRDefault="0024277F" w:rsidP="005B4360">
      <w:pPr>
        <w:pStyle w:val="Heading3"/>
        <w:spacing w:before="360"/>
      </w:pPr>
      <w:bookmarkStart w:id="317" w:name="_Toc442416720"/>
      <w:bookmarkStart w:id="318" w:name="_Toc455046571"/>
      <w:bookmarkStart w:id="319" w:name="_Toc455575827"/>
      <w:bookmarkStart w:id="320" w:name="_Toc456270718"/>
      <w:r>
        <w:lastRenderedPageBreak/>
        <w:t>Disability weights</w:t>
      </w:r>
      <w:bookmarkEnd w:id="317"/>
      <w:bookmarkEnd w:id="318"/>
      <w:bookmarkEnd w:id="319"/>
      <w:bookmarkEnd w:id="320"/>
    </w:p>
    <w:p w:rsidR="0024277F" w:rsidRDefault="0024277F" w:rsidP="0024277F">
      <w:r>
        <w:t xml:space="preserve">The disability weights on a 0–1 scale (where 0 = no health loss, </w:t>
      </w:r>
      <w:proofErr w:type="spellStart"/>
      <w:r>
        <w:t>ie</w:t>
      </w:r>
      <w:proofErr w:type="spellEnd"/>
      <w:r>
        <w:t xml:space="preserve">, equivalent to full health, and 1 = complete health loss, </w:t>
      </w:r>
      <w:proofErr w:type="spellStart"/>
      <w:r>
        <w:t>ie</w:t>
      </w:r>
      <w:proofErr w:type="spellEnd"/>
      <w:r>
        <w:t>, equivalent to being dead) for each of 253 unique health states were derived using discrete choice methodology via a combination of internet and face-to-face surveys.</w:t>
      </w:r>
    </w:p>
    <w:p w:rsidR="0024277F" w:rsidRDefault="0024277F" w:rsidP="0024277F"/>
    <w:p w:rsidR="0024277F" w:rsidRDefault="0024277F" w:rsidP="005B4360">
      <w:pPr>
        <w:pStyle w:val="Heading3"/>
      </w:pPr>
      <w:bookmarkStart w:id="321" w:name="_Toc442416721"/>
      <w:bookmarkStart w:id="322" w:name="_Toc455046572"/>
      <w:bookmarkStart w:id="323" w:name="_Toc455575828"/>
      <w:bookmarkStart w:id="324" w:name="_Toc456270719"/>
      <w:r w:rsidRPr="00D407C5">
        <w:t>Comorbidity adjustment</w:t>
      </w:r>
      <w:bookmarkEnd w:id="321"/>
      <w:bookmarkEnd w:id="322"/>
      <w:bookmarkEnd w:id="323"/>
      <w:bookmarkEnd w:id="324"/>
    </w:p>
    <w:p w:rsidR="0024277F" w:rsidRDefault="0024277F" w:rsidP="0024277F">
      <w:r>
        <w:t>Because individuals may experience more than one health state at a time, the disability weights must be adjusted for this so that the YLDs for each health state (and ultimately for each condition) are not overestimated relative to the YLLs.</w:t>
      </w:r>
    </w:p>
    <w:p w:rsidR="0024277F" w:rsidRDefault="0024277F" w:rsidP="0024277F"/>
    <w:p w:rsidR="0024277F" w:rsidRDefault="0024277F" w:rsidP="0024277F">
      <w:r>
        <w:t>This adjustment is done using a simple multiplicative formula that assumes health states are independently distributed across populations:</w:t>
      </w:r>
    </w:p>
    <w:p w:rsidR="0024277F" w:rsidRPr="00545590" w:rsidRDefault="0024277F" w:rsidP="0024277F">
      <w:pPr>
        <w:spacing w:before="120"/>
        <w:ind w:left="567"/>
      </w:pPr>
      <w:proofErr w:type="spellStart"/>
      <w:r w:rsidRPr="00545590">
        <w:t>DW</w:t>
      </w:r>
      <w:r w:rsidRPr="00545590">
        <w:rPr>
          <w:vertAlign w:val="subscript"/>
        </w:rPr>
        <w:t>c</w:t>
      </w:r>
      <w:proofErr w:type="spellEnd"/>
      <w:r w:rsidRPr="00545590">
        <w:rPr>
          <w:vertAlign w:val="subscript"/>
        </w:rPr>
        <w:t xml:space="preserve"> </w:t>
      </w:r>
      <w:r w:rsidRPr="00545590">
        <w:t>=</w:t>
      </w:r>
      <w:r w:rsidRPr="00545590">
        <w:rPr>
          <w:vertAlign w:val="subscript"/>
        </w:rPr>
        <w:t xml:space="preserve"> </w:t>
      </w:r>
      <w:r w:rsidRPr="00545590">
        <w:t xml:space="preserve">1 – π (1 – </w:t>
      </w:r>
      <w:proofErr w:type="spellStart"/>
      <w:proofErr w:type="gramStart"/>
      <w:r w:rsidRPr="00545590">
        <w:t>DW</w:t>
      </w:r>
      <w:r w:rsidRPr="00545590">
        <w:rPr>
          <w:vertAlign w:val="subscript"/>
        </w:rPr>
        <w:t>i</w:t>
      </w:r>
      <w:proofErr w:type="spellEnd"/>
      <w:proofErr w:type="gramEnd"/>
      <w:r w:rsidRPr="00545590">
        <w:t>)</w:t>
      </w:r>
    </w:p>
    <w:p w:rsidR="0024277F" w:rsidRDefault="0024277F" w:rsidP="0024277F">
      <w:pPr>
        <w:spacing w:before="120"/>
      </w:pPr>
      <w:proofErr w:type="gramStart"/>
      <w:r w:rsidRPr="006E2836">
        <w:t>where</w:t>
      </w:r>
      <w:proofErr w:type="gramEnd"/>
      <w:r>
        <w:t>:</w:t>
      </w:r>
    </w:p>
    <w:p w:rsidR="0024277F" w:rsidRDefault="0024277F" w:rsidP="0024277F">
      <w:pPr>
        <w:ind w:left="567"/>
      </w:pPr>
      <w:proofErr w:type="spellStart"/>
      <w:r w:rsidRPr="006E2836">
        <w:t>DW</w:t>
      </w:r>
      <w:r w:rsidRPr="0024730E">
        <w:rPr>
          <w:vertAlign w:val="subscript"/>
        </w:rPr>
        <w:t>c</w:t>
      </w:r>
      <w:proofErr w:type="spellEnd"/>
      <w:r w:rsidRPr="006E2836">
        <w:t xml:space="preserve"> is the comorbidity-adjusted </w:t>
      </w:r>
      <w:r>
        <w:t>disability weight</w:t>
      </w:r>
    </w:p>
    <w:p w:rsidR="0024277F" w:rsidRDefault="0024277F" w:rsidP="0024277F">
      <w:pPr>
        <w:ind w:left="567"/>
      </w:pPr>
      <w:proofErr w:type="spellStart"/>
      <w:proofErr w:type="gramStart"/>
      <w:r w:rsidRPr="006E2836">
        <w:t>DW</w:t>
      </w:r>
      <w:r w:rsidRPr="0024730E">
        <w:rPr>
          <w:vertAlign w:val="subscript"/>
        </w:rPr>
        <w:t>i</w:t>
      </w:r>
      <w:proofErr w:type="spellEnd"/>
      <w:proofErr w:type="gramEnd"/>
      <w:r w:rsidRPr="006E2836">
        <w:t xml:space="preserve"> </w:t>
      </w:r>
      <w:r>
        <w:t>is</w:t>
      </w:r>
      <w:r w:rsidRPr="006E2836">
        <w:t xml:space="preserve"> the </w:t>
      </w:r>
      <w:r>
        <w:t>disability weights</w:t>
      </w:r>
      <w:r w:rsidRPr="006E2836">
        <w:t xml:space="preserve"> of the separate health states</w:t>
      </w:r>
    </w:p>
    <w:p w:rsidR="0024277F" w:rsidRDefault="0024277F" w:rsidP="0024277F">
      <w:pPr>
        <w:ind w:left="567"/>
      </w:pPr>
      <w:proofErr w:type="gramStart"/>
      <w:r w:rsidRPr="006E2836">
        <w:t>π</w:t>
      </w:r>
      <w:proofErr w:type="gramEnd"/>
      <w:r w:rsidRPr="006E2836">
        <w:t xml:space="preserve"> is the product operator</w:t>
      </w:r>
    </w:p>
    <w:p w:rsidR="0024277F" w:rsidRDefault="0024277F" w:rsidP="0024277F"/>
    <w:p w:rsidR="0024277F" w:rsidRDefault="0024277F" w:rsidP="005B4360">
      <w:pPr>
        <w:pStyle w:val="Heading3"/>
      </w:pPr>
      <w:bookmarkStart w:id="325" w:name="_Toc442416722"/>
      <w:bookmarkStart w:id="326" w:name="_Toc455046573"/>
      <w:bookmarkStart w:id="327" w:name="_Toc455575829"/>
      <w:bookmarkStart w:id="328" w:name="_Toc456270720"/>
      <w:r>
        <w:t>Attributable burden estimation</w:t>
      </w:r>
      <w:bookmarkEnd w:id="325"/>
      <w:bookmarkEnd w:id="326"/>
      <w:bookmarkEnd w:id="327"/>
      <w:bookmarkEnd w:id="328"/>
    </w:p>
    <w:p w:rsidR="0024277F" w:rsidRPr="00D407C5" w:rsidRDefault="0024277F" w:rsidP="0024277F">
      <w:r w:rsidRPr="00D407C5">
        <w:t>The burden attributable to a risk factor is derived by multiplying the total burden from the linked condition by the population attributable fraction:</w:t>
      </w:r>
    </w:p>
    <w:p w:rsidR="0024277F" w:rsidRPr="009A1EBE" w:rsidRDefault="0024277F" w:rsidP="0024277F">
      <w:pPr>
        <w:spacing w:before="120"/>
        <w:ind w:left="567"/>
      </w:pPr>
      <w:proofErr w:type="spellStart"/>
      <w:r w:rsidRPr="009A1EBE">
        <w:t>AB</w:t>
      </w:r>
      <w:r w:rsidRPr="009A1EBE">
        <w:rPr>
          <w:vertAlign w:val="subscript"/>
        </w:rPr>
        <w:t>ioasct</w:t>
      </w:r>
      <w:proofErr w:type="spellEnd"/>
      <w:r w:rsidRPr="009A1EBE">
        <w:t xml:space="preserve"> =</w:t>
      </w:r>
      <w:r>
        <w:t xml:space="preserve"> </w:t>
      </w:r>
      <w:r w:rsidRPr="009A1EBE">
        <w:t xml:space="preserve">Σ </w:t>
      </w:r>
      <w:r>
        <w:t>[</w:t>
      </w:r>
      <w:proofErr w:type="spellStart"/>
      <w:r w:rsidRPr="009A1EBE">
        <w:t>TB</w:t>
      </w:r>
      <w:r w:rsidRPr="009A1EBE">
        <w:rPr>
          <w:vertAlign w:val="subscript"/>
        </w:rPr>
        <w:t>oasct</w:t>
      </w:r>
      <w:proofErr w:type="spellEnd"/>
      <w:r w:rsidRPr="009A1EBE">
        <w:t xml:space="preserve"> </w:t>
      </w:r>
      <w:r>
        <w:rPr>
          <w:rFonts w:ascii="Cambria" w:hAnsi="Cambria"/>
        </w:rPr>
        <w:t>⨯</w:t>
      </w:r>
      <w:r w:rsidRPr="009A1EBE">
        <w:t xml:space="preserve"> </w:t>
      </w:r>
      <w:proofErr w:type="spellStart"/>
      <w:r w:rsidRPr="009A1EBE">
        <w:t>PAF</w:t>
      </w:r>
      <w:r w:rsidRPr="009A1EBE">
        <w:rPr>
          <w:vertAlign w:val="subscript"/>
        </w:rPr>
        <w:t>ioas</w:t>
      </w:r>
      <w:proofErr w:type="spellEnd"/>
      <w:r w:rsidRPr="0031498A">
        <w:t>]</w:t>
      </w:r>
    </w:p>
    <w:p w:rsidR="0024277F" w:rsidRDefault="0024277F" w:rsidP="0024277F">
      <w:pPr>
        <w:spacing w:before="120"/>
      </w:pPr>
      <w:proofErr w:type="gramStart"/>
      <w:r>
        <w:t>where</w:t>
      </w:r>
      <w:proofErr w:type="gramEnd"/>
      <w:r>
        <w:t>:</w:t>
      </w:r>
    </w:p>
    <w:p w:rsidR="0024277F" w:rsidRDefault="0024277F" w:rsidP="0024277F">
      <w:pPr>
        <w:ind w:left="567"/>
      </w:pPr>
      <w:proofErr w:type="spellStart"/>
      <w:proofErr w:type="gramStart"/>
      <w:r>
        <w:t>i</w:t>
      </w:r>
      <w:proofErr w:type="spellEnd"/>
      <w:proofErr w:type="gramEnd"/>
      <w:r>
        <w:t xml:space="preserve"> is the risk factor</w:t>
      </w:r>
    </w:p>
    <w:p w:rsidR="0024277F" w:rsidRDefault="0024277F" w:rsidP="0024277F">
      <w:pPr>
        <w:ind w:left="567"/>
      </w:pPr>
      <w:proofErr w:type="gramStart"/>
      <w:r>
        <w:t>o</w:t>
      </w:r>
      <w:proofErr w:type="gramEnd"/>
      <w:r>
        <w:t xml:space="preserve"> is the linked condition</w:t>
      </w:r>
    </w:p>
    <w:p w:rsidR="0024277F" w:rsidRDefault="0024277F" w:rsidP="0024277F">
      <w:pPr>
        <w:ind w:left="567"/>
      </w:pPr>
      <w:proofErr w:type="gramStart"/>
      <w:r>
        <w:t>a</w:t>
      </w:r>
      <w:proofErr w:type="gramEnd"/>
      <w:r>
        <w:t>, s, c and t have the same meanings as above</w:t>
      </w:r>
    </w:p>
    <w:p w:rsidR="0024277F" w:rsidRPr="006F332B" w:rsidRDefault="0024277F" w:rsidP="0024277F"/>
    <w:p w:rsidR="0024277F" w:rsidRDefault="0024277F" w:rsidP="005B4360">
      <w:pPr>
        <w:pStyle w:val="Heading3"/>
      </w:pPr>
      <w:bookmarkStart w:id="329" w:name="_Toc442416723"/>
      <w:bookmarkStart w:id="330" w:name="_Toc455046574"/>
      <w:bookmarkStart w:id="331" w:name="_Toc455575830"/>
      <w:bookmarkStart w:id="332" w:name="_Toc456270721"/>
      <w:r>
        <w:t>Population attributable fraction</w:t>
      </w:r>
      <w:bookmarkEnd w:id="329"/>
      <w:bookmarkEnd w:id="330"/>
      <w:bookmarkEnd w:id="331"/>
      <w:bookmarkEnd w:id="332"/>
    </w:p>
    <w:p w:rsidR="0024277F" w:rsidRDefault="0024277F" w:rsidP="002279E2">
      <w:r>
        <w:t>Three pieces of information are required to calculate the population attributable fraction (PAF) for any risk factor–linked condition pair:</w:t>
      </w:r>
    </w:p>
    <w:p w:rsidR="0024277F" w:rsidRDefault="0024277F" w:rsidP="002279E2">
      <w:pPr>
        <w:pStyle w:val="Bullet"/>
      </w:pPr>
      <w:r>
        <w:t>the observed prevalence of the risk factor in the population group concerned</w:t>
      </w:r>
    </w:p>
    <w:p w:rsidR="0024277F" w:rsidRDefault="0024277F" w:rsidP="002279E2">
      <w:pPr>
        <w:pStyle w:val="Bullet"/>
      </w:pPr>
      <w:r>
        <w:t xml:space="preserve">the counterfactual prevalence – </w:t>
      </w:r>
      <w:proofErr w:type="spellStart"/>
      <w:r>
        <w:t>ie</w:t>
      </w:r>
      <w:proofErr w:type="spellEnd"/>
      <w:r>
        <w:t>, the theoretical minimum risk exposure level (TMREL)</w:t>
      </w:r>
    </w:p>
    <w:p w:rsidR="0024277F" w:rsidRDefault="0024277F" w:rsidP="002279E2">
      <w:pPr>
        <w:pStyle w:val="Bullet"/>
      </w:pPr>
      <w:proofErr w:type="gramStart"/>
      <w:r>
        <w:t>the</w:t>
      </w:r>
      <w:proofErr w:type="gramEnd"/>
      <w:r>
        <w:t xml:space="preserve"> hazard ratio – the increase in risk of the outcome for each unit increase in exposure to the risk factor (relative risk or RR).</w:t>
      </w:r>
    </w:p>
    <w:p w:rsidR="0024277F" w:rsidRDefault="0024277F" w:rsidP="0024277F"/>
    <w:p w:rsidR="0024277F" w:rsidRDefault="0024277F" w:rsidP="0024277F">
      <w:r>
        <w:t>Both TMREL and RR for each risk factor–linked condition pair were estimated by systematic literature reviews. The observed prevalence of the risk factor is, of course, empirical, usually being estimated from population-based, cross-sectional household surveys.</w:t>
      </w:r>
    </w:p>
    <w:p w:rsidR="0024277F" w:rsidRDefault="0024277F" w:rsidP="0024277F"/>
    <w:p w:rsidR="0024277F" w:rsidRDefault="0024277F" w:rsidP="005B4360">
      <w:r>
        <w:t>For a continuously distributed risk factor, the formula is:</w:t>
      </w:r>
    </w:p>
    <w:p w:rsidR="0024277F" w:rsidRDefault="005122BD" w:rsidP="0024277F">
      <w:pPr>
        <w:spacing w:before="120"/>
        <w:ind w:left="567"/>
      </w:pPr>
      <w:r>
        <w:rPr>
          <w:noProof/>
          <w:lang w:eastAsia="en-NZ"/>
        </w:rPr>
        <w:drawing>
          <wp:inline distT="0" distB="0" distL="0" distR="0">
            <wp:extent cx="2776220" cy="631825"/>
            <wp:effectExtent l="0" t="0" r="5080" b="0"/>
            <wp:docPr id="39"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6">
                      <a:extLst>
                        <a:ext uri="{28A0092B-C50C-407E-A947-70E740481C1C}">
                          <a14:useLocalDpi xmlns:a14="http://schemas.microsoft.com/office/drawing/2010/main" val="0"/>
                        </a:ext>
                      </a:extLst>
                    </a:blip>
                    <a:srcRect t="14194" b="15475"/>
                    <a:stretch>
                      <a:fillRect/>
                    </a:stretch>
                  </pic:blipFill>
                  <pic:spPr bwMode="auto">
                    <a:xfrm>
                      <a:off x="0" y="0"/>
                      <a:ext cx="2776220" cy="631825"/>
                    </a:xfrm>
                    <a:prstGeom prst="rect">
                      <a:avLst/>
                    </a:prstGeom>
                    <a:noFill/>
                    <a:ln>
                      <a:noFill/>
                    </a:ln>
                  </pic:spPr>
                </pic:pic>
              </a:graphicData>
            </a:graphic>
          </wp:inline>
        </w:drawing>
      </w:r>
    </w:p>
    <w:p w:rsidR="0024277F" w:rsidRDefault="0024277F" w:rsidP="005B4360">
      <w:pPr>
        <w:keepNext/>
        <w:spacing w:before="120"/>
      </w:pPr>
      <w:proofErr w:type="gramStart"/>
      <w:r>
        <w:lastRenderedPageBreak/>
        <w:t>w</w:t>
      </w:r>
      <w:r w:rsidRPr="006E2836">
        <w:t>here</w:t>
      </w:r>
      <w:proofErr w:type="gramEnd"/>
      <w:r>
        <w:t>:</w:t>
      </w:r>
    </w:p>
    <w:p w:rsidR="0024277F" w:rsidRDefault="0024277F" w:rsidP="0024277F">
      <w:pPr>
        <w:ind w:left="567"/>
      </w:pPr>
      <w:r w:rsidRPr="006E2836">
        <w:t xml:space="preserve">PAF is the </w:t>
      </w:r>
      <w:r>
        <w:t xml:space="preserve">population </w:t>
      </w:r>
      <w:r w:rsidRPr="006E2836">
        <w:t>attributable</w:t>
      </w:r>
      <w:r>
        <w:t xml:space="preserve"> fraction for the risk factor–linked condition pair of interest</w:t>
      </w:r>
    </w:p>
    <w:p w:rsidR="0024277F" w:rsidRDefault="0024277F" w:rsidP="0024277F">
      <w:pPr>
        <w:ind w:left="567"/>
        <w:rPr>
          <w:rFonts w:cs="Arial"/>
        </w:rPr>
      </w:pPr>
      <w:r w:rsidRPr="006E2836">
        <w:rPr>
          <w:rFonts w:cs="Arial"/>
        </w:rPr>
        <w:t>RR(x) is the relative risk of a specific disease or injury at exposure level x</w:t>
      </w:r>
    </w:p>
    <w:p w:rsidR="0024277F" w:rsidRDefault="0024277F" w:rsidP="0024277F">
      <w:pPr>
        <w:ind w:left="567"/>
        <w:rPr>
          <w:rFonts w:cs="Arial"/>
        </w:rPr>
      </w:pPr>
      <w:r w:rsidRPr="006E2836">
        <w:rPr>
          <w:rFonts w:cs="Arial"/>
        </w:rPr>
        <w:t>P1(x) is the current (or future) population distribution of exposure</w:t>
      </w:r>
    </w:p>
    <w:p w:rsidR="0024277F" w:rsidRDefault="0024277F" w:rsidP="0024277F">
      <w:pPr>
        <w:ind w:left="567"/>
        <w:rPr>
          <w:rFonts w:cs="Arial"/>
        </w:rPr>
      </w:pPr>
      <w:r w:rsidRPr="006E2836">
        <w:rPr>
          <w:rFonts w:cs="Arial"/>
        </w:rPr>
        <w:t>P2(x) is the counte</w:t>
      </w:r>
      <w:r>
        <w:rPr>
          <w:rFonts w:cs="Arial"/>
        </w:rPr>
        <w:t>rfactual distribution (</w:t>
      </w:r>
      <w:proofErr w:type="spellStart"/>
      <w:r>
        <w:rPr>
          <w:rFonts w:cs="Arial"/>
        </w:rPr>
        <w:t>ie</w:t>
      </w:r>
      <w:proofErr w:type="spellEnd"/>
      <w:r>
        <w:rPr>
          <w:rFonts w:cs="Arial"/>
        </w:rPr>
        <w:t>, TMREL</w:t>
      </w:r>
      <w:r w:rsidRPr="006E2836">
        <w:rPr>
          <w:rFonts w:cs="Arial"/>
        </w:rPr>
        <w:t>)</w:t>
      </w:r>
    </w:p>
    <w:p w:rsidR="0024277F" w:rsidRDefault="0024277F" w:rsidP="0024277F">
      <w:pPr>
        <w:ind w:left="567"/>
        <w:rPr>
          <w:rFonts w:cs="Arial"/>
        </w:rPr>
      </w:pPr>
      <w:proofErr w:type="gramStart"/>
      <w:r w:rsidRPr="006E2836">
        <w:rPr>
          <w:rFonts w:cs="Arial"/>
        </w:rPr>
        <w:t>m</w:t>
      </w:r>
      <w:proofErr w:type="gramEnd"/>
      <w:r w:rsidRPr="006E2836">
        <w:rPr>
          <w:rFonts w:cs="Arial"/>
        </w:rPr>
        <w:t xml:space="preserve"> is the maximum exposure level</w:t>
      </w:r>
    </w:p>
    <w:p w:rsidR="0024277F" w:rsidRDefault="0024277F" w:rsidP="0024277F"/>
    <w:p w:rsidR="0024277F" w:rsidRDefault="0024277F" w:rsidP="0024277F">
      <w:r>
        <w:t>For a categorical risk factor, this formula reduces to:</w:t>
      </w:r>
    </w:p>
    <w:p w:rsidR="0024277F" w:rsidRDefault="005122BD" w:rsidP="0024277F">
      <w:pPr>
        <w:spacing w:before="120"/>
        <w:ind w:left="567"/>
      </w:pPr>
      <w:r>
        <w:rPr>
          <w:noProof/>
          <w:lang w:eastAsia="en-NZ"/>
        </w:rPr>
        <w:drawing>
          <wp:inline distT="0" distB="0" distL="0" distR="0">
            <wp:extent cx="1513205" cy="781685"/>
            <wp:effectExtent l="0" t="0" r="0" b="0"/>
            <wp:docPr id="40"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7">
                      <a:extLst>
                        <a:ext uri="{28A0092B-C50C-407E-A947-70E740481C1C}">
                          <a14:useLocalDpi xmlns:a14="http://schemas.microsoft.com/office/drawing/2010/main" val="0"/>
                        </a:ext>
                      </a:extLst>
                    </a:blip>
                    <a:srcRect l="3302" t="5046" b="8789"/>
                    <a:stretch>
                      <a:fillRect/>
                    </a:stretch>
                  </pic:blipFill>
                  <pic:spPr bwMode="auto">
                    <a:xfrm>
                      <a:off x="0" y="0"/>
                      <a:ext cx="1513205" cy="781685"/>
                    </a:xfrm>
                    <a:prstGeom prst="rect">
                      <a:avLst/>
                    </a:prstGeom>
                    <a:noFill/>
                    <a:ln>
                      <a:noFill/>
                    </a:ln>
                  </pic:spPr>
                </pic:pic>
              </a:graphicData>
            </a:graphic>
          </wp:inline>
        </w:drawing>
      </w:r>
    </w:p>
    <w:p w:rsidR="0024277F" w:rsidRDefault="0024277F" w:rsidP="0024277F">
      <w:pPr>
        <w:spacing w:before="120"/>
      </w:pPr>
      <w:proofErr w:type="gramStart"/>
      <w:r w:rsidRPr="006E2836">
        <w:t>where</w:t>
      </w:r>
      <w:proofErr w:type="gramEnd"/>
      <w:r>
        <w:t>:</w:t>
      </w:r>
    </w:p>
    <w:p w:rsidR="0024277F" w:rsidRDefault="0024277F" w:rsidP="0024277F">
      <w:pPr>
        <w:ind w:left="567"/>
      </w:pPr>
      <w:proofErr w:type="spellStart"/>
      <w:r w:rsidRPr="006E2836">
        <w:t>RR</w:t>
      </w:r>
      <w:r w:rsidRPr="00404D64">
        <w:rPr>
          <w:vertAlign w:val="subscript"/>
        </w:rPr>
        <w:t>i</w:t>
      </w:r>
      <w:proofErr w:type="spellEnd"/>
      <w:r w:rsidRPr="006E2836">
        <w:t xml:space="preserve"> is the relative risk for exposure category </w:t>
      </w:r>
      <w:proofErr w:type="spellStart"/>
      <w:r>
        <w:t>i</w:t>
      </w:r>
      <w:proofErr w:type="spellEnd"/>
    </w:p>
    <w:p w:rsidR="0024277F" w:rsidRDefault="0024277F" w:rsidP="0024277F">
      <w:pPr>
        <w:ind w:left="567"/>
      </w:pPr>
      <w:r w:rsidRPr="006E2836">
        <w:t>P</w:t>
      </w:r>
      <w:r w:rsidRPr="00404D64">
        <w:rPr>
          <w:vertAlign w:val="subscript"/>
        </w:rPr>
        <w:t>i</w:t>
      </w:r>
      <w:r w:rsidRPr="006E2836">
        <w:t xml:space="preserve"> is the proportion of the population in exposure category </w:t>
      </w:r>
      <w:proofErr w:type="spellStart"/>
      <w:r>
        <w:t>i</w:t>
      </w:r>
      <w:proofErr w:type="spellEnd"/>
    </w:p>
    <w:p w:rsidR="0024277F" w:rsidRDefault="0024277F" w:rsidP="0024277F">
      <w:pPr>
        <w:ind w:left="567"/>
      </w:pPr>
      <w:proofErr w:type="gramStart"/>
      <w:r w:rsidRPr="006E2836">
        <w:t>n</w:t>
      </w:r>
      <w:proofErr w:type="gramEnd"/>
      <w:r w:rsidRPr="006E2836">
        <w:t xml:space="preserve"> is the number of exposure categories</w:t>
      </w:r>
    </w:p>
    <w:p w:rsidR="0024277F" w:rsidRDefault="0024277F" w:rsidP="0024277F"/>
    <w:p w:rsidR="0024277F" w:rsidRPr="008B3A0B" w:rsidRDefault="0024277F" w:rsidP="005B4360">
      <w:pPr>
        <w:pStyle w:val="Heading3"/>
      </w:pPr>
      <w:bookmarkStart w:id="333" w:name="_Toc442416724"/>
      <w:bookmarkStart w:id="334" w:name="_Toc455046575"/>
      <w:bookmarkStart w:id="335" w:name="_Toc455575831"/>
      <w:bookmarkStart w:id="336" w:name="_Toc456270722"/>
      <w:r w:rsidRPr="008B3A0B">
        <w:t>Risk factor aggregation and mediation adjustment</w:t>
      </w:r>
      <w:bookmarkEnd w:id="333"/>
      <w:bookmarkEnd w:id="334"/>
      <w:bookmarkEnd w:id="335"/>
      <w:bookmarkEnd w:id="336"/>
    </w:p>
    <w:p w:rsidR="0024277F" w:rsidRDefault="0024277F" w:rsidP="002279E2">
      <w:r>
        <w:t>Risk factor aggregation is similar in principle to comorbidity adjustment at the condition level (for YLDs). That is, it assumes that the risk factors are independently distributed in the population.</w:t>
      </w:r>
    </w:p>
    <w:p w:rsidR="0024277F" w:rsidRDefault="0024277F" w:rsidP="002279E2"/>
    <w:p w:rsidR="0024277F" w:rsidRDefault="0024277F" w:rsidP="002279E2">
      <w:r>
        <w:t>However, population attributable fractions also need to be adjusted for mediation – the extent to which the impact of one risk factor on health outcomes is mediated through another.</w:t>
      </w:r>
    </w:p>
    <w:p w:rsidR="0024277F" w:rsidRDefault="0024277F" w:rsidP="002279E2"/>
    <w:p w:rsidR="0024277F" w:rsidRDefault="0024277F" w:rsidP="002279E2">
      <w:r>
        <w:t xml:space="preserve">This is done by means of a mediation factor (MF). MF is a 2 </w:t>
      </w:r>
      <w:r>
        <w:rPr>
          <w:rFonts w:ascii="Cambria" w:hAnsi="Cambria"/>
        </w:rPr>
        <w:t>⨯</w:t>
      </w:r>
      <w:r>
        <w:t xml:space="preserve"> 2 table for each pair of risk factors estimating the extent to which each is mediated through the other for every linked condition. The MFs were derived by a combination of literature review and expert judgement.</w:t>
      </w:r>
    </w:p>
    <w:p w:rsidR="0024277F" w:rsidRDefault="0024277F" w:rsidP="0024277F"/>
    <w:p w:rsidR="0024277F" w:rsidRDefault="0024277F" w:rsidP="0024277F">
      <w:r>
        <w:t>The full aggregation model (adjusting for mediation) is:</w:t>
      </w:r>
    </w:p>
    <w:p w:rsidR="0024277F" w:rsidRPr="009A1EBE" w:rsidRDefault="0024277F" w:rsidP="0024277F">
      <w:pPr>
        <w:spacing w:before="120"/>
        <w:ind w:left="567"/>
      </w:pPr>
      <w:proofErr w:type="spellStart"/>
      <w:r w:rsidRPr="009A1EBE">
        <w:t>PAF</w:t>
      </w:r>
      <w:r w:rsidRPr="009A1EBE">
        <w:rPr>
          <w:vertAlign w:val="subscript"/>
        </w:rPr>
        <w:t>joasct</w:t>
      </w:r>
      <w:proofErr w:type="spellEnd"/>
      <w:r>
        <w:rPr>
          <w:vertAlign w:val="subscript"/>
        </w:rPr>
        <w:t xml:space="preserve"> </w:t>
      </w:r>
      <w:r w:rsidRPr="009A1EBE">
        <w:t>=</w:t>
      </w:r>
      <w:r>
        <w:t xml:space="preserve"> </w:t>
      </w:r>
      <w:r w:rsidRPr="009A1EBE">
        <w:t>1</w:t>
      </w:r>
      <w:r>
        <w:t xml:space="preserve"> – </w:t>
      </w:r>
      <w:r w:rsidRPr="009A1EBE">
        <w:t>∏</w:t>
      </w:r>
      <w:r w:rsidRPr="009A1EBE">
        <w:rPr>
          <w:vertAlign w:val="subscript"/>
        </w:rPr>
        <w:t xml:space="preserve">j=1to J </w:t>
      </w:r>
      <w:r w:rsidRPr="009A1EBE">
        <w:t>(1</w:t>
      </w:r>
      <w:r>
        <w:t xml:space="preserve"> – </w:t>
      </w:r>
      <w:proofErr w:type="spellStart"/>
      <w:r w:rsidRPr="009A1EBE">
        <w:t>PAF</w:t>
      </w:r>
      <w:r w:rsidRPr="009A1EBE">
        <w:rPr>
          <w:vertAlign w:val="subscript"/>
        </w:rPr>
        <w:t>joasct</w:t>
      </w:r>
      <w:proofErr w:type="spellEnd"/>
      <w:r w:rsidRPr="009A1EBE">
        <w:rPr>
          <w:vertAlign w:val="subscript"/>
        </w:rPr>
        <w:t xml:space="preserve"> </w:t>
      </w:r>
      <w:r w:rsidRPr="009A1EBE">
        <w:t>∏</w:t>
      </w:r>
      <w:r w:rsidRPr="009A1EBE">
        <w:rPr>
          <w:vertAlign w:val="subscript"/>
        </w:rPr>
        <w:t xml:space="preserve">j=1to J </w:t>
      </w:r>
      <w:r w:rsidRPr="009A1EBE">
        <w:t xml:space="preserve">[1 – </w:t>
      </w:r>
      <w:proofErr w:type="spellStart"/>
      <w:r w:rsidRPr="009A1EBE">
        <w:t>MF</w:t>
      </w:r>
      <w:r w:rsidRPr="009A1EBE">
        <w:rPr>
          <w:vertAlign w:val="subscript"/>
        </w:rPr>
        <w:t>jio</w:t>
      </w:r>
      <w:proofErr w:type="spellEnd"/>
      <w:r w:rsidRPr="009A1EBE">
        <w:t>])</w:t>
      </w:r>
    </w:p>
    <w:p w:rsidR="0024277F" w:rsidRDefault="0024277F" w:rsidP="0024277F">
      <w:pPr>
        <w:spacing w:before="120"/>
      </w:pPr>
      <w:proofErr w:type="gramStart"/>
      <w:r>
        <w:t>where</w:t>
      </w:r>
      <w:proofErr w:type="gramEnd"/>
      <w:r>
        <w:t>:</w:t>
      </w:r>
    </w:p>
    <w:p w:rsidR="0024277F" w:rsidRDefault="0024277F" w:rsidP="0024277F">
      <w:pPr>
        <w:ind w:left="567"/>
      </w:pPr>
      <w:r>
        <w:t>J is the set of risk factors for aggregation</w:t>
      </w:r>
    </w:p>
    <w:p w:rsidR="0024277F" w:rsidRDefault="0024277F" w:rsidP="0024277F">
      <w:pPr>
        <w:ind w:left="567"/>
      </w:pPr>
      <w:proofErr w:type="gramStart"/>
      <w:r>
        <w:t>o</w:t>
      </w:r>
      <w:proofErr w:type="gramEnd"/>
      <w:r>
        <w:t xml:space="preserve"> is the outcome (condition)</w:t>
      </w:r>
    </w:p>
    <w:p w:rsidR="0024277F" w:rsidRDefault="0024277F" w:rsidP="0024277F">
      <w:pPr>
        <w:ind w:left="567"/>
      </w:pPr>
      <w:proofErr w:type="gramStart"/>
      <w:r>
        <w:t>a</w:t>
      </w:r>
      <w:proofErr w:type="gramEnd"/>
      <w:r>
        <w:t xml:space="preserve"> is the age category</w:t>
      </w:r>
    </w:p>
    <w:p w:rsidR="0024277F" w:rsidRDefault="0024277F" w:rsidP="0024277F">
      <w:pPr>
        <w:ind w:left="567"/>
      </w:pPr>
      <w:proofErr w:type="gramStart"/>
      <w:r>
        <w:t>s</w:t>
      </w:r>
      <w:proofErr w:type="gramEnd"/>
      <w:r>
        <w:t xml:space="preserve"> is the sex</w:t>
      </w:r>
    </w:p>
    <w:p w:rsidR="0024277F" w:rsidRDefault="0024277F" w:rsidP="0024277F">
      <w:pPr>
        <w:ind w:left="567"/>
      </w:pPr>
      <w:proofErr w:type="gramStart"/>
      <w:r>
        <w:t>c</w:t>
      </w:r>
      <w:proofErr w:type="gramEnd"/>
      <w:r>
        <w:t xml:space="preserve"> is the country</w:t>
      </w:r>
    </w:p>
    <w:p w:rsidR="0024277F" w:rsidRDefault="0024277F" w:rsidP="0024277F">
      <w:pPr>
        <w:ind w:left="567"/>
      </w:pPr>
      <w:proofErr w:type="gramStart"/>
      <w:r>
        <w:t>t</w:t>
      </w:r>
      <w:proofErr w:type="gramEnd"/>
      <w:r>
        <w:t xml:space="preserve"> is the year</w:t>
      </w:r>
    </w:p>
    <w:p w:rsidR="0024277F" w:rsidRDefault="0024277F" w:rsidP="0024277F">
      <w:pPr>
        <w:ind w:left="567"/>
      </w:pPr>
      <w:proofErr w:type="spellStart"/>
      <w:proofErr w:type="gramStart"/>
      <w:r>
        <w:t>i</w:t>
      </w:r>
      <w:proofErr w:type="spellEnd"/>
      <w:proofErr w:type="gramEnd"/>
      <w:r>
        <w:t xml:space="preserve"> is the individual risk factor</w:t>
      </w:r>
    </w:p>
    <w:p w:rsidR="0024277F" w:rsidRDefault="0024277F" w:rsidP="005B4360">
      <w:pPr>
        <w:ind w:left="567"/>
      </w:pPr>
      <w:r>
        <w:t xml:space="preserve">MF is the mediation factor for risk factor j by risk factor </w:t>
      </w:r>
      <w:proofErr w:type="spellStart"/>
      <w:r>
        <w:t>i</w:t>
      </w:r>
      <w:proofErr w:type="spellEnd"/>
      <w:r>
        <w:t xml:space="preserve"> with respect to condition o</w:t>
      </w:r>
    </w:p>
    <w:p w:rsidR="0024277F" w:rsidRDefault="0024277F" w:rsidP="005B4360">
      <w:pPr>
        <w:ind w:left="567"/>
      </w:pPr>
      <w:r w:rsidRPr="00F005BC">
        <w:t>∏ is the multiplication operator</w:t>
      </w:r>
    </w:p>
    <w:p w:rsidR="0024277F" w:rsidRPr="00F005BC" w:rsidRDefault="0024277F" w:rsidP="0024277F">
      <w:pPr>
        <w:ind w:left="567"/>
      </w:pPr>
      <w:r>
        <w:t>PAF is the joint mediation adjusted population attributable fraction</w:t>
      </w:r>
    </w:p>
    <w:p w:rsidR="0024277F" w:rsidRDefault="0024277F" w:rsidP="0024277F"/>
    <w:p w:rsidR="0024277F" w:rsidRDefault="0024277F" w:rsidP="005B4360">
      <w:pPr>
        <w:pStyle w:val="Heading3"/>
      </w:pPr>
      <w:bookmarkStart w:id="337" w:name="_Toc442416725"/>
      <w:bookmarkStart w:id="338" w:name="_Toc455046576"/>
      <w:bookmarkStart w:id="339" w:name="_Toc455575832"/>
      <w:bookmarkStart w:id="340" w:name="_Toc456270723"/>
      <w:r>
        <w:lastRenderedPageBreak/>
        <w:t>Lifetables</w:t>
      </w:r>
      <w:bookmarkEnd w:id="337"/>
      <w:bookmarkEnd w:id="338"/>
      <w:bookmarkEnd w:id="339"/>
      <w:bookmarkEnd w:id="340"/>
    </w:p>
    <w:p w:rsidR="0024277F" w:rsidRDefault="0024277F" w:rsidP="005B4360">
      <w:pPr>
        <w:keepNext/>
      </w:pPr>
      <w:r>
        <w:t>Lifetables are constructed using conventional demographic methods.</w:t>
      </w:r>
    </w:p>
    <w:p w:rsidR="0024277F" w:rsidRDefault="0024277F" w:rsidP="005B4360">
      <w:pPr>
        <w:keepNext/>
      </w:pPr>
    </w:p>
    <w:p w:rsidR="0024277F" w:rsidRPr="008B3A0B" w:rsidRDefault="0024277F" w:rsidP="0024277F">
      <w:r>
        <w:t>Multistate lifetables for calculation of health expectancy are constructed from all-cause YLD (actually 1 – YLD) and the standard abridged lifetable using Sullivan</w:t>
      </w:r>
      <w:r w:rsidR="005D5D9F">
        <w:t>’</w:t>
      </w:r>
      <w:r>
        <w:t>s observed prevalence method.</w:t>
      </w:r>
    </w:p>
    <w:p w:rsidR="0024277F" w:rsidRDefault="0024277F" w:rsidP="0024277F"/>
    <w:p w:rsidR="0024277F" w:rsidRDefault="0024277F" w:rsidP="005B4360">
      <w:pPr>
        <w:pStyle w:val="Heading3"/>
      </w:pPr>
      <w:bookmarkStart w:id="341" w:name="_Toc455046577"/>
      <w:bookmarkStart w:id="342" w:name="_Toc455575833"/>
      <w:bookmarkStart w:id="343" w:name="_Toc456270724"/>
      <w:bookmarkStart w:id="344" w:name="_Toc442416726"/>
      <w:r>
        <w:t>Age standardisation of rates</w:t>
      </w:r>
      <w:bookmarkEnd w:id="341"/>
      <w:bookmarkEnd w:id="342"/>
      <w:bookmarkEnd w:id="343"/>
    </w:p>
    <w:p w:rsidR="0024277F" w:rsidRDefault="0024277F" w:rsidP="00EB6705">
      <w:r w:rsidRPr="00BF4133">
        <w:t>Where relevant, rates are standardised for age by the direct method, using the GBD Model Population as the reference or standard population.</w:t>
      </w:r>
    </w:p>
    <w:p w:rsidR="0024277F" w:rsidRPr="00BF4133" w:rsidRDefault="0024277F" w:rsidP="0024277F"/>
    <w:p w:rsidR="0024277F" w:rsidRDefault="0024277F" w:rsidP="005B4360">
      <w:pPr>
        <w:pStyle w:val="Heading3"/>
      </w:pPr>
      <w:bookmarkStart w:id="345" w:name="_Toc455046578"/>
      <w:bookmarkStart w:id="346" w:name="_Toc455575834"/>
      <w:bookmarkStart w:id="347" w:name="_Toc456270725"/>
      <w:r>
        <w:t>Uncertainty quantification</w:t>
      </w:r>
      <w:bookmarkEnd w:id="344"/>
      <w:bookmarkEnd w:id="345"/>
      <w:bookmarkEnd w:id="346"/>
      <w:bookmarkEnd w:id="347"/>
    </w:p>
    <w:p w:rsidR="0024277F" w:rsidRDefault="0024277F" w:rsidP="0024277F">
      <w:r w:rsidRPr="008B3A0B">
        <w:t>Uncertainty around all point estimates is estimated using simulation methods</w:t>
      </w:r>
      <w:r>
        <w:t xml:space="preserve"> (generally 1000 iterations with the 2.</w:t>
      </w:r>
      <w:r w:rsidRPr="00316049">
        <w:t>5</w:t>
      </w:r>
      <w:r w:rsidRPr="00404D64">
        <w:t>th</w:t>
      </w:r>
      <w:r>
        <w:t xml:space="preserve"> and 97.</w:t>
      </w:r>
      <w:r w:rsidRPr="00316049">
        <w:t>5</w:t>
      </w:r>
      <w:r w:rsidRPr="00404D64">
        <w:t>th</w:t>
      </w:r>
      <w:r>
        <w:t xml:space="preserve"> centiles being sampled), with the uncertainty being propagated along the causal chain from one epidemiological parameter to the next</w:t>
      </w:r>
      <w:r w:rsidRPr="008B3A0B">
        <w:t>.</w:t>
      </w:r>
    </w:p>
    <w:p w:rsidR="0024277F" w:rsidRDefault="0024277F" w:rsidP="00EB6705"/>
    <w:p w:rsidR="0024277F" w:rsidRDefault="0024277F" w:rsidP="005B4360">
      <w:pPr>
        <w:pStyle w:val="Heading3"/>
      </w:pPr>
      <w:r w:rsidRPr="00FA36C6">
        <w:t>Changes in methods and standards from GBD 2010 to GBD 2013</w:t>
      </w:r>
    </w:p>
    <w:p w:rsidR="0024277F" w:rsidRDefault="0024277F" w:rsidP="00EB6705">
      <w:r>
        <w:t xml:space="preserve">Beyond improvements in data quality and comprehensiveness, several methodological improvements have been incorporated into GBD 2013 (see </w:t>
      </w:r>
      <w:hyperlink r:id="rId58" w:history="1">
        <w:r w:rsidRPr="003E4374">
          <w:rPr>
            <w:rStyle w:val="Hyperlink"/>
            <w:szCs w:val="22"/>
          </w:rPr>
          <w:t>www.healthdata.org</w:t>
        </w:r>
      </w:hyperlink>
      <w:r>
        <w:t xml:space="preserve"> or the GBD references in Appendix 1 for more detail):</w:t>
      </w:r>
    </w:p>
    <w:p w:rsidR="0024277F" w:rsidRDefault="0024277F" w:rsidP="00EB6705">
      <w:pPr>
        <w:pStyle w:val="Bullet"/>
      </w:pPr>
      <w:r>
        <w:t>new standard population for age standardisation</w:t>
      </w:r>
    </w:p>
    <w:p w:rsidR="0024277F" w:rsidRDefault="0024277F" w:rsidP="00EB6705">
      <w:pPr>
        <w:pStyle w:val="Bullet"/>
      </w:pPr>
      <w:r>
        <w:t>new model lifetable for YLL calculation</w:t>
      </w:r>
    </w:p>
    <w:p w:rsidR="0024277F" w:rsidRDefault="0024277F" w:rsidP="00EB6705">
      <w:pPr>
        <w:pStyle w:val="Bullet"/>
      </w:pPr>
      <w:r>
        <w:t>new version of DISMOD (software for estimating epidemiological parameters such as prevalence and incidence)</w:t>
      </w:r>
    </w:p>
    <w:p w:rsidR="0024277F" w:rsidRDefault="0024277F" w:rsidP="00EB6705">
      <w:pPr>
        <w:pStyle w:val="Bullet"/>
      </w:pPr>
      <w:r>
        <w:t>new set of health state disability weights (based on combination of global internet and face-to-face surveys)</w:t>
      </w:r>
    </w:p>
    <w:p w:rsidR="0024277F" w:rsidRDefault="0024277F" w:rsidP="00EB6705">
      <w:pPr>
        <w:pStyle w:val="Bullet"/>
      </w:pPr>
      <w:r>
        <w:t>extended sets of conditions, health states and risk factors</w:t>
      </w:r>
    </w:p>
    <w:p w:rsidR="0024277F" w:rsidRDefault="0024277F" w:rsidP="00EB6705">
      <w:pPr>
        <w:pStyle w:val="Bullet"/>
      </w:pPr>
      <w:r>
        <w:t>revised disease classification and disease and injury models</w:t>
      </w:r>
    </w:p>
    <w:p w:rsidR="0024277F" w:rsidRDefault="0024277F" w:rsidP="00EB6705">
      <w:pPr>
        <w:pStyle w:val="Bullet"/>
      </w:pPr>
      <w:r>
        <w:t>improved method for comorbidity adjustment of health state disability weights</w:t>
      </w:r>
    </w:p>
    <w:p w:rsidR="0024277F" w:rsidRDefault="0024277F" w:rsidP="00EB6705">
      <w:pPr>
        <w:pStyle w:val="Bullet"/>
      </w:pPr>
      <w:proofErr w:type="gramStart"/>
      <w:r>
        <w:t>adjustment</w:t>
      </w:r>
      <w:proofErr w:type="gramEnd"/>
      <w:r>
        <w:t xml:space="preserve"> for mediation of the impact of one risk factor by another.</w:t>
      </w:r>
    </w:p>
    <w:p w:rsidR="0024277F" w:rsidRDefault="0024277F" w:rsidP="00EB6705"/>
    <w:p w:rsidR="005D5D9F" w:rsidRDefault="0024277F" w:rsidP="00EB6705">
      <w:r>
        <w:t>Because of these methodological and data quality improvements, all estimates back to 1990 have been recalculated using the new methods and standards. The latest report supersedes all previous reports, which are now obsolete and should no longer be used.</w:t>
      </w:r>
    </w:p>
    <w:p w:rsidR="0024277F" w:rsidRPr="00FA36C6" w:rsidRDefault="0024277F" w:rsidP="00EB6705">
      <w:bookmarkStart w:id="348" w:name="End_Appendix_2"/>
      <w:bookmarkEnd w:id="348"/>
    </w:p>
    <w:p w:rsidR="00950593" w:rsidRDefault="00950593" w:rsidP="00135BAE">
      <w:pPr>
        <w:pStyle w:val="Heading1"/>
      </w:pPr>
      <w:bookmarkStart w:id="349" w:name="_Toc441468895"/>
      <w:bookmarkStart w:id="350" w:name="_Toc442416727"/>
      <w:bookmarkStart w:id="351" w:name="_Toc456270726"/>
      <w:r>
        <w:lastRenderedPageBreak/>
        <w:t>Appendix 3</w:t>
      </w:r>
      <w:proofErr w:type="gramStart"/>
      <w:r>
        <w:t>:</w:t>
      </w:r>
      <w:proofErr w:type="gramEnd"/>
      <w:r>
        <w:br/>
        <w:t>New Zealand data sources</w:t>
      </w:r>
      <w:bookmarkEnd w:id="349"/>
      <w:bookmarkEnd w:id="350"/>
      <w:bookmarkEnd w:id="351"/>
    </w:p>
    <w:p w:rsidR="00950593" w:rsidRPr="0079726A" w:rsidRDefault="00950593" w:rsidP="00EB6705">
      <w:pPr>
        <w:pStyle w:val="Table"/>
      </w:pPr>
      <w:bookmarkStart w:id="352" w:name="_Toc442416728"/>
      <w:bookmarkStart w:id="353" w:name="_Toc442990194"/>
      <w:bookmarkStart w:id="354" w:name="_Toc454010386"/>
      <w:bookmarkStart w:id="355" w:name="_Toc455733254"/>
      <w:r>
        <w:t xml:space="preserve">Table </w:t>
      </w:r>
      <w:proofErr w:type="gramStart"/>
      <w:r>
        <w:t>A</w:t>
      </w:r>
      <w:proofErr w:type="gramEnd"/>
      <w:r w:rsidR="00F456CC">
        <w:fldChar w:fldCharType="begin"/>
      </w:r>
      <w:r w:rsidR="00F456CC">
        <w:instrText xml:space="preserve"> SEQ Table_A \* ARABIC </w:instrText>
      </w:r>
      <w:r w:rsidR="00F456CC">
        <w:fldChar w:fldCharType="separate"/>
      </w:r>
      <w:r w:rsidR="006C545C">
        <w:rPr>
          <w:noProof/>
        </w:rPr>
        <w:t>1</w:t>
      </w:r>
      <w:r w:rsidR="00F456CC">
        <w:rPr>
          <w:noProof/>
        </w:rPr>
        <w:fldChar w:fldCharType="end"/>
      </w:r>
      <w:r>
        <w:t>: A</w:t>
      </w:r>
      <w:r w:rsidRPr="0079726A">
        <w:t>dministrative data</w:t>
      </w:r>
      <w:r>
        <w:t xml:space="preserve"> used in GBD 2013</w:t>
      </w:r>
      <w:bookmarkEnd w:id="352"/>
      <w:bookmarkEnd w:id="353"/>
      <w:bookmarkEnd w:id="354"/>
      <w:bookmarkEnd w:id="35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940"/>
        <w:gridCol w:w="5715"/>
        <w:gridCol w:w="1701"/>
      </w:tblGrid>
      <w:tr w:rsidR="00950593" w:rsidRPr="00C911AC" w:rsidTr="00733F16">
        <w:trPr>
          <w:cantSplit/>
        </w:trPr>
        <w:tc>
          <w:tcPr>
            <w:tcW w:w="1940" w:type="dxa"/>
            <w:tcBorders>
              <w:top w:val="single" w:sz="4" w:space="0" w:color="auto"/>
              <w:bottom w:val="single" w:sz="4" w:space="0" w:color="auto"/>
            </w:tcBorders>
            <w:shd w:val="clear" w:color="auto" w:fill="auto"/>
            <w:noWrap/>
            <w:hideMark/>
          </w:tcPr>
          <w:p w:rsidR="00950593" w:rsidRPr="00C911AC" w:rsidRDefault="00950593" w:rsidP="00733F16">
            <w:pPr>
              <w:pStyle w:val="TableText"/>
              <w:ind w:right="142"/>
              <w:rPr>
                <w:b/>
                <w:lang w:eastAsia="en-NZ"/>
              </w:rPr>
            </w:pPr>
            <w:r w:rsidRPr="00C911AC">
              <w:rPr>
                <w:b/>
                <w:lang w:eastAsia="en-NZ"/>
              </w:rPr>
              <w:t>Collection</w:t>
            </w:r>
          </w:p>
        </w:tc>
        <w:tc>
          <w:tcPr>
            <w:tcW w:w="5715" w:type="dxa"/>
            <w:tcBorders>
              <w:top w:val="single" w:sz="4" w:space="0" w:color="auto"/>
              <w:bottom w:val="single" w:sz="4" w:space="0" w:color="auto"/>
            </w:tcBorders>
            <w:shd w:val="clear" w:color="auto" w:fill="auto"/>
            <w:noWrap/>
            <w:hideMark/>
          </w:tcPr>
          <w:p w:rsidR="00950593" w:rsidRPr="00C911AC" w:rsidRDefault="00950593" w:rsidP="00733F16">
            <w:pPr>
              <w:pStyle w:val="TableText"/>
              <w:ind w:right="142"/>
              <w:rPr>
                <w:b/>
                <w:lang w:eastAsia="en-NZ"/>
              </w:rPr>
            </w:pPr>
            <w:r w:rsidRPr="00C911AC">
              <w:rPr>
                <w:b/>
                <w:lang w:eastAsia="en-NZ"/>
              </w:rPr>
              <w:t>Content</w:t>
            </w:r>
          </w:p>
        </w:tc>
        <w:tc>
          <w:tcPr>
            <w:tcW w:w="1701" w:type="dxa"/>
            <w:tcBorders>
              <w:top w:val="single" w:sz="4" w:space="0" w:color="auto"/>
              <w:bottom w:val="single" w:sz="4" w:space="0" w:color="auto"/>
            </w:tcBorders>
            <w:shd w:val="clear" w:color="auto" w:fill="auto"/>
            <w:noWrap/>
            <w:hideMark/>
          </w:tcPr>
          <w:p w:rsidR="00950593" w:rsidRPr="00C911AC" w:rsidRDefault="00950593" w:rsidP="00733F16">
            <w:pPr>
              <w:pStyle w:val="TableText"/>
              <w:rPr>
                <w:b/>
                <w:lang w:eastAsia="en-NZ"/>
              </w:rPr>
            </w:pPr>
            <w:r w:rsidRPr="00C911AC">
              <w:rPr>
                <w:b/>
                <w:lang w:eastAsia="en-NZ"/>
              </w:rPr>
              <w:t>Years</w:t>
            </w:r>
          </w:p>
        </w:tc>
      </w:tr>
      <w:tr w:rsidR="00950593" w:rsidRPr="0079726A" w:rsidTr="00733F16">
        <w:trPr>
          <w:cantSplit/>
        </w:trPr>
        <w:tc>
          <w:tcPr>
            <w:tcW w:w="1940" w:type="dxa"/>
            <w:tcBorders>
              <w:top w:val="single" w:sz="4" w:space="0" w:color="auto"/>
              <w:bottom w:val="single" w:sz="4" w:space="0" w:color="A6A6A6"/>
            </w:tcBorders>
            <w:shd w:val="clear" w:color="auto" w:fill="auto"/>
          </w:tcPr>
          <w:p w:rsidR="00950593" w:rsidRPr="0079726A" w:rsidRDefault="00950593" w:rsidP="00733F16">
            <w:pPr>
              <w:pStyle w:val="TableText"/>
              <w:ind w:right="142"/>
              <w:rPr>
                <w:lang w:eastAsia="en-NZ"/>
              </w:rPr>
            </w:pPr>
            <w:r>
              <w:rPr>
                <w:lang w:eastAsia="en-NZ"/>
              </w:rPr>
              <w:t>NZ Health Tracker</w:t>
            </w:r>
          </w:p>
        </w:tc>
        <w:tc>
          <w:tcPr>
            <w:tcW w:w="5715" w:type="dxa"/>
            <w:tcBorders>
              <w:top w:val="single" w:sz="4" w:space="0" w:color="auto"/>
              <w:bottom w:val="single" w:sz="4" w:space="0" w:color="A6A6A6"/>
            </w:tcBorders>
            <w:shd w:val="clear" w:color="auto" w:fill="auto"/>
          </w:tcPr>
          <w:p w:rsidR="00950593" w:rsidRDefault="00950593" w:rsidP="00733F16">
            <w:pPr>
              <w:pStyle w:val="TableText"/>
              <w:ind w:right="142"/>
              <w:rPr>
                <w:lang w:eastAsia="en-NZ"/>
              </w:rPr>
            </w:pPr>
            <w:r>
              <w:rPr>
                <w:lang w:eastAsia="en-NZ"/>
              </w:rPr>
              <w:t>Data linkage facility</w:t>
            </w:r>
          </w:p>
          <w:p w:rsidR="00950593" w:rsidRPr="0079726A" w:rsidRDefault="00950593" w:rsidP="00733F16">
            <w:pPr>
              <w:pStyle w:val="TableText"/>
              <w:ind w:right="142"/>
              <w:rPr>
                <w:lang w:eastAsia="en-NZ"/>
              </w:rPr>
            </w:pPr>
            <w:r>
              <w:rPr>
                <w:lang w:eastAsia="en-NZ"/>
              </w:rPr>
              <w:t>Currently includes more than 80 health condition prevalence indicators, derived mainly by linking hospitalisation, pharmaceutical prescription and laboratory testing data using the encrypted master National Health Index (unique personal identifier)</w:t>
            </w:r>
          </w:p>
        </w:tc>
        <w:tc>
          <w:tcPr>
            <w:tcW w:w="1701" w:type="dxa"/>
            <w:tcBorders>
              <w:top w:val="single" w:sz="4" w:space="0" w:color="auto"/>
              <w:bottom w:val="single" w:sz="4" w:space="0" w:color="A6A6A6"/>
            </w:tcBorders>
            <w:shd w:val="clear" w:color="auto" w:fill="auto"/>
          </w:tcPr>
          <w:p w:rsidR="00950593" w:rsidRDefault="00950593" w:rsidP="00733F16">
            <w:pPr>
              <w:pStyle w:val="TableText"/>
              <w:rPr>
                <w:lang w:eastAsia="en-NZ"/>
              </w:rPr>
            </w:pPr>
            <w:r>
              <w:rPr>
                <w:lang w:eastAsia="en-NZ"/>
              </w:rPr>
              <w:t>Varies with indicator</w:t>
            </w:r>
          </w:p>
          <w:p w:rsidR="00950593" w:rsidRPr="0079726A" w:rsidRDefault="00950593" w:rsidP="00733F16">
            <w:pPr>
              <w:pStyle w:val="TableText"/>
              <w:rPr>
                <w:lang w:eastAsia="en-NZ"/>
              </w:rPr>
            </w:pPr>
            <w:r>
              <w:rPr>
                <w:lang w:eastAsia="en-NZ"/>
              </w:rPr>
              <w:t>Mainly from 2000 or thereabouts</w:t>
            </w:r>
          </w:p>
        </w:tc>
      </w:tr>
      <w:tr w:rsidR="00950593" w:rsidRPr="0079726A" w:rsidTr="00733F16">
        <w:trPr>
          <w:cantSplit/>
        </w:trPr>
        <w:tc>
          <w:tcPr>
            <w:tcW w:w="1940"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Cancer Registry</w:t>
            </w:r>
          </w:p>
        </w:tc>
        <w:tc>
          <w:tcPr>
            <w:tcW w:w="571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A population-based register of all primary malignant tumours histologically diagnosed in New Zealand</w:t>
            </w:r>
          </w:p>
        </w:tc>
        <w:tc>
          <w:tcPr>
            <w:tcW w:w="170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1990–current</w:t>
            </w:r>
          </w:p>
        </w:tc>
      </w:tr>
      <w:tr w:rsidR="00950593" w:rsidRPr="0079726A" w:rsidTr="00733F16">
        <w:trPr>
          <w:cantSplit/>
        </w:trPr>
        <w:tc>
          <w:tcPr>
            <w:tcW w:w="1940"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Mortality Collection</w:t>
            </w:r>
          </w:p>
        </w:tc>
        <w:tc>
          <w:tcPr>
            <w:tcW w:w="571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Pr>
                <w:lang w:eastAsia="en-NZ"/>
              </w:rPr>
              <w:t xml:space="preserve">A national collection of </w:t>
            </w:r>
            <w:r w:rsidRPr="0079726A">
              <w:rPr>
                <w:lang w:eastAsia="en-NZ"/>
              </w:rPr>
              <w:t xml:space="preserve">all deaths registered in New Zealand, and all </w:t>
            </w:r>
            <w:proofErr w:type="spellStart"/>
            <w:r w:rsidRPr="0079726A">
              <w:rPr>
                <w:lang w:eastAsia="en-NZ"/>
              </w:rPr>
              <w:t>registerable</w:t>
            </w:r>
            <w:proofErr w:type="spellEnd"/>
            <w:r w:rsidRPr="0079726A">
              <w:rPr>
                <w:lang w:eastAsia="en-NZ"/>
              </w:rPr>
              <w:t xml:space="preserve"> stillbirths</w:t>
            </w:r>
            <w:r>
              <w:rPr>
                <w:lang w:eastAsia="en-NZ"/>
              </w:rPr>
              <w:t>, classified by</w:t>
            </w:r>
            <w:r w:rsidRPr="0079726A">
              <w:rPr>
                <w:lang w:eastAsia="en-NZ"/>
              </w:rPr>
              <w:t xml:space="preserve"> the underlying cause of death</w:t>
            </w:r>
          </w:p>
        </w:tc>
        <w:tc>
          <w:tcPr>
            <w:tcW w:w="170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1990</w:t>
            </w:r>
            <w:r>
              <w:rPr>
                <w:lang w:eastAsia="en-NZ"/>
              </w:rPr>
              <w:t>–</w:t>
            </w:r>
            <w:r w:rsidRPr="0079726A">
              <w:rPr>
                <w:lang w:eastAsia="en-NZ"/>
              </w:rPr>
              <w:t>current</w:t>
            </w:r>
          </w:p>
        </w:tc>
      </w:tr>
      <w:tr w:rsidR="00950593" w:rsidRPr="0079726A" w:rsidTr="00733F16">
        <w:trPr>
          <w:cantSplit/>
        </w:trPr>
        <w:tc>
          <w:tcPr>
            <w:tcW w:w="1940"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National Minimum Dataset</w:t>
            </w:r>
          </w:p>
        </w:tc>
        <w:tc>
          <w:tcPr>
            <w:tcW w:w="571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A national collection of public and private hospital discharge information, including coded clinical data for inpatients and day patients</w:t>
            </w:r>
          </w:p>
        </w:tc>
        <w:tc>
          <w:tcPr>
            <w:tcW w:w="170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1990</w:t>
            </w:r>
            <w:r>
              <w:rPr>
                <w:lang w:eastAsia="en-NZ"/>
              </w:rPr>
              <w:t>–</w:t>
            </w:r>
            <w:r w:rsidRPr="0079726A">
              <w:rPr>
                <w:lang w:eastAsia="en-NZ"/>
              </w:rPr>
              <w:t>current</w:t>
            </w:r>
          </w:p>
        </w:tc>
      </w:tr>
      <w:tr w:rsidR="00950593" w:rsidRPr="0079726A" w:rsidTr="00733F16">
        <w:trPr>
          <w:cantSplit/>
        </w:trPr>
        <w:tc>
          <w:tcPr>
            <w:tcW w:w="1940"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Programme for the Integration of Mental Health Data</w:t>
            </w:r>
          </w:p>
        </w:tc>
        <w:tc>
          <w:tcPr>
            <w:tcW w:w="571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A national mental health and addiction information collection of service activity and outcomes data for mental health consumers</w:t>
            </w:r>
          </w:p>
        </w:tc>
        <w:tc>
          <w:tcPr>
            <w:tcW w:w="170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2008</w:t>
            </w:r>
            <w:r>
              <w:rPr>
                <w:lang w:eastAsia="en-NZ"/>
              </w:rPr>
              <w:t>–</w:t>
            </w:r>
            <w:r w:rsidRPr="0079726A">
              <w:rPr>
                <w:lang w:eastAsia="en-NZ"/>
              </w:rPr>
              <w:t>current</w:t>
            </w:r>
          </w:p>
        </w:tc>
      </w:tr>
      <w:tr w:rsidR="00950593" w:rsidRPr="0079726A" w:rsidTr="00733F16">
        <w:trPr>
          <w:cantSplit/>
        </w:trPr>
        <w:tc>
          <w:tcPr>
            <w:tcW w:w="1940"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Notifiable Diseases Database</w:t>
            </w:r>
          </w:p>
        </w:tc>
        <w:tc>
          <w:tcPr>
            <w:tcW w:w="571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A population-based register of all notifiable diseases notified in New Zealand</w:t>
            </w:r>
          </w:p>
        </w:tc>
        <w:tc>
          <w:tcPr>
            <w:tcW w:w="170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1990</w:t>
            </w:r>
            <w:r>
              <w:rPr>
                <w:lang w:eastAsia="en-NZ"/>
              </w:rPr>
              <w:t>–</w:t>
            </w:r>
            <w:r w:rsidRPr="0079726A">
              <w:rPr>
                <w:lang w:eastAsia="en-NZ"/>
              </w:rPr>
              <w:t>current</w:t>
            </w:r>
          </w:p>
        </w:tc>
      </w:tr>
      <w:tr w:rsidR="00950593" w:rsidRPr="0079726A" w:rsidTr="00733F16">
        <w:trPr>
          <w:cantSplit/>
        </w:trPr>
        <w:tc>
          <w:tcPr>
            <w:tcW w:w="1940" w:type="dxa"/>
            <w:tcBorders>
              <w:top w:val="single" w:sz="4" w:space="0" w:color="A6A6A6"/>
            </w:tcBorders>
            <w:shd w:val="clear" w:color="auto" w:fill="auto"/>
            <w:hideMark/>
          </w:tcPr>
          <w:p w:rsidR="00950593" w:rsidRPr="0087754A" w:rsidRDefault="00950593" w:rsidP="00733F16">
            <w:pPr>
              <w:pStyle w:val="TableText"/>
              <w:ind w:right="142"/>
              <w:rPr>
                <w:lang w:eastAsia="en-NZ"/>
              </w:rPr>
            </w:pPr>
            <w:r w:rsidRPr="0087754A">
              <w:rPr>
                <w:lang w:eastAsia="en-NZ"/>
              </w:rPr>
              <w:t>Birth Defects Register</w:t>
            </w:r>
          </w:p>
        </w:tc>
        <w:tc>
          <w:tcPr>
            <w:tcW w:w="5715" w:type="dxa"/>
            <w:tcBorders>
              <w:top w:val="single" w:sz="4" w:space="0" w:color="A6A6A6"/>
            </w:tcBorders>
            <w:shd w:val="clear" w:color="auto" w:fill="auto"/>
            <w:hideMark/>
          </w:tcPr>
          <w:p w:rsidR="00950593" w:rsidRPr="00BB1DE1" w:rsidRDefault="00950593" w:rsidP="00733F16">
            <w:pPr>
              <w:pStyle w:val="TableText"/>
              <w:ind w:right="142"/>
              <w:rPr>
                <w:lang w:eastAsia="en-NZ"/>
              </w:rPr>
            </w:pPr>
            <w:r w:rsidRPr="00BB1DE1">
              <w:rPr>
                <w:lang w:eastAsia="en-NZ"/>
              </w:rPr>
              <w:t>A population-based register of all birth defects reported in New Zealand</w:t>
            </w:r>
          </w:p>
        </w:tc>
        <w:tc>
          <w:tcPr>
            <w:tcW w:w="1701" w:type="dxa"/>
            <w:tcBorders>
              <w:top w:val="single" w:sz="4" w:space="0" w:color="A6A6A6"/>
            </w:tcBorders>
            <w:shd w:val="clear" w:color="auto" w:fill="auto"/>
            <w:hideMark/>
          </w:tcPr>
          <w:p w:rsidR="00950593" w:rsidRPr="00BB1DE1" w:rsidRDefault="00950593" w:rsidP="00733F16">
            <w:pPr>
              <w:pStyle w:val="TableText"/>
              <w:rPr>
                <w:lang w:eastAsia="en-NZ"/>
              </w:rPr>
            </w:pPr>
            <w:r w:rsidRPr="00BB1DE1">
              <w:rPr>
                <w:lang w:eastAsia="en-NZ"/>
              </w:rPr>
              <w:t>1990</w:t>
            </w:r>
            <w:r>
              <w:rPr>
                <w:lang w:eastAsia="en-NZ"/>
              </w:rPr>
              <w:t>–</w:t>
            </w:r>
            <w:r w:rsidRPr="00BB1DE1">
              <w:rPr>
                <w:lang w:eastAsia="en-NZ"/>
              </w:rPr>
              <w:t>current</w:t>
            </w:r>
          </w:p>
        </w:tc>
      </w:tr>
    </w:tbl>
    <w:p w:rsidR="00950593" w:rsidRPr="003869DC" w:rsidRDefault="00950593" w:rsidP="00EB6705"/>
    <w:p w:rsidR="00950593" w:rsidRPr="00C911AC" w:rsidRDefault="00950593" w:rsidP="00EB6705">
      <w:pPr>
        <w:pStyle w:val="Table"/>
      </w:pPr>
      <w:bookmarkStart w:id="356" w:name="_Toc442416729"/>
      <w:bookmarkStart w:id="357" w:name="_Toc442990195"/>
      <w:bookmarkStart w:id="358" w:name="_Toc454010387"/>
      <w:bookmarkStart w:id="359" w:name="_Toc455733255"/>
      <w:r>
        <w:t xml:space="preserve">Table </w:t>
      </w:r>
      <w:proofErr w:type="gramStart"/>
      <w:r>
        <w:t>A</w:t>
      </w:r>
      <w:proofErr w:type="gramEnd"/>
      <w:r w:rsidR="00F456CC">
        <w:fldChar w:fldCharType="begin"/>
      </w:r>
      <w:r w:rsidR="00F456CC">
        <w:instrText xml:space="preserve"> SEQ Table_A \* ARABIC </w:instrText>
      </w:r>
      <w:r w:rsidR="00F456CC">
        <w:fldChar w:fldCharType="separate"/>
      </w:r>
      <w:r w:rsidR="006C545C">
        <w:rPr>
          <w:noProof/>
        </w:rPr>
        <w:t>2</w:t>
      </w:r>
      <w:r w:rsidR="00F456CC">
        <w:rPr>
          <w:noProof/>
        </w:rPr>
        <w:fldChar w:fldCharType="end"/>
      </w:r>
      <w:r>
        <w:t>: S</w:t>
      </w:r>
      <w:r w:rsidRPr="0079726A">
        <w:t>urvey data</w:t>
      </w:r>
      <w:r>
        <w:t xml:space="preserve"> used in GBD 2013</w:t>
      </w:r>
      <w:bookmarkEnd w:id="356"/>
      <w:bookmarkEnd w:id="357"/>
      <w:bookmarkEnd w:id="358"/>
      <w:bookmarkEnd w:id="359"/>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940"/>
        <w:gridCol w:w="5715"/>
        <w:gridCol w:w="1701"/>
      </w:tblGrid>
      <w:tr w:rsidR="00950593" w:rsidRPr="00C911AC" w:rsidTr="00733F16">
        <w:trPr>
          <w:cantSplit/>
        </w:trPr>
        <w:tc>
          <w:tcPr>
            <w:tcW w:w="1940" w:type="dxa"/>
            <w:tcBorders>
              <w:top w:val="single" w:sz="4" w:space="0" w:color="auto"/>
              <w:bottom w:val="single" w:sz="4" w:space="0" w:color="auto"/>
            </w:tcBorders>
            <w:shd w:val="clear" w:color="auto" w:fill="auto"/>
            <w:noWrap/>
            <w:hideMark/>
          </w:tcPr>
          <w:p w:rsidR="00950593" w:rsidRPr="00C911AC" w:rsidRDefault="00950593" w:rsidP="00733F16">
            <w:pPr>
              <w:pStyle w:val="TableText"/>
              <w:ind w:right="142"/>
              <w:rPr>
                <w:b/>
                <w:lang w:eastAsia="en-NZ"/>
              </w:rPr>
            </w:pPr>
            <w:r w:rsidRPr="00C911AC">
              <w:rPr>
                <w:b/>
                <w:lang w:eastAsia="en-NZ"/>
              </w:rPr>
              <w:t>Survey</w:t>
            </w:r>
          </w:p>
        </w:tc>
        <w:tc>
          <w:tcPr>
            <w:tcW w:w="5715" w:type="dxa"/>
            <w:tcBorders>
              <w:top w:val="single" w:sz="4" w:space="0" w:color="auto"/>
              <w:bottom w:val="single" w:sz="4" w:space="0" w:color="auto"/>
            </w:tcBorders>
            <w:shd w:val="clear" w:color="auto" w:fill="auto"/>
            <w:noWrap/>
            <w:hideMark/>
          </w:tcPr>
          <w:p w:rsidR="00950593" w:rsidRPr="00C911AC" w:rsidRDefault="00950593" w:rsidP="00733F16">
            <w:pPr>
              <w:pStyle w:val="TableText"/>
              <w:ind w:right="142"/>
              <w:rPr>
                <w:b/>
                <w:lang w:eastAsia="en-NZ"/>
              </w:rPr>
            </w:pPr>
            <w:r>
              <w:rPr>
                <w:b/>
                <w:lang w:eastAsia="en-NZ"/>
              </w:rPr>
              <w:t>Content</w:t>
            </w:r>
          </w:p>
        </w:tc>
        <w:tc>
          <w:tcPr>
            <w:tcW w:w="1701" w:type="dxa"/>
            <w:tcBorders>
              <w:top w:val="single" w:sz="4" w:space="0" w:color="auto"/>
              <w:bottom w:val="single" w:sz="4" w:space="0" w:color="auto"/>
            </w:tcBorders>
            <w:shd w:val="clear" w:color="auto" w:fill="auto"/>
            <w:noWrap/>
            <w:hideMark/>
          </w:tcPr>
          <w:p w:rsidR="00950593" w:rsidRPr="00C911AC" w:rsidRDefault="00950593" w:rsidP="00733F16">
            <w:pPr>
              <w:pStyle w:val="TableText"/>
              <w:rPr>
                <w:b/>
                <w:lang w:eastAsia="en-NZ"/>
              </w:rPr>
            </w:pPr>
            <w:r w:rsidRPr="00C911AC">
              <w:rPr>
                <w:b/>
                <w:lang w:eastAsia="en-NZ"/>
              </w:rPr>
              <w:t>Years</w:t>
            </w:r>
          </w:p>
        </w:tc>
      </w:tr>
      <w:tr w:rsidR="00950593" w:rsidRPr="0079726A" w:rsidTr="00733F16">
        <w:trPr>
          <w:cantSplit/>
        </w:trPr>
        <w:tc>
          <w:tcPr>
            <w:tcW w:w="1940" w:type="dxa"/>
            <w:tcBorders>
              <w:top w:val="single" w:sz="4" w:space="0" w:color="auto"/>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New Zealand Health Survey</w:t>
            </w:r>
          </w:p>
        </w:tc>
        <w:tc>
          <w:tcPr>
            <w:tcW w:w="5715" w:type="dxa"/>
            <w:tcBorders>
              <w:top w:val="single" w:sz="4" w:space="0" w:color="auto"/>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A population-based household survey of health risks, health status, self-reported diagnoses, and health service utili</w:t>
            </w:r>
            <w:r>
              <w:rPr>
                <w:lang w:eastAsia="en-NZ"/>
              </w:rPr>
              <w:t>s</w:t>
            </w:r>
            <w:r w:rsidRPr="0079726A">
              <w:rPr>
                <w:lang w:eastAsia="en-NZ"/>
              </w:rPr>
              <w:t>ation</w:t>
            </w:r>
          </w:p>
        </w:tc>
        <w:tc>
          <w:tcPr>
            <w:tcW w:w="1701" w:type="dxa"/>
            <w:tcBorders>
              <w:top w:val="single" w:sz="4" w:space="0" w:color="auto"/>
              <w:bottom w:val="single" w:sz="4" w:space="0" w:color="A6A6A6"/>
            </w:tcBorders>
            <w:shd w:val="clear" w:color="auto" w:fill="auto"/>
            <w:hideMark/>
          </w:tcPr>
          <w:p w:rsidR="00950593" w:rsidRDefault="00950593" w:rsidP="00733F16">
            <w:pPr>
              <w:pStyle w:val="TableText"/>
              <w:rPr>
                <w:lang w:eastAsia="en-NZ"/>
              </w:rPr>
            </w:pPr>
            <w:r w:rsidRPr="00BB1DE1">
              <w:rPr>
                <w:lang w:eastAsia="en-NZ"/>
              </w:rPr>
              <w:t>Continuous survey:</w:t>
            </w:r>
            <w:r>
              <w:rPr>
                <w:lang w:eastAsia="en-NZ"/>
              </w:rPr>
              <w:t xml:space="preserve"> </w:t>
            </w:r>
            <w:r w:rsidRPr="00BB1DE1">
              <w:rPr>
                <w:lang w:eastAsia="en-NZ"/>
              </w:rPr>
              <w:t>2011/12</w:t>
            </w:r>
            <w:r>
              <w:rPr>
                <w:lang w:eastAsia="en-NZ"/>
              </w:rPr>
              <w:t xml:space="preserve">, </w:t>
            </w:r>
            <w:r w:rsidRPr="00BB1DE1">
              <w:rPr>
                <w:lang w:eastAsia="en-NZ"/>
              </w:rPr>
              <w:t>2012/13</w:t>
            </w:r>
          </w:p>
          <w:p w:rsidR="00950593" w:rsidRPr="00BB1DE1" w:rsidRDefault="00950593" w:rsidP="00733F16">
            <w:pPr>
              <w:pStyle w:val="TableText"/>
              <w:rPr>
                <w:lang w:eastAsia="en-NZ"/>
              </w:rPr>
            </w:pPr>
            <w:r w:rsidRPr="00BB1DE1">
              <w:rPr>
                <w:lang w:eastAsia="en-NZ"/>
              </w:rPr>
              <w:t>Earlier surveys:</w:t>
            </w:r>
            <w:r>
              <w:rPr>
                <w:lang w:eastAsia="en-NZ"/>
              </w:rPr>
              <w:t xml:space="preserve"> </w:t>
            </w:r>
            <w:r w:rsidRPr="00BB1DE1">
              <w:rPr>
                <w:lang w:eastAsia="en-NZ"/>
              </w:rPr>
              <w:t>2006/</w:t>
            </w:r>
            <w:r>
              <w:rPr>
                <w:lang w:eastAsia="en-NZ"/>
              </w:rPr>
              <w:t>0</w:t>
            </w:r>
            <w:r w:rsidRPr="00BB1DE1">
              <w:rPr>
                <w:lang w:eastAsia="en-NZ"/>
              </w:rPr>
              <w:t>7</w:t>
            </w:r>
            <w:r>
              <w:rPr>
                <w:lang w:eastAsia="en-NZ"/>
              </w:rPr>
              <w:t xml:space="preserve">, </w:t>
            </w:r>
            <w:r w:rsidRPr="00BB1DE1">
              <w:rPr>
                <w:lang w:eastAsia="en-NZ"/>
              </w:rPr>
              <w:t>2002/</w:t>
            </w:r>
            <w:r>
              <w:rPr>
                <w:lang w:eastAsia="en-NZ"/>
              </w:rPr>
              <w:t>0</w:t>
            </w:r>
            <w:r w:rsidRPr="00BB1DE1">
              <w:rPr>
                <w:lang w:eastAsia="en-NZ"/>
              </w:rPr>
              <w:t>3</w:t>
            </w:r>
          </w:p>
        </w:tc>
      </w:tr>
      <w:tr w:rsidR="00950593" w:rsidRPr="0079726A" w:rsidTr="00733F16">
        <w:trPr>
          <w:cantSplit/>
        </w:trPr>
        <w:tc>
          <w:tcPr>
            <w:tcW w:w="1940"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National Mental Health Survey</w:t>
            </w:r>
          </w:p>
        </w:tc>
        <w:tc>
          <w:tcPr>
            <w:tcW w:w="571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A population-based household survey of mental health status and mental health service utili</w:t>
            </w:r>
            <w:r>
              <w:rPr>
                <w:lang w:eastAsia="en-NZ"/>
              </w:rPr>
              <w:t>s</w:t>
            </w:r>
            <w:r w:rsidRPr="0079726A">
              <w:rPr>
                <w:lang w:eastAsia="en-NZ"/>
              </w:rPr>
              <w:t>ation</w:t>
            </w:r>
          </w:p>
        </w:tc>
        <w:tc>
          <w:tcPr>
            <w:tcW w:w="1701" w:type="dxa"/>
            <w:tcBorders>
              <w:top w:val="single" w:sz="4" w:space="0" w:color="A6A6A6"/>
              <w:bottom w:val="single" w:sz="4" w:space="0" w:color="A6A6A6"/>
            </w:tcBorders>
            <w:shd w:val="clear" w:color="auto" w:fill="auto"/>
            <w:hideMark/>
          </w:tcPr>
          <w:p w:rsidR="00950593" w:rsidRPr="00BB1DE1" w:rsidRDefault="00950593" w:rsidP="00733F16">
            <w:pPr>
              <w:pStyle w:val="TableText"/>
              <w:rPr>
                <w:lang w:eastAsia="en-NZ"/>
              </w:rPr>
            </w:pPr>
            <w:r w:rsidRPr="00BB1DE1">
              <w:rPr>
                <w:lang w:eastAsia="en-NZ"/>
              </w:rPr>
              <w:t>2004</w:t>
            </w:r>
          </w:p>
        </w:tc>
      </w:tr>
      <w:tr w:rsidR="00950593" w:rsidRPr="0079726A" w:rsidTr="00733F16">
        <w:trPr>
          <w:cantSplit/>
        </w:trPr>
        <w:tc>
          <w:tcPr>
            <w:tcW w:w="1940"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New Zealand Oral Health Survey</w:t>
            </w:r>
          </w:p>
        </w:tc>
        <w:tc>
          <w:tcPr>
            <w:tcW w:w="571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A population-based examination survey of dental health and service utili</w:t>
            </w:r>
            <w:r>
              <w:rPr>
                <w:lang w:eastAsia="en-NZ"/>
              </w:rPr>
              <w:t>s</w:t>
            </w:r>
            <w:r w:rsidRPr="0079726A">
              <w:rPr>
                <w:lang w:eastAsia="en-NZ"/>
              </w:rPr>
              <w:t>ation</w:t>
            </w:r>
          </w:p>
        </w:tc>
        <w:tc>
          <w:tcPr>
            <w:tcW w:w="1701" w:type="dxa"/>
            <w:tcBorders>
              <w:top w:val="single" w:sz="4" w:space="0" w:color="A6A6A6"/>
              <w:bottom w:val="single" w:sz="4" w:space="0" w:color="A6A6A6"/>
            </w:tcBorders>
            <w:shd w:val="clear" w:color="auto" w:fill="auto"/>
            <w:hideMark/>
          </w:tcPr>
          <w:p w:rsidR="00950593" w:rsidRPr="00BB1DE1" w:rsidRDefault="00950593" w:rsidP="00733F16">
            <w:pPr>
              <w:pStyle w:val="TableText"/>
              <w:rPr>
                <w:lang w:eastAsia="en-NZ"/>
              </w:rPr>
            </w:pPr>
            <w:r w:rsidRPr="00BB1DE1">
              <w:rPr>
                <w:lang w:eastAsia="en-NZ"/>
              </w:rPr>
              <w:t>2009</w:t>
            </w:r>
          </w:p>
        </w:tc>
      </w:tr>
      <w:tr w:rsidR="00950593" w:rsidRPr="0079726A" w:rsidTr="00733F16">
        <w:trPr>
          <w:cantSplit/>
        </w:trPr>
        <w:tc>
          <w:tcPr>
            <w:tcW w:w="1940"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Adult Nutrition Survey</w:t>
            </w:r>
          </w:p>
        </w:tc>
        <w:tc>
          <w:tcPr>
            <w:tcW w:w="571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 xml:space="preserve">A population-based household </w:t>
            </w:r>
            <w:r>
              <w:rPr>
                <w:lang w:eastAsia="en-NZ"/>
              </w:rPr>
              <w:t xml:space="preserve">examination </w:t>
            </w:r>
            <w:r w:rsidRPr="0079726A">
              <w:rPr>
                <w:lang w:eastAsia="en-NZ"/>
              </w:rPr>
              <w:t>survey of diet, nutrition, metabolic risk factors</w:t>
            </w:r>
            <w:r>
              <w:rPr>
                <w:lang w:eastAsia="en-NZ"/>
              </w:rPr>
              <w:t xml:space="preserve"> </w:t>
            </w:r>
            <w:r w:rsidRPr="0079726A">
              <w:rPr>
                <w:lang w:eastAsia="en-NZ"/>
              </w:rPr>
              <w:t>and household food security</w:t>
            </w:r>
          </w:p>
        </w:tc>
        <w:tc>
          <w:tcPr>
            <w:tcW w:w="1701" w:type="dxa"/>
            <w:tcBorders>
              <w:top w:val="single" w:sz="4" w:space="0" w:color="A6A6A6"/>
              <w:bottom w:val="single" w:sz="4" w:space="0" w:color="A6A6A6"/>
            </w:tcBorders>
            <w:shd w:val="clear" w:color="auto" w:fill="auto"/>
            <w:hideMark/>
          </w:tcPr>
          <w:p w:rsidR="00950593" w:rsidRPr="00BB1DE1" w:rsidRDefault="00950593" w:rsidP="00733F16">
            <w:pPr>
              <w:pStyle w:val="TableText"/>
              <w:rPr>
                <w:lang w:eastAsia="en-NZ"/>
              </w:rPr>
            </w:pPr>
            <w:r w:rsidRPr="00BB1DE1">
              <w:rPr>
                <w:lang w:eastAsia="en-NZ"/>
              </w:rPr>
              <w:t xml:space="preserve"> 2008/09</w:t>
            </w:r>
          </w:p>
        </w:tc>
      </w:tr>
      <w:tr w:rsidR="00950593" w:rsidRPr="0079726A" w:rsidTr="00733F16">
        <w:trPr>
          <w:cantSplit/>
        </w:trPr>
        <w:tc>
          <w:tcPr>
            <w:tcW w:w="1940"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Child Nutrition Survey</w:t>
            </w:r>
          </w:p>
        </w:tc>
        <w:tc>
          <w:tcPr>
            <w:tcW w:w="571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 xml:space="preserve">A population-based household </w:t>
            </w:r>
            <w:r>
              <w:rPr>
                <w:lang w:eastAsia="en-NZ"/>
              </w:rPr>
              <w:t xml:space="preserve">examination </w:t>
            </w:r>
            <w:r w:rsidRPr="0079726A">
              <w:rPr>
                <w:lang w:eastAsia="en-NZ"/>
              </w:rPr>
              <w:t xml:space="preserve">survey of children </w:t>
            </w:r>
            <w:r>
              <w:rPr>
                <w:lang w:eastAsia="en-NZ"/>
              </w:rPr>
              <w:t xml:space="preserve">aged </w:t>
            </w:r>
            <w:r w:rsidRPr="0079726A">
              <w:rPr>
                <w:lang w:eastAsia="en-NZ"/>
              </w:rPr>
              <w:t>2</w:t>
            </w:r>
            <w:r>
              <w:rPr>
                <w:lang w:eastAsia="en-NZ"/>
              </w:rPr>
              <w:t>–</w:t>
            </w:r>
            <w:r w:rsidRPr="0079726A">
              <w:rPr>
                <w:lang w:eastAsia="en-NZ"/>
              </w:rPr>
              <w:t>14</w:t>
            </w:r>
            <w:r>
              <w:rPr>
                <w:lang w:eastAsia="en-NZ"/>
              </w:rPr>
              <w:t xml:space="preserve"> years</w:t>
            </w:r>
            <w:r w:rsidRPr="0079726A">
              <w:rPr>
                <w:lang w:eastAsia="en-NZ"/>
              </w:rPr>
              <w:t xml:space="preserve"> covering </w:t>
            </w:r>
            <w:r>
              <w:rPr>
                <w:lang w:eastAsia="en-NZ"/>
              </w:rPr>
              <w:t xml:space="preserve">the topics </w:t>
            </w:r>
            <w:r w:rsidRPr="0079726A">
              <w:rPr>
                <w:lang w:eastAsia="en-NZ"/>
              </w:rPr>
              <w:t xml:space="preserve">as </w:t>
            </w:r>
            <w:r>
              <w:rPr>
                <w:lang w:eastAsia="en-NZ"/>
              </w:rPr>
              <w:t xml:space="preserve">listed </w:t>
            </w:r>
            <w:r w:rsidRPr="0079726A">
              <w:rPr>
                <w:lang w:eastAsia="en-NZ"/>
              </w:rPr>
              <w:t>above for adults</w:t>
            </w:r>
          </w:p>
        </w:tc>
        <w:tc>
          <w:tcPr>
            <w:tcW w:w="1701" w:type="dxa"/>
            <w:tcBorders>
              <w:top w:val="single" w:sz="4" w:space="0" w:color="A6A6A6"/>
              <w:bottom w:val="single" w:sz="4" w:space="0" w:color="A6A6A6"/>
            </w:tcBorders>
            <w:shd w:val="clear" w:color="auto" w:fill="auto"/>
            <w:noWrap/>
            <w:hideMark/>
          </w:tcPr>
          <w:p w:rsidR="00950593" w:rsidRPr="00BB1DE1" w:rsidRDefault="00950593" w:rsidP="00733F16">
            <w:pPr>
              <w:pStyle w:val="TableText"/>
              <w:rPr>
                <w:lang w:eastAsia="en-NZ"/>
              </w:rPr>
            </w:pPr>
            <w:r w:rsidRPr="00BB1DE1">
              <w:rPr>
                <w:lang w:eastAsia="en-NZ"/>
              </w:rPr>
              <w:t>2002</w:t>
            </w:r>
          </w:p>
        </w:tc>
      </w:tr>
      <w:tr w:rsidR="00950593" w:rsidRPr="0079726A" w:rsidTr="00733F16">
        <w:trPr>
          <w:cantSplit/>
        </w:trPr>
        <w:tc>
          <w:tcPr>
            <w:tcW w:w="1940"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New Zealand Alcohol and Drug Use Survey</w:t>
            </w:r>
          </w:p>
        </w:tc>
        <w:tc>
          <w:tcPr>
            <w:tcW w:w="571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A population-based household survey of alcohol and drug use and related harms</w:t>
            </w:r>
          </w:p>
        </w:tc>
        <w:tc>
          <w:tcPr>
            <w:tcW w:w="1701" w:type="dxa"/>
            <w:tcBorders>
              <w:top w:val="single" w:sz="4" w:space="0" w:color="A6A6A6"/>
              <w:bottom w:val="single" w:sz="4" w:space="0" w:color="A6A6A6"/>
            </w:tcBorders>
            <w:shd w:val="clear" w:color="auto" w:fill="auto"/>
            <w:noWrap/>
            <w:hideMark/>
          </w:tcPr>
          <w:p w:rsidR="00950593" w:rsidRPr="00BB1DE1" w:rsidRDefault="00950593" w:rsidP="00733F16">
            <w:pPr>
              <w:pStyle w:val="TableText"/>
              <w:rPr>
                <w:lang w:eastAsia="en-NZ"/>
              </w:rPr>
            </w:pPr>
            <w:r w:rsidRPr="00BB1DE1">
              <w:rPr>
                <w:lang w:eastAsia="en-NZ"/>
              </w:rPr>
              <w:t>2007/08</w:t>
            </w:r>
          </w:p>
        </w:tc>
      </w:tr>
      <w:tr w:rsidR="00950593" w:rsidRPr="0079726A" w:rsidTr="00733F16">
        <w:trPr>
          <w:cantSplit/>
        </w:trPr>
        <w:tc>
          <w:tcPr>
            <w:tcW w:w="1940" w:type="dxa"/>
            <w:tcBorders>
              <w:top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New Zealand Tobacco Use Survey</w:t>
            </w:r>
          </w:p>
        </w:tc>
        <w:tc>
          <w:tcPr>
            <w:tcW w:w="5715" w:type="dxa"/>
            <w:tcBorders>
              <w:top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A population-based household survey of tobacco use</w:t>
            </w:r>
          </w:p>
        </w:tc>
        <w:tc>
          <w:tcPr>
            <w:tcW w:w="1701" w:type="dxa"/>
            <w:tcBorders>
              <w:top w:val="single" w:sz="4" w:space="0" w:color="A6A6A6"/>
            </w:tcBorders>
            <w:shd w:val="clear" w:color="auto" w:fill="auto"/>
            <w:noWrap/>
            <w:hideMark/>
          </w:tcPr>
          <w:p w:rsidR="00950593" w:rsidRPr="00BB1DE1" w:rsidRDefault="00950593" w:rsidP="00733F16">
            <w:pPr>
              <w:pStyle w:val="TableText"/>
              <w:rPr>
                <w:lang w:eastAsia="en-NZ"/>
              </w:rPr>
            </w:pPr>
            <w:r w:rsidRPr="00BB1DE1">
              <w:rPr>
                <w:lang w:eastAsia="en-NZ"/>
              </w:rPr>
              <w:t>2009</w:t>
            </w:r>
          </w:p>
        </w:tc>
      </w:tr>
    </w:tbl>
    <w:p w:rsidR="00950593" w:rsidRDefault="00950593" w:rsidP="00EB6705"/>
    <w:p w:rsidR="00950593" w:rsidRPr="006F5167" w:rsidRDefault="00950593" w:rsidP="00EB6705">
      <w:pPr>
        <w:pStyle w:val="Table"/>
      </w:pPr>
      <w:bookmarkStart w:id="360" w:name="_Toc442416730"/>
      <w:bookmarkStart w:id="361" w:name="_Toc442990196"/>
      <w:bookmarkStart w:id="362" w:name="_Toc454010388"/>
      <w:bookmarkStart w:id="363" w:name="_Toc455733256"/>
      <w:r>
        <w:lastRenderedPageBreak/>
        <w:t xml:space="preserve">Table </w:t>
      </w:r>
      <w:proofErr w:type="gramStart"/>
      <w:r>
        <w:t>A</w:t>
      </w:r>
      <w:proofErr w:type="gramEnd"/>
      <w:r w:rsidR="00F456CC">
        <w:fldChar w:fldCharType="begin"/>
      </w:r>
      <w:r w:rsidR="00F456CC">
        <w:instrText xml:space="preserve"> SEQ Table_A \* ARABIC </w:instrText>
      </w:r>
      <w:r w:rsidR="00F456CC">
        <w:fldChar w:fldCharType="separate"/>
      </w:r>
      <w:r w:rsidR="006C545C">
        <w:rPr>
          <w:noProof/>
        </w:rPr>
        <w:t>3</w:t>
      </w:r>
      <w:r w:rsidR="00F456CC">
        <w:rPr>
          <w:noProof/>
        </w:rPr>
        <w:fldChar w:fldCharType="end"/>
      </w:r>
      <w:r>
        <w:t>: A</w:t>
      </w:r>
      <w:r w:rsidRPr="0079726A">
        <w:t>dministrative data</w:t>
      </w:r>
      <w:r>
        <w:t xml:space="preserve"> not yet used extensively for GBD</w:t>
      </w:r>
      <w:bookmarkEnd w:id="360"/>
      <w:bookmarkEnd w:id="361"/>
      <w:bookmarkEnd w:id="362"/>
      <w:bookmarkEnd w:id="363"/>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395"/>
        <w:gridCol w:w="4961"/>
      </w:tblGrid>
      <w:tr w:rsidR="00950593" w:rsidRPr="006F5167" w:rsidTr="00733F16">
        <w:trPr>
          <w:cantSplit/>
        </w:trPr>
        <w:tc>
          <w:tcPr>
            <w:tcW w:w="4395" w:type="dxa"/>
            <w:tcBorders>
              <w:top w:val="single" w:sz="4" w:space="0" w:color="auto"/>
              <w:bottom w:val="single" w:sz="4" w:space="0" w:color="auto"/>
            </w:tcBorders>
            <w:shd w:val="clear" w:color="auto" w:fill="auto"/>
            <w:noWrap/>
            <w:hideMark/>
          </w:tcPr>
          <w:p w:rsidR="00950593" w:rsidRPr="006F5167" w:rsidRDefault="00950593" w:rsidP="00733F16">
            <w:pPr>
              <w:pStyle w:val="TableText"/>
              <w:keepNext/>
              <w:ind w:right="142"/>
              <w:rPr>
                <w:b/>
                <w:lang w:eastAsia="en-NZ"/>
              </w:rPr>
            </w:pPr>
            <w:r w:rsidRPr="006F5167">
              <w:rPr>
                <w:b/>
                <w:lang w:eastAsia="en-NZ"/>
              </w:rPr>
              <w:t>Collection</w:t>
            </w:r>
          </w:p>
        </w:tc>
        <w:tc>
          <w:tcPr>
            <w:tcW w:w="4961" w:type="dxa"/>
            <w:tcBorders>
              <w:top w:val="single" w:sz="4" w:space="0" w:color="auto"/>
              <w:bottom w:val="single" w:sz="4" w:space="0" w:color="auto"/>
            </w:tcBorders>
            <w:shd w:val="clear" w:color="auto" w:fill="auto"/>
            <w:noWrap/>
            <w:hideMark/>
          </w:tcPr>
          <w:p w:rsidR="00950593" w:rsidRPr="006F5167" w:rsidRDefault="00950593" w:rsidP="00733F16">
            <w:pPr>
              <w:pStyle w:val="TableText"/>
              <w:keepNext/>
              <w:rPr>
                <w:b/>
                <w:lang w:eastAsia="en-NZ"/>
              </w:rPr>
            </w:pPr>
            <w:r w:rsidRPr="006F5167">
              <w:rPr>
                <w:b/>
                <w:lang w:eastAsia="en-NZ"/>
              </w:rPr>
              <w:t>Comment</w:t>
            </w:r>
          </w:p>
        </w:tc>
      </w:tr>
      <w:tr w:rsidR="00950593" w:rsidRPr="0079726A" w:rsidTr="00733F16">
        <w:trPr>
          <w:cantSplit/>
        </w:trPr>
        <w:tc>
          <w:tcPr>
            <w:tcW w:w="4395" w:type="dxa"/>
            <w:tcBorders>
              <w:top w:val="single" w:sz="4" w:space="0" w:color="auto"/>
              <w:bottom w:val="single" w:sz="4" w:space="0" w:color="A6A6A6"/>
            </w:tcBorders>
            <w:shd w:val="clear" w:color="auto" w:fill="auto"/>
            <w:hideMark/>
          </w:tcPr>
          <w:p w:rsidR="00950593" w:rsidRPr="0079726A" w:rsidRDefault="00950593" w:rsidP="00733F16">
            <w:pPr>
              <w:pStyle w:val="TableText"/>
              <w:ind w:right="142"/>
              <w:rPr>
                <w:lang w:eastAsia="en-NZ"/>
              </w:rPr>
            </w:pPr>
            <w:r>
              <w:rPr>
                <w:lang w:eastAsia="en-NZ"/>
              </w:rPr>
              <w:t>National Non-admitted Patient Activity Collection</w:t>
            </w:r>
            <w:r w:rsidRPr="0079726A">
              <w:rPr>
                <w:lang w:eastAsia="en-NZ"/>
              </w:rPr>
              <w:t xml:space="preserve"> </w:t>
            </w:r>
            <w:r>
              <w:rPr>
                <w:lang w:eastAsia="en-NZ"/>
              </w:rPr>
              <w:t>(</w:t>
            </w:r>
            <w:r w:rsidRPr="0079726A">
              <w:rPr>
                <w:lang w:eastAsia="en-NZ"/>
              </w:rPr>
              <w:t>NNPAC</w:t>
            </w:r>
            <w:r>
              <w:rPr>
                <w:lang w:eastAsia="en-NZ"/>
              </w:rPr>
              <w:t>)</w:t>
            </w:r>
          </w:p>
        </w:tc>
        <w:tc>
          <w:tcPr>
            <w:tcW w:w="4961" w:type="dxa"/>
            <w:tcBorders>
              <w:top w:val="single" w:sz="4" w:space="0" w:color="auto"/>
              <w:bottom w:val="single" w:sz="4" w:space="0" w:color="A6A6A6"/>
            </w:tcBorders>
            <w:shd w:val="clear" w:color="auto" w:fill="auto"/>
            <w:hideMark/>
          </w:tcPr>
          <w:p w:rsidR="00950593" w:rsidRPr="0079726A" w:rsidRDefault="00950593" w:rsidP="00733F16">
            <w:pPr>
              <w:pStyle w:val="TableText"/>
              <w:rPr>
                <w:lang w:eastAsia="en-NZ"/>
              </w:rPr>
            </w:pPr>
            <w:r>
              <w:rPr>
                <w:lang w:eastAsia="en-NZ"/>
              </w:rPr>
              <w:t xml:space="preserve">Emergency department and outpatient clinic utilisation data. </w:t>
            </w:r>
            <w:r w:rsidRPr="0079726A">
              <w:rPr>
                <w:lang w:eastAsia="en-NZ"/>
              </w:rPr>
              <w:t>Inadequate diagnostic data</w:t>
            </w:r>
            <w:r>
              <w:rPr>
                <w:lang w:eastAsia="en-NZ"/>
              </w:rPr>
              <w:t xml:space="preserve"> collected</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Pr>
                <w:lang w:eastAsia="en-NZ"/>
              </w:rPr>
              <w:t>Accident Compensation Corporation</w:t>
            </w:r>
            <w:r w:rsidRPr="0079726A">
              <w:rPr>
                <w:lang w:eastAsia="en-NZ"/>
              </w:rPr>
              <w:t xml:space="preserve"> compensated claims</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Could be used for minor injury</w:t>
            </w:r>
            <w:r>
              <w:rPr>
                <w:lang w:eastAsia="en-NZ"/>
              </w:rPr>
              <w:t xml:space="preserve"> (as in </w:t>
            </w:r>
            <w:r w:rsidRPr="00CB5BF9">
              <w:rPr>
                <w:lang w:eastAsia="en-NZ"/>
              </w:rPr>
              <w:t>NZBD</w:t>
            </w:r>
            <w:r>
              <w:rPr>
                <w:lang w:eastAsia="en-NZ"/>
              </w:rPr>
              <w:t xml:space="preserve"> 2006)</w:t>
            </w:r>
            <w:r w:rsidRPr="0079726A">
              <w:rPr>
                <w:lang w:eastAsia="en-NZ"/>
              </w:rPr>
              <w:t xml:space="preserve"> but would require extensive cleaning</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National Maternity Collection</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Pr>
                <w:lang w:eastAsia="en-NZ"/>
              </w:rPr>
              <w:t>Little diagnostic data</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Client Claims Processing System</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No diagnostic data</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Socrates</w:t>
            </w:r>
            <w:r>
              <w:rPr>
                <w:lang w:eastAsia="en-NZ"/>
              </w:rPr>
              <w:t xml:space="preserve"> (disability support services)</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Inadequate diagnostic data</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proofErr w:type="spellStart"/>
            <w:r w:rsidRPr="0079726A">
              <w:rPr>
                <w:lang w:eastAsia="en-NZ"/>
              </w:rPr>
              <w:t>interRAI</w:t>
            </w:r>
            <w:proofErr w:type="spellEnd"/>
            <w:r w:rsidRPr="0079726A">
              <w:rPr>
                <w:lang w:eastAsia="en-NZ"/>
              </w:rPr>
              <w:t xml:space="preserve"> warehouse</w:t>
            </w:r>
            <w:r>
              <w:rPr>
                <w:lang w:eastAsia="en-NZ"/>
              </w:rPr>
              <w:t xml:space="preserve"> (disability, home support)</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Inadequate diagnostic data</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National Immunisation Register</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No diagnostic data</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Laboratory Claims Collection</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No diagnostic data as holds no test results</w:t>
            </w:r>
            <w:r>
              <w:rPr>
                <w:lang w:eastAsia="en-NZ"/>
              </w:rPr>
              <w:t>, but sometimes used by Tracker</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Pharmaceutical Claims Collection</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No diagnostic data per se</w:t>
            </w:r>
            <w:r>
              <w:rPr>
                <w:lang w:eastAsia="en-NZ"/>
              </w:rPr>
              <w:t>, but used by Tracker</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National Booking Reporting System warehouse</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Little diagnostic data</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GMS Collection</w:t>
            </w:r>
            <w:r>
              <w:rPr>
                <w:lang w:eastAsia="en-NZ"/>
              </w:rPr>
              <w:t xml:space="preserve"> (general medical service claims)</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No diagnostic data</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Virtual Diabetes Register</w:t>
            </w:r>
          </w:p>
        </w:tc>
        <w:tc>
          <w:tcPr>
            <w:tcW w:w="4961" w:type="dxa"/>
            <w:tcBorders>
              <w:top w:val="single" w:sz="4" w:space="0" w:color="A6A6A6"/>
              <w:bottom w:val="single" w:sz="4" w:space="0" w:color="A6A6A6"/>
            </w:tcBorders>
            <w:shd w:val="clear" w:color="auto" w:fill="auto"/>
            <w:noWrap/>
            <w:hideMark/>
          </w:tcPr>
          <w:p w:rsidR="00950593" w:rsidRPr="0079726A" w:rsidRDefault="00950593" w:rsidP="00733F16">
            <w:pPr>
              <w:pStyle w:val="TableText"/>
              <w:rPr>
                <w:lang w:eastAsia="en-NZ"/>
              </w:rPr>
            </w:pPr>
            <w:r w:rsidRPr="0079726A">
              <w:rPr>
                <w:lang w:eastAsia="en-NZ"/>
              </w:rPr>
              <w:t>Data linkage product</w:t>
            </w:r>
            <w:r>
              <w:rPr>
                <w:lang w:eastAsia="en-NZ"/>
              </w:rPr>
              <w:t xml:space="preserve"> (Tracker used to date but VDR will replace Tracker indicator in future)</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proofErr w:type="spellStart"/>
            <w:r>
              <w:rPr>
                <w:lang w:eastAsia="en-NZ"/>
              </w:rPr>
              <w:t>Newborn</w:t>
            </w:r>
            <w:proofErr w:type="spellEnd"/>
            <w:r>
              <w:rPr>
                <w:lang w:eastAsia="en-NZ"/>
              </w:rPr>
              <w:t xml:space="preserve"> Metaboli</w:t>
            </w:r>
            <w:r w:rsidRPr="0079726A">
              <w:rPr>
                <w:lang w:eastAsia="en-NZ"/>
              </w:rPr>
              <w:t>c Screening</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Most common diagnosis is cystic fibrosis</w:t>
            </w:r>
            <w:r>
              <w:rPr>
                <w:lang w:eastAsia="en-NZ"/>
              </w:rPr>
              <w:t xml:space="preserve"> – could be used for this</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Antenatal HIV Screening</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Could be extended to include other routine antenatal tests</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Pr>
                <w:lang w:eastAsia="en-NZ"/>
              </w:rPr>
              <w:t>B4SC</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 xml:space="preserve">Screening of </w:t>
            </w:r>
            <w:r>
              <w:rPr>
                <w:lang w:eastAsia="en-NZ"/>
              </w:rPr>
              <w:t>four-year-</w:t>
            </w:r>
            <w:r w:rsidRPr="0079726A">
              <w:rPr>
                <w:lang w:eastAsia="en-NZ"/>
              </w:rPr>
              <w:t>olds for vision, hearing, development</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School dental assessments</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Dental assessment and treatment of children</w:t>
            </w:r>
            <w:r>
              <w:rPr>
                <w:lang w:eastAsia="en-NZ"/>
              </w:rPr>
              <w:t xml:space="preserve"> aged</w:t>
            </w:r>
            <w:r w:rsidRPr="0079726A">
              <w:rPr>
                <w:lang w:eastAsia="en-NZ"/>
              </w:rPr>
              <w:t xml:space="preserve"> 5</w:t>
            </w:r>
            <w:r>
              <w:rPr>
                <w:lang w:eastAsia="en-NZ"/>
              </w:rPr>
              <w:t>–</w:t>
            </w:r>
            <w:r w:rsidRPr="0079726A">
              <w:rPr>
                <w:lang w:eastAsia="en-NZ"/>
              </w:rPr>
              <w:t>16</w:t>
            </w:r>
            <w:r>
              <w:rPr>
                <w:lang w:eastAsia="en-NZ"/>
              </w:rPr>
              <w:t xml:space="preserve"> years</w:t>
            </w:r>
          </w:p>
        </w:tc>
      </w:tr>
      <w:tr w:rsidR="00950593" w:rsidRPr="0079726A" w:rsidTr="00733F16">
        <w:trPr>
          <w:cantSplit/>
        </w:trPr>
        <w:tc>
          <w:tcPr>
            <w:tcW w:w="4395" w:type="dxa"/>
            <w:tcBorders>
              <w:top w:val="single" w:sz="4" w:space="0" w:color="A6A6A6"/>
              <w:bottom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CVD risk assessments</w:t>
            </w:r>
          </w:p>
        </w:tc>
        <w:tc>
          <w:tcPr>
            <w:tcW w:w="4961" w:type="dxa"/>
            <w:tcBorders>
              <w:top w:val="single" w:sz="4" w:space="0" w:color="A6A6A6"/>
              <w:bottom w:val="single" w:sz="4" w:space="0" w:color="A6A6A6"/>
            </w:tcBorders>
            <w:shd w:val="clear" w:color="auto" w:fill="auto"/>
            <w:hideMark/>
          </w:tcPr>
          <w:p w:rsidR="00950593" w:rsidRPr="0079726A" w:rsidRDefault="00950593" w:rsidP="00733F16">
            <w:pPr>
              <w:pStyle w:val="TableText"/>
              <w:rPr>
                <w:lang w:eastAsia="en-NZ"/>
              </w:rPr>
            </w:pPr>
            <w:r w:rsidRPr="0079726A">
              <w:rPr>
                <w:lang w:eastAsia="en-NZ"/>
              </w:rPr>
              <w:t xml:space="preserve">Assessments of absolute CVD risk carried out by </w:t>
            </w:r>
            <w:r>
              <w:rPr>
                <w:lang w:eastAsia="en-NZ"/>
              </w:rPr>
              <w:t>general practitioners</w:t>
            </w:r>
          </w:p>
        </w:tc>
      </w:tr>
      <w:tr w:rsidR="00950593" w:rsidRPr="0079726A" w:rsidTr="00733F16">
        <w:trPr>
          <w:cantSplit/>
        </w:trPr>
        <w:tc>
          <w:tcPr>
            <w:tcW w:w="4395" w:type="dxa"/>
            <w:tcBorders>
              <w:top w:val="single" w:sz="4" w:space="0" w:color="A6A6A6"/>
            </w:tcBorders>
            <w:shd w:val="clear" w:color="auto" w:fill="auto"/>
            <w:hideMark/>
          </w:tcPr>
          <w:p w:rsidR="00950593" w:rsidRPr="0079726A" w:rsidRDefault="00950593" w:rsidP="00733F16">
            <w:pPr>
              <w:pStyle w:val="TableText"/>
              <w:ind w:right="142"/>
              <w:rPr>
                <w:lang w:eastAsia="en-NZ"/>
              </w:rPr>
            </w:pPr>
            <w:r w:rsidRPr="0079726A">
              <w:rPr>
                <w:lang w:eastAsia="en-NZ"/>
              </w:rPr>
              <w:t>ANZDATA</w:t>
            </w:r>
          </w:p>
        </w:tc>
        <w:tc>
          <w:tcPr>
            <w:tcW w:w="4961" w:type="dxa"/>
            <w:tcBorders>
              <w:top w:val="single" w:sz="4" w:space="0" w:color="A6A6A6"/>
            </w:tcBorders>
            <w:shd w:val="clear" w:color="auto" w:fill="auto"/>
            <w:hideMark/>
          </w:tcPr>
          <w:p w:rsidR="00950593" w:rsidRDefault="00950593" w:rsidP="00733F16">
            <w:pPr>
              <w:pStyle w:val="TableText"/>
              <w:rPr>
                <w:lang w:eastAsia="en-NZ"/>
              </w:rPr>
            </w:pPr>
            <w:r w:rsidRPr="0079726A">
              <w:rPr>
                <w:lang w:eastAsia="en-NZ"/>
              </w:rPr>
              <w:t xml:space="preserve">Register of </w:t>
            </w:r>
            <w:r>
              <w:rPr>
                <w:lang w:eastAsia="en-NZ"/>
              </w:rPr>
              <w:t xml:space="preserve">severe </w:t>
            </w:r>
            <w:r w:rsidRPr="0079726A">
              <w:rPr>
                <w:lang w:eastAsia="en-NZ"/>
              </w:rPr>
              <w:t xml:space="preserve">CKD and </w:t>
            </w:r>
            <w:r>
              <w:rPr>
                <w:lang w:eastAsia="en-NZ"/>
              </w:rPr>
              <w:t>renal replacement therapy</w:t>
            </w:r>
          </w:p>
          <w:p w:rsidR="00950593" w:rsidRPr="0079726A" w:rsidRDefault="00950593" w:rsidP="00733F16">
            <w:pPr>
              <w:pStyle w:val="TableText"/>
              <w:rPr>
                <w:lang w:eastAsia="en-NZ"/>
              </w:rPr>
            </w:pPr>
            <w:r w:rsidRPr="0079726A">
              <w:rPr>
                <w:lang w:eastAsia="en-NZ"/>
              </w:rPr>
              <w:t>Only tabulated data available</w:t>
            </w:r>
            <w:r>
              <w:rPr>
                <w:lang w:eastAsia="en-NZ"/>
              </w:rPr>
              <w:t xml:space="preserve"> at present, but could be used for stage 4 CKD</w:t>
            </w:r>
          </w:p>
        </w:tc>
      </w:tr>
    </w:tbl>
    <w:p w:rsidR="00950593" w:rsidRPr="001F0DB9" w:rsidRDefault="00950593" w:rsidP="00950593">
      <w:pPr>
        <w:pStyle w:val="Note"/>
        <w:ind w:left="0" w:right="0" w:firstLine="0"/>
      </w:pPr>
      <w:r w:rsidRPr="001F0DB9">
        <w:t xml:space="preserve">Note: </w:t>
      </w:r>
      <w:r>
        <w:t>T</w:t>
      </w:r>
      <w:r w:rsidRPr="001F0DB9">
        <w:t>his table is included for completeness.</w:t>
      </w:r>
    </w:p>
    <w:p w:rsidR="00950593" w:rsidRDefault="00950593" w:rsidP="00EB6705"/>
    <w:p w:rsidR="00950593" w:rsidRDefault="00950593" w:rsidP="00EB6705">
      <w:pPr>
        <w:pStyle w:val="Table"/>
      </w:pPr>
      <w:bookmarkStart w:id="364" w:name="_Toc455733257"/>
      <w:bookmarkStart w:id="365" w:name="_Toc442416731"/>
      <w:bookmarkStart w:id="366" w:name="_Toc442990197"/>
      <w:bookmarkStart w:id="367" w:name="_Toc454010389"/>
      <w:r>
        <w:t xml:space="preserve">Table </w:t>
      </w:r>
      <w:proofErr w:type="gramStart"/>
      <w:r>
        <w:t>A</w:t>
      </w:r>
      <w:proofErr w:type="gramEnd"/>
      <w:r w:rsidR="00F456CC">
        <w:fldChar w:fldCharType="begin"/>
      </w:r>
      <w:r w:rsidR="00F456CC">
        <w:instrText xml:space="preserve"> SEQ Table_A \* ARABIC </w:instrText>
      </w:r>
      <w:r w:rsidR="00F456CC">
        <w:fldChar w:fldCharType="separate"/>
      </w:r>
      <w:r w:rsidR="006C545C">
        <w:rPr>
          <w:noProof/>
        </w:rPr>
        <w:t>4</w:t>
      </w:r>
      <w:r w:rsidR="00F456CC">
        <w:rPr>
          <w:noProof/>
        </w:rPr>
        <w:fldChar w:fldCharType="end"/>
      </w:r>
      <w:r>
        <w:t>: Survey data not yet used extensively for GBD</w:t>
      </w:r>
      <w:bookmarkEnd w:id="364"/>
      <w:r>
        <w:t xml:space="preserve"> </w:t>
      </w:r>
      <w:bookmarkEnd w:id="365"/>
      <w:bookmarkEnd w:id="366"/>
      <w:bookmarkEnd w:id="367"/>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395"/>
        <w:gridCol w:w="4961"/>
      </w:tblGrid>
      <w:tr w:rsidR="00950593" w:rsidRPr="006F5167" w:rsidTr="00733F16">
        <w:trPr>
          <w:cantSplit/>
        </w:trPr>
        <w:tc>
          <w:tcPr>
            <w:tcW w:w="4395" w:type="dxa"/>
            <w:tcBorders>
              <w:top w:val="single" w:sz="4" w:space="0" w:color="auto"/>
              <w:bottom w:val="single" w:sz="4" w:space="0" w:color="auto"/>
            </w:tcBorders>
            <w:shd w:val="clear" w:color="auto" w:fill="auto"/>
            <w:noWrap/>
            <w:hideMark/>
          </w:tcPr>
          <w:p w:rsidR="00950593" w:rsidRPr="006F5167" w:rsidRDefault="00950593" w:rsidP="00EB6705">
            <w:pPr>
              <w:pStyle w:val="TableText"/>
              <w:ind w:right="142"/>
              <w:rPr>
                <w:b/>
                <w:lang w:eastAsia="en-NZ"/>
              </w:rPr>
            </w:pPr>
            <w:r w:rsidRPr="006F5167">
              <w:rPr>
                <w:b/>
                <w:lang w:eastAsia="en-NZ"/>
              </w:rPr>
              <w:t>Survey</w:t>
            </w:r>
          </w:p>
        </w:tc>
        <w:tc>
          <w:tcPr>
            <w:tcW w:w="4961" w:type="dxa"/>
            <w:tcBorders>
              <w:top w:val="single" w:sz="4" w:space="0" w:color="auto"/>
              <w:bottom w:val="single" w:sz="4" w:space="0" w:color="auto"/>
            </w:tcBorders>
            <w:shd w:val="clear" w:color="auto" w:fill="auto"/>
            <w:noWrap/>
            <w:hideMark/>
          </w:tcPr>
          <w:p w:rsidR="00950593" w:rsidRPr="006F5167" w:rsidRDefault="00950593" w:rsidP="00EB6705">
            <w:pPr>
              <w:pStyle w:val="TableText"/>
              <w:rPr>
                <w:b/>
                <w:lang w:eastAsia="en-NZ"/>
              </w:rPr>
            </w:pPr>
            <w:r w:rsidRPr="006F5167">
              <w:rPr>
                <w:b/>
                <w:lang w:eastAsia="en-NZ"/>
              </w:rPr>
              <w:t>Comment</w:t>
            </w:r>
          </w:p>
        </w:tc>
      </w:tr>
      <w:tr w:rsidR="00950593" w:rsidRPr="006A05DB" w:rsidTr="00733F16">
        <w:trPr>
          <w:cantSplit/>
        </w:trPr>
        <w:tc>
          <w:tcPr>
            <w:tcW w:w="4395" w:type="dxa"/>
            <w:tcBorders>
              <w:top w:val="single" w:sz="4" w:space="0" w:color="auto"/>
              <w:bottom w:val="single" w:sz="4" w:space="0" w:color="A6A6A6"/>
            </w:tcBorders>
            <w:shd w:val="clear" w:color="auto" w:fill="auto"/>
            <w:hideMark/>
          </w:tcPr>
          <w:p w:rsidR="00950593" w:rsidRPr="006A05DB" w:rsidRDefault="00950593" w:rsidP="00EB6705">
            <w:pPr>
              <w:pStyle w:val="TableText"/>
              <w:ind w:right="142"/>
              <w:rPr>
                <w:lang w:eastAsia="en-NZ"/>
              </w:rPr>
            </w:pPr>
            <w:r w:rsidRPr="006A05DB">
              <w:rPr>
                <w:lang w:eastAsia="en-NZ"/>
              </w:rPr>
              <w:t>Youth Health 2001, 2006, 2013</w:t>
            </w:r>
          </w:p>
        </w:tc>
        <w:tc>
          <w:tcPr>
            <w:tcW w:w="4961" w:type="dxa"/>
            <w:tcBorders>
              <w:top w:val="single" w:sz="4" w:space="0" w:color="auto"/>
              <w:bottom w:val="single" w:sz="4" w:space="0" w:color="A6A6A6"/>
            </w:tcBorders>
            <w:shd w:val="clear" w:color="auto" w:fill="auto"/>
            <w:hideMark/>
          </w:tcPr>
          <w:p w:rsidR="00950593" w:rsidRPr="006A05DB" w:rsidRDefault="00950593" w:rsidP="00EB6705">
            <w:pPr>
              <w:pStyle w:val="TableText"/>
              <w:rPr>
                <w:lang w:eastAsia="en-NZ"/>
              </w:rPr>
            </w:pPr>
            <w:r w:rsidRPr="006A05DB">
              <w:rPr>
                <w:lang w:eastAsia="en-NZ"/>
              </w:rPr>
              <w:t xml:space="preserve">Little diagnostic data, but may be of some use </w:t>
            </w:r>
            <w:r>
              <w:rPr>
                <w:lang w:eastAsia="en-NZ"/>
              </w:rPr>
              <w:t>with respect to</w:t>
            </w:r>
            <w:r w:rsidRPr="006A05DB">
              <w:rPr>
                <w:lang w:eastAsia="en-NZ"/>
              </w:rPr>
              <w:t xml:space="preserve"> risk factors</w:t>
            </w:r>
          </w:p>
        </w:tc>
      </w:tr>
      <w:tr w:rsidR="00950593" w:rsidRPr="006A05DB" w:rsidTr="00733F16">
        <w:trPr>
          <w:cantSplit/>
        </w:trPr>
        <w:tc>
          <w:tcPr>
            <w:tcW w:w="4395" w:type="dxa"/>
            <w:tcBorders>
              <w:top w:val="single" w:sz="4" w:space="0" w:color="A6A6A6"/>
              <w:bottom w:val="single" w:sz="4" w:space="0" w:color="A6A6A6"/>
            </w:tcBorders>
            <w:shd w:val="clear" w:color="auto" w:fill="auto"/>
            <w:hideMark/>
          </w:tcPr>
          <w:p w:rsidR="00950593" w:rsidRPr="006A05DB" w:rsidRDefault="00950593" w:rsidP="00EB6705">
            <w:pPr>
              <w:pStyle w:val="TableText"/>
              <w:ind w:right="142"/>
              <w:rPr>
                <w:lang w:eastAsia="en-NZ"/>
              </w:rPr>
            </w:pPr>
            <w:r w:rsidRPr="006A05DB">
              <w:rPr>
                <w:lang w:eastAsia="en-NZ"/>
              </w:rPr>
              <w:t>Children</w:t>
            </w:r>
            <w:r w:rsidR="005D5D9F">
              <w:rPr>
                <w:lang w:eastAsia="en-NZ"/>
              </w:rPr>
              <w:t>’</w:t>
            </w:r>
            <w:r w:rsidRPr="006A05DB">
              <w:rPr>
                <w:lang w:eastAsia="en-NZ"/>
              </w:rPr>
              <w:t>s and Young People</w:t>
            </w:r>
            <w:r w:rsidR="005D5D9F">
              <w:rPr>
                <w:lang w:eastAsia="en-NZ"/>
              </w:rPr>
              <w:t>’</w:t>
            </w:r>
            <w:r w:rsidRPr="006A05DB">
              <w:rPr>
                <w:lang w:eastAsia="en-NZ"/>
              </w:rPr>
              <w:t>s Physical Activity Survey 2008/09</w:t>
            </w:r>
          </w:p>
        </w:tc>
        <w:tc>
          <w:tcPr>
            <w:tcW w:w="4961" w:type="dxa"/>
            <w:tcBorders>
              <w:top w:val="single" w:sz="4" w:space="0" w:color="A6A6A6"/>
              <w:bottom w:val="single" w:sz="4" w:space="0" w:color="A6A6A6"/>
            </w:tcBorders>
            <w:shd w:val="clear" w:color="auto" w:fill="auto"/>
            <w:hideMark/>
          </w:tcPr>
          <w:p w:rsidR="00950593" w:rsidRPr="006A05DB" w:rsidRDefault="00950593" w:rsidP="00EB6705">
            <w:pPr>
              <w:pStyle w:val="TableText"/>
              <w:rPr>
                <w:lang w:eastAsia="en-NZ"/>
              </w:rPr>
            </w:pPr>
            <w:r>
              <w:rPr>
                <w:lang w:eastAsia="en-NZ"/>
              </w:rPr>
              <w:t>Survey unlikely to be repeated</w:t>
            </w:r>
          </w:p>
        </w:tc>
      </w:tr>
      <w:tr w:rsidR="00950593" w:rsidRPr="006A05DB" w:rsidTr="00733F16">
        <w:trPr>
          <w:cantSplit/>
        </w:trPr>
        <w:tc>
          <w:tcPr>
            <w:tcW w:w="4395" w:type="dxa"/>
            <w:tcBorders>
              <w:top w:val="single" w:sz="4" w:space="0" w:color="A6A6A6"/>
              <w:bottom w:val="single" w:sz="4" w:space="0" w:color="A6A6A6"/>
            </w:tcBorders>
            <w:shd w:val="clear" w:color="auto" w:fill="auto"/>
            <w:hideMark/>
          </w:tcPr>
          <w:p w:rsidR="00950593" w:rsidRPr="006A05DB" w:rsidRDefault="00950593" w:rsidP="00EB6705">
            <w:pPr>
              <w:pStyle w:val="TableText"/>
              <w:ind w:right="142"/>
              <w:rPr>
                <w:lang w:eastAsia="en-NZ"/>
              </w:rPr>
            </w:pPr>
            <w:r w:rsidRPr="006A05DB">
              <w:rPr>
                <w:lang w:eastAsia="en-NZ"/>
              </w:rPr>
              <w:t>Prisoners Health Survey 2005</w:t>
            </w:r>
          </w:p>
        </w:tc>
        <w:tc>
          <w:tcPr>
            <w:tcW w:w="4961" w:type="dxa"/>
            <w:tcBorders>
              <w:top w:val="single" w:sz="4" w:space="0" w:color="A6A6A6"/>
              <w:bottom w:val="single" w:sz="4" w:space="0" w:color="A6A6A6"/>
            </w:tcBorders>
            <w:shd w:val="clear" w:color="auto" w:fill="auto"/>
            <w:hideMark/>
          </w:tcPr>
          <w:p w:rsidR="00950593" w:rsidRPr="006A05DB" w:rsidRDefault="00950593" w:rsidP="00EB6705">
            <w:pPr>
              <w:pStyle w:val="TableText"/>
              <w:rPr>
                <w:lang w:eastAsia="en-NZ"/>
              </w:rPr>
            </w:pPr>
            <w:r w:rsidRPr="006A05DB">
              <w:rPr>
                <w:lang w:eastAsia="en-NZ"/>
              </w:rPr>
              <w:t>Not population based</w:t>
            </w:r>
            <w:r>
              <w:rPr>
                <w:lang w:eastAsia="en-NZ"/>
              </w:rPr>
              <w:t>, not repeated</w:t>
            </w:r>
          </w:p>
        </w:tc>
      </w:tr>
      <w:tr w:rsidR="00950593" w:rsidRPr="006A05DB" w:rsidTr="00733F16">
        <w:trPr>
          <w:cantSplit/>
        </w:trPr>
        <w:tc>
          <w:tcPr>
            <w:tcW w:w="4395" w:type="dxa"/>
            <w:tcBorders>
              <w:top w:val="single" w:sz="4" w:space="0" w:color="A6A6A6"/>
              <w:bottom w:val="single" w:sz="4" w:space="0" w:color="A6A6A6"/>
            </w:tcBorders>
            <w:shd w:val="clear" w:color="auto" w:fill="auto"/>
            <w:hideMark/>
          </w:tcPr>
          <w:p w:rsidR="00950593" w:rsidRPr="006A05DB" w:rsidRDefault="00950593" w:rsidP="00EB6705">
            <w:pPr>
              <w:pStyle w:val="TableText"/>
              <w:ind w:right="142"/>
              <w:rPr>
                <w:lang w:eastAsia="en-NZ"/>
              </w:rPr>
            </w:pPr>
            <w:r w:rsidRPr="006A05DB">
              <w:rPr>
                <w:lang w:eastAsia="en-NZ"/>
              </w:rPr>
              <w:t>Childhood Immunisation Coverage Survey 2005</w:t>
            </w:r>
          </w:p>
        </w:tc>
        <w:tc>
          <w:tcPr>
            <w:tcW w:w="4961" w:type="dxa"/>
            <w:tcBorders>
              <w:top w:val="single" w:sz="4" w:space="0" w:color="A6A6A6"/>
              <w:bottom w:val="single" w:sz="4" w:space="0" w:color="A6A6A6"/>
            </w:tcBorders>
            <w:shd w:val="clear" w:color="auto" w:fill="auto"/>
            <w:hideMark/>
          </w:tcPr>
          <w:p w:rsidR="00950593" w:rsidRPr="006A05DB" w:rsidRDefault="00950593" w:rsidP="00EB6705">
            <w:pPr>
              <w:pStyle w:val="TableText"/>
              <w:rPr>
                <w:lang w:eastAsia="en-NZ"/>
              </w:rPr>
            </w:pPr>
            <w:r w:rsidRPr="006A05DB">
              <w:rPr>
                <w:lang w:eastAsia="en-NZ"/>
              </w:rPr>
              <w:t>No diagnostic or risk factor data</w:t>
            </w:r>
          </w:p>
        </w:tc>
      </w:tr>
      <w:tr w:rsidR="00950593" w:rsidRPr="006A05DB" w:rsidTr="00733F16">
        <w:trPr>
          <w:cantSplit/>
        </w:trPr>
        <w:tc>
          <w:tcPr>
            <w:tcW w:w="4395" w:type="dxa"/>
            <w:tcBorders>
              <w:top w:val="single" w:sz="4" w:space="0" w:color="A6A6A6"/>
              <w:bottom w:val="single" w:sz="4" w:space="0" w:color="A6A6A6"/>
            </w:tcBorders>
            <w:shd w:val="clear" w:color="auto" w:fill="auto"/>
            <w:hideMark/>
          </w:tcPr>
          <w:p w:rsidR="00950593" w:rsidRPr="006A05DB" w:rsidRDefault="00950593" w:rsidP="00EB6705">
            <w:pPr>
              <w:pStyle w:val="TableText"/>
              <w:ind w:right="142"/>
              <w:rPr>
                <w:lang w:eastAsia="en-NZ"/>
              </w:rPr>
            </w:pPr>
            <w:r w:rsidRPr="006A05DB">
              <w:rPr>
                <w:lang w:eastAsia="en-NZ"/>
              </w:rPr>
              <w:t>Post</w:t>
            </w:r>
            <w:r>
              <w:rPr>
                <w:lang w:eastAsia="en-NZ"/>
              </w:rPr>
              <w:t>-</w:t>
            </w:r>
            <w:proofErr w:type="spellStart"/>
            <w:r w:rsidRPr="006A05DB">
              <w:rPr>
                <w:lang w:eastAsia="en-NZ"/>
              </w:rPr>
              <w:t>censal</w:t>
            </w:r>
            <w:proofErr w:type="spellEnd"/>
            <w:r w:rsidRPr="006A05DB">
              <w:rPr>
                <w:lang w:eastAsia="en-NZ"/>
              </w:rPr>
              <w:t xml:space="preserve"> Disability Survey 1996, 2001, 2006, 2013</w:t>
            </w:r>
          </w:p>
        </w:tc>
        <w:tc>
          <w:tcPr>
            <w:tcW w:w="4961" w:type="dxa"/>
            <w:tcBorders>
              <w:top w:val="single" w:sz="4" w:space="0" w:color="A6A6A6"/>
              <w:bottom w:val="single" w:sz="4" w:space="0" w:color="A6A6A6"/>
            </w:tcBorders>
            <w:shd w:val="clear" w:color="auto" w:fill="auto"/>
            <w:hideMark/>
          </w:tcPr>
          <w:p w:rsidR="00950593" w:rsidRPr="006A05DB" w:rsidRDefault="00950593" w:rsidP="00EB6705">
            <w:pPr>
              <w:pStyle w:val="TableText"/>
              <w:rPr>
                <w:lang w:eastAsia="en-NZ"/>
              </w:rPr>
            </w:pPr>
            <w:r>
              <w:rPr>
                <w:lang w:eastAsia="en-NZ"/>
              </w:rPr>
              <w:t>Little reliable/</w:t>
            </w:r>
            <w:r w:rsidRPr="006A05DB">
              <w:rPr>
                <w:lang w:eastAsia="en-NZ"/>
              </w:rPr>
              <w:t>usable diagnostic information</w:t>
            </w:r>
          </w:p>
        </w:tc>
      </w:tr>
      <w:tr w:rsidR="00950593" w:rsidRPr="006A05DB" w:rsidTr="00733F16">
        <w:trPr>
          <w:cantSplit/>
        </w:trPr>
        <w:tc>
          <w:tcPr>
            <w:tcW w:w="4395" w:type="dxa"/>
            <w:tcBorders>
              <w:top w:val="single" w:sz="4" w:space="0" w:color="A6A6A6"/>
              <w:bottom w:val="single" w:sz="4" w:space="0" w:color="A6A6A6"/>
            </w:tcBorders>
            <w:shd w:val="clear" w:color="auto" w:fill="auto"/>
            <w:hideMark/>
          </w:tcPr>
          <w:p w:rsidR="00950593" w:rsidRPr="006A05DB" w:rsidRDefault="00950593" w:rsidP="00EB6705">
            <w:pPr>
              <w:pStyle w:val="TableText"/>
              <w:ind w:right="142"/>
              <w:rPr>
                <w:lang w:eastAsia="en-NZ"/>
              </w:rPr>
            </w:pPr>
            <w:r w:rsidRPr="006A05DB">
              <w:rPr>
                <w:lang w:eastAsia="en-NZ"/>
              </w:rPr>
              <w:t>Growing Up in New Zealand</w:t>
            </w:r>
          </w:p>
        </w:tc>
        <w:tc>
          <w:tcPr>
            <w:tcW w:w="4961" w:type="dxa"/>
            <w:tcBorders>
              <w:top w:val="single" w:sz="4" w:space="0" w:color="A6A6A6"/>
              <w:bottom w:val="single" w:sz="4" w:space="0" w:color="A6A6A6"/>
            </w:tcBorders>
            <w:shd w:val="clear" w:color="auto" w:fill="auto"/>
            <w:hideMark/>
          </w:tcPr>
          <w:p w:rsidR="00950593" w:rsidRPr="006A05DB" w:rsidRDefault="00950593" w:rsidP="00EB6705">
            <w:pPr>
              <w:pStyle w:val="TableText"/>
              <w:rPr>
                <w:lang w:eastAsia="en-NZ"/>
              </w:rPr>
            </w:pPr>
            <w:r w:rsidRPr="006A05DB">
              <w:rPr>
                <w:lang w:eastAsia="en-NZ"/>
              </w:rPr>
              <w:t>Longitudinal cohort study, not population based</w:t>
            </w:r>
          </w:p>
        </w:tc>
      </w:tr>
      <w:tr w:rsidR="00950593" w:rsidRPr="006A05DB" w:rsidTr="00733F16">
        <w:trPr>
          <w:cantSplit/>
        </w:trPr>
        <w:tc>
          <w:tcPr>
            <w:tcW w:w="4395" w:type="dxa"/>
            <w:tcBorders>
              <w:top w:val="single" w:sz="4" w:space="0" w:color="A6A6A6"/>
              <w:bottom w:val="single" w:sz="4" w:space="0" w:color="A6A6A6"/>
            </w:tcBorders>
            <w:shd w:val="clear" w:color="auto" w:fill="auto"/>
            <w:hideMark/>
          </w:tcPr>
          <w:p w:rsidR="00950593" w:rsidRPr="006A05DB" w:rsidRDefault="00950593" w:rsidP="00EB6705">
            <w:pPr>
              <w:pStyle w:val="TableText"/>
              <w:ind w:right="142"/>
              <w:rPr>
                <w:lang w:eastAsia="en-NZ"/>
              </w:rPr>
            </w:pPr>
            <w:r w:rsidRPr="006A05DB">
              <w:rPr>
                <w:lang w:eastAsia="en-NZ"/>
              </w:rPr>
              <w:t>Dunedin Multidisciplinary Child Development Study</w:t>
            </w:r>
          </w:p>
        </w:tc>
        <w:tc>
          <w:tcPr>
            <w:tcW w:w="4961" w:type="dxa"/>
            <w:tcBorders>
              <w:top w:val="single" w:sz="4" w:space="0" w:color="A6A6A6"/>
              <w:bottom w:val="single" w:sz="4" w:space="0" w:color="A6A6A6"/>
            </w:tcBorders>
            <w:shd w:val="clear" w:color="auto" w:fill="auto"/>
            <w:hideMark/>
          </w:tcPr>
          <w:p w:rsidR="00950593" w:rsidRPr="006A05DB" w:rsidRDefault="00950593" w:rsidP="00EB6705">
            <w:pPr>
              <w:pStyle w:val="TableText"/>
              <w:rPr>
                <w:lang w:eastAsia="en-NZ"/>
              </w:rPr>
            </w:pPr>
            <w:r w:rsidRPr="006A05DB">
              <w:rPr>
                <w:lang w:eastAsia="en-NZ"/>
              </w:rPr>
              <w:t>Longitudinal cohort study, not population based</w:t>
            </w:r>
          </w:p>
        </w:tc>
      </w:tr>
      <w:tr w:rsidR="00950593" w:rsidRPr="006A05DB" w:rsidTr="00733F16">
        <w:trPr>
          <w:cantSplit/>
        </w:trPr>
        <w:tc>
          <w:tcPr>
            <w:tcW w:w="4395" w:type="dxa"/>
            <w:tcBorders>
              <w:top w:val="single" w:sz="4" w:space="0" w:color="A6A6A6"/>
            </w:tcBorders>
            <w:shd w:val="clear" w:color="auto" w:fill="auto"/>
            <w:hideMark/>
          </w:tcPr>
          <w:p w:rsidR="00950593" w:rsidRPr="006A05DB" w:rsidRDefault="00950593" w:rsidP="00733F16">
            <w:pPr>
              <w:pStyle w:val="TableText"/>
              <w:ind w:right="142"/>
              <w:rPr>
                <w:lang w:eastAsia="en-NZ"/>
              </w:rPr>
            </w:pPr>
            <w:r w:rsidRPr="006A05DB">
              <w:rPr>
                <w:lang w:eastAsia="en-NZ"/>
              </w:rPr>
              <w:t>Christchurch Child Development Study</w:t>
            </w:r>
          </w:p>
        </w:tc>
        <w:tc>
          <w:tcPr>
            <w:tcW w:w="4961" w:type="dxa"/>
            <w:tcBorders>
              <w:top w:val="single" w:sz="4" w:space="0" w:color="A6A6A6"/>
            </w:tcBorders>
            <w:shd w:val="clear" w:color="auto" w:fill="auto"/>
            <w:hideMark/>
          </w:tcPr>
          <w:p w:rsidR="00950593" w:rsidRPr="006A05DB" w:rsidRDefault="00950593" w:rsidP="00733F16">
            <w:pPr>
              <w:pStyle w:val="TableText"/>
              <w:rPr>
                <w:lang w:eastAsia="en-NZ"/>
              </w:rPr>
            </w:pPr>
            <w:r w:rsidRPr="006A05DB">
              <w:rPr>
                <w:lang w:eastAsia="en-NZ"/>
              </w:rPr>
              <w:t>Longitudinal cohort study, not population based</w:t>
            </w:r>
          </w:p>
        </w:tc>
      </w:tr>
    </w:tbl>
    <w:p w:rsidR="00950593" w:rsidRDefault="00950593" w:rsidP="00950593">
      <w:pPr>
        <w:pStyle w:val="Note"/>
        <w:ind w:left="0" w:right="0" w:firstLine="0"/>
      </w:pPr>
      <w:r>
        <w:t>Note: This table is included for completeness.</w:t>
      </w:r>
    </w:p>
    <w:p w:rsidR="00950593" w:rsidRPr="001F0DB9" w:rsidRDefault="00950593" w:rsidP="00EB6705"/>
    <w:p w:rsidR="00950593" w:rsidRDefault="00950593" w:rsidP="00EB6705">
      <w:pPr>
        <w:pStyle w:val="Table"/>
      </w:pPr>
      <w:bookmarkStart w:id="368" w:name="_Toc442416732"/>
      <w:bookmarkStart w:id="369" w:name="_Toc442990198"/>
      <w:bookmarkStart w:id="370" w:name="_Toc454010390"/>
      <w:bookmarkStart w:id="371" w:name="_Toc455733258"/>
      <w:r>
        <w:lastRenderedPageBreak/>
        <w:t xml:space="preserve">Table </w:t>
      </w:r>
      <w:proofErr w:type="gramStart"/>
      <w:r>
        <w:t>A</w:t>
      </w:r>
      <w:proofErr w:type="gramEnd"/>
      <w:r w:rsidR="00F456CC">
        <w:fldChar w:fldCharType="begin"/>
      </w:r>
      <w:r w:rsidR="00F456CC">
        <w:instrText xml:space="preserve"> SEQ Table_A \* ARABIC </w:instrText>
      </w:r>
      <w:r w:rsidR="00F456CC">
        <w:fldChar w:fldCharType="separate"/>
      </w:r>
      <w:r w:rsidR="006C545C">
        <w:rPr>
          <w:noProof/>
        </w:rPr>
        <w:t>5</w:t>
      </w:r>
      <w:r w:rsidR="00F456CC">
        <w:rPr>
          <w:noProof/>
        </w:rPr>
        <w:fldChar w:fldCharType="end"/>
      </w:r>
      <w:r>
        <w:t>: Other data sources used to varying extents for GBD 2013</w:t>
      </w:r>
      <w:bookmarkEnd w:id="368"/>
      <w:bookmarkEnd w:id="369"/>
      <w:bookmarkEnd w:id="370"/>
      <w:bookmarkEnd w:id="371"/>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395"/>
        <w:gridCol w:w="4961"/>
      </w:tblGrid>
      <w:tr w:rsidR="00950593" w:rsidRPr="006F5167" w:rsidTr="00733F16">
        <w:trPr>
          <w:cantSplit/>
        </w:trPr>
        <w:tc>
          <w:tcPr>
            <w:tcW w:w="4395" w:type="dxa"/>
            <w:tcBorders>
              <w:top w:val="single" w:sz="4" w:space="0" w:color="auto"/>
              <w:bottom w:val="single" w:sz="4" w:space="0" w:color="auto"/>
            </w:tcBorders>
            <w:shd w:val="clear" w:color="auto" w:fill="auto"/>
          </w:tcPr>
          <w:p w:rsidR="00950593" w:rsidRPr="006F5167" w:rsidRDefault="00950593" w:rsidP="00733F16">
            <w:pPr>
              <w:pStyle w:val="TableText"/>
              <w:ind w:right="142"/>
              <w:rPr>
                <w:b/>
              </w:rPr>
            </w:pPr>
            <w:r w:rsidRPr="006F5167">
              <w:rPr>
                <w:b/>
              </w:rPr>
              <w:t>Data source</w:t>
            </w:r>
          </w:p>
        </w:tc>
        <w:tc>
          <w:tcPr>
            <w:tcW w:w="4961" w:type="dxa"/>
            <w:tcBorders>
              <w:top w:val="single" w:sz="4" w:space="0" w:color="auto"/>
              <w:bottom w:val="single" w:sz="4" w:space="0" w:color="auto"/>
            </w:tcBorders>
            <w:shd w:val="clear" w:color="auto" w:fill="auto"/>
          </w:tcPr>
          <w:p w:rsidR="00950593" w:rsidRPr="006F5167" w:rsidRDefault="00950593" w:rsidP="00733F16">
            <w:pPr>
              <w:pStyle w:val="TableText"/>
              <w:rPr>
                <w:b/>
              </w:rPr>
            </w:pPr>
            <w:r w:rsidRPr="006F5167">
              <w:rPr>
                <w:b/>
              </w:rPr>
              <w:t>Comments</w:t>
            </w:r>
          </w:p>
        </w:tc>
      </w:tr>
      <w:tr w:rsidR="00950593" w:rsidTr="00733F16">
        <w:trPr>
          <w:cantSplit/>
        </w:trPr>
        <w:tc>
          <w:tcPr>
            <w:tcW w:w="4395" w:type="dxa"/>
            <w:tcBorders>
              <w:top w:val="single" w:sz="4" w:space="0" w:color="auto"/>
              <w:bottom w:val="single" w:sz="4" w:space="0" w:color="A6A6A6"/>
            </w:tcBorders>
            <w:shd w:val="clear" w:color="auto" w:fill="auto"/>
          </w:tcPr>
          <w:p w:rsidR="00950593" w:rsidRPr="00F231D7" w:rsidRDefault="00950593" w:rsidP="00733F16">
            <w:pPr>
              <w:pStyle w:val="TableText"/>
              <w:ind w:right="142"/>
            </w:pPr>
            <w:r w:rsidRPr="00F231D7">
              <w:t>Published peer reviewed research studies</w:t>
            </w:r>
          </w:p>
        </w:tc>
        <w:tc>
          <w:tcPr>
            <w:tcW w:w="4961" w:type="dxa"/>
            <w:tcBorders>
              <w:top w:val="single" w:sz="4" w:space="0" w:color="auto"/>
              <w:bottom w:val="single" w:sz="4" w:space="0" w:color="A6A6A6"/>
            </w:tcBorders>
            <w:shd w:val="clear" w:color="auto" w:fill="auto"/>
          </w:tcPr>
          <w:p w:rsidR="00950593" w:rsidRPr="00F231D7" w:rsidRDefault="00950593" w:rsidP="00733F16">
            <w:pPr>
              <w:pStyle w:val="TableText"/>
            </w:pPr>
            <w:r w:rsidRPr="00F231D7">
              <w:t>Several hundred relevant journal articles identified</w:t>
            </w:r>
          </w:p>
        </w:tc>
      </w:tr>
      <w:tr w:rsidR="00950593" w:rsidTr="00733F16">
        <w:trPr>
          <w:cantSplit/>
        </w:trPr>
        <w:tc>
          <w:tcPr>
            <w:tcW w:w="4395" w:type="dxa"/>
            <w:tcBorders>
              <w:top w:val="single" w:sz="4" w:space="0" w:color="A6A6A6"/>
              <w:bottom w:val="single" w:sz="4" w:space="0" w:color="A6A6A6"/>
            </w:tcBorders>
            <w:shd w:val="clear" w:color="auto" w:fill="auto"/>
          </w:tcPr>
          <w:p w:rsidR="00950593" w:rsidRPr="00F231D7" w:rsidRDefault="00950593" w:rsidP="00733F16">
            <w:pPr>
              <w:pStyle w:val="TableText"/>
              <w:ind w:right="142"/>
            </w:pPr>
            <w:r w:rsidRPr="00F231D7">
              <w:t xml:space="preserve">Published government, </w:t>
            </w:r>
            <w:r>
              <w:t>non-governmental organisation</w:t>
            </w:r>
            <w:r w:rsidRPr="00F231D7">
              <w:t xml:space="preserve"> and industry reports</w:t>
            </w:r>
          </w:p>
        </w:tc>
        <w:tc>
          <w:tcPr>
            <w:tcW w:w="4961" w:type="dxa"/>
            <w:tcBorders>
              <w:top w:val="single" w:sz="4" w:space="0" w:color="A6A6A6"/>
              <w:bottom w:val="single" w:sz="4" w:space="0" w:color="A6A6A6"/>
            </w:tcBorders>
            <w:shd w:val="clear" w:color="auto" w:fill="auto"/>
          </w:tcPr>
          <w:p w:rsidR="00950593" w:rsidRPr="00F231D7" w:rsidRDefault="005D5D9F" w:rsidP="00733F16">
            <w:pPr>
              <w:pStyle w:val="TableText"/>
            </w:pPr>
            <w:r>
              <w:t>‘</w:t>
            </w:r>
            <w:r w:rsidR="00950593" w:rsidRPr="00F231D7">
              <w:t>Grey</w:t>
            </w:r>
            <w:r>
              <w:t>’</w:t>
            </w:r>
            <w:r w:rsidR="00950593" w:rsidRPr="00F231D7">
              <w:t xml:space="preserve"> literature</w:t>
            </w:r>
          </w:p>
        </w:tc>
      </w:tr>
      <w:tr w:rsidR="00950593" w:rsidTr="00733F16">
        <w:trPr>
          <w:cantSplit/>
        </w:trPr>
        <w:tc>
          <w:tcPr>
            <w:tcW w:w="4395" w:type="dxa"/>
            <w:tcBorders>
              <w:top w:val="single" w:sz="4" w:space="0" w:color="A6A6A6"/>
              <w:bottom w:val="single" w:sz="4" w:space="0" w:color="A6A6A6"/>
            </w:tcBorders>
            <w:shd w:val="clear" w:color="auto" w:fill="auto"/>
          </w:tcPr>
          <w:p w:rsidR="00950593" w:rsidRPr="00F231D7" w:rsidRDefault="00950593" w:rsidP="00733F16">
            <w:pPr>
              <w:pStyle w:val="TableText"/>
              <w:ind w:right="142"/>
            </w:pPr>
            <w:r w:rsidRPr="00F231D7">
              <w:t>Published reports and databases of intergovernmental organisations</w:t>
            </w:r>
          </w:p>
        </w:tc>
        <w:tc>
          <w:tcPr>
            <w:tcW w:w="4961" w:type="dxa"/>
            <w:tcBorders>
              <w:top w:val="single" w:sz="4" w:space="0" w:color="A6A6A6"/>
              <w:bottom w:val="single" w:sz="4" w:space="0" w:color="A6A6A6"/>
            </w:tcBorders>
            <w:shd w:val="clear" w:color="auto" w:fill="auto"/>
          </w:tcPr>
          <w:p w:rsidR="00950593" w:rsidRPr="00F231D7" w:rsidRDefault="00950593" w:rsidP="00733F16">
            <w:pPr>
              <w:pStyle w:val="TableText"/>
            </w:pPr>
            <w:r w:rsidRPr="00F231D7">
              <w:t>World Health Organization</w:t>
            </w:r>
            <w:r w:rsidR="005D5D9F">
              <w:t>’</w:t>
            </w:r>
            <w:r w:rsidRPr="00F231D7">
              <w:t>s Health Database (includes N</w:t>
            </w:r>
            <w:r>
              <w:t>ew </w:t>
            </w:r>
            <w:r w:rsidRPr="00F231D7">
              <w:t>Z</w:t>
            </w:r>
            <w:r>
              <w:t>ealand</w:t>
            </w:r>
            <w:r w:rsidRPr="00F231D7">
              <w:t>)</w:t>
            </w:r>
          </w:p>
          <w:p w:rsidR="00950593" w:rsidRPr="00F231D7" w:rsidRDefault="00950593" w:rsidP="00733F16">
            <w:pPr>
              <w:pStyle w:val="TableText"/>
            </w:pPr>
            <w:r w:rsidRPr="00F231D7">
              <w:t>Organisation for Economic Co-operation and Development</w:t>
            </w:r>
            <w:r w:rsidR="005D5D9F">
              <w:t>’</w:t>
            </w:r>
            <w:r w:rsidRPr="00F231D7">
              <w:t>s Health at a Glance database (includes N</w:t>
            </w:r>
            <w:r>
              <w:t>ew </w:t>
            </w:r>
            <w:r w:rsidRPr="00F231D7">
              <w:t>Z</w:t>
            </w:r>
            <w:r>
              <w:t>ealand</w:t>
            </w:r>
            <w:r w:rsidRPr="00F231D7">
              <w:t>)</w:t>
            </w:r>
          </w:p>
        </w:tc>
      </w:tr>
      <w:tr w:rsidR="00950593" w:rsidTr="00733F16">
        <w:trPr>
          <w:cantSplit/>
        </w:trPr>
        <w:tc>
          <w:tcPr>
            <w:tcW w:w="4395" w:type="dxa"/>
            <w:tcBorders>
              <w:top w:val="single" w:sz="4" w:space="0" w:color="A6A6A6"/>
            </w:tcBorders>
            <w:shd w:val="clear" w:color="auto" w:fill="auto"/>
          </w:tcPr>
          <w:p w:rsidR="00950593" w:rsidRPr="00F231D7" w:rsidRDefault="00950593" w:rsidP="00733F16">
            <w:pPr>
              <w:pStyle w:val="TableText"/>
              <w:ind w:right="142"/>
            </w:pPr>
            <w:r w:rsidRPr="00F231D7">
              <w:t>Unpublished datasets</w:t>
            </w:r>
          </w:p>
        </w:tc>
        <w:tc>
          <w:tcPr>
            <w:tcW w:w="4961" w:type="dxa"/>
            <w:tcBorders>
              <w:top w:val="single" w:sz="4" w:space="0" w:color="A6A6A6"/>
            </w:tcBorders>
            <w:shd w:val="clear" w:color="auto" w:fill="auto"/>
          </w:tcPr>
          <w:p w:rsidR="00950593" w:rsidRPr="00F231D7" w:rsidRDefault="00950593" w:rsidP="00733F16">
            <w:pPr>
              <w:pStyle w:val="TableText"/>
            </w:pPr>
            <w:r w:rsidRPr="00F231D7">
              <w:t>Several data sets, mainly regional or facility-based, provided by academic, district health board, Accident Compensation Corporation and other government researchers on request</w:t>
            </w:r>
          </w:p>
        </w:tc>
      </w:tr>
    </w:tbl>
    <w:p w:rsidR="002A1DE3" w:rsidRPr="002471B5" w:rsidRDefault="002A1DE3" w:rsidP="002471B5"/>
    <w:sectPr w:rsidR="002A1DE3" w:rsidRPr="002471B5" w:rsidSect="00E546B5">
      <w:headerReference w:type="default" r:id="rId59"/>
      <w:footerReference w:type="even" r:id="rId60"/>
      <w:footerReference w:type="default" r:id="rId61"/>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57C" w:rsidRDefault="005E557C">
      <w:pPr>
        <w:spacing w:line="240" w:lineRule="auto"/>
      </w:pPr>
      <w:r>
        <w:separator/>
      </w:r>
    </w:p>
    <w:p w:rsidR="005E557C" w:rsidRDefault="005E557C"/>
  </w:endnote>
  <w:endnote w:type="continuationSeparator" w:id="0">
    <w:p w:rsidR="005E557C" w:rsidRDefault="005E557C">
      <w:pPr>
        <w:spacing w:line="240" w:lineRule="auto"/>
      </w:pPr>
      <w:r>
        <w:continuationSeparator/>
      </w:r>
    </w:p>
    <w:p w:rsidR="005E557C" w:rsidRDefault="005E55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2" w:rsidRPr="00581136" w:rsidRDefault="00E14892"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2" w:rsidRDefault="00E14892"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2" w:rsidRPr="00E72B0A" w:rsidRDefault="00E14892" w:rsidP="00E72B0A">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iii</w:t>
    </w:r>
    <w:r w:rsidRPr="00FC46E7">
      <w:rPr>
        <w:rStyle w:val="PageNumber"/>
      </w:rPr>
      <w:fldChar w:fldCharType="end"/>
    </w:r>
    <w:r>
      <w:tab/>
      <w:t>Health Loss in New Zealand 1990–2013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2" w:rsidRPr="006E7228" w:rsidRDefault="00E14892" w:rsidP="006E7228">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F456CC">
      <w:rPr>
        <w:rStyle w:val="PageNumber"/>
        <w:noProof/>
      </w:rPr>
      <w:t>vi</w:t>
    </w:r>
    <w:r w:rsidRPr="00FC46E7">
      <w:rPr>
        <w:rStyle w:val="PageNumber"/>
      </w:rPr>
      <w:fldChar w:fldCharType="end"/>
    </w:r>
    <w:r>
      <w:tab/>
      <w:t>Health Loss in New Zealand 1990–2013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2" w:rsidRPr="00E72B0A" w:rsidRDefault="00E14892" w:rsidP="0020109E">
    <w:pPr>
      <w:pStyle w:val="RectoFooter"/>
      <w:rPr>
        <w:b/>
      </w:rPr>
    </w:pPr>
    <w:r>
      <w:tab/>
    </w:r>
    <w:r w:rsidRPr="0020109E">
      <w:t>Health</w:t>
    </w:r>
    <w:r>
      <w:t xml:space="preserve"> Loss in New Zealand 1990–2013</w:t>
    </w:r>
    <w:r>
      <w:tab/>
    </w: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F456CC">
      <w:rPr>
        <w:rStyle w:val="PageNumber"/>
        <w:noProof/>
      </w:rPr>
      <w:t>ix</w:t>
    </w:r>
    <w:r w:rsidRPr="00FC46E7">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2" w:rsidRPr="00A363BC" w:rsidRDefault="00E14892" w:rsidP="00A363BC">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2" w:rsidRPr="006E7228" w:rsidRDefault="00E14892" w:rsidP="006E7228">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F456CC">
      <w:rPr>
        <w:rStyle w:val="PageNumber"/>
        <w:noProof/>
      </w:rPr>
      <w:t>x</w:t>
    </w:r>
    <w:r w:rsidRPr="00FC46E7">
      <w:rPr>
        <w:rStyle w:val="PageNumber"/>
      </w:rPr>
      <w:fldChar w:fldCharType="end"/>
    </w:r>
    <w:r>
      <w:tab/>
      <w:t>Health Loss in New Zealand 1990–2013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2" w:rsidRPr="00275D08" w:rsidRDefault="00E14892"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F456CC">
      <w:rPr>
        <w:rStyle w:val="PageNumber"/>
        <w:noProof/>
      </w:rPr>
      <w:t>10</w:t>
    </w:r>
    <w:r w:rsidRPr="00FC46E7">
      <w:rPr>
        <w:rStyle w:val="PageNumber"/>
      </w:rPr>
      <w:fldChar w:fldCharType="end"/>
    </w:r>
    <w:r>
      <w:tab/>
      <w:t>Health Loss in New Zealand 1990–2013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2" w:rsidRDefault="00E14892" w:rsidP="009E3C8C">
    <w:pPr>
      <w:pStyle w:val="RectoFooter"/>
    </w:pPr>
    <w:r>
      <w:tab/>
      <w:t>Health Loss in New Zealand 1990–2013</w:t>
    </w:r>
    <w:r>
      <w:tab/>
    </w:r>
    <w:r>
      <w:rPr>
        <w:rStyle w:val="PageNumber"/>
      </w:rPr>
      <w:fldChar w:fldCharType="begin"/>
    </w:r>
    <w:r>
      <w:rPr>
        <w:rStyle w:val="PageNumber"/>
      </w:rPr>
      <w:instrText xml:space="preserve"> PAGE </w:instrText>
    </w:r>
    <w:r>
      <w:rPr>
        <w:rStyle w:val="PageNumber"/>
      </w:rPr>
      <w:fldChar w:fldCharType="separate"/>
    </w:r>
    <w:r w:rsidR="00F456CC">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57C" w:rsidRPr="00A26E6B" w:rsidRDefault="005E557C" w:rsidP="00A26E6B"/>
  </w:footnote>
  <w:footnote w:type="continuationSeparator" w:id="0">
    <w:p w:rsidR="005E557C" w:rsidRDefault="005E557C">
      <w:pPr>
        <w:spacing w:line="240" w:lineRule="auto"/>
      </w:pPr>
      <w:r>
        <w:continuationSeparator/>
      </w:r>
    </w:p>
    <w:p w:rsidR="005E557C" w:rsidRDefault="005E557C"/>
  </w:footnote>
  <w:footnote w:id="1">
    <w:p w:rsidR="00E14892" w:rsidRDefault="00E14892" w:rsidP="002F0DDA">
      <w:pPr>
        <w:pStyle w:val="FootnoteText"/>
      </w:pPr>
      <w:r w:rsidRPr="002F0DDA">
        <w:rPr>
          <w:rStyle w:val="FootnoteReference"/>
        </w:rPr>
        <w:footnoteRef/>
      </w:r>
      <w:r>
        <w:tab/>
        <w:t xml:space="preserve">Mitchell E. 2009. SIDS: past, present and future. </w:t>
      </w:r>
      <w:proofErr w:type="spellStart"/>
      <w:r w:rsidRPr="0024730E">
        <w:rPr>
          <w:i/>
        </w:rPr>
        <w:t>Acta</w:t>
      </w:r>
      <w:proofErr w:type="spellEnd"/>
      <w:r w:rsidRPr="0024730E">
        <w:rPr>
          <w:i/>
        </w:rPr>
        <w:t xml:space="preserve"> </w:t>
      </w:r>
      <w:proofErr w:type="spellStart"/>
      <w:r w:rsidRPr="0024730E">
        <w:rPr>
          <w:i/>
        </w:rPr>
        <w:t>Paediatrica</w:t>
      </w:r>
      <w:proofErr w:type="spellEnd"/>
      <w:r>
        <w:t xml:space="preserve"> 98: 1712–9.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2" w:rsidRDefault="00E14892" w:rsidP="009216CC">
    <w:pPr>
      <w:pStyle w:val="Header"/>
      <w:ind w:left="-1559"/>
    </w:pPr>
    <w:r>
      <w:rPr>
        <w:noProof/>
        <w:lang w:eastAsia="en-NZ"/>
      </w:rPr>
      <w:drawing>
        <wp:inline distT="0" distB="0" distL="0" distR="0">
          <wp:extent cx="6467475" cy="532130"/>
          <wp:effectExtent l="0" t="0" r="9525" b="127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7475" cy="5321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2" w:rsidRDefault="00E14892" w:rsidP="009216CC">
    <w:pPr>
      <w:pStyle w:val="Header"/>
      <w:ind w:left="-155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92" w:rsidRDefault="00E148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D448078"/>
    <w:lvl w:ilvl="0">
      <w:start w:val="1"/>
      <w:numFmt w:val="bullet"/>
      <w:lvlText w:val=""/>
      <w:lvlJc w:val="left"/>
      <w:pPr>
        <w:tabs>
          <w:tab w:val="num" w:pos="360"/>
        </w:tabs>
        <w:ind w:left="360" w:hanging="360"/>
      </w:pPr>
      <w:rPr>
        <w:rFonts w:ascii="Symbol" w:hAnsi="Symbol" w:hint="default"/>
      </w:rPr>
    </w:lvl>
  </w:abstractNum>
  <w:abstractNum w:abstractNumId="1">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0">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11">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1"/>
  </w:num>
  <w:num w:numId="2">
    <w:abstractNumId w:val="9"/>
  </w:num>
  <w:num w:numId="3">
    <w:abstractNumId w:val="5"/>
  </w:num>
  <w:num w:numId="4">
    <w:abstractNumId w:val="6"/>
  </w:num>
  <w:num w:numId="5">
    <w:abstractNumId w:val="1"/>
  </w:num>
  <w:num w:numId="6">
    <w:abstractNumId w:val="8"/>
  </w:num>
  <w:num w:numId="7">
    <w:abstractNumId w:val="3"/>
  </w:num>
  <w:num w:numId="8">
    <w:abstractNumId w:val="10"/>
  </w:num>
  <w:num w:numId="9">
    <w:abstractNumId w:val="2"/>
  </w:num>
  <w:num w:numId="10">
    <w:abstractNumId w:val="4"/>
  </w:num>
  <w:num w:numId="11">
    <w:abstractNumId w:val="7"/>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10728"/>
    <w:rsid w:val="00022372"/>
    <w:rsid w:val="00030B26"/>
    <w:rsid w:val="0005005D"/>
    <w:rsid w:val="000556AA"/>
    <w:rsid w:val="00056E32"/>
    <w:rsid w:val="00061D0D"/>
    <w:rsid w:val="0006228D"/>
    <w:rsid w:val="00070A42"/>
    <w:rsid w:val="00072BD6"/>
    <w:rsid w:val="00075B78"/>
    <w:rsid w:val="00082CD6"/>
    <w:rsid w:val="00084885"/>
    <w:rsid w:val="00085AFE"/>
    <w:rsid w:val="000964BD"/>
    <w:rsid w:val="000A6BBC"/>
    <w:rsid w:val="000A7EB0"/>
    <w:rsid w:val="000B0730"/>
    <w:rsid w:val="000B7253"/>
    <w:rsid w:val="000D4E67"/>
    <w:rsid w:val="000E5D47"/>
    <w:rsid w:val="000F2AE2"/>
    <w:rsid w:val="000F4F37"/>
    <w:rsid w:val="000F7ABF"/>
    <w:rsid w:val="00102063"/>
    <w:rsid w:val="0010541C"/>
    <w:rsid w:val="001066DC"/>
    <w:rsid w:val="00106F93"/>
    <w:rsid w:val="00111D50"/>
    <w:rsid w:val="00113B8E"/>
    <w:rsid w:val="00120AB6"/>
    <w:rsid w:val="00125A44"/>
    <w:rsid w:val="00127D55"/>
    <w:rsid w:val="00130165"/>
    <w:rsid w:val="00133C1B"/>
    <w:rsid w:val="001342C7"/>
    <w:rsid w:val="00134AC8"/>
    <w:rsid w:val="0013585C"/>
    <w:rsid w:val="00135BAE"/>
    <w:rsid w:val="00142954"/>
    <w:rsid w:val="001460E0"/>
    <w:rsid w:val="001463F4"/>
    <w:rsid w:val="00147F71"/>
    <w:rsid w:val="00150A6E"/>
    <w:rsid w:val="0016468A"/>
    <w:rsid w:val="001729DD"/>
    <w:rsid w:val="0018603D"/>
    <w:rsid w:val="001A04D4"/>
    <w:rsid w:val="001A306C"/>
    <w:rsid w:val="001A5CF5"/>
    <w:rsid w:val="001A6402"/>
    <w:rsid w:val="001A6EC8"/>
    <w:rsid w:val="001B39D2"/>
    <w:rsid w:val="001B4BF8"/>
    <w:rsid w:val="001B6E8E"/>
    <w:rsid w:val="001C15B0"/>
    <w:rsid w:val="001C41E7"/>
    <w:rsid w:val="001C4326"/>
    <w:rsid w:val="001D3541"/>
    <w:rsid w:val="001E274B"/>
    <w:rsid w:val="001E6AD4"/>
    <w:rsid w:val="001F45A7"/>
    <w:rsid w:val="0020109E"/>
    <w:rsid w:val="00201A01"/>
    <w:rsid w:val="00201CE5"/>
    <w:rsid w:val="002104D3"/>
    <w:rsid w:val="00213A33"/>
    <w:rsid w:val="0021763B"/>
    <w:rsid w:val="002250BD"/>
    <w:rsid w:val="002263BB"/>
    <w:rsid w:val="002279E2"/>
    <w:rsid w:val="0024277F"/>
    <w:rsid w:val="00246DB1"/>
    <w:rsid w:val="002471B5"/>
    <w:rsid w:val="002476B5"/>
    <w:rsid w:val="00253ECF"/>
    <w:rsid w:val="002546A1"/>
    <w:rsid w:val="002607A5"/>
    <w:rsid w:val="00263C33"/>
    <w:rsid w:val="00272311"/>
    <w:rsid w:val="002732BD"/>
    <w:rsid w:val="00275D08"/>
    <w:rsid w:val="00275E38"/>
    <w:rsid w:val="00280970"/>
    <w:rsid w:val="002858E3"/>
    <w:rsid w:val="00285E6F"/>
    <w:rsid w:val="0029190A"/>
    <w:rsid w:val="00292802"/>
    <w:rsid w:val="00292C5A"/>
    <w:rsid w:val="00294B54"/>
    <w:rsid w:val="00295241"/>
    <w:rsid w:val="002A1DE3"/>
    <w:rsid w:val="002A5FB4"/>
    <w:rsid w:val="002B047D"/>
    <w:rsid w:val="002B2EEE"/>
    <w:rsid w:val="002B3B21"/>
    <w:rsid w:val="002B732B"/>
    <w:rsid w:val="002B7E97"/>
    <w:rsid w:val="002C2219"/>
    <w:rsid w:val="002C5AF5"/>
    <w:rsid w:val="002D0DF2"/>
    <w:rsid w:val="002D23BD"/>
    <w:rsid w:val="002D46F1"/>
    <w:rsid w:val="002E0B47"/>
    <w:rsid w:val="002F0DDA"/>
    <w:rsid w:val="002F16ED"/>
    <w:rsid w:val="002F7213"/>
    <w:rsid w:val="003013DE"/>
    <w:rsid w:val="0030382F"/>
    <w:rsid w:val="0030408D"/>
    <w:rsid w:val="00305B14"/>
    <w:rsid w:val="003060E4"/>
    <w:rsid w:val="00307DC0"/>
    <w:rsid w:val="003160E7"/>
    <w:rsid w:val="0031739E"/>
    <w:rsid w:val="003209E8"/>
    <w:rsid w:val="00320FD6"/>
    <w:rsid w:val="003236CA"/>
    <w:rsid w:val="003264C8"/>
    <w:rsid w:val="003325AB"/>
    <w:rsid w:val="0033412B"/>
    <w:rsid w:val="00336A9A"/>
    <w:rsid w:val="00342829"/>
    <w:rsid w:val="00343365"/>
    <w:rsid w:val="00344BEA"/>
    <w:rsid w:val="0034540D"/>
    <w:rsid w:val="00346C0F"/>
    <w:rsid w:val="00353501"/>
    <w:rsid w:val="003536DA"/>
    <w:rsid w:val="0035402C"/>
    <w:rsid w:val="0035540E"/>
    <w:rsid w:val="003606F8"/>
    <w:rsid w:val="003648EF"/>
    <w:rsid w:val="0036600C"/>
    <w:rsid w:val="003673E6"/>
    <w:rsid w:val="003700B9"/>
    <w:rsid w:val="00377264"/>
    <w:rsid w:val="00384B63"/>
    <w:rsid w:val="00392E96"/>
    <w:rsid w:val="003935A2"/>
    <w:rsid w:val="0039525B"/>
    <w:rsid w:val="003A1663"/>
    <w:rsid w:val="003A26A5"/>
    <w:rsid w:val="003A2790"/>
    <w:rsid w:val="003A3761"/>
    <w:rsid w:val="003A5FEA"/>
    <w:rsid w:val="003B1D10"/>
    <w:rsid w:val="003C764F"/>
    <w:rsid w:val="003C76D4"/>
    <w:rsid w:val="003D2CC5"/>
    <w:rsid w:val="003D792E"/>
    <w:rsid w:val="003E32AB"/>
    <w:rsid w:val="003E7C46"/>
    <w:rsid w:val="003F0270"/>
    <w:rsid w:val="003F52A7"/>
    <w:rsid w:val="0040240C"/>
    <w:rsid w:val="00413021"/>
    <w:rsid w:val="00440BE0"/>
    <w:rsid w:val="00442C1C"/>
    <w:rsid w:val="0044584B"/>
    <w:rsid w:val="00447CB7"/>
    <w:rsid w:val="00457E0A"/>
    <w:rsid w:val="00460826"/>
    <w:rsid w:val="00460EA7"/>
    <w:rsid w:val="0046195B"/>
    <w:rsid w:val="0046432C"/>
    <w:rsid w:val="0046596D"/>
    <w:rsid w:val="00476CB0"/>
    <w:rsid w:val="004877E7"/>
    <w:rsid w:val="00487C04"/>
    <w:rsid w:val="004907E1"/>
    <w:rsid w:val="00496E55"/>
    <w:rsid w:val="004973B2"/>
    <w:rsid w:val="004A035B"/>
    <w:rsid w:val="004A38D7"/>
    <w:rsid w:val="004A778C"/>
    <w:rsid w:val="004B1320"/>
    <w:rsid w:val="004B2157"/>
    <w:rsid w:val="004C2937"/>
    <w:rsid w:val="004C2E6A"/>
    <w:rsid w:val="004C64B8"/>
    <w:rsid w:val="004D1024"/>
    <w:rsid w:val="004D2A2D"/>
    <w:rsid w:val="004D6689"/>
    <w:rsid w:val="004D6ABA"/>
    <w:rsid w:val="004E1D1D"/>
    <w:rsid w:val="004E2427"/>
    <w:rsid w:val="004E2B46"/>
    <w:rsid w:val="004E7AC8"/>
    <w:rsid w:val="004F0C94"/>
    <w:rsid w:val="004F24DA"/>
    <w:rsid w:val="004F74D4"/>
    <w:rsid w:val="005019AE"/>
    <w:rsid w:val="00501AE9"/>
    <w:rsid w:val="00503749"/>
    <w:rsid w:val="00504CF4"/>
    <w:rsid w:val="0050635B"/>
    <w:rsid w:val="00506B4A"/>
    <w:rsid w:val="005122BD"/>
    <w:rsid w:val="0053199F"/>
    <w:rsid w:val="00533B90"/>
    <w:rsid w:val="005410F8"/>
    <w:rsid w:val="0054239E"/>
    <w:rsid w:val="005448EC"/>
    <w:rsid w:val="00545963"/>
    <w:rsid w:val="00550256"/>
    <w:rsid w:val="00553958"/>
    <w:rsid w:val="00555BCA"/>
    <w:rsid w:val="0055763D"/>
    <w:rsid w:val="0056068D"/>
    <w:rsid w:val="005621F2"/>
    <w:rsid w:val="005646CF"/>
    <w:rsid w:val="00567B58"/>
    <w:rsid w:val="005708D6"/>
    <w:rsid w:val="005763E0"/>
    <w:rsid w:val="0058070E"/>
    <w:rsid w:val="00581136"/>
    <w:rsid w:val="00590EF0"/>
    <w:rsid w:val="00597BB9"/>
    <w:rsid w:val="005A27CA"/>
    <w:rsid w:val="005A395A"/>
    <w:rsid w:val="005A43BD"/>
    <w:rsid w:val="005B4360"/>
    <w:rsid w:val="005B5081"/>
    <w:rsid w:val="005C1AB3"/>
    <w:rsid w:val="005C2D3D"/>
    <w:rsid w:val="005D4935"/>
    <w:rsid w:val="005D5B53"/>
    <w:rsid w:val="005D5D9F"/>
    <w:rsid w:val="005E1710"/>
    <w:rsid w:val="005E226E"/>
    <w:rsid w:val="005E557C"/>
    <w:rsid w:val="005E6542"/>
    <w:rsid w:val="005E7465"/>
    <w:rsid w:val="006005CB"/>
    <w:rsid w:val="006015D7"/>
    <w:rsid w:val="00601B21"/>
    <w:rsid w:val="006041F0"/>
    <w:rsid w:val="00611218"/>
    <w:rsid w:val="00626CF8"/>
    <w:rsid w:val="00631682"/>
    <w:rsid w:val="0063278B"/>
    <w:rsid w:val="00636D7D"/>
    <w:rsid w:val="0063727E"/>
    <w:rsid w:val="00637408"/>
    <w:rsid w:val="00642868"/>
    <w:rsid w:val="00647AFE"/>
    <w:rsid w:val="006512BC"/>
    <w:rsid w:val="00653A5A"/>
    <w:rsid w:val="006575F4"/>
    <w:rsid w:val="006579E6"/>
    <w:rsid w:val="00663EDC"/>
    <w:rsid w:val="006670D7"/>
    <w:rsid w:val="00671078"/>
    <w:rsid w:val="006715FE"/>
    <w:rsid w:val="006758CA"/>
    <w:rsid w:val="00680A04"/>
    <w:rsid w:val="00686A9A"/>
    <w:rsid w:val="00686D80"/>
    <w:rsid w:val="00690987"/>
    <w:rsid w:val="00694895"/>
    <w:rsid w:val="00694CD0"/>
    <w:rsid w:val="00697E2E"/>
    <w:rsid w:val="006A01A0"/>
    <w:rsid w:val="006A25A2"/>
    <w:rsid w:val="006A577E"/>
    <w:rsid w:val="006B0E73"/>
    <w:rsid w:val="006B18F5"/>
    <w:rsid w:val="006B34D2"/>
    <w:rsid w:val="006B41CA"/>
    <w:rsid w:val="006B4A4D"/>
    <w:rsid w:val="006B5695"/>
    <w:rsid w:val="006B633C"/>
    <w:rsid w:val="006C545C"/>
    <w:rsid w:val="006C7093"/>
    <w:rsid w:val="006C78EB"/>
    <w:rsid w:val="006D1660"/>
    <w:rsid w:val="006D2184"/>
    <w:rsid w:val="006D4F0A"/>
    <w:rsid w:val="006E7228"/>
    <w:rsid w:val="006F1B67"/>
    <w:rsid w:val="0070091D"/>
    <w:rsid w:val="00702854"/>
    <w:rsid w:val="007148F8"/>
    <w:rsid w:val="0071741C"/>
    <w:rsid w:val="007277C8"/>
    <w:rsid w:val="00732FA7"/>
    <w:rsid w:val="00733F16"/>
    <w:rsid w:val="007351D1"/>
    <w:rsid w:val="00742B90"/>
    <w:rsid w:val="007440FB"/>
    <w:rsid w:val="00744227"/>
    <w:rsid w:val="0074434D"/>
    <w:rsid w:val="00744DC4"/>
    <w:rsid w:val="0075215D"/>
    <w:rsid w:val="007549F8"/>
    <w:rsid w:val="007552FD"/>
    <w:rsid w:val="00756C04"/>
    <w:rsid w:val="00762EE3"/>
    <w:rsid w:val="00765458"/>
    <w:rsid w:val="00771B1E"/>
    <w:rsid w:val="00773C95"/>
    <w:rsid w:val="0078171E"/>
    <w:rsid w:val="00795B34"/>
    <w:rsid w:val="007A2240"/>
    <w:rsid w:val="007B1770"/>
    <w:rsid w:val="007B4D3E"/>
    <w:rsid w:val="007B7C70"/>
    <w:rsid w:val="007C2D06"/>
    <w:rsid w:val="007C5D47"/>
    <w:rsid w:val="007D00BF"/>
    <w:rsid w:val="007D2151"/>
    <w:rsid w:val="007D42CC"/>
    <w:rsid w:val="007D5DE4"/>
    <w:rsid w:val="007E0777"/>
    <w:rsid w:val="007E1341"/>
    <w:rsid w:val="007E1B41"/>
    <w:rsid w:val="007E30B9"/>
    <w:rsid w:val="007E698F"/>
    <w:rsid w:val="007E74F1"/>
    <w:rsid w:val="007E7B56"/>
    <w:rsid w:val="007F0EBA"/>
    <w:rsid w:val="007F0F0C"/>
    <w:rsid w:val="007F1117"/>
    <w:rsid w:val="007F1288"/>
    <w:rsid w:val="00800A8A"/>
    <w:rsid w:val="0080155C"/>
    <w:rsid w:val="008032EB"/>
    <w:rsid w:val="008052E1"/>
    <w:rsid w:val="00806464"/>
    <w:rsid w:val="0081070A"/>
    <w:rsid w:val="00814BD1"/>
    <w:rsid w:val="00816384"/>
    <w:rsid w:val="008173B4"/>
    <w:rsid w:val="00822F2C"/>
    <w:rsid w:val="008305E8"/>
    <w:rsid w:val="00836678"/>
    <w:rsid w:val="008420A6"/>
    <w:rsid w:val="00860826"/>
    <w:rsid w:val="00860E21"/>
    <w:rsid w:val="00863117"/>
    <w:rsid w:val="0086384E"/>
    <w:rsid w:val="0086388B"/>
    <w:rsid w:val="008642E5"/>
    <w:rsid w:val="00865AC9"/>
    <w:rsid w:val="00872D93"/>
    <w:rsid w:val="00876FC9"/>
    <w:rsid w:val="00880470"/>
    <w:rsid w:val="00880D94"/>
    <w:rsid w:val="00882DF2"/>
    <w:rsid w:val="008924DE"/>
    <w:rsid w:val="00897B20"/>
    <w:rsid w:val="008A247C"/>
    <w:rsid w:val="008A3755"/>
    <w:rsid w:val="008A43AE"/>
    <w:rsid w:val="008B264F"/>
    <w:rsid w:val="008B2F1B"/>
    <w:rsid w:val="008B6D40"/>
    <w:rsid w:val="008B6F83"/>
    <w:rsid w:val="008B7FD8"/>
    <w:rsid w:val="008C2973"/>
    <w:rsid w:val="008C2F0D"/>
    <w:rsid w:val="008C6324"/>
    <w:rsid w:val="008C64C4"/>
    <w:rsid w:val="008D49CA"/>
    <w:rsid w:val="008D74D5"/>
    <w:rsid w:val="008F29BE"/>
    <w:rsid w:val="008F4AE5"/>
    <w:rsid w:val="008F51EB"/>
    <w:rsid w:val="00900197"/>
    <w:rsid w:val="00902F55"/>
    <w:rsid w:val="0090582B"/>
    <w:rsid w:val="009060C0"/>
    <w:rsid w:val="0091209F"/>
    <w:rsid w:val="009133F5"/>
    <w:rsid w:val="00914BB9"/>
    <w:rsid w:val="00920A27"/>
    <w:rsid w:val="00921216"/>
    <w:rsid w:val="009216CC"/>
    <w:rsid w:val="0092226F"/>
    <w:rsid w:val="00926993"/>
    <w:rsid w:val="00932D69"/>
    <w:rsid w:val="009430C0"/>
    <w:rsid w:val="00944647"/>
    <w:rsid w:val="0094490A"/>
    <w:rsid w:val="00950593"/>
    <w:rsid w:val="00953307"/>
    <w:rsid w:val="0095471E"/>
    <w:rsid w:val="00964C9A"/>
    <w:rsid w:val="00966EB9"/>
    <w:rsid w:val="0097232E"/>
    <w:rsid w:val="009774CB"/>
    <w:rsid w:val="00977B8A"/>
    <w:rsid w:val="009811E9"/>
    <w:rsid w:val="00982971"/>
    <w:rsid w:val="009845AD"/>
    <w:rsid w:val="0099319A"/>
    <w:rsid w:val="00993C80"/>
    <w:rsid w:val="00995BA0"/>
    <w:rsid w:val="009A418B"/>
    <w:rsid w:val="009A4473"/>
    <w:rsid w:val="009A46AB"/>
    <w:rsid w:val="009B53AB"/>
    <w:rsid w:val="009B5584"/>
    <w:rsid w:val="009C151C"/>
    <w:rsid w:val="009D146F"/>
    <w:rsid w:val="009D5125"/>
    <w:rsid w:val="009D60B8"/>
    <w:rsid w:val="009D7D4B"/>
    <w:rsid w:val="009E0BCA"/>
    <w:rsid w:val="009E3324"/>
    <w:rsid w:val="009E36ED"/>
    <w:rsid w:val="009E3C8C"/>
    <w:rsid w:val="009E6B77"/>
    <w:rsid w:val="009F280D"/>
    <w:rsid w:val="009F460A"/>
    <w:rsid w:val="00A043FB"/>
    <w:rsid w:val="00A0729C"/>
    <w:rsid w:val="00A07779"/>
    <w:rsid w:val="00A11C69"/>
    <w:rsid w:val="00A1501C"/>
    <w:rsid w:val="00A20B2E"/>
    <w:rsid w:val="00A25069"/>
    <w:rsid w:val="00A26E6B"/>
    <w:rsid w:val="00A3068F"/>
    <w:rsid w:val="00A3145B"/>
    <w:rsid w:val="00A339D0"/>
    <w:rsid w:val="00A363BC"/>
    <w:rsid w:val="00A41002"/>
    <w:rsid w:val="00A4201A"/>
    <w:rsid w:val="00A50FBD"/>
    <w:rsid w:val="00A553CE"/>
    <w:rsid w:val="00A5677A"/>
    <w:rsid w:val="00A5702D"/>
    <w:rsid w:val="00A6490D"/>
    <w:rsid w:val="00A712AA"/>
    <w:rsid w:val="00A80363"/>
    <w:rsid w:val="00A9169D"/>
    <w:rsid w:val="00AA240C"/>
    <w:rsid w:val="00AB1CEF"/>
    <w:rsid w:val="00AB6B38"/>
    <w:rsid w:val="00AC101C"/>
    <w:rsid w:val="00AC587C"/>
    <w:rsid w:val="00AD2381"/>
    <w:rsid w:val="00AD4CF1"/>
    <w:rsid w:val="00AD5988"/>
    <w:rsid w:val="00AE1499"/>
    <w:rsid w:val="00AE6E24"/>
    <w:rsid w:val="00AF3266"/>
    <w:rsid w:val="00AF7800"/>
    <w:rsid w:val="00B04B05"/>
    <w:rsid w:val="00B052C9"/>
    <w:rsid w:val="00B072E0"/>
    <w:rsid w:val="00B101E5"/>
    <w:rsid w:val="00B253F6"/>
    <w:rsid w:val="00B305DB"/>
    <w:rsid w:val="00B332F8"/>
    <w:rsid w:val="00B3492B"/>
    <w:rsid w:val="00B436E2"/>
    <w:rsid w:val="00B440A6"/>
    <w:rsid w:val="00B4646F"/>
    <w:rsid w:val="00B46D7E"/>
    <w:rsid w:val="00B50A8A"/>
    <w:rsid w:val="00B55C7D"/>
    <w:rsid w:val="00B63038"/>
    <w:rsid w:val="00B64BD8"/>
    <w:rsid w:val="00B668C0"/>
    <w:rsid w:val="00B701D1"/>
    <w:rsid w:val="00B73AF2"/>
    <w:rsid w:val="00B75105"/>
    <w:rsid w:val="00B7551A"/>
    <w:rsid w:val="00B86826"/>
    <w:rsid w:val="00B94426"/>
    <w:rsid w:val="00BC0203"/>
    <w:rsid w:val="00BC59F1"/>
    <w:rsid w:val="00BE154C"/>
    <w:rsid w:val="00BF3DE1"/>
    <w:rsid w:val="00BF4843"/>
    <w:rsid w:val="00BF5205"/>
    <w:rsid w:val="00BF7869"/>
    <w:rsid w:val="00C03D92"/>
    <w:rsid w:val="00C12508"/>
    <w:rsid w:val="00C15655"/>
    <w:rsid w:val="00C438E4"/>
    <w:rsid w:val="00C45AA2"/>
    <w:rsid w:val="00C55BEF"/>
    <w:rsid w:val="00C61200"/>
    <w:rsid w:val="00C66296"/>
    <w:rsid w:val="00C737D8"/>
    <w:rsid w:val="00C77282"/>
    <w:rsid w:val="00C80453"/>
    <w:rsid w:val="00C84DE5"/>
    <w:rsid w:val="00C86248"/>
    <w:rsid w:val="00CA44CD"/>
    <w:rsid w:val="00CA4C33"/>
    <w:rsid w:val="00CA6F4A"/>
    <w:rsid w:val="00CB4A69"/>
    <w:rsid w:val="00CC0A26"/>
    <w:rsid w:val="00CC3CF1"/>
    <w:rsid w:val="00CD2119"/>
    <w:rsid w:val="00CD237A"/>
    <w:rsid w:val="00CD36AC"/>
    <w:rsid w:val="00CD3A74"/>
    <w:rsid w:val="00CE28DC"/>
    <w:rsid w:val="00CE7FFE"/>
    <w:rsid w:val="00CF1747"/>
    <w:rsid w:val="00CF5840"/>
    <w:rsid w:val="00D01020"/>
    <w:rsid w:val="00D14B9B"/>
    <w:rsid w:val="00D22287"/>
    <w:rsid w:val="00D23323"/>
    <w:rsid w:val="00D2392A"/>
    <w:rsid w:val="00D24AF1"/>
    <w:rsid w:val="00D258EF"/>
    <w:rsid w:val="00D25FFE"/>
    <w:rsid w:val="00D26570"/>
    <w:rsid w:val="00D4476F"/>
    <w:rsid w:val="00D54D50"/>
    <w:rsid w:val="00D66797"/>
    <w:rsid w:val="00D7087C"/>
    <w:rsid w:val="00D70C3C"/>
    <w:rsid w:val="00D72BE5"/>
    <w:rsid w:val="00D82F26"/>
    <w:rsid w:val="00D85D0E"/>
    <w:rsid w:val="00D86224"/>
    <w:rsid w:val="00D863D0"/>
    <w:rsid w:val="00D87C87"/>
    <w:rsid w:val="00DA0B75"/>
    <w:rsid w:val="00DA1A50"/>
    <w:rsid w:val="00DA3172"/>
    <w:rsid w:val="00DB39CF"/>
    <w:rsid w:val="00DB5742"/>
    <w:rsid w:val="00DD0BCD"/>
    <w:rsid w:val="00DD447A"/>
    <w:rsid w:val="00DE3B20"/>
    <w:rsid w:val="00DE6C94"/>
    <w:rsid w:val="00DE6FD7"/>
    <w:rsid w:val="00E13E34"/>
    <w:rsid w:val="00E13ED5"/>
    <w:rsid w:val="00E14892"/>
    <w:rsid w:val="00E15424"/>
    <w:rsid w:val="00E169DE"/>
    <w:rsid w:val="00E23271"/>
    <w:rsid w:val="00E24F80"/>
    <w:rsid w:val="00E259F3"/>
    <w:rsid w:val="00E33238"/>
    <w:rsid w:val="00E33EB7"/>
    <w:rsid w:val="00E40890"/>
    <w:rsid w:val="00E4486C"/>
    <w:rsid w:val="00E460B6"/>
    <w:rsid w:val="00E4684F"/>
    <w:rsid w:val="00E511D5"/>
    <w:rsid w:val="00E546B5"/>
    <w:rsid w:val="00E60249"/>
    <w:rsid w:val="00E611BD"/>
    <w:rsid w:val="00E64291"/>
    <w:rsid w:val="00E65269"/>
    <w:rsid w:val="00E666C3"/>
    <w:rsid w:val="00E72B0A"/>
    <w:rsid w:val="00E74777"/>
    <w:rsid w:val="00E76D66"/>
    <w:rsid w:val="00E82937"/>
    <w:rsid w:val="00E82E80"/>
    <w:rsid w:val="00E849FE"/>
    <w:rsid w:val="00E92F31"/>
    <w:rsid w:val="00EA098F"/>
    <w:rsid w:val="00EA34A1"/>
    <w:rsid w:val="00EA5175"/>
    <w:rsid w:val="00EA796A"/>
    <w:rsid w:val="00EB1856"/>
    <w:rsid w:val="00EB6705"/>
    <w:rsid w:val="00EC50CE"/>
    <w:rsid w:val="00EC5B34"/>
    <w:rsid w:val="00ED05EB"/>
    <w:rsid w:val="00ED1636"/>
    <w:rsid w:val="00ED6018"/>
    <w:rsid w:val="00EE2D5C"/>
    <w:rsid w:val="00EE4ADE"/>
    <w:rsid w:val="00EE5CB7"/>
    <w:rsid w:val="00EF1235"/>
    <w:rsid w:val="00EF4D7A"/>
    <w:rsid w:val="00EF72D1"/>
    <w:rsid w:val="00F0006C"/>
    <w:rsid w:val="00F024FE"/>
    <w:rsid w:val="00F05AD4"/>
    <w:rsid w:val="00F20320"/>
    <w:rsid w:val="00F23414"/>
    <w:rsid w:val="00F25970"/>
    <w:rsid w:val="00F456CC"/>
    <w:rsid w:val="00F5180D"/>
    <w:rsid w:val="00F67496"/>
    <w:rsid w:val="00F73B76"/>
    <w:rsid w:val="00F7595D"/>
    <w:rsid w:val="00F801BA"/>
    <w:rsid w:val="00F83F30"/>
    <w:rsid w:val="00F9366A"/>
    <w:rsid w:val="00F946C9"/>
    <w:rsid w:val="00FA74EE"/>
    <w:rsid w:val="00FB1E41"/>
    <w:rsid w:val="00FC3711"/>
    <w:rsid w:val="00FC46E7"/>
    <w:rsid w:val="00FC5D25"/>
    <w:rsid w:val="00FD0D7E"/>
    <w:rsid w:val="00FD2071"/>
    <w:rsid w:val="00FD7F00"/>
    <w:rsid w:val="00FE6E13"/>
    <w:rsid w:val="00FF052D"/>
    <w:rsid w:val="00FF15F6"/>
    <w:rsid w:val="00FF527C"/>
    <w:rsid w:val="00FF65CD"/>
    <w:rsid w:val="00FF733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8A34E9D-A8F6-44D7-B95D-480EE7D6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135BAE"/>
    <w:pPr>
      <w:pageBreakBefore/>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363BC"/>
    <w:pPr>
      <w:tabs>
        <w:tab w:val="right" w:pos="9356"/>
      </w:tabs>
      <w:spacing w:before="80"/>
      <w:ind w:left="1276" w:right="567" w:hanging="1276"/>
    </w:pPr>
  </w:style>
  <w:style w:type="paragraph" w:customStyle="1" w:styleId="Bullet">
    <w:name w:val="Bullet"/>
    <w:basedOn w:val="Normal"/>
    <w:link w:val="BulletChar"/>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744DC4"/>
    <w:pPr>
      <w:spacing w:before="80"/>
      <w:ind w:left="284" w:right="1985"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744DC4"/>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135BAE"/>
    <w:rPr>
      <w:rFonts w:ascii="Georgia" w:hAnsi="Georgia"/>
      <w:b/>
      <w:sz w:val="60"/>
      <w:lang w:eastAsia="en-GB"/>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BulletChar">
    <w:name w:val="Bullet Char"/>
    <w:link w:val="Bullet"/>
    <w:rsid w:val="007A2240"/>
    <w:rPr>
      <w:rFonts w:ascii="Georgia" w:hAnsi="Georgia"/>
      <w:sz w:val="22"/>
      <w:lang w:eastAsia="en-GB"/>
    </w:rPr>
  </w:style>
  <w:style w:type="character" w:styleId="CommentReference">
    <w:name w:val="annotation reference"/>
    <w:uiPriority w:val="99"/>
    <w:semiHidden/>
    <w:unhideWhenUsed/>
    <w:rsid w:val="00263C33"/>
    <w:rPr>
      <w:sz w:val="16"/>
      <w:szCs w:val="16"/>
    </w:rPr>
  </w:style>
  <w:style w:type="paragraph" w:styleId="CommentText">
    <w:name w:val="annotation text"/>
    <w:basedOn w:val="Normal"/>
    <w:link w:val="CommentTextChar"/>
    <w:uiPriority w:val="99"/>
    <w:semiHidden/>
    <w:unhideWhenUsed/>
    <w:rsid w:val="00263C33"/>
    <w:pPr>
      <w:spacing w:line="240" w:lineRule="auto"/>
    </w:pPr>
    <w:rPr>
      <w:sz w:val="20"/>
    </w:rPr>
  </w:style>
  <w:style w:type="character" w:customStyle="1" w:styleId="CommentTextChar">
    <w:name w:val="Comment Text Char"/>
    <w:link w:val="CommentText"/>
    <w:uiPriority w:val="99"/>
    <w:semiHidden/>
    <w:rsid w:val="00263C33"/>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263C33"/>
    <w:rPr>
      <w:b/>
      <w:bCs/>
    </w:rPr>
  </w:style>
  <w:style w:type="character" w:customStyle="1" w:styleId="CommentSubjectChar">
    <w:name w:val="Comment Subject Char"/>
    <w:link w:val="CommentSubject"/>
    <w:uiPriority w:val="99"/>
    <w:semiHidden/>
    <w:rsid w:val="00263C33"/>
    <w:rPr>
      <w:rFonts w:ascii="Georgia" w:hAnsi="Georgia"/>
      <w:b/>
      <w:bCs/>
      <w:lang w:eastAsia="en-GB"/>
    </w:rPr>
  </w:style>
  <w:style w:type="paragraph" w:styleId="BalloonText">
    <w:name w:val="Balloon Text"/>
    <w:basedOn w:val="Normal"/>
    <w:link w:val="BalloonTextChar"/>
    <w:uiPriority w:val="99"/>
    <w:semiHidden/>
    <w:unhideWhenUsed/>
    <w:rsid w:val="00263C33"/>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263C33"/>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www.commonwealthfund.or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http://www.sciencedirect.com/science/article/pii/S014067361461682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www.healthdata.org"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61" Type="http://schemas.openxmlformats.org/officeDocument/2006/relationships/footer" Target="footer9.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56262-2D7B-4E78-AA3C-6CFA6BC2F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21</TotalTime>
  <Pages>63</Pages>
  <Words>17905</Words>
  <Characters>104625</Characters>
  <Application>Microsoft Office Word</Application>
  <DocSecurity>0</DocSecurity>
  <Lines>2989</Lines>
  <Paragraphs>1725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120805</CharactersWithSpaces>
  <SharedDoc>false</SharedDoc>
  <HLinks>
    <vt:vector size="18" baseType="variant">
      <vt:variant>
        <vt:i4>3473465</vt:i4>
      </vt:variant>
      <vt:variant>
        <vt:i4>567</vt:i4>
      </vt:variant>
      <vt:variant>
        <vt:i4>0</vt:i4>
      </vt:variant>
      <vt:variant>
        <vt:i4>5</vt:i4>
      </vt:variant>
      <vt:variant>
        <vt:lpwstr>http://www.healthdata.org/</vt:lpwstr>
      </vt:variant>
      <vt:variant>
        <vt:lpwstr/>
      </vt:variant>
      <vt:variant>
        <vt:i4>5439556</vt:i4>
      </vt:variant>
      <vt:variant>
        <vt:i4>564</vt:i4>
      </vt:variant>
      <vt:variant>
        <vt:i4>0</vt:i4>
      </vt:variant>
      <vt:variant>
        <vt:i4>5</vt:i4>
      </vt:variant>
      <vt:variant>
        <vt:lpwstr>http://www.commonwealthfund.org/</vt:lpwstr>
      </vt:variant>
      <vt:variant>
        <vt:lpwstr/>
      </vt:variant>
      <vt:variant>
        <vt:i4>2818168</vt:i4>
      </vt:variant>
      <vt:variant>
        <vt:i4>561</vt:i4>
      </vt:variant>
      <vt:variant>
        <vt:i4>0</vt:i4>
      </vt:variant>
      <vt:variant>
        <vt:i4>5</vt:i4>
      </vt:variant>
      <vt:variant>
        <vt:lpwstr>http://www.sciencedirect.com/science/article/pii/S0140673614616822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Loss in New Zealand 1990–2013</dc:title>
  <dc:creator>Dianne Grain</dc:creator>
  <cp:lastModifiedBy>Jane Adam</cp:lastModifiedBy>
  <cp:revision>3</cp:revision>
  <cp:lastPrinted>2016-07-18T02:40:00Z</cp:lastPrinted>
  <dcterms:created xsi:type="dcterms:W3CDTF">2016-08-01T04:33:00Z</dcterms:created>
  <dcterms:modified xsi:type="dcterms:W3CDTF">2016-08-01T04:54:00Z</dcterms:modified>
</cp:coreProperties>
</file>